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0A0"/>
      </w:tblPr>
      <w:tblGrid>
        <w:gridCol w:w="974"/>
        <w:gridCol w:w="5079"/>
        <w:gridCol w:w="109"/>
        <w:gridCol w:w="1110"/>
        <w:gridCol w:w="2796"/>
        <w:gridCol w:w="139"/>
      </w:tblGrid>
      <w:tr w:rsidR="006F331B" w:rsidRPr="002D2D0F" w:rsidTr="00DF05A3">
        <w:trPr>
          <w:gridAfter w:val="1"/>
          <w:wAfter w:w="139" w:type="dxa"/>
          <w:trHeight w:val="709"/>
        </w:trPr>
        <w:tc>
          <w:tcPr>
            <w:tcW w:w="974" w:type="dxa"/>
            <w:tcBorders>
              <w:bottom w:val="single" w:sz="12" w:space="0" w:color="auto"/>
            </w:tcBorders>
          </w:tcPr>
          <w:p w:rsidR="006F331B" w:rsidRPr="002D2D0F" w:rsidRDefault="001F00C2" w:rsidP="00674A92">
            <w:pPr>
              <w:suppressLineNumbers/>
              <w:suppressAutoHyphens/>
              <w:kinsoku w:val="0"/>
              <w:overflowPunct w:val="0"/>
              <w:autoSpaceDE w:val="0"/>
              <w:autoSpaceDN w:val="0"/>
              <w:adjustRightInd w:val="0"/>
              <w:snapToGrid w:val="0"/>
              <w:rPr>
                <w:rFonts w:eastAsia="MS Mincho"/>
                <w:snapToGrid w:val="0"/>
                <w:kern w:val="22"/>
                <w:lang w:val="es-ES"/>
              </w:rPr>
            </w:pPr>
            <w:r w:rsidRPr="002D2D0F">
              <w:rPr>
                <w:rFonts w:eastAsia="MS Mincho"/>
                <w:noProof/>
                <w:kern w:val="22"/>
                <w:lang w:val="es-UY" w:eastAsia="es-UY"/>
              </w:rPr>
              <w:drawing>
                <wp:inline distT="0" distB="0" distL="0" distR="0">
                  <wp:extent cx="428625" cy="361950"/>
                  <wp:effectExtent l="19050" t="0" r="9525"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28625" cy="361950"/>
                          </a:xfrm>
                          <a:prstGeom prst="rect">
                            <a:avLst/>
                          </a:prstGeom>
                          <a:noFill/>
                          <a:ln w="9525">
                            <a:noFill/>
                            <a:miter lim="800000"/>
                            <a:headEnd/>
                            <a:tailEnd/>
                          </a:ln>
                        </pic:spPr>
                      </pic:pic>
                    </a:graphicData>
                  </a:graphic>
                </wp:inline>
              </w:drawing>
            </w:r>
          </w:p>
        </w:tc>
        <w:tc>
          <w:tcPr>
            <w:tcW w:w="5079" w:type="dxa"/>
            <w:tcBorders>
              <w:bottom w:val="single" w:sz="12" w:space="0" w:color="auto"/>
            </w:tcBorders>
          </w:tcPr>
          <w:p w:rsidR="006F331B" w:rsidRPr="002D2D0F" w:rsidRDefault="001F00C2" w:rsidP="00674A92">
            <w:pPr>
              <w:suppressLineNumbers/>
              <w:suppressAutoHyphens/>
              <w:kinsoku w:val="0"/>
              <w:overflowPunct w:val="0"/>
              <w:autoSpaceDE w:val="0"/>
              <w:autoSpaceDN w:val="0"/>
              <w:adjustRightInd w:val="0"/>
              <w:snapToGrid w:val="0"/>
              <w:rPr>
                <w:rFonts w:eastAsia="MS Mincho"/>
                <w:snapToGrid w:val="0"/>
                <w:kern w:val="22"/>
                <w:lang w:val="es-ES"/>
              </w:rPr>
            </w:pPr>
            <w:r w:rsidRPr="002D2D0F">
              <w:rPr>
                <w:rFonts w:eastAsia="MS Mincho"/>
                <w:noProof/>
                <w:kern w:val="22"/>
                <w:lang w:val="es-UY" w:eastAsia="es-UY"/>
              </w:rPr>
              <w:drawing>
                <wp:inline distT="0" distB="0" distL="0" distR="0">
                  <wp:extent cx="338455" cy="395605"/>
                  <wp:effectExtent l="19050" t="0" r="444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cstate="print"/>
                          <a:srcRect/>
                          <a:stretch>
                            <a:fillRect/>
                          </a:stretch>
                        </pic:blipFill>
                        <pic:spPr bwMode="auto">
                          <a:xfrm>
                            <a:off x="0" y="0"/>
                            <a:ext cx="338455" cy="395605"/>
                          </a:xfrm>
                          <a:prstGeom prst="rect">
                            <a:avLst/>
                          </a:prstGeom>
                          <a:noFill/>
                          <a:ln w="9525">
                            <a:noFill/>
                            <a:miter lim="800000"/>
                            <a:headEnd/>
                            <a:tailEnd/>
                          </a:ln>
                        </pic:spPr>
                      </pic:pic>
                    </a:graphicData>
                  </a:graphic>
                </wp:inline>
              </w:drawing>
            </w:r>
          </w:p>
        </w:tc>
        <w:tc>
          <w:tcPr>
            <w:tcW w:w="4015" w:type="dxa"/>
            <w:gridSpan w:val="3"/>
            <w:tcBorders>
              <w:bottom w:val="single" w:sz="12" w:space="0" w:color="auto"/>
            </w:tcBorders>
          </w:tcPr>
          <w:p w:rsidR="006F331B" w:rsidRPr="002D2D0F" w:rsidRDefault="006F331B" w:rsidP="00674A92">
            <w:pPr>
              <w:suppressLineNumbers/>
              <w:suppressAutoHyphens/>
              <w:kinsoku w:val="0"/>
              <w:overflowPunct w:val="0"/>
              <w:autoSpaceDE w:val="0"/>
              <w:autoSpaceDN w:val="0"/>
              <w:adjustRightInd w:val="0"/>
              <w:snapToGrid w:val="0"/>
              <w:jc w:val="right"/>
              <w:rPr>
                <w:rFonts w:ascii="Arial" w:eastAsia="MS Mincho" w:hAnsi="Arial" w:cs="Arial"/>
                <w:b/>
                <w:snapToGrid w:val="0"/>
                <w:kern w:val="22"/>
                <w:sz w:val="32"/>
                <w:szCs w:val="32"/>
                <w:lang w:val="es-ES"/>
              </w:rPr>
            </w:pPr>
            <w:r w:rsidRPr="002D2D0F">
              <w:rPr>
                <w:rFonts w:ascii="Arial" w:eastAsia="MS Mincho" w:hAnsi="Arial" w:cs="Arial"/>
                <w:b/>
                <w:snapToGrid w:val="0"/>
                <w:kern w:val="22"/>
                <w:sz w:val="32"/>
                <w:szCs w:val="32"/>
                <w:lang w:val="es-ES"/>
              </w:rPr>
              <w:t>CBD</w:t>
            </w:r>
          </w:p>
        </w:tc>
      </w:tr>
      <w:tr w:rsidR="006F331B" w:rsidRPr="002D2D0F" w:rsidTr="00DF05A3">
        <w:tblPrEx>
          <w:tblBorders>
            <w:bottom w:val="single" w:sz="36" w:space="0" w:color="000000"/>
          </w:tblBorders>
          <w:tblLook w:val="0000"/>
        </w:tblPrEx>
        <w:trPr>
          <w:trHeight w:val="1693"/>
        </w:trPr>
        <w:tc>
          <w:tcPr>
            <w:tcW w:w="6162" w:type="dxa"/>
            <w:gridSpan w:val="3"/>
            <w:tcBorders>
              <w:top w:val="nil"/>
              <w:bottom w:val="single" w:sz="36" w:space="0" w:color="000000"/>
            </w:tcBorders>
          </w:tcPr>
          <w:p w:rsidR="006F331B" w:rsidRPr="002D2D0F" w:rsidRDefault="006F331B" w:rsidP="00584A8D">
            <w:pPr>
              <w:suppressLineNumbers/>
              <w:suppressAutoHyphens/>
              <w:kinsoku w:val="0"/>
              <w:overflowPunct w:val="0"/>
              <w:autoSpaceDE w:val="0"/>
              <w:autoSpaceDN w:val="0"/>
              <w:adjustRightInd w:val="0"/>
              <w:snapToGrid w:val="0"/>
              <w:rPr>
                <w:snapToGrid w:val="0"/>
                <w:kern w:val="22"/>
                <w:lang w:val="es-ES"/>
              </w:rPr>
            </w:pPr>
          </w:p>
          <w:p w:rsidR="006F331B" w:rsidRPr="002D2D0F" w:rsidRDefault="001F00C2" w:rsidP="00584A8D">
            <w:pPr>
              <w:suppressLineNumbers/>
              <w:suppressAutoHyphens/>
              <w:kinsoku w:val="0"/>
              <w:overflowPunct w:val="0"/>
              <w:autoSpaceDE w:val="0"/>
              <w:autoSpaceDN w:val="0"/>
              <w:adjustRightInd w:val="0"/>
              <w:snapToGrid w:val="0"/>
              <w:rPr>
                <w:snapToGrid w:val="0"/>
                <w:kern w:val="22"/>
                <w:lang w:val="es-ES"/>
              </w:rPr>
            </w:pPr>
            <w:r w:rsidRPr="002D2D0F">
              <w:rPr>
                <w:noProof/>
                <w:kern w:val="22"/>
                <w:lang w:val="es-UY" w:eastAsia="es-UY"/>
              </w:rPr>
              <w:drawing>
                <wp:inline distT="0" distB="0" distL="0" distR="0">
                  <wp:extent cx="2910205" cy="108140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2910205" cy="1081405"/>
                          </a:xfrm>
                          <a:prstGeom prst="rect">
                            <a:avLst/>
                          </a:prstGeom>
                          <a:noFill/>
                          <a:ln w="9525">
                            <a:noFill/>
                            <a:miter lim="800000"/>
                            <a:headEnd/>
                            <a:tailEnd/>
                          </a:ln>
                        </pic:spPr>
                      </pic:pic>
                    </a:graphicData>
                  </a:graphic>
                </wp:inline>
              </w:drawing>
            </w:r>
          </w:p>
          <w:p w:rsidR="006F331B" w:rsidRPr="002D2D0F" w:rsidRDefault="006F331B" w:rsidP="00584A8D">
            <w:pPr>
              <w:suppressLineNumbers/>
              <w:suppressAutoHyphens/>
              <w:kinsoku w:val="0"/>
              <w:overflowPunct w:val="0"/>
              <w:autoSpaceDE w:val="0"/>
              <w:autoSpaceDN w:val="0"/>
              <w:adjustRightInd w:val="0"/>
              <w:snapToGrid w:val="0"/>
              <w:rPr>
                <w:snapToGrid w:val="0"/>
                <w:kern w:val="22"/>
                <w:sz w:val="32"/>
                <w:lang w:val="es-ES"/>
              </w:rPr>
            </w:pPr>
          </w:p>
        </w:tc>
        <w:tc>
          <w:tcPr>
            <w:tcW w:w="1110" w:type="dxa"/>
            <w:tcBorders>
              <w:top w:val="nil"/>
              <w:bottom w:val="single" w:sz="36" w:space="0" w:color="000000"/>
            </w:tcBorders>
          </w:tcPr>
          <w:p w:rsidR="006F331B" w:rsidRPr="002D2D0F" w:rsidRDefault="006F331B" w:rsidP="00584A8D">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lang w:val="es-ES"/>
              </w:rPr>
            </w:pPr>
          </w:p>
        </w:tc>
        <w:tc>
          <w:tcPr>
            <w:tcW w:w="2935" w:type="dxa"/>
            <w:gridSpan w:val="2"/>
            <w:tcBorders>
              <w:top w:val="nil"/>
              <w:bottom w:val="single" w:sz="36" w:space="0" w:color="000000"/>
            </w:tcBorders>
          </w:tcPr>
          <w:p w:rsidR="006F331B" w:rsidRPr="002D2D0F" w:rsidRDefault="006F331B" w:rsidP="00584A8D">
            <w:pPr>
              <w:suppressLineNumbers/>
              <w:suppressAutoHyphens/>
              <w:kinsoku w:val="0"/>
              <w:overflowPunct w:val="0"/>
              <w:autoSpaceDE w:val="0"/>
              <w:autoSpaceDN w:val="0"/>
              <w:adjustRightInd w:val="0"/>
              <w:snapToGrid w:val="0"/>
              <w:ind w:left="63"/>
              <w:rPr>
                <w:snapToGrid w:val="0"/>
                <w:kern w:val="22"/>
                <w:szCs w:val="22"/>
                <w:lang w:val="es-ES"/>
              </w:rPr>
            </w:pPr>
            <w:r w:rsidRPr="002D2D0F">
              <w:rPr>
                <w:snapToGrid w:val="0"/>
                <w:kern w:val="22"/>
                <w:szCs w:val="22"/>
                <w:lang w:val="es-ES"/>
              </w:rPr>
              <w:t>Distr.</w:t>
            </w:r>
          </w:p>
          <w:p w:rsidR="006F331B" w:rsidRPr="002D2D0F" w:rsidRDefault="006F331B" w:rsidP="00584A8D">
            <w:pPr>
              <w:suppressLineNumbers/>
              <w:suppressAutoHyphens/>
              <w:kinsoku w:val="0"/>
              <w:overflowPunct w:val="0"/>
              <w:autoSpaceDE w:val="0"/>
              <w:autoSpaceDN w:val="0"/>
              <w:adjustRightInd w:val="0"/>
              <w:snapToGrid w:val="0"/>
              <w:ind w:left="63"/>
              <w:rPr>
                <w:snapToGrid w:val="0"/>
                <w:kern w:val="22"/>
                <w:szCs w:val="22"/>
                <w:lang w:val="es-ES"/>
              </w:rPr>
            </w:pPr>
            <w:r w:rsidRPr="002D2D0F">
              <w:rPr>
                <w:snapToGrid w:val="0"/>
                <w:kern w:val="22"/>
                <w:szCs w:val="22"/>
                <w:lang w:val="es-ES"/>
              </w:rPr>
              <w:t>GENERAL</w:t>
            </w:r>
          </w:p>
          <w:p w:rsidR="006F331B" w:rsidRPr="002D2D0F" w:rsidRDefault="006F331B" w:rsidP="00584A8D">
            <w:pPr>
              <w:suppressLineNumbers/>
              <w:suppressAutoHyphens/>
              <w:kinsoku w:val="0"/>
              <w:overflowPunct w:val="0"/>
              <w:autoSpaceDE w:val="0"/>
              <w:autoSpaceDN w:val="0"/>
              <w:adjustRightInd w:val="0"/>
              <w:snapToGrid w:val="0"/>
              <w:ind w:left="63"/>
              <w:rPr>
                <w:snapToGrid w:val="0"/>
                <w:kern w:val="22"/>
                <w:szCs w:val="22"/>
                <w:lang w:val="es-ES"/>
              </w:rPr>
            </w:pPr>
          </w:p>
          <w:p w:rsidR="006F331B" w:rsidRPr="002D2D0F" w:rsidRDefault="006F331B" w:rsidP="00584A8D">
            <w:pPr>
              <w:suppressLineNumbers/>
              <w:suppressAutoHyphens/>
              <w:kinsoku w:val="0"/>
              <w:overflowPunct w:val="0"/>
              <w:autoSpaceDE w:val="0"/>
              <w:autoSpaceDN w:val="0"/>
              <w:adjustRightInd w:val="0"/>
              <w:snapToGrid w:val="0"/>
              <w:ind w:left="63"/>
              <w:rPr>
                <w:snapToGrid w:val="0"/>
                <w:kern w:val="22"/>
                <w:szCs w:val="22"/>
                <w:lang w:val="es-ES"/>
              </w:rPr>
            </w:pPr>
            <w:r w:rsidRPr="002D2D0F">
              <w:rPr>
                <w:snapToGrid w:val="0"/>
                <w:kern w:val="22"/>
                <w:szCs w:val="22"/>
                <w:lang w:val="es-ES"/>
              </w:rPr>
              <w:t>CBD/SBSTTA/22/9</w:t>
            </w:r>
          </w:p>
          <w:p w:rsidR="006F331B" w:rsidRPr="002D2D0F" w:rsidRDefault="006F331B" w:rsidP="00DF05A3">
            <w:pPr>
              <w:suppressLineNumbers/>
              <w:suppressAutoHyphens/>
              <w:kinsoku w:val="0"/>
              <w:overflowPunct w:val="0"/>
              <w:autoSpaceDE w:val="0"/>
              <w:autoSpaceDN w:val="0"/>
              <w:adjustRightInd w:val="0"/>
              <w:snapToGrid w:val="0"/>
              <w:ind w:left="63"/>
              <w:rPr>
                <w:snapToGrid w:val="0"/>
                <w:kern w:val="22"/>
                <w:szCs w:val="22"/>
                <w:lang w:val="es-ES"/>
              </w:rPr>
            </w:pPr>
            <w:r w:rsidRPr="002D2D0F">
              <w:rPr>
                <w:snapToGrid w:val="0"/>
                <w:kern w:val="22"/>
                <w:szCs w:val="22"/>
                <w:lang w:val="es-ES"/>
              </w:rPr>
              <w:t xml:space="preserve">28 </w:t>
            </w:r>
            <w:r w:rsidR="00DF05A3" w:rsidRPr="002D2D0F">
              <w:rPr>
                <w:snapToGrid w:val="0"/>
                <w:kern w:val="22"/>
                <w:szCs w:val="22"/>
                <w:lang w:val="es-ES"/>
              </w:rPr>
              <w:t>de ab</w:t>
            </w:r>
            <w:r w:rsidRPr="002D2D0F">
              <w:rPr>
                <w:snapToGrid w:val="0"/>
                <w:kern w:val="22"/>
                <w:szCs w:val="22"/>
                <w:lang w:val="es-ES"/>
              </w:rPr>
              <w:t xml:space="preserve">ril </w:t>
            </w:r>
            <w:r w:rsidR="00DF05A3" w:rsidRPr="002D2D0F">
              <w:rPr>
                <w:snapToGrid w:val="0"/>
                <w:kern w:val="22"/>
                <w:szCs w:val="22"/>
                <w:lang w:val="es-ES"/>
              </w:rPr>
              <w:t xml:space="preserve">de </w:t>
            </w:r>
            <w:r w:rsidRPr="002D2D0F">
              <w:rPr>
                <w:snapToGrid w:val="0"/>
                <w:kern w:val="22"/>
                <w:szCs w:val="22"/>
                <w:lang w:val="es-ES"/>
              </w:rPr>
              <w:t>2018</w:t>
            </w:r>
          </w:p>
          <w:p w:rsidR="006F331B" w:rsidRPr="002D2D0F" w:rsidRDefault="006F331B" w:rsidP="00584A8D">
            <w:pPr>
              <w:suppressLineNumbers/>
              <w:suppressAutoHyphens/>
              <w:kinsoku w:val="0"/>
              <w:overflowPunct w:val="0"/>
              <w:autoSpaceDE w:val="0"/>
              <w:autoSpaceDN w:val="0"/>
              <w:adjustRightInd w:val="0"/>
              <w:snapToGrid w:val="0"/>
              <w:ind w:left="63"/>
              <w:rPr>
                <w:snapToGrid w:val="0"/>
                <w:kern w:val="22"/>
                <w:szCs w:val="22"/>
                <w:lang w:val="es-ES"/>
              </w:rPr>
            </w:pPr>
          </w:p>
          <w:p w:rsidR="00DF05A3" w:rsidRPr="002D2D0F" w:rsidRDefault="00DF05A3" w:rsidP="00DF05A3">
            <w:pPr>
              <w:suppressLineNumbers/>
              <w:suppressAutoHyphens/>
              <w:kinsoku w:val="0"/>
              <w:overflowPunct w:val="0"/>
              <w:autoSpaceDE w:val="0"/>
              <w:autoSpaceDN w:val="0"/>
              <w:ind w:left="63"/>
              <w:rPr>
                <w:kern w:val="22"/>
                <w:lang w:val="es-ES"/>
              </w:rPr>
            </w:pPr>
            <w:r w:rsidRPr="002D2D0F">
              <w:rPr>
                <w:kern w:val="22"/>
                <w:lang w:val="es-ES"/>
              </w:rPr>
              <w:t>ESPAÑOL</w:t>
            </w:r>
          </w:p>
          <w:p w:rsidR="006F331B" w:rsidRPr="002D2D0F" w:rsidRDefault="00DF05A3" w:rsidP="00DF05A3">
            <w:pPr>
              <w:suppressLineNumbers/>
              <w:suppressAutoHyphens/>
              <w:kinsoku w:val="0"/>
              <w:overflowPunct w:val="0"/>
              <w:autoSpaceDE w:val="0"/>
              <w:autoSpaceDN w:val="0"/>
              <w:adjustRightInd w:val="0"/>
              <w:snapToGrid w:val="0"/>
              <w:ind w:left="63"/>
              <w:rPr>
                <w:snapToGrid w:val="0"/>
                <w:kern w:val="22"/>
                <w:szCs w:val="22"/>
                <w:u w:val="single"/>
                <w:lang w:val="es-ES"/>
              </w:rPr>
            </w:pPr>
            <w:r w:rsidRPr="002D2D0F">
              <w:rPr>
                <w:kern w:val="22"/>
                <w:lang w:val="es-ES"/>
              </w:rPr>
              <w:t>ORIGINAL:  INGLÉS</w:t>
            </w:r>
          </w:p>
        </w:tc>
      </w:tr>
    </w:tbl>
    <w:p w:rsidR="00DF05A3" w:rsidRPr="002D2D0F" w:rsidRDefault="00DF05A3" w:rsidP="00DF05A3">
      <w:pPr>
        <w:pStyle w:val="meetingname"/>
        <w:ind w:right="4398"/>
        <w:rPr>
          <w:kern w:val="22"/>
          <w:szCs w:val="22"/>
          <w:lang w:val="es-ES"/>
        </w:rPr>
      </w:pPr>
      <w:bookmarkStart w:id="0" w:name="Meeting"/>
      <w:r w:rsidRPr="002D2D0F">
        <w:rPr>
          <w:rStyle w:val="meetingname"/>
          <w:kern w:val="22"/>
          <w:lang w:val="es-ES"/>
        </w:rPr>
        <w:t>ÓRGANO SUBSIDIARIO DE ASESORAMIENTO CIENTÍFICO, TÉCNICO Y TECNOLÓGICO</w:t>
      </w:r>
      <w:bookmarkEnd w:id="0"/>
    </w:p>
    <w:p w:rsidR="00DF05A3" w:rsidRPr="002D2D0F" w:rsidRDefault="00DF05A3" w:rsidP="00DF05A3">
      <w:pPr>
        <w:suppressLineNumbers/>
        <w:suppressAutoHyphens/>
        <w:kinsoku w:val="0"/>
        <w:overflowPunct w:val="0"/>
        <w:autoSpaceDE w:val="0"/>
        <w:autoSpaceDN w:val="0"/>
        <w:rPr>
          <w:kern w:val="22"/>
          <w:lang w:val="es-ES"/>
        </w:rPr>
      </w:pPr>
      <w:r w:rsidRPr="002D2D0F">
        <w:rPr>
          <w:kern w:val="22"/>
          <w:lang w:val="es-ES"/>
        </w:rPr>
        <w:t>Vigésima segunda reunión</w:t>
      </w:r>
    </w:p>
    <w:p w:rsidR="00DF05A3" w:rsidRPr="002D2D0F" w:rsidRDefault="00DF05A3" w:rsidP="00DF05A3">
      <w:pPr>
        <w:rPr>
          <w:snapToGrid w:val="0"/>
          <w:kern w:val="22"/>
          <w:szCs w:val="22"/>
          <w:lang w:val="es-ES"/>
        </w:rPr>
      </w:pPr>
      <w:r w:rsidRPr="002D2D0F">
        <w:rPr>
          <w:kern w:val="22"/>
          <w:lang w:val="es-ES"/>
        </w:rPr>
        <w:t xml:space="preserve">Montreal (Canadá), 2 a 7 de julio de </w:t>
      </w:r>
      <w:r w:rsidRPr="002D2D0F">
        <w:rPr>
          <w:rStyle w:val="Normal"/>
          <w:kern w:val="22"/>
          <w:lang w:val="es-ES"/>
        </w:rPr>
        <w:t>2018</w:t>
      </w:r>
    </w:p>
    <w:p w:rsidR="006F331B" w:rsidRPr="002D2D0F" w:rsidRDefault="00DF05A3" w:rsidP="00DF05A3">
      <w:pPr>
        <w:suppressLineNumbers/>
        <w:suppressAutoHyphens/>
        <w:kinsoku w:val="0"/>
        <w:overflowPunct w:val="0"/>
        <w:autoSpaceDE w:val="0"/>
        <w:autoSpaceDN w:val="0"/>
        <w:adjustRightInd w:val="0"/>
        <w:snapToGrid w:val="0"/>
        <w:rPr>
          <w:snapToGrid w:val="0"/>
          <w:kern w:val="22"/>
          <w:szCs w:val="22"/>
          <w:lang w:val="es-ES" w:eastAsia="nb-NO"/>
        </w:rPr>
      </w:pPr>
      <w:r w:rsidRPr="002D2D0F">
        <w:rPr>
          <w:rStyle w:val="Header"/>
          <w:kern w:val="22"/>
          <w:lang w:val="es-ES"/>
        </w:rPr>
        <w:t xml:space="preserve">Tema </w:t>
      </w:r>
      <w:r w:rsidR="006F331B" w:rsidRPr="002D2D0F">
        <w:rPr>
          <w:snapToGrid w:val="0"/>
          <w:kern w:val="22"/>
          <w:szCs w:val="22"/>
          <w:lang w:val="es-ES" w:eastAsia="nb-NO"/>
        </w:rPr>
        <w:t xml:space="preserve">10 </w:t>
      </w:r>
      <w:r w:rsidRPr="002D2D0F">
        <w:rPr>
          <w:rStyle w:val="Header"/>
          <w:kern w:val="22"/>
          <w:lang w:val="es-ES"/>
        </w:rPr>
        <w:t>del programa provisional</w:t>
      </w:r>
      <w:r w:rsidR="006F331B" w:rsidRPr="002D2D0F">
        <w:rPr>
          <w:rStyle w:val="FootnoteReference"/>
          <w:snapToGrid w:val="0"/>
          <w:kern w:val="22"/>
          <w:sz w:val="22"/>
          <w:szCs w:val="22"/>
          <w:u w:val="none"/>
          <w:lang w:val="es-ES" w:eastAsia="nb-NO"/>
        </w:rPr>
        <w:footnoteReference w:customMarkFollows="1" w:id="1"/>
        <w:t>*</w:t>
      </w:r>
    </w:p>
    <w:p w:rsidR="006F331B" w:rsidRPr="002D2D0F" w:rsidRDefault="00DF05A3" w:rsidP="00584A8D">
      <w:pPr>
        <w:pStyle w:val="Heading1"/>
        <w:suppressLineNumbers/>
        <w:tabs>
          <w:tab w:val="clear" w:pos="720"/>
        </w:tabs>
        <w:suppressAutoHyphens/>
        <w:kinsoku w:val="0"/>
        <w:overflowPunct w:val="0"/>
        <w:autoSpaceDE w:val="0"/>
        <w:autoSpaceDN w:val="0"/>
        <w:adjustRightInd w:val="0"/>
        <w:snapToGrid w:val="0"/>
        <w:rPr>
          <w:bCs/>
          <w:snapToGrid w:val="0"/>
          <w:kern w:val="22"/>
          <w:szCs w:val="22"/>
          <w:lang w:val="es-ES"/>
        </w:rPr>
      </w:pPr>
      <w:r w:rsidRPr="002D2D0F">
        <w:rPr>
          <w:bCs/>
          <w:snapToGrid w:val="0"/>
          <w:kern w:val="22"/>
          <w:szCs w:val="22"/>
          <w:lang w:val="es-ES"/>
        </w:rPr>
        <w:t>ESPECIES EXÓTICAS INVASORAS</w:t>
      </w:r>
    </w:p>
    <w:p w:rsidR="006F331B" w:rsidRPr="002D2D0F" w:rsidRDefault="006F331B" w:rsidP="00DF05A3">
      <w:pPr>
        <w:pStyle w:val="Heading2"/>
        <w:suppressLineNumbers/>
        <w:tabs>
          <w:tab w:val="clear" w:pos="720"/>
        </w:tabs>
        <w:suppressAutoHyphens/>
        <w:kinsoku w:val="0"/>
        <w:overflowPunct w:val="0"/>
        <w:autoSpaceDE w:val="0"/>
        <w:autoSpaceDN w:val="0"/>
        <w:adjustRightInd w:val="0"/>
        <w:snapToGrid w:val="0"/>
        <w:rPr>
          <w:b w:val="0"/>
          <w:i/>
          <w:snapToGrid w:val="0"/>
          <w:kern w:val="22"/>
          <w:szCs w:val="22"/>
          <w:lang w:val="es-ES"/>
        </w:rPr>
      </w:pPr>
      <w:r w:rsidRPr="002D2D0F">
        <w:rPr>
          <w:b w:val="0"/>
          <w:i/>
          <w:snapToGrid w:val="0"/>
          <w:kern w:val="22"/>
          <w:szCs w:val="22"/>
          <w:lang w:val="es-ES"/>
        </w:rPr>
        <w:t>Not</w:t>
      </w:r>
      <w:r w:rsidR="00DF05A3" w:rsidRPr="002D2D0F">
        <w:rPr>
          <w:b w:val="0"/>
          <w:i/>
          <w:snapToGrid w:val="0"/>
          <w:kern w:val="22"/>
          <w:szCs w:val="22"/>
          <w:lang w:val="es-ES"/>
        </w:rPr>
        <w:t>a</w:t>
      </w:r>
      <w:r w:rsidRPr="002D2D0F">
        <w:rPr>
          <w:b w:val="0"/>
          <w:i/>
          <w:snapToGrid w:val="0"/>
          <w:kern w:val="22"/>
          <w:szCs w:val="22"/>
          <w:lang w:val="es-ES"/>
        </w:rPr>
        <w:t xml:space="preserve"> </w:t>
      </w:r>
      <w:r w:rsidR="00DF05A3" w:rsidRPr="002D2D0F">
        <w:rPr>
          <w:b w:val="0"/>
          <w:i/>
          <w:snapToGrid w:val="0"/>
          <w:kern w:val="22"/>
          <w:szCs w:val="22"/>
          <w:lang w:val="es-ES"/>
        </w:rPr>
        <w:t>d</w:t>
      </w:r>
      <w:r w:rsidRPr="002D2D0F">
        <w:rPr>
          <w:b w:val="0"/>
          <w:i/>
          <w:snapToGrid w:val="0"/>
          <w:kern w:val="22"/>
          <w:szCs w:val="22"/>
          <w:lang w:val="es-ES"/>
        </w:rPr>
        <w:t>e</w:t>
      </w:r>
      <w:r w:rsidR="00DF05A3" w:rsidRPr="002D2D0F">
        <w:rPr>
          <w:b w:val="0"/>
          <w:i/>
          <w:snapToGrid w:val="0"/>
          <w:kern w:val="22"/>
          <w:szCs w:val="22"/>
          <w:lang w:val="es-ES"/>
        </w:rPr>
        <w:t xml:space="preserve"> la</w:t>
      </w:r>
      <w:r w:rsidRPr="002D2D0F">
        <w:rPr>
          <w:b w:val="0"/>
          <w:i/>
          <w:snapToGrid w:val="0"/>
          <w:kern w:val="22"/>
          <w:szCs w:val="22"/>
          <w:lang w:val="es-ES"/>
        </w:rPr>
        <w:t xml:space="preserve"> Secretar</w:t>
      </w:r>
      <w:r w:rsidR="00DF05A3" w:rsidRPr="002D2D0F">
        <w:rPr>
          <w:b w:val="0"/>
          <w:i/>
          <w:snapToGrid w:val="0"/>
          <w:kern w:val="22"/>
          <w:szCs w:val="22"/>
          <w:lang w:val="es-ES"/>
        </w:rPr>
        <w:t>ia Ejecutiva</w:t>
      </w:r>
    </w:p>
    <w:p w:rsidR="006F331B" w:rsidRPr="002D2D0F" w:rsidRDefault="006F331B" w:rsidP="00DF05A3">
      <w:pPr>
        <w:pStyle w:val="Heading1"/>
        <w:suppressLineNumbers/>
        <w:tabs>
          <w:tab w:val="clear" w:pos="720"/>
        </w:tabs>
        <w:suppressAutoHyphens/>
        <w:kinsoku w:val="0"/>
        <w:overflowPunct w:val="0"/>
        <w:autoSpaceDE w:val="0"/>
        <w:autoSpaceDN w:val="0"/>
        <w:adjustRightInd w:val="0"/>
        <w:snapToGrid w:val="0"/>
        <w:spacing w:before="120"/>
        <w:rPr>
          <w:bCs/>
          <w:snapToGrid w:val="0"/>
          <w:kern w:val="22"/>
          <w:szCs w:val="22"/>
          <w:lang w:val="es-ES"/>
        </w:rPr>
      </w:pPr>
      <w:r w:rsidRPr="002D2D0F">
        <w:rPr>
          <w:bCs/>
          <w:caps w:val="0"/>
          <w:snapToGrid w:val="0"/>
          <w:kern w:val="22"/>
          <w:szCs w:val="22"/>
          <w:lang w:val="es-ES"/>
        </w:rPr>
        <w:t>A</w:t>
      </w:r>
      <w:r w:rsidR="00DF05A3" w:rsidRPr="002D2D0F">
        <w:rPr>
          <w:bCs/>
          <w:caps w:val="0"/>
          <w:snapToGrid w:val="0"/>
          <w:kern w:val="22"/>
          <w:szCs w:val="22"/>
          <w:lang w:val="es-ES"/>
        </w:rPr>
        <w:t>NTECE</w:t>
      </w:r>
      <w:r w:rsidRPr="002D2D0F">
        <w:rPr>
          <w:bCs/>
          <w:caps w:val="0"/>
          <w:snapToGrid w:val="0"/>
          <w:kern w:val="22"/>
          <w:szCs w:val="22"/>
          <w:lang w:val="es-ES"/>
        </w:rPr>
        <w:t>D</w:t>
      </w:r>
      <w:r w:rsidR="00DF05A3" w:rsidRPr="002D2D0F">
        <w:rPr>
          <w:bCs/>
          <w:caps w:val="0"/>
          <w:snapToGrid w:val="0"/>
          <w:kern w:val="22"/>
          <w:szCs w:val="22"/>
          <w:lang w:val="es-ES"/>
        </w:rPr>
        <w:t>ENTES</w:t>
      </w:r>
    </w:p>
    <w:p w:rsidR="00912FE6" w:rsidRPr="002D2D0F" w:rsidRDefault="00912FE6" w:rsidP="0082572C">
      <w:pPr>
        <w:numPr>
          <w:ilvl w:val="0"/>
          <w:numId w:val="6"/>
        </w:numPr>
        <w:suppressLineNumbers/>
        <w:suppressAutoHyphens/>
        <w:kinsoku w:val="0"/>
        <w:overflowPunct w:val="0"/>
        <w:autoSpaceDE w:val="0"/>
        <w:autoSpaceDN w:val="0"/>
        <w:adjustRightInd w:val="0"/>
        <w:snapToGrid w:val="0"/>
        <w:ind w:left="0" w:firstLine="0"/>
        <w:rPr>
          <w:rFonts w:eastAsia="Yu Mincho"/>
          <w:lang w:val="es-ES"/>
        </w:rPr>
      </w:pPr>
      <w:r w:rsidRPr="002D2D0F">
        <w:rPr>
          <w:kern w:val="22"/>
          <w:lang w:val="es-ES"/>
        </w:rPr>
        <w:t>En su 12ª</w:t>
      </w:r>
      <w:r w:rsidR="0082572C" w:rsidRPr="002D2D0F">
        <w:rPr>
          <w:kern w:val="22"/>
          <w:lang w:val="es-ES"/>
        </w:rPr>
        <w:t> </w:t>
      </w:r>
      <w:r w:rsidRPr="002D2D0F">
        <w:rPr>
          <w:kern w:val="22"/>
          <w:lang w:val="es-ES"/>
        </w:rPr>
        <w:t xml:space="preserve">reunión la Conferencia de las Partes adoptó la </w:t>
      </w:r>
      <w:r w:rsidR="0082572C" w:rsidRPr="002D2D0F">
        <w:rPr>
          <w:kern w:val="22"/>
          <w:lang w:val="es-ES"/>
        </w:rPr>
        <w:t>O</w:t>
      </w:r>
      <w:r w:rsidRPr="002D2D0F">
        <w:rPr>
          <w:kern w:val="22"/>
          <w:lang w:val="es-ES"/>
        </w:rPr>
        <w:t xml:space="preserve">rientación </w:t>
      </w:r>
      <w:r w:rsidR="0082572C" w:rsidRPr="002D2D0F">
        <w:rPr>
          <w:kern w:val="22"/>
          <w:lang w:val="es-ES"/>
        </w:rPr>
        <w:t>V</w:t>
      </w:r>
      <w:r w:rsidRPr="002D2D0F">
        <w:rPr>
          <w:kern w:val="22"/>
          <w:lang w:val="es-ES"/>
        </w:rPr>
        <w:t xml:space="preserve">oluntaria relativa a la </w:t>
      </w:r>
      <w:r w:rsidR="0082572C" w:rsidRPr="002D2D0F">
        <w:rPr>
          <w:kern w:val="22"/>
          <w:lang w:val="es-ES"/>
        </w:rPr>
        <w:t>E</w:t>
      </w:r>
      <w:r w:rsidRPr="002D2D0F">
        <w:rPr>
          <w:kern w:val="22"/>
          <w:lang w:val="es-ES"/>
        </w:rPr>
        <w:t xml:space="preserve">laboración y </w:t>
      </w:r>
      <w:r w:rsidR="0082572C" w:rsidRPr="002D2D0F">
        <w:rPr>
          <w:kern w:val="22"/>
          <w:lang w:val="es-ES"/>
        </w:rPr>
        <w:t>A</w:t>
      </w:r>
      <w:r w:rsidRPr="002D2D0F">
        <w:rPr>
          <w:kern w:val="22"/>
          <w:lang w:val="es-ES"/>
        </w:rPr>
        <w:t xml:space="preserve">plicación de </w:t>
      </w:r>
      <w:r w:rsidR="0082572C" w:rsidRPr="002D2D0F">
        <w:rPr>
          <w:kern w:val="22"/>
          <w:lang w:val="es-ES"/>
        </w:rPr>
        <w:t>M</w:t>
      </w:r>
      <w:r w:rsidRPr="002D2D0F">
        <w:rPr>
          <w:kern w:val="22"/>
          <w:lang w:val="es-ES"/>
        </w:rPr>
        <w:t xml:space="preserve">edidas para </w:t>
      </w:r>
      <w:r w:rsidR="0082572C" w:rsidRPr="002D2D0F">
        <w:rPr>
          <w:kern w:val="22"/>
          <w:lang w:val="es-ES"/>
        </w:rPr>
        <w:t>A</w:t>
      </w:r>
      <w:r w:rsidRPr="002D2D0F">
        <w:rPr>
          <w:kern w:val="22"/>
          <w:lang w:val="es-ES"/>
        </w:rPr>
        <w:t xml:space="preserve">bordar los </w:t>
      </w:r>
      <w:r w:rsidR="0082572C" w:rsidRPr="002D2D0F">
        <w:rPr>
          <w:kern w:val="22"/>
          <w:lang w:val="es-ES"/>
        </w:rPr>
        <w:t>R</w:t>
      </w:r>
      <w:r w:rsidRPr="002D2D0F">
        <w:rPr>
          <w:kern w:val="22"/>
          <w:lang w:val="es-ES"/>
        </w:rPr>
        <w:t xml:space="preserve">iesgos relacionados con la </w:t>
      </w:r>
      <w:r w:rsidR="0082572C" w:rsidRPr="002D2D0F">
        <w:rPr>
          <w:kern w:val="22"/>
          <w:lang w:val="es-ES"/>
        </w:rPr>
        <w:t>I</w:t>
      </w:r>
      <w:r w:rsidRPr="002D2D0F">
        <w:rPr>
          <w:kern w:val="22"/>
          <w:lang w:val="es-ES"/>
        </w:rPr>
        <w:t xml:space="preserve">ntroducción de </w:t>
      </w:r>
      <w:r w:rsidR="0082572C" w:rsidRPr="002D2D0F">
        <w:rPr>
          <w:kern w:val="22"/>
          <w:lang w:val="es-ES"/>
        </w:rPr>
        <w:t>E</w:t>
      </w:r>
      <w:r w:rsidRPr="002D2D0F">
        <w:rPr>
          <w:kern w:val="22"/>
          <w:lang w:val="es-ES"/>
        </w:rPr>
        <w:t xml:space="preserve">species </w:t>
      </w:r>
      <w:r w:rsidR="0082572C" w:rsidRPr="002D2D0F">
        <w:rPr>
          <w:kern w:val="22"/>
          <w:lang w:val="es-ES"/>
        </w:rPr>
        <w:t>E</w:t>
      </w:r>
      <w:r w:rsidRPr="002D2D0F">
        <w:rPr>
          <w:kern w:val="22"/>
          <w:lang w:val="es-ES"/>
        </w:rPr>
        <w:t xml:space="preserve">xóticas como </w:t>
      </w:r>
      <w:r w:rsidR="0082572C" w:rsidRPr="002D2D0F">
        <w:rPr>
          <w:kern w:val="22"/>
          <w:lang w:val="es-ES"/>
        </w:rPr>
        <w:t>M</w:t>
      </w:r>
      <w:r w:rsidRPr="002D2D0F">
        <w:rPr>
          <w:kern w:val="22"/>
          <w:lang w:val="es-ES"/>
        </w:rPr>
        <w:t xml:space="preserve">ascotas, </w:t>
      </w:r>
      <w:r w:rsidR="0082572C" w:rsidRPr="002D2D0F">
        <w:rPr>
          <w:kern w:val="22"/>
          <w:lang w:val="es-ES"/>
        </w:rPr>
        <w:t>E</w:t>
      </w:r>
      <w:r w:rsidRPr="002D2D0F">
        <w:rPr>
          <w:kern w:val="22"/>
          <w:lang w:val="es-ES"/>
        </w:rPr>
        <w:t xml:space="preserve">species de </w:t>
      </w:r>
      <w:r w:rsidR="0082572C" w:rsidRPr="002D2D0F">
        <w:rPr>
          <w:kern w:val="22"/>
          <w:lang w:val="es-ES"/>
        </w:rPr>
        <w:t>A</w:t>
      </w:r>
      <w:r w:rsidRPr="002D2D0F">
        <w:rPr>
          <w:kern w:val="22"/>
          <w:lang w:val="es-ES"/>
        </w:rPr>
        <w:t xml:space="preserve">cuarios y </w:t>
      </w:r>
      <w:r w:rsidR="0082572C" w:rsidRPr="002D2D0F">
        <w:rPr>
          <w:kern w:val="22"/>
          <w:lang w:val="es-ES"/>
        </w:rPr>
        <w:t>T</w:t>
      </w:r>
      <w:r w:rsidRPr="002D2D0F">
        <w:rPr>
          <w:kern w:val="22"/>
          <w:lang w:val="es-ES"/>
        </w:rPr>
        <w:t xml:space="preserve">errarios y como </w:t>
      </w:r>
      <w:r w:rsidR="0082572C" w:rsidRPr="002D2D0F">
        <w:rPr>
          <w:kern w:val="22"/>
          <w:lang w:val="es-ES"/>
        </w:rPr>
        <w:t>C</w:t>
      </w:r>
      <w:r w:rsidRPr="002D2D0F">
        <w:rPr>
          <w:kern w:val="22"/>
          <w:lang w:val="es-ES"/>
        </w:rPr>
        <w:t xml:space="preserve">arnada </w:t>
      </w:r>
      <w:r w:rsidR="0082572C" w:rsidRPr="002D2D0F">
        <w:rPr>
          <w:kern w:val="22"/>
          <w:lang w:val="es-ES"/>
        </w:rPr>
        <w:t>V</w:t>
      </w:r>
      <w:r w:rsidRPr="002D2D0F">
        <w:rPr>
          <w:kern w:val="22"/>
          <w:lang w:val="es-ES"/>
        </w:rPr>
        <w:t xml:space="preserve">iva y </w:t>
      </w:r>
      <w:r w:rsidR="0082572C" w:rsidRPr="002D2D0F">
        <w:rPr>
          <w:kern w:val="22"/>
          <w:lang w:val="es-ES"/>
        </w:rPr>
        <w:t>A</w:t>
      </w:r>
      <w:r w:rsidRPr="002D2D0F">
        <w:rPr>
          <w:kern w:val="22"/>
          <w:lang w:val="es-ES"/>
        </w:rPr>
        <w:t xml:space="preserve">limento </w:t>
      </w:r>
      <w:r w:rsidR="0082572C" w:rsidRPr="002D2D0F">
        <w:rPr>
          <w:kern w:val="22"/>
          <w:lang w:val="es-ES"/>
        </w:rPr>
        <w:t>V</w:t>
      </w:r>
      <w:r w:rsidRPr="002D2D0F">
        <w:rPr>
          <w:kern w:val="22"/>
          <w:lang w:val="es-ES"/>
        </w:rPr>
        <w:t>ivo</w:t>
      </w:r>
      <w:r w:rsidRPr="002D2D0F">
        <w:rPr>
          <w:rStyle w:val="FootnoteReference"/>
          <w:kern w:val="22"/>
          <w:sz w:val="22"/>
          <w:szCs w:val="22"/>
          <w:u w:val="none"/>
          <w:vertAlign w:val="superscript"/>
          <w:lang w:val="es-ES"/>
        </w:rPr>
        <w:footnoteReference w:id="2"/>
      </w:r>
      <w:r w:rsidRPr="002D2D0F">
        <w:rPr>
          <w:kern w:val="22"/>
          <w:lang w:val="es-ES"/>
        </w:rPr>
        <w:t>. En su 13ª</w:t>
      </w:r>
      <w:r w:rsidR="0082572C" w:rsidRPr="002D2D0F">
        <w:rPr>
          <w:kern w:val="22"/>
          <w:lang w:val="es-ES"/>
        </w:rPr>
        <w:t> </w:t>
      </w:r>
      <w:r w:rsidRPr="002D2D0F">
        <w:rPr>
          <w:kern w:val="22"/>
          <w:lang w:val="es-ES"/>
        </w:rPr>
        <w:t xml:space="preserve">reunión pidió al Secretario Ejecutivo que preparara un proyecto de orientación complementaria para incorporar las introducciones no intencionales de especies exóticas invasoras, </w:t>
      </w:r>
      <w:r w:rsidR="006F5C90" w:rsidRPr="002D2D0F">
        <w:rPr>
          <w:kern w:val="22"/>
          <w:lang w:val="es-ES"/>
        </w:rPr>
        <w:t>mediante</w:t>
      </w:r>
      <w:r w:rsidRPr="002D2D0F">
        <w:rPr>
          <w:kern w:val="22"/>
          <w:lang w:val="es-ES"/>
        </w:rPr>
        <w:t xml:space="preserve"> “autoestopistas” o contaminantes, y materiales asociados con el comercio de especies exóticas invasoras, como material de embalaje, sustrato o alimento, para que fuera examinado por el Órgano Subsidiario de Asesoramiento Científico, Técnico y Tecnológico</w:t>
      </w:r>
      <w:r w:rsidRPr="002D2D0F">
        <w:rPr>
          <w:rStyle w:val="FootnoteReference"/>
          <w:kern w:val="22"/>
          <w:sz w:val="22"/>
          <w:szCs w:val="22"/>
          <w:u w:val="none"/>
          <w:vertAlign w:val="superscript"/>
          <w:lang w:val="es-ES"/>
        </w:rPr>
        <w:footnoteReference w:id="3"/>
      </w:r>
      <w:r w:rsidRPr="002D2D0F">
        <w:rPr>
          <w:kern w:val="22"/>
          <w:lang w:val="es-ES"/>
        </w:rPr>
        <w:t>.</w:t>
      </w:r>
    </w:p>
    <w:p w:rsidR="00912FE6" w:rsidRPr="002D2D0F" w:rsidRDefault="00912FE6" w:rsidP="0082572C">
      <w:pPr>
        <w:numPr>
          <w:ilvl w:val="0"/>
          <w:numId w:val="6"/>
        </w:numPr>
        <w:suppressLineNumbers/>
        <w:suppressAutoHyphens/>
        <w:kinsoku w:val="0"/>
        <w:overflowPunct w:val="0"/>
        <w:autoSpaceDE w:val="0"/>
        <w:autoSpaceDN w:val="0"/>
        <w:adjustRightInd w:val="0"/>
        <w:snapToGrid w:val="0"/>
        <w:spacing w:before="120" w:after="120"/>
        <w:ind w:left="0" w:firstLine="0"/>
        <w:rPr>
          <w:rFonts w:eastAsia="Yu Mincho"/>
          <w:kern w:val="22"/>
          <w:lang w:val="es-ES"/>
        </w:rPr>
      </w:pPr>
      <w:r w:rsidRPr="002D2D0F">
        <w:rPr>
          <w:kern w:val="22"/>
          <w:lang w:val="es-ES"/>
        </w:rPr>
        <w:t>En esa misma decisión, la Conferencia de las Partes pidió también al Secretario Ejecutivo que:</w:t>
      </w:r>
    </w:p>
    <w:p w:rsidR="00912FE6" w:rsidRPr="002D2D0F" w:rsidRDefault="00912FE6" w:rsidP="00F61737">
      <w:pPr>
        <w:pStyle w:val="ListParagraph"/>
        <w:numPr>
          <w:ilvl w:val="0"/>
          <w:numId w:val="17"/>
        </w:numPr>
        <w:suppressLineNumbers/>
        <w:tabs>
          <w:tab w:val="clear" w:pos="720"/>
        </w:tabs>
        <w:suppressAutoHyphens/>
        <w:kinsoku w:val="0"/>
        <w:overflowPunct w:val="0"/>
        <w:autoSpaceDE w:val="0"/>
        <w:autoSpaceDN w:val="0"/>
        <w:adjustRightInd w:val="0"/>
        <w:snapToGrid w:val="0"/>
        <w:spacing w:before="120" w:after="120"/>
        <w:ind w:left="0" w:firstLine="720"/>
        <w:contextualSpacing w:val="0"/>
        <w:rPr>
          <w:rFonts w:eastAsia="Yu Mincho"/>
          <w:lang w:val="es-ES"/>
        </w:rPr>
      </w:pPr>
      <w:bookmarkStart w:id="1" w:name="_GoBack"/>
      <w:r w:rsidRPr="002D2D0F">
        <w:rPr>
          <w:kern w:val="22"/>
          <w:lang w:val="es-ES"/>
        </w:rPr>
        <w:t xml:space="preserve">explorara, en colaboración con diversas organizaciones internacionales, la necesidad de preparar herramientas u orientación para las Partes que pudieran servir a las autoridades aduaneras nacionales </w:t>
      </w:r>
      <w:r w:rsidR="008E713E" w:rsidRPr="002D2D0F">
        <w:rPr>
          <w:kern w:val="22"/>
          <w:lang w:val="es-ES"/>
        </w:rPr>
        <w:t>a la hora de</w:t>
      </w:r>
      <w:r w:rsidRPr="002D2D0F">
        <w:rPr>
          <w:kern w:val="22"/>
          <w:lang w:val="es-ES"/>
        </w:rPr>
        <w:t xml:space="preserve"> facilitar el control necesario de las especies exóticas vivas </w:t>
      </w:r>
      <w:r w:rsidR="008E713E" w:rsidRPr="002D2D0F">
        <w:rPr>
          <w:kern w:val="22"/>
          <w:lang w:val="es-ES"/>
        </w:rPr>
        <w:t>en el</w:t>
      </w:r>
      <w:r w:rsidRPr="002D2D0F">
        <w:rPr>
          <w:kern w:val="22"/>
          <w:lang w:val="es-ES"/>
        </w:rPr>
        <w:t xml:space="preserve"> comercio electrónico (párr.</w:t>
      </w:r>
      <w:r w:rsidR="008E713E" w:rsidRPr="002D2D0F">
        <w:rPr>
          <w:kern w:val="22"/>
          <w:lang w:val="es-ES"/>
        </w:rPr>
        <w:t> </w:t>
      </w:r>
      <w:r w:rsidRPr="002D2D0F">
        <w:rPr>
          <w:kern w:val="22"/>
          <w:lang w:val="es-ES"/>
        </w:rPr>
        <w:t xml:space="preserve">9 a)); </w:t>
      </w:r>
    </w:p>
    <w:bookmarkEnd w:id="1"/>
    <w:p w:rsidR="00BE1336" w:rsidRPr="002D2D0F" w:rsidRDefault="00BE1336" w:rsidP="00F61737">
      <w:pPr>
        <w:pStyle w:val="ListParagraph"/>
        <w:numPr>
          <w:ilvl w:val="0"/>
          <w:numId w:val="17"/>
        </w:numPr>
        <w:suppressLineNumbers/>
        <w:tabs>
          <w:tab w:val="clear" w:pos="720"/>
        </w:tabs>
        <w:suppressAutoHyphens/>
        <w:kinsoku w:val="0"/>
        <w:overflowPunct w:val="0"/>
        <w:autoSpaceDE w:val="0"/>
        <w:autoSpaceDN w:val="0"/>
        <w:adjustRightInd w:val="0"/>
        <w:snapToGrid w:val="0"/>
        <w:spacing w:before="120" w:after="120"/>
        <w:ind w:left="0" w:firstLine="720"/>
        <w:contextualSpacing w:val="0"/>
        <w:rPr>
          <w:kern w:val="22"/>
          <w:lang w:val="es-ES"/>
        </w:rPr>
      </w:pPr>
      <w:r w:rsidRPr="002D2D0F">
        <w:rPr>
          <w:kern w:val="22"/>
          <w:lang w:val="es-ES"/>
        </w:rPr>
        <w:t>identificar</w:t>
      </w:r>
      <w:r w:rsidR="00FA1547" w:rsidRPr="002D2D0F">
        <w:rPr>
          <w:kern w:val="22"/>
          <w:lang w:val="es-ES"/>
        </w:rPr>
        <w:t>a</w:t>
      </w:r>
      <w:r w:rsidRPr="002D2D0F">
        <w:rPr>
          <w:kern w:val="22"/>
          <w:lang w:val="es-ES"/>
        </w:rPr>
        <w:t xml:space="preserve"> opciones para complementar las normas para la evaluación de riesgos y gestión de riesgos para el uso de agentes de control biológico contra especies exóticas invasoras, incluso en medios acuáticos (párr. 16);</w:t>
      </w:r>
    </w:p>
    <w:p w:rsidR="00BE1336" w:rsidRPr="002D2D0F" w:rsidRDefault="00BE1336" w:rsidP="00F61737">
      <w:pPr>
        <w:pStyle w:val="ListParagraph"/>
        <w:numPr>
          <w:ilvl w:val="0"/>
          <w:numId w:val="17"/>
        </w:numPr>
        <w:suppressLineNumbers/>
        <w:tabs>
          <w:tab w:val="clear" w:pos="720"/>
        </w:tabs>
        <w:suppressAutoHyphens/>
        <w:kinsoku w:val="0"/>
        <w:overflowPunct w:val="0"/>
        <w:autoSpaceDE w:val="0"/>
        <w:autoSpaceDN w:val="0"/>
        <w:adjustRightInd w:val="0"/>
        <w:snapToGrid w:val="0"/>
        <w:spacing w:before="120" w:after="120"/>
        <w:ind w:left="0" w:firstLine="720"/>
        <w:contextualSpacing w:val="0"/>
        <w:rPr>
          <w:lang w:val="es-ES"/>
        </w:rPr>
      </w:pPr>
      <w:r w:rsidRPr="002D2D0F">
        <w:rPr>
          <w:kern w:val="22"/>
          <w:lang w:val="es-ES"/>
        </w:rPr>
        <w:t>siguiera recopilando o desarrollando y manteniendo herramientas de apoyo a la adopción de decisiones de una manera coordinada con la Plataforma Intergubernamental Científico-Normativa sobre Diversidad Biológica y Servicios de los Ecosistemas, y las di</w:t>
      </w:r>
      <w:r w:rsidR="006A79B8" w:rsidRPr="002D2D0F">
        <w:rPr>
          <w:kern w:val="22"/>
          <w:lang w:val="es-ES"/>
        </w:rPr>
        <w:t>vulga</w:t>
      </w:r>
      <w:r w:rsidRPr="002D2D0F">
        <w:rPr>
          <w:kern w:val="22"/>
          <w:lang w:val="es-ES"/>
        </w:rPr>
        <w:t>ra a través del mecanismo de facilitación del Convenio (párr 17 a));</w:t>
      </w:r>
    </w:p>
    <w:p w:rsidR="00BE1336" w:rsidRPr="002D2D0F" w:rsidRDefault="00BE1336" w:rsidP="00F61737">
      <w:pPr>
        <w:pStyle w:val="ListParagraph"/>
        <w:numPr>
          <w:ilvl w:val="0"/>
          <w:numId w:val="17"/>
        </w:numPr>
        <w:suppressLineNumbers/>
        <w:tabs>
          <w:tab w:val="clear" w:pos="720"/>
        </w:tabs>
        <w:suppressAutoHyphens/>
        <w:kinsoku w:val="0"/>
        <w:overflowPunct w:val="0"/>
        <w:autoSpaceDE w:val="0"/>
        <w:autoSpaceDN w:val="0"/>
        <w:adjustRightInd w:val="0"/>
        <w:snapToGrid w:val="0"/>
        <w:spacing w:before="120" w:after="120"/>
        <w:ind w:left="0" w:firstLine="720"/>
        <w:contextualSpacing w:val="0"/>
        <w:rPr>
          <w:lang w:val="es-ES"/>
        </w:rPr>
      </w:pPr>
      <w:r w:rsidRPr="002D2D0F">
        <w:rPr>
          <w:kern w:val="22"/>
          <w:lang w:val="es-ES"/>
        </w:rPr>
        <w:t>elaborara orientación técnica para realizar análisis de costo-beneficio y costo-eficacia para la gestión de especies exóticas invasoras (párr. 17 b));</w:t>
      </w:r>
    </w:p>
    <w:p w:rsidR="00BE1336" w:rsidRPr="002D2D0F" w:rsidRDefault="00BE1336" w:rsidP="00F61737">
      <w:pPr>
        <w:pStyle w:val="ListParagraph"/>
        <w:numPr>
          <w:ilvl w:val="0"/>
          <w:numId w:val="17"/>
        </w:numPr>
        <w:suppressLineNumbers/>
        <w:tabs>
          <w:tab w:val="clear" w:pos="720"/>
        </w:tabs>
        <w:suppressAutoHyphens/>
        <w:kinsoku w:val="0"/>
        <w:overflowPunct w:val="0"/>
        <w:autoSpaceDE w:val="0"/>
        <w:autoSpaceDN w:val="0"/>
        <w:adjustRightInd w:val="0"/>
        <w:snapToGrid w:val="0"/>
        <w:spacing w:before="120" w:after="120"/>
        <w:ind w:left="0" w:firstLine="720"/>
        <w:contextualSpacing w:val="0"/>
        <w:rPr>
          <w:lang w:val="es-ES"/>
        </w:rPr>
      </w:pPr>
      <w:r w:rsidRPr="002D2D0F">
        <w:rPr>
          <w:kern w:val="22"/>
          <w:lang w:val="es-ES"/>
        </w:rPr>
        <w:t>elaborara orientación sobre la gestión de especies exóticas invasoras que tomara en consideración los efectos del cambio climático, los desastres naturales y los cambios en el uso de la tierra en la gestión de las invasiones biológicas (párr. 17 c));</w:t>
      </w:r>
    </w:p>
    <w:p w:rsidR="00BE1336" w:rsidRPr="002D2D0F" w:rsidRDefault="00BE1336" w:rsidP="00F61737">
      <w:pPr>
        <w:pStyle w:val="ListParagraph"/>
        <w:numPr>
          <w:ilvl w:val="0"/>
          <w:numId w:val="17"/>
        </w:numPr>
        <w:suppressLineNumbers/>
        <w:tabs>
          <w:tab w:val="clear" w:pos="720"/>
        </w:tabs>
        <w:suppressAutoHyphens/>
        <w:kinsoku w:val="0"/>
        <w:overflowPunct w:val="0"/>
        <w:autoSpaceDE w:val="0"/>
        <w:autoSpaceDN w:val="0"/>
        <w:adjustRightInd w:val="0"/>
        <w:snapToGrid w:val="0"/>
        <w:spacing w:before="120" w:after="120"/>
        <w:ind w:left="0" w:firstLine="720"/>
        <w:contextualSpacing w:val="0"/>
        <w:rPr>
          <w:lang w:val="es-ES"/>
        </w:rPr>
      </w:pPr>
      <w:r w:rsidRPr="002D2D0F">
        <w:rPr>
          <w:kern w:val="22"/>
          <w:lang w:val="es-ES"/>
        </w:rPr>
        <w:lastRenderedPageBreak/>
        <w:t>recopilara información sobre las posibles consecuencias de las especies exóticas invasoras para los valores sociales, económicos y culturales (párr 17 d));</w:t>
      </w:r>
    </w:p>
    <w:p w:rsidR="00BE1336" w:rsidRPr="002D2D0F" w:rsidRDefault="00BE1336" w:rsidP="00F61737">
      <w:pPr>
        <w:pStyle w:val="ListParagraph"/>
        <w:numPr>
          <w:ilvl w:val="0"/>
          <w:numId w:val="17"/>
        </w:numPr>
        <w:suppressLineNumbers/>
        <w:tabs>
          <w:tab w:val="clear" w:pos="720"/>
        </w:tabs>
        <w:suppressAutoHyphens/>
        <w:kinsoku w:val="0"/>
        <w:overflowPunct w:val="0"/>
        <w:autoSpaceDE w:val="0"/>
        <w:autoSpaceDN w:val="0"/>
        <w:adjustRightInd w:val="0"/>
        <w:snapToGrid w:val="0"/>
        <w:spacing w:before="120" w:after="120"/>
        <w:ind w:left="0" w:firstLine="720"/>
        <w:contextualSpacing w:val="0"/>
        <w:rPr>
          <w:lang w:val="es-ES"/>
        </w:rPr>
      </w:pPr>
      <w:r w:rsidRPr="002D2D0F">
        <w:rPr>
          <w:kern w:val="22"/>
          <w:lang w:val="es-ES"/>
        </w:rPr>
        <w:t xml:space="preserve">divulgara la información solicitada en el párrafo 22 de la decisión </w:t>
      </w:r>
      <w:hyperlink r:id="rId11" w:history="1">
        <w:r w:rsidRPr="002D2D0F">
          <w:rPr>
            <w:rStyle w:val="Hyperlink"/>
            <w:kern w:val="22"/>
            <w:lang w:val="es-ES"/>
          </w:rPr>
          <w:t>XIII/13</w:t>
        </w:r>
      </w:hyperlink>
      <w:r w:rsidRPr="002D2D0F">
        <w:rPr>
          <w:kern w:val="22"/>
          <w:lang w:val="es-ES"/>
        </w:rPr>
        <w:t xml:space="preserve"> a través del mecanismo de facilitación y otros medios (párr. 23 a));</w:t>
      </w:r>
    </w:p>
    <w:p w:rsidR="00BE1336" w:rsidRPr="002D2D0F" w:rsidRDefault="00BE1336" w:rsidP="00F61737">
      <w:pPr>
        <w:pStyle w:val="ListParagraph"/>
        <w:numPr>
          <w:ilvl w:val="0"/>
          <w:numId w:val="17"/>
        </w:numPr>
        <w:suppressLineNumbers/>
        <w:tabs>
          <w:tab w:val="clear" w:pos="720"/>
        </w:tabs>
        <w:suppressAutoHyphens/>
        <w:kinsoku w:val="0"/>
        <w:overflowPunct w:val="0"/>
        <w:autoSpaceDE w:val="0"/>
        <w:autoSpaceDN w:val="0"/>
        <w:adjustRightInd w:val="0"/>
        <w:snapToGrid w:val="0"/>
        <w:spacing w:before="120" w:after="120"/>
        <w:ind w:left="0" w:firstLine="720"/>
        <w:contextualSpacing w:val="0"/>
        <w:rPr>
          <w:lang w:val="es-ES"/>
        </w:rPr>
      </w:pPr>
      <w:r w:rsidRPr="002D2D0F">
        <w:rPr>
          <w:kern w:val="22"/>
          <w:lang w:val="es-ES"/>
        </w:rPr>
        <w:t>continuara prestando apoyo para la recopilación de datos, la normalización, el intercambio y el acceso abierto en el plano mundial mediante la Asociación Mundial de Información sobre Especies Exóticas Invasoras (párr. 23 b));</w:t>
      </w:r>
    </w:p>
    <w:p w:rsidR="00BE1336" w:rsidRPr="002D2D0F" w:rsidRDefault="00BE1336" w:rsidP="00F61737">
      <w:pPr>
        <w:pStyle w:val="ListParagraph"/>
        <w:numPr>
          <w:ilvl w:val="0"/>
          <w:numId w:val="17"/>
        </w:numPr>
        <w:suppressLineNumbers/>
        <w:tabs>
          <w:tab w:val="clear" w:pos="720"/>
        </w:tabs>
        <w:suppressAutoHyphens/>
        <w:kinsoku w:val="0"/>
        <w:overflowPunct w:val="0"/>
        <w:autoSpaceDE w:val="0"/>
        <w:autoSpaceDN w:val="0"/>
        <w:adjustRightInd w:val="0"/>
        <w:snapToGrid w:val="0"/>
        <w:spacing w:before="120" w:after="120"/>
        <w:ind w:left="0" w:firstLine="720"/>
        <w:contextualSpacing w:val="0"/>
        <w:rPr>
          <w:kern w:val="22"/>
          <w:lang w:val="es-ES"/>
        </w:rPr>
      </w:pPr>
      <w:r w:rsidRPr="002D2D0F">
        <w:rPr>
          <w:kern w:val="22"/>
          <w:lang w:val="es-ES"/>
        </w:rPr>
        <w:t>inform</w:t>
      </w:r>
      <w:r w:rsidR="006A79B8" w:rsidRPr="002D2D0F">
        <w:rPr>
          <w:kern w:val="22"/>
          <w:lang w:val="es-ES"/>
        </w:rPr>
        <w:t>ara</w:t>
      </w:r>
      <w:r w:rsidRPr="002D2D0F">
        <w:rPr>
          <w:kern w:val="22"/>
          <w:lang w:val="es-ES"/>
        </w:rPr>
        <w:t xml:space="preserve"> sobre los avances al Órgano Subsidiario de Asesoramiento Científico, Técnico y Tecnológico en una reunión </w:t>
      </w:r>
      <w:r w:rsidR="006A79B8" w:rsidRPr="002D2D0F">
        <w:rPr>
          <w:kern w:val="22"/>
          <w:lang w:val="es-ES"/>
        </w:rPr>
        <w:t xml:space="preserve">celebrada </w:t>
      </w:r>
      <w:r w:rsidRPr="002D2D0F">
        <w:rPr>
          <w:kern w:val="22"/>
          <w:lang w:val="es-ES"/>
        </w:rPr>
        <w:t>a</w:t>
      </w:r>
      <w:r w:rsidR="006A79B8" w:rsidRPr="002D2D0F">
        <w:rPr>
          <w:kern w:val="22"/>
          <w:lang w:val="es-ES"/>
        </w:rPr>
        <w:t>ntes de</w:t>
      </w:r>
      <w:r w:rsidRPr="002D2D0F">
        <w:rPr>
          <w:kern w:val="22"/>
          <w:lang w:val="es-ES"/>
        </w:rPr>
        <w:t xml:space="preserve"> la 14ª reunión de la Conferencia de las Partes.</w:t>
      </w:r>
    </w:p>
    <w:p w:rsidR="00154709" w:rsidRPr="002D2D0F" w:rsidRDefault="00154709" w:rsidP="00D40C44">
      <w:pPr>
        <w:numPr>
          <w:ilvl w:val="0"/>
          <w:numId w:val="6"/>
        </w:numPr>
        <w:suppressLineNumbers/>
        <w:suppressAutoHyphens/>
        <w:kinsoku w:val="0"/>
        <w:overflowPunct w:val="0"/>
        <w:autoSpaceDE w:val="0"/>
        <w:autoSpaceDN w:val="0"/>
        <w:adjustRightInd w:val="0"/>
        <w:snapToGrid w:val="0"/>
        <w:spacing w:before="120" w:after="120"/>
        <w:ind w:left="0" w:firstLine="0"/>
        <w:rPr>
          <w:rFonts w:eastAsia="Yu Mincho"/>
          <w:kern w:val="22"/>
          <w:lang w:val="es-ES"/>
        </w:rPr>
      </w:pPr>
      <w:r w:rsidRPr="002D2D0F">
        <w:rPr>
          <w:kern w:val="22"/>
          <w:lang w:val="es-ES"/>
        </w:rPr>
        <w:t xml:space="preserve">En su decisión XIII/13, la Conferencia de las Partes invitó a organizaciones pertinentes, incluido el Grupo </w:t>
      </w:r>
      <w:r w:rsidR="00D40C44" w:rsidRPr="002D2D0F">
        <w:rPr>
          <w:kern w:val="22"/>
          <w:lang w:val="es-ES"/>
        </w:rPr>
        <w:t>Especialista</w:t>
      </w:r>
      <w:r w:rsidRPr="002D2D0F">
        <w:rPr>
          <w:kern w:val="22"/>
          <w:lang w:val="es-ES"/>
        </w:rPr>
        <w:t xml:space="preserve"> en Especies Invasoras de la Unión Internacional para la Conservación de la Naturaleza (GEE</w:t>
      </w:r>
      <w:r w:rsidR="00D40C44" w:rsidRPr="002D2D0F">
        <w:rPr>
          <w:kern w:val="22"/>
          <w:lang w:val="es-ES"/>
        </w:rPr>
        <w:t>I</w:t>
      </w:r>
      <w:r w:rsidRPr="002D2D0F">
        <w:rPr>
          <w:kern w:val="22"/>
          <w:lang w:val="es-ES"/>
        </w:rPr>
        <w:t xml:space="preserve">-UICN) y miembros de la Asociación Mundial de Información sobre Especies Exóticas </w:t>
      </w:r>
      <w:r w:rsidR="006A79B8" w:rsidRPr="002D2D0F">
        <w:rPr>
          <w:kern w:val="22"/>
          <w:lang w:val="es-ES"/>
        </w:rPr>
        <w:t>Invasoras</w:t>
      </w:r>
      <w:r w:rsidR="004F0525" w:rsidRPr="002D2D0F">
        <w:rPr>
          <w:kern w:val="22"/>
          <w:lang w:val="es-ES"/>
        </w:rPr>
        <w:t>,</w:t>
      </w:r>
      <w:r w:rsidR="006A79B8" w:rsidRPr="002D2D0F">
        <w:rPr>
          <w:kern w:val="22"/>
          <w:lang w:val="es-ES"/>
        </w:rPr>
        <w:t xml:space="preserve"> </w:t>
      </w:r>
      <w:r w:rsidR="004F0525" w:rsidRPr="002D2D0F">
        <w:rPr>
          <w:kern w:val="22"/>
          <w:lang w:val="es-ES"/>
        </w:rPr>
        <w:t>así como</w:t>
      </w:r>
      <w:r w:rsidRPr="002D2D0F">
        <w:rPr>
          <w:kern w:val="22"/>
          <w:lang w:val="es-ES"/>
        </w:rPr>
        <w:t xml:space="preserve"> otras organizaciones que gestion</w:t>
      </w:r>
      <w:r w:rsidR="004F0525" w:rsidRPr="002D2D0F">
        <w:rPr>
          <w:kern w:val="22"/>
          <w:lang w:val="es-ES"/>
        </w:rPr>
        <w:t>e</w:t>
      </w:r>
      <w:r w:rsidRPr="002D2D0F">
        <w:rPr>
          <w:kern w:val="22"/>
          <w:lang w:val="es-ES"/>
        </w:rPr>
        <w:t>n bases de datos sobre el comercio de animales y plantas silvestres</w:t>
      </w:r>
      <w:r w:rsidR="006A79B8" w:rsidRPr="002D2D0F">
        <w:rPr>
          <w:kern w:val="22"/>
          <w:lang w:val="es-ES"/>
        </w:rPr>
        <w:t>,</w:t>
      </w:r>
      <w:r w:rsidRPr="002D2D0F">
        <w:rPr>
          <w:kern w:val="22"/>
          <w:lang w:val="es-ES"/>
        </w:rPr>
        <w:t xml:space="preserve"> a que continuaran su labor </w:t>
      </w:r>
      <w:r w:rsidR="004F0525" w:rsidRPr="002D2D0F">
        <w:rPr>
          <w:kern w:val="22"/>
          <w:lang w:val="es-ES"/>
        </w:rPr>
        <w:t xml:space="preserve">dirigida a </w:t>
      </w:r>
      <w:r w:rsidRPr="002D2D0F">
        <w:rPr>
          <w:kern w:val="22"/>
          <w:lang w:val="es-ES"/>
        </w:rPr>
        <w:t>desarrolla</w:t>
      </w:r>
      <w:r w:rsidR="004F0525" w:rsidRPr="002D2D0F">
        <w:rPr>
          <w:kern w:val="22"/>
          <w:lang w:val="es-ES"/>
        </w:rPr>
        <w:t>r</w:t>
      </w:r>
      <w:r w:rsidRPr="002D2D0F">
        <w:rPr>
          <w:kern w:val="22"/>
          <w:lang w:val="es-ES"/>
        </w:rPr>
        <w:t xml:space="preserve"> metodologías para establecer prioridades en las vías de introducción de las especies exóticas invasoras y caracterizar riesgos y a que facilitaran el intercambio de información relacionada con especies exóticas invasoras (párrs. 6 y 20).</w:t>
      </w:r>
    </w:p>
    <w:p w:rsidR="002A4A46" w:rsidRPr="002D2D0F" w:rsidRDefault="00FD0481" w:rsidP="006A4234">
      <w:pPr>
        <w:numPr>
          <w:ilvl w:val="0"/>
          <w:numId w:val="6"/>
        </w:numPr>
        <w:suppressLineNumbers/>
        <w:suppressAutoHyphens/>
        <w:kinsoku w:val="0"/>
        <w:overflowPunct w:val="0"/>
        <w:autoSpaceDE w:val="0"/>
        <w:autoSpaceDN w:val="0"/>
        <w:adjustRightInd w:val="0"/>
        <w:snapToGrid w:val="0"/>
        <w:spacing w:before="120" w:after="120"/>
        <w:ind w:left="0" w:firstLine="0"/>
        <w:rPr>
          <w:rFonts w:eastAsia="Yu Mincho"/>
          <w:b/>
          <w:lang w:val="es-ES"/>
        </w:rPr>
      </w:pPr>
      <w:r w:rsidRPr="002D2D0F">
        <w:rPr>
          <w:kern w:val="22"/>
          <w:lang w:val="es-ES"/>
        </w:rPr>
        <w:t xml:space="preserve">En respuesta a estos pedidos, la Secretaría </w:t>
      </w:r>
      <w:r w:rsidR="004F0525" w:rsidRPr="002D2D0F">
        <w:rPr>
          <w:kern w:val="22"/>
          <w:lang w:val="es-ES"/>
        </w:rPr>
        <w:t>pidió</w:t>
      </w:r>
      <w:r w:rsidRPr="002D2D0F">
        <w:rPr>
          <w:kern w:val="22"/>
          <w:lang w:val="es-ES"/>
        </w:rPr>
        <w:t xml:space="preserve"> </w:t>
      </w:r>
      <w:r w:rsidR="004F0525" w:rsidRPr="002D2D0F">
        <w:rPr>
          <w:kern w:val="22"/>
          <w:lang w:val="es-ES"/>
        </w:rPr>
        <w:t xml:space="preserve">a las Partes y a observadores </w:t>
      </w:r>
      <w:r w:rsidRPr="002D2D0F">
        <w:rPr>
          <w:kern w:val="22"/>
          <w:lang w:val="es-ES"/>
        </w:rPr>
        <w:t>información y perspectivas sobre las cuestiones señaladas anteriormente en la presente</w:t>
      </w:r>
      <w:r w:rsidRPr="002D2D0F">
        <w:rPr>
          <w:rStyle w:val="FootnoteReference"/>
          <w:rFonts w:eastAsia="Yu Mincho"/>
          <w:kern w:val="22"/>
          <w:sz w:val="22"/>
          <w:szCs w:val="22"/>
          <w:u w:val="none"/>
          <w:vertAlign w:val="superscript"/>
          <w:lang w:val="es-ES"/>
        </w:rPr>
        <w:footnoteReference w:id="4"/>
      </w:r>
      <w:r w:rsidRPr="002D2D0F">
        <w:rPr>
          <w:kern w:val="22"/>
          <w:lang w:val="es-ES"/>
        </w:rPr>
        <w:t>. Se recibi</w:t>
      </w:r>
      <w:r w:rsidR="002D2D0F">
        <w:rPr>
          <w:kern w:val="22"/>
          <w:lang w:val="es-ES"/>
        </w:rPr>
        <w:t>ó</w:t>
      </w:r>
      <w:r w:rsidRPr="002D2D0F">
        <w:rPr>
          <w:kern w:val="22"/>
          <w:lang w:val="es-ES"/>
        </w:rPr>
        <w:t xml:space="preserve"> un total de 153 aportes de </w:t>
      </w:r>
      <w:r w:rsidR="006A4234" w:rsidRPr="002D2D0F">
        <w:rPr>
          <w:kern w:val="22"/>
          <w:lang w:val="es-ES"/>
        </w:rPr>
        <w:t>Partes</w:t>
      </w:r>
      <w:r w:rsidRPr="002D2D0F">
        <w:rPr>
          <w:kern w:val="22"/>
          <w:lang w:val="es-ES"/>
        </w:rPr>
        <w:t xml:space="preserve"> y observadores</w:t>
      </w:r>
      <w:r w:rsidRPr="002D2D0F">
        <w:rPr>
          <w:rStyle w:val="FootnoteReference"/>
          <w:kern w:val="22"/>
          <w:sz w:val="22"/>
          <w:szCs w:val="22"/>
          <w:u w:val="none"/>
          <w:vertAlign w:val="superscript"/>
          <w:lang w:val="es-ES"/>
        </w:rPr>
        <w:footnoteReference w:id="5"/>
      </w:r>
      <w:r w:rsidRPr="002D2D0F">
        <w:rPr>
          <w:kern w:val="22"/>
          <w:lang w:val="es-ES"/>
        </w:rPr>
        <w:t>. La Secretaría también convocó la octava reunión del Grupo de Enlace Interinstitucional sobre Especies Exóticas Invasoras, en colaboración con la Organización Mundial de Aduanas</w:t>
      </w:r>
      <w:r w:rsidRPr="002D2D0F">
        <w:rPr>
          <w:rStyle w:val="FootnoteReference"/>
          <w:kern w:val="22"/>
          <w:sz w:val="22"/>
          <w:szCs w:val="22"/>
          <w:u w:val="none"/>
          <w:vertAlign w:val="superscript"/>
          <w:lang w:val="es-ES"/>
        </w:rPr>
        <w:footnoteReference w:id="6"/>
      </w:r>
      <w:r w:rsidRPr="002D2D0F">
        <w:rPr>
          <w:kern w:val="22"/>
          <w:lang w:val="es-ES"/>
        </w:rPr>
        <w:t>, y organizó un taller informal de expertos</w:t>
      </w:r>
      <w:r w:rsidRPr="002D2D0F">
        <w:rPr>
          <w:rStyle w:val="FootnoteReference"/>
          <w:kern w:val="22"/>
          <w:sz w:val="22"/>
          <w:szCs w:val="22"/>
          <w:u w:val="none"/>
          <w:vertAlign w:val="superscript"/>
          <w:lang w:val="es-ES"/>
        </w:rPr>
        <w:footnoteReference w:id="7"/>
      </w:r>
      <w:r w:rsidRPr="002D2D0F">
        <w:rPr>
          <w:kern w:val="22"/>
          <w:lang w:val="es-ES"/>
        </w:rPr>
        <w:t xml:space="preserve">. </w:t>
      </w:r>
    </w:p>
    <w:p w:rsidR="00FD0481" w:rsidRPr="002D2D0F" w:rsidRDefault="002D2D0F" w:rsidP="006A4234">
      <w:pPr>
        <w:numPr>
          <w:ilvl w:val="0"/>
          <w:numId w:val="6"/>
        </w:numPr>
        <w:suppressLineNumbers/>
        <w:suppressAutoHyphens/>
        <w:kinsoku w:val="0"/>
        <w:overflowPunct w:val="0"/>
        <w:autoSpaceDE w:val="0"/>
        <w:autoSpaceDN w:val="0"/>
        <w:adjustRightInd w:val="0"/>
        <w:snapToGrid w:val="0"/>
        <w:spacing w:before="120" w:after="120"/>
        <w:ind w:left="0" w:firstLine="0"/>
        <w:rPr>
          <w:rFonts w:eastAsia="Yu Mincho"/>
          <w:b/>
          <w:lang w:val="es-ES"/>
        </w:rPr>
      </w:pPr>
      <w:r>
        <w:rPr>
          <w:kern w:val="22"/>
          <w:lang w:val="es-ES"/>
        </w:rPr>
        <w:t>L</w:t>
      </w:r>
      <w:r w:rsidR="00FD0481" w:rsidRPr="002D2D0F">
        <w:rPr>
          <w:kern w:val="22"/>
          <w:lang w:val="es-ES"/>
        </w:rPr>
        <w:t xml:space="preserve">a sección I del presente documento </w:t>
      </w:r>
      <w:r>
        <w:rPr>
          <w:kern w:val="22"/>
          <w:lang w:val="es-ES"/>
        </w:rPr>
        <w:t>está dedicada</w:t>
      </w:r>
      <w:r w:rsidR="00FD0481" w:rsidRPr="002D2D0F">
        <w:rPr>
          <w:kern w:val="22"/>
          <w:lang w:val="es-ES"/>
        </w:rPr>
        <w:t xml:space="preserve"> </w:t>
      </w:r>
      <w:r>
        <w:rPr>
          <w:kern w:val="22"/>
          <w:lang w:val="es-ES"/>
        </w:rPr>
        <w:t xml:space="preserve">a </w:t>
      </w:r>
      <w:r w:rsidR="00FD0481" w:rsidRPr="002D2D0F">
        <w:rPr>
          <w:kern w:val="22"/>
          <w:lang w:val="es-ES"/>
        </w:rPr>
        <w:t>la orientación complementaria sobre l</w:t>
      </w:r>
      <w:r w:rsidR="00FD0481" w:rsidRPr="002D2D0F">
        <w:rPr>
          <w:rStyle w:val="Inget"/>
          <w:kern w:val="22"/>
          <w:lang w:val="es-ES"/>
        </w:rPr>
        <w:t>as introducciones no intencionales de especies exóticas invasoras, mediante</w:t>
      </w:r>
      <w:r w:rsidR="00FD0481" w:rsidRPr="002D2D0F">
        <w:rPr>
          <w:kern w:val="22"/>
          <w:lang w:val="es-ES"/>
        </w:rPr>
        <w:t xml:space="preserve"> “autoestopistas” o contaminantes, y materiales relacionados con el comercio de especies exóticas vivas, como material de embalaje, sustrato o alimento. La sección II </w:t>
      </w:r>
      <w:r>
        <w:rPr>
          <w:kern w:val="22"/>
          <w:lang w:val="es-ES"/>
        </w:rPr>
        <w:t xml:space="preserve">se </w:t>
      </w:r>
      <w:r w:rsidR="002A4A46" w:rsidRPr="002D2D0F">
        <w:rPr>
          <w:kern w:val="22"/>
          <w:lang w:val="es-ES"/>
        </w:rPr>
        <w:t>refiere</w:t>
      </w:r>
      <w:r w:rsidR="00FD0481" w:rsidRPr="002D2D0F">
        <w:rPr>
          <w:kern w:val="22"/>
          <w:lang w:val="es-ES"/>
        </w:rPr>
        <w:t xml:space="preserve"> </w:t>
      </w:r>
      <w:r w:rsidR="002A4A46" w:rsidRPr="002D2D0F">
        <w:rPr>
          <w:kern w:val="22"/>
          <w:lang w:val="es-ES"/>
        </w:rPr>
        <w:t>a</w:t>
      </w:r>
      <w:r w:rsidR="00FD0481" w:rsidRPr="002D2D0F">
        <w:rPr>
          <w:kern w:val="22"/>
          <w:lang w:val="es-ES"/>
        </w:rPr>
        <w:t xml:space="preserve">l comercio electrónico y la sección III </w:t>
      </w:r>
      <w:r w:rsidR="002A4A46" w:rsidRPr="002D2D0F">
        <w:rPr>
          <w:kern w:val="22"/>
          <w:lang w:val="es-ES"/>
        </w:rPr>
        <w:t>a</w:t>
      </w:r>
      <w:r w:rsidR="00FD0481" w:rsidRPr="002D2D0F">
        <w:rPr>
          <w:kern w:val="22"/>
          <w:lang w:val="es-ES"/>
        </w:rPr>
        <w:t xml:space="preserve">l desarrollo de herramientas, otras orientaciones y sistemas de información. En la sección IV se tratan otros asuntos y la sección V contiene un proyecto de recomendación para consideración del Órgano Subsidiario que incluye como anexo la orientación complementaria. El presente documento </w:t>
      </w:r>
      <w:r>
        <w:rPr>
          <w:kern w:val="22"/>
          <w:lang w:val="es-ES"/>
        </w:rPr>
        <w:t>tiene</w:t>
      </w:r>
      <w:r w:rsidR="00FD0481" w:rsidRPr="002D2D0F">
        <w:rPr>
          <w:kern w:val="22"/>
          <w:lang w:val="es-ES"/>
        </w:rPr>
        <w:t xml:space="preserve"> varios documentos de información</w:t>
      </w:r>
      <w:r>
        <w:rPr>
          <w:kern w:val="22"/>
          <w:lang w:val="es-ES"/>
        </w:rPr>
        <w:t xml:space="preserve"> como material de respaldo</w:t>
      </w:r>
      <w:r w:rsidR="00FD0481" w:rsidRPr="002D2D0F">
        <w:rPr>
          <w:kern w:val="22"/>
          <w:lang w:val="es-ES"/>
        </w:rPr>
        <w:t>.</w:t>
      </w:r>
    </w:p>
    <w:p w:rsidR="00187429" w:rsidRPr="002D2D0F" w:rsidRDefault="00187429" w:rsidP="00187429">
      <w:pPr>
        <w:suppressLineNumbers/>
        <w:suppressAutoHyphens/>
        <w:kinsoku w:val="0"/>
        <w:overflowPunct w:val="0"/>
        <w:autoSpaceDE w:val="0"/>
        <w:autoSpaceDN w:val="0"/>
        <w:adjustRightInd w:val="0"/>
        <w:snapToGrid w:val="0"/>
        <w:spacing w:before="120" w:after="120"/>
        <w:rPr>
          <w:rFonts w:eastAsia="Yu Mincho"/>
          <w:bCs/>
          <w:snapToGrid w:val="0"/>
          <w:kern w:val="22"/>
          <w:szCs w:val="22"/>
          <w:lang w:val="es-ES" w:eastAsia="ja-JP"/>
        </w:rPr>
      </w:pPr>
    </w:p>
    <w:p w:rsidR="006010F5" w:rsidRPr="002D2D0F" w:rsidRDefault="006010F5" w:rsidP="002A4A46">
      <w:pPr>
        <w:pStyle w:val="Heading1longmultiline"/>
        <w:keepLines/>
        <w:numPr>
          <w:ilvl w:val="0"/>
          <w:numId w:val="14"/>
        </w:numPr>
        <w:suppressLineNumbers/>
        <w:tabs>
          <w:tab w:val="clear" w:pos="720"/>
          <w:tab w:val="left" w:pos="770"/>
        </w:tabs>
        <w:suppressAutoHyphens/>
        <w:kinsoku w:val="0"/>
        <w:overflowPunct w:val="0"/>
        <w:autoSpaceDE w:val="0"/>
        <w:autoSpaceDN w:val="0"/>
        <w:adjustRightInd w:val="0"/>
        <w:snapToGrid w:val="0"/>
        <w:spacing w:before="120"/>
        <w:ind w:left="771" w:hanging="414"/>
        <w:rPr>
          <w:rFonts w:eastAsia="Yu Mincho"/>
          <w:kern w:val="22"/>
          <w:lang w:val="es-ES"/>
        </w:rPr>
      </w:pPr>
      <w:r w:rsidRPr="002D2D0F">
        <w:rPr>
          <w:caps w:val="0"/>
          <w:kern w:val="22"/>
          <w:lang w:val="es-ES"/>
        </w:rPr>
        <w:lastRenderedPageBreak/>
        <w:t xml:space="preserve">ELABORACIÓN DE </w:t>
      </w:r>
      <w:r w:rsidR="00214DAF" w:rsidRPr="002D2D0F">
        <w:rPr>
          <w:caps w:val="0"/>
          <w:kern w:val="22"/>
          <w:lang w:val="es-ES"/>
        </w:rPr>
        <w:t xml:space="preserve">UNA </w:t>
      </w:r>
      <w:r w:rsidRPr="002D2D0F">
        <w:rPr>
          <w:caps w:val="0"/>
          <w:kern w:val="22"/>
          <w:lang w:val="es-ES"/>
        </w:rPr>
        <w:t xml:space="preserve">ORIENTACIÓN COMPLEMENTARIA PARA EVITAR LAS INTRODUCCIONES NO INTENCIONALES DE ESPECIES EXÓTICAS INVASORAS </w:t>
      </w:r>
      <w:r w:rsidR="006F5C90" w:rsidRPr="002D2D0F">
        <w:rPr>
          <w:caps w:val="0"/>
          <w:kern w:val="22"/>
          <w:lang w:val="es-ES"/>
        </w:rPr>
        <w:t xml:space="preserve">ASOCIADAS </w:t>
      </w:r>
      <w:r w:rsidRPr="002D2D0F">
        <w:rPr>
          <w:caps w:val="0"/>
          <w:kern w:val="22"/>
          <w:lang w:val="es-ES"/>
        </w:rPr>
        <w:t>CON EL COMERCIO DE ESPECIES EXÓTICAS VIVAS</w:t>
      </w:r>
    </w:p>
    <w:p w:rsidR="00EB6B94" w:rsidRPr="002D2D0F" w:rsidRDefault="00EB6B94" w:rsidP="002A4A46">
      <w:pPr>
        <w:keepNext/>
        <w:keepLines/>
        <w:numPr>
          <w:ilvl w:val="0"/>
          <w:numId w:val="6"/>
        </w:numPr>
        <w:suppressLineNumbers/>
        <w:suppressAutoHyphens/>
        <w:kinsoku w:val="0"/>
        <w:overflowPunct w:val="0"/>
        <w:autoSpaceDE w:val="0"/>
        <w:autoSpaceDN w:val="0"/>
        <w:adjustRightInd w:val="0"/>
        <w:snapToGrid w:val="0"/>
        <w:spacing w:before="120" w:after="120"/>
        <w:ind w:left="0" w:firstLine="0"/>
        <w:rPr>
          <w:kern w:val="22"/>
          <w:lang w:val="es-ES"/>
        </w:rPr>
      </w:pPr>
      <w:r w:rsidRPr="002D2D0F">
        <w:rPr>
          <w:kern w:val="22"/>
          <w:lang w:val="es-ES"/>
        </w:rPr>
        <w:t xml:space="preserve">Los siguientes puntos surgieron del trabajo mencionado en el párrafo 4 anterior y fueron tenidos en cuenta en </w:t>
      </w:r>
      <w:r w:rsidR="00214DAF" w:rsidRPr="002D2D0F">
        <w:rPr>
          <w:kern w:val="22"/>
          <w:lang w:val="es-ES"/>
        </w:rPr>
        <w:t>la elaboración</w:t>
      </w:r>
      <w:r w:rsidRPr="002D2D0F">
        <w:rPr>
          <w:kern w:val="22"/>
          <w:lang w:val="es-ES"/>
        </w:rPr>
        <w:t xml:space="preserve"> del proyecto de orientación complementaria, que figura como anexo del proyecto de decisión en la sección V.</w:t>
      </w:r>
    </w:p>
    <w:p w:rsidR="004E4FE6" w:rsidRPr="002D2D0F" w:rsidRDefault="004E4FE6" w:rsidP="004E4FE6">
      <w:pPr>
        <w:numPr>
          <w:ilvl w:val="0"/>
          <w:numId w:val="6"/>
        </w:numPr>
        <w:suppressLineNumbers/>
        <w:suppressAutoHyphens/>
        <w:kinsoku w:val="0"/>
        <w:overflowPunct w:val="0"/>
        <w:autoSpaceDE w:val="0"/>
        <w:autoSpaceDN w:val="0"/>
        <w:adjustRightInd w:val="0"/>
        <w:snapToGrid w:val="0"/>
        <w:spacing w:before="120" w:after="120"/>
        <w:ind w:left="0" w:firstLine="0"/>
        <w:rPr>
          <w:lang w:val="es-ES"/>
        </w:rPr>
      </w:pPr>
      <w:r w:rsidRPr="002D2D0F">
        <w:rPr>
          <w:kern w:val="22"/>
          <w:lang w:val="es-ES"/>
        </w:rPr>
        <w:t xml:space="preserve">Si bien se han logrado progresos en el abordaje de las introducciones intencionales de especies exóticas invasoras a través del desarrollo de </w:t>
      </w:r>
      <w:r w:rsidR="00264713" w:rsidRPr="002D2D0F">
        <w:rPr>
          <w:kern w:val="22"/>
          <w:lang w:val="es-ES"/>
        </w:rPr>
        <w:t>reglamentaciones</w:t>
      </w:r>
      <w:r w:rsidRPr="002D2D0F">
        <w:rPr>
          <w:kern w:val="22"/>
          <w:lang w:val="es-ES"/>
        </w:rPr>
        <w:t xml:space="preserve"> nacionales y regionales en consonancia con las reglas y principios establecidos por los organismos de normalización reconocidos por la Organización Mundial del Comercio, no se han abordado plenamente las cuestiones relacionadas con las introducciones no intencionales por vías </w:t>
      </w:r>
      <w:r w:rsidR="002D327F">
        <w:rPr>
          <w:kern w:val="22"/>
          <w:lang w:val="es-ES"/>
        </w:rPr>
        <w:t>relacionadas con e</w:t>
      </w:r>
      <w:r w:rsidRPr="002D2D0F">
        <w:rPr>
          <w:kern w:val="22"/>
          <w:lang w:val="es-ES"/>
        </w:rPr>
        <w:t>l comercio de especies vivas y su transporte. Dado que est</w:t>
      </w:r>
      <w:r w:rsidR="00264713" w:rsidRPr="002D2D0F">
        <w:rPr>
          <w:kern w:val="22"/>
          <w:lang w:val="es-ES"/>
        </w:rPr>
        <w:t>a</w:t>
      </w:r>
      <w:r w:rsidRPr="002D2D0F">
        <w:rPr>
          <w:kern w:val="22"/>
          <w:lang w:val="es-ES"/>
        </w:rPr>
        <w:t xml:space="preserve">s </w:t>
      </w:r>
      <w:r w:rsidR="002D327F">
        <w:rPr>
          <w:kern w:val="22"/>
          <w:lang w:val="es-ES"/>
        </w:rPr>
        <w:t>suponen</w:t>
      </w:r>
      <w:r w:rsidRPr="002D2D0F">
        <w:rPr>
          <w:kern w:val="22"/>
          <w:lang w:val="es-ES"/>
        </w:rPr>
        <w:t xml:space="preserve"> amenazas </w:t>
      </w:r>
      <w:r w:rsidR="00264713" w:rsidRPr="002D2D0F">
        <w:rPr>
          <w:kern w:val="22"/>
          <w:lang w:val="es-ES"/>
        </w:rPr>
        <w:t>par</w:t>
      </w:r>
      <w:r w:rsidRPr="002D2D0F">
        <w:rPr>
          <w:kern w:val="22"/>
          <w:lang w:val="es-ES"/>
        </w:rPr>
        <w:t>a la diversidad biológica, la elaboración de orientación complementaria es una prioridad para la conservación de la diversidad biológica y contribuiría a disminuir el riesgo de organismos que plantean problemas sanitarios y fitosanitarios.</w:t>
      </w:r>
    </w:p>
    <w:p w:rsidR="00B34FB0" w:rsidRPr="002D2D0F" w:rsidRDefault="00B34FB0" w:rsidP="00B44E21">
      <w:pPr>
        <w:numPr>
          <w:ilvl w:val="0"/>
          <w:numId w:val="6"/>
        </w:numPr>
        <w:suppressLineNumbers/>
        <w:suppressAutoHyphens/>
        <w:kinsoku w:val="0"/>
        <w:overflowPunct w:val="0"/>
        <w:autoSpaceDE w:val="0"/>
        <w:autoSpaceDN w:val="0"/>
        <w:adjustRightInd w:val="0"/>
        <w:snapToGrid w:val="0"/>
        <w:spacing w:before="120" w:after="120"/>
        <w:ind w:left="0" w:firstLine="0"/>
        <w:rPr>
          <w:lang w:val="es-ES"/>
        </w:rPr>
      </w:pPr>
      <w:r w:rsidRPr="002D2D0F">
        <w:rPr>
          <w:kern w:val="22"/>
          <w:lang w:val="es-ES"/>
        </w:rPr>
        <w:t xml:space="preserve">La </w:t>
      </w:r>
      <w:r w:rsidR="00264713" w:rsidRPr="002D2D0F">
        <w:rPr>
          <w:kern w:val="22"/>
          <w:lang w:val="es-ES"/>
        </w:rPr>
        <w:t>orientación complementaria debe</w:t>
      </w:r>
      <w:r w:rsidR="005044D0" w:rsidRPr="002D2D0F">
        <w:rPr>
          <w:kern w:val="22"/>
          <w:lang w:val="es-ES"/>
        </w:rPr>
        <w:t>ría</w:t>
      </w:r>
      <w:r w:rsidRPr="002D2D0F">
        <w:rPr>
          <w:kern w:val="22"/>
          <w:lang w:val="es-ES"/>
        </w:rPr>
        <w:t xml:space="preserve"> centrarse en l</w:t>
      </w:r>
      <w:r w:rsidRPr="002D2D0F">
        <w:rPr>
          <w:rStyle w:val="Inget"/>
          <w:kern w:val="22"/>
          <w:lang w:val="es-ES"/>
        </w:rPr>
        <w:t xml:space="preserve">as introducciones no intencionales de especies exóticas invasoras, que se producen </w:t>
      </w:r>
      <w:r w:rsidR="00264713" w:rsidRPr="002D2D0F">
        <w:rPr>
          <w:rStyle w:val="Inget"/>
          <w:kern w:val="22"/>
          <w:lang w:val="es-ES"/>
        </w:rPr>
        <w:t>a través de</w:t>
      </w:r>
      <w:r w:rsidRPr="002D2D0F">
        <w:rPr>
          <w:kern w:val="22"/>
          <w:lang w:val="es-ES"/>
        </w:rPr>
        <w:t xml:space="preserve"> “autoestopistas” o contaminantes, y materiales relacionados con el comercio de especies exóticas vivas, como material de embalaje, sustrato o alimento. Est</w:t>
      </w:r>
      <w:r w:rsidR="00264713" w:rsidRPr="002D2D0F">
        <w:rPr>
          <w:kern w:val="22"/>
          <w:lang w:val="es-ES"/>
        </w:rPr>
        <w:t>a</w:t>
      </w:r>
      <w:r w:rsidRPr="002D2D0F">
        <w:rPr>
          <w:kern w:val="22"/>
          <w:lang w:val="es-ES"/>
        </w:rPr>
        <w:t>s co</w:t>
      </w:r>
      <w:r w:rsidR="00264713" w:rsidRPr="002D2D0F">
        <w:rPr>
          <w:kern w:val="22"/>
          <w:lang w:val="es-ES"/>
        </w:rPr>
        <w:t>rr</w:t>
      </w:r>
      <w:r w:rsidRPr="002D2D0F">
        <w:rPr>
          <w:kern w:val="22"/>
          <w:lang w:val="es-ES"/>
        </w:rPr>
        <w:t>e</w:t>
      </w:r>
      <w:r w:rsidR="00264713" w:rsidRPr="002D2D0F">
        <w:rPr>
          <w:kern w:val="22"/>
          <w:lang w:val="es-ES"/>
        </w:rPr>
        <w:t>sponde</w:t>
      </w:r>
      <w:r w:rsidRPr="002D2D0F">
        <w:rPr>
          <w:kern w:val="22"/>
          <w:lang w:val="es-ES"/>
        </w:rPr>
        <w:t xml:space="preserve">n </w:t>
      </w:r>
      <w:r w:rsidR="00264713" w:rsidRPr="002D2D0F">
        <w:rPr>
          <w:kern w:val="22"/>
          <w:lang w:val="es-ES"/>
        </w:rPr>
        <w:t>a</w:t>
      </w:r>
      <w:r w:rsidRPr="002D2D0F">
        <w:rPr>
          <w:kern w:val="22"/>
          <w:lang w:val="es-ES"/>
        </w:rPr>
        <w:t xml:space="preserve"> las vías de contaminantes por transporte y </w:t>
      </w:r>
      <w:r w:rsidR="00264713" w:rsidRPr="002D2D0F">
        <w:rPr>
          <w:kern w:val="22"/>
          <w:lang w:val="es-ES"/>
        </w:rPr>
        <w:t xml:space="preserve">de </w:t>
      </w:r>
      <w:r w:rsidR="00D331CF" w:rsidRPr="002D2D0F">
        <w:rPr>
          <w:kern w:val="22"/>
          <w:lang w:val="es-ES"/>
        </w:rPr>
        <w:t>polizon</w:t>
      </w:r>
      <w:r w:rsidRPr="002D2D0F">
        <w:rPr>
          <w:kern w:val="22"/>
          <w:lang w:val="es-ES"/>
        </w:rPr>
        <w:t>es por transporte</w:t>
      </w:r>
      <w:r w:rsidRPr="002D2D0F">
        <w:rPr>
          <w:rFonts w:eastAsia="Yu Mincho"/>
          <w:kern w:val="22"/>
          <w:vertAlign w:val="superscript"/>
          <w:lang w:val="es-ES"/>
        </w:rPr>
        <w:footnoteReference w:id="8"/>
      </w:r>
      <w:r w:rsidRPr="002D2D0F">
        <w:rPr>
          <w:kern w:val="22"/>
          <w:vertAlign w:val="superscript"/>
          <w:lang w:val="es-ES"/>
        </w:rPr>
        <w:t>,</w:t>
      </w:r>
      <w:r w:rsidR="009B66F0">
        <w:rPr>
          <w:kern w:val="22"/>
          <w:vertAlign w:val="superscript"/>
          <w:lang w:val="es-ES"/>
        </w:rPr>
        <w:t> </w:t>
      </w:r>
      <w:r w:rsidRPr="002D2D0F">
        <w:rPr>
          <w:kern w:val="22"/>
          <w:vertAlign w:val="superscript"/>
          <w:lang w:val="es-ES"/>
        </w:rPr>
        <w:footnoteReference w:id="9"/>
      </w:r>
      <w:r w:rsidR="00B44E21" w:rsidRPr="002D2D0F">
        <w:rPr>
          <w:kern w:val="22"/>
          <w:lang w:val="es-ES"/>
        </w:rPr>
        <w:t>.</w:t>
      </w:r>
      <w:r w:rsidRPr="002D2D0F">
        <w:rPr>
          <w:kern w:val="22"/>
          <w:lang w:val="es-ES"/>
        </w:rPr>
        <w:t xml:space="preserve"> </w:t>
      </w:r>
      <w:r w:rsidR="00264713" w:rsidRPr="002D2D0F">
        <w:rPr>
          <w:kern w:val="22"/>
          <w:lang w:val="es-ES"/>
        </w:rPr>
        <w:t>La orientación no incluye, s</w:t>
      </w:r>
      <w:r w:rsidRPr="002D2D0F">
        <w:rPr>
          <w:kern w:val="22"/>
          <w:lang w:val="es-ES"/>
        </w:rPr>
        <w:t xml:space="preserve">in embargo, vías </w:t>
      </w:r>
      <w:r w:rsidR="002D327F">
        <w:rPr>
          <w:kern w:val="22"/>
          <w:lang w:val="es-ES"/>
        </w:rPr>
        <w:t xml:space="preserve">tales </w:t>
      </w:r>
      <w:r w:rsidRPr="002D2D0F">
        <w:rPr>
          <w:kern w:val="22"/>
          <w:lang w:val="es-ES"/>
        </w:rPr>
        <w:t xml:space="preserve">como </w:t>
      </w:r>
      <w:r w:rsidR="005044D0" w:rsidRPr="002D2D0F">
        <w:rPr>
          <w:kern w:val="22"/>
          <w:lang w:val="es-ES"/>
        </w:rPr>
        <w:t>las</w:t>
      </w:r>
      <w:r w:rsidRPr="002D2D0F">
        <w:rPr>
          <w:kern w:val="22"/>
          <w:lang w:val="es-ES"/>
        </w:rPr>
        <w:t xml:space="preserve"> agua</w:t>
      </w:r>
      <w:r w:rsidR="005044D0" w:rsidRPr="002D2D0F">
        <w:rPr>
          <w:kern w:val="22"/>
          <w:lang w:val="es-ES"/>
        </w:rPr>
        <w:t>s</w:t>
      </w:r>
      <w:r w:rsidRPr="002D2D0F">
        <w:rPr>
          <w:kern w:val="22"/>
          <w:lang w:val="es-ES"/>
        </w:rPr>
        <w:t xml:space="preserve"> de lastre y la bioincrustración que no interactúan directamente con especies vivas y se adhieren en forma oportunista a </w:t>
      </w:r>
      <w:r w:rsidR="00264713" w:rsidRPr="002D2D0F">
        <w:rPr>
          <w:kern w:val="22"/>
          <w:lang w:val="es-ES"/>
        </w:rPr>
        <w:t>cargamentos</w:t>
      </w:r>
      <w:r w:rsidRPr="002D2D0F">
        <w:rPr>
          <w:kern w:val="22"/>
          <w:lang w:val="es-ES"/>
        </w:rPr>
        <w:t xml:space="preserve"> de especies vivas.</w:t>
      </w:r>
    </w:p>
    <w:p w:rsidR="00475458" w:rsidRPr="002D2D0F" w:rsidRDefault="00475458" w:rsidP="00475458">
      <w:pPr>
        <w:numPr>
          <w:ilvl w:val="0"/>
          <w:numId w:val="6"/>
        </w:numPr>
        <w:suppressLineNumbers/>
        <w:suppressAutoHyphens/>
        <w:kinsoku w:val="0"/>
        <w:overflowPunct w:val="0"/>
        <w:autoSpaceDE w:val="0"/>
        <w:autoSpaceDN w:val="0"/>
        <w:adjustRightInd w:val="0"/>
        <w:snapToGrid w:val="0"/>
        <w:spacing w:before="120" w:after="120"/>
        <w:ind w:left="0" w:firstLine="0"/>
        <w:rPr>
          <w:lang w:val="es-ES"/>
        </w:rPr>
      </w:pPr>
      <w:r w:rsidRPr="002D2D0F">
        <w:rPr>
          <w:kern w:val="22"/>
          <w:lang w:val="es-ES"/>
        </w:rPr>
        <w:t>La orientación complementaria debe</w:t>
      </w:r>
      <w:r w:rsidR="005044D0" w:rsidRPr="002D2D0F">
        <w:rPr>
          <w:kern w:val="22"/>
          <w:lang w:val="es-ES"/>
        </w:rPr>
        <w:t>ría</w:t>
      </w:r>
      <w:r w:rsidRPr="002D2D0F">
        <w:rPr>
          <w:kern w:val="22"/>
          <w:lang w:val="es-ES"/>
        </w:rPr>
        <w:t xml:space="preserve"> brindar medidas prácticas para aumentar la eficacia de las normas existentes, si procede, mediante su </w:t>
      </w:r>
      <w:r w:rsidR="005044D0" w:rsidRPr="002D2D0F">
        <w:rPr>
          <w:kern w:val="22"/>
          <w:lang w:val="es-ES"/>
        </w:rPr>
        <w:t>a</w:t>
      </w:r>
      <w:r w:rsidRPr="002D2D0F">
        <w:rPr>
          <w:kern w:val="22"/>
          <w:lang w:val="es-ES"/>
        </w:rPr>
        <w:t>pl</w:t>
      </w:r>
      <w:r w:rsidR="005044D0" w:rsidRPr="002D2D0F">
        <w:rPr>
          <w:kern w:val="22"/>
          <w:lang w:val="es-ES"/>
        </w:rPr>
        <w:t>ic</w:t>
      </w:r>
      <w:r w:rsidRPr="002D2D0F">
        <w:rPr>
          <w:kern w:val="22"/>
          <w:lang w:val="es-ES"/>
        </w:rPr>
        <w:t xml:space="preserve">ación por todos los ministerios y organismos </w:t>
      </w:r>
      <w:r w:rsidR="005044D0" w:rsidRPr="002D2D0F">
        <w:rPr>
          <w:kern w:val="22"/>
          <w:lang w:val="es-ES"/>
        </w:rPr>
        <w:t>gu</w:t>
      </w:r>
      <w:r w:rsidRPr="002D2D0F">
        <w:rPr>
          <w:kern w:val="22"/>
          <w:lang w:val="es-ES"/>
        </w:rPr>
        <w:t>bern</w:t>
      </w:r>
      <w:r w:rsidR="005044D0" w:rsidRPr="002D2D0F">
        <w:rPr>
          <w:kern w:val="22"/>
          <w:lang w:val="es-ES"/>
        </w:rPr>
        <w:t>amentale</w:t>
      </w:r>
      <w:r w:rsidRPr="002D2D0F">
        <w:rPr>
          <w:kern w:val="22"/>
          <w:lang w:val="es-ES"/>
        </w:rPr>
        <w:t xml:space="preserve">s y los interesados directos que </w:t>
      </w:r>
      <w:r w:rsidR="002D327F">
        <w:rPr>
          <w:kern w:val="22"/>
          <w:lang w:val="es-ES"/>
        </w:rPr>
        <w:t>intervienen</w:t>
      </w:r>
      <w:r w:rsidRPr="002D2D0F">
        <w:rPr>
          <w:kern w:val="22"/>
          <w:lang w:val="es-ES"/>
        </w:rPr>
        <w:t xml:space="preserve"> en la cadena de valor del comercio de especies vivas. Los sectores gubernamentales e interesados directos pertinentes </w:t>
      </w:r>
      <w:r w:rsidR="005044D0" w:rsidRPr="002D2D0F">
        <w:rPr>
          <w:kern w:val="22"/>
          <w:lang w:val="es-ES"/>
        </w:rPr>
        <w:t>podr</w:t>
      </w:r>
      <w:r w:rsidRPr="002D2D0F">
        <w:rPr>
          <w:kern w:val="22"/>
          <w:lang w:val="es-ES"/>
        </w:rPr>
        <w:t xml:space="preserve">ían </w:t>
      </w:r>
      <w:r w:rsidR="002D327F">
        <w:rPr>
          <w:kern w:val="22"/>
          <w:lang w:val="es-ES"/>
        </w:rPr>
        <w:t>ser,</w:t>
      </w:r>
      <w:r w:rsidR="005044D0" w:rsidRPr="002D2D0F">
        <w:rPr>
          <w:kern w:val="22"/>
          <w:lang w:val="es-ES"/>
        </w:rPr>
        <w:t xml:space="preserve"> </w:t>
      </w:r>
      <w:r w:rsidRPr="002D2D0F">
        <w:rPr>
          <w:kern w:val="22"/>
          <w:lang w:val="es-ES"/>
        </w:rPr>
        <w:t>entre otros</w:t>
      </w:r>
      <w:r w:rsidR="002D327F">
        <w:rPr>
          <w:kern w:val="22"/>
          <w:lang w:val="es-ES"/>
        </w:rPr>
        <w:t>,</w:t>
      </w:r>
      <w:r w:rsidRPr="002D2D0F">
        <w:rPr>
          <w:kern w:val="22"/>
          <w:lang w:val="es-ES"/>
        </w:rPr>
        <w:t xml:space="preserve"> autoridades nacionales </w:t>
      </w:r>
      <w:r w:rsidR="005044D0" w:rsidRPr="002D2D0F">
        <w:rPr>
          <w:kern w:val="22"/>
          <w:lang w:val="es-ES"/>
        </w:rPr>
        <w:t xml:space="preserve">encargadas </w:t>
      </w:r>
      <w:r w:rsidRPr="002D2D0F">
        <w:rPr>
          <w:kern w:val="22"/>
          <w:lang w:val="es-ES"/>
        </w:rPr>
        <w:t>de control de fronteras</w:t>
      </w:r>
      <w:r w:rsidR="005044D0" w:rsidRPr="002D2D0F">
        <w:rPr>
          <w:kern w:val="22"/>
          <w:lang w:val="es-ES"/>
        </w:rPr>
        <w:t>,</w:t>
      </w:r>
      <w:r w:rsidRPr="002D2D0F">
        <w:rPr>
          <w:kern w:val="22"/>
          <w:lang w:val="es-ES"/>
        </w:rPr>
        <w:t xml:space="preserve"> medidas sanitarias y fitosanitarias </w:t>
      </w:r>
      <w:r w:rsidR="005044D0" w:rsidRPr="002D2D0F">
        <w:rPr>
          <w:kern w:val="22"/>
          <w:lang w:val="es-ES"/>
        </w:rPr>
        <w:t xml:space="preserve">y </w:t>
      </w:r>
      <w:r w:rsidRPr="002D2D0F">
        <w:rPr>
          <w:kern w:val="22"/>
          <w:lang w:val="es-ES"/>
        </w:rPr>
        <w:t>comercio y transporte</w:t>
      </w:r>
      <w:r w:rsidR="005044D0" w:rsidRPr="002D2D0F">
        <w:rPr>
          <w:kern w:val="22"/>
          <w:lang w:val="es-ES"/>
        </w:rPr>
        <w:t>, así como</w:t>
      </w:r>
      <w:r w:rsidRPr="002D2D0F">
        <w:rPr>
          <w:kern w:val="22"/>
          <w:lang w:val="es-ES"/>
        </w:rPr>
        <w:t xml:space="preserve"> industrias y personas pertinentes que enví</w:t>
      </w:r>
      <w:r w:rsidR="005044D0" w:rsidRPr="002D2D0F">
        <w:rPr>
          <w:kern w:val="22"/>
          <w:lang w:val="es-ES"/>
        </w:rPr>
        <w:t>e</w:t>
      </w:r>
      <w:r w:rsidRPr="002D2D0F">
        <w:rPr>
          <w:kern w:val="22"/>
          <w:lang w:val="es-ES"/>
        </w:rPr>
        <w:t>n o recib</w:t>
      </w:r>
      <w:r w:rsidR="005044D0" w:rsidRPr="002D2D0F">
        <w:rPr>
          <w:kern w:val="22"/>
          <w:lang w:val="es-ES"/>
        </w:rPr>
        <w:t>a</w:t>
      </w:r>
      <w:r w:rsidRPr="002D2D0F">
        <w:rPr>
          <w:kern w:val="22"/>
          <w:lang w:val="es-ES"/>
        </w:rPr>
        <w:t>n especies vivas.</w:t>
      </w:r>
    </w:p>
    <w:p w:rsidR="00880F4F" w:rsidRPr="002D2D0F" w:rsidRDefault="00880F4F" w:rsidP="00880F4F">
      <w:pPr>
        <w:numPr>
          <w:ilvl w:val="0"/>
          <w:numId w:val="6"/>
        </w:numPr>
        <w:suppressLineNumbers/>
        <w:suppressAutoHyphens/>
        <w:kinsoku w:val="0"/>
        <w:overflowPunct w:val="0"/>
        <w:autoSpaceDE w:val="0"/>
        <w:autoSpaceDN w:val="0"/>
        <w:adjustRightInd w:val="0"/>
        <w:snapToGrid w:val="0"/>
        <w:spacing w:before="120" w:after="120"/>
        <w:ind w:left="0" w:firstLine="0"/>
        <w:rPr>
          <w:lang w:val="es-ES"/>
        </w:rPr>
      </w:pPr>
      <w:r w:rsidRPr="002D2D0F">
        <w:rPr>
          <w:kern w:val="22"/>
          <w:lang w:val="es-ES"/>
        </w:rPr>
        <w:t xml:space="preserve">El desarrollo de </w:t>
      </w:r>
      <w:r w:rsidR="005044D0" w:rsidRPr="002D2D0F">
        <w:rPr>
          <w:kern w:val="22"/>
          <w:lang w:val="es-ES"/>
        </w:rPr>
        <w:t>normas</w:t>
      </w:r>
      <w:r w:rsidRPr="002D2D0F">
        <w:rPr>
          <w:kern w:val="22"/>
          <w:lang w:val="es-ES"/>
        </w:rPr>
        <w:t xml:space="preserve"> específicas (medidas armonizadas) re</w:t>
      </w:r>
      <w:r w:rsidR="002D327F">
        <w:rPr>
          <w:kern w:val="22"/>
          <w:lang w:val="es-ES"/>
        </w:rPr>
        <w:t>feridas</w:t>
      </w:r>
      <w:r w:rsidRPr="002D2D0F">
        <w:rPr>
          <w:kern w:val="22"/>
          <w:lang w:val="es-ES"/>
        </w:rPr>
        <w:t xml:space="preserve"> </w:t>
      </w:r>
      <w:r w:rsidR="002D327F">
        <w:rPr>
          <w:kern w:val="22"/>
          <w:lang w:val="es-ES"/>
        </w:rPr>
        <w:t xml:space="preserve">a </w:t>
      </w:r>
      <w:r w:rsidRPr="002D2D0F">
        <w:rPr>
          <w:kern w:val="22"/>
          <w:lang w:val="es-ES"/>
        </w:rPr>
        <w:t xml:space="preserve">especies exóticas invasoras es un proceso que insume muchos recursos, lo cual para muchos países </w:t>
      </w:r>
      <w:r w:rsidR="005044D0" w:rsidRPr="002D2D0F">
        <w:rPr>
          <w:kern w:val="22"/>
          <w:lang w:val="es-ES"/>
        </w:rPr>
        <w:t>implicaría</w:t>
      </w:r>
      <w:r w:rsidRPr="002D2D0F">
        <w:rPr>
          <w:kern w:val="22"/>
          <w:lang w:val="es-ES"/>
        </w:rPr>
        <w:t xml:space="preserve"> creación de </w:t>
      </w:r>
      <w:r w:rsidR="00B44E21" w:rsidRPr="002D2D0F">
        <w:rPr>
          <w:kern w:val="22"/>
          <w:lang w:val="es-ES"/>
        </w:rPr>
        <w:t>capacidad</w:t>
      </w:r>
      <w:r w:rsidRPr="002D2D0F">
        <w:rPr>
          <w:kern w:val="22"/>
          <w:lang w:val="es-ES"/>
        </w:rPr>
        <w:t xml:space="preserve"> y transferencia de tecnología. Teniendo </w:t>
      </w:r>
      <w:r w:rsidR="008808D1" w:rsidRPr="002D2D0F">
        <w:rPr>
          <w:kern w:val="22"/>
          <w:lang w:val="es-ES"/>
        </w:rPr>
        <w:t>en cuenta es</w:t>
      </w:r>
      <w:r w:rsidR="002D327F">
        <w:rPr>
          <w:kern w:val="22"/>
          <w:lang w:val="es-ES"/>
        </w:rPr>
        <w:t>t</w:t>
      </w:r>
      <w:r w:rsidR="008808D1" w:rsidRPr="002D2D0F">
        <w:rPr>
          <w:kern w:val="22"/>
          <w:lang w:val="es-ES"/>
        </w:rPr>
        <w:t>o,</w:t>
      </w:r>
      <w:r w:rsidRPr="002D2D0F">
        <w:rPr>
          <w:kern w:val="22"/>
          <w:lang w:val="es-ES"/>
        </w:rPr>
        <w:t xml:space="preserve"> las normas nacionales se suelen elaborar sobre la base de normas existentes en materia de sanidad animal y protección vegetal de conformidad con el Acuerdo sobre la Aplicación de Medidas Sanitarias y Fitosanitarias de la Organización Mundial del Comerci</w:t>
      </w:r>
      <w:r w:rsidRPr="002D2D0F">
        <w:rPr>
          <w:kern w:val="22"/>
          <w:szCs w:val="22"/>
          <w:lang w:val="es-ES"/>
        </w:rPr>
        <w:t>o</w:t>
      </w:r>
      <w:r w:rsidRPr="002D2D0F">
        <w:rPr>
          <w:rStyle w:val="FootnoteReference"/>
          <w:rFonts w:eastAsia="Yu Mincho"/>
          <w:kern w:val="22"/>
          <w:sz w:val="22"/>
          <w:szCs w:val="22"/>
          <w:u w:val="none"/>
          <w:vertAlign w:val="superscript"/>
          <w:lang w:val="es-ES"/>
        </w:rPr>
        <w:footnoteReference w:id="10"/>
      </w:r>
      <w:r w:rsidR="008808D1" w:rsidRPr="002D2D0F">
        <w:rPr>
          <w:kern w:val="22"/>
          <w:szCs w:val="22"/>
          <w:lang w:val="es-ES"/>
        </w:rPr>
        <w:t>.</w:t>
      </w:r>
      <w:r w:rsidRPr="002D2D0F">
        <w:rPr>
          <w:kern w:val="22"/>
          <w:lang w:val="es-ES"/>
        </w:rPr>
        <w:t xml:space="preserve"> </w:t>
      </w:r>
      <w:r w:rsidR="008808D1" w:rsidRPr="002D2D0F">
        <w:rPr>
          <w:kern w:val="22"/>
          <w:lang w:val="es-ES"/>
        </w:rPr>
        <w:t>O</w:t>
      </w:r>
      <w:r w:rsidRPr="002D2D0F">
        <w:rPr>
          <w:kern w:val="22"/>
          <w:lang w:val="es-ES"/>
        </w:rPr>
        <w:t xml:space="preserve">tras medidas </w:t>
      </w:r>
      <w:r w:rsidR="008808D1" w:rsidRPr="002D2D0F">
        <w:rPr>
          <w:kern w:val="22"/>
          <w:lang w:val="es-ES"/>
        </w:rPr>
        <w:t xml:space="preserve">de carácter </w:t>
      </w:r>
      <w:r w:rsidRPr="002D2D0F">
        <w:rPr>
          <w:kern w:val="22"/>
          <w:lang w:val="es-ES"/>
        </w:rPr>
        <w:t>voluntari</w:t>
      </w:r>
      <w:r w:rsidR="008808D1" w:rsidRPr="002D2D0F">
        <w:rPr>
          <w:kern w:val="22"/>
          <w:lang w:val="es-ES"/>
        </w:rPr>
        <w:t>o</w:t>
      </w:r>
      <w:r w:rsidRPr="002D2D0F">
        <w:rPr>
          <w:kern w:val="22"/>
          <w:lang w:val="es-ES"/>
        </w:rPr>
        <w:t>, tales como orientaciones, códigos de conducta,</w:t>
      </w:r>
      <w:r w:rsidR="008808D1" w:rsidRPr="002D2D0F">
        <w:rPr>
          <w:kern w:val="22"/>
          <w:lang w:val="es-ES"/>
        </w:rPr>
        <w:t xml:space="preserve"> mejores prácticas y protocolos/</w:t>
      </w:r>
      <w:r w:rsidRPr="002D2D0F">
        <w:rPr>
          <w:kern w:val="22"/>
          <w:lang w:val="es-ES"/>
        </w:rPr>
        <w:t>procedimiento</w:t>
      </w:r>
      <w:r w:rsidR="002D327F">
        <w:rPr>
          <w:kern w:val="22"/>
          <w:lang w:val="es-ES"/>
        </w:rPr>
        <w:t>s</w:t>
      </w:r>
      <w:r w:rsidR="008808D1" w:rsidRPr="002D2D0F">
        <w:rPr>
          <w:kern w:val="22"/>
          <w:lang w:val="es-ES"/>
        </w:rPr>
        <w:t>,</w:t>
      </w:r>
      <w:r w:rsidRPr="002D2D0F">
        <w:rPr>
          <w:kern w:val="22"/>
          <w:lang w:val="es-ES"/>
        </w:rPr>
        <w:t xml:space="preserve"> </w:t>
      </w:r>
      <w:r w:rsidR="008808D1" w:rsidRPr="002D2D0F">
        <w:rPr>
          <w:kern w:val="22"/>
          <w:lang w:val="es-ES"/>
        </w:rPr>
        <w:t>sirven</w:t>
      </w:r>
      <w:r w:rsidRPr="002D2D0F">
        <w:rPr>
          <w:kern w:val="22"/>
          <w:lang w:val="es-ES"/>
        </w:rPr>
        <w:t xml:space="preserve"> para complementar y aumentar la eficacia de las normas reconocidas por la Organización Mundial del Comercio.</w:t>
      </w:r>
    </w:p>
    <w:p w:rsidR="00903D75" w:rsidRPr="002D2D0F" w:rsidRDefault="00903D75" w:rsidP="00903D75">
      <w:pPr>
        <w:numPr>
          <w:ilvl w:val="0"/>
          <w:numId w:val="6"/>
        </w:numPr>
        <w:suppressLineNumbers/>
        <w:suppressAutoHyphens/>
        <w:kinsoku w:val="0"/>
        <w:overflowPunct w:val="0"/>
        <w:autoSpaceDE w:val="0"/>
        <w:autoSpaceDN w:val="0"/>
        <w:adjustRightInd w:val="0"/>
        <w:snapToGrid w:val="0"/>
        <w:ind w:left="0" w:firstLine="0"/>
        <w:rPr>
          <w:lang w:val="es-ES"/>
        </w:rPr>
      </w:pPr>
      <w:r w:rsidRPr="002D2D0F">
        <w:rPr>
          <w:kern w:val="22"/>
          <w:lang w:val="es-ES"/>
        </w:rPr>
        <w:t>Las introducciones no intencionales también se mencionan en los Principios de Orientación que</w:t>
      </w:r>
      <w:r w:rsidR="002D327F">
        <w:rPr>
          <w:kern w:val="22"/>
          <w:lang w:val="es-ES"/>
        </w:rPr>
        <w:t> </w:t>
      </w:r>
      <w:r w:rsidRPr="002D2D0F">
        <w:rPr>
          <w:kern w:val="22"/>
          <w:lang w:val="es-ES"/>
        </w:rPr>
        <w:t xml:space="preserve">figuran como anexo </w:t>
      </w:r>
      <w:r w:rsidR="008808D1" w:rsidRPr="002D2D0F">
        <w:rPr>
          <w:kern w:val="22"/>
          <w:lang w:val="es-ES"/>
        </w:rPr>
        <w:t>de</w:t>
      </w:r>
      <w:r w:rsidRPr="002D2D0F">
        <w:rPr>
          <w:kern w:val="22"/>
          <w:lang w:val="es-ES"/>
        </w:rPr>
        <w:t xml:space="preserve"> la decisión VI/23</w:t>
      </w:r>
      <w:r w:rsidRPr="002D2D0F">
        <w:rPr>
          <w:rStyle w:val="FootnoteReference"/>
          <w:rFonts w:eastAsia="Yu Mincho"/>
          <w:kern w:val="22"/>
          <w:sz w:val="22"/>
          <w:szCs w:val="22"/>
          <w:u w:val="none"/>
          <w:vertAlign w:val="superscript"/>
          <w:lang w:val="es-ES"/>
        </w:rPr>
        <w:footnoteReference w:id="11"/>
      </w:r>
      <w:r w:rsidRPr="002D2D0F">
        <w:rPr>
          <w:kern w:val="22"/>
          <w:lang w:val="es-ES"/>
        </w:rPr>
        <w:t xml:space="preserve">, </w:t>
      </w:r>
      <w:r w:rsidR="008808D1" w:rsidRPr="002D2D0F">
        <w:rPr>
          <w:kern w:val="22"/>
          <w:lang w:val="es-ES"/>
        </w:rPr>
        <w:t xml:space="preserve">a saber, </w:t>
      </w:r>
      <w:r w:rsidRPr="002D2D0F">
        <w:rPr>
          <w:kern w:val="22"/>
          <w:lang w:val="es-ES"/>
        </w:rPr>
        <w:t>en los Principios</w:t>
      </w:r>
      <w:r w:rsidR="002D327F">
        <w:rPr>
          <w:kern w:val="22"/>
          <w:lang w:val="es-ES"/>
        </w:rPr>
        <w:t> </w:t>
      </w:r>
      <w:r w:rsidRPr="002D2D0F">
        <w:rPr>
          <w:kern w:val="22"/>
          <w:lang w:val="es-ES"/>
        </w:rPr>
        <w:t>1,</w:t>
      </w:r>
      <w:r w:rsidR="002D327F">
        <w:rPr>
          <w:kern w:val="22"/>
          <w:lang w:val="es-ES"/>
        </w:rPr>
        <w:t> </w:t>
      </w:r>
      <w:r w:rsidRPr="002D2D0F">
        <w:rPr>
          <w:kern w:val="22"/>
          <w:lang w:val="es-ES"/>
        </w:rPr>
        <w:t>7 y</w:t>
      </w:r>
      <w:r w:rsidR="002D327F">
        <w:rPr>
          <w:kern w:val="22"/>
          <w:lang w:val="es-ES"/>
        </w:rPr>
        <w:t> </w:t>
      </w:r>
      <w:r w:rsidRPr="002D2D0F">
        <w:rPr>
          <w:kern w:val="22"/>
          <w:lang w:val="es-ES"/>
        </w:rPr>
        <w:t xml:space="preserve">11, que se refieren </w:t>
      </w:r>
      <w:r w:rsidR="008808D1" w:rsidRPr="002D2D0F">
        <w:rPr>
          <w:kern w:val="22"/>
          <w:lang w:val="es-ES"/>
        </w:rPr>
        <w:t xml:space="preserve">respectivamente </w:t>
      </w:r>
      <w:r w:rsidRPr="002D2D0F">
        <w:rPr>
          <w:kern w:val="22"/>
          <w:lang w:val="es-ES"/>
        </w:rPr>
        <w:t xml:space="preserve">al enfoque de precaución, </w:t>
      </w:r>
      <w:r w:rsidR="008808D1" w:rsidRPr="002D2D0F">
        <w:rPr>
          <w:kern w:val="22"/>
          <w:lang w:val="es-ES"/>
        </w:rPr>
        <w:t xml:space="preserve">el </w:t>
      </w:r>
      <w:r w:rsidRPr="002D2D0F">
        <w:rPr>
          <w:kern w:val="22"/>
          <w:lang w:val="es-ES"/>
        </w:rPr>
        <w:t xml:space="preserve">control de fronteras y </w:t>
      </w:r>
      <w:r w:rsidR="008808D1" w:rsidRPr="002D2D0F">
        <w:rPr>
          <w:kern w:val="22"/>
          <w:lang w:val="es-ES"/>
        </w:rPr>
        <w:t>el análisis de riesgo</w:t>
      </w:r>
      <w:r w:rsidR="00D331CF" w:rsidRPr="002D2D0F">
        <w:rPr>
          <w:kern w:val="22"/>
          <w:lang w:val="es-ES"/>
        </w:rPr>
        <w:t>s relacionados con</w:t>
      </w:r>
      <w:r w:rsidR="008808D1" w:rsidRPr="002D2D0F">
        <w:rPr>
          <w:kern w:val="22"/>
          <w:lang w:val="es-ES"/>
        </w:rPr>
        <w:t xml:space="preserve"> vías</w:t>
      </w:r>
      <w:r w:rsidRPr="002D2D0F">
        <w:rPr>
          <w:kern w:val="22"/>
          <w:lang w:val="es-ES"/>
        </w:rPr>
        <w:t>. Teniendo en cuenta que no solo las autoridades ambientales</w:t>
      </w:r>
      <w:r w:rsidR="008808D1" w:rsidRPr="002D2D0F">
        <w:rPr>
          <w:kern w:val="22"/>
          <w:lang w:val="es-ES"/>
        </w:rPr>
        <w:t xml:space="preserve"> o de conservación</w:t>
      </w:r>
      <w:r w:rsidRPr="002D2D0F">
        <w:rPr>
          <w:kern w:val="22"/>
          <w:lang w:val="es-ES"/>
        </w:rPr>
        <w:t xml:space="preserve"> pueden </w:t>
      </w:r>
      <w:r w:rsidR="00754BCD">
        <w:rPr>
          <w:kern w:val="22"/>
          <w:lang w:val="es-ES"/>
        </w:rPr>
        <w:t xml:space="preserve">realizar </w:t>
      </w:r>
      <w:r w:rsidRPr="002D2D0F">
        <w:rPr>
          <w:kern w:val="22"/>
          <w:lang w:val="es-ES"/>
        </w:rPr>
        <w:t>control</w:t>
      </w:r>
      <w:r w:rsidR="008808D1" w:rsidRPr="002D2D0F">
        <w:rPr>
          <w:kern w:val="22"/>
          <w:lang w:val="es-ES"/>
        </w:rPr>
        <w:t>es</w:t>
      </w:r>
      <w:r w:rsidRPr="002D2D0F">
        <w:rPr>
          <w:kern w:val="22"/>
          <w:lang w:val="es-ES"/>
        </w:rPr>
        <w:t xml:space="preserve"> de fronteras y análisis de riesgo</w:t>
      </w:r>
      <w:r w:rsidR="00D331CF" w:rsidRPr="002D2D0F">
        <w:rPr>
          <w:kern w:val="22"/>
          <w:lang w:val="es-ES"/>
        </w:rPr>
        <w:t>s relaciona</w:t>
      </w:r>
      <w:r w:rsidRPr="002D2D0F">
        <w:rPr>
          <w:kern w:val="22"/>
          <w:lang w:val="es-ES"/>
        </w:rPr>
        <w:t>d</w:t>
      </w:r>
      <w:r w:rsidR="00D331CF" w:rsidRPr="002D2D0F">
        <w:rPr>
          <w:kern w:val="22"/>
          <w:lang w:val="es-ES"/>
        </w:rPr>
        <w:t>os con</w:t>
      </w:r>
      <w:r w:rsidRPr="002D2D0F">
        <w:rPr>
          <w:kern w:val="22"/>
          <w:lang w:val="es-ES"/>
        </w:rPr>
        <w:t xml:space="preserve"> vías, sino que esto</w:t>
      </w:r>
      <w:r w:rsidR="008808D1" w:rsidRPr="002D2D0F">
        <w:rPr>
          <w:kern w:val="22"/>
          <w:lang w:val="es-ES"/>
        </w:rPr>
        <w:t>s</w:t>
      </w:r>
      <w:r w:rsidRPr="002D2D0F">
        <w:rPr>
          <w:kern w:val="22"/>
          <w:lang w:val="es-ES"/>
        </w:rPr>
        <w:t xml:space="preserve"> también puede</w:t>
      </w:r>
      <w:r w:rsidR="008808D1" w:rsidRPr="002D2D0F">
        <w:rPr>
          <w:kern w:val="22"/>
          <w:lang w:val="es-ES"/>
        </w:rPr>
        <w:t>n</w:t>
      </w:r>
      <w:r w:rsidRPr="002D2D0F">
        <w:rPr>
          <w:kern w:val="22"/>
          <w:lang w:val="es-ES"/>
        </w:rPr>
        <w:t xml:space="preserve"> estar a cargo de las autoridades responsables del control de fronteras y las reglamentaciones de riesgos, así como </w:t>
      </w:r>
      <w:r w:rsidR="00754BCD">
        <w:rPr>
          <w:kern w:val="22"/>
          <w:lang w:val="es-ES"/>
        </w:rPr>
        <w:lastRenderedPageBreak/>
        <w:t>de</w:t>
      </w:r>
      <w:r w:rsidRPr="002D2D0F">
        <w:rPr>
          <w:kern w:val="22"/>
          <w:lang w:val="es-ES"/>
        </w:rPr>
        <w:t xml:space="preserve"> sus órganos de ejecución, </w:t>
      </w:r>
      <w:r w:rsidR="008808D1" w:rsidRPr="002D2D0F">
        <w:rPr>
          <w:kern w:val="22"/>
          <w:lang w:val="es-ES"/>
        </w:rPr>
        <w:t xml:space="preserve">la orientación complementaria debería ser aplicada en forma integrada por </w:t>
      </w:r>
      <w:r w:rsidRPr="002D2D0F">
        <w:rPr>
          <w:kern w:val="22"/>
          <w:lang w:val="es-ES"/>
        </w:rPr>
        <w:t>las autoridades nacionales pertinentes</w:t>
      </w:r>
      <w:r w:rsidRPr="002D2D0F">
        <w:rPr>
          <w:rFonts w:eastAsia="Yu Mincho"/>
          <w:kern w:val="22"/>
          <w:vertAlign w:val="superscript"/>
          <w:lang w:val="es-ES"/>
        </w:rPr>
        <w:footnoteReference w:id="12"/>
      </w:r>
      <w:r w:rsidRPr="002D2D0F">
        <w:rPr>
          <w:kern w:val="22"/>
          <w:lang w:val="es-ES"/>
        </w:rPr>
        <w:t xml:space="preserve"> de conformidad con las normas internacionales y la legislación nacional</w:t>
      </w:r>
      <w:r w:rsidR="008808D1" w:rsidRPr="002D2D0F">
        <w:rPr>
          <w:kern w:val="22"/>
          <w:lang w:val="es-ES"/>
        </w:rPr>
        <w:t xml:space="preserve"> vigente</w:t>
      </w:r>
      <w:r w:rsidRPr="002D2D0F">
        <w:rPr>
          <w:kern w:val="22"/>
          <w:lang w:val="es-ES"/>
        </w:rPr>
        <w:t>.</w:t>
      </w:r>
    </w:p>
    <w:p w:rsidR="00903D75" w:rsidRPr="002D2D0F" w:rsidRDefault="00903D75" w:rsidP="00903D75">
      <w:pPr>
        <w:keepNext/>
        <w:suppressLineNumbers/>
        <w:suppressAutoHyphens/>
        <w:kinsoku w:val="0"/>
        <w:overflowPunct w:val="0"/>
        <w:autoSpaceDE w:val="0"/>
        <w:autoSpaceDN w:val="0"/>
        <w:adjustRightInd w:val="0"/>
        <w:snapToGrid w:val="0"/>
        <w:spacing w:before="120" w:after="120"/>
        <w:jc w:val="center"/>
        <w:rPr>
          <w:rFonts w:eastAsia="Yu Mincho"/>
          <w:kern w:val="22"/>
          <w:lang w:val="es-ES"/>
        </w:rPr>
      </w:pPr>
      <w:r w:rsidRPr="002D2D0F">
        <w:rPr>
          <w:b/>
          <w:kern w:val="22"/>
          <w:lang w:val="es-ES"/>
        </w:rPr>
        <w:t>Comunicación de riesgos</w:t>
      </w:r>
    </w:p>
    <w:p w:rsidR="00315986" w:rsidRPr="002D2D0F" w:rsidRDefault="00315986" w:rsidP="00315986">
      <w:pPr>
        <w:numPr>
          <w:ilvl w:val="0"/>
          <w:numId w:val="6"/>
        </w:numPr>
        <w:suppressLineNumbers/>
        <w:suppressAutoHyphens/>
        <w:kinsoku w:val="0"/>
        <w:overflowPunct w:val="0"/>
        <w:autoSpaceDE w:val="0"/>
        <w:autoSpaceDN w:val="0"/>
        <w:adjustRightInd w:val="0"/>
        <w:snapToGrid w:val="0"/>
        <w:spacing w:before="120" w:after="120"/>
        <w:ind w:left="0" w:firstLine="0"/>
        <w:rPr>
          <w:lang w:val="es-ES"/>
        </w:rPr>
      </w:pPr>
      <w:r w:rsidRPr="002D2D0F">
        <w:rPr>
          <w:kern w:val="22"/>
          <w:lang w:val="es-ES"/>
        </w:rPr>
        <w:t xml:space="preserve">En la orientación del CDB existente relativa a la elaboración y aplicación de medidas para abordar los riesgos relacionados con la introducción de </w:t>
      </w:r>
      <w:r w:rsidR="00B44E21" w:rsidRPr="002D2D0F">
        <w:rPr>
          <w:kern w:val="22"/>
          <w:lang w:val="es-ES"/>
        </w:rPr>
        <w:t>especies</w:t>
      </w:r>
      <w:r w:rsidRPr="002D2D0F">
        <w:rPr>
          <w:kern w:val="22"/>
          <w:lang w:val="es-ES"/>
        </w:rPr>
        <w:t xml:space="preserve"> exóticas como mascotas, especies de acuarios y terrarios y como carnada viva y alimento vivo, que figura en el anexo de la decisión XII/16, se establece que “los envíos podrán etiquetarse como posible peligro para la diversidad biológica, a menos que se haya comprobado que son seguros para su importación a determinado país o región biogeográfica dentro del país en cuestión” (párr. 20 de la orientación). No obstante, un lenguaje armonizado a nivel mundial facilitaría una aplicación más efectiva por los funcionarios encargados del control de fronteras y otros actores que </w:t>
      </w:r>
      <w:r w:rsidR="00EE0D73" w:rsidRPr="002D2D0F">
        <w:rPr>
          <w:kern w:val="22"/>
          <w:lang w:val="es-ES"/>
        </w:rPr>
        <w:t>intervienen</w:t>
      </w:r>
      <w:r w:rsidRPr="002D2D0F">
        <w:rPr>
          <w:kern w:val="22"/>
          <w:lang w:val="es-ES"/>
        </w:rPr>
        <w:t xml:space="preserve"> en la cadena de valor de especies vivas. Actualmente, </w:t>
      </w:r>
      <w:r w:rsidR="00D331CF" w:rsidRPr="002D2D0F">
        <w:rPr>
          <w:kern w:val="22"/>
          <w:lang w:val="es-ES"/>
        </w:rPr>
        <w:t>existen</w:t>
      </w:r>
      <w:r w:rsidRPr="002D2D0F">
        <w:rPr>
          <w:kern w:val="22"/>
          <w:lang w:val="es-ES"/>
        </w:rPr>
        <w:t xml:space="preserve"> enfoques de etiquetado de peligro armonizado</w:t>
      </w:r>
      <w:r w:rsidR="00D331CF" w:rsidRPr="002D2D0F">
        <w:rPr>
          <w:kern w:val="22"/>
          <w:lang w:val="es-ES"/>
        </w:rPr>
        <w:t xml:space="preserve">s </w:t>
      </w:r>
      <w:r w:rsidR="009B66F0">
        <w:rPr>
          <w:kern w:val="22"/>
          <w:lang w:val="es-ES"/>
        </w:rPr>
        <w:t xml:space="preserve">a nivel </w:t>
      </w:r>
      <w:r w:rsidR="009B66F0" w:rsidRPr="002D2D0F">
        <w:rPr>
          <w:kern w:val="22"/>
          <w:lang w:val="es-ES"/>
        </w:rPr>
        <w:t xml:space="preserve">mundial </w:t>
      </w:r>
      <w:r w:rsidR="00D331CF" w:rsidRPr="002D2D0F">
        <w:rPr>
          <w:kern w:val="22"/>
          <w:lang w:val="es-ES"/>
        </w:rPr>
        <w:t>adoptados por organizaciones internacionales</w:t>
      </w:r>
      <w:r w:rsidRPr="002D2D0F">
        <w:rPr>
          <w:kern w:val="22"/>
          <w:lang w:val="es-ES"/>
        </w:rPr>
        <w:t xml:space="preserve"> </w:t>
      </w:r>
      <w:r w:rsidR="00D331CF" w:rsidRPr="002D2D0F">
        <w:rPr>
          <w:kern w:val="22"/>
          <w:lang w:val="es-ES"/>
        </w:rPr>
        <w:t>para</w:t>
      </w:r>
      <w:r w:rsidRPr="002D2D0F">
        <w:rPr>
          <w:kern w:val="22"/>
          <w:lang w:val="es-ES"/>
        </w:rPr>
        <w:t xml:space="preserve"> comunica</w:t>
      </w:r>
      <w:r w:rsidR="00D331CF" w:rsidRPr="002D2D0F">
        <w:rPr>
          <w:kern w:val="22"/>
          <w:lang w:val="es-ES"/>
        </w:rPr>
        <w:t>r</w:t>
      </w:r>
      <w:r w:rsidRPr="002D2D0F">
        <w:rPr>
          <w:kern w:val="22"/>
          <w:lang w:val="es-ES"/>
        </w:rPr>
        <w:t xml:space="preserve"> riesgos en </w:t>
      </w:r>
      <w:r w:rsidR="00C36668" w:rsidRPr="002D2D0F">
        <w:rPr>
          <w:kern w:val="22"/>
          <w:lang w:val="es-ES"/>
        </w:rPr>
        <w:t>mercancías</w:t>
      </w:r>
      <w:r w:rsidRPr="002D2D0F">
        <w:rPr>
          <w:kern w:val="22"/>
          <w:lang w:val="es-ES"/>
        </w:rPr>
        <w:t xml:space="preserve"> transfronterizas que contienen distintas sustancias peligrosas.</w:t>
      </w:r>
      <w:r w:rsidR="00B44E21" w:rsidRPr="002D2D0F">
        <w:rPr>
          <w:kern w:val="22"/>
          <w:lang w:val="es-ES"/>
        </w:rPr>
        <w:t xml:space="preserve"> </w:t>
      </w:r>
      <w:r w:rsidRPr="002D2D0F">
        <w:rPr>
          <w:kern w:val="22"/>
          <w:lang w:val="es-ES"/>
        </w:rPr>
        <w:t>Algunos ejemplos de estos son:</w:t>
      </w:r>
    </w:p>
    <w:p w:rsidR="0032129A" w:rsidRPr="002D2D0F" w:rsidRDefault="0032129A" w:rsidP="0032129A">
      <w:pPr>
        <w:pStyle w:val="ListParagraph"/>
        <w:numPr>
          <w:ilvl w:val="1"/>
          <w:numId w:val="6"/>
        </w:numPr>
        <w:suppressLineNumbers/>
        <w:tabs>
          <w:tab w:val="clear" w:pos="1800"/>
        </w:tabs>
        <w:suppressAutoHyphens/>
        <w:kinsoku w:val="0"/>
        <w:overflowPunct w:val="0"/>
        <w:autoSpaceDE w:val="0"/>
        <w:autoSpaceDN w:val="0"/>
        <w:adjustRightInd w:val="0"/>
        <w:snapToGrid w:val="0"/>
        <w:spacing w:before="120" w:after="120"/>
        <w:ind w:left="0" w:firstLine="720"/>
        <w:contextualSpacing w:val="0"/>
        <w:rPr>
          <w:rFonts w:eastAsia="Yu Mincho"/>
          <w:lang w:val="es-ES"/>
        </w:rPr>
      </w:pPr>
      <w:r w:rsidRPr="002D2D0F">
        <w:rPr>
          <w:kern w:val="22"/>
          <w:lang w:val="es-ES"/>
        </w:rPr>
        <w:t xml:space="preserve">En el marco de la </w:t>
      </w:r>
      <w:hyperlink r:id="rId12" w:history="1">
        <w:r w:rsidRPr="002D2D0F">
          <w:rPr>
            <w:rStyle w:val="Hyperlink"/>
            <w:kern w:val="22"/>
            <w:lang w:val="es-ES"/>
          </w:rPr>
          <w:t>Organización Mundial de Sanidad Animal</w:t>
        </w:r>
      </w:hyperlink>
      <w:r w:rsidRPr="002D2D0F">
        <w:rPr>
          <w:kern w:val="22"/>
          <w:lang w:val="es-ES"/>
        </w:rPr>
        <w:t xml:space="preserve"> (OIE): las autoridades veterinarias </w:t>
      </w:r>
      <w:r w:rsidR="00C36668" w:rsidRPr="002D2D0F">
        <w:rPr>
          <w:kern w:val="22"/>
          <w:lang w:val="es-ES"/>
        </w:rPr>
        <w:t>determinan que</w:t>
      </w:r>
      <w:r w:rsidRPr="002D2D0F">
        <w:rPr>
          <w:kern w:val="22"/>
          <w:lang w:val="es-ES"/>
        </w:rPr>
        <w:t xml:space="preserve"> la identificación de un </w:t>
      </w:r>
      <w:r w:rsidR="00C36668" w:rsidRPr="002D2D0F">
        <w:rPr>
          <w:kern w:val="22"/>
          <w:lang w:val="es-ES"/>
        </w:rPr>
        <w:t xml:space="preserve">potencial </w:t>
      </w:r>
      <w:r w:rsidRPr="002D2D0F">
        <w:rPr>
          <w:kern w:val="22"/>
          <w:lang w:val="es-ES"/>
        </w:rPr>
        <w:t xml:space="preserve">riesgo sanitario en animales </w:t>
      </w:r>
      <w:r w:rsidR="00C36668" w:rsidRPr="002D2D0F">
        <w:rPr>
          <w:kern w:val="22"/>
          <w:lang w:val="es-ES"/>
        </w:rPr>
        <w:t>es una</w:t>
      </w:r>
      <w:r w:rsidRPr="002D2D0F">
        <w:rPr>
          <w:kern w:val="22"/>
          <w:lang w:val="es-ES"/>
        </w:rPr>
        <w:t xml:space="preserve"> “amenaza” con</w:t>
      </w:r>
      <w:r w:rsidR="00C36668" w:rsidRPr="002D2D0F">
        <w:rPr>
          <w:kern w:val="22"/>
          <w:lang w:val="es-ES"/>
        </w:rPr>
        <w:t>forme</w:t>
      </w:r>
      <w:r w:rsidRPr="002D2D0F">
        <w:rPr>
          <w:kern w:val="22"/>
          <w:lang w:val="es-ES"/>
        </w:rPr>
        <w:t xml:space="preserve"> a las normas internacionales existentes</w:t>
      </w:r>
      <w:r w:rsidRPr="002D2D0F">
        <w:rPr>
          <w:rFonts w:eastAsia="Yu Mincho"/>
          <w:kern w:val="22"/>
          <w:vertAlign w:val="superscript"/>
          <w:lang w:val="es-ES"/>
        </w:rPr>
        <w:footnoteReference w:id="13"/>
      </w:r>
      <w:r w:rsidRPr="002D2D0F">
        <w:rPr>
          <w:kern w:val="22"/>
          <w:vertAlign w:val="superscript"/>
          <w:lang w:val="es-ES"/>
        </w:rPr>
        <w:t>,</w:t>
      </w:r>
      <w:r w:rsidR="00C36668" w:rsidRPr="002D2D0F">
        <w:rPr>
          <w:kern w:val="22"/>
          <w:vertAlign w:val="superscript"/>
          <w:lang w:val="es-ES"/>
        </w:rPr>
        <w:t xml:space="preserve"> </w:t>
      </w:r>
      <w:r w:rsidRPr="002D2D0F">
        <w:rPr>
          <w:rFonts w:eastAsia="Yu Mincho"/>
          <w:kern w:val="22"/>
          <w:vertAlign w:val="superscript"/>
          <w:lang w:val="es-ES"/>
        </w:rPr>
        <w:footnoteReference w:id="14"/>
      </w:r>
      <w:r w:rsidRPr="002D2D0F">
        <w:rPr>
          <w:kern w:val="22"/>
          <w:lang w:val="es-ES"/>
        </w:rPr>
        <w:t>;</w:t>
      </w:r>
    </w:p>
    <w:p w:rsidR="00D37381" w:rsidRPr="002D2D0F" w:rsidRDefault="00D37381" w:rsidP="00D37381">
      <w:pPr>
        <w:pStyle w:val="ListParagraph"/>
        <w:numPr>
          <w:ilvl w:val="1"/>
          <w:numId w:val="6"/>
        </w:numPr>
        <w:suppressLineNumbers/>
        <w:tabs>
          <w:tab w:val="clear" w:pos="1800"/>
        </w:tabs>
        <w:suppressAutoHyphens/>
        <w:kinsoku w:val="0"/>
        <w:overflowPunct w:val="0"/>
        <w:autoSpaceDE w:val="0"/>
        <w:autoSpaceDN w:val="0"/>
        <w:adjustRightInd w:val="0"/>
        <w:snapToGrid w:val="0"/>
        <w:spacing w:before="120" w:after="120"/>
        <w:ind w:left="0" w:firstLine="720"/>
        <w:contextualSpacing w:val="0"/>
        <w:rPr>
          <w:rFonts w:eastAsia="Yu Mincho"/>
          <w:lang w:val="es-ES"/>
        </w:rPr>
      </w:pPr>
      <w:r w:rsidRPr="002D2D0F">
        <w:rPr>
          <w:kern w:val="22"/>
          <w:lang w:val="es-ES"/>
        </w:rPr>
        <w:t xml:space="preserve">En el marco de la Organización Mundial de Aduanas (OMA): para la identificación de riesgos fronterizos potenciales por las autoridades </w:t>
      </w:r>
      <w:r w:rsidR="009B66F0" w:rsidRPr="002D2D0F">
        <w:rPr>
          <w:kern w:val="22"/>
          <w:lang w:val="es-ES"/>
        </w:rPr>
        <w:t>aduan</w:t>
      </w:r>
      <w:r w:rsidR="009B66F0">
        <w:rPr>
          <w:kern w:val="22"/>
          <w:lang w:val="es-ES"/>
        </w:rPr>
        <w:t>er</w:t>
      </w:r>
      <w:r w:rsidR="009B66F0" w:rsidRPr="002D2D0F">
        <w:rPr>
          <w:kern w:val="22"/>
          <w:lang w:val="es-ES"/>
        </w:rPr>
        <w:t>a</w:t>
      </w:r>
      <w:r w:rsidR="009B66F0">
        <w:rPr>
          <w:kern w:val="22"/>
          <w:lang w:val="es-ES"/>
        </w:rPr>
        <w:t>s</w:t>
      </w:r>
      <w:r w:rsidR="009B66F0" w:rsidRPr="002D2D0F">
        <w:rPr>
          <w:kern w:val="22"/>
          <w:lang w:val="es-ES"/>
        </w:rPr>
        <w:t xml:space="preserve"> </w:t>
      </w:r>
      <w:r w:rsidRPr="002D2D0F">
        <w:rPr>
          <w:kern w:val="22"/>
          <w:lang w:val="es-ES"/>
        </w:rPr>
        <w:t>nacionales se utilizan etiquetas o documentos que se adjuntan a los envíos con una “indicación de peligro”</w:t>
      </w:r>
      <w:r w:rsidRPr="002D2D0F">
        <w:rPr>
          <w:rStyle w:val="FootnoteReference"/>
          <w:rFonts w:eastAsia="Yu Mincho"/>
          <w:kern w:val="22"/>
          <w:sz w:val="22"/>
          <w:szCs w:val="22"/>
          <w:u w:val="none"/>
          <w:vertAlign w:val="superscript"/>
          <w:lang w:val="es-ES"/>
        </w:rPr>
        <w:footnoteReference w:id="15"/>
      </w:r>
      <w:r w:rsidRPr="002D2D0F">
        <w:rPr>
          <w:kern w:val="22"/>
          <w:szCs w:val="22"/>
          <w:vertAlign w:val="superscript"/>
          <w:lang w:val="es-ES"/>
        </w:rPr>
        <w:t>,</w:t>
      </w:r>
      <w:r w:rsidR="00452A75" w:rsidRPr="002D2D0F">
        <w:rPr>
          <w:kern w:val="22"/>
          <w:szCs w:val="22"/>
          <w:vertAlign w:val="superscript"/>
          <w:lang w:val="es-ES"/>
        </w:rPr>
        <w:t xml:space="preserve"> </w:t>
      </w:r>
      <w:r w:rsidRPr="002D2D0F">
        <w:rPr>
          <w:rStyle w:val="FootnoteReference"/>
          <w:rFonts w:eastAsia="Yu Mincho"/>
          <w:kern w:val="22"/>
          <w:sz w:val="22"/>
          <w:szCs w:val="22"/>
          <w:u w:val="none"/>
          <w:vertAlign w:val="superscript"/>
          <w:lang w:val="es-ES"/>
        </w:rPr>
        <w:footnoteReference w:id="16"/>
      </w:r>
      <w:r w:rsidRPr="002D2D0F">
        <w:rPr>
          <w:kern w:val="22"/>
          <w:lang w:val="es-ES"/>
        </w:rPr>
        <w:t>;</w:t>
      </w:r>
    </w:p>
    <w:p w:rsidR="008956E2" w:rsidRPr="002D2D0F" w:rsidRDefault="008956E2" w:rsidP="00B44E21">
      <w:pPr>
        <w:pStyle w:val="ListParagraph"/>
        <w:numPr>
          <w:ilvl w:val="1"/>
          <w:numId w:val="6"/>
        </w:numPr>
        <w:suppressLineNumbers/>
        <w:tabs>
          <w:tab w:val="clear" w:pos="1800"/>
        </w:tabs>
        <w:suppressAutoHyphens/>
        <w:kinsoku w:val="0"/>
        <w:overflowPunct w:val="0"/>
        <w:autoSpaceDE w:val="0"/>
        <w:autoSpaceDN w:val="0"/>
        <w:adjustRightInd w:val="0"/>
        <w:snapToGrid w:val="0"/>
        <w:spacing w:before="120" w:after="120"/>
        <w:ind w:left="0" w:firstLine="720"/>
        <w:contextualSpacing w:val="0"/>
        <w:rPr>
          <w:lang w:val="es-ES"/>
        </w:rPr>
      </w:pPr>
      <w:r w:rsidRPr="002D2D0F">
        <w:rPr>
          <w:kern w:val="22"/>
          <w:lang w:val="es-ES"/>
        </w:rPr>
        <w:t xml:space="preserve">En el marco de la </w:t>
      </w:r>
      <w:hyperlink r:id="rId13" w:history="1">
        <w:r w:rsidRPr="002D2D0F">
          <w:rPr>
            <w:rStyle w:val="Hyperlink"/>
            <w:kern w:val="22"/>
            <w:lang w:val="es-ES"/>
          </w:rPr>
          <w:t>Organización Mundial de la Salud</w:t>
        </w:r>
      </w:hyperlink>
      <w:r w:rsidRPr="002D2D0F">
        <w:rPr>
          <w:kern w:val="22"/>
          <w:lang w:val="es-ES"/>
        </w:rPr>
        <w:t xml:space="preserve"> (OM</w:t>
      </w:r>
      <w:r w:rsidR="00B44E21" w:rsidRPr="002D2D0F">
        <w:rPr>
          <w:kern w:val="22"/>
          <w:lang w:val="es-ES"/>
        </w:rPr>
        <w:t>S</w:t>
      </w:r>
      <w:r w:rsidRPr="002D2D0F">
        <w:rPr>
          <w:kern w:val="22"/>
          <w:lang w:val="es-ES"/>
        </w:rPr>
        <w:t>): la Guía sobre la reglamentación relativa al Transporte de Sustancias Infecciosas 2015-2016</w:t>
      </w:r>
      <w:r w:rsidRPr="002D2D0F">
        <w:rPr>
          <w:rStyle w:val="FootnoteReference"/>
          <w:kern w:val="22"/>
          <w:sz w:val="22"/>
          <w:szCs w:val="22"/>
          <w:u w:val="none"/>
          <w:vertAlign w:val="superscript"/>
          <w:lang w:val="es-ES"/>
        </w:rPr>
        <w:footnoteReference w:id="17"/>
      </w:r>
      <w:r w:rsidR="000D7E4C" w:rsidRPr="002D2D0F">
        <w:rPr>
          <w:kern w:val="22"/>
          <w:lang w:val="es-ES"/>
        </w:rPr>
        <w:t> </w:t>
      </w:r>
      <w:r w:rsidRPr="002D2D0F">
        <w:rPr>
          <w:kern w:val="22"/>
          <w:lang w:val="es-ES"/>
        </w:rPr>
        <w:t xml:space="preserve">establece requisitos </w:t>
      </w:r>
      <w:r w:rsidR="00055231" w:rsidRPr="002D2D0F">
        <w:rPr>
          <w:kern w:val="22"/>
          <w:lang w:val="es-ES"/>
        </w:rPr>
        <w:t>específicos</w:t>
      </w:r>
      <w:r w:rsidRPr="002D2D0F">
        <w:rPr>
          <w:kern w:val="22"/>
          <w:lang w:val="es-ES"/>
        </w:rPr>
        <w:t xml:space="preserve"> de e</w:t>
      </w:r>
      <w:r w:rsidR="008F64CA" w:rsidRPr="002D2D0F">
        <w:rPr>
          <w:kern w:val="22"/>
          <w:lang w:val="es-ES"/>
        </w:rPr>
        <w:t>nv</w:t>
      </w:r>
      <w:r w:rsidRPr="002D2D0F">
        <w:rPr>
          <w:kern w:val="22"/>
          <w:lang w:val="es-ES"/>
        </w:rPr>
        <w:t>asado/embalaje, etiquetado y documentación correspondientes a las sustancias infecciosas (incluidos cultivos, muestras de pacientes, productos biológicos fabricados, microorganismos y organismos modificados genéticamente y desechos médicos y clínicos);</w:t>
      </w:r>
    </w:p>
    <w:p w:rsidR="002C596C" w:rsidRPr="002D2D0F" w:rsidRDefault="002C596C" w:rsidP="002C596C">
      <w:pPr>
        <w:pStyle w:val="ListParagraph"/>
        <w:numPr>
          <w:ilvl w:val="1"/>
          <w:numId w:val="6"/>
        </w:numPr>
        <w:suppressLineNumbers/>
        <w:tabs>
          <w:tab w:val="clear" w:pos="1800"/>
        </w:tabs>
        <w:suppressAutoHyphens/>
        <w:kinsoku w:val="0"/>
        <w:overflowPunct w:val="0"/>
        <w:autoSpaceDE w:val="0"/>
        <w:autoSpaceDN w:val="0"/>
        <w:adjustRightInd w:val="0"/>
        <w:snapToGrid w:val="0"/>
        <w:spacing w:before="120" w:after="120"/>
        <w:ind w:left="0" w:firstLine="720"/>
        <w:contextualSpacing w:val="0"/>
        <w:rPr>
          <w:lang w:val="es-ES"/>
        </w:rPr>
      </w:pPr>
      <w:r w:rsidRPr="002D2D0F">
        <w:rPr>
          <w:kern w:val="22"/>
          <w:lang w:val="es-ES"/>
        </w:rPr>
        <w:t xml:space="preserve">En el marco de las </w:t>
      </w:r>
      <w:hyperlink r:id="rId14" w:history="1">
        <w:r w:rsidRPr="002D2D0F">
          <w:rPr>
            <w:rStyle w:val="Hyperlink"/>
            <w:kern w:val="22"/>
            <w:lang w:val="es-ES"/>
          </w:rPr>
          <w:t>Naciones Unidas</w:t>
        </w:r>
      </w:hyperlink>
      <w:r w:rsidRPr="002D2D0F">
        <w:rPr>
          <w:kern w:val="22"/>
          <w:lang w:val="es-ES"/>
        </w:rPr>
        <w:t>: la cuarta edición del</w:t>
      </w:r>
      <w:r w:rsidRPr="002D2D0F">
        <w:rPr>
          <w:i/>
          <w:kern w:val="22"/>
          <w:lang w:val="es-ES"/>
        </w:rPr>
        <w:t xml:space="preserve"> Sistema Globalmente Armonizado de Clasificación y Etiquetado de Sustancias Químicas</w:t>
      </w:r>
      <w:r w:rsidRPr="002D2D0F">
        <w:rPr>
          <w:rStyle w:val="FootnoteReference"/>
          <w:rFonts w:eastAsia="Yu Mincho"/>
          <w:kern w:val="22"/>
          <w:sz w:val="22"/>
          <w:szCs w:val="22"/>
          <w:u w:val="none"/>
          <w:vertAlign w:val="superscript"/>
          <w:lang w:val="es-ES"/>
        </w:rPr>
        <w:footnoteReference w:id="18"/>
      </w:r>
      <w:r w:rsidR="00E57FAE" w:rsidRPr="002D2D0F">
        <w:rPr>
          <w:kern w:val="22"/>
          <w:lang w:val="es-ES"/>
        </w:rPr>
        <w:t> </w:t>
      </w:r>
      <w:r w:rsidRPr="002D2D0F">
        <w:rPr>
          <w:kern w:val="22"/>
          <w:lang w:val="es-ES"/>
        </w:rPr>
        <w:t>brinda orientación sobre los elementos armonizados de comunicación de “peligros” y peligros químicos con potencial de producir impactos ambientales duraderos, incluidos los requisitos para el etiquetado y las fichas de datos de seguridad sobre “peligros químicos”. El Sistema Globalmente Armonizado fue desarrollado por un comité de expertos bajo los auspicios del Consejo Económico y Social de las Naciones Unidas</w:t>
      </w:r>
      <w:r w:rsidRPr="002D2D0F">
        <w:rPr>
          <w:rStyle w:val="FootnoteReference"/>
          <w:rFonts w:eastAsia="Yu Mincho"/>
          <w:kern w:val="22"/>
          <w:sz w:val="22"/>
          <w:szCs w:val="22"/>
          <w:u w:val="none"/>
          <w:vertAlign w:val="superscript"/>
          <w:lang w:val="es-ES"/>
        </w:rPr>
        <w:footnoteReference w:id="19"/>
      </w:r>
      <w:r w:rsidRPr="002D2D0F">
        <w:rPr>
          <w:kern w:val="22"/>
          <w:lang w:val="es-ES"/>
        </w:rPr>
        <w:t>.</w:t>
      </w:r>
    </w:p>
    <w:p w:rsidR="00FB2EC2" w:rsidRPr="002D2D0F" w:rsidRDefault="00FB2EC2" w:rsidP="00FB2EC2">
      <w:pPr>
        <w:numPr>
          <w:ilvl w:val="0"/>
          <w:numId w:val="6"/>
        </w:numPr>
        <w:suppressLineNumbers/>
        <w:suppressAutoHyphens/>
        <w:kinsoku w:val="0"/>
        <w:overflowPunct w:val="0"/>
        <w:autoSpaceDE w:val="0"/>
        <w:autoSpaceDN w:val="0"/>
        <w:adjustRightInd w:val="0"/>
        <w:snapToGrid w:val="0"/>
        <w:ind w:left="0" w:hanging="11"/>
        <w:rPr>
          <w:lang w:val="es-ES"/>
        </w:rPr>
      </w:pPr>
      <w:r w:rsidRPr="002D2D0F">
        <w:rPr>
          <w:kern w:val="22"/>
          <w:lang w:val="es-ES"/>
        </w:rPr>
        <w:t xml:space="preserve">Contar con métodos de comunicación de riesgos armonizados a nivel mundial ayudaría a comunicar formas </w:t>
      </w:r>
      <w:r w:rsidR="009B66F0">
        <w:rPr>
          <w:kern w:val="22"/>
          <w:lang w:val="es-ES"/>
        </w:rPr>
        <w:t>para</w:t>
      </w:r>
      <w:r w:rsidRPr="002D2D0F">
        <w:rPr>
          <w:kern w:val="22"/>
          <w:lang w:val="es-ES"/>
        </w:rPr>
        <w:t xml:space="preserve"> impedir la introducción de especies exóticas invasoras a </w:t>
      </w:r>
      <w:r w:rsidR="009B66F0">
        <w:rPr>
          <w:kern w:val="22"/>
          <w:lang w:val="es-ES"/>
        </w:rPr>
        <w:t>la gran diversidad</w:t>
      </w:r>
      <w:r w:rsidRPr="002D2D0F">
        <w:rPr>
          <w:kern w:val="22"/>
          <w:lang w:val="es-ES"/>
        </w:rPr>
        <w:t xml:space="preserve"> de interesados directos que </w:t>
      </w:r>
      <w:r w:rsidR="00EE0D73" w:rsidRPr="002D2D0F">
        <w:rPr>
          <w:kern w:val="22"/>
          <w:lang w:val="es-ES"/>
        </w:rPr>
        <w:t>intervienen</w:t>
      </w:r>
      <w:r w:rsidRPr="002D2D0F">
        <w:rPr>
          <w:kern w:val="22"/>
          <w:lang w:val="es-ES"/>
        </w:rPr>
        <w:t xml:space="preserve"> en el comercio de especies vivas. El Órgano Subsidiario de Asesoramiento Científico, Técnico y Tecnológico podría estimar </w:t>
      </w:r>
      <w:r w:rsidR="00055231" w:rsidRPr="002D2D0F">
        <w:rPr>
          <w:kern w:val="22"/>
          <w:lang w:val="es-ES"/>
        </w:rPr>
        <w:t>oportuno</w:t>
      </w:r>
      <w:r w:rsidRPr="002D2D0F">
        <w:rPr>
          <w:kern w:val="22"/>
          <w:lang w:val="es-ES"/>
        </w:rPr>
        <w:t xml:space="preserve"> considerar la posibilidad de desarrollar etiquetado armonizado a nivel mundial para los envíos transfronterizos de especies vivas que pudieran potencialmente producir impactos peligrosos en la diversidad biológica y los servicios de los ecosistemas.</w:t>
      </w:r>
    </w:p>
    <w:p w:rsidR="00FB2EC2" w:rsidRPr="002D2D0F" w:rsidRDefault="00D67923" w:rsidP="00FB2EC2">
      <w:pPr>
        <w:pStyle w:val="Heading1multiline"/>
        <w:keepLines/>
        <w:numPr>
          <w:ilvl w:val="0"/>
          <w:numId w:val="14"/>
        </w:numPr>
        <w:suppressLineNumbers/>
        <w:tabs>
          <w:tab w:val="clear" w:pos="720"/>
        </w:tabs>
        <w:suppressAutoHyphens/>
        <w:kinsoku w:val="0"/>
        <w:overflowPunct w:val="0"/>
        <w:autoSpaceDE w:val="0"/>
        <w:autoSpaceDN w:val="0"/>
        <w:adjustRightInd w:val="0"/>
        <w:snapToGrid w:val="0"/>
        <w:spacing w:before="120"/>
        <w:ind w:left="1296" w:right="1008" w:hanging="576"/>
        <w:rPr>
          <w:rFonts w:eastAsia="Yu Mincho"/>
          <w:kern w:val="22"/>
          <w:lang w:val="es-ES"/>
        </w:rPr>
      </w:pPr>
      <w:r w:rsidRPr="002D2D0F">
        <w:rPr>
          <w:caps w:val="0"/>
          <w:kern w:val="22"/>
          <w:lang w:val="es-ES"/>
        </w:rPr>
        <w:lastRenderedPageBreak/>
        <w:t xml:space="preserve">PROGRESOS EN </w:t>
      </w:r>
      <w:r w:rsidR="00FB2EC2" w:rsidRPr="002D2D0F">
        <w:rPr>
          <w:caps w:val="0"/>
          <w:kern w:val="22"/>
          <w:lang w:val="es-ES"/>
        </w:rPr>
        <w:t>L</w:t>
      </w:r>
      <w:r w:rsidRPr="002D2D0F">
        <w:rPr>
          <w:caps w:val="0"/>
          <w:kern w:val="22"/>
          <w:lang w:val="es-ES"/>
        </w:rPr>
        <w:t>A</w:t>
      </w:r>
      <w:r w:rsidR="00FB2EC2" w:rsidRPr="002D2D0F">
        <w:rPr>
          <w:caps w:val="0"/>
          <w:kern w:val="22"/>
          <w:lang w:val="es-ES"/>
        </w:rPr>
        <w:t xml:space="preserve"> EL</w:t>
      </w:r>
      <w:r w:rsidRPr="002D2D0F">
        <w:rPr>
          <w:caps w:val="0"/>
          <w:kern w:val="22"/>
          <w:lang w:val="es-ES"/>
        </w:rPr>
        <w:t>AB</w:t>
      </w:r>
      <w:r w:rsidR="00FB2EC2" w:rsidRPr="002D2D0F">
        <w:rPr>
          <w:caps w:val="0"/>
          <w:kern w:val="22"/>
          <w:lang w:val="es-ES"/>
        </w:rPr>
        <w:t>O</w:t>
      </w:r>
      <w:r w:rsidRPr="002D2D0F">
        <w:rPr>
          <w:caps w:val="0"/>
          <w:kern w:val="22"/>
          <w:lang w:val="es-ES"/>
        </w:rPr>
        <w:t>RACIÓN</w:t>
      </w:r>
      <w:r w:rsidR="00FB2EC2" w:rsidRPr="002D2D0F">
        <w:rPr>
          <w:caps w:val="0"/>
          <w:kern w:val="22"/>
          <w:lang w:val="es-ES"/>
        </w:rPr>
        <w:t xml:space="preserve"> DE </w:t>
      </w:r>
      <w:r w:rsidR="00091337" w:rsidRPr="002D2D0F">
        <w:rPr>
          <w:caps w:val="0"/>
          <w:kern w:val="22"/>
          <w:lang w:val="es-ES"/>
        </w:rPr>
        <w:t xml:space="preserve">UNA </w:t>
      </w:r>
      <w:r w:rsidR="00FB2EC2" w:rsidRPr="002D2D0F">
        <w:rPr>
          <w:caps w:val="0"/>
          <w:kern w:val="22"/>
          <w:lang w:val="es-ES"/>
        </w:rPr>
        <w:t>ORIENTACI</w:t>
      </w:r>
      <w:r w:rsidR="00091337" w:rsidRPr="002D2D0F">
        <w:rPr>
          <w:caps w:val="0"/>
          <w:kern w:val="22"/>
          <w:lang w:val="es-ES"/>
        </w:rPr>
        <w:t>Ó</w:t>
      </w:r>
      <w:r w:rsidR="00FB2EC2" w:rsidRPr="002D2D0F">
        <w:rPr>
          <w:caps w:val="0"/>
          <w:kern w:val="22"/>
          <w:lang w:val="es-ES"/>
        </w:rPr>
        <w:t>N PARA</w:t>
      </w:r>
      <w:r w:rsidR="00091337" w:rsidRPr="002D2D0F">
        <w:rPr>
          <w:caps w:val="0"/>
          <w:kern w:val="22"/>
          <w:lang w:val="es-ES"/>
        </w:rPr>
        <w:t> </w:t>
      </w:r>
      <w:r w:rsidR="00FB2EC2" w:rsidRPr="002D2D0F">
        <w:rPr>
          <w:caps w:val="0"/>
          <w:kern w:val="22"/>
          <w:lang w:val="es-ES"/>
        </w:rPr>
        <w:t xml:space="preserve">LAS PARTES QUE </w:t>
      </w:r>
      <w:r w:rsidR="009B66F0">
        <w:rPr>
          <w:caps w:val="0"/>
          <w:kern w:val="22"/>
          <w:lang w:val="es-ES"/>
        </w:rPr>
        <w:t>PUEDA AYUDAR</w:t>
      </w:r>
      <w:r w:rsidR="00FB2EC2" w:rsidRPr="002D2D0F">
        <w:rPr>
          <w:caps w:val="0"/>
          <w:kern w:val="22"/>
          <w:lang w:val="es-ES"/>
        </w:rPr>
        <w:t xml:space="preserve"> A AUTORIDADES </w:t>
      </w:r>
      <w:r w:rsidR="009B66F0" w:rsidRPr="002D2D0F">
        <w:rPr>
          <w:caps w:val="0"/>
          <w:kern w:val="22"/>
          <w:lang w:val="es-ES"/>
        </w:rPr>
        <w:t>ADUAN</w:t>
      </w:r>
      <w:r w:rsidR="009B66F0">
        <w:rPr>
          <w:caps w:val="0"/>
          <w:kern w:val="22"/>
          <w:lang w:val="es-ES"/>
        </w:rPr>
        <w:t>ER</w:t>
      </w:r>
      <w:r w:rsidR="009B66F0" w:rsidRPr="002D2D0F">
        <w:rPr>
          <w:caps w:val="0"/>
          <w:kern w:val="22"/>
          <w:lang w:val="es-ES"/>
        </w:rPr>
        <w:t xml:space="preserve">AS </w:t>
      </w:r>
      <w:r w:rsidR="00FB2EC2" w:rsidRPr="002D2D0F">
        <w:rPr>
          <w:caps w:val="0"/>
          <w:kern w:val="22"/>
          <w:lang w:val="es-ES"/>
        </w:rPr>
        <w:t>NACIONALES EN LA FACILITACIÓN DEL CONTROL</w:t>
      </w:r>
      <w:r w:rsidR="00091337" w:rsidRPr="002D2D0F">
        <w:rPr>
          <w:caps w:val="0"/>
          <w:kern w:val="22"/>
          <w:lang w:val="es-ES"/>
        </w:rPr>
        <w:t xml:space="preserve"> NECESARIO</w:t>
      </w:r>
      <w:r w:rsidR="00FB2EC2" w:rsidRPr="002D2D0F">
        <w:rPr>
          <w:caps w:val="0"/>
          <w:kern w:val="22"/>
          <w:lang w:val="es-ES"/>
        </w:rPr>
        <w:t xml:space="preserve"> DE</w:t>
      </w:r>
      <w:r w:rsidR="00091337" w:rsidRPr="002D2D0F">
        <w:rPr>
          <w:caps w:val="0"/>
          <w:kern w:val="22"/>
          <w:lang w:val="es-ES"/>
        </w:rPr>
        <w:t> </w:t>
      </w:r>
      <w:r w:rsidR="00FB2EC2" w:rsidRPr="002D2D0F">
        <w:rPr>
          <w:caps w:val="0"/>
          <w:kern w:val="22"/>
          <w:lang w:val="es-ES"/>
        </w:rPr>
        <w:t xml:space="preserve">ESPECIES EXÓTICAS VIVAS VENDIDAS </w:t>
      </w:r>
      <w:r w:rsidR="00091337" w:rsidRPr="002D2D0F">
        <w:rPr>
          <w:caps w:val="0"/>
          <w:kern w:val="22"/>
          <w:lang w:val="es-ES"/>
        </w:rPr>
        <w:t xml:space="preserve">VÍA </w:t>
      </w:r>
      <w:r w:rsidR="00FB2EC2" w:rsidRPr="002D2D0F">
        <w:rPr>
          <w:caps w:val="0"/>
          <w:kern w:val="22"/>
          <w:lang w:val="es-ES"/>
        </w:rPr>
        <w:t>COMERCIO ELECTRÓNICO</w:t>
      </w:r>
    </w:p>
    <w:p w:rsidR="0037631A" w:rsidRPr="002D2D0F" w:rsidRDefault="0037631A" w:rsidP="0037631A">
      <w:pPr>
        <w:numPr>
          <w:ilvl w:val="0"/>
          <w:numId w:val="6"/>
        </w:numPr>
        <w:suppressLineNumbers/>
        <w:suppressAutoHyphens/>
        <w:kinsoku w:val="0"/>
        <w:overflowPunct w:val="0"/>
        <w:autoSpaceDE w:val="0"/>
        <w:autoSpaceDN w:val="0"/>
        <w:adjustRightInd w:val="0"/>
        <w:snapToGrid w:val="0"/>
        <w:ind w:left="0" w:firstLine="0"/>
        <w:rPr>
          <w:lang w:val="es-ES"/>
        </w:rPr>
      </w:pPr>
      <w:r w:rsidRPr="002D2D0F">
        <w:rPr>
          <w:kern w:val="22"/>
          <w:lang w:val="es-ES"/>
        </w:rPr>
        <w:t xml:space="preserve">Como </w:t>
      </w:r>
      <w:r w:rsidR="00091337" w:rsidRPr="002D2D0F">
        <w:rPr>
          <w:kern w:val="22"/>
          <w:lang w:val="es-ES"/>
        </w:rPr>
        <w:t xml:space="preserve">ya </w:t>
      </w:r>
      <w:r w:rsidRPr="002D2D0F">
        <w:rPr>
          <w:kern w:val="22"/>
          <w:lang w:val="es-ES"/>
        </w:rPr>
        <w:t xml:space="preserve">se señaló, en la decisión XIII/13 se pidió al Secretario Ejecutivo que explorara, en colaboración con diversas organizaciones internacionales, la necesidad de preparar herramientas u orientación para las Partes que pudieran servir a las autoridades aduaneras nacionales para facilitar el control necesario de las especies exóticas vivas </w:t>
      </w:r>
      <w:r w:rsidR="00091337" w:rsidRPr="002D2D0F">
        <w:rPr>
          <w:kern w:val="22"/>
          <w:lang w:val="es-ES"/>
        </w:rPr>
        <w:t xml:space="preserve">vendidas </w:t>
      </w:r>
      <w:r w:rsidRPr="002D2D0F">
        <w:rPr>
          <w:kern w:val="22"/>
          <w:lang w:val="es-ES"/>
        </w:rPr>
        <w:t>vía comercio electrónico</w:t>
      </w:r>
      <w:r w:rsidRPr="002D2D0F">
        <w:rPr>
          <w:rStyle w:val="FootnoteReference"/>
          <w:kern w:val="22"/>
          <w:sz w:val="22"/>
          <w:szCs w:val="22"/>
          <w:u w:val="none"/>
          <w:vertAlign w:val="superscript"/>
          <w:lang w:val="es-ES"/>
        </w:rPr>
        <w:footnoteReference w:id="20"/>
      </w:r>
      <w:r w:rsidRPr="002D2D0F">
        <w:rPr>
          <w:kern w:val="22"/>
          <w:lang w:val="es-ES"/>
        </w:rPr>
        <w:t>. E</w:t>
      </w:r>
      <w:r w:rsidR="005C13DD" w:rsidRPr="002D2D0F">
        <w:rPr>
          <w:kern w:val="22"/>
          <w:lang w:val="es-ES"/>
        </w:rPr>
        <w:t>n lo que respecta al comercio de especies vivas</w:t>
      </w:r>
      <w:r w:rsidR="005C13DD">
        <w:rPr>
          <w:kern w:val="22"/>
          <w:lang w:val="es-ES"/>
        </w:rPr>
        <w:t>, el</w:t>
      </w:r>
      <w:r w:rsidR="005C13DD" w:rsidRPr="002D2D0F">
        <w:rPr>
          <w:kern w:val="22"/>
          <w:lang w:val="es-ES"/>
        </w:rPr>
        <w:t xml:space="preserve"> </w:t>
      </w:r>
      <w:r w:rsidRPr="002D2D0F">
        <w:rPr>
          <w:kern w:val="22"/>
          <w:lang w:val="es-ES"/>
        </w:rPr>
        <w:t>tema del comercio electrónico se ha abordado en diversos foros internacionales</w:t>
      </w:r>
      <w:r w:rsidR="00091337" w:rsidRPr="002D2D0F">
        <w:rPr>
          <w:kern w:val="22"/>
          <w:lang w:val="es-ES"/>
        </w:rPr>
        <w:t>, a saber</w:t>
      </w:r>
      <w:r w:rsidRPr="002D2D0F">
        <w:rPr>
          <w:kern w:val="22"/>
          <w:lang w:val="es-ES"/>
        </w:rPr>
        <w:t>:</w:t>
      </w:r>
    </w:p>
    <w:p w:rsidR="00745CAB" w:rsidRPr="002D2D0F" w:rsidRDefault="00745CAB" w:rsidP="00745CAB">
      <w:pPr>
        <w:pStyle w:val="ListParagraph"/>
        <w:numPr>
          <w:ilvl w:val="0"/>
          <w:numId w:val="12"/>
        </w:numPr>
        <w:suppressLineNumbers/>
        <w:tabs>
          <w:tab w:val="clear" w:pos="1080"/>
        </w:tabs>
        <w:suppressAutoHyphens/>
        <w:kinsoku w:val="0"/>
        <w:overflowPunct w:val="0"/>
        <w:autoSpaceDE w:val="0"/>
        <w:autoSpaceDN w:val="0"/>
        <w:adjustRightInd w:val="0"/>
        <w:snapToGrid w:val="0"/>
        <w:spacing w:before="120" w:after="120"/>
        <w:ind w:left="0" w:firstLine="720"/>
        <w:contextualSpacing w:val="0"/>
        <w:rPr>
          <w:lang w:val="es-ES"/>
        </w:rPr>
      </w:pPr>
      <w:r w:rsidRPr="002D2D0F">
        <w:rPr>
          <w:kern w:val="22"/>
          <w:lang w:val="es-ES"/>
        </w:rPr>
        <w:t xml:space="preserve">La Conferencia de las Partes en la </w:t>
      </w:r>
      <w:hyperlink r:id="rId15" w:history="1">
        <w:r w:rsidRPr="002D2D0F">
          <w:rPr>
            <w:rStyle w:val="Hyperlink"/>
            <w:kern w:val="22"/>
            <w:lang w:val="es-ES"/>
          </w:rPr>
          <w:t>Convención sobre el Comercio Internacional de Especies Amenazadas de Fauna y Flora Silvestres</w:t>
        </w:r>
      </w:hyperlink>
      <w:r w:rsidRPr="002D2D0F">
        <w:rPr>
          <w:kern w:val="22"/>
          <w:lang w:val="es-ES"/>
        </w:rPr>
        <w:t xml:space="preserve"> (CITES) modificó una resolución </w:t>
      </w:r>
      <w:r w:rsidR="005C13DD">
        <w:rPr>
          <w:kern w:val="22"/>
          <w:lang w:val="es-ES"/>
        </w:rPr>
        <w:t>sobre e</w:t>
      </w:r>
      <w:r w:rsidRPr="002D2D0F">
        <w:rPr>
          <w:kern w:val="22"/>
          <w:lang w:val="es-ES"/>
        </w:rPr>
        <w:t>l comercio electrónico de especímenes de especies incluidas en los Apéndices de la CITES</w:t>
      </w:r>
      <w:r w:rsidRPr="002D2D0F">
        <w:rPr>
          <w:rFonts w:eastAsia="MS Mincho"/>
          <w:kern w:val="22"/>
          <w:vertAlign w:val="superscript"/>
          <w:lang w:val="es-ES"/>
        </w:rPr>
        <w:footnoteReference w:id="21"/>
      </w:r>
      <w:r w:rsidR="00091337" w:rsidRPr="002D2D0F">
        <w:rPr>
          <w:kern w:val="22"/>
          <w:lang w:val="es-ES"/>
        </w:rPr>
        <w:t> </w:t>
      </w:r>
      <w:r w:rsidRPr="002D2D0F">
        <w:rPr>
          <w:kern w:val="22"/>
          <w:lang w:val="es-ES"/>
        </w:rPr>
        <w:t>y</w:t>
      </w:r>
      <w:r w:rsidR="00091337" w:rsidRPr="002D2D0F">
        <w:rPr>
          <w:kern w:val="22"/>
          <w:lang w:val="es-ES"/>
        </w:rPr>
        <w:t> </w:t>
      </w:r>
      <w:r w:rsidRPr="002D2D0F">
        <w:rPr>
          <w:kern w:val="22"/>
          <w:lang w:val="es-ES"/>
        </w:rPr>
        <w:t xml:space="preserve">formuló recomendaciones a las Partes en la CITES </w:t>
      </w:r>
      <w:r w:rsidR="005C13DD">
        <w:rPr>
          <w:kern w:val="22"/>
          <w:lang w:val="es-ES"/>
        </w:rPr>
        <w:t>referidas</w:t>
      </w:r>
      <w:r w:rsidRPr="002D2D0F">
        <w:rPr>
          <w:kern w:val="22"/>
          <w:lang w:val="es-ES"/>
        </w:rPr>
        <w:t xml:space="preserve"> </w:t>
      </w:r>
      <w:r w:rsidR="005C13DD">
        <w:rPr>
          <w:kern w:val="22"/>
          <w:lang w:val="es-ES"/>
        </w:rPr>
        <w:t>a</w:t>
      </w:r>
      <w:r w:rsidRPr="002D2D0F">
        <w:rPr>
          <w:kern w:val="22"/>
          <w:lang w:val="es-ES"/>
        </w:rPr>
        <w:t>l comercio electrónico de especímenes en lo que respecta</w:t>
      </w:r>
      <w:r w:rsidR="005C13DD">
        <w:rPr>
          <w:kern w:val="22"/>
          <w:lang w:val="es-ES"/>
        </w:rPr>
        <w:t xml:space="preserve"> a</w:t>
      </w:r>
      <w:r w:rsidRPr="002D2D0F">
        <w:rPr>
          <w:kern w:val="22"/>
          <w:lang w:val="es-ES"/>
        </w:rPr>
        <w:t xml:space="preserve"> investiga</w:t>
      </w:r>
      <w:r w:rsidR="005C13DD">
        <w:rPr>
          <w:kern w:val="22"/>
          <w:lang w:val="es-ES"/>
        </w:rPr>
        <w:t>r</w:t>
      </w:r>
      <w:r w:rsidRPr="002D2D0F">
        <w:rPr>
          <w:kern w:val="22"/>
          <w:lang w:val="es-ES"/>
        </w:rPr>
        <w:t xml:space="preserve"> y control</w:t>
      </w:r>
      <w:r w:rsidR="005C13DD">
        <w:rPr>
          <w:kern w:val="22"/>
          <w:lang w:val="es-ES"/>
        </w:rPr>
        <w:t xml:space="preserve">ar </w:t>
      </w:r>
      <w:r w:rsidRPr="002D2D0F">
        <w:rPr>
          <w:kern w:val="22"/>
          <w:lang w:val="es-ES"/>
        </w:rPr>
        <w:t>el comercio ilegal de f</w:t>
      </w:r>
      <w:r w:rsidR="00055231" w:rsidRPr="002D2D0F">
        <w:rPr>
          <w:kern w:val="22"/>
          <w:lang w:val="es-ES"/>
        </w:rPr>
        <w:t>l</w:t>
      </w:r>
      <w:r w:rsidRPr="002D2D0F">
        <w:rPr>
          <w:kern w:val="22"/>
          <w:lang w:val="es-ES"/>
        </w:rPr>
        <w:t xml:space="preserve">ora y fauna silvestres. </w:t>
      </w:r>
      <w:r w:rsidR="00020C90">
        <w:rPr>
          <w:kern w:val="22"/>
          <w:lang w:val="es-ES"/>
        </w:rPr>
        <w:t>E</w:t>
      </w:r>
      <w:r w:rsidRPr="002D2D0F">
        <w:rPr>
          <w:kern w:val="22"/>
          <w:lang w:val="es-ES"/>
        </w:rPr>
        <w:t>sto</w:t>
      </w:r>
      <w:r w:rsidR="00020C90">
        <w:rPr>
          <w:kern w:val="22"/>
          <w:lang w:val="es-ES"/>
        </w:rPr>
        <w:t>, sin embargo,</w:t>
      </w:r>
      <w:r w:rsidRPr="002D2D0F">
        <w:rPr>
          <w:kern w:val="22"/>
          <w:lang w:val="es-ES"/>
        </w:rPr>
        <w:t xml:space="preserve"> no tiene </w:t>
      </w:r>
      <w:r w:rsidR="00091337" w:rsidRPr="002D2D0F">
        <w:rPr>
          <w:kern w:val="22"/>
          <w:lang w:val="es-ES"/>
        </w:rPr>
        <w:t xml:space="preserve">que ver </w:t>
      </w:r>
      <w:r w:rsidRPr="002D2D0F">
        <w:rPr>
          <w:kern w:val="22"/>
          <w:lang w:val="es-ES"/>
        </w:rPr>
        <w:t>directa</w:t>
      </w:r>
      <w:r w:rsidR="00091337" w:rsidRPr="002D2D0F">
        <w:rPr>
          <w:kern w:val="22"/>
          <w:lang w:val="es-ES"/>
        </w:rPr>
        <w:t>mente</w:t>
      </w:r>
      <w:r w:rsidRPr="002D2D0F">
        <w:rPr>
          <w:kern w:val="22"/>
          <w:lang w:val="es-ES"/>
        </w:rPr>
        <w:t xml:space="preserve"> con el control de especies exóticas invasoras (excepto las especies incluidas en los Apéndices de la CITES que pudieran ser invasoras);</w:t>
      </w:r>
    </w:p>
    <w:p w:rsidR="00904F71" w:rsidRPr="002D2D0F" w:rsidRDefault="009B22A7" w:rsidP="00904F71">
      <w:pPr>
        <w:pStyle w:val="ListParagraph"/>
        <w:numPr>
          <w:ilvl w:val="0"/>
          <w:numId w:val="12"/>
        </w:numPr>
        <w:suppressLineNumbers/>
        <w:tabs>
          <w:tab w:val="clear" w:pos="1080"/>
        </w:tabs>
        <w:suppressAutoHyphens/>
        <w:kinsoku w:val="0"/>
        <w:overflowPunct w:val="0"/>
        <w:autoSpaceDE w:val="0"/>
        <w:autoSpaceDN w:val="0"/>
        <w:adjustRightInd w:val="0"/>
        <w:snapToGrid w:val="0"/>
        <w:spacing w:before="120" w:after="120"/>
        <w:ind w:left="0" w:firstLine="720"/>
        <w:contextualSpacing w:val="0"/>
        <w:rPr>
          <w:lang w:val="es-ES"/>
        </w:rPr>
      </w:pPr>
      <w:r w:rsidRPr="002D2D0F">
        <w:rPr>
          <w:kern w:val="22"/>
          <w:lang w:val="es-ES"/>
        </w:rPr>
        <w:t xml:space="preserve">La </w:t>
      </w:r>
      <w:hyperlink r:id="rId16" w:history="1">
        <w:r w:rsidRPr="002D2D0F">
          <w:rPr>
            <w:rStyle w:val="Hyperlink"/>
            <w:kern w:val="22"/>
            <w:lang w:val="es-ES"/>
          </w:rPr>
          <w:t>Convención Internacional de Protección Fitosanitaria</w:t>
        </w:r>
      </w:hyperlink>
      <w:r w:rsidRPr="002D2D0F">
        <w:rPr>
          <w:kern w:val="22"/>
          <w:lang w:val="es-ES"/>
        </w:rPr>
        <w:t xml:space="preserve"> (CIPF) ha trabajado en el tema del </w:t>
      </w:r>
      <w:r w:rsidR="00583E1D" w:rsidRPr="002D2D0F">
        <w:rPr>
          <w:kern w:val="22"/>
          <w:lang w:val="es-ES"/>
        </w:rPr>
        <w:t>comercio</w:t>
      </w:r>
      <w:r w:rsidRPr="002D2D0F">
        <w:rPr>
          <w:kern w:val="22"/>
          <w:lang w:val="es-ES"/>
        </w:rPr>
        <w:t xml:space="preserve"> electrónico de plantas desde 2010</w:t>
      </w:r>
      <w:r w:rsidRPr="002D2D0F">
        <w:rPr>
          <w:kern w:val="22"/>
          <w:shd w:val="clear" w:color="auto" w:fill="FFFFFF"/>
          <w:vertAlign w:val="superscript"/>
          <w:lang w:val="es-ES"/>
        </w:rPr>
        <w:footnoteReference w:id="22"/>
      </w:r>
      <w:r w:rsidRPr="002D2D0F">
        <w:rPr>
          <w:kern w:val="22"/>
          <w:vertAlign w:val="superscript"/>
          <w:lang w:val="es-ES"/>
        </w:rPr>
        <w:t>,</w:t>
      </w:r>
      <w:r w:rsidR="00020C90">
        <w:rPr>
          <w:kern w:val="22"/>
          <w:vertAlign w:val="superscript"/>
          <w:lang w:val="es-ES"/>
        </w:rPr>
        <w:t> </w:t>
      </w:r>
      <w:r w:rsidRPr="002D2D0F">
        <w:rPr>
          <w:kern w:val="22"/>
          <w:shd w:val="clear" w:color="auto" w:fill="FFFFFF"/>
          <w:vertAlign w:val="superscript"/>
          <w:lang w:val="es-ES"/>
        </w:rPr>
        <w:footnoteReference w:id="23"/>
      </w:r>
      <w:r w:rsidRPr="002D2D0F">
        <w:rPr>
          <w:kern w:val="22"/>
          <w:vertAlign w:val="superscript"/>
          <w:lang w:val="es-ES"/>
        </w:rPr>
        <w:t>,</w:t>
      </w:r>
      <w:r w:rsidR="00020C90">
        <w:rPr>
          <w:kern w:val="22"/>
          <w:vertAlign w:val="superscript"/>
          <w:lang w:val="es-ES"/>
        </w:rPr>
        <w:t> </w:t>
      </w:r>
      <w:r w:rsidRPr="002D2D0F">
        <w:rPr>
          <w:kern w:val="22"/>
          <w:vertAlign w:val="superscript"/>
          <w:lang w:val="es-ES"/>
        </w:rPr>
        <w:footnoteReference w:id="24"/>
      </w:r>
      <w:r w:rsidRPr="002D2D0F">
        <w:rPr>
          <w:kern w:val="22"/>
          <w:lang w:val="es-ES"/>
        </w:rPr>
        <w:t xml:space="preserve">. La Mesa de la </w:t>
      </w:r>
      <w:hyperlink r:id="rId17" w:history="1">
        <w:r w:rsidRPr="002D2D0F">
          <w:rPr>
            <w:rStyle w:val="Hyperlink"/>
            <w:kern w:val="22"/>
            <w:lang w:val="es-ES"/>
          </w:rPr>
          <w:t>Comisión de Medidas Fitosanitarias</w:t>
        </w:r>
      </w:hyperlink>
      <w:r w:rsidRPr="002D2D0F">
        <w:rPr>
          <w:kern w:val="22"/>
          <w:lang w:val="es-ES"/>
        </w:rPr>
        <w:t xml:space="preserve"> recomendó que los temas de comercio electrónico se abordaran a través del </w:t>
      </w:r>
      <w:hyperlink r:id="rId18" w:history="1">
        <w:r w:rsidRPr="002D2D0F">
          <w:rPr>
            <w:rStyle w:val="Hyperlink"/>
            <w:kern w:val="22"/>
            <w:lang w:val="es-ES"/>
          </w:rPr>
          <w:t xml:space="preserve">Acuerdo sobre </w:t>
        </w:r>
        <w:r w:rsidR="00020C90">
          <w:rPr>
            <w:rStyle w:val="Hyperlink"/>
            <w:kern w:val="22"/>
            <w:lang w:val="es-ES"/>
          </w:rPr>
          <w:t>F</w:t>
        </w:r>
        <w:r w:rsidRPr="002D2D0F">
          <w:rPr>
            <w:rStyle w:val="Hyperlink"/>
            <w:kern w:val="22"/>
            <w:lang w:val="es-ES"/>
          </w:rPr>
          <w:t xml:space="preserve">acilitación del </w:t>
        </w:r>
        <w:r w:rsidR="00020C90">
          <w:rPr>
            <w:rStyle w:val="Hyperlink"/>
            <w:kern w:val="22"/>
            <w:lang w:val="es-ES"/>
          </w:rPr>
          <w:t>C</w:t>
        </w:r>
        <w:r w:rsidRPr="002D2D0F">
          <w:rPr>
            <w:rStyle w:val="Hyperlink"/>
            <w:kern w:val="22"/>
            <w:lang w:val="es-ES"/>
          </w:rPr>
          <w:t>omercio</w:t>
        </w:r>
      </w:hyperlink>
      <w:r w:rsidRPr="002D2D0F">
        <w:rPr>
          <w:kern w:val="22"/>
          <w:lang w:val="es-ES"/>
        </w:rPr>
        <w:t xml:space="preserve"> en el marco de la Organización </w:t>
      </w:r>
      <w:r w:rsidR="00904F71" w:rsidRPr="002D2D0F">
        <w:rPr>
          <w:kern w:val="22"/>
          <w:lang w:val="es-ES"/>
        </w:rPr>
        <w:t xml:space="preserve">Mundial </w:t>
      </w:r>
      <w:r w:rsidRPr="002D2D0F">
        <w:rPr>
          <w:kern w:val="22"/>
          <w:lang w:val="es-ES"/>
        </w:rPr>
        <w:t>del Comercio y sugirió varias medidas, entre ellas: i) la</w:t>
      </w:r>
      <w:r w:rsidR="00904F71" w:rsidRPr="002D2D0F">
        <w:rPr>
          <w:kern w:val="22"/>
          <w:lang w:val="es-ES"/>
        </w:rPr>
        <w:t> </w:t>
      </w:r>
      <w:r w:rsidRPr="002D2D0F">
        <w:rPr>
          <w:kern w:val="22"/>
          <w:lang w:val="es-ES"/>
        </w:rPr>
        <w:t>preparación de fichas de datos para las organizaciones nacionales de protección fitosanitaria; ii) la</w:t>
      </w:r>
      <w:r w:rsidR="00904F71" w:rsidRPr="002D2D0F">
        <w:rPr>
          <w:kern w:val="22"/>
          <w:lang w:val="es-ES"/>
        </w:rPr>
        <w:t> </w:t>
      </w:r>
      <w:r w:rsidRPr="002D2D0F">
        <w:rPr>
          <w:kern w:val="22"/>
          <w:lang w:val="es-ES"/>
        </w:rPr>
        <w:t>participación de los a</w:t>
      </w:r>
      <w:r w:rsidR="00904F71" w:rsidRPr="002D2D0F">
        <w:rPr>
          <w:kern w:val="22"/>
          <w:lang w:val="es-ES"/>
        </w:rPr>
        <w:t>ctor</w:t>
      </w:r>
      <w:r w:rsidRPr="002D2D0F">
        <w:rPr>
          <w:kern w:val="22"/>
          <w:lang w:val="es-ES"/>
        </w:rPr>
        <w:t xml:space="preserve">es </w:t>
      </w:r>
      <w:r w:rsidR="00904F71" w:rsidRPr="002D2D0F">
        <w:rPr>
          <w:kern w:val="22"/>
          <w:lang w:val="es-ES"/>
        </w:rPr>
        <w:t>que int</w:t>
      </w:r>
      <w:r w:rsidRPr="002D2D0F">
        <w:rPr>
          <w:kern w:val="22"/>
          <w:lang w:val="es-ES"/>
        </w:rPr>
        <w:t>e</w:t>
      </w:r>
      <w:r w:rsidR="00904F71" w:rsidRPr="002D2D0F">
        <w:rPr>
          <w:kern w:val="22"/>
          <w:lang w:val="es-ES"/>
        </w:rPr>
        <w:t xml:space="preserve">rvienen en el </w:t>
      </w:r>
      <w:r w:rsidRPr="002D2D0F">
        <w:rPr>
          <w:kern w:val="22"/>
          <w:lang w:val="es-ES"/>
        </w:rPr>
        <w:t>comercio electrónico y</w:t>
      </w:r>
      <w:r w:rsidR="00904F71" w:rsidRPr="002D2D0F">
        <w:rPr>
          <w:kern w:val="22"/>
          <w:lang w:val="es-ES"/>
        </w:rPr>
        <w:t xml:space="preserve"> los</w:t>
      </w:r>
      <w:r w:rsidRPr="002D2D0F">
        <w:rPr>
          <w:kern w:val="22"/>
          <w:lang w:val="es-ES"/>
        </w:rPr>
        <w:t xml:space="preserve"> servicios de entrega, incluida </w:t>
      </w:r>
      <w:r w:rsidR="00904F71" w:rsidRPr="002D2D0F">
        <w:rPr>
          <w:kern w:val="22"/>
          <w:lang w:val="es-ES"/>
        </w:rPr>
        <w:t xml:space="preserve">la </w:t>
      </w:r>
      <w:r w:rsidRPr="002D2D0F">
        <w:rPr>
          <w:kern w:val="22"/>
          <w:lang w:val="es-ES"/>
        </w:rPr>
        <w:t>Unión Postal Universal;</w:t>
      </w:r>
      <w:r w:rsidR="00020C90">
        <w:rPr>
          <w:kern w:val="22"/>
          <w:lang w:val="es-ES"/>
        </w:rPr>
        <w:t> </w:t>
      </w:r>
      <w:r w:rsidRPr="002D2D0F">
        <w:rPr>
          <w:kern w:val="22"/>
          <w:lang w:val="es-ES"/>
        </w:rPr>
        <w:t>y</w:t>
      </w:r>
      <w:r w:rsidR="00020C90">
        <w:rPr>
          <w:kern w:val="22"/>
          <w:lang w:val="es-ES"/>
        </w:rPr>
        <w:t> </w:t>
      </w:r>
      <w:r w:rsidRPr="002D2D0F">
        <w:rPr>
          <w:kern w:val="22"/>
          <w:lang w:val="es-ES"/>
        </w:rPr>
        <w:t xml:space="preserve">iii) la producción de información estandarizada para esos interesados directos. </w:t>
      </w:r>
      <w:r w:rsidR="00583E1D" w:rsidRPr="002D2D0F">
        <w:rPr>
          <w:kern w:val="22"/>
          <w:lang w:val="es-ES"/>
        </w:rPr>
        <w:t xml:space="preserve">La CIPF también coopera con </w:t>
      </w:r>
      <w:r w:rsidRPr="002D2D0F">
        <w:rPr>
          <w:kern w:val="22"/>
          <w:lang w:val="es-ES"/>
        </w:rPr>
        <w:t>el Grupo de Trabajo sobre Comercio Electrónico de la Organización Mundial de Aduanas y con la OMC en temas relacionados con el Acuerdo sobre Facilitación del Comercio.</w:t>
      </w:r>
    </w:p>
    <w:p w:rsidR="009B22A7" w:rsidRPr="002D2D0F" w:rsidRDefault="009B22A7" w:rsidP="00904F71">
      <w:pPr>
        <w:pStyle w:val="ListParagraph"/>
        <w:numPr>
          <w:ilvl w:val="0"/>
          <w:numId w:val="12"/>
        </w:numPr>
        <w:suppressLineNumbers/>
        <w:tabs>
          <w:tab w:val="clear" w:pos="1080"/>
        </w:tabs>
        <w:suppressAutoHyphens/>
        <w:kinsoku w:val="0"/>
        <w:overflowPunct w:val="0"/>
        <w:autoSpaceDE w:val="0"/>
        <w:autoSpaceDN w:val="0"/>
        <w:adjustRightInd w:val="0"/>
        <w:snapToGrid w:val="0"/>
        <w:spacing w:before="120" w:after="120"/>
        <w:ind w:left="0" w:firstLine="720"/>
        <w:contextualSpacing w:val="0"/>
        <w:rPr>
          <w:lang w:val="es-ES"/>
        </w:rPr>
      </w:pPr>
      <w:r w:rsidRPr="002D2D0F">
        <w:rPr>
          <w:kern w:val="22"/>
          <w:lang w:val="es-ES"/>
        </w:rPr>
        <w:t xml:space="preserve">La Organización Mundial de Aduanas (OMA) creó un Grupo de Trabajo sobre Comercio Electrónico en 2016. Luego de la primera reunión del Grupo de Trabajo, la OMA realizó una encuesta entre sus Estados miembros y </w:t>
      </w:r>
      <w:r w:rsidR="00020C90" w:rsidRPr="002D2D0F">
        <w:rPr>
          <w:kern w:val="22"/>
          <w:lang w:val="es-ES"/>
        </w:rPr>
        <w:t>en marzo de 2017</w:t>
      </w:r>
      <w:r w:rsidR="00020C90">
        <w:rPr>
          <w:kern w:val="22"/>
          <w:lang w:val="es-ES"/>
        </w:rPr>
        <w:t xml:space="preserve"> </w:t>
      </w:r>
      <w:r w:rsidRPr="002D2D0F">
        <w:rPr>
          <w:kern w:val="22"/>
          <w:lang w:val="es-ES"/>
        </w:rPr>
        <w:t xml:space="preserve">publicó un </w:t>
      </w:r>
      <w:r w:rsidR="00904F71" w:rsidRPr="002D2D0F">
        <w:rPr>
          <w:kern w:val="22"/>
          <w:lang w:val="es-ES"/>
        </w:rPr>
        <w:t>i</w:t>
      </w:r>
      <w:r w:rsidRPr="002D2D0F">
        <w:rPr>
          <w:kern w:val="22"/>
          <w:lang w:val="es-ES"/>
        </w:rPr>
        <w:t>nforme de estudio sobre comercio electrónico transfronterizo</w:t>
      </w:r>
      <w:r w:rsidRPr="002D2D0F">
        <w:rPr>
          <w:rFonts w:eastAsia="Yu Mincho"/>
          <w:kern w:val="22"/>
          <w:vertAlign w:val="superscript"/>
          <w:lang w:val="es-ES"/>
        </w:rPr>
        <w:footnoteReference w:id="25"/>
      </w:r>
      <w:r w:rsidRPr="002D2D0F">
        <w:rPr>
          <w:kern w:val="22"/>
          <w:lang w:val="es-ES"/>
        </w:rPr>
        <w:t xml:space="preserve">. La Secretaría del Convenio sobre </w:t>
      </w:r>
      <w:r w:rsidR="00904F71" w:rsidRPr="002D2D0F">
        <w:rPr>
          <w:kern w:val="22"/>
          <w:lang w:val="es-ES"/>
        </w:rPr>
        <w:t xml:space="preserve">la </w:t>
      </w:r>
      <w:r w:rsidRPr="002D2D0F">
        <w:rPr>
          <w:kern w:val="22"/>
          <w:lang w:val="es-ES"/>
        </w:rPr>
        <w:t xml:space="preserve">Diversidad Biológica ha colaborado con la OMA </w:t>
      </w:r>
      <w:r w:rsidR="00904F71" w:rsidRPr="002D2D0F">
        <w:rPr>
          <w:kern w:val="22"/>
          <w:lang w:val="es-ES"/>
        </w:rPr>
        <w:t>e</w:t>
      </w:r>
      <w:r w:rsidR="00020C90">
        <w:rPr>
          <w:kern w:val="22"/>
          <w:lang w:val="es-ES"/>
        </w:rPr>
        <w:t>n</w:t>
      </w:r>
      <w:r w:rsidRPr="002D2D0F">
        <w:rPr>
          <w:kern w:val="22"/>
          <w:lang w:val="es-ES"/>
        </w:rPr>
        <w:t xml:space="preserve"> la octava reunión del Grupo de Enlace Interinstitucional sobre Especies Exóticas Invasoras</w:t>
      </w:r>
      <w:r w:rsidRPr="002D2D0F">
        <w:rPr>
          <w:rStyle w:val="FootnoteReference"/>
          <w:rFonts w:eastAsia="Yu Mincho"/>
          <w:kern w:val="22"/>
          <w:sz w:val="22"/>
          <w:szCs w:val="22"/>
          <w:u w:val="none"/>
          <w:vertAlign w:val="superscript"/>
          <w:lang w:val="es-ES"/>
        </w:rPr>
        <w:footnoteReference w:id="26"/>
      </w:r>
      <w:r w:rsidRPr="002D2D0F">
        <w:rPr>
          <w:kern w:val="22"/>
          <w:lang w:val="es-ES"/>
        </w:rPr>
        <w:t xml:space="preserve">, </w:t>
      </w:r>
      <w:r w:rsidR="00020C90">
        <w:rPr>
          <w:kern w:val="22"/>
          <w:lang w:val="es-ES"/>
        </w:rPr>
        <w:t xml:space="preserve">en </w:t>
      </w:r>
      <w:r w:rsidRPr="002D2D0F">
        <w:rPr>
          <w:kern w:val="22"/>
          <w:lang w:val="es-ES"/>
        </w:rPr>
        <w:t>una reunión de los Subgrupos del Grupo de Trabajo sobre Comercio Electrónico</w:t>
      </w:r>
      <w:r w:rsidRPr="002D2D0F">
        <w:rPr>
          <w:rStyle w:val="FootnoteReference"/>
          <w:rFonts w:eastAsia="Yu Mincho"/>
          <w:kern w:val="22"/>
          <w:sz w:val="22"/>
          <w:szCs w:val="22"/>
          <w:u w:val="none"/>
          <w:vertAlign w:val="superscript"/>
          <w:lang w:val="es-ES"/>
        </w:rPr>
        <w:footnoteReference w:id="27"/>
      </w:r>
      <w:r w:rsidR="00AE5D4F" w:rsidRPr="002D2D0F">
        <w:rPr>
          <w:kern w:val="22"/>
          <w:lang w:val="es-ES"/>
        </w:rPr>
        <w:t> </w:t>
      </w:r>
      <w:r w:rsidRPr="002D2D0F">
        <w:rPr>
          <w:kern w:val="22"/>
          <w:lang w:val="es-ES"/>
        </w:rPr>
        <w:t>y</w:t>
      </w:r>
      <w:r w:rsidR="00AE5D4F" w:rsidRPr="002D2D0F">
        <w:rPr>
          <w:kern w:val="22"/>
          <w:lang w:val="es-ES"/>
        </w:rPr>
        <w:t> </w:t>
      </w:r>
      <w:r w:rsidR="00020C90">
        <w:rPr>
          <w:kern w:val="22"/>
          <w:lang w:val="es-ES"/>
        </w:rPr>
        <w:t xml:space="preserve">en </w:t>
      </w:r>
      <w:r w:rsidRPr="002D2D0F">
        <w:rPr>
          <w:kern w:val="22"/>
          <w:lang w:val="es-ES"/>
        </w:rPr>
        <w:t>la</w:t>
      </w:r>
      <w:r w:rsidR="00AE5D4F" w:rsidRPr="002D2D0F">
        <w:rPr>
          <w:kern w:val="22"/>
          <w:lang w:val="es-ES"/>
        </w:rPr>
        <w:t> </w:t>
      </w:r>
      <w:r w:rsidRPr="002D2D0F">
        <w:rPr>
          <w:kern w:val="22"/>
          <w:lang w:val="es-ES"/>
        </w:rPr>
        <w:t>primera Conferencia Mundial de Comercio Electrónico Transfronteriz</w:t>
      </w:r>
      <w:r w:rsidR="000E2600" w:rsidRPr="002D2D0F">
        <w:rPr>
          <w:kern w:val="22"/>
          <w:lang w:val="es-ES"/>
        </w:rPr>
        <w:t>o</w:t>
      </w:r>
      <w:r w:rsidRPr="002D2D0F">
        <w:rPr>
          <w:rStyle w:val="FootnoteReference"/>
          <w:rFonts w:eastAsia="Yu Mincho"/>
          <w:kern w:val="22"/>
          <w:sz w:val="22"/>
          <w:szCs w:val="22"/>
          <w:u w:val="none"/>
          <w:vertAlign w:val="superscript"/>
          <w:lang w:val="es-ES"/>
        </w:rPr>
        <w:footnoteReference w:id="28"/>
      </w:r>
      <w:r w:rsidRPr="002D2D0F">
        <w:rPr>
          <w:kern w:val="22"/>
          <w:lang w:val="es-ES"/>
        </w:rPr>
        <w:t>. A través de estas reuniones la Secretaría del Convenio has contribuido al proyecto de Marco para el Comercio Electrónico Transfronterizo de la OMA, en el que se reconoce, en un capítulo nuevo re</w:t>
      </w:r>
      <w:r w:rsidR="000E2600" w:rsidRPr="002D2D0F">
        <w:rPr>
          <w:kern w:val="22"/>
          <w:lang w:val="es-ES"/>
        </w:rPr>
        <w:t>ferido a</w:t>
      </w:r>
      <w:r w:rsidRPr="002D2D0F">
        <w:rPr>
          <w:kern w:val="22"/>
          <w:lang w:val="es-ES"/>
        </w:rPr>
        <w:t xml:space="preserve"> seguridad, que los organismos vivos, las </w:t>
      </w:r>
      <w:r w:rsidRPr="002D2D0F">
        <w:rPr>
          <w:kern w:val="22"/>
          <w:lang w:val="es-ES"/>
        </w:rPr>
        <w:lastRenderedPageBreak/>
        <w:t xml:space="preserve">especies exóticas invasoras, las plagas, los agentes patógenos y los productos derivados de animales, plantas y hongos pueden </w:t>
      </w:r>
      <w:r w:rsidR="000E2600" w:rsidRPr="002D2D0F">
        <w:rPr>
          <w:kern w:val="22"/>
          <w:lang w:val="es-ES"/>
        </w:rPr>
        <w:t>comportar</w:t>
      </w:r>
      <w:r w:rsidRPr="002D2D0F">
        <w:rPr>
          <w:kern w:val="22"/>
          <w:lang w:val="es-ES"/>
        </w:rPr>
        <w:t xml:space="preserve"> riesgo</w:t>
      </w:r>
      <w:r w:rsidR="00020C90">
        <w:rPr>
          <w:kern w:val="22"/>
          <w:lang w:val="es-ES"/>
        </w:rPr>
        <w:t>s</w:t>
      </w:r>
      <w:r w:rsidRPr="002D2D0F">
        <w:rPr>
          <w:kern w:val="22"/>
          <w:lang w:val="es-ES"/>
        </w:rPr>
        <w:t xml:space="preserve"> de invasiones biológicas en los países de importación. El Grupo de Trabajo terminó de elaborar el Marco para el Comercio Electrónico Transfronterizo en abril de 2018 y</w:t>
      </w:r>
      <w:r w:rsidR="009C20A9">
        <w:rPr>
          <w:kern w:val="22"/>
          <w:lang w:val="es-ES"/>
        </w:rPr>
        <w:t>,</w:t>
      </w:r>
      <w:r w:rsidRPr="002D2D0F">
        <w:rPr>
          <w:kern w:val="22"/>
          <w:lang w:val="es-ES"/>
        </w:rPr>
        <w:t xml:space="preserve"> </w:t>
      </w:r>
      <w:r w:rsidR="000E2600" w:rsidRPr="002D2D0F">
        <w:rPr>
          <w:kern w:val="22"/>
          <w:lang w:val="es-ES"/>
        </w:rPr>
        <w:t>como próximo paso</w:t>
      </w:r>
      <w:r w:rsidR="009C20A9">
        <w:rPr>
          <w:kern w:val="22"/>
          <w:lang w:val="es-ES"/>
        </w:rPr>
        <w:t>,</w:t>
      </w:r>
      <w:r w:rsidR="000E2600" w:rsidRPr="002D2D0F">
        <w:rPr>
          <w:kern w:val="22"/>
          <w:lang w:val="es-ES"/>
        </w:rPr>
        <w:t xml:space="preserve"> </w:t>
      </w:r>
      <w:r w:rsidR="009C20A9" w:rsidRPr="002D2D0F">
        <w:rPr>
          <w:kern w:val="22"/>
          <w:lang w:val="es-ES"/>
        </w:rPr>
        <w:t>en junio de 2018</w:t>
      </w:r>
      <w:r w:rsidR="009C20A9">
        <w:rPr>
          <w:kern w:val="22"/>
          <w:lang w:val="es-ES"/>
        </w:rPr>
        <w:t xml:space="preserve"> </w:t>
      </w:r>
      <w:r w:rsidRPr="002D2D0F">
        <w:rPr>
          <w:kern w:val="22"/>
          <w:lang w:val="es-ES"/>
        </w:rPr>
        <w:t>lo examinará la Comisión de Políticas de la OMA. La versión final se pondrá a disposición del Órgano Subsidiario como documento de información. La OMA invitó a la Secretaría a seguir colaboran</w:t>
      </w:r>
      <w:r w:rsidR="00F37626" w:rsidRPr="002D2D0F">
        <w:rPr>
          <w:kern w:val="22"/>
          <w:lang w:val="es-ES"/>
        </w:rPr>
        <w:t>do</w:t>
      </w:r>
      <w:r w:rsidRPr="002D2D0F">
        <w:rPr>
          <w:kern w:val="22"/>
          <w:lang w:val="es-ES"/>
        </w:rPr>
        <w:t xml:space="preserve"> con miras a </w:t>
      </w:r>
      <w:r w:rsidR="00F37626" w:rsidRPr="002D2D0F">
        <w:rPr>
          <w:kern w:val="22"/>
          <w:lang w:val="es-ES"/>
        </w:rPr>
        <w:t xml:space="preserve">lograr </w:t>
      </w:r>
      <w:r w:rsidRPr="002D2D0F">
        <w:rPr>
          <w:kern w:val="22"/>
          <w:lang w:val="es-ES"/>
        </w:rPr>
        <w:t>que los instrumentos y herramientas de la OMA cubran adecuadamente la gestión de los riesgos fronterizos y contribuya a reducir al mínimo la proliferación de especies exóticas invasoras.</w:t>
      </w:r>
    </w:p>
    <w:p w:rsidR="009B22A7" w:rsidRPr="002D2D0F" w:rsidRDefault="009B22A7" w:rsidP="009B22A7">
      <w:pPr>
        <w:pStyle w:val="Heading1"/>
        <w:numPr>
          <w:ilvl w:val="0"/>
          <w:numId w:val="14"/>
        </w:numPr>
        <w:suppressLineNumbers/>
        <w:tabs>
          <w:tab w:val="clear" w:pos="720"/>
        </w:tabs>
        <w:suppressAutoHyphens/>
        <w:kinsoku w:val="0"/>
        <w:overflowPunct w:val="0"/>
        <w:autoSpaceDE w:val="0"/>
        <w:autoSpaceDN w:val="0"/>
        <w:adjustRightInd w:val="0"/>
        <w:snapToGrid w:val="0"/>
        <w:spacing w:before="120"/>
        <w:ind w:left="1152" w:hanging="576"/>
        <w:jc w:val="left"/>
        <w:rPr>
          <w:rFonts w:eastAsia="Yu Mincho"/>
          <w:kern w:val="22"/>
          <w:lang w:val="es-ES"/>
        </w:rPr>
      </w:pPr>
      <w:r w:rsidRPr="002D2D0F">
        <w:rPr>
          <w:caps w:val="0"/>
          <w:kern w:val="22"/>
          <w:lang w:val="es-ES"/>
        </w:rPr>
        <w:t>PROGRESO</w:t>
      </w:r>
      <w:r w:rsidR="00B27063" w:rsidRPr="002D2D0F">
        <w:rPr>
          <w:caps w:val="0"/>
          <w:kern w:val="22"/>
          <w:lang w:val="es-ES"/>
        </w:rPr>
        <w:t>S</w:t>
      </w:r>
      <w:r w:rsidRPr="002D2D0F">
        <w:rPr>
          <w:caps w:val="0"/>
          <w:kern w:val="22"/>
          <w:lang w:val="es-ES"/>
        </w:rPr>
        <w:t xml:space="preserve"> EN EL DESARROLLO DE HERRAMIENTAS, OTRAS</w:t>
      </w:r>
      <w:r w:rsidR="00B27063" w:rsidRPr="002D2D0F">
        <w:rPr>
          <w:caps w:val="0"/>
          <w:kern w:val="22"/>
          <w:lang w:val="es-ES"/>
        </w:rPr>
        <w:t> </w:t>
      </w:r>
      <w:r w:rsidRPr="002D2D0F">
        <w:rPr>
          <w:caps w:val="0"/>
          <w:kern w:val="22"/>
          <w:lang w:val="es-ES"/>
        </w:rPr>
        <w:t>ORIENTACIONES Y SISTEMAS DE INFORMACIÓN</w:t>
      </w:r>
    </w:p>
    <w:p w:rsidR="009B22A7" w:rsidRPr="002D2D0F" w:rsidRDefault="009B22A7" w:rsidP="009B22A7">
      <w:pPr>
        <w:numPr>
          <w:ilvl w:val="0"/>
          <w:numId w:val="6"/>
        </w:numPr>
        <w:suppressLineNumbers/>
        <w:suppressAutoHyphens/>
        <w:kinsoku w:val="0"/>
        <w:overflowPunct w:val="0"/>
        <w:autoSpaceDE w:val="0"/>
        <w:autoSpaceDN w:val="0"/>
        <w:adjustRightInd w:val="0"/>
        <w:snapToGrid w:val="0"/>
        <w:spacing w:before="120" w:after="120"/>
        <w:ind w:left="0" w:firstLine="0"/>
        <w:rPr>
          <w:lang w:val="es-ES"/>
        </w:rPr>
      </w:pPr>
      <w:r w:rsidRPr="002D2D0F">
        <w:rPr>
          <w:kern w:val="22"/>
          <w:lang w:val="es-ES"/>
        </w:rPr>
        <w:t xml:space="preserve">Se han logrado progresos en el desarrollo de diversas herramientas, orientaciones y sistemas de información relacionados con las </w:t>
      </w:r>
      <w:r w:rsidR="00583E1D" w:rsidRPr="002D2D0F">
        <w:rPr>
          <w:kern w:val="22"/>
          <w:lang w:val="es-ES"/>
        </w:rPr>
        <w:t>especies</w:t>
      </w:r>
      <w:r w:rsidRPr="002D2D0F">
        <w:rPr>
          <w:kern w:val="22"/>
          <w:lang w:val="es-ES"/>
        </w:rPr>
        <w:t xml:space="preserve"> exóticas invasoras. Por ejemplo:</w:t>
      </w:r>
    </w:p>
    <w:p w:rsidR="00190732" w:rsidRPr="002D2D0F" w:rsidRDefault="00190732" w:rsidP="00B27063">
      <w:pPr>
        <w:pStyle w:val="Para2"/>
        <w:numPr>
          <w:ilvl w:val="0"/>
          <w:numId w:val="3"/>
        </w:numPr>
        <w:suppressLineNumbers/>
        <w:tabs>
          <w:tab w:val="clear" w:pos="1440"/>
        </w:tabs>
        <w:suppressAutoHyphens/>
        <w:kinsoku w:val="0"/>
        <w:overflowPunct w:val="0"/>
        <w:adjustRightInd w:val="0"/>
        <w:snapToGrid w:val="0"/>
        <w:ind w:left="0" w:firstLine="720"/>
        <w:rPr>
          <w:szCs w:val="24"/>
          <w:lang w:val="es-ES"/>
        </w:rPr>
      </w:pPr>
      <w:r w:rsidRPr="002D2D0F">
        <w:rPr>
          <w:kern w:val="22"/>
          <w:szCs w:val="24"/>
          <w:lang w:val="es-ES"/>
        </w:rPr>
        <w:t>El Registro Mundial de Especies Introducidas e Invasoras (Global Register of Introduced and Invasive Species</w:t>
      </w:r>
      <w:r w:rsidRPr="002D2D0F">
        <w:rPr>
          <w:szCs w:val="24"/>
          <w:lang w:val="es-ES"/>
        </w:rPr>
        <w:t>)</w:t>
      </w:r>
      <w:r w:rsidRPr="002D2D0F">
        <w:rPr>
          <w:kern w:val="22"/>
          <w:szCs w:val="24"/>
          <w:lang w:val="es-ES"/>
        </w:rPr>
        <w:t xml:space="preserve"> brinda </w:t>
      </w:r>
      <w:r w:rsidR="00B27063" w:rsidRPr="002D2D0F">
        <w:rPr>
          <w:kern w:val="22"/>
          <w:szCs w:val="24"/>
          <w:lang w:val="es-ES"/>
        </w:rPr>
        <w:t>acceso libre en</w:t>
      </w:r>
      <w:r w:rsidR="00A4612C" w:rsidRPr="002D2D0F">
        <w:rPr>
          <w:kern w:val="22"/>
          <w:szCs w:val="24"/>
          <w:lang w:val="es-ES"/>
        </w:rPr>
        <w:t xml:space="preserve"> </w:t>
      </w:r>
      <w:r w:rsidR="00B27063" w:rsidRPr="002D2D0F">
        <w:rPr>
          <w:kern w:val="22"/>
          <w:szCs w:val="24"/>
          <w:lang w:val="es-ES"/>
        </w:rPr>
        <w:t xml:space="preserve">Internet a </w:t>
      </w:r>
      <w:r w:rsidRPr="002D2D0F">
        <w:rPr>
          <w:kern w:val="22"/>
          <w:szCs w:val="24"/>
          <w:lang w:val="es-ES"/>
        </w:rPr>
        <w:t xml:space="preserve">información de </w:t>
      </w:r>
      <w:r w:rsidR="00B27063" w:rsidRPr="002D2D0F">
        <w:rPr>
          <w:kern w:val="22"/>
          <w:szCs w:val="24"/>
          <w:lang w:val="es-ES"/>
        </w:rPr>
        <w:t>instancias</w:t>
      </w:r>
      <w:r w:rsidRPr="002D2D0F">
        <w:rPr>
          <w:kern w:val="22"/>
          <w:szCs w:val="24"/>
          <w:lang w:val="es-ES"/>
        </w:rPr>
        <w:t xml:space="preserve"> validadas de especies invasoras (listas de verificación) </w:t>
      </w:r>
      <w:r w:rsidR="00B27063" w:rsidRPr="002D2D0F">
        <w:rPr>
          <w:kern w:val="22"/>
          <w:szCs w:val="24"/>
          <w:lang w:val="es-ES"/>
        </w:rPr>
        <w:t>proporcionada por</w:t>
      </w:r>
      <w:r w:rsidRPr="002D2D0F">
        <w:rPr>
          <w:kern w:val="22"/>
          <w:szCs w:val="24"/>
          <w:lang w:val="es-ES"/>
        </w:rPr>
        <w:t xml:space="preserve"> 28 Partes y tres islas subnacionales</w:t>
      </w:r>
      <w:r w:rsidRPr="002D2D0F">
        <w:rPr>
          <w:kern w:val="22"/>
          <w:szCs w:val="24"/>
          <w:vertAlign w:val="superscript"/>
          <w:lang w:val="es-ES"/>
        </w:rPr>
        <w:t xml:space="preserve"> </w:t>
      </w:r>
      <w:r w:rsidRPr="002D2D0F">
        <w:rPr>
          <w:kern w:val="22"/>
          <w:szCs w:val="24"/>
          <w:lang w:val="es-ES"/>
        </w:rPr>
        <w:t xml:space="preserve">gracias a la colaboración de los editores nacionales que participan en la Asociación Mundial para la Información sobre Especies Exóticas Invasoras, el Grupo Especialista en Especies </w:t>
      </w:r>
      <w:r w:rsidR="00583E1D" w:rsidRPr="002D2D0F">
        <w:rPr>
          <w:kern w:val="22"/>
          <w:szCs w:val="24"/>
          <w:lang w:val="es-ES"/>
        </w:rPr>
        <w:t>Invasoras</w:t>
      </w:r>
      <w:r w:rsidRPr="002D2D0F">
        <w:rPr>
          <w:kern w:val="22"/>
          <w:szCs w:val="24"/>
          <w:lang w:val="es-ES"/>
        </w:rPr>
        <w:t xml:space="preserve"> de la UICN (GEEI) y la Infraestructura Mundial de Información sobre Biodiversidad (GBIF)</w:t>
      </w:r>
      <w:r w:rsidRPr="002D2D0F">
        <w:rPr>
          <w:rFonts w:eastAsia="Yu Mincho"/>
          <w:kern w:val="22"/>
          <w:szCs w:val="24"/>
          <w:vertAlign w:val="superscript"/>
          <w:lang w:val="es-ES"/>
        </w:rPr>
        <w:footnoteReference w:id="29"/>
      </w:r>
      <w:r w:rsidRPr="002D2D0F">
        <w:rPr>
          <w:kern w:val="22"/>
          <w:szCs w:val="24"/>
          <w:vertAlign w:val="superscript"/>
          <w:lang w:val="es-ES"/>
        </w:rPr>
        <w:t>,</w:t>
      </w:r>
      <w:r w:rsidR="009C20A9">
        <w:rPr>
          <w:kern w:val="22"/>
          <w:szCs w:val="24"/>
          <w:vertAlign w:val="superscript"/>
          <w:lang w:val="es-ES"/>
        </w:rPr>
        <w:t> </w:t>
      </w:r>
      <w:r w:rsidRPr="002D2D0F">
        <w:rPr>
          <w:kern w:val="22"/>
          <w:szCs w:val="24"/>
          <w:vertAlign w:val="superscript"/>
          <w:lang w:val="es-ES"/>
        </w:rPr>
        <w:footnoteReference w:id="30"/>
      </w:r>
      <w:r w:rsidRPr="002D2D0F">
        <w:rPr>
          <w:kern w:val="22"/>
          <w:szCs w:val="24"/>
          <w:lang w:val="es-ES"/>
        </w:rPr>
        <w:t xml:space="preserve">. Análogamente, </w:t>
      </w:r>
      <w:r w:rsidR="007C224C" w:rsidRPr="002D2D0F">
        <w:rPr>
          <w:kern w:val="22"/>
          <w:szCs w:val="24"/>
          <w:lang w:val="es-ES"/>
        </w:rPr>
        <w:t>se prevé que gracias a</w:t>
      </w:r>
      <w:r w:rsidRPr="002D2D0F">
        <w:rPr>
          <w:kern w:val="22"/>
          <w:szCs w:val="24"/>
          <w:lang w:val="es-ES"/>
        </w:rPr>
        <w:t xml:space="preserve"> la labor de l</w:t>
      </w:r>
      <w:r w:rsidR="007C224C" w:rsidRPr="002D2D0F">
        <w:rPr>
          <w:kern w:val="22"/>
          <w:szCs w:val="24"/>
          <w:lang w:val="es-ES"/>
        </w:rPr>
        <w:t>a GBIF y el GEEI-UICN para fines de 2018 esté listo un</w:t>
      </w:r>
      <w:r w:rsidRPr="002D2D0F">
        <w:rPr>
          <w:kern w:val="22"/>
          <w:szCs w:val="24"/>
          <w:lang w:val="es-ES"/>
        </w:rPr>
        <w:t xml:space="preserve"> </w:t>
      </w:r>
      <w:r w:rsidR="007C224C" w:rsidRPr="002D2D0F">
        <w:rPr>
          <w:kern w:val="22"/>
          <w:szCs w:val="24"/>
          <w:lang w:val="es-ES"/>
        </w:rPr>
        <w:t xml:space="preserve">sitio web con </w:t>
      </w:r>
      <w:r w:rsidRPr="002D2D0F">
        <w:rPr>
          <w:kern w:val="22"/>
          <w:szCs w:val="24"/>
          <w:lang w:val="es-ES"/>
        </w:rPr>
        <w:t>listas de verificación de especies exóticas invasoras de 198 países, incluidos territorios de ultramar de la Unión Europea</w:t>
      </w:r>
      <w:r w:rsidRPr="002D2D0F">
        <w:rPr>
          <w:kern w:val="22"/>
          <w:szCs w:val="24"/>
          <w:vertAlign w:val="superscript"/>
          <w:lang w:val="es-ES"/>
        </w:rPr>
        <w:t>25</w:t>
      </w:r>
      <w:r w:rsidRPr="002D2D0F">
        <w:rPr>
          <w:kern w:val="22"/>
          <w:szCs w:val="24"/>
          <w:lang w:val="es-ES"/>
        </w:rPr>
        <w:t xml:space="preserve">. Esa información </w:t>
      </w:r>
      <w:r w:rsidR="00B27063" w:rsidRPr="002D2D0F">
        <w:rPr>
          <w:kern w:val="22"/>
          <w:szCs w:val="24"/>
          <w:lang w:val="es-ES"/>
        </w:rPr>
        <w:t>podrá</w:t>
      </w:r>
      <w:r w:rsidR="009C6D77" w:rsidRPr="002D2D0F">
        <w:rPr>
          <w:kern w:val="22"/>
          <w:szCs w:val="24"/>
          <w:lang w:val="es-ES"/>
        </w:rPr>
        <w:t xml:space="preserve"> </w:t>
      </w:r>
      <w:r w:rsidR="00B27063" w:rsidRPr="002D2D0F">
        <w:rPr>
          <w:kern w:val="22"/>
          <w:szCs w:val="24"/>
          <w:lang w:val="es-ES"/>
        </w:rPr>
        <w:t>accederse</w:t>
      </w:r>
      <w:r w:rsidR="009C6D77" w:rsidRPr="002D2D0F">
        <w:rPr>
          <w:kern w:val="22"/>
          <w:szCs w:val="24"/>
          <w:lang w:val="es-ES"/>
        </w:rPr>
        <w:t xml:space="preserve"> </w:t>
      </w:r>
      <w:r w:rsidR="007C224C" w:rsidRPr="002D2D0F">
        <w:rPr>
          <w:kern w:val="22"/>
          <w:szCs w:val="24"/>
          <w:lang w:val="es-ES"/>
        </w:rPr>
        <w:t>oportunamente</w:t>
      </w:r>
      <w:r w:rsidRPr="002D2D0F">
        <w:rPr>
          <w:kern w:val="22"/>
          <w:szCs w:val="24"/>
          <w:lang w:val="es-ES"/>
        </w:rPr>
        <w:t xml:space="preserve"> desde el mecanismo de facilitación del CDB;</w:t>
      </w:r>
    </w:p>
    <w:p w:rsidR="00B13ADB" w:rsidRPr="002D2D0F" w:rsidRDefault="00117B10" w:rsidP="00B27063">
      <w:pPr>
        <w:pStyle w:val="Para2"/>
        <w:numPr>
          <w:ilvl w:val="0"/>
          <w:numId w:val="3"/>
        </w:numPr>
        <w:suppressLineNumbers/>
        <w:tabs>
          <w:tab w:val="clear" w:pos="1440"/>
        </w:tabs>
        <w:suppressAutoHyphens/>
        <w:kinsoku w:val="0"/>
        <w:overflowPunct w:val="0"/>
        <w:adjustRightInd w:val="0"/>
        <w:snapToGrid w:val="0"/>
        <w:ind w:left="0" w:firstLine="720"/>
        <w:rPr>
          <w:szCs w:val="24"/>
          <w:lang w:val="es-ES"/>
        </w:rPr>
      </w:pPr>
      <w:r>
        <w:rPr>
          <w:kern w:val="22"/>
          <w:szCs w:val="24"/>
          <w:lang w:val="es-ES"/>
        </w:rPr>
        <w:t>En mayo de 2017</w:t>
      </w:r>
      <w:r w:rsidR="00B13ADB" w:rsidRPr="002D2D0F">
        <w:rPr>
          <w:kern w:val="22"/>
          <w:szCs w:val="24"/>
          <w:lang w:val="es-ES"/>
        </w:rPr>
        <w:t xml:space="preserve"> la UICN publicó un documento de consulta sobre la clasi</w:t>
      </w:r>
      <w:r>
        <w:rPr>
          <w:kern w:val="22"/>
          <w:szCs w:val="24"/>
          <w:lang w:val="es-ES"/>
        </w:rPr>
        <w:t>ficación estándar de la UICN de los</w:t>
      </w:r>
      <w:r w:rsidR="00B13ADB" w:rsidRPr="002D2D0F">
        <w:rPr>
          <w:kern w:val="22"/>
          <w:szCs w:val="24"/>
          <w:lang w:val="es-ES"/>
        </w:rPr>
        <w:t xml:space="preserve"> impacto</w:t>
      </w:r>
      <w:r>
        <w:rPr>
          <w:kern w:val="22"/>
          <w:szCs w:val="24"/>
          <w:lang w:val="es-ES"/>
        </w:rPr>
        <w:t>s</w:t>
      </w:r>
      <w:r w:rsidR="00B13ADB" w:rsidRPr="002D2D0F">
        <w:rPr>
          <w:kern w:val="22"/>
          <w:szCs w:val="24"/>
          <w:lang w:val="es-ES"/>
        </w:rPr>
        <w:t xml:space="preserve"> de taxones de especies invasoras</w:t>
      </w:r>
      <w:r w:rsidR="00B13ADB" w:rsidRPr="002D2D0F">
        <w:rPr>
          <w:rFonts w:eastAsia="Yu Mincho"/>
          <w:kern w:val="22"/>
          <w:szCs w:val="24"/>
          <w:vertAlign w:val="superscript"/>
          <w:lang w:val="es-ES"/>
        </w:rPr>
        <w:footnoteReference w:id="31"/>
      </w:r>
      <w:r w:rsidR="00B13ADB" w:rsidRPr="002D2D0F">
        <w:rPr>
          <w:kern w:val="22"/>
          <w:szCs w:val="24"/>
          <w:lang w:val="es-ES"/>
        </w:rPr>
        <w:t xml:space="preserve">. En el documento se describe la Clasificación de Impactos Ambientales para Taxones Exóticos (Environmental Impact Classification for Alien Taxa o EICAT) que se aplica </w:t>
      </w:r>
      <w:r w:rsidR="007C224C" w:rsidRPr="002D2D0F">
        <w:rPr>
          <w:kern w:val="22"/>
          <w:szCs w:val="24"/>
          <w:lang w:val="es-ES"/>
        </w:rPr>
        <w:t xml:space="preserve">en forma </w:t>
      </w:r>
      <w:r w:rsidR="00B13ADB" w:rsidRPr="002D2D0F">
        <w:rPr>
          <w:kern w:val="22"/>
          <w:szCs w:val="24"/>
          <w:lang w:val="es-ES"/>
        </w:rPr>
        <w:t xml:space="preserve">uniforme y comparable en distintas evaluaciones. Se </w:t>
      </w:r>
      <w:r>
        <w:rPr>
          <w:kern w:val="22"/>
          <w:szCs w:val="24"/>
          <w:lang w:val="es-ES"/>
        </w:rPr>
        <w:t>prevé</w:t>
      </w:r>
      <w:r w:rsidR="00B13ADB" w:rsidRPr="002D2D0F">
        <w:rPr>
          <w:kern w:val="22"/>
          <w:szCs w:val="24"/>
          <w:lang w:val="es-ES"/>
        </w:rPr>
        <w:t xml:space="preserve"> que se utili</w:t>
      </w:r>
      <w:r>
        <w:rPr>
          <w:kern w:val="22"/>
          <w:szCs w:val="24"/>
          <w:lang w:val="es-ES"/>
        </w:rPr>
        <w:t>zará</w:t>
      </w:r>
      <w:r w:rsidR="00B13ADB" w:rsidRPr="002D2D0F">
        <w:rPr>
          <w:kern w:val="22"/>
          <w:szCs w:val="24"/>
          <w:lang w:val="es-ES"/>
        </w:rPr>
        <w:t xml:space="preserve">n los datos EICAT </w:t>
      </w:r>
      <w:r w:rsidR="007C224C" w:rsidRPr="002D2D0F">
        <w:rPr>
          <w:kern w:val="22"/>
          <w:szCs w:val="24"/>
          <w:lang w:val="es-ES"/>
        </w:rPr>
        <w:t xml:space="preserve">como base empírica </w:t>
      </w:r>
      <w:r w:rsidR="00B13ADB" w:rsidRPr="002D2D0F">
        <w:rPr>
          <w:kern w:val="22"/>
          <w:szCs w:val="24"/>
          <w:lang w:val="es-ES"/>
        </w:rPr>
        <w:t xml:space="preserve">para la adopción de decisiones de políticas </w:t>
      </w:r>
      <w:r w:rsidR="007C224C" w:rsidRPr="002D2D0F">
        <w:rPr>
          <w:kern w:val="22"/>
          <w:szCs w:val="24"/>
          <w:lang w:val="es-ES"/>
        </w:rPr>
        <w:t>que determinen</w:t>
      </w:r>
      <w:r w:rsidR="00B13ADB" w:rsidRPr="002D2D0F">
        <w:rPr>
          <w:kern w:val="22"/>
          <w:szCs w:val="24"/>
          <w:lang w:val="es-ES"/>
        </w:rPr>
        <w:t xml:space="preserve"> </w:t>
      </w:r>
      <w:r w:rsidR="007C224C" w:rsidRPr="002D2D0F">
        <w:rPr>
          <w:kern w:val="22"/>
          <w:szCs w:val="24"/>
          <w:lang w:val="es-ES"/>
        </w:rPr>
        <w:t>qué</w:t>
      </w:r>
      <w:r w:rsidR="00B13ADB" w:rsidRPr="002D2D0F">
        <w:rPr>
          <w:kern w:val="22"/>
          <w:szCs w:val="24"/>
          <w:lang w:val="es-ES"/>
        </w:rPr>
        <w:t xml:space="preserve"> taxones exóticos se consideran invasores. Además, la UICN tiene previsto desarrollar una base de datos sobre los impactos sociales y económicos de las especies exóticas invaso</w:t>
      </w:r>
      <w:r w:rsidR="00583E1D" w:rsidRPr="002D2D0F">
        <w:rPr>
          <w:kern w:val="22"/>
          <w:szCs w:val="24"/>
          <w:lang w:val="es-ES"/>
        </w:rPr>
        <w:t>ra</w:t>
      </w:r>
      <w:r w:rsidR="00B13ADB" w:rsidRPr="002D2D0F">
        <w:rPr>
          <w:kern w:val="22"/>
          <w:szCs w:val="24"/>
          <w:lang w:val="es-ES"/>
        </w:rPr>
        <w:t>s (SEICAT) con un enfoque similar al de la EICAT;</w:t>
      </w:r>
    </w:p>
    <w:p w:rsidR="00374EF4" w:rsidRPr="002D2D0F" w:rsidRDefault="00374EF4" w:rsidP="00B27063">
      <w:pPr>
        <w:pStyle w:val="Para2"/>
        <w:numPr>
          <w:ilvl w:val="0"/>
          <w:numId w:val="3"/>
        </w:numPr>
        <w:suppressLineNumbers/>
        <w:tabs>
          <w:tab w:val="clear" w:pos="1440"/>
        </w:tabs>
        <w:suppressAutoHyphens/>
        <w:kinsoku w:val="0"/>
        <w:overflowPunct w:val="0"/>
        <w:adjustRightInd w:val="0"/>
        <w:snapToGrid w:val="0"/>
        <w:spacing w:before="0" w:after="0"/>
        <w:ind w:left="0" w:firstLine="720"/>
        <w:rPr>
          <w:kern w:val="22"/>
          <w:szCs w:val="24"/>
          <w:lang w:val="es-ES"/>
        </w:rPr>
      </w:pPr>
      <w:r w:rsidRPr="002D2D0F">
        <w:rPr>
          <w:kern w:val="22"/>
          <w:szCs w:val="24"/>
          <w:lang w:val="es-ES"/>
        </w:rPr>
        <w:t xml:space="preserve">Expertos del Grupo Especialista en Especies </w:t>
      </w:r>
      <w:r w:rsidR="001702DD" w:rsidRPr="002D2D0F">
        <w:rPr>
          <w:kern w:val="22"/>
          <w:szCs w:val="24"/>
          <w:lang w:val="es-ES"/>
        </w:rPr>
        <w:t>Invasoras de</w:t>
      </w:r>
      <w:r w:rsidRPr="002D2D0F">
        <w:rPr>
          <w:kern w:val="22"/>
          <w:szCs w:val="24"/>
          <w:lang w:val="es-ES"/>
        </w:rPr>
        <w:t xml:space="preserve"> la UICN</w:t>
      </w:r>
      <w:r w:rsidR="00AB7F7A" w:rsidRPr="002D2D0F">
        <w:rPr>
          <w:kern w:val="22"/>
          <w:szCs w:val="24"/>
          <w:vertAlign w:val="superscript"/>
          <w:lang w:val="es-ES"/>
        </w:rPr>
        <w:t>7</w:t>
      </w:r>
      <w:r w:rsidRPr="002D2D0F">
        <w:rPr>
          <w:kern w:val="22"/>
          <w:szCs w:val="24"/>
          <w:lang w:val="es-ES"/>
        </w:rPr>
        <w:t xml:space="preserve"> explicaron más a fondo la categorización de vías del CDB con el fin de brindar orientación para la interpretación de las definiciones del sistema de categorización de vías del CDB. Asimismo, </w:t>
      </w:r>
      <w:r w:rsidR="00117B10">
        <w:rPr>
          <w:kern w:val="22"/>
          <w:szCs w:val="24"/>
          <w:lang w:val="es-ES"/>
        </w:rPr>
        <w:t xml:space="preserve">algunos </w:t>
      </w:r>
      <w:r w:rsidRPr="002D2D0F">
        <w:rPr>
          <w:kern w:val="22"/>
          <w:szCs w:val="24"/>
          <w:lang w:val="es-ES"/>
        </w:rPr>
        <w:t xml:space="preserve">conjuntos de datos regionales y mundiales </w:t>
      </w:r>
      <w:r w:rsidR="00117B10">
        <w:rPr>
          <w:kern w:val="22"/>
          <w:szCs w:val="24"/>
          <w:lang w:val="es-ES"/>
        </w:rPr>
        <w:t>fu</w:t>
      </w:r>
      <w:r w:rsidR="00117B10" w:rsidRPr="002D2D0F">
        <w:rPr>
          <w:kern w:val="22"/>
          <w:szCs w:val="24"/>
          <w:lang w:val="es-ES"/>
        </w:rPr>
        <w:t>e</w:t>
      </w:r>
      <w:r w:rsidR="00117B10">
        <w:rPr>
          <w:kern w:val="22"/>
          <w:szCs w:val="24"/>
          <w:lang w:val="es-ES"/>
        </w:rPr>
        <w:t>ron</w:t>
      </w:r>
      <w:r w:rsidR="00117B10" w:rsidRPr="002D2D0F">
        <w:rPr>
          <w:kern w:val="22"/>
          <w:szCs w:val="24"/>
          <w:lang w:val="es-ES"/>
        </w:rPr>
        <w:t xml:space="preserve"> adapta</w:t>
      </w:r>
      <w:r w:rsidR="00117B10">
        <w:rPr>
          <w:kern w:val="22"/>
          <w:szCs w:val="24"/>
          <w:lang w:val="es-ES"/>
        </w:rPr>
        <w:t>d</w:t>
      </w:r>
      <w:r w:rsidR="00117B10" w:rsidRPr="002D2D0F">
        <w:rPr>
          <w:kern w:val="22"/>
          <w:szCs w:val="24"/>
          <w:lang w:val="es-ES"/>
        </w:rPr>
        <w:t>o</w:t>
      </w:r>
      <w:r w:rsidR="00117B10">
        <w:rPr>
          <w:kern w:val="22"/>
          <w:szCs w:val="24"/>
          <w:lang w:val="es-ES"/>
        </w:rPr>
        <w:t>s</w:t>
      </w:r>
      <w:r w:rsidR="00117B10" w:rsidRPr="002D2D0F">
        <w:rPr>
          <w:kern w:val="22"/>
          <w:szCs w:val="24"/>
          <w:lang w:val="es-ES"/>
        </w:rPr>
        <w:t xml:space="preserve"> </w:t>
      </w:r>
      <w:r w:rsidRPr="002D2D0F">
        <w:rPr>
          <w:kern w:val="22"/>
          <w:szCs w:val="24"/>
          <w:lang w:val="es-ES"/>
        </w:rPr>
        <w:t xml:space="preserve">al sistema de categorización de vías del CDB, por ejemplo, para la Unión Europea y la Base de Datos Mundial de Especies Invasoras. En la Base de Datos Mundial de Especies Invasoras se adoptó una interfaz de búsqueda que utiliza el sistema de categorización de vías del CDB para que las Partes puedan </w:t>
      </w:r>
      <w:r w:rsidR="00117B10">
        <w:rPr>
          <w:kern w:val="22"/>
          <w:szCs w:val="24"/>
          <w:lang w:val="es-ES"/>
        </w:rPr>
        <w:t>revisar</w:t>
      </w:r>
      <w:r w:rsidRPr="002D2D0F">
        <w:rPr>
          <w:kern w:val="22"/>
          <w:szCs w:val="24"/>
          <w:lang w:val="es-ES"/>
        </w:rPr>
        <w:t xml:space="preserve"> las invasiones biológicas registradas accediendo a vías y seleccionándolas en </w:t>
      </w:r>
      <w:hyperlink r:id="rId19" w:history="1">
        <w:r w:rsidRPr="002D2D0F">
          <w:rPr>
            <w:kern w:val="22"/>
            <w:szCs w:val="24"/>
            <w:lang w:val="es-ES"/>
          </w:rPr>
          <w:t>http://www.iucngisd.org/gisd/</w:t>
        </w:r>
      </w:hyperlink>
      <w:r w:rsidRPr="002D2D0F">
        <w:rPr>
          <w:kern w:val="22"/>
          <w:szCs w:val="24"/>
          <w:lang w:val="es-ES"/>
        </w:rPr>
        <w:t>;</w:t>
      </w:r>
    </w:p>
    <w:p w:rsidR="00173C50" w:rsidRPr="002D2D0F" w:rsidRDefault="00173C50" w:rsidP="00B27063">
      <w:pPr>
        <w:pStyle w:val="Para2"/>
        <w:numPr>
          <w:ilvl w:val="0"/>
          <w:numId w:val="3"/>
        </w:numPr>
        <w:suppressLineNumbers/>
        <w:tabs>
          <w:tab w:val="clear" w:pos="1440"/>
        </w:tabs>
        <w:suppressAutoHyphens/>
        <w:kinsoku w:val="0"/>
        <w:overflowPunct w:val="0"/>
        <w:adjustRightInd w:val="0"/>
        <w:snapToGrid w:val="0"/>
        <w:ind w:left="0" w:firstLine="720"/>
        <w:rPr>
          <w:szCs w:val="24"/>
          <w:lang w:val="es-ES"/>
        </w:rPr>
      </w:pPr>
      <w:r w:rsidRPr="002D2D0F">
        <w:rPr>
          <w:kern w:val="22"/>
          <w:szCs w:val="24"/>
          <w:lang w:val="es-ES"/>
        </w:rPr>
        <w:t xml:space="preserve">Con respecto a </w:t>
      </w:r>
      <w:r w:rsidR="00117B10">
        <w:rPr>
          <w:kern w:val="22"/>
          <w:szCs w:val="24"/>
          <w:lang w:val="es-ES"/>
        </w:rPr>
        <w:t>pruebas</w:t>
      </w:r>
      <w:r w:rsidR="00AB7F7A" w:rsidRPr="002D2D0F">
        <w:rPr>
          <w:kern w:val="22"/>
          <w:szCs w:val="24"/>
          <w:lang w:val="es-ES"/>
        </w:rPr>
        <w:t xml:space="preserve"> </w:t>
      </w:r>
      <w:r w:rsidR="00117B10">
        <w:rPr>
          <w:kern w:val="22"/>
          <w:szCs w:val="24"/>
          <w:lang w:val="es-ES"/>
        </w:rPr>
        <w:t>de</w:t>
      </w:r>
      <w:r w:rsidR="00AB7F7A" w:rsidRPr="002D2D0F">
        <w:rPr>
          <w:kern w:val="22"/>
          <w:szCs w:val="24"/>
          <w:lang w:val="es-ES"/>
        </w:rPr>
        <w:t xml:space="preserve"> la</w:t>
      </w:r>
      <w:r w:rsidRPr="002D2D0F">
        <w:rPr>
          <w:kern w:val="22"/>
          <w:szCs w:val="24"/>
          <w:lang w:val="es-ES"/>
        </w:rPr>
        <w:t xml:space="preserve"> introducción de organismos exóticos invasores </w:t>
      </w:r>
      <w:r w:rsidR="00117B10">
        <w:rPr>
          <w:kern w:val="22"/>
          <w:szCs w:val="24"/>
          <w:lang w:val="es-ES"/>
        </w:rPr>
        <w:t>por</w:t>
      </w:r>
      <w:r w:rsidRPr="002D2D0F">
        <w:rPr>
          <w:kern w:val="22"/>
          <w:szCs w:val="24"/>
          <w:lang w:val="es-ES"/>
        </w:rPr>
        <w:t xml:space="preserve"> vías de introducción no intencional, el Grupo Especialista en Especies Invasoras de la UICN ha recolectado información sobre sus impactos </w:t>
      </w:r>
      <w:r w:rsidR="00117B10">
        <w:rPr>
          <w:kern w:val="22"/>
          <w:szCs w:val="24"/>
          <w:lang w:val="es-ES"/>
        </w:rPr>
        <w:t>en</w:t>
      </w:r>
      <w:r w:rsidRPr="002D2D0F">
        <w:rPr>
          <w:kern w:val="22"/>
          <w:szCs w:val="24"/>
          <w:lang w:val="es-ES"/>
        </w:rPr>
        <w:t xml:space="preserve"> países en los que se establecieron especies invasoras y </w:t>
      </w:r>
      <w:r w:rsidR="00AB7F7A" w:rsidRPr="002D2D0F">
        <w:rPr>
          <w:kern w:val="22"/>
          <w:szCs w:val="24"/>
          <w:lang w:val="es-ES"/>
        </w:rPr>
        <w:t xml:space="preserve">ha </w:t>
      </w:r>
      <w:r w:rsidRPr="002D2D0F">
        <w:rPr>
          <w:kern w:val="22"/>
          <w:szCs w:val="24"/>
          <w:lang w:val="es-ES"/>
        </w:rPr>
        <w:t>comparti</w:t>
      </w:r>
      <w:r w:rsidR="00AB7F7A" w:rsidRPr="002D2D0F">
        <w:rPr>
          <w:kern w:val="22"/>
          <w:szCs w:val="24"/>
          <w:lang w:val="es-ES"/>
        </w:rPr>
        <w:t>d</w:t>
      </w:r>
      <w:r w:rsidRPr="002D2D0F">
        <w:rPr>
          <w:kern w:val="22"/>
          <w:szCs w:val="24"/>
          <w:lang w:val="es-ES"/>
        </w:rPr>
        <w:t>o y analiza</w:t>
      </w:r>
      <w:r w:rsidR="00AB7F7A" w:rsidRPr="002D2D0F">
        <w:rPr>
          <w:kern w:val="22"/>
          <w:szCs w:val="24"/>
          <w:lang w:val="es-ES"/>
        </w:rPr>
        <w:t>d</w:t>
      </w:r>
      <w:r w:rsidRPr="002D2D0F">
        <w:rPr>
          <w:kern w:val="22"/>
          <w:szCs w:val="24"/>
          <w:lang w:val="es-ES"/>
        </w:rPr>
        <w:t xml:space="preserve">o los impactos y </w:t>
      </w:r>
      <w:r w:rsidR="00AB7F7A" w:rsidRPr="002D2D0F">
        <w:rPr>
          <w:kern w:val="22"/>
          <w:szCs w:val="24"/>
          <w:lang w:val="es-ES"/>
        </w:rPr>
        <w:t xml:space="preserve">las </w:t>
      </w:r>
      <w:r w:rsidRPr="002D2D0F">
        <w:rPr>
          <w:kern w:val="22"/>
          <w:szCs w:val="24"/>
          <w:lang w:val="es-ES"/>
        </w:rPr>
        <w:t xml:space="preserve">principales vías </w:t>
      </w:r>
      <w:r w:rsidR="00117B10">
        <w:rPr>
          <w:kern w:val="22"/>
          <w:szCs w:val="24"/>
          <w:lang w:val="es-ES"/>
        </w:rPr>
        <w:t xml:space="preserve">que son </w:t>
      </w:r>
      <w:r w:rsidRPr="002D2D0F">
        <w:rPr>
          <w:kern w:val="22"/>
          <w:szCs w:val="24"/>
          <w:lang w:val="es-ES"/>
        </w:rPr>
        <w:t>responsable</w:t>
      </w:r>
      <w:r w:rsidR="00117B10">
        <w:rPr>
          <w:kern w:val="22"/>
          <w:szCs w:val="24"/>
          <w:lang w:val="es-ES"/>
        </w:rPr>
        <w:t>s</w:t>
      </w:r>
      <w:r w:rsidRPr="002D2D0F">
        <w:rPr>
          <w:kern w:val="22"/>
          <w:szCs w:val="24"/>
          <w:lang w:val="es-ES"/>
        </w:rPr>
        <w:t xml:space="preserve">. Los países nórdicos y la Unión Europea también han </w:t>
      </w:r>
      <w:r w:rsidR="00AB7F7A" w:rsidRPr="002D2D0F">
        <w:rPr>
          <w:kern w:val="22"/>
          <w:szCs w:val="24"/>
          <w:lang w:val="es-ES"/>
        </w:rPr>
        <w:t>evaluado</w:t>
      </w:r>
      <w:r w:rsidRPr="002D2D0F">
        <w:rPr>
          <w:kern w:val="22"/>
          <w:szCs w:val="24"/>
          <w:lang w:val="es-ES"/>
        </w:rPr>
        <w:t xml:space="preserve"> los riesgos específicos </w:t>
      </w:r>
      <w:r w:rsidR="00117B10">
        <w:rPr>
          <w:kern w:val="22"/>
          <w:szCs w:val="24"/>
          <w:lang w:val="es-ES"/>
        </w:rPr>
        <w:t>de</w:t>
      </w:r>
      <w:r w:rsidRPr="002D2D0F">
        <w:rPr>
          <w:kern w:val="22"/>
          <w:szCs w:val="24"/>
          <w:lang w:val="es-ES"/>
        </w:rPr>
        <w:t xml:space="preserve"> cada vía.</w:t>
      </w:r>
    </w:p>
    <w:p w:rsidR="000E354D" w:rsidRPr="002D2D0F" w:rsidRDefault="000E354D" w:rsidP="000E354D">
      <w:pPr>
        <w:pStyle w:val="ListParagraph"/>
        <w:keepNext/>
        <w:numPr>
          <w:ilvl w:val="0"/>
          <w:numId w:val="13"/>
        </w:numPr>
        <w:suppressLineNumbers/>
        <w:tabs>
          <w:tab w:val="left" w:pos="360"/>
        </w:tabs>
        <w:suppressAutoHyphens/>
        <w:kinsoku w:val="0"/>
        <w:overflowPunct w:val="0"/>
        <w:autoSpaceDE w:val="0"/>
        <w:autoSpaceDN w:val="0"/>
        <w:adjustRightInd w:val="0"/>
        <w:snapToGrid w:val="0"/>
        <w:spacing w:before="120" w:after="120"/>
        <w:ind w:left="0" w:firstLine="0"/>
        <w:contextualSpacing w:val="0"/>
        <w:jc w:val="center"/>
        <w:rPr>
          <w:i/>
          <w:caps/>
          <w:kern w:val="22"/>
          <w:lang w:val="es-ES"/>
        </w:rPr>
      </w:pPr>
      <w:r w:rsidRPr="002D2D0F">
        <w:rPr>
          <w:b/>
          <w:kern w:val="22"/>
          <w:lang w:val="es-ES"/>
        </w:rPr>
        <w:lastRenderedPageBreak/>
        <w:t>OTROS ASUNTOS</w:t>
      </w:r>
    </w:p>
    <w:p w:rsidR="000E354D" w:rsidRPr="002D2D0F" w:rsidRDefault="000E354D" w:rsidP="000C2621">
      <w:pPr>
        <w:numPr>
          <w:ilvl w:val="0"/>
          <w:numId w:val="6"/>
        </w:numPr>
        <w:suppressLineNumbers/>
        <w:suppressAutoHyphens/>
        <w:kinsoku w:val="0"/>
        <w:overflowPunct w:val="0"/>
        <w:autoSpaceDE w:val="0"/>
        <w:autoSpaceDN w:val="0"/>
        <w:adjustRightInd w:val="0"/>
        <w:snapToGrid w:val="0"/>
        <w:spacing w:before="120" w:after="120"/>
        <w:ind w:left="0" w:firstLine="0"/>
        <w:rPr>
          <w:rFonts w:eastAsia="Yu Mincho"/>
          <w:lang w:val="es-ES"/>
        </w:rPr>
      </w:pPr>
      <w:r w:rsidRPr="002D2D0F">
        <w:rPr>
          <w:kern w:val="22"/>
          <w:lang w:val="es-ES"/>
        </w:rPr>
        <w:t>Es necesario que los expertos sigan trabajando en la recolección y análisis de información</w:t>
      </w:r>
      <w:r w:rsidR="00A4612C" w:rsidRPr="002D2D0F">
        <w:rPr>
          <w:kern w:val="22"/>
          <w:lang w:val="es-ES"/>
        </w:rPr>
        <w:t xml:space="preserve"> </w:t>
      </w:r>
      <w:r w:rsidRPr="002D2D0F">
        <w:rPr>
          <w:kern w:val="22"/>
          <w:lang w:val="es-ES"/>
        </w:rPr>
        <w:t xml:space="preserve">sobre las implicancias del cambio climático para la gestión de especies exóticas invasoras; los métodos usados para determinar la relación costo-beneficio y la relación costo-eficacia de las distintas medidas y cuáles conviene aplicar para la gestión de especies exóticas invasoras; el análisis de </w:t>
      </w:r>
      <w:r w:rsidR="000C2621" w:rsidRPr="002D2D0F">
        <w:rPr>
          <w:kern w:val="22"/>
          <w:lang w:val="es-ES"/>
        </w:rPr>
        <w:t xml:space="preserve">los </w:t>
      </w:r>
      <w:r w:rsidRPr="002D2D0F">
        <w:rPr>
          <w:kern w:val="22"/>
          <w:lang w:val="es-ES"/>
        </w:rPr>
        <w:t xml:space="preserve">riesgos </w:t>
      </w:r>
      <w:r w:rsidR="000C2621" w:rsidRPr="002D2D0F">
        <w:rPr>
          <w:kern w:val="22"/>
          <w:lang w:val="es-ES"/>
        </w:rPr>
        <w:t>planteados por las</w:t>
      </w:r>
      <w:r w:rsidRPr="002D2D0F">
        <w:rPr>
          <w:kern w:val="22"/>
          <w:lang w:val="es-ES"/>
        </w:rPr>
        <w:t xml:space="preserve"> especies exóticas invaso</w:t>
      </w:r>
      <w:r w:rsidR="00583E1D" w:rsidRPr="002D2D0F">
        <w:rPr>
          <w:kern w:val="22"/>
          <w:lang w:val="es-ES"/>
        </w:rPr>
        <w:t>ra</w:t>
      </w:r>
      <w:r w:rsidRPr="002D2D0F">
        <w:rPr>
          <w:kern w:val="22"/>
          <w:lang w:val="es-ES"/>
        </w:rPr>
        <w:t xml:space="preserve">s, tomando en cuenta las potenciales consecuencias de </w:t>
      </w:r>
      <w:r w:rsidR="000C2621" w:rsidRPr="002D2D0F">
        <w:rPr>
          <w:kern w:val="22"/>
          <w:lang w:val="es-ES"/>
        </w:rPr>
        <w:t>su</w:t>
      </w:r>
      <w:r w:rsidRPr="002D2D0F">
        <w:rPr>
          <w:kern w:val="22"/>
          <w:lang w:val="es-ES"/>
        </w:rPr>
        <w:t xml:space="preserve"> introducción y el impacto en los valores sociales, económicos y culturales; y para determinar el impacto del comercio electrónico (comercio de especies exóticas) en la diversidad biológica. Las actividades antedichas podrían contribuir a</w:t>
      </w:r>
      <w:r w:rsidR="000C2621" w:rsidRPr="002D2D0F">
        <w:rPr>
          <w:kern w:val="22"/>
          <w:lang w:val="es-ES"/>
        </w:rPr>
        <w:t>l</w:t>
      </w:r>
      <w:r w:rsidRPr="002D2D0F">
        <w:rPr>
          <w:kern w:val="22"/>
          <w:lang w:val="es-ES"/>
        </w:rPr>
        <w:t xml:space="preserve"> desarroll</w:t>
      </w:r>
      <w:r w:rsidR="000C2621" w:rsidRPr="002D2D0F">
        <w:rPr>
          <w:kern w:val="22"/>
          <w:lang w:val="es-ES"/>
        </w:rPr>
        <w:t>o de</w:t>
      </w:r>
      <w:r w:rsidRPr="002D2D0F">
        <w:rPr>
          <w:kern w:val="22"/>
          <w:lang w:val="es-ES"/>
        </w:rPr>
        <w:t xml:space="preserve"> herramientas y orientaciones técnicas </w:t>
      </w:r>
      <w:r w:rsidR="000C2621" w:rsidRPr="002D2D0F">
        <w:rPr>
          <w:kern w:val="22"/>
          <w:lang w:val="es-ES"/>
        </w:rPr>
        <w:t>en</w:t>
      </w:r>
      <w:r w:rsidRPr="002D2D0F">
        <w:rPr>
          <w:kern w:val="22"/>
          <w:lang w:val="es-ES"/>
        </w:rPr>
        <w:t xml:space="preserve"> respuesta a los pedidos formulados por la Conferencia de las Partes en la decisión XIII/13.</w:t>
      </w:r>
    </w:p>
    <w:p w:rsidR="00A65DAF" w:rsidRPr="002D2D0F" w:rsidRDefault="00A65DAF" w:rsidP="000C2621">
      <w:pPr>
        <w:numPr>
          <w:ilvl w:val="0"/>
          <w:numId w:val="6"/>
        </w:numPr>
        <w:suppressLineNumbers/>
        <w:suppressAutoHyphens/>
        <w:kinsoku w:val="0"/>
        <w:overflowPunct w:val="0"/>
        <w:autoSpaceDE w:val="0"/>
        <w:autoSpaceDN w:val="0"/>
        <w:adjustRightInd w:val="0"/>
        <w:snapToGrid w:val="0"/>
        <w:spacing w:before="120" w:after="120"/>
        <w:ind w:left="0" w:firstLine="0"/>
        <w:rPr>
          <w:rFonts w:eastAsia="Yu Mincho"/>
          <w:kern w:val="22"/>
          <w:lang w:val="es-ES"/>
        </w:rPr>
      </w:pPr>
      <w:bookmarkStart w:id="2" w:name="_Hlk510729524"/>
      <w:r w:rsidRPr="002D2D0F">
        <w:rPr>
          <w:kern w:val="22"/>
          <w:lang w:val="es-ES"/>
        </w:rPr>
        <w:t>En respuesta a la decisión IX/4 A, la novena reunión del Grupo de Enlace sobre Especies Exóticas Invasoras</w:t>
      </w:r>
      <w:r w:rsidRPr="002D2D0F">
        <w:rPr>
          <w:rStyle w:val="FootnoteReference"/>
          <w:kern w:val="22"/>
          <w:sz w:val="22"/>
          <w:szCs w:val="22"/>
          <w:u w:val="none"/>
          <w:vertAlign w:val="superscript"/>
          <w:lang w:val="es-ES"/>
        </w:rPr>
        <w:footnoteReference w:id="32"/>
      </w:r>
      <w:r w:rsidRPr="002D2D0F">
        <w:rPr>
          <w:kern w:val="22"/>
          <w:lang w:val="es-ES"/>
        </w:rPr>
        <w:t xml:space="preserve">, </w:t>
      </w:r>
      <w:r w:rsidR="000C2621" w:rsidRPr="002D2D0F">
        <w:rPr>
          <w:kern w:val="22"/>
          <w:lang w:val="es-ES"/>
        </w:rPr>
        <w:t>que co</w:t>
      </w:r>
      <w:r w:rsidRPr="002D2D0F">
        <w:rPr>
          <w:kern w:val="22"/>
          <w:lang w:val="es-ES"/>
        </w:rPr>
        <w:t>organiza</w:t>
      </w:r>
      <w:r w:rsidR="000C2621" w:rsidRPr="002D2D0F">
        <w:rPr>
          <w:kern w:val="22"/>
          <w:lang w:val="es-ES"/>
        </w:rPr>
        <w:t>rá</w:t>
      </w:r>
      <w:r w:rsidRPr="002D2D0F">
        <w:rPr>
          <w:kern w:val="22"/>
          <w:lang w:val="es-ES"/>
        </w:rPr>
        <w:t>n la Organización de Aviación Civil Internacional (OACI) y el Convenio sobre la Diversidad Biológica</w:t>
      </w:r>
      <w:r w:rsidRPr="002D2D0F">
        <w:rPr>
          <w:rStyle w:val="FootnoteReference"/>
          <w:kern w:val="22"/>
          <w:sz w:val="22"/>
          <w:szCs w:val="22"/>
          <w:u w:val="none"/>
          <w:vertAlign w:val="superscript"/>
          <w:lang w:val="es-ES"/>
        </w:rPr>
        <w:footnoteReference w:id="33"/>
      </w:r>
      <w:r w:rsidRPr="002D2D0F">
        <w:rPr>
          <w:kern w:val="22"/>
          <w:lang w:val="es-ES"/>
        </w:rPr>
        <w:t xml:space="preserve">, </w:t>
      </w:r>
      <w:r w:rsidR="000C2621" w:rsidRPr="002D2D0F">
        <w:rPr>
          <w:kern w:val="22"/>
          <w:lang w:val="es-ES"/>
        </w:rPr>
        <w:t>se</w:t>
      </w:r>
      <w:r w:rsidR="000C2621" w:rsidRPr="002D2D0F">
        <w:rPr>
          <w:kern w:val="22"/>
          <w:vertAlign w:val="superscript"/>
          <w:lang w:val="es-ES"/>
        </w:rPr>
        <w:t xml:space="preserve"> </w:t>
      </w:r>
      <w:r w:rsidR="000C2621" w:rsidRPr="002D2D0F">
        <w:rPr>
          <w:kern w:val="22"/>
          <w:lang w:val="es-ES"/>
        </w:rPr>
        <w:t>c</w:t>
      </w:r>
      <w:r w:rsidRPr="002D2D0F">
        <w:rPr>
          <w:kern w:val="22"/>
          <w:lang w:val="es-ES"/>
        </w:rPr>
        <w:t>e</w:t>
      </w:r>
      <w:r w:rsidR="000C2621" w:rsidRPr="002D2D0F">
        <w:rPr>
          <w:kern w:val="22"/>
          <w:lang w:val="es-ES"/>
        </w:rPr>
        <w:t>nt</w:t>
      </w:r>
      <w:r w:rsidRPr="002D2D0F">
        <w:rPr>
          <w:kern w:val="22"/>
          <w:lang w:val="es-ES"/>
        </w:rPr>
        <w:t>r</w:t>
      </w:r>
      <w:r w:rsidR="000C2621" w:rsidRPr="002D2D0F">
        <w:rPr>
          <w:kern w:val="22"/>
          <w:lang w:val="es-ES"/>
        </w:rPr>
        <w:t>ar</w:t>
      </w:r>
      <w:r w:rsidRPr="002D2D0F">
        <w:rPr>
          <w:kern w:val="22"/>
          <w:lang w:val="es-ES"/>
        </w:rPr>
        <w:t xml:space="preserve">á </w:t>
      </w:r>
      <w:r w:rsidR="000C2621" w:rsidRPr="002D2D0F">
        <w:rPr>
          <w:kern w:val="22"/>
          <w:lang w:val="es-ES"/>
        </w:rPr>
        <w:t xml:space="preserve">en </w:t>
      </w:r>
      <w:r w:rsidRPr="002D2D0F">
        <w:rPr>
          <w:kern w:val="22"/>
          <w:lang w:val="es-ES"/>
        </w:rPr>
        <w:t xml:space="preserve">las vías de introducción asociadas con el transporte aéreo de carga y de pasajeros </w:t>
      </w:r>
      <w:r w:rsidR="000C2621" w:rsidRPr="002D2D0F">
        <w:rPr>
          <w:kern w:val="22"/>
          <w:lang w:val="es-ES"/>
        </w:rPr>
        <w:t>para</w:t>
      </w:r>
      <w:r w:rsidRPr="002D2D0F">
        <w:rPr>
          <w:kern w:val="22"/>
          <w:lang w:val="es-ES"/>
        </w:rPr>
        <w:t xml:space="preserve"> reducir al mínimo el riesgo de invasiones biológicas relacionados con dichos transportes.</w:t>
      </w:r>
    </w:p>
    <w:bookmarkEnd w:id="2"/>
    <w:p w:rsidR="0069638D" w:rsidRPr="002D2D0F" w:rsidRDefault="0069638D" w:rsidP="0069638D">
      <w:pPr>
        <w:pStyle w:val="Heading1"/>
        <w:suppressLineNumbers/>
        <w:tabs>
          <w:tab w:val="clear" w:pos="720"/>
          <w:tab w:val="left" w:pos="360"/>
        </w:tabs>
        <w:suppressAutoHyphens/>
        <w:kinsoku w:val="0"/>
        <w:overflowPunct w:val="0"/>
        <w:autoSpaceDE w:val="0"/>
        <w:autoSpaceDN w:val="0"/>
        <w:adjustRightInd w:val="0"/>
        <w:snapToGrid w:val="0"/>
        <w:spacing w:before="120"/>
        <w:rPr>
          <w:lang w:val="es-ES"/>
        </w:rPr>
      </w:pPr>
      <w:r w:rsidRPr="002D2D0F">
        <w:rPr>
          <w:kern w:val="22"/>
          <w:lang w:val="es-ES"/>
        </w:rPr>
        <w:t>V.</w:t>
      </w:r>
      <w:r w:rsidRPr="002D2D0F">
        <w:rPr>
          <w:kern w:val="22"/>
          <w:lang w:val="es-ES"/>
        </w:rPr>
        <w:tab/>
        <w:t>RECOMENDACIONES SUGERIDAS</w:t>
      </w:r>
    </w:p>
    <w:p w:rsidR="0069638D" w:rsidRPr="002D2D0F" w:rsidRDefault="0069638D" w:rsidP="0069638D">
      <w:pPr>
        <w:numPr>
          <w:ilvl w:val="0"/>
          <w:numId w:val="6"/>
        </w:numPr>
        <w:suppressLineNumbers/>
        <w:suppressAutoHyphens/>
        <w:kinsoku w:val="0"/>
        <w:overflowPunct w:val="0"/>
        <w:autoSpaceDE w:val="0"/>
        <w:autoSpaceDN w:val="0"/>
        <w:adjustRightInd w:val="0"/>
        <w:snapToGrid w:val="0"/>
        <w:spacing w:before="120" w:after="120"/>
        <w:ind w:left="0" w:firstLine="0"/>
        <w:rPr>
          <w:i/>
          <w:kern w:val="22"/>
          <w:lang w:val="es-ES"/>
        </w:rPr>
      </w:pPr>
      <w:r w:rsidRPr="002D2D0F">
        <w:rPr>
          <w:kern w:val="22"/>
          <w:lang w:val="es-ES"/>
        </w:rPr>
        <w:t>El Órgano Subsidiario de Asesoramiento Científico, Técnico y Tecnológico podría estimar oportuno recomendar a la Conferencia de las Partes que adopte una decisión del siguiente tenor:</w:t>
      </w:r>
    </w:p>
    <w:p w:rsidR="0069638D" w:rsidRPr="002D2D0F" w:rsidRDefault="0069638D" w:rsidP="0069638D">
      <w:pPr>
        <w:suppressLineNumbers/>
        <w:suppressAutoHyphens/>
        <w:kinsoku w:val="0"/>
        <w:overflowPunct w:val="0"/>
        <w:autoSpaceDE w:val="0"/>
        <w:autoSpaceDN w:val="0"/>
        <w:adjustRightInd w:val="0"/>
        <w:snapToGrid w:val="0"/>
        <w:spacing w:before="120" w:after="120"/>
        <w:ind w:firstLine="720"/>
        <w:rPr>
          <w:rFonts w:eastAsia="Yu Mincho"/>
          <w:b/>
          <w:i/>
          <w:kern w:val="22"/>
          <w:lang w:val="es-ES"/>
        </w:rPr>
      </w:pPr>
      <w:r w:rsidRPr="002D2D0F">
        <w:rPr>
          <w:i/>
          <w:color w:val="000000"/>
          <w:kern w:val="22"/>
          <w:lang w:val="es-ES"/>
        </w:rPr>
        <w:t>La Conferencia de las Partes</w:t>
      </w:r>
    </w:p>
    <w:p w:rsidR="0069638D" w:rsidRPr="002D2D0F" w:rsidRDefault="0069638D" w:rsidP="0069638D">
      <w:pPr>
        <w:pStyle w:val="ListParagraph"/>
        <w:suppressLineNumbers/>
        <w:suppressAutoHyphens/>
        <w:kinsoku w:val="0"/>
        <w:overflowPunct w:val="0"/>
        <w:autoSpaceDE w:val="0"/>
        <w:autoSpaceDN w:val="0"/>
        <w:adjustRightInd w:val="0"/>
        <w:snapToGrid w:val="0"/>
        <w:spacing w:before="120" w:after="120"/>
        <w:ind w:left="0" w:firstLine="720"/>
        <w:contextualSpacing w:val="0"/>
        <w:rPr>
          <w:rFonts w:eastAsia="Yu Mincho"/>
          <w:i/>
          <w:kern w:val="22"/>
          <w:lang w:val="es-ES"/>
        </w:rPr>
      </w:pPr>
      <w:r w:rsidRPr="002D2D0F">
        <w:rPr>
          <w:kern w:val="22"/>
          <w:lang w:val="es-ES"/>
        </w:rPr>
        <w:t>1</w:t>
      </w:r>
      <w:r w:rsidRPr="002D2D0F">
        <w:rPr>
          <w:i/>
          <w:kern w:val="22"/>
          <w:lang w:val="es-ES"/>
        </w:rPr>
        <w:t>.</w:t>
      </w:r>
      <w:r w:rsidRPr="002D2D0F">
        <w:rPr>
          <w:i/>
          <w:kern w:val="22"/>
          <w:lang w:val="es-ES"/>
        </w:rPr>
        <w:tab/>
        <w:t>Adopta</w:t>
      </w:r>
      <w:r w:rsidRPr="002D2D0F">
        <w:rPr>
          <w:kern w:val="22"/>
          <w:lang w:val="es-ES"/>
        </w:rPr>
        <w:t xml:space="preserve"> la orientación complementaria que figura en el anexo de la presente decisión;</w:t>
      </w:r>
    </w:p>
    <w:p w:rsidR="0069638D" w:rsidRPr="002D2D0F" w:rsidRDefault="0069638D" w:rsidP="0069638D">
      <w:pPr>
        <w:pStyle w:val="ListParagraph"/>
        <w:suppressLineNumbers/>
        <w:suppressAutoHyphens/>
        <w:kinsoku w:val="0"/>
        <w:overflowPunct w:val="0"/>
        <w:autoSpaceDE w:val="0"/>
        <w:autoSpaceDN w:val="0"/>
        <w:adjustRightInd w:val="0"/>
        <w:snapToGrid w:val="0"/>
        <w:spacing w:before="120" w:after="120"/>
        <w:ind w:left="0" w:firstLine="720"/>
        <w:contextualSpacing w:val="0"/>
        <w:rPr>
          <w:rFonts w:eastAsia="Yu Mincho"/>
          <w:i/>
          <w:kern w:val="22"/>
          <w:lang w:val="es-ES"/>
        </w:rPr>
      </w:pPr>
      <w:r w:rsidRPr="002D2D0F">
        <w:rPr>
          <w:kern w:val="22"/>
          <w:lang w:val="es-ES"/>
        </w:rPr>
        <w:t>2</w:t>
      </w:r>
      <w:r w:rsidRPr="002D2D0F">
        <w:rPr>
          <w:i/>
          <w:kern w:val="22"/>
          <w:lang w:val="es-ES"/>
        </w:rPr>
        <w:t>.</w:t>
      </w:r>
      <w:r w:rsidRPr="002D2D0F">
        <w:rPr>
          <w:i/>
          <w:kern w:val="22"/>
          <w:lang w:val="es-ES"/>
        </w:rPr>
        <w:tab/>
        <w:t xml:space="preserve">Invita </w:t>
      </w:r>
      <w:r w:rsidRPr="002D2D0F">
        <w:rPr>
          <w:kern w:val="22"/>
          <w:lang w:val="es-ES"/>
        </w:rPr>
        <w:t xml:space="preserve">a las Partes, otros Gobiernos y organizaciones pertinentes </w:t>
      </w:r>
      <w:r w:rsidR="000C2621" w:rsidRPr="002D2D0F">
        <w:rPr>
          <w:kern w:val="22"/>
          <w:lang w:val="es-ES"/>
        </w:rPr>
        <w:t>a</w:t>
      </w:r>
      <w:r w:rsidRPr="002D2D0F">
        <w:rPr>
          <w:kern w:val="22"/>
          <w:lang w:val="es-ES"/>
        </w:rPr>
        <w:t xml:space="preserve"> apli</w:t>
      </w:r>
      <w:r w:rsidR="000C2621" w:rsidRPr="002D2D0F">
        <w:rPr>
          <w:kern w:val="22"/>
          <w:lang w:val="es-ES"/>
        </w:rPr>
        <w:t>car</w:t>
      </w:r>
      <w:r w:rsidRPr="002D2D0F">
        <w:rPr>
          <w:kern w:val="22"/>
          <w:lang w:val="es-ES"/>
        </w:rPr>
        <w:t xml:space="preserve"> la orientación;</w:t>
      </w:r>
    </w:p>
    <w:p w:rsidR="009F297A" w:rsidRPr="002D2D0F" w:rsidRDefault="009F297A" w:rsidP="009F297A">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lang w:val="es-ES"/>
        </w:rPr>
      </w:pPr>
      <w:r w:rsidRPr="002D2D0F">
        <w:rPr>
          <w:kern w:val="22"/>
          <w:lang w:val="es-ES"/>
        </w:rPr>
        <w:t>3</w:t>
      </w:r>
      <w:r w:rsidRPr="002D2D0F">
        <w:rPr>
          <w:i/>
          <w:kern w:val="22"/>
          <w:lang w:val="es-ES"/>
        </w:rPr>
        <w:t>.</w:t>
      </w:r>
      <w:r w:rsidRPr="002D2D0F">
        <w:rPr>
          <w:i/>
          <w:kern w:val="22"/>
          <w:lang w:val="es-ES"/>
        </w:rPr>
        <w:tab/>
        <w:t>Decide</w:t>
      </w:r>
      <w:r w:rsidRPr="002D2D0F">
        <w:rPr>
          <w:kern w:val="22"/>
          <w:lang w:val="es-ES"/>
        </w:rPr>
        <w:t xml:space="preserve"> establecer un grupo especial de expertos técnicos </w:t>
      </w:r>
      <w:r w:rsidR="000C2621" w:rsidRPr="002D2D0F">
        <w:rPr>
          <w:kern w:val="22"/>
          <w:lang w:val="es-ES"/>
        </w:rPr>
        <w:t>sobre</w:t>
      </w:r>
      <w:r w:rsidRPr="002D2D0F">
        <w:rPr>
          <w:kern w:val="22"/>
          <w:lang w:val="es-ES"/>
        </w:rPr>
        <w:t xml:space="preserve"> especies exóticas invasoras, con sujeción a la disponibilidad de recursos financieros, </w:t>
      </w:r>
      <w:r w:rsidR="000C2621" w:rsidRPr="002D2D0F">
        <w:rPr>
          <w:kern w:val="22"/>
          <w:lang w:val="es-ES"/>
        </w:rPr>
        <w:t>y</w:t>
      </w:r>
      <w:r w:rsidRPr="002D2D0F">
        <w:rPr>
          <w:kern w:val="22"/>
          <w:lang w:val="es-ES"/>
        </w:rPr>
        <w:t xml:space="preserve"> convocar una reunión de este grupo de conformidad con el mandato que figura en el anexo;</w:t>
      </w:r>
    </w:p>
    <w:p w:rsidR="00EF16A9" w:rsidRPr="002D2D0F" w:rsidRDefault="00EF16A9" w:rsidP="00EF16A9">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lang w:val="es-ES"/>
        </w:rPr>
      </w:pPr>
      <w:r w:rsidRPr="002D2D0F">
        <w:rPr>
          <w:kern w:val="22"/>
          <w:lang w:val="es-ES"/>
        </w:rPr>
        <w:t>4</w:t>
      </w:r>
      <w:r w:rsidRPr="002D2D0F">
        <w:rPr>
          <w:i/>
          <w:kern w:val="22"/>
          <w:lang w:val="es-ES"/>
        </w:rPr>
        <w:t>.</w:t>
      </w:r>
      <w:r w:rsidRPr="002D2D0F">
        <w:rPr>
          <w:i/>
          <w:kern w:val="22"/>
          <w:lang w:val="es-ES"/>
        </w:rPr>
        <w:tab/>
        <w:t xml:space="preserve">Alienta </w:t>
      </w:r>
      <w:r w:rsidRPr="002D2D0F">
        <w:rPr>
          <w:kern w:val="22"/>
          <w:lang w:val="es-ES"/>
        </w:rPr>
        <w:t xml:space="preserve">a las Partes e </w:t>
      </w:r>
      <w:r w:rsidRPr="002D2D0F">
        <w:rPr>
          <w:i/>
          <w:kern w:val="22"/>
          <w:lang w:val="es-ES"/>
        </w:rPr>
        <w:t>invita</w:t>
      </w:r>
      <w:r w:rsidRPr="002D2D0F">
        <w:rPr>
          <w:kern w:val="22"/>
          <w:lang w:val="es-ES"/>
        </w:rPr>
        <w:t xml:space="preserve"> a otros Gobiernos a compartir información sobre normas de importación nacionales </w:t>
      </w:r>
      <w:r w:rsidR="000C2621" w:rsidRPr="002D2D0F">
        <w:rPr>
          <w:kern w:val="22"/>
          <w:lang w:val="es-ES"/>
        </w:rPr>
        <w:t xml:space="preserve">que sean </w:t>
      </w:r>
      <w:r w:rsidRPr="002D2D0F">
        <w:rPr>
          <w:kern w:val="22"/>
          <w:lang w:val="es-ES"/>
        </w:rPr>
        <w:t xml:space="preserve">pertinentes </w:t>
      </w:r>
      <w:r w:rsidR="000C2621" w:rsidRPr="002D2D0F">
        <w:rPr>
          <w:kern w:val="22"/>
          <w:lang w:val="es-ES"/>
        </w:rPr>
        <w:t>par</w:t>
      </w:r>
      <w:r w:rsidRPr="002D2D0F">
        <w:rPr>
          <w:kern w:val="22"/>
          <w:lang w:val="es-ES"/>
        </w:rPr>
        <w:t>a las especies exóticas invasores</w:t>
      </w:r>
      <w:r w:rsidR="000C2621" w:rsidRPr="002D2D0F">
        <w:rPr>
          <w:kern w:val="22"/>
          <w:lang w:val="es-ES"/>
        </w:rPr>
        <w:t>,</w:t>
      </w:r>
      <w:r w:rsidRPr="002D2D0F">
        <w:rPr>
          <w:kern w:val="22"/>
          <w:lang w:val="es-ES"/>
        </w:rPr>
        <w:t xml:space="preserve"> a través del mecanismo de facilitación u otros medios equivalentes;</w:t>
      </w:r>
    </w:p>
    <w:p w:rsidR="006F5C90" w:rsidRPr="002D2D0F" w:rsidRDefault="006F5C90" w:rsidP="006F5C90">
      <w:pPr>
        <w:suppressLineNumbers/>
        <w:suppressAutoHyphens/>
        <w:kinsoku w:val="0"/>
        <w:overflowPunct w:val="0"/>
        <w:autoSpaceDE w:val="0"/>
        <w:autoSpaceDN w:val="0"/>
        <w:adjustRightInd w:val="0"/>
        <w:snapToGrid w:val="0"/>
        <w:spacing w:before="120" w:after="120"/>
        <w:ind w:firstLine="720"/>
        <w:rPr>
          <w:rFonts w:eastAsia="Yu Mincho"/>
          <w:b/>
          <w:kern w:val="22"/>
          <w:lang w:val="es-ES"/>
        </w:rPr>
      </w:pPr>
      <w:r w:rsidRPr="002D2D0F">
        <w:rPr>
          <w:kern w:val="22"/>
          <w:lang w:val="es-ES"/>
        </w:rPr>
        <w:t>5.</w:t>
      </w:r>
      <w:r w:rsidRPr="002D2D0F">
        <w:rPr>
          <w:rFonts w:eastAsia="Yu Mincho"/>
          <w:i/>
          <w:kern w:val="22"/>
          <w:lang w:val="es-ES"/>
        </w:rPr>
        <w:tab/>
      </w:r>
      <w:r w:rsidRPr="002D2D0F">
        <w:rPr>
          <w:i/>
          <w:kern w:val="22"/>
          <w:lang w:val="es-ES"/>
        </w:rPr>
        <w:t xml:space="preserve">Pide </w:t>
      </w:r>
      <w:r w:rsidRPr="002D2D0F">
        <w:rPr>
          <w:kern w:val="22"/>
          <w:lang w:val="es-ES"/>
        </w:rPr>
        <w:t>a la Secretar</w:t>
      </w:r>
      <w:r w:rsidR="000C2621" w:rsidRPr="002D2D0F">
        <w:rPr>
          <w:kern w:val="22"/>
          <w:lang w:val="es-ES"/>
        </w:rPr>
        <w:t>i</w:t>
      </w:r>
      <w:r w:rsidRPr="002D2D0F">
        <w:rPr>
          <w:kern w:val="22"/>
          <w:lang w:val="es-ES"/>
        </w:rPr>
        <w:t>a Ejecuti</w:t>
      </w:r>
      <w:r w:rsidR="00583E1D" w:rsidRPr="002D2D0F">
        <w:rPr>
          <w:kern w:val="22"/>
          <w:lang w:val="es-ES"/>
        </w:rPr>
        <w:t>va que, junto con la Secretaría</w:t>
      </w:r>
      <w:r w:rsidRPr="002D2D0F">
        <w:rPr>
          <w:kern w:val="22"/>
          <w:lang w:val="es-ES"/>
        </w:rPr>
        <w:t xml:space="preserve"> del Consejo Económico y Social de las Naciones Unidas, así como con el Grupo de Enlace Interinstitucional sobre Especies Exóticas Invasoras, estudie la posibilidad de desarrollar un sistema mundialmente armonizado de clasificación y etiquetado de peligros para la biodiversidad, y que informe sobre los progresos </w:t>
      </w:r>
      <w:r w:rsidR="000C2621" w:rsidRPr="002D2D0F">
        <w:rPr>
          <w:kern w:val="22"/>
          <w:lang w:val="es-ES"/>
        </w:rPr>
        <w:t xml:space="preserve">en ese sentido al </w:t>
      </w:r>
      <w:r w:rsidRPr="002D2D0F">
        <w:rPr>
          <w:kern w:val="22"/>
          <w:lang w:val="es-ES"/>
        </w:rPr>
        <w:t>Órgano Subsidiario de Asesoramiento Científico, Técnico y Tecnológico en una reunión que se celebre antes de la 15</w:t>
      </w:r>
      <w:r w:rsidRPr="002D2D0F">
        <w:rPr>
          <w:kern w:val="22"/>
          <w:vertAlign w:val="superscript"/>
          <w:lang w:val="es-ES"/>
        </w:rPr>
        <w:t>a</w:t>
      </w:r>
      <w:r w:rsidRPr="002D2D0F">
        <w:rPr>
          <w:kern w:val="22"/>
          <w:lang w:val="es-ES"/>
        </w:rPr>
        <w:t xml:space="preserve"> reunión de la Conferencia de las Partes</w:t>
      </w:r>
      <w:r w:rsidRPr="002D2D0F">
        <w:rPr>
          <w:i/>
          <w:color w:val="000000"/>
          <w:kern w:val="22"/>
          <w:lang w:val="es-ES"/>
        </w:rPr>
        <w:t>.</w:t>
      </w:r>
    </w:p>
    <w:p w:rsidR="006F331B" w:rsidRPr="002D2D0F" w:rsidRDefault="006F331B" w:rsidP="00584A8D">
      <w:pPr>
        <w:suppressLineNumbers/>
        <w:suppressAutoHyphens/>
        <w:kinsoku w:val="0"/>
        <w:overflowPunct w:val="0"/>
        <w:autoSpaceDE w:val="0"/>
        <w:autoSpaceDN w:val="0"/>
        <w:adjustRightInd w:val="0"/>
        <w:snapToGrid w:val="0"/>
        <w:rPr>
          <w:rFonts w:eastAsia="Yu Mincho"/>
          <w:snapToGrid w:val="0"/>
          <w:kern w:val="22"/>
          <w:szCs w:val="22"/>
          <w:lang w:val="es-ES" w:eastAsia="ja-JP"/>
        </w:rPr>
      </w:pPr>
    </w:p>
    <w:p w:rsidR="006F5C90" w:rsidRPr="002D2D0F" w:rsidRDefault="006F5C90" w:rsidP="000C2621">
      <w:pPr>
        <w:keepNext/>
        <w:keepLines/>
        <w:suppressLineNumbers/>
        <w:suppressAutoHyphens/>
        <w:kinsoku w:val="0"/>
        <w:overflowPunct w:val="0"/>
        <w:autoSpaceDE w:val="0"/>
        <w:autoSpaceDN w:val="0"/>
        <w:adjustRightInd w:val="0"/>
        <w:snapToGrid w:val="0"/>
        <w:spacing w:after="120"/>
        <w:jc w:val="center"/>
        <w:rPr>
          <w:rFonts w:eastAsia="MS Mincho"/>
          <w:kern w:val="22"/>
          <w:lang w:val="es-ES"/>
        </w:rPr>
      </w:pPr>
      <w:r w:rsidRPr="002D2D0F">
        <w:rPr>
          <w:i/>
          <w:kern w:val="22"/>
          <w:lang w:val="es-ES"/>
        </w:rPr>
        <w:lastRenderedPageBreak/>
        <w:t>Anexo I</w:t>
      </w:r>
    </w:p>
    <w:p w:rsidR="006F5C90" w:rsidRPr="002D2D0F" w:rsidRDefault="006F5C90" w:rsidP="000C2621">
      <w:pPr>
        <w:pStyle w:val="HEADING"/>
        <w:keepLines/>
        <w:suppressLineNumbers/>
        <w:suppressAutoHyphens/>
        <w:kinsoku w:val="0"/>
        <w:overflowPunct w:val="0"/>
        <w:autoSpaceDE w:val="0"/>
        <w:autoSpaceDN w:val="0"/>
        <w:adjustRightInd w:val="0"/>
        <w:snapToGrid w:val="0"/>
        <w:spacing w:before="120"/>
        <w:rPr>
          <w:rFonts w:eastAsia="MS Mincho"/>
          <w:kern w:val="22"/>
          <w:lang w:val="es-ES"/>
        </w:rPr>
      </w:pPr>
      <w:r w:rsidRPr="002D2D0F">
        <w:rPr>
          <w:caps w:val="0"/>
          <w:kern w:val="22"/>
          <w:lang w:val="es-ES"/>
        </w:rPr>
        <w:t>Proyecto de orientación complementaria para evitar las introducciones no intencionales de especies exóticas invasoras asociadas con el comercio de especies exóticas vivas</w:t>
      </w:r>
    </w:p>
    <w:p w:rsidR="00D307AC" w:rsidRPr="002D2D0F" w:rsidRDefault="00D307AC" w:rsidP="00D307AC">
      <w:pPr>
        <w:numPr>
          <w:ilvl w:val="0"/>
          <w:numId w:val="11"/>
        </w:numPr>
        <w:suppressLineNumbers/>
        <w:suppressAutoHyphens/>
        <w:kinsoku w:val="0"/>
        <w:overflowPunct w:val="0"/>
        <w:autoSpaceDE w:val="0"/>
        <w:autoSpaceDN w:val="0"/>
        <w:adjustRightInd w:val="0"/>
        <w:snapToGrid w:val="0"/>
        <w:spacing w:before="120" w:after="120"/>
        <w:ind w:left="0" w:firstLine="0"/>
        <w:rPr>
          <w:kern w:val="22"/>
          <w:lang w:val="es-ES"/>
        </w:rPr>
      </w:pPr>
      <w:r w:rsidRPr="002D2D0F">
        <w:rPr>
          <w:kern w:val="22"/>
          <w:lang w:val="es-ES"/>
        </w:rPr>
        <w:t xml:space="preserve">La presente orientación complementa la Orientación relativa a la </w:t>
      </w:r>
      <w:r w:rsidR="00E739C9" w:rsidRPr="002D2D0F">
        <w:rPr>
          <w:kern w:val="22"/>
          <w:lang w:val="es-ES"/>
        </w:rPr>
        <w:t>E</w:t>
      </w:r>
      <w:r w:rsidRPr="002D2D0F">
        <w:rPr>
          <w:kern w:val="22"/>
          <w:lang w:val="es-ES"/>
        </w:rPr>
        <w:t xml:space="preserve">laboración y </w:t>
      </w:r>
      <w:r w:rsidR="00E739C9" w:rsidRPr="002D2D0F">
        <w:rPr>
          <w:kern w:val="22"/>
          <w:lang w:val="es-ES"/>
        </w:rPr>
        <w:t>A</w:t>
      </w:r>
      <w:r w:rsidRPr="002D2D0F">
        <w:rPr>
          <w:kern w:val="22"/>
          <w:lang w:val="es-ES"/>
        </w:rPr>
        <w:t xml:space="preserve">plicación de </w:t>
      </w:r>
      <w:r w:rsidR="00E739C9" w:rsidRPr="002D2D0F">
        <w:rPr>
          <w:kern w:val="22"/>
          <w:lang w:val="es-ES"/>
        </w:rPr>
        <w:t>M</w:t>
      </w:r>
      <w:r w:rsidRPr="002D2D0F">
        <w:rPr>
          <w:kern w:val="22"/>
          <w:lang w:val="es-ES"/>
        </w:rPr>
        <w:t xml:space="preserve">edidas para </w:t>
      </w:r>
      <w:r w:rsidR="00E739C9" w:rsidRPr="002D2D0F">
        <w:rPr>
          <w:kern w:val="22"/>
          <w:lang w:val="es-ES"/>
        </w:rPr>
        <w:t>A</w:t>
      </w:r>
      <w:r w:rsidRPr="002D2D0F">
        <w:rPr>
          <w:kern w:val="22"/>
          <w:lang w:val="es-ES"/>
        </w:rPr>
        <w:t xml:space="preserve">bordar los </w:t>
      </w:r>
      <w:r w:rsidR="00E739C9" w:rsidRPr="002D2D0F">
        <w:rPr>
          <w:kern w:val="22"/>
          <w:lang w:val="es-ES"/>
        </w:rPr>
        <w:t>R</w:t>
      </w:r>
      <w:r w:rsidRPr="002D2D0F">
        <w:rPr>
          <w:kern w:val="22"/>
          <w:lang w:val="es-ES"/>
        </w:rPr>
        <w:t xml:space="preserve">iesgos relacionados con la </w:t>
      </w:r>
      <w:r w:rsidR="00E739C9" w:rsidRPr="002D2D0F">
        <w:rPr>
          <w:kern w:val="22"/>
          <w:lang w:val="es-ES"/>
        </w:rPr>
        <w:t>I</w:t>
      </w:r>
      <w:r w:rsidRPr="002D2D0F">
        <w:rPr>
          <w:kern w:val="22"/>
          <w:lang w:val="es-ES"/>
        </w:rPr>
        <w:t xml:space="preserve">ntroducción de </w:t>
      </w:r>
      <w:r w:rsidR="00E739C9" w:rsidRPr="002D2D0F">
        <w:rPr>
          <w:kern w:val="22"/>
          <w:lang w:val="es-ES"/>
        </w:rPr>
        <w:t>E</w:t>
      </w:r>
      <w:r w:rsidRPr="002D2D0F">
        <w:rPr>
          <w:kern w:val="22"/>
          <w:lang w:val="es-ES"/>
        </w:rPr>
        <w:t xml:space="preserve">species </w:t>
      </w:r>
      <w:r w:rsidR="00E739C9" w:rsidRPr="002D2D0F">
        <w:rPr>
          <w:kern w:val="22"/>
          <w:lang w:val="es-ES"/>
        </w:rPr>
        <w:t>E</w:t>
      </w:r>
      <w:r w:rsidRPr="002D2D0F">
        <w:rPr>
          <w:kern w:val="22"/>
          <w:lang w:val="es-ES"/>
        </w:rPr>
        <w:t xml:space="preserve">xóticas como </w:t>
      </w:r>
      <w:r w:rsidR="00E739C9" w:rsidRPr="002D2D0F">
        <w:rPr>
          <w:kern w:val="22"/>
          <w:lang w:val="es-ES"/>
        </w:rPr>
        <w:t>M</w:t>
      </w:r>
      <w:r w:rsidRPr="002D2D0F">
        <w:rPr>
          <w:kern w:val="22"/>
          <w:lang w:val="es-ES"/>
        </w:rPr>
        <w:t xml:space="preserve">ascotas, </w:t>
      </w:r>
      <w:r w:rsidR="00E739C9" w:rsidRPr="002D2D0F">
        <w:rPr>
          <w:kern w:val="22"/>
          <w:lang w:val="es-ES"/>
        </w:rPr>
        <w:t>E</w:t>
      </w:r>
      <w:r w:rsidRPr="002D2D0F">
        <w:rPr>
          <w:kern w:val="22"/>
          <w:lang w:val="es-ES"/>
        </w:rPr>
        <w:t xml:space="preserve">species de </w:t>
      </w:r>
      <w:r w:rsidR="00E739C9" w:rsidRPr="002D2D0F">
        <w:rPr>
          <w:kern w:val="22"/>
          <w:lang w:val="es-ES"/>
        </w:rPr>
        <w:t>A</w:t>
      </w:r>
      <w:r w:rsidRPr="002D2D0F">
        <w:rPr>
          <w:kern w:val="22"/>
          <w:lang w:val="es-ES"/>
        </w:rPr>
        <w:t xml:space="preserve">cuarios y </w:t>
      </w:r>
      <w:r w:rsidR="00E739C9" w:rsidRPr="002D2D0F">
        <w:rPr>
          <w:kern w:val="22"/>
          <w:lang w:val="es-ES"/>
        </w:rPr>
        <w:t>T</w:t>
      </w:r>
      <w:r w:rsidRPr="002D2D0F">
        <w:rPr>
          <w:kern w:val="22"/>
          <w:lang w:val="es-ES"/>
        </w:rPr>
        <w:t xml:space="preserve">errarios y como </w:t>
      </w:r>
      <w:r w:rsidR="00E739C9" w:rsidRPr="002D2D0F">
        <w:rPr>
          <w:kern w:val="22"/>
          <w:lang w:val="es-ES"/>
        </w:rPr>
        <w:t>C</w:t>
      </w:r>
      <w:r w:rsidRPr="002D2D0F">
        <w:rPr>
          <w:kern w:val="22"/>
          <w:lang w:val="es-ES"/>
        </w:rPr>
        <w:t xml:space="preserve">arnada </w:t>
      </w:r>
      <w:r w:rsidR="00E739C9" w:rsidRPr="002D2D0F">
        <w:rPr>
          <w:kern w:val="22"/>
          <w:lang w:val="es-ES"/>
        </w:rPr>
        <w:t>V</w:t>
      </w:r>
      <w:r w:rsidRPr="002D2D0F">
        <w:rPr>
          <w:kern w:val="22"/>
          <w:lang w:val="es-ES"/>
        </w:rPr>
        <w:t xml:space="preserve">iva y </w:t>
      </w:r>
      <w:r w:rsidR="00E739C9" w:rsidRPr="002D2D0F">
        <w:rPr>
          <w:kern w:val="22"/>
          <w:lang w:val="es-ES"/>
        </w:rPr>
        <w:t>A</w:t>
      </w:r>
      <w:r w:rsidRPr="002D2D0F">
        <w:rPr>
          <w:kern w:val="22"/>
          <w:lang w:val="es-ES"/>
        </w:rPr>
        <w:t xml:space="preserve">limento </w:t>
      </w:r>
      <w:r w:rsidR="00E739C9" w:rsidRPr="002D2D0F">
        <w:rPr>
          <w:kern w:val="22"/>
          <w:lang w:val="es-ES"/>
        </w:rPr>
        <w:t>V</w:t>
      </w:r>
      <w:r w:rsidRPr="002D2D0F">
        <w:rPr>
          <w:kern w:val="22"/>
          <w:lang w:val="es-ES"/>
        </w:rPr>
        <w:t xml:space="preserve">ivo que figura en el anexo </w:t>
      </w:r>
      <w:r w:rsidR="00E739C9" w:rsidRPr="002D2D0F">
        <w:rPr>
          <w:kern w:val="22"/>
          <w:lang w:val="es-ES"/>
        </w:rPr>
        <w:t>de</w:t>
      </w:r>
      <w:r w:rsidRPr="002D2D0F">
        <w:rPr>
          <w:kern w:val="22"/>
          <w:lang w:val="es-ES"/>
        </w:rPr>
        <w:t xml:space="preserve"> la decisión </w:t>
      </w:r>
      <w:hyperlink r:id="rId20" w:history="1">
        <w:r w:rsidRPr="002D2D0F">
          <w:rPr>
            <w:rStyle w:val="Hyperlink"/>
            <w:lang w:val="es-ES"/>
          </w:rPr>
          <w:t>XII/16</w:t>
        </w:r>
      </w:hyperlink>
      <w:r w:rsidRPr="002D2D0F">
        <w:rPr>
          <w:kern w:val="22"/>
          <w:lang w:val="es-ES"/>
        </w:rPr>
        <w:t>.</w:t>
      </w:r>
    </w:p>
    <w:p w:rsidR="00711B32" w:rsidRPr="002D2D0F" w:rsidRDefault="00711B32" w:rsidP="0026716B">
      <w:pPr>
        <w:numPr>
          <w:ilvl w:val="0"/>
          <w:numId w:val="11"/>
        </w:numPr>
        <w:suppressLineNumbers/>
        <w:tabs>
          <w:tab w:val="clear" w:pos="0"/>
        </w:tabs>
        <w:suppressAutoHyphens/>
        <w:kinsoku w:val="0"/>
        <w:overflowPunct w:val="0"/>
        <w:autoSpaceDE w:val="0"/>
        <w:autoSpaceDN w:val="0"/>
        <w:adjustRightInd w:val="0"/>
        <w:snapToGrid w:val="0"/>
        <w:spacing w:before="120" w:after="120"/>
        <w:ind w:left="0" w:firstLine="0"/>
        <w:rPr>
          <w:rFonts w:eastAsia="MS Mincho"/>
          <w:kern w:val="22"/>
          <w:lang w:val="es-ES"/>
        </w:rPr>
      </w:pPr>
      <w:r w:rsidRPr="002D2D0F">
        <w:rPr>
          <w:kern w:val="22"/>
          <w:lang w:val="es-ES"/>
        </w:rPr>
        <w:t>El objetivo de esta orientación es evitar el riesgo de invasiones biológicas de organismos exó</w:t>
      </w:r>
      <w:r w:rsidR="00583E1D" w:rsidRPr="002D2D0F">
        <w:rPr>
          <w:kern w:val="22"/>
          <w:lang w:val="es-ES"/>
        </w:rPr>
        <w:t>t</w:t>
      </w:r>
      <w:r w:rsidRPr="002D2D0F">
        <w:rPr>
          <w:kern w:val="22"/>
          <w:lang w:val="es-ES"/>
        </w:rPr>
        <w:t>i</w:t>
      </w:r>
      <w:r w:rsidR="00583E1D" w:rsidRPr="002D2D0F">
        <w:rPr>
          <w:kern w:val="22"/>
          <w:lang w:val="es-ES"/>
        </w:rPr>
        <w:t>c</w:t>
      </w:r>
      <w:r w:rsidRPr="002D2D0F">
        <w:rPr>
          <w:kern w:val="22"/>
          <w:lang w:val="es-ES"/>
        </w:rPr>
        <w:t xml:space="preserve">os que crucen fronteras de jurisdicción nacional y </w:t>
      </w:r>
      <w:r w:rsidR="009575EE" w:rsidRPr="002D2D0F">
        <w:rPr>
          <w:kern w:val="22"/>
          <w:lang w:val="es-ES"/>
        </w:rPr>
        <w:t>zon</w:t>
      </w:r>
      <w:r w:rsidRPr="002D2D0F">
        <w:rPr>
          <w:kern w:val="22"/>
          <w:lang w:val="es-ES"/>
        </w:rPr>
        <w:t>as biogeográficas diferenciadas por las vías de introducción no intencional descritas en la categorización de vías del CDB en conexión con el comercio de especies vivas</w:t>
      </w:r>
      <w:r w:rsidRPr="002D2D0F">
        <w:rPr>
          <w:kern w:val="22"/>
          <w:vertAlign w:val="superscript"/>
          <w:lang w:val="es-ES"/>
        </w:rPr>
        <w:t>6,</w:t>
      </w:r>
      <w:r w:rsidR="00587D74" w:rsidRPr="002D2D0F">
        <w:rPr>
          <w:kern w:val="22"/>
          <w:vertAlign w:val="superscript"/>
          <w:lang w:val="es-ES"/>
        </w:rPr>
        <w:t xml:space="preserve"> </w:t>
      </w:r>
      <w:r w:rsidRPr="002D2D0F">
        <w:rPr>
          <w:kern w:val="22"/>
          <w:vertAlign w:val="superscript"/>
          <w:lang w:val="es-ES"/>
        </w:rPr>
        <w:t>7</w:t>
      </w:r>
      <w:r w:rsidRPr="002D2D0F">
        <w:rPr>
          <w:kern w:val="22"/>
          <w:lang w:val="es-ES"/>
        </w:rPr>
        <w:t>.</w:t>
      </w:r>
    </w:p>
    <w:p w:rsidR="005C3B8E" w:rsidRPr="002D2D0F" w:rsidRDefault="005C3B8E" w:rsidP="005C3B8E">
      <w:pPr>
        <w:numPr>
          <w:ilvl w:val="0"/>
          <w:numId w:val="11"/>
        </w:numPr>
        <w:suppressLineNumbers/>
        <w:suppressAutoHyphens/>
        <w:kinsoku w:val="0"/>
        <w:overflowPunct w:val="0"/>
        <w:autoSpaceDE w:val="0"/>
        <w:autoSpaceDN w:val="0"/>
        <w:adjustRightInd w:val="0"/>
        <w:snapToGrid w:val="0"/>
        <w:spacing w:before="120" w:after="120"/>
        <w:ind w:left="0" w:firstLine="0"/>
        <w:rPr>
          <w:lang w:val="es-ES"/>
        </w:rPr>
      </w:pPr>
      <w:r w:rsidRPr="002D2D0F">
        <w:rPr>
          <w:kern w:val="22"/>
          <w:lang w:val="es-ES"/>
        </w:rPr>
        <w:t xml:space="preserve">La orientación </w:t>
      </w:r>
      <w:r w:rsidR="00587D74" w:rsidRPr="002D2D0F">
        <w:rPr>
          <w:kern w:val="22"/>
          <w:lang w:val="es-ES"/>
        </w:rPr>
        <w:t>es de interés</w:t>
      </w:r>
      <w:r w:rsidRPr="002D2D0F">
        <w:rPr>
          <w:kern w:val="22"/>
          <w:lang w:val="es-ES"/>
        </w:rPr>
        <w:t xml:space="preserve"> </w:t>
      </w:r>
      <w:r w:rsidR="00587D74" w:rsidRPr="002D2D0F">
        <w:rPr>
          <w:kern w:val="22"/>
          <w:lang w:val="es-ES"/>
        </w:rPr>
        <w:t>par</w:t>
      </w:r>
      <w:r w:rsidRPr="002D2D0F">
        <w:rPr>
          <w:kern w:val="22"/>
          <w:lang w:val="es-ES"/>
        </w:rPr>
        <w:t xml:space="preserve">a aquellos Estados, organizaciones pertinentes, </w:t>
      </w:r>
      <w:r w:rsidR="00223996" w:rsidRPr="002D2D0F">
        <w:rPr>
          <w:kern w:val="22"/>
          <w:lang w:val="es-ES"/>
        </w:rPr>
        <w:t>industrias</w:t>
      </w:r>
      <w:r w:rsidRPr="002D2D0F">
        <w:rPr>
          <w:kern w:val="22"/>
          <w:lang w:val="es-ES"/>
        </w:rPr>
        <w:t xml:space="preserve"> y consumidores, incluidos todos los actores que </w:t>
      </w:r>
      <w:r w:rsidR="00587D74" w:rsidRPr="002D2D0F">
        <w:rPr>
          <w:kern w:val="22"/>
          <w:lang w:val="es-ES"/>
        </w:rPr>
        <w:t>intervienen</w:t>
      </w:r>
      <w:r w:rsidRPr="002D2D0F">
        <w:rPr>
          <w:kern w:val="22"/>
          <w:lang w:val="es-ES"/>
        </w:rPr>
        <w:t xml:space="preserve"> en la cadena de valor del comercio de especies vivas (por ej., coleccionistas aficionados, participantes de exhibiciones y mayoristas, minoristas y compradores). En el caso del comercio de alimentos vivos, </w:t>
      </w:r>
      <w:r w:rsidR="00471F3D">
        <w:rPr>
          <w:kern w:val="22"/>
          <w:lang w:val="es-ES"/>
        </w:rPr>
        <w:t xml:space="preserve">entre </w:t>
      </w:r>
      <w:r w:rsidR="00587D74" w:rsidRPr="002D2D0F">
        <w:rPr>
          <w:kern w:val="22"/>
          <w:lang w:val="es-ES"/>
        </w:rPr>
        <w:t>las personas que intervienen</w:t>
      </w:r>
      <w:r w:rsidRPr="002D2D0F">
        <w:rPr>
          <w:kern w:val="22"/>
          <w:lang w:val="es-ES"/>
        </w:rPr>
        <w:t xml:space="preserve"> en la cadena de valor </w:t>
      </w:r>
      <w:r w:rsidR="00471F3D">
        <w:rPr>
          <w:kern w:val="22"/>
          <w:lang w:val="es-ES"/>
        </w:rPr>
        <w:t xml:space="preserve">se </w:t>
      </w:r>
      <w:r w:rsidR="00587D74" w:rsidRPr="002D2D0F">
        <w:rPr>
          <w:kern w:val="22"/>
          <w:lang w:val="es-ES"/>
        </w:rPr>
        <w:t>incluye a operadores d</w:t>
      </w:r>
      <w:r w:rsidRPr="002D2D0F">
        <w:rPr>
          <w:kern w:val="22"/>
          <w:lang w:val="es-ES"/>
        </w:rPr>
        <w:t>e la industria gastronómica y los mercados de alimentos.</w:t>
      </w:r>
    </w:p>
    <w:p w:rsidR="005C3B8E" w:rsidRPr="002D2D0F" w:rsidRDefault="00471F3D" w:rsidP="005C3B8E">
      <w:pPr>
        <w:pStyle w:val="Heading1"/>
        <w:numPr>
          <w:ilvl w:val="0"/>
          <w:numId w:val="15"/>
        </w:numPr>
        <w:suppressLineNumbers/>
        <w:tabs>
          <w:tab w:val="clear" w:pos="720"/>
          <w:tab w:val="left" w:pos="360"/>
        </w:tabs>
        <w:suppressAutoHyphens/>
        <w:kinsoku w:val="0"/>
        <w:overflowPunct w:val="0"/>
        <w:autoSpaceDE w:val="0"/>
        <w:autoSpaceDN w:val="0"/>
        <w:adjustRightInd w:val="0"/>
        <w:snapToGrid w:val="0"/>
        <w:spacing w:before="120"/>
        <w:ind w:left="0" w:firstLine="0"/>
        <w:rPr>
          <w:kern w:val="22"/>
          <w:lang w:val="es-ES"/>
        </w:rPr>
      </w:pPr>
      <w:r>
        <w:rPr>
          <w:kern w:val="22"/>
          <w:lang w:val="es-ES"/>
        </w:rPr>
        <w:t>ALCANCE</w:t>
      </w:r>
    </w:p>
    <w:p w:rsidR="002565F9" w:rsidRPr="002D2D0F" w:rsidRDefault="002565F9" w:rsidP="002565F9">
      <w:pPr>
        <w:numPr>
          <w:ilvl w:val="0"/>
          <w:numId w:val="11"/>
        </w:numPr>
        <w:suppressLineNumbers/>
        <w:suppressAutoHyphens/>
        <w:kinsoku w:val="0"/>
        <w:overflowPunct w:val="0"/>
        <w:autoSpaceDE w:val="0"/>
        <w:autoSpaceDN w:val="0"/>
        <w:adjustRightInd w:val="0"/>
        <w:snapToGrid w:val="0"/>
        <w:ind w:left="0" w:firstLine="0"/>
        <w:rPr>
          <w:lang w:val="es-ES"/>
        </w:rPr>
      </w:pPr>
      <w:r w:rsidRPr="002D2D0F">
        <w:rPr>
          <w:kern w:val="22"/>
          <w:lang w:val="es-ES"/>
        </w:rPr>
        <w:t xml:space="preserve">La presente orientación es de carácter voluntario y está pensada para </w:t>
      </w:r>
      <w:r w:rsidR="00587D74" w:rsidRPr="002D2D0F">
        <w:rPr>
          <w:kern w:val="22"/>
          <w:lang w:val="es-ES"/>
        </w:rPr>
        <w:t xml:space="preserve">ser </w:t>
      </w:r>
      <w:r w:rsidRPr="002D2D0F">
        <w:rPr>
          <w:kern w:val="22"/>
          <w:lang w:val="es-ES"/>
        </w:rPr>
        <w:t>usa</w:t>
      </w:r>
      <w:r w:rsidR="00587D74" w:rsidRPr="002D2D0F">
        <w:rPr>
          <w:kern w:val="22"/>
          <w:lang w:val="es-ES"/>
        </w:rPr>
        <w:t>d</w:t>
      </w:r>
      <w:r w:rsidRPr="002D2D0F">
        <w:rPr>
          <w:kern w:val="22"/>
          <w:lang w:val="es-ES"/>
        </w:rPr>
        <w:t>a conjuntamente con otras orientaciones</w:t>
      </w:r>
      <w:r w:rsidR="00587D74" w:rsidRPr="002D2D0F">
        <w:rPr>
          <w:kern w:val="22"/>
          <w:lang w:val="es-ES"/>
        </w:rPr>
        <w:t xml:space="preserve"> pertinentes</w:t>
      </w:r>
      <w:r w:rsidRPr="002D2D0F">
        <w:rPr>
          <w:kern w:val="22"/>
          <w:lang w:val="es-ES"/>
        </w:rPr>
        <w:t xml:space="preserve"> y </w:t>
      </w:r>
      <w:r w:rsidR="00587D74" w:rsidRPr="002D2D0F">
        <w:rPr>
          <w:kern w:val="22"/>
          <w:lang w:val="es-ES"/>
        </w:rPr>
        <w:t xml:space="preserve">para </w:t>
      </w:r>
      <w:r w:rsidRPr="002D2D0F">
        <w:rPr>
          <w:kern w:val="22"/>
          <w:lang w:val="es-ES"/>
        </w:rPr>
        <w:t>complementar</w:t>
      </w:r>
      <w:r w:rsidR="00587D74" w:rsidRPr="002D2D0F">
        <w:rPr>
          <w:kern w:val="22"/>
          <w:lang w:val="es-ES"/>
        </w:rPr>
        <w:t>l</w:t>
      </w:r>
      <w:r w:rsidRPr="002D2D0F">
        <w:rPr>
          <w:kern w:val="22"/>
          <w:lang w:val="es-ES"/>
        </w:rPr>
        <w:t>as</w:t>
      </w:r>
      <w:r w:rsidR="00587D74" w:rsidRPr="002D2D0F">
        <w:rPr>
          <w:kern w:val="22"/>
          <w:lang w:val="es-ES"/>
        </w:rPr>
        <w:t>,</w:t>
      </w:r>
      <w:r w:rsidRPr="002D2D0F">
        <w:rPr>
          <w:kern w:val="22"/>
          <w:lang w:val="es-ES"/>
        </w:rPr>
        <w:t xml:space="preserve"> por ejemplo: los Principios de </w:t>
      </w:r>
      <w:r w:rsidR="00587D74" w:rsidRPr="002D2D0F">
        <w:rPr>
          <w:kern w:val="22"/>
          <w:lang w:val="es-ES"/>
        </w:rPr>
        <w:t>O</w:t>
      </w:r>
      <w:r w:rsidRPr="002D2D0F">
        <w:rPr>
          <w:kern w:val="22"/>
          <w:lang w:val="es-ES"/>
        </w:rPr>
        <w:t xml:space="preserve">rientación para la </w:t>
      </w:r>
      <w:r w:rsidR="00587D74" w:rsidRPr="002D2D0F">
        <w:rPr>
          <w:kern w:val="22"/>
          <w:lang w:val="es-ES"/>
        </w:rPr>
        <w:t>P</w:t>
      </w:r>
      <w:r w:rsidRPr="002D2D0F">
        <w:rPr>
          <w:kern w:val="22"/>
          <w:lang w:val="es-ES"/>
        </w:rPr>
        <w:t xml:space="preserve">revención, </w:t>
      </w:r>
      <w:r w:rsidR="00587D74" w:rsidRPr="002D2D0F">
        <w:rPr>
          <w:kern w:val="22"/>
          <w:lang w:val="es-ES"/>
        </w:rPr>
        <w:t>I</w:t>
      </w:r>
      <w:r w:rsidRPr="002D2D0F">
        <w:rPr>
          <w:kern w:val="22"/>
          <w:lang w:val="es-ES"/>
        </w:rPr>
        <w:t xml:space="preserve">ntroducción y </w:t>
      </w:r>
      <w:r w:rsidR="00587D74" w:rsidRPr="002D2D0F">
        <w:rPr>
          <w:kern w:val="22"/>
          <w:lang w:val="es-ES"/>
        </w:rPr>
        <w:t>M</w:t>
      </w:r>
      <w:r w:rsidRPr="002D2D0F">
        <w:rPr>
          <w:kern w:val="22"/>
          <w:lang w:val="es-ES"/>
        </w:rPr>
        <w:t xml:space="preserve">itigación de </w:t>
      </w:r>
      <w:r w:rsidR="00587D74" w:rsidRPr="002D2D0F">
        <w:rPr>
          <w:kern w:val="22"/>
          <w:lang w:val="es-ES"/>
        </w:rPr>
        <w:t>I</w:t>
      </w:r>
      <w:r w:rsidRPr="002D2D0F">
        <w:rPr>
          <w:kern w:val="22"/>
          <w:lang w:val="es-ES"/>
        </w:rPr>
        <w:t xml:space="preserve">mpactos de </w:t>
      </w:r>
      <w:r w:rsidR="00587D74" w:rsidRPr="002D2D0F">
        <w:rPr>
          <w:kern w:val="22"/>
          <w:lang w:val="es-ES"/>
        </w:rPr>
        <w:t>E</w:t>
      </w:r>
      <w:r w:rsidRPr="002D2D0F">
        <w:rPr>
          <w:kern w:val="22"/>
          <w:lang w:val="es-ES"/>
        </w:rPr>
        <w:t xml:space="preserve">species </w:t>
      </w:r>
      <w:r w:rsidR="00587D74" w:rsidRPr="002D2D0F">
        <w:rPr>
          <w:kern w:val="22"/>
          <w:lang w:val="es-ES"/>
        </w:rPr>
        <w:t>E</w:t>
      </w:r>
      <w:r w:rsidRPr="002D2D0F">
        <w:rPr>
          <w:kern w:val="22"/>
          <w:lang w:val="es-ES"/>
        </w:rPr>
        <w:t xml:space="preserve">xóticas que </w:t>
      </w:r>
      <w:r w:rsidR="00587D74" w:rsidRPr="002D2D0F">
        <w:rPr>
          <w:kern w:val="22"/>
          <w:lang w:val="es-ES"/>
        </w:rPr>
        <w:t>A</w:t>
      </w:r>
      <w:r w:rsidRPr="002D2D0F">
        <w:rPr>
          <w:kern w:val="22"/>
          <w:lang w:val="es-ES"/>
        </w:rPr>
        <w:t xml:space="preserve">menazan los </w:t>
      </w:r>
      <w:r w:rsidR="00587D74" w:rsidRPr="002D2D0F">
        <w:rPr>
          <w:kern w:val="22"/>
          <w:lang w:val="es-ES"/>
        </w:rPr>
        <w:t>E</w:t>
      </w:r>
      <w:r w:rsidRPr="002D2D0F">
        <w:rPr>
          <w:kern w:val="22"/>
          <w:lang w:val="es-ES"/>
        </w:rPr>
        <w:t xml:space="preserve">cosistemas, los </w:t>
      </w:r>
      <w:r w:rsidR="00587D74" w:rsidRPr="002D2D0F">
        <w:rPr>
          <w:kern w:val="22"/>
          <w:lang w:val="es-ES"/>
        </w:rPr>
        <w:t>H</w:t>
      </w:r>
      <w:r w:rsidRPr="002D2D0F">
        <w:rPr>
          <w:kern w:val="22"/>
          <w:lang w:val="es-ES"/>
        </w:rPr>
        <w:t xml:space="preserve">ábitats o las </w:t>
      </w:r>
      <w:r w:rsidR="00587D74" w:rsidRPr="002D2D0F">
        <w:rPr>
          <w:kern w:val="22"/>
          <w:lang w:val="es-ES"/>
        </w:rPr>
        <w:t>E</w:t>
      </w:r>
      <w:r w:rsidRPr="002D2D0F">
        <w:rPr>
          <w:kern w:val="22"/>
          <w:lang w:val="es-ES"/>
        </w:rPr>
        <w:t>species (decisión VI/23)</w:t>
      </w:r>
      <w:r w:rsidRPr="002D2D0F">
        <w:rPr>
          <w:rStyle w:val="FootnoteReference"/>
          <w:rFonts w:eastAsia="MS Mincho"/>
          <w:kern w:val="22"/>
          <w:sz w:val="22"/>
          <w:szCs w:val="22"/>
          <w:u w:val="none"/>
          <w:vertAlign w:val="superscript"/>
          <w:lang w:val="es-ES"/>
        </w:rPr>
        <w:footnoteReference w:id="34"/>
      </w:r>
      <w:r w:rsidRPr="002D2D0F">
        <w:rPr>
          <w:kern w:val="22"/>
          <w:lang w:val="es-ES"/>
        </w:rPr>
        <w:t xml:space="preserve">; las Normas Internacionales para Medidas Fitosanitarias (NIMF); el Código Sanitario para los Animales Terrestres y el Manual de las Pruebas de Diagnóstico y de las Vacunas para los Animales Terrestres de la Organización Mundial de Sanidad Animal (OIE); el </w:t>
      </w:r>
      <w:r w:rsidRPr="002D2D0F">
        <w:rPr>
          <w:lang w:val="es-ES"/>
        </w:rPr>
        <w:t>Código Sanitario para los Animales Acuáticos</w:t>
      </w:r>
      <w:r w:rsidRPr="002D2D0F">
        <w:rPr>
          <w:kern w:val="22"/>
          <w:lang w:val="es-ES"/>
        </w:rPr>
        <w:t xml:space="preserve"> y el Manual de Pruebas de Diagnóstico para los Animales Acuáticos de la OIE; y otras normas y orientaciones desarrolladas por organizaciones internacionales pertinentes.</w:t>
      </w:r>
    </w:p>
    <w:p w:rsidR="0030022E" w:rsidRPr="002D2D0F" w:rsidRDefault="0030022E" w:rsidP="0030022E">
      <w:pPr>
        <w:numPr>
          <w:ilvl w:val="0"/>
          <w:numId w:val="11"/>
        </w:numPr>
        <w:suppressLineNumbers/>
        <w:suppressAutoHyphens/>
        <w:kinsoku w:val="0"/>
        <w:overflowPunct w:val="0"/>
        <w:autoSpaceDE w:val="0"/>
        <w:autoSpaceDN w:val="0"/>
        <w:adjustRightInd w:val="0"/>
        <w:snapToGrid w:val="0"/>
        <w:spacing w:before="120" w:after="120"/>
        <w:ind w:left="0" w:firstLine="0"/>
        <w:rPr>
          <w:kern w:val="22"/>
          <w:lang w:val="es-ES"/>
        </w:rPr>
      </w:pPr>
      <w:r w:rsidRPr="002D2D0F">
        <w:rPr>
          <w:kern w:val="22"/>
          <w:lang w:val="es-ES"/>
        </w:rPr>
        <w:t>En la orientación también se describen procesos integrados para aplica</w:t>
      </w:r>
      <w:r w:rsidR="00281F85" w:rsidRPr="002D2D0F">
        <w:rPr>
          <w:kern w:val="22"/>
          <w:lang w:val="es-ES"/>
        </w:rPr>
        <w:t>rla</w:t>
      </w:r>
      <w:r w:rsidRPr="002D2D0F">
        <w:rPr>
          <w:kern w:val="22"/>
          <w:lang w:val="es-ES"/>
        </w:rPr>
        <w:t xml:space="preserve"> </w:t>
      </w:r>
      <w:r w:rsidR="00281F85" w:rsidRPr="002D2D0F">
        <w:rPr>
          <w:kern w:val="22"/>
          <w:lang w:val="es-ES"/>
        </w:rPr>
        <w:t>en con</w:t>
      </w:r>
      <w:r w:rsidRPr="002D2D0F">
        <w:rPr>
          <w:kern w:val="22"/>
          <w:lang w:val="es-ES"/>
        </w:rPr>
        <w:t xml:space="preserve">junto con la orientación que figura en el anexo de la decisión </w:t>
      </w:r>
      <w:hyperlink r:id="rId21" w:history="1">
        <w:r w:rsidRPr="002D2D0F">
          <w:rPr>
            <w:rStyle w:val="Hyperlink"/>
            <w:lang w:val="es-ES"/>
          </w:rPr>
          <w:t>XII/16</w:t>
        </w:r>
      </w:hyperlink>
      <w:r w:rsidRPr="002D2D0F">
        <w:rPr>
          <w:kern w:val="22"/>
          <w:lang w:val="es-ES"/>
        </w:rPr>
        <w:t xml:space="preserve"> y normas internacionales existentes de protección de la salud de animales, plantas y human</w:t>
      </w:r>
      <w:r w:rsidR="00281F85" w:rsidRPr="002D2D0F">
        <w:rPr>
          <w:kern w:val="22"/>
          <w:lang w:val="es-ES"/>
        </w:rPr>
        <w:t>o</w:t>
      </w:r>
      <w:r w:rsidRPr="002D2D0F">
        <w:rPr>
          <w:kern w:val="22"/>
          <w:lang w:val="es-ES"/>
        </w:rPr>
        <w:t>s.</w:t>
      </w:r>
    </w:p>
    <w:p w:rsidR="0030022E" w:rsidRPr="00471F3D" w:rsidRDefault="0030022E" w:rsidP="0030022E">
      <w:pPr>
        <w:numPr>
          <w:ilvl w:val="0"/>
          <w:numId w:val="11"/>
        </w:numPr>
        <w:suppressLineNumbers/>
        <w:suppressAutoHyphens/>
        <w:kinsoku w:val="0"/>
        <w:overflowPunct w:val="0"/>
        <w:autoSpaceDE w:val="0"/>
        <w:autoSpaceDN w:val="0"/>
        <w:adjustRightInd w:val="0"/>
        <w:snapToGrid w:val="0"/>
        <w:spacing w:before="120" w:after="120"/>
        <w:ind w:left="0" w:firstLine="0"/>
        <w:rPr>
          <w:spacing w:val="-2"/>
          <w:kern w:val="22"/>
          <w:lang w:val="es-ES"/>
        </w:rPr>
      </w:pPr>
      <w:r w:rsidRPr="00471F3D">
        <w:rPr>
          <w:spacing w:val="-2"/>
          <w:kern w:val="22"/>
          <w:lang w:val="es-ES"/>
        </w:rPr>
        <w:t xml:space="preserve">La presente orientación puede ser aplicada por las Partes y otros Gobiernos con la colaboración intersectorial de autoridades de conservación, autoridades de control de fronteras y organismos </w:t>
      </w:r>
      <w:r w:rsidR="00281F85" w:rsidRPr="00471F3D">
        <w:rPr>
          <w:spacing w:val="-2"/>
          <w:kern w:val="22"/>
          <w:lang w:val="es-ES"/>
        </w:rPr>
        <w:t>de reglamentación</w:t>
      </w:r>
      <w:r w:rsidRPr="00471F3D">
        <w:rPr>
          <w:spacing w:val="-2"/>
          <w:kern w:val="22"/>
          <w:lang w:val="es-ES"/>
        </w:rPr>
        <w:t xml:space="preserve"> en materia de riesgos que tengan que ver con el comercio internacional, así como </w:t>
      </w:r>
      <w:r w:rsidR="00281F85" w:rsidRPr="00471F3D">
        <w:rPr>
          <w:spacing w:val="-2"/>
          <w:kern w:val="22"/>
          <w:lang w:val="es-ES"/>
        </w:rPr>
        <w:t xml:space="preserve">por </w:t>
      </w:r>
      <w:r w:rsidRPr="00471F3D">
        <w:rPr>
          <w:spacing w:val="-2"/>
          <w:kern w:val="22"/>
          <w:lang w:val="es-ES"/>
        </w:rPr>
        <w:t xml:space="preserve">industrias y consumidores pertinentes que </w:t>
      </w:r>
      <w:r w:rsidR="00281F85" w:rsidRPr="00471F3D">
        <w:rPr>
          <w:spacing w:val="-2"/>
          <w:kern w:val="22"/>
          <w:lang w:val="es-ES"/>
        </w:rPr>
        <w:t>intervengan</w:t>
      </w:r>
      <w:r w:rsidRPr="00471F3D">
        <w:rPr>
          <w:spacing w:val="-2"/>
          <w:kern w:val="22"/>
          <w:lang w:val="es-ES"/>
        </w:rPr>
        <w:t xml:space="preserve"> en la cadena de valor del comercio de especies vivas.</w:t>
      </w:r>
    </w:p>
    <w:p w:rsidR="0030022E" w:rsidRPr="002D2D0F" w:rsidRDefault="0030022E" w:rsidP="0030022E">
      <w:pPr>
        <w:pStyle w:val="Heading1"/>
        <w:numPr>
          <w:ilvl w:val="0"/>
          <w:numId w:val="15"/>
        </w:numPr>
        <w:suppressLineNumbers/>
        <w:tabs>
          <w:tab w:val="clear" w:pos="720"/>
        </w:tabs>
        <w:suppressAutoHyphens/>
        <w:kinsoku w:val="0"/>
        <w:overflowPunct w:val="0"/>
        <w:autoSpaceDE w:val="0"/>
        <w:autoSpaceDN w:val="0"/>
        <w:adjustRightInd w:val="0"/>
        <w:snapToGrid w:val="0"/>
        <w:spacing w:before="120"/>
        <w:ind w:left="1440"/>
        <w:jc w:val="left"/>
        <w:rPr>
          <w:kern w:val="22"/>
          <w:lang w:val="es-ES"/>
        </w:rPr>
      </w:pPr>
      <w:r w:rsidRPr="002D2D0F">
        <w:rPr>
          <w:kern w:val="22"/>
          <w:lang w:val="es-ES"/>
        </w:rPr>
        <w:t xml:space="preserve">MeDIDas PArA reducIR eL riEsGo DE INVASIONES biolÓgicas </w:t>
      </w:r>
      <w:r w:rsidR="00471F3D">
        <w:rPr>
          <w:kern w:val="22"/>
          <w:lang w:val="es-ES"/>
        </w:rPr>
        <w:t>planteado por</w:t>
      </w:r>
      <w:r w:rsidRPr="002D2D0F">
        <w:rPr>
          <w:kern w:val="22"/>
          <w:lang w:val="es-ES"/>
        </w:rPr>
        <w:t xml:space="preserve"> </w:t>
      </w:r>
      <w:r w:rsidR="00281F85" w:rsidRPr="002D2D0F">
        <w:rPr>
          <w:kern w:val="22"/>
          <w:lang w:val="es-ES"/>
        </w:rPr>
        <w:t xml:space="preserve">EL MOVIMIENTO NO INTENCIONAL DE </w:t>
      </w:r>
      <w:r w:rsidRPr="002D2D0F">
        <w:rPr>
          <w:kern w:val="22"/>
          <w:lang w:val="es-ES"/>
        </w:rPr>
        <w:t xml:space="preserve">organismOs EXÓTICOS POR VÍAS </w:t>
      </w:r>
      <w:r w:rsidR="00281F85" w:rsidRPr="002D2D0F">
        <w:rPr>
          <w:kern w:val="22"/>
          <w:lang w:val="es-ES"/>
        </w:rPr>
        <w:t>RELACIONADAS CON E</w:t>
      </w:r>
      <w:r w:rsidRPr="002D2D0F">
        <w:rPr>
          <w:kern w:val="22"/>
          <w:lang w:val="es-ES"/>
        </w:rPr>
        <w:t>L COMERCIO DE ESPECIES viVAs</w:t>
      </w:r>
    </w:p>
    <w:p w:rsidR="00552DD5" w:rsidRPr="002D2D0F" w:rsidRDefault="00552DD5" w:rsidP="00552DD5">
      <w:pPr>
        <w:pStyle w:val="Heading2longmultiline"/>
        <w:numPr>
          <w:ilvl w:val="0"/>
          <w:numId w:val="16"/>
        </w:numPr>
        <w:suppressLineNumbers/>
        <w:tabs>
          <w:tab w:val="clear" w:pos="720"/>
        </w:tabs>
        <w:suppressAutoHyphens/>
        <w:kinsoku w:val="0"/>
        <w:overflowPunct w:val="0"/>
        <w:autoSpaceDE w:val="0"/>
        <w:autoSpaceDN w:val="0"/>
        <w:adjustRightInd w:val="0"/>
        <w:snapToGrid w:val="0"/>
        <w:ind w:left="1440" w:right="0" w:hanging="720"/>
        <w:rPr>
          <w:iCs w:val="0"/>
          <w:kern w:val="22"/>
          <w:lang w:val="es-ES"/>
        </w:rPr>
      </w:pPr>
      <w:r w:rsidRPr="002D2D0F">
        <w:rPr>
          <w:iCs w:val="0"/>
          <w:kern w:val="22"/>
          <w:lang w:val="es-ES"/>
        </w:rPr>
        <w:t xml:space="preserve">Conformidad con normas internacionales </w:t>
      </w:r>
      <w:r w:rsidR="00281F85" w:rsidRPr="002D2D0F">
        <w:rPr>
          <w:iCs w:val="0"/>
          <w:kern w:val="22"/>
          <w:lang w:val="es-ES"/>
        </w:rPr>
        <w:t>v</w:t>
      </w:r>
      <w:r w:rsidRPr="002D2D0F">
        <w:rPr>
          <w:iCs w:val="0"/>
          <w:kern w:val="22"/>
          <w:lang w:val="es-ES"/>
        </w:rPr>
        <w:t>i</w:t>
      </w:r>
      <w:r w:rsidR="00281F85" w:rsidRPr="002D2D0F">
        <w:rPr>
          <w:iCs w:val="0"/>
          <w:kern w:val="22"/>
          <w:lang w:val="es-ES"/>
        </w:rPr>
        <w:t>g</w:t>
      </w:r>
      <w:r w:rsidRPr="002D2D0F">
        <w:rPr>
          <w:iCs w:val="0"/>
          <w:kern w:val="22"/>
          <w:lang w:val="es-ES"/>
        </w:rPr>
        <w:t>entes y otras orientaciones que tienen que ver con las especies exóticas invasoras</w:t>
      </w:r>
    </w:p>
    <w:p w:rsidR="001B34DF" w:rsidRPr="002D2D0F" w:rsidRDefault="001B34DF" w:rsidP="001B34DF">
      <w:pPr>
        <w:numPr>
          <w:ilvl w:val="0"/>
          <w:numId w:val="11"/>
        </w:numPr>
        <w:suppressLineNumbers/>
        <w:suppressAutoHyphens/>
        <w:kinsoku w:val="0"/>
        <w:overflowPunct w:val="0"/>
        <w:autoSpaceDE w:val="0"/>
        <w:autoSpaceDN w:val="0"/>
        <w:adjustRightInd w:val="0"/>
        <w:snapToGrid w:val="0"/>
        <w:spacing w:before="120" w:after="120"/>
        <w:ind w:left="0" w:firstLine="0"/>
        <w:rPr>
          <w:kern w:val="22"/>
          <w:lang w:val="es-ES"/>
        </w:rPr>
      </w:pPr>
      <w:r w:rsidRPr="002D2D0F">
        <w:rPr>
          <w:kern w:val="22"/>
          <w:lang w:val="es-ES"/>
        </w:rPr>
        <w:t>Para todo animal</w:t>
      </w:r>
      <w:r w:rsidR="00281F85" w:rsidRPr="002D2D0F">
        <w:rPr>
          <w:kern w:val="22"/>
          <w:lang w:val="es-ES"/>
        </w:rPr>
        <w:t xml:space="preserve"> o producto</w:t>
      </w:r>
      <w:r w:rsidRPr="002D2D0F">
        <w:rPr>
          <w:kern w:val="22"/>
          <w:lang w:val="es-ES"/>
        </w:rPr>
        <w:t xml:space="preserve"> de origen animal contenido en envío</w:t>
      </w:r>
      <w:r w:rsidR="00281F85" w:rsidRPr="002D2D0F">
        <w:rPr>
          <w:kern w:val="22"/>
          <w:lang w:val="es-ES"/>
        </w:rPr>
        <w:t>s de especies vivas</w:t>
      </w:r>
      <w:r w:rsidRPr="002D2D0F">
        <w:rPr>
          <w:kern w:val="22"/>
          <w:lang w:val="es-ES"/>
        </w:rPr>
        <w:t xml:space="preserve"> </w:t>
      </w:r>
      <w:r w:rsidR="00281F85" w:rsidRPr="002D2D0F">
        <w:rPr>
          <w:kern w:val="22"/>
          <w:lang w:val="es-ES"/>
        </w:rPr>
        <w:t xml:space="preserve">se </w:t>
      </w:r>
      <w:r w:rsidRPr="002D2D0F">
        <w:rPr>
          <w:kern w:val="22"/>
          <w:lang w:val="es-ES"/>
        </w:rPr>
        <w:t xml:space="preserve">deben aplicar las normas sanitarias apropiadas </w:t>
      </w:r>
      <w:r w:rsidR="00281F85" w:rsidRPr="002D2D0F">
        <w:rPr>
          <w:kern w:val="22"/>
          <w:lang w:val="es-ES"/>
        </w:rPr>
        <w:t>desarrolladas</w:t>
      </w:r>
      <w:r w:rsidRPr="002D2D0F">
        <w:rPr>
          <w:kern w:val="22"/>
          <w:lang w:val="es-ES"/>
        </w:rPr>
        <w:t xml:space="preserve"> mediante los procesos de establecimiento de normas de la Organización Mundial de Sanidad Animal para armonizar las medidas nacionales, en los países </w:t>
      </w:r>
      <w:r w:rsidR="00281F85" w:rsidRPr="002D2D0F">
        <w:rPr>
          <w:kern w:val="22"/>
          <w:lang w:val="es-ES"/>
        </w:rPr>
        <w:t xml:space="preserve">tanto de </w:t>
      </w:r>
      <w:r w:rsidRPr="002D2D0F">
        <w:rPr>
          <w:kern w:val="22"/>
          <w:lang w:val="es-ES"/>
        </w:rPr>
        <w:t>exporta</w:t>
      </w:r>
      <w:r w:rsidR="00281F85" w:rsidRPr="002D2D0F">
        <w:rPr>
          <w:kern w:val="22"/>
          <w:lang w:val="es-ES"/>
        </w:rPr>
        <w:t>ción</w:t>
      </w:r>
      <w:r w:rsidRPr="002D2D0F">
        <w:rPr>
          <w:kern w:val="22"/>
          <w:lang w:val="es-ES"/>
        </w:rPr>
        <w:t xml:space="preserve"> como </w:t>
      </w:r>
      <w:r w:rsidR="00281F85" w:rsidRPr="002D2D0F">
        <w:rPr>
          <w:kern w:val="22"/>
          <w:lang w:val="es-ES"/>
        </w:rPr>
        <w:t>d</w:t>
      </w:r>
      <w:r w:rsidRPr="002D2D0F">
        <w:rPr>
          <w:kern w:val="22"/>
          <w:lang w:val="es-ES"/>
        </w:rPr>
        <w:t>e importa</w:t>
      </w:r>
      <w:r w:rsidR="00281F85" w:rsidRPr="002D2D0F">
        <w:rPr>
          <w:kern w:val="22"/>
          <w:lang w:val="es-ES"/>
        </w:rPr>
        <w:t>ción</w:t>
      </w:r>
      <w:r w:rsidRPr="002D2D0F">
        <w:rPr>
          <w:kern w:val="22"/>
          <w:lang w:val="es-ES"/>
        </w:rPr>
        <w:t>.</w:t>
      </w:r>
    </w:p>
    <w:p w:rsidR="001B34DF" w:rsidRPr="002D2D0F" w:rsidRDefault="001B34DF" w:rsidP="001B34DF">
      <w:pPr>
        <w:numPr>
          <w:ilvl w:val="0"/>
          <w:numId w:val="11"/>
        </w:numPr>
        <w:suppressLineNumbers/>
        <w:suppressAutoHyphens/>
        <w:kinsoku w:val="0"/>
        <w:overflowPunct w:val="0"/>
        <w:autoSpaceDE w:val="0"/>
        <w:autoSpaceDN w:val="0"/>
        <w:adjustRightInd w:val="0"/>
        <w:snapToGrid w:val="0"/>
        <w:spacing w:before="120" w:after="120"/>
        <w:ind w:left="0" w:firstLine="0"/>
        <w:rPr>
          <w:kern w:val="22"/>
          <w:lang w:val="es-ES"/>
        </w:rPr>
      </w:pPr>
      <w:r w:rsidRPr="002D2D0F">
        <w:rPr>
          <w:kern w:val="22"/>
          <w:lang w:val="es-ES"/>
        </w:rPr>
        <w:lastRenderedPageBreak/>
        <w:t>Para toda planta o producto</w:t>
      </w:r>
      <w:r w:rsidR="00C70695" w:rsidRPr="002D2D0F">
        <w:rPr>
          <w:kern w:val="22"/>
          <w:lang w:val="es-ES"/>
        </w:rPr>
        <w:t xml:space="preserve"> de origen vegetal contenido</w:t>
      </w:r>
      <w:r w:rsidRPr="002D2D0F">
        <w:rPr>
          <w:kern w:val="22"/>
          <w:lang w:val="es-ES"/>
        </w:rPr>
        <w:t xml:space="preserve"> en envío</w:t>
      </w:r>
      <w:r w:rsidR="00C70695" w:rsidRPr="002D2D0F">
        <w:rPr>
          <w:kern w:val="22"/>
          <w:lang w:val="es-ES"/>
        </w:rPr>
        <w:t>s de especies vivas</w:t>
      </w:r>
      <w:r w:rsidRPr="002D2D0F">
        <w:rPr>
          <w:kern w:val="22"/>
          <w:lang w:val="es-ES"/>
        </w:rPr>
        <w:t xml:space="preserve"> deben aplicarse las normas fitosanitarias apropiadas </w:t>
      </w:r>
      <w:r w:rsidR="00C70695" w:rsidRPr="002D2D0F">
        <w:rPr>
          <w:kern w:val="22"/>
          <w:lang w:val="es-ES"/>
        </w:rPr>
        <w:t>desarrolladas</w:t>
      </w:r>
      <w:r w:rsidRPr="002D2D0F">
        <w:rPr>
          <w:kern w:val="22"/>
          <w:lang w:val="es-ES"/>
        </w:rPr>
        <w:t xml:space="preserve"> mediante los procesos de establecimiento de normas de la Secretaría de la Convención Internacional de Protección Fitosanitaria para armonizar las medidas nacionales, en los países </w:t>
      </w:r>
      <w:r w:rsidR="00C70695" w:rsidRPr="002D2D0F">
        <w:rPr>
          <w:kern w:val="22"/>
          <w:lang w:val="es-ES"/>
        </w:rPr>
        <w:t xml:space="preserve">tanto de </w:t>
      </w:r>
      <w:r w:rsidRPr="002D2D0F">
        <w:rPr>
          <w:kern w:val="22"/>
          <w:lang w:val="es-ES"/>
        </w:rPr>
        <w:t>exporta</w:t>
      </w:r>
      <w:r w:rsidR="00C70695" w:rsidRPr="002D2D0F">
        <w:rPr>
          <w:kern w:val="22"/>
          <w:lang w:val="es-ES"/>
        </w:rPr>
        <w:t>ción</w:t>
      </w:r>
      <w:r w:rsidRPr="002D2D0F">
        <w:rPr>
          <w:kern w:val="22"/>
          <w:lang w:val="es-ES"/>
        </w:rPr>
        <w:t xml:space="preserve"> como </w:t>
      </w:r>
      <w:r w:rsidR="00C70695" w:rsidRPr="002D2D0F">
        <w:rPr>
          <w:kern w:val="22"/>
          <w:lang w:val="es-ES"/>
        </w:rPr>
        <w:t>d</w:t>
      </w:r>
      <w:r w:rsidRPr="002D2D0F">
        <w:rPr>
          <w:kern w:val="22"/>
          <w:lang w:val="es-ES"/>
        </w:rPr>
        <w:t>e importa</w:t>
      </w:r>
      <w:r w:rsidR="00C70695" w:rsidRPr="002D2D0F">
        <w:rPr>
          <w:kern w:val="22"/>
          <w:lang w:val="es-ES"/>
        </w:rPr>
        <w:t>ción</w:t>
      </w:r>
      <w:r w:rsidRPr="002D2D0F">
        <w:rPr>
          <w:kern w:val="22"/>
          <w:lang w:val="es-ES"/>
        </w:rPr>
        <w:t>.</w:t>
      </w:r>
    </w:p>
    <w:p w:rsidR="00993C12" w:rsidRPr="002D2D0F" w:rsidRDefault="00993C12" w:rsidP="00993C12">
      <w:pPr>
        <w:numPr>
          <w:ilvl w:val="0"/>
          <w:numId w:val="11"/>
        </w:numPr>
        <w:suppressLineNumbers/>
        <w:suppressAutoHyphens/>
        <w:kinsoku w:val="0"/>
        <w:overflowPunct w:val="0"/>
        <w:autoSpaceDE w:val="0"/>
        <w:autoSpaceDN w:val="0"/>
        <w:adjustRightInd w:val="0"/>
        <w:snapToGrid w:val="0"/>
        <w:spacing w:before="120" w:after="120"/>
        <w:ind w:left="0" w:firstLine="0"/>
        <w:rPr>
          <w:lang w:val="es-ES"/>
        </w:rPr>
      </w:pPr>
      <w:r w:rsidRPr="002D2D0F">
        <w:rPr>
          <w:kern w:val="22"/>
          <w:lang w:val="es-ES"/>
        </w:rPr>
        <w:t xml:space="preserve">El remitente/exportador de especies vivas debe demostrar que el producto que se exporta (especie viva) no representa riesgo alguno para el importador. Esto podría comunicarse a la autoridad fronteriza nacional del país </w:t>
      </w:r>
      <w:r w:rsidR="00C70695" w:rsidRPr="002D2D0F">
        <w:rPr>
          <w:kern w:val="22"/>
          <w:lang w:val="es-ES"/>
        </w:rPr>
        <w:t xml:space="preserve">de </w:t>
      </w:r>
      <w:r w:rsidRPr="002D2D0F">
        <w:rPr>
          <w:kern w:val="22"/>
          <w:lang w:val="es-ES"/>
        </w:rPr>
        <w:t>importa</w:t>
      </w:r>
      <w:r w:rsidR="00C70695" w:rsidRPr="002D2D0F">
        <w:rPr>
          <w:kern w:val="22"/>
          <w:lang w:val="es-ES"/>
        </w:rPr>
        <w:t>ción</w:t>
      </w:r>
      <w:r w:rsidRPr="002D2D0F">
        <w:rPr>
          <w:kern w:val="22"/>
          <w:lang w:val="es-ES"/>
        </w:rPr>
        <w:t xml:space="preserve"> mediante la presentación de un certificado expedido por la autoridad veterinaria o autoridad competente en materia de animales del país </w:t>
      </w:r>
      <w:r w:rsidR="00C70695" w:rsidRPr="002D2D0F">
        <w:rPr>
          <w:kern w:val="22"/>
          <w:lang w:val="es-ES"/>
        </w:rPr>
        <w:t xml:space="preserve">de </w:t>
      </w:r>
      <w:r w:rsidRPr="002D2D0F">
        <w:rPr>
          <w:kern w:val="22"/>
          <w:lang w:val="es-ES"/>
        </w:rPr>
        <w:t>exporta</w:t>
      </w:r>
      <w:r w:rsidR="00C70695" w:rsidRPr="002D2D0F">
        <w:rPr>
          <w:kern w:val="22"/>
          <w:lang w:val="es-ES"/>
        </w:rPr>
        <w:t>ción</w:t>
      </w:r>
      <w:r w:rsidRPr="002D2D0F">
        <w:rPr>
          <w:kern w:val="22"/>
          <w:lang w:val="es-ES"/>
        </w:rPr>
        <w:t xml:space="preserve">, o mediante la presentación de un certificado fitosanitario expedido por la organización nacional de protección fitosanitaria del país </w:t>
      </w:r>
      <w:r w:rsidR="00C70695" w:rsidRPr="002D2D0F">
        <w:rPr>
          <w:kern w:val="22"/>
          <w:lang w:val="es-ES"/>
        </w:rPr>
        <w:t xml:space="preserve">de </w:t>
      </w:r>
      <w:r w:rsidRPr="002D2D0F">
        <w:rPr>
          <w:kern w:val="22"/>
          <w:lang w:val="es-ES"/>
        </w:rPr>
        <w:t>exporta</w:t>
      </w:r>
      <w:r w:rsidR="00C70695" w:rsidRPr="002D2D0F">
        <w:rPr>
          <w:kern w:val="22"/>
          <w:lang w:val="es-ES"/>
        </w:rPr>
        <w:t>ción</w:t>
      </w:r>
      <w:r w:rsidRPr="002D2D0F">
        <w:rPr>
          <w:kern w:val="22"/>
          <w:lang w:val="es-ES"/>
        </w:rPr>
        <w:t>, de conformidad con las reglamentaciones nacionales de importación, que se basan en análisis del riesgo de plagas.</w:t>
      </w:r>
    </w:p>
    <w:p w:rsidR="00250BDC" w:rsidRPr="002D2D0F" w:rsidRDefault="00250BDC" w:rsidP="00250BDC">
      <w:pPr>
        <w:numPr>
          <w:ilvl w:val="0"/>
          <w:numId w:val="11"/>
        </w:numPr>
        <w:suppressLineNumbers/>
        <w:suppressAutoHyphens/>
        <w:kinsoku w:val="0"/>
        <w:overflowPunct w:val="0"/>
        <w:autoSpaceDE w:val="0"/>
        <w:autoSpaceDN w:val="0"/>
        <w:adjustRightInd w:val="0"/>
        <w:snapToGrid w:val="0"/>
        <w:spacing w:before="120" w:after="120"/>
        <w:ind w:left="0" w:firstLine="0"/>
        <w:rPr>
          <w:kern w:val="22"/>
          <w:lang w:val="es-ES"/>
        </w:rPr>
      </w:pPr>
      <w:r w:rsidRPr="002D2D0F">
        <w:rPr>
          <w:kern w:val="22"/>
          <w:lang w:val="es-ES"/>
        </w:rPr>
        <w:t xml:space="preserve">Los medios de transporte </w:t>
      </w:r>
      <w:r w:rsidR="00C70695" w:rsidRPr="002D2D0F">
        <w:rPr>
          <w:kern w:val="22"/>
          <w:lang w:val="es-ES"/>
        </w:rPr>
        <w:t xml:space="preserve">de carga </w:t>
      </w:r>
      <w:r w:rsidRPr="002D2D0F">
        <w:rPr>
          <w:kern w:val="22"/>
          <w:lang w:val="es-ES"/>
        </w:rPr>
        <w:t xml:space="preserve">para los envíos de especies vivas deben cumplir las </w:t>
      </w:r>
      <w:r w:rsidR="00C70695" w:rsidRPr="002D2D0F">
        <w:rPr>
          <w:kern w:val="22"/>
          <w:lang w:val="es-ES"/>
        </w:rPr>
        <w:t>orientaciones</w:t>
      </w:r>
      <w:r w:rsidRPr="002D2D0F">
        <w:rPr>
          <w:kern w:val="22"/>
          <w:lang w:val="es-ES"/>
        </w:rPr>
        <w:t xml:space="preserve"> internacionales </w:t>
      </w:r>
      <w:r w:rsidR="00C70695" w:rsidRPr="002D2D0F">
        <w:rPr>
          <w:kern w:val="22"/>
          <w:lang w:val="es-ES"/>
        </w:rPr>
        <w:t>v</w:t>
      </w:r>
      <w:r w:rsidRPr="002D2D0F">
        <w:rPr>
          <w:kern w:val="22"/>
          <w:lang w:val="es-ES"/>
        </w:rPr>
        <w:t>i</w:t>
      </w:r>
      <w:r w:rsidR="00C70695" w:rsidRPr="002D2D0F">
        <w:rPr>
          <w:kern w:val="22"/>
          <w:lang w:val="es-ES"/>
        </w:rPr>
        <w:t>g</w:t>
      </w:r>
      <w:r w:rsidRPr="002D2D0F">
        <w:rPr>
          <w:kern w:val="22"/>
          <w:lang w:val="es-ES"/>
        </w:rPr>
        <w:t xml:space="preserve">entes establecidas en el marco de organizaciones internacionales, como el Código de </w:t>
      </w:r>
      <w:r w:rsidR="00C70695" w:rsidRPr="002D2D0F">
        <w:rPr>
          <w:kern w:val="22"/>
          <w:lang w:val="es-ES"/>
        </w:rPr>
        <w:t>P</w:t>
      </w:r>
      <w:r w:rsidRPr="002D2D0F">
        <w:rPr>
          <w:kern w:val="22"/>
          <w:lang w:val="es-ES"/>
        </w:rPr>
        <w:t xml:space="preserve">rácticas de la Organización Marítima Internacional, la Organización Internacional del Trabajo y la Comisión Económica </w:t>
      </w:r>
      <w:r w:rsidR="00C70695" w:rsidRPr="002D2D0F">
        <w:rPr>
          <w:kern w:val="22"/>
          <w:lang w:val="es-ES"/>
        </w:rPr>
        <w:t xml:space="preserve">de las Naciones Unidas </w:t>
      </w:r>
      <w:r w:rsidRPr="002D2D0F">
        <w:rPr>
          <w:kern w:val="22"/>
          <w:lang w:val="es-ES"/>
        </w:rPr>
        <w:t>para Europa sobre la Arrumazón de las Unidades de Transporte</w:t>
      </w:r>
      <w:r w:rsidR="00C70695" w:rsidRPr="002D2D0F">
        <w:rPr>
          <w:kern w:val="22"/>
          <w:lang w:val="es-ES"/>
        </w:rPr>
        <w:t xml:space="preserve"> (Código CTU)</w:t>
      </w:r>
      <w:r w:rsidRPr="002D2D0F">
        <w:rPr>
          <w:rFonts w:eastAsia="MS Mincho"/>
          <w:kern w:val="22"/>
          <w:vertAlign w:val="superscript"/>
          <w:lang w:val="es-ES"/>
        </w:rPr>
        <w:footnoteReference w:id="35"/>
      </w:r>
      <w:r w:rsidRPr="002D2D0F">
        <w:rPr>
          <w:kern w:val="22"/>
          <w:lang w:val="es-ES"/>
        </w:rPr>
        <w:t>, pero no debe</w:t>
      </w:r>
      <w:r w:rsidR="00C70695" w:rsidRPr="002D2D0F">
        <w:rPr>
          <w:kern w:val="22"/>
          <w:lang w:val="es-ES"/>
        </w:rPr>
        <w:t>n</w:t>
      </w:r>
      <w:r w:rsidRPr="002D2D0F">
        <w:rPr>
          <w:kern w:val="22"/>
          <w:lang w:val="es-ES"/>
        </w:rPr>
        <w:t xml:space="preserve"> limitarse a ello.</w:t>
      </w:r>
    </w:p>
    <w:p w:rsidR="00250BDC" w:rsidRPr="002D2D0F" w:rsidRDefault="00250BDC" w:rsidP="00250BDC">
      <w:pPr>
        <w:pStyle w:val="Heading2"/>
        <w:numPr>
          <w:ilvl w:val="0"/>
          <w:numId w:val="16"/>
        </w:numPr>
        <w:suppressLineNumbers/>
        <w:tabs>
          <w:tab w:val="clear" w:pos="720"/>
          <w:tab w:val="left" w:pos="360"/>
        </w:tabs>
        <w:suppressAutoHyphens/>
        <w:kinsoku w:val="0"/>
        <w:overflowPunct w:val="0"/>
        <w:autoSpaceDE w:val="0"/>
        <w:autoSpaceDN w:val="0"/>
        <w:adjustRightInd w:val="0"/>
        <w:snapToGrid w:val="0"/>
        <w:spacing w:before="0" w:after="0"/>
        <w:ind w:left="0" w:firstLine="0"/>
        <w:rPr>
          <w:iCs w:val="0"/>
          <w:kern w:val="22"/>
          <w:lang w:val="es-ES"/>
        </w:rPr>
      </w:pPr>
      <w:r w:rsidRPr="002D2D0F">
        <w:rPr>
          <w:iCs w:val="0"/>
          <w:kern w:val="22"/>
          <w:lang w:val="es-ES"/>
        </w:rPr>
        <w:t>Preparación responsable de envíos de especies vivas</w:t>
      </w:r>
    </w:p>
    <w:p w:rsidR="00250BDC" w:rsidRPr="002D2D0F" w:rsidRDefault="00250BDC" w:rsidP="00C70695">
      <w:pPr>
        <w:numPr>
          <w:ilvl w:val="0"/>
          <w:numId w:val="11"/>
        </w:numPr>
        <w:suppressLineNumbers/>
        <w:suppressAutoHyphens/>
        <w:kinsoku w:val="0"/>
        <w:overflowPunct w:val="0"/>
        <w:autoSpaceDE w:val="0"/>
        <w:autoSpaceDN w:val="0"/>
        <w:adjustRightInd w:val="0"/>
        <w:snapToGrid w:val="0"/>
        <w:spacing w:before="120" w:after="120"/>
        <w:ind w:left="0" w:firstLine="0"/>
        <w:rPr>
          <w:lang w:val="es-ES"/>
        </w:rPr>
      </w:pPr>
      <w:r w:rsidRPr="002D2D0F">
        <w:rPr>
          <w:kern w:val="22"/>
          <w:lang w:val="es-ES"/>
        </w:rPr>
        <w:t xml:space="preserve">Los remitentes/exportadores de especies vivas deben ser plenamente conscientes de los </w:t>
      </w:r>
      <w:r w:rsidR="00C70695" w:rsidRPr="002D2D0F">
        <w:rPr>
          <w:kern w:val="22"/>
          <w:lang w:val="es-ES"/>
        </w:rPr>
        <w:t xml:space="preserve">potenciales </w:t>
      </w:r>
      <w:r w:rsidRPr="002D2D0F">
        <w:rPr>
          <w:kern w:val="22"/>
          <w:lang w:val="es-ES"/>
        </w:rPr>
        <w:t xml:space="preserve">riesgos de invasiones biológicas que resulten </w:t>
      </w:r>
      <w:r w:rsidR="00C70695" w:rsidRPr="002D2D0F">
        <w:rPr>
          <w:kern w:val="22"/>
          <w:lang w:val="es-ES"/>
        </w:rPr>
        <w:t>de movimientos</w:t>
      </w:r>
      <w:r w:rsidRPr="002D2D0F">
        <w:rPr>
          <w:kern w:val="22"/>
          <w:lang w:val="es-ES"/>
        </w:rPr>
        <w:t xml:space="preserve"> de organismos exóticos por vías no intencionales </w:t>
      </w:r>
      <w:r w:rsidR="00C70695" w:rsidRPr="002D2D0F">
        <w:rPr>
          <w:kern w:val="22"/>
          <w:lang w:val="es-ES"/>
        </w:rPr>
        <w:t>rel</w:t>
      </w:r>
      <w:r w:rsidRPr="002D2D0F">
        <w:rPr>
          <w:kern w:val="22"/>
          <w:lang w:val="es-ES"/>
        </w:rPr>
        <w:t>aci</w:t>
      </w:r>
      <w:r w:rsidR="00C70695" w:rsidRPr="002D2D0F">
        <w:rPr>
          <w:kern w:val="22"/>
          <w:lang w:val="es-ES"/>
        </w:rPr>
        <w:t>on</w:t>
      </w:r>
      <w:r w:rsidRPr="002D2D0F">
        <w:rPr>
          <w:kern w:val="22"/>
          <w:lang w:val="es-ES"/>
        </w:rPr>
        <w:t>adas con el comercio de especies vivas y deben asegurarse de que: a) los envíos cumplan los requisitos sanitarios y fitosanitarios establecidos por el país de importación; y b) se apliquen medidas para reducir al mínimo el riesgo de introducciones involuntarias.</w:t>
      </w:r>
    </w:p>
    <w:p w:rsidR="00250BDC" w:rsidRPr="002D2D0F" w:rsidRDefault="00250BDC" w:rsidP="00250BDC">
      <w:pPr>
        <w:numPr>
          <w:ilvl w:val="0"/>
          <w:numId w:val="11"/>
        </w:numPr>
        <w:suppressLineNumbers/>
        <w:suppressAutoHyphens/>
        <w:kinsoku w:val="0"/>
        <w:overflowPunct w:val="0"/>
        <w:autoSpaceDE w:val="0"/>
        <w:autoSpaceDN w:val="0"/>
        <w:adjustRightInd w:val="0"/>
        <w:snapToGrid w:val="0"/>
        <w:ind w:left="0" w:firstLine="0"/>
        <w:rPr>
          <w:lang w:val="es-ES"/>
        </w:rPr>
      </w:pPr>
      <w:r w:rsidRPr="002D2D0F">
        <w:rPr>
          <w:kern w:val="22"/>
          <w:lang w:val="es-ES"/>
        </w:rPr>
        <w:t xml:space="preserve">Los remitentes/exportadores de envíos de especies vivas deben informar al importador de los </w:t>
      </w:r>
      <w:r w:rsidR="00C70695" w:rsidRPr="002D2D0F">
        <w:rPr>
          <w:kern w:val="22"/>
          <w:lang w:val="es-ES"/>
        </w:rPr>
        <w:t xml:space="preserve">potenciales </w:t>
      </w:r>
      <w:r w:rsidRPr="002D2D0F">
        <w:rPr>
          <w:kern w:val="22"/>
          <w:lang w:val="es-ES"/>
        </w:rPr>
        <w:t>riesgos de invasiones biológicas por organismos exóticos</w:t>
      </w:r>
      <w:r w:rsidR="00C70695" w:rsidRPr="002D2D0F">
        <w:rPr>
          <w:kern w:val="22"/>
          <w:lang w:val="es-ES"/>
        </w:rPr>
        <w:t>,</w:t>
      </w:r>
      <w:r w:rsidRPr="002D2D0F">
        <w:rPr>
          <w:kern w:val="22"/>
          <w:lang w:val="es-ES"/>
        </w:rPr>
        <w:t xml:space="preserve"> consign</w:t>
      </w:r>
      <w:r w:rsidR="00175917">
        <w:rPr>
          <w:kern w:val="22"/>
          <w:lang w:val="es-ES"/>
        </w:rPr>
        <w:t>a</w:t>
      </w:r>
      <w:r w:rsidRPr="002D2D0F">
        <w:rPr>
          <w:kern w:val="22"/>
          <w:lang w:val="es-ES"/>
        </w:rPr>
        <w:t>ndo</w:t>
      </w:r>
      <w:r w:rsidR="00175917">
        <w:rPr>
          <w:kern w:val="22"/>
          <w:lang w:val="es-ES"/>
        </w:rPr>
        <w:t xml:space="preserve"> dicha información</w:t>
      </w:r>
      <w:r w:rsidRPr="002D2D0F">
        <w:rPr>
          <w:kern w:val="22"/>
          <w:lang w:val="es-ES"/>
        </w:rPr>
        <w:t xml:space="preserve"> en etiquetas o documentos adjuntados a los envíos que contengan </w:t>
      </w:r>
      <w:r w:rsidR="00C70695" w:rsidRPr="002D2D0F">
        <w:rPr>
          <w:kern w:val="22"/>
          <w:lang w:val="es-ES"/>
        </w:rPr>
        <w:t>especies</w:t>
      </w:r>
      <w:r w:rsidRPr="002D2D0F">
        <w:rPr>
          <w:kern w:val="22"/>
          <w:lang w:val="es-ES"/>
        </w:rPr>
        <w:t xml:space="preserve"> viv</w:t>
      </w:r>
      <w:r w:rsidR="00C70695" w:rsidRPr="002D2D0F">
        <w:rPr>
          <w:kern w:val="22"/>
          <w:lang w:val="es-ES"/>
        </w:rPr>
        <w:t>a</w:t>
      </w:r>
      <w:r w:rsidRPr="002D2D0F">
        <w:rPr>
          <w:kern w:val="22"/>
          <w:lang w:val="es-ES"/>
        </w:rPr>
        <w:t xml:space="preserve">s, dirigidos a las autoridades de control de fronteras, las organizaciones nacionales de protección fitosanitarias o las autoridades veterinarias. En algunos casos, </w:t>
      </w:r>
      <w:r w:rsidR="00175917">
        <w:rPr>
          <w:kern w:val="22"/>
          <w:lang w:val="es-ES"/>
        </w:rPr>
        <w:t>la</w:t>
      </w:r>
      <w:r w:rsidRPr="002D2D0F">
        <w:rPr>
          <w:kern w:val="22"/>
          <w:lang w:val="es-ES"/>
        </w:rPr>
        <w:t xml:space="preserve"> información debe presentarse a las autoridades competentes del país o países de tránsito, para que puedan adoptar medidas adecuadas de gestión de riesgo</w:t>
      </w:r>
      <w:r w:rsidR="00175917">
        <w:rPr>
          <w:kern w:val="22"/>
          <w:lang w:val="es-ES"/>
        </w:rPr>
        <w:t>s</w:t>
      </w:r>
      <w:r w:rsidRPr="002D2D0F">
        <w:rPr>
          <w:kern w:val="22"/>
          <w:lang w:val="es-ES"/>
        </w:rPr>
        <w:t xml:space="preserve"> durante el tránsito.</w:t>
      </w:r>
    </w:p>
    <w:p w:rsidR="00157DC9" w:rsidRPr="002D2D0F" w:rsidRDefault="00157DC9" w:rsidP="009A5C69">
      <w:pPr>
        <w:numPr>
          <w:ilvl w:val="0"/>
          <w:numId w:val="11"/>
        </w:numPr>
        <w:suppressLineNumbers/>
        <w:suppressAutoHyphens/>
        <w:kinsoku w:val="0"/>
        <w:overflowPunct w:val="0"/>
        <w:autoSpaceDE w:val="0"/>
        <w:autoSpaceDN w:val="0"/>
        <w:adjustRightInd w:val="0"/>
        <w:snapToGrid w:val="0"/>
        <w:spacing w:before="120" w:after="120"/>
        <w:ind w:left="0" w:firstLine="0"/>
        <w:rPr>
          <w:kern w:val="22"/>
          <w:lang w:val="es-ES"/>
        </w:rPr>
      </w:pPr>
      <w:r w:rsidRPr="002D2D0F">
        <w:rPr>
          <w:kern w:val="22"/>
          <w:lang w:val="es-ES"/>
        </w:rPr>
        <w:t xml:space="preserve">Los remitentes/exportadores de especies </w:t>
      </w:r>
      <w:r w:rsidR="009575EE" w:rsidRPr="002D2D0F">
        <w:rPr>
          <w:kern w:val="22"/>
          <w:lang w:val="es-ES"/>
        </w:rPr>
        <w:t xml:space="preserve">vivas </w:t>
      </w:r>
      <w:r w:rsidRPr="002D2D0F">
        <w:rPr>
          <w:kern w:val="22"/>
          <w:lang w:val="es-ES"/>
        </w:rPr>
        <w:t>deben aplicar todas las medidas sanitarias y fitosanitariass apropiadas para garantizar que las especies vivas se envíen libre</w:t>
      </w:r>
      <w:r w:rsidR="009575EE" w:rsidRPr="002D2D0F">
        <w:rPr>
          <w:kern w:val="22"/>
          <w:lang w:val="es-ES"/>
        </w:rPr>
        <w:t>s</w:t>
      </w:r>
      <w:r w:rsidRPr="002D2D0F">
        <w:rPr>
          <w:kern w:val="22"/>
          <w:lang w:val="es-ES"/>
        </w:rPr>
        <w:t xml:space="preserve"> de plagas, agentes patógenos y organismos exóticos que pudieran comportar riesgos de invasiones biológicas en el país </w:t>
      </w:r>
      <w:r w:rsidR="00693B84" w:rsidRPr="002D2D0F">
        <w:rPr>
          <w:kern w:val="22"/>
          <w:lang w:val="es-ES"/>
        </w:rPr>
        <w:t xml:space="preserve">de importación </w:t>
      </w:r>
      <w:r w:rsidRPr="002D2D0F">
        <w:rPr>
          <w:kern w:val="22"/>
          <w:lang w:val="es-ES"/>
        </w:rPr>
        <w:t xml:space="preserve">o </w:t>
      </w:r>
      <w:r w:rsidR="009A5C69" w:rsidRPr="002D2D0F">
        <w:rPr>
          <w:kern w:val="22"/>
          <w:lang w:val="es-ES"/>
        </w:rPr>
        <w:t xml:space="preserve">las </w:t>
      </w:r>
      <w:r w:rsidRPr="002D2D0F">
        <w:rPr>
          <w:kern w:val="22"/>
          <w:lang w:val="es-ES"/>
        </w:rPr>
        <w:t>zona</w:t>
      </w:r>
      <w:r w:rsidR="009A5C69" w:rsidRPr="002D2D0F">
        <w:rPr>
          <w:kern w:val="22"/>
          <w:lang w:val="es-ES"/>
        </w:rPr>
        <w:t>s</w:t>
      </w:r>
      <w:r w:rsidRPr="002D2D0F">
        <w:rPr>
          <w:kern w:val="22"/>
          <w:lang w:val="es-ES"/>
        </w:rPr>
        <w:t xml:space="preserve"> biogeográfica</w:t>
      </w:r>
      <w:r w:rsidR="009A5C69" w:rsidRPr="002D2D0F">
        <w:rPr>
          <w:kern w:val="22"/>
          <w:lang w:val="es-ES"/>
        </w:rPr>
        <w:t>s</w:t>
      </w:r>
      <w:r w:rsidRPr="002D2D0F">
        <w:rPr>
          <w:kern w:val="22"/>
          <w:lang w:val="es-ES"/>
        </w:rPr>
        <w:t xml:space="preserve"> que los recib</w:t>
      </w:r>
      <w:r w:rsidR="009A5C69" w:rsidRPr="002D2D0F">
        <w:rPr>
          <w:kern w:val="22"/>
          <w:lang w:val="es-ES"/>
        </w:rPr>
        <w:t>an</w:t>
      </w:r>
      <w:r w:rsidRPr="002D2D0F">
        <w:rPr>
          <w:kern w:val="22"/>
          <w:lang w:val="es-ES"/>
        </w:rPr>
        <w:t>.</w:t>
      </w:r>
    </w:p>
    <w:p w:rsidR="00157DC9" w:rsidRPr="002D2D0F" w:rsidRDefault="003E33EF" w:rsidP="00157DC9">
      <w:pPr>
        <w:pStyle w:val="Heading2"/>
        <w:numPr>
          <w:ilvl w:val="0"/>
          <w:numId w:val="16"/>
        </w:numPr>
        <w:suppressLineNumbers/>
        <w:tabs>
          <w:tab w:val="clear" w:pos="720"/>
          <w:tab w:val="left" w:pos="360"/>
        </w:tabs>
        <w:suppressAutoHyphens/>
        <w:kinsoku w:val="0"/>
        <w:overflowPunct w:val="0"/>
        <w:autoSpaceDE w:val="0"/>
        <w:autoSpaceDN w:val="0"/>
        <w:adjustRightInd w:val="0"/>
        <w:snapToGrid w:val="0"/>
        <w:ind w:left="0" w:firstLine="0"/>
        <w:rPr>
          <w:iCs w:val="0"/>
          <w:kern w:val="22"/>
          <w:lang w:val="es-ES"/>
        </w:rPr>
      </w:pPr>
      <w:r w:rsidRPr="002D2D0F">
        <w:rPr>
          <w:iCs w:val="0"/>
          <w:kern w:val="22"/>
          <w:lang w:val="es-ES"/>
        </w:rPr>
        <w:t>Contenedores de e</w:t>
      </w:r>
      <w:r w:rsidR="00157DC9" w:rsidRPr="002D2D0F">
        <w:rPr>
          <w:iCs w:val="0"/>
          <w:kern w:val="22"/>
          <w:lang w:val="es-ES"/>
        </w:rPr>
        <w:t xml:space="preserve">mbalaje/envíos </w:t>
      </w:r>
    </w:p>
    <w:p w:rsidR="00693B84" w:rsidRPr="002D2D0F" w:rsidRDefault="00693B84" w:rsidP="00693B84">
      <w:pPr>
        <w:numPr>
          <w:ilvl w:val="0"/>
          <w:numId w:val="11"/>
        </w:numPr>
        <w:suppressLineNumbers/>
        <w:suppressAutoHyphens/>
        <w:kinsoku w:val="0"/>
        <w:overflowPunct w:val="0"/>
        <w:autoSpaceDE w:val="0"/>
        <w:autoSpaceDN w:val="0"/>
        <w:adjustRightInd w:val="0"/>
        <w:snapToGrid w:val="0"/>
        <w:spacing w:before="120" w:after="120"/>
        <w:ind w:left="0" w:firstLine="0"/>
        <w:rPr>
          <w:kern w:val="22"/>
          <w:lang w:val="es-ES"/>
        </w:rPr>
      </w:pPr>
      <w:r w:rsidRPr="002D2D0F">
        <w:rPr>
          <w:kern w:val="22"/>
          <w:lang w:val="es-ES"/>
        </w:rPr>
        <w:t xml:space="preserve">Los remitentes/exportadores pueden colocar etiquetado de peligro en cada envío, cuando corresponda y sea apropiado, teniendo en cuenta el </w:t>
      </w:r>
      <w:r w:rsidR="003E33EF" w:rsidRPr="002D2D0F">
        <w:rPr>
          <w:kern w:val="22"/>
          <w:lang w:val="es-ES"/>
        </w:rPr>
        <w:t xml:space="preserve">potencial </w:t>
      </w:r>
      <w:r w:rsidRPr="002D2D0F">
        <w:rPr>
          <w:kern w:val="22"/>
          <w:lang w:val="es-ES"/>
        </w:rPr>
        <w:t xml:space="preserve">riesgo de invasiones biológicas </w:t>
      </w:r>
      <w:r w:rsidR="00175917">
        <w:rPr>
          <w:kern w:val="22"/>
          <w:lang w:val="es-ES"/>
        </w:rPr>
        <w:t>por</w:t>
      </w:r>
      <w:r w:rsidR="003E33EF" w:rsidRPr="002D2D0F">
        <w:rPr>
          <w:kern w:val="22"/>
          <w:lang w:val="es-ES"/>
        </w:rPr>
        <w:t xml:space="preserve"> movimiento</w:t>
      </w:r>
      <w:r w:rsidR="00175917">
        <w:rPr>
          <w:kern w:val="22"/>
          <w:lang w:val="es-ES"/>
        </w:rPr>
        <w:t>s</w:t>
      </w:r>
      <w:r w:rsidR="003E33EF" w:rsidRPr="002D2D0F">
        <w:rPr>
          <w:kern w:val="22"/>
          <w:lang w:val="es-ES"/>
        </w:rPr>
        <w:t xml:space="preserve"> de</w:t>
      </w:r>
      <w:r w:rsidRPr="002D2D0F">
        <w:rPr>
          <w:kern w:val="22"/>
          <w:lang w:val="es-ES"/>
        </w:rPr>
        <w:t xml:space="preserve"> organismos exóticos por vías no intencionales, especialmente </w:t>
      </w:r>
      <w:r w:rsidR="003E33EF" w:rsidRPr="002D2D0F">
        <w:rPr>
          <w:kern w:val="22"/>
          <w:lang w:val="es-ES"/>
        </w:rPr>
        <w:t>cuando</w:t>
      </w:r>
      <w:r w:rsidRPr="002D2D0F">
        <w:rPr>
          <w:kern w:val="22"/>
          <w:lang w:val="es-ES"/>
        </w:rPr>
        <w:t xml:space="preserve"> las especies vivas hayan sido capturadas o recolectadas </w:t>
      </w:r>
      <w:r w:rsidR="003E33EF" w:rsidRPr="002D2D0F">
        <w:rPr>
          <w:kern w:val="22"/>
          <w:lang w:val="es-ES"/>
        </w:rPr>
        <w:t xml:space="preserve">en </w:t>
      </w:r>
      <w:r w:rsidR="00175917">
        <w:rPr>
          <w:kern w:val="22"/>
          <w:lang w:val="es-ES"/>
        </w:rPr>
        <w:t>la naturaleza</w:t>
      </w:r>
      <w:r w:rsidRPr="002D2D0F">
        <w:rPr>
          <w:kern w:val="22"/>
          <w:lang w:val="es-ES"/>
        </w:rPr>
        <w:t xml:space="preserve">, a fin de informar a todos los que intervienen a lo largo de la cadena de valor de los </w:t>
      </w:r>
      <w:r w:rsidR="003E33EF" w:rsidRPr="002D2D0F">
        <w:rPr>
          <w:kern w:val="22"/>
          <w:lang w:val="es-ES"/>
        </w:rPr>
        <w:t xml:space="preserve">potenciales </w:t>
      </w:r>
      <w:r w:rsidRPr="002D2D0F">
        <w:rPr>
          <w:kern w:val="22"/>
          <w:lang w:val="es-ES"/>
        </w:rPr>
        <w:t>riesgos para la diversidad biológica.</w:t>
      </w:r>
    </w:p>
    <w:p w:rsidR="007628C4" w:rsidRPr="002D2D0F" w:rsidRDefault="007628C4" w:rsidP="009A5C69">
      <w:pPr>
        <w:numPr>
          <w:ilvl w:val="0"/>
          <w:numId w:val="11"/>
        </w:numPr>
        <w:suppressLineNumbers/>
        <w:suppressAutoHyphens/>
        <w:kinsoku w:val="0"/>
        <w:overflowPunct w:val="0"/>
        <w:autoSpaceDE w:val="0"/>
        <w:autoSpaceDN w:val="0"/>
        <w:adjustRightInd w:val="0"/>
        <w:snapToGrid w:val="0"/>
        <w:ind w:left="0" w:firstLine="0"/>
        <w:rPr>
          <w:lang w:val="es-ES"/>
        </w:rPr>
      </w:pPr>
      <w:r w:rsidRPr="002D2D0F">
        <w:rPr>
          <w:kern w:val="22"/>
          <w:lang w:val="es-ES"/>
        </w:rPr>
        <w:t xml:space="preserve">El material o los contenedores </w:t>
      </w:r>
      <w:r w:rsidR="003E33EF" w:rsidRPr="002D2D0F">
        <w:rPr>
          <w:kern w:val="22"/>
          <w:lang w:val="es-ES"/>
        </w:rPr>
        <w:t>de embalaje relac</w:t>
      </w:r>
      <w:r w:rsidRPr="002D2D0F">
        <w:rPr>
          <w:kern w:val="22"/>
          <w:lang w:val="es-ES"/>
        </w:rPr>
        <w:t>i</w:t>
      </w:r>
      <w:r w:rsidR="003E33EF" w:rsidRPr="002D2D0F">
        <w:rPr>
          <w:kern w:val="22"/>
          <w:lang w:val="es-ES"/>
        </w:rPr>
        <w:t>on</w:t>
      </w:r>
      <w:r w:rsidRPr="002D2D0F">
        <w:rPr>
          <w:kern w:val="22"/>
          <w:lang w:val="es-ES"/>
        </w:rPr>
        <w:t>ados con el movimiento de especies vivas debe</w:t>
      </w:r>
      <w:r w:rsidR="00175917">
        <w:rPr>
          <w:kern w:val="22"/>
          <w:lang w:val="es-ES"/>
        </w:rPr>
        <w:t>n</w:t>
      </w:r>
      <w:r w:rsidRPr="002D2D0F">
        <w:rPr>
          <w:kern w:val="22"/>
          <w:lang w:val="es-ES"/>
        </w:rPr>
        <w:t xml:space="preserve"> estar libre</w:t>
      </w:r>
      <w:r w:rsidR="00175917">
        <w:rPr>
          <w:kern w:val="22"/>
          <w:lang w:val="es-ES"/>
        </w:rPr>
        <w:t>s</w:t>
      </w:r>
      <w:r w:rsidRPr="002D2D0F">
        <w:rPr>
          <w:kern w:val="22"/>
          <w:lang w:val="es-ES"/>
        </w:rPr>
        <w:t xml:space="preserve"> de plagas, agentes patógenos y organismos exóticos invasores que sean motivo de preocupación para el país de importación o </w:t>
      </w:r>
      <w:r w:rsidR="009A5C69" w:rsidRPr="002D2D0F">
        <w:rPr>
          <w:kern w:val="22"/>
          <w:lang w:val="es-ES"/>
        </w:rPr>
        <w:t xml:space="preserve">las </w:t>
      </w:r>
      <w:r w:rsidRPr="002D2D0F">
        <w:rPr>
          <w:kern w:val="22"/>
          <w:lang w:val="es-ES"/>
        </w:rPr>
        <w:t>zona</w:t>
      </w:r>
      <w:r w:rsidR="009A5C69" w:rsidRPr="002D2D0F">
        <w:rPr>
          <w:kern w:val="22"/>
          <w:lang w:val="es-ES"/>
        </w:rPr>
        <w:t>s</w:t>
      </w:r>
      <w:r w:rsidRPr="002D2D0F">
        <w:rPr>
          <w:kern w:val="22"/>
          <w:lang w:val="es-ES"/>
        </w:rPr>
        <w:t xml:space="preserve"> biogeográfica</w:t>
      </w:r>
      <w:r w:rsidR="009A5C69" w:rsidRPr="002D2D0F">
        <w:rPr>
          <w:kern w:val="22"/>
          <w:lang w:val="es-ES"/>
        </w:rPr>
        <w:t>s</w:t>
      </w:r>
      <w:r w:rsidRPr="002D2D0F">
        <w:rPr>
          <w:kern w:val="22"/>
          <w:lang w:val="es-ES"/>
        </w:rPr>
        <w:t xml:space="preserve"> que los recib</w:t>
      </w:r>
      <w:r w:rsidR="009A5C69" w:rsidRPr="002D2D0F">
        <w:rPr>
          <w:kern w:val="22"/>
          <w:lang w:val="es-ES"/>
        </w:rPr>
        <w:t>an</w:t>
      </w:r>
      <w:r w:rsidRPr="002D2D0F">
        <w:rPr>
          <w:kern w:val="22"/>
          <w:lang w:val="es-ES"/>
        </w:rPr>
        <w:t xml:space="preserve">. Si el material de embalaje es de madera, debe aplicarse el tratamiento apropiado que se describe en la NIMF 15 (Reglamentación del embalaje de madera utilizado en el comercio internacional). Debe procurarse que el </w:t>
      </w:r>
      <w:r w:rsidR="003E33EF" w:rsidRPr="002D2D0F">
        <w:rPr>
          <w:kern w:val="22"/>
          <w:lang w:val="es-ES"/>
        </w:rPr>
        <w:t xml:space="preserve">material o los contenedores </w:t>
      </w:r>
      <w:r w:rsidR="00175917">
        <w:rPr>
          <w:kern w:val="22"/>
          <w:lang w:val="es-ES"/>
        </w:rPr>
        <w:t xml:space="preserve">de </w:t>
      </w:r>
      <w:r w:rsidRPr="002D2D0F">
        <w:rPr>
          <w:kern w:val="22"/>
          <w:lang w:val="es-ES"/>
        </w:rPr>
        <w:t>embalaje estén libre</w:t>
      </w:r>
      <w:r w:rsidR="003E33EF" w:rsidRPr="002D2D0F">
        <w:rPr>
          <w:kern w:val="22"/>
          <w:lang w:val="es-ES"/>
        </w:rPr>
        <w:t>s</w:t>
      </w:r>
      <w:r w:rsidRPr="002D2D0F">
        <w:rPr>
          <w:kern w:val="22"/>
          <w:lang w:val="es-ES"/>
        </w:rPr>
        <w:t xml:space="preserve"> de organismos exóticos invasores.</w:t>
      </w:r>
    </w:p>
    <w:p w:rsidR="009A5C69" w:rsidRPr="002D2D0F" w:rsidRDefault="009A5C69" w:rsidP="009A5C69">
      <w:pPr>
        <w:numPr>
          <w:ilvl w:val="0"/>
          <w:numId w:val="11"/>
        </w:numPr>
        <w:suppressLineNumbers/>
        <w:suppressAutoHyphens/>
        <w:kinsoku w:val="0"/>
        <w:overflowPunct w:val="0"/>
        <w:autoSpaceDE w:val="0"/>
        <w:autoSpaceDN w:val="0"/>
        <w:adjustRightInd w:val="0"/>
        <w:snapToGrid w:val="0"/>
        <w:spacing w:before="120" w:after="120"/>
        <w:ind w:left="0" w:firstLine="0"/>
        <w:rPr>
          <w:kern w:val="22"/>
          <w:lang w:val="es-ES"/>
        </w:rPr>
      </w:pPr>
      <w:r w:rsidRPr="002D2D0F">
        <w:rPr>
          <w:kern w:val="22"/>
          <w:lang w:val="es-ES"/>
        </w:rPr>
        <w:t>Si el contenedor de embalaje</w:t>
      </w:r>
      <w:r w:rsidR="003E33EF" w:rsidRPr="002D2D0F">
        <w:rPr>
          <w:kern w:val="22"/>
          <w:lang w:val="es-ES"/>
        </w:rPr>
        <w:t xml:space="preserve"> se reutiliza</w:t>
      </w:r>
      <w:r w:rsidRPr="002D2D0F">
        <w:rPr>
          <w:kern w:val="22"/>
          <w:lang w:val="es-ES"/>
        </w:rPr>
        <w:t xml:space="preserve">, el remitente/exportador debe lavarlo y desinfectarlo antes del envío y debe </w:t>
      </w:r>
      <w:r w:rsidR="003E33EF" w:rsidRPr="002D2D0F">
        <w:rPr>
          <w:kern w:val="22"/>
          <w:lang w:val="es-ES"/>
        </w:rPr>
        <w:t xml:space="preserve">realizar una </w:t>
      </w:r>
      <w:r w:rsidRPr="002D2D0F">
        <w:rPr>
          <w:kern w:val="22"/>
          <w:lang w:val="es-ES"/>
        </w:rPr>
        <w:t>inspecci</w:t>
      </w:r>
      <w:r w:rsidR="003E33EF" w:rsidRPr="002D2D0F">
        <w:rPr>
          <w:kern w:val="22"/>
          <w:lang w:val="es-ES"/>
        </w:rPr>
        <w:t>ó</w:t>
      </w:r>
      <w:r w:rsidRPr="002D2D0F">
        <w:rPr>
          <w:kern w:val="22"/>
          <w:lang w:val="es-ES"/>
        </w:rPr>
        <w:t>n</w:t>
      </w:r>
      <w:r w:rsidR="003E33EF" w:rsidRPr="002D2D0F">
        <w:rPr>
          <w:kern w:val="22"/>
          <w:lang w:val="es-ES"/>
        </w:rPr>
        <w:t xml:space="preserve"> ocul</w:t>
      </w:r>
      <w:r w:rsidRPr="002D2D0F">
        <w:rPr>
          <w:kern w:val="22"/>
          <w:lang w:val="es-ES"/>
        </w:rPr>
        <w:t>ar antes de reutilizarlo.</w:t>
      </w:r>
    </w:p>
    <w:p w:rsidR="009A5C69" w:rsidRPr="002D2D0F" w:rsidRDefault="009A5C69" w:rsidP="009A5C69">
      <w:pPr>
        <w:numPr>
          <w:ilvl w:val="0"/>
          <w:numId w:val="11"/>
        </w:numPr>
        <w:suppressLineNumbers/>
        <w:suppressAutoHyphens/>
        <w:kinsoku w:val="0"/>
        <w:overflowPunct w:val="0"/>
        <w:autoSpaceDE w:val="0"/>
        <w:autoSpaceDN w:val="0"/>
        <w:adjustRightInd w:val="0"/>
        <w:snapToGrid w:val="0"/>
        <w:ind w:left="0" w:firstLine="0"/>
        <w:rPr>
          <w:kern w:val="22"/>
          <w:lang w:val="es-ES"/>
        </w:rPr>
      </w:pPr>
      <w:r w:rsidRPr="002D2D0F">
        <w:rPr>
          <w:kern w:val="22"/>
          <w:lang w:val="es-ES"/>
        </w:rPr>
        <w:lastRenderedPageBreak/>
        <w:t>Los contenedores de embalaje para especies acuáticas deben estar libre</w:t>
      </w:r>
      <w:r w:rsidR="00507DCB" w:rsidRPr="002D2D0F">
        <w:rPr>
          <w:kern w:val="22"/>
          <w:lang w:val="es-ES"/>
        </w:rPr>
        <w:t>s</w:t>
      </w:r>
      <w:r w:rsidRPr="002D2D0F">
        <w:rPr>
          <w:kern w:val="22"/>
          <w:lang w:val="es-ES"/>
        </w:rPr>
        <w:t xml:space="preserve"> de plagas, agentes patógenos y organismos vivos invasores que sean motivo de preocupación para el país de importación o las zonas</w:t>
      </w:r>
      <w:r w:rsidR="00507DCB" w:rsidRPr="002D2D0F">
        <w:rPr>
          <w:kern w:val="22"/>
          <w:lang w:val="es-ES"/>
        </w:rPr>
        <w:t xml:space="preserve"> biogeográficas que los reciban</w:t>
      </w:r>
      <w:r w:rsidRPr="002D2D0F">
        <w:rPr>
          <w:kern w:val="22"/>
          <w:lang w:val="es-ES"/>
        </w:rPr>
        <w:t xml:space="preserve"> y </w:t>
      </w:r>
      <w:r w:rsidR="00507DCB" w:rsidRPr="002D2D0F">
        <w:rPr>
          <w:kern w:val="22"/>
          <w:lang w:val="es-ES"/>
        </w:rPr>
        <w:t xml:space="preserve">el remitente/exportador </w:t>
      </w:r>
      <w:r w:rsidRPr="002D2D0F">
        <w:rPr>
          <w:kern w:val="22"/>
          <w:lang w:val="es-ES"/>
        </w:rPr>
        <w:t>debe cerra</w:t>
      </w:r>
      <w:r w:rsidR="00175917">
        <w:rPr>
          <w:kern w:val="22"/>
          <w:lang w:val="es-ES"/>
        </w:rPr>
        <w:t>rl</w:t>
      </w:r>
      <w:r w:rsidRPr="002D2D0F">
        <w:rPr>
          <w:kern w:val="22"/>
          <w:lang w:val="es-ES"/>
        </w:rPr>
        <w:t>os</w:t>
      </w:r>
      <w:r w:rsidR="00507DCB" w:rsidRPr="002D2D0F">
        <w:rPr>
          <w:kern w:val="22"/>
          <w:lang w:val="es-ES"/>
        </w:rPr>
        <w:t xml:space="preserve"> debidamente</w:t>
      </w:r>
      <w:r w:rsidRPr="002D2D0F">
        <w:rPr>
          <w:kern w:val="22"/>
          <w:lang w:val="es-ES"/>
        </w:rPr>
        <w:t xml:space="preserve"> para </w:t>
      </w:r>
      <w:r w:rsidR="00223996" w:rsidRPr="002D2D0F">
        <w:rPr>
          <w:kern w:val="22"/>
          <w:lang w:val="es-ES"/>
        </w:rPr>
        <w:t>evitar</w:t>
      </w:r>
      <w:r w:rsidRPr="002D2D0F">
        <w:rPr>
          <w:kern w:val="22"/>
          <w:lang w:val="es-ES"/>
        </w:rPr>
        <w:t xml:space="preserve"> </w:t>
      </w:r>
      <w:r w:rsidR="00175917">
        <w:rPr>
          <w:kern w:val="22"/>
          <w:lang w:val="es-ES"/>
        </w:rPr>
        <w:t xml:space="preserve">que </w:t>
      </w:r>
      <w:r w:rsidR="00175917" w:rsidRPr="002D2D0F">
        <w:rPr>
          <w:kern w:val="22"/>
          <w:lang w:val="es-ES"/>
        </w:rPr>
        <w:t>durante el transporte</w:t>
      </w:r>
      <w:r w:rsidR="00175917">
        <w:rPr>
          <w:kern w:val="22"/>
          <w:lang w:val="es-ES"/>
        </w:rPr>
        <w:t xml:space="preserve"> </w:t>
      </w:r>
      <w:r w:rsidR="00175917" w:rsidRPr="002D2D0F">
        <w:rPr>
          <w:kern w:val="22"/>
          <w:lang w:val="es-ES"/>
        </w:rPr>
        <w:t xml:space="preserve">a lo largo de la cadena de valor </w:t>
      </w:r>
      <w:r w:rsidR="00175917">
        <w:rPr>
          <w:kern w:val="22"/>
          <w:lang w:val="es-ES"/>
        </w:rPr>
        <w:t>se produzcan</w:t>
      </w:r>
      <w:r w:rsidR="00175917" w:rsidRPr="002D2D0F">
        <w:rPr>
          <w:kern w:val="22"/>
          <w:lang w:val="es-ES"/>
        </w:rPr>
        <w:t xml:space="preserve"> </w:t>
      </w:r>
      <w:r w:rsidRPr="002D2D0F">
        <w:rPr>
          <w:kern w:val="22"/>
          <w:lang w:val="es-ES"/>
        </w:rPr>
        <w:t>fugas de agua</w:t>
      </w:r>
      <w:r w:rsidR="00507DCB" w:rsidRPr="002D2D0F">
        <w:rPr>
          <w:kern w:val="22"/>
          <w:lang w:val="es-ES"/>
        </w:rPr>
        <w:t xml:space="preserve"> o aguas</w:t>
      </w:r>
      <w:r w:rsidRPr="002D2D0F">
        <w:rPr>
          <w:kern w:val="22"/>
          <w:lang w:val="es-ES"/>
        </w:rPr>
        <w:t xml:space="preserve"> o contaminación hacia o desde el envío por quienes manipulan los contenedores de embalaje.</w:t>
      </w:r>
    </w:p>
    <w:p w:rsidR="009A5C69" w:rsidRPr="002D2D0F" w:rsidRDefault="009A5C69" w:rsidP="009A5C69">
      <w:pPr>
        <w:pStyle w:val="Heading2"/>
        <w:numPr>
          <w:ilvl w:val="0"/>
          <w:numId w:val="16"/>
        </w:numPr>
        <w:suppressLineNumbers/>
        <w:tabs>
          <w:tab w:val="clear" w:pos="720"/>
          <w:tab w:val="left" w:pos="360"/>
        </w:tabs>
        <w:suppressAutoHyphens/>
        <w:kinsoku w:val="0"/>
        <w:overflowPunct w:val="0"/>
        <w:autoSpaceDE w:val="0"/>
        <w:autoSpaceDN w:val="0"/>
        <w:adjustRightInd w:val="0"/>
        <w:snapToGrid w:val="0"/>
        <w:ind w:left="0" w:firstLine="0"/>
        <w:rPr>
          <w:iCs w:val="0"/>
          <w:kern w:val="22"/>
          <w:lang w:val="es-ES"/>
        </w:rPr>
      </w:pPr>
      <w:r w:rsidRPr="002D2D0F">
        <w:rPr>
          <w:iCs w:val="0"/>
          <w:kern w:val="22"/>
          <w:lang w:val="es-ES"/>
        </w:rPr>
        <w:t xml:space="preserve">Materiales </w:t>
      </w:r>
      <w:r w:rsidR="00507DCB" w:rsidRPr="002D2D0F">
        <w:rPr>
          <w:iCs w:val="0"/>
          <w:kern w:val="22"/>
          <w:lang w:val="es-ES"/>
        </w:rPr>
        <w:t>rel</w:t>
      </w:r>
      <w:r w:rsidRPr="002D2D0F">
        <w:rPr>
          <w:iCs w:val="0"/>
          <w:kern w:val="22"/>
          <w:lang w:val="es-ES"/>
        </w:rPr>
        <w:t>aci</w:t>
      </w:r>
      <w:r w:rsidR="00507DCB" w:rsidRPr="002D2D0F">
        <w:rPr>
          <w:iCs w:val="0"/>
          <w:kern w:val="22"/>
          <w:lang w:val="es-ES"/>
        </w:rPr>
        <w:t>on</w:t>
      </w:r>
      <w:r w:rsidRPr="002D2D0F">
        <w:rPr>
          <w:iCs w:val="0"/>
          <w:kern w:val="22"/>
          <w:lang w:val="es-ES"/>
        </w:rPr>
        <w:t>ados dentro de los contenedores de embalaje</w:t>
      </w:r>
    </w:p>
    <w:p w:rsidR="009A5C69" w:rsidRPr="002D2D0F" w:rsidRDefault="009A5C69" w:rsidP="009A5C69">
      <w:pPr>
        <w:numPr>
          <w:ilvl w:val="0"/>
          <w:numId w:val="11"/>
        </w:numPr>
        <w:suppressLineNumbers/>
        <w:suppressAutoHyphens/>
        <w:kinsoku w:val="0"/>
        <w:overflowPunct w:val="0"/>
        <w:autoSpaceDE w:val="0"/>
        <w:autoSpaceDN w:val="0"/>
        <w:adjustRightInd w:val="0"/>
        <w:snapToGrid w:val="0"/>
        <w:ind w:left="0" w:firstLine="0"/>
        <w:rPr>
          <w:kern w:val="22"/>
          <w:lang w:val="es-ES"/>
        </w:rPr>
      </w:pPr>
      <w:r w:rsidRPr="002D2D0F">
        <w:rPr>
          <w:kern w:val="22"/>
          <w:lang w:val="es-ES"/>
        </w:rPr>
        <w:t>Los remitentes/expo</w:t>
      </w:r>
      <w:r w:rsidR="00507DCB" w:rsidRPr="002D2D0F">
        <w:rPr>
          <w:kern w:val="22"/>
          <w:lang w:val="es-ES"/>
        </w:rPr>
        <w:t>rtadores de especies vivas debe</w:t>
      </w:r>
      <w:r w:rsidRPr="002D2D0F">
        <w:rPr>
          <w:kern w:val="22"/>
          <w:lang w:val="es-ES"/>
        </w:rPr>
        <w:t>n asegurarse, antes del envío, que los lechos de los animales sean tratados con uno o más métodos a</w:t>
      </w:r>
      <w:r w:rsidR="00175917">
        <w:rPr>
          <w:kern w:val="22"/>
          <w:lang w:val="es-ES"/>
        </w:rPr>
        <w:t>propi</w:t>
      </w:r>
      <w:r w:rsidRPr="002D2D0F">
        <w:rPr>
          <w:kern w:val="22"/>
          <w:lang w:val="es-ES"/>
        </w:rPr>
        <w:t>ados para garantizar que estén libre</w:t>
      </w:r>
      <w:r w:rsidR="00507DCB" w:rsidRPr="002D2D0F">
        <w:rPr>
          <w:kern w:val="22"/>
          <w:lang w:val="es-ES"/>
        </w:rPr>
        <w:t>s</w:t>
      </w:r>
      <w:r w:rsidRPr="002D2D0F">
        <w:rPr>
          <w:kern w:val="22"/>
          <w:lang w:val="es-ES"/>
        </w:rPr>
        <w:t xml:space="preserve"> de plagas, agentes patógenos y organismos exóticos invasores que sean motivo de preocupación para el país de importación o las zonas biogeográficas que los reciban.</w:t>
      </w:r>
    </w:p>
    <w:p w:rsidR="009A5C69" w:rsidRPr="002D2D0F" w:rsidRDefault="009A5C69" w:rsidP="009A5C69">
      <w:pPr>
        <w:numPr>
          <w:ilvl w:val="0"/>
          <w:numId w:val="11"/>
        </w:numPr>
        <w:suppressLineNumbers/>
        <w:suppressAutoHyphens/>
        <w:kinsoku w:val="0"/>
        <w:overflowPunct w:val="0"/>
        <w:autoSpaceDE w:val="0"/>
        <w:autoSpaceDN w:val="0"/>
        <w:adjustRightInd w:val="0"/>
        <w:snapToGrid w:val="0"/>
        <w:spacing w:before="120" w:after="120"/>
        <w:ind w:left="0" w:firstLine="0"/>
        <w:rPr>
          <w:kern w:val="22"/>
          <w:lang w:val="es-ES"/>
        </w:rPr>
      </w:pPr>
      <w:r w:rsidRPr="002D2D0F">
        <w:rPr>
          <w:kern w:val="22"/>
          <w:lang w:val="es-ES"/>
        </w:rPr>
        <w:t xml:space="preserve">El agua </w:t>
      </w:r>
      <w:r w:rsidR="00507DCB" w:rsidRPr="002D2D0F">
        <w:rPr>
          <w:kern w:val="22"/>
          <w:lang w:val="es-ES"/>
        </w:rPr>
        <w:t xml:space="preserve">o aguas </w:t>
      </w:r>
      <w:r w:rsidRPr="002D2D0F">
        <w:rPr>
          <w:kern w:val="22"/>
          <w:lang w:val="es-ES"/>
        </w:rPr>
        <w:t xml:space="preserve">de las especies vivas acuáticas y cualquier medio </w:t>
      </w:r>
      <w:r w:rsidR="00507DCB" w:rsidRPr="002D2D0F">
        <w:rPr>
          <w:kern w:val="22"/>
          <w:lang w:val="es-ES"/>
        </w:rPr>
        <w:t>rela</w:t>
      </w:r>
      <w:r w:rsidRPr="002D2D0F">
        <w:rPr>
          <w:kern w:val="22"/>
          <w:lang w:val="es-ES"/>
        </w:rPr>
        <w:t>ci</w:t>
      </w:r>
      <w:r w:rsidR="00507DCB" w:rsidRPr="002D2D0F">
        <w:rPr>
          <w:kern w:val="22"/>
          <w:lang w:val="es-ES"/>
        </w:rPr>
        <w:t>on</w:t>
      </w:r>
      <w:r w:rsidRPr="002D2D0F">
        <w:rPr>
          <w:kern w:val="22"/>
          <w:lang w:val="es-ES"/>
        </w:rPr>
        <w:t>ado que se utilice durante el transporte debe</w:t>
      </w:r>
      <w:r w:rsidR="00507DCB" w:rsidRPr="002D2D0F">
        <w:rPr>
          <w:kern w:val="22"/>
          <w:lang w:val="es-ES"/>
        </w:rPr>
        <w:t>n</w:t>
      </w:r>
      <w:r w:rsidRPr="002D2D0F">
        <w:rPr>
          <w:kern w:val="22"/>
          <w:lang w:val="es-ES"/>
        </w:rPr>
        <w:t xml:space="preserve"> estar libre</w:t>
      </w:r>
      <w:r w:rsidR="00507DCB" w:rsidRPr="002D2D0F">
        <w:rPr>
          <w:kern w:val="22"/>
          <w:lang w:val="es-ES"/>
        </w:rPr>
        <w:t>s</w:t>
      </w:r>
      <w:r w:rsidRPr="002D2D0F">
        <w:rPr>
          <w:kern w:val="22"/>
          <w:lang w:val="es-ES"/>
        </w:rPr>
        <w:t xml:space="preserve"> de plagas, agentes patógenos y organismos exóticos que sean motivo de preocupación para el país de importación o las zonas biogeográficas que los reciban.</w:t>
      </w:r>
    </w:p>
    <w:p w:rsidR="009A5C69" w:rsidRPr="002D2D0F" w:rsidRDefault="009A5C69" w:rsidP="009A5C69">
      <w:pPr>
        <w:numPr>
          <w:ilvl w:val="0"/>
          <w:numId w:val="11"/>
        </w:numPr>
        <w:suppressLineNumbers/>
        <w:suppressAutoHyphens/>
        <w:kinsoku w:val="0"/>
        <w:overflowPunct w:val="0"/>
        <w:autoSpaceDE w:val="0"/>
        <w:autoSpaceDN w:val="0"/>
        <w:adjustRightInd w:val="0"/>
        <w:snapToGrid w:val="0"/>
        <w:spacing w:before="120" w:after="120"/>
        <w:ind w:left="0" w:firstLine="0"/>
        <w:rPr>
          <w:kern w:val="22"/>
          <w:lang w:val="es-ES"/>
        </w:rPr>
      </w:pPr>
      <w:r w:rsidRPr="002D2D0F">
        <w:rPr>
          <w:kern w:val="22"/>
          <w:lang w:val="es-ES"/>
        </w:rPr>
        <w:t xml:space="preserve">El aire y los dispositivos que suministren aire </w:t>
      </w:r>
      <w:r w:rsidR="00507DCB" w:rsidRPr="002D2D0F">
        <w:rPr>
          <w:kern w:val="22"/>
          <w:lang w:val="es-ES"/>
        </w:rPr>
        <w:t>rela</w:t>
      </w:r>
      <w:r w:rsidRPr="002D2D0F">
        <w:rPr>
          <w:kern w:val="22"/>
          <w:lang w:val="es-ES"/>
        </w:rPr>
        <w:t>ci</w:t>
      </w:r>
      <w:r w:rsidR="00507DCB" w:rsidRPr="002D2D0F">
        <w:rPr>
          <w:kern w:val="22"/>
          <w:lang w:val="es-ES"/>
        </w:rPr>
        <w:t>on</w:t>
      </w:r>
      <w:r w:rsidRPr="002D2D0F">
        <w:rPr>
          <w:kern w:val="22"/>
          <w:lang w:val="es-ES"/>
        </w:rPr>
        <w:t>ados con los envíos de especies acuáticas deben estar libre</w:t>
      </w:r>
      <w:r w:rsidR="00507DCB" w:rsidRPr="002D2D0F">
        <w:rPr>
          <w:kern w:val="22"/>
          <w:lang w:val="es-ES"/>
        </w:rPr>
        <w:t>s</w:t>
      </w:r>
      <w:r w:rsidRPr="002D2D0F">
        <w:rPr>
          <w:kern w:val="22"/>
          <w:lang w:val="es-ES"/>
        </w:rPr>
        <w:t xml:space="preserve"> de plagas, agentes patógenos y organismos exóticos que sean motivo de preocupación para el país de importación o las zonas biogeográficas que los reciban.</w:t>
      </w:r>
    </w:p>
    <w:p w:rsidR="009A5C69" w:rsidRPr="002D2D0F" w:rsidRDefault="009A5C69" w:rsidP="009A5C69">
      <w:pPr>
        <w:numPr>
          <w:ilvl w:val="0"/>
          <w:numId w:val="11"/>
        </w:numPr>
        <w:suppressLineNumbers/>
        <w:suppressAutoHyphens/>
        <w:kinsoku w:val="0"/>
        <w:overflowPunct w:val="0"/>
        <w:autoSpaceDE w:val="0"/>
        <w:autoSpaceDN w:val="0"/>
        <w:adjustRightInd w:val="0"/>
        <w:snapToGrid w:val="0"/>
        <w:spacing w:before="120" w:after="120"/>
        <w:ind w:left="0" w:firstLine="0"/>
        <w:rPr>
          <w:lang w:val="es-ES"/>
        </w:rPr>
      </w:pPr>
      <w:r w:rsidRPr="002D2D0F">
        <w:rPr>
          <w:kern w:val="22"/>
          <w:lang w:val="es-ES"/>
        </w:rPr>
        <w:t xml:space="preserve">Los remitentes/exportadores deben eliminar toda tierra o material relacionado con tierra vinculado al transporte de especies vivas antes de realizar el envío. Si no se puede eliminar la tierra o los materiales relacionados con tierra de los contenedores de embalaje, los remitentes/exportadores deben consultar las reglamentaciones de importación de la organización nacional de protección fitosanitaria del país de </w:t>
      </w:r>
      <w:r w:rsidR="00223996" w:rsidRPr="002D2D0F">
        <w:rPr>
          <w:kern w:val="22"/>
          <w:lang w:val="es-ES"/>
        </w:rPr>
        <w:t>importación</w:t>
      </w:r>
      <w:r w:rsidRPr="002D2D0F">
        <w:rPr>
          <w:kern w:val="22"/>
          <w:lang w:val="es-ES"/>
        </w:rPr>
        <w:t xml:space="preserve"> y cumplirla</w:t>
      </w:r>
      <w:r w:rsidR="00507DCB" w:rsidRPr="002D2D0F">
        <w:rPr>
          <w:kern w:val="22"/>
          <w:lang w:val="es-ES"/>
        </w:rPr>
        <w:t>s</w:t>
      </w:r>
      <w:r w:rsidRPr="002D2D0F">
        <w:rPr>
          <w:kern w:val="22"/>
          <w:lang w:val="es-ES"/>
        </w:rPr>
        <w:t>.</w:t>
      </w:r>
    </w:p>
    <w:p w:rsidR="009A5C69" w:rsidRPr="002D2D0F" w:rsidRDefault="009A5C69" w:rsidP="00310028">
      <w:pPr>
        <w:pStyle w:val="Heading2"/>
        <w:numPr>
          <w:ilvl w:val="0"/>
          <w:numId w:val="16"/>
        </w:numPr>
        <w:suppressLineNumbers/>
        <w:tabs>
          <w:tab w:val="clear" w:pos="720"/>
          <w:tab w:val="left" w:pos="360"/>
        </w:tabs>
        <w:suppressAutoHyphens/>
        <w:kinsoku w:val="0"/>
        <w:overflowPunct w:val="0"/>
        <w:autoSpaceDE w:val="0"/>
        <w:autoSpaceDN w:val="0"/>
        <w:adjustRightInd w:val="0"/>
        <w:snapToGrid w:val="0"/>
        <w:ind w:left="0" w:firstLine="0"/>
        <w:rPr>
          <w:iCs w:val="0"/>
          <w:kern w:val="22"/>
          <w:lang w:val="es-ES"/>
        </w:rPr>
      </w:pPr>
      <w:r w:rsidRPr="002D2D0F">
        <w:rPr>
          <w:iCs w:val="0"/>
          <w:kern w:val="22"/>
          <w:lang w:val="es-ES"/>
        </w:rPr>
        <w:t>Pienso o alimento para animales vivos</w:t>
      </w:r>
    </w:p>
    <w:p w:rsidR="00310028" w:rsidRPr="002D2D0F" w:rsidRDefault="00310028" w:rsidP="00310028">
      <w:pPr>
        <w:numPr>
          <w:ilvl w:val="0"/>
          <w:numId w:val="11"/>
        </w:numPr>
        <w:suppressLineNumbers/>
        <w:suppressAutoHyphens/>
        <w:kinsoku w:val="0"/>
        <w:overflowPunct w:val="0"/>
        <w:autoSpaceDE w:val="0"/>
        <w:autoSpaceDN w:val="0"/>
        <w:adjustRightInd w:val="0"/>
        <w:snapToGrid w:val="0"/>
        <w:spacing w:before="120" w:after="120"/>
        <w:ind w:left="0" w:firstLine="0"/>
        <w:rPr>
          <w:lang w:val="es-ES"/>
        </w:rPr>
      </w:pPr>
      <w:r w:rsidRPr="002D2D0F">
        <w:rPr>
          <w:kern w:val="22"/>
          <w:lang w:val="es-ES"/>
        </w:rPr>
        <w:t>Los remitentes/exportadores de especies vivas deben asegurarse de que el pienso o alimento que se incluya en sus envíos no contenga semillas</w:t>
      </w:r>
      <w:r w:rsidR="00175917" w:rsidRPr="00175917">
        <w:rPr>
          <w:kern w:val="22"/>
          <w:lang w:val="es-ES"/>
        </w:rPr>
        <w:t xml:space="preserve"> </w:t>
      </w:r>
      <w:r w:rsidR="00175917" w:rsidRPr="002D2D0F">
        <w:rPr>
          <w:kern w:val="22"/>
          <w:lang w:val="es-ES"/>
        </w:rPr>
        <w:t>viables</w:t>
      </w:r>
      <w:r w:rsidRPr="002D2D0F">
        <w:rPr>
          <w:kern w:val="22"/>
          <w:lang w:val="es-ES"/>
        </w:rPr>
        <w:t xml:space="preserve">, partes de plantas o animales que </w:t>
      </w:r>
      <w:r w:rsidR="00175917">
        <w:rPr>
          <w:kern w:val="22"/>
          <w:lang w:val="es-ES"/>
        </w:rPr>
        <w:t>aún tengan</w:t>
      </w:r>
      <w:r w:rsidRPr="002D2D0F">
        <w:rPr>
          <w:kern w:val="22"/>
          <w:lang w:val="es-ES"/>
        </w:rPr>
        <w:t xml:space="preserve"> </w:t>
      </w:r>
      <w:r w:rsidR="00EB5D7B" w:rsidRPr="002D2D0F">
        <w:rPr>
          <w:kern w:val="22"/>
          <w:lang w:val="es-ES"/>
        </w:rPr>
        <w:t xml:space="preserve">el </w:t>
      </w:r>
      <w:r w:rsidRPr="002D2D0F">
        <w:rPr>
          <w:kern w:val="22"/>
          <w:lang w:val="es-ES"/>
        </w:rPr>
        <w:t>potencial</w:t>
      </w:r>
      <w:r w:rsidR="00EB5D7B" w:rsidRPr="002D2D0F">
        <w:rPr>
          <w:kern w:val="22"/>
          <w:lang w:val="es-ES"/>
        </w:rPr>
        <w:t xml:space="preserve"> d</w:t>
      </w:r>
      <w:r w:rsidRPr="002D2D0F">
        <w:rPr>
          <w:kern w:val="22"/>
          <w:lang w:val="es-ES"/>
        </w:rPr>
        <w:t xml:space="preserve">e establecerse en </w:t>
      </w:r>
      <w:r w:rsidR="00EB5D7B" w:rsidRPr="002D2D0F">
        <w:rPr>
          <w:kern w:val="22"/>
          <w:lang w:val="es-ES"/>
        </w:rPr>
        <w:t>el</w:t>
      </w:r>
      <w:r w:rsidRPr="002D2D0F">
        <w:rPr>
          <w:kern w:val="22"/>
          <w:lang w:val="es-ES"/>
        </w:rPr>
        <w:t xml:space="preserve"> lugar de destino. Los remitentes/exportadores deben asegurarse de que el pienso o alimento esté libre de plagas, agentes patógenos y organismos exóticos invasores que sean motivo de preocupación para el país de importación o las zonas biogeográficas que los reciban.</w:t>
      </w:r>
    </w:p>
    <w:p w:rsidR="00310028" w:rsidRPr="002D2D0F" w:rsidRDefault="00310028" w:rsidP="00310028">
      <w:pPr>
        <w:pStyle w:val="Heading2"/>
        <w:numPr>
          <w:ilvl w:val="0"/>
          <w:numId w:val="16"/>
        </w:numPr>
        <w:suppressLineNumbers/>
        <w:tabs>
          <w:tab w:val="clear" w:pos="720"/>
          <w:tab w:val="left" w:pos="360"/>
        </w:tabs>
        <w:suppressAutoHyphens/>
        <w:kinsoku w:val="0"/>
        <w:overflowPunct w:val="0"/>
        <w:autoSpaceDE w:val="0"/>
        <w:autoSpaceDN w:val="0"/>
        <w:adjustRightInd w:val="0"/>
        <w:snapToGrid w:val="0"/>
        <w:ind w:left="0" w:firstLine="0"/>
        <w:rPr>
          <w:iCs w:val="0"/>
          <w:kern w:val="22"/>
          <w:lang w:val="es-ES"/>
        </w:rPr>
      </w:pPr>
      <w:r w:rsidRPr="002D2D0F">
        <w:rPr>
          <w:iCs w:val="0"/>
          <w:kern w:val="22"/>
          <w:lang w:val="es-ES"/>
        </w:rPr>
        <w:t xml:space="preserve">Tratamiento de subproductos, </w:t>
      </w:r>
      <w:r w:rsidR="00EB5D7B" w:rsidRPr="002D2D0F">
        <w:rPr>
          <w:iCs w:val="0"/>
          <w:kern w:val="22"/>
          <w:lang w:val="es-ES"/>
        </w:rPr>
        <w:t>desechos</w:t>
      </w:r>
      <w:r w:rsidRPr="002D2D0F">
        <w:rPr>
          <w:iCs w:val="0"/>
          <w:kern w:val="22"/>
          <w:lang w:val="es-ES"/>
        </w:rPr>
        <w:t>, aguas y medios</w:t>
      </w:r>
    </w:p>
    <w:p w:rsidR="007A3C98" w:rsidRPr="002D2D0F" w:rsidRDefault="007A3C98" w:rsidP="007A3C98">
      <w:pPr>
        <w:numPr>
          <w:ilvl w:val="0"/>
          <w:numId w:val="11"/>
        </w:numPr>
        <w:suppressLineNumbers/>
        <w:suppressAutoHyphens/>
        <w:kinsoku w:val="0"/>
        <w:overflowPunct w:val="0"/>
        <w:autoSpaceDE w:val="0"/>
        <w:autoSpaceDN w:val="0"/>
        <w:adjustRightInd w:val="0"/>
        <w:snapToGrid w:val="0"/>
        <w:spacing w:before="120" w:after="120"/>
        <w:ind w:left="0" w:firstLine="0"/>
        <w:rPr>
          <w:lang w:val="es-ES"/>
        </w:rPr>
      </w:pPr>
      <w:r w:rsidRPr="002D2D0F">
        <w:rPr>
          <w:kern w:val="22"/>
          <w:lang w:val="es-ES"/>
        </w:rPr>
        <w:t xml:space="preserve">Los subproductos y </w:t>
      </w:r>
      <w:r w:rsidR="00EB5D7B" w:rsidRPr="002D2D0F">
        <w:rPr>
          <w:kern w:val="22"/>
          <w:lang w:val="es-ES"/>
        </w:rPr>
        <w:t>desechos</w:t>
      </w:r>
      <w:r w:rsidRPr="002D2D0F">
        <w:rPr>
          <w:kern w:val="22"/>
          <w:lang w:val="es-ES"/>
        </w:rPr>
        <w:t xml:space="preserve"> generados durante el transporte de especies vivas deben ser retirados del envío a su llegada al país receptor. El receptor del envío debe aplicar tratamientos apropiados, entre </w:t>
      </w:r>
      <w:r w:rsidR="001C6381" w:rsidRPr="002D2D0F">
        <w:rPr>
          <w:kern w:val="22"/>
          <w:lang w:val="es-ES"/>
        </w:rPr>
        <w:t>ellos</w:t>
      </w:r>
      <w:r w:rsidRPr="002D2D0F">
        <w:rPr>
          <w:kern w:val="22"/>
          <w:lang w:val="es-ES"/>
        </w:rPr>
        <w:t xml:space="preserve"> desinfección</w:t>
      </w:r>
      <w:r w:rsidRPr="002D2D0F">
        <w:rPr>
          <w:rFonts w:eastAsia="MS Mincho"/>
          <w:kern w:val="22"/>
          <w:vertAlign w:val="superscript"/>
          <w:lang w:val="es-ES"/>
        </w:rPr>
        <w:footnoteReference w:id="36"/>
      </w:r>
      <w:r w:rsidRPr="002D2D0F">
        <w:rPr>
          <w:kern w:val="22"/>
          <w:lang w:val="es-ES"/>
        </w:rPr>
        <w:t xml:space="preserve">, incineración, desolladura, esterilización en autoclave u otras medidas, a los contenedores de embalaje, otros materiales </w:t>
      </w:r>
      <w:r w:rsidR="00175917">
        <w:rPr>
          <w:kern w:val="22"/>
          <w:lang w:val="es-ES"/>
        </w:rPr>
        <w:t>relaci</w:t>
      </w:r>
      <w:r w:rsidRPr="002D2D0F">
        <w:rPr>
          <w:kern w:val="22"/>
          <w:lang w:val="es-ES"/>
        </w:rPr>
        <w:t>o</w:t>
      </w:r>
      <w:r w:rsidR="00175917">
        <w:rPr>
          <w:kern w:val="22"/>
          <w:lang w:val="es-ES"/>
        </w:rPr>
        <w:t>n</w:t>
      </w:r>
      <w:r w:rsidRPr="002D2D0F">
        <w:rPr>
          <w:kern w:val="22"/>
          <w:lang w:val="es-ES"/>
        </w:rPr>
        <w:t>ados, subproductos y desechos antes de su eliminación para reducir al mínimo los riesgos de invasiones biológicas de organismos exóticos.</w:t>
      </w:r>
    </w:p>
    <w:p w:rsidR="007A3C98" w:rsidRPr="002D2D0F" w:rsidRDefault="007A3C98" w:rsidP="007A3C98">
      <w:pPr>
        <w:pStyle w:val="Heading2"/>
        <w:numPr>
          <w:ilvl w:val="0"/>
          <w:numId w:val="16"/>
        </w:numPr>
        <w:suppressLineNumbers/>
        <w:tabs>
          <w:tab w:val="clear" w:pos="720"/>
          <w:tab w:val="left" w:pos="360"/>
        </w:tabs>
        <w:suppressAutoHyphens/>
        <w:kinsoku w:val="0"/>
        <w:overflowPunct w:val="0"/>
        <w:autoSpaceDE w:val="0"/>
        <w:autoSpaceDN w:val="0"/>
        <w:adjustRightInd w:val="0"/>
        <w:snapToGrid w:val="0"/>
        <w:ind w:left="0" w:firstLine="0"/>
        <w:rPr>
          <w:iCs w:val="0"/>
          <w:kern w:val="22"/>
          <w:lang w:val="es-ES"/>
        </w:rPr>
      </w:pPr>
      <w:r w:rsidRPr="002D2D0F">
        <w:rPr>
          <w:iCs w:val="0"/>
          <w:kern w:val="22"/>
          <w:lang w:val="es-ES"/>
        </w:rPr>
        <w:t>Estado de los vehículos de transporte</w:t>
      </w:r>
      <w:r w:rsidR="001C6381" w:rsidRPr="002D2D0F">
        <w:rPr>
          <w:iCs w:val="0"/>
          <w:kern w:val="22"/>
          <w:lang w:val="es-ES"/>
        </w:rPr>
        <w:t xml:space="preserve"> de carga</w:t>
      </w:r>
    </w:p>
    <w:p w:rsidR="008B514D" w:rsidRPr="00F523BD" w:rsidRDefault="008B514D" w:rsidP="008B514D">
      <w:pPr>
        <w:numPr>
          <w:ilvl w:val="0"/>
          <w:numId w:val="11"/>
        </w:numPr>
        <w:suppressLineNumbers/>
        <w:suppressAutoHyphens/>
        <w:kinsoku w:val="0"/>
        <w:overflowPunct w:val="0"/>
        <w:autoSpaceDE w:val="0"/>
        <w:autoSpaceDN w:val="0"/>
        <w:adjustRightInd w:val="0"/>
        <w:snapToGrid w:val="0"/>
        <w:spacing w:before="120" w:after="120"/>
        <w:ind w:left="0" w:firstLine="0"/>
        <w:rPr>
          <w:spacing w:val="-2"/>
          <w:lang w:val="es-ES"/>
        </w:rPr>
      </w:pPr>
      <w:r w:rsidRPr="00F523BD">
        <w:rPr>
          <w:spacing w:val="-2"/>
          <w:kern w:val="22"/>
          <w:lang w:val="es-ES"/>
        </w:rPr>
        <w:t xml:space="preserve">Si se prevé cargar o ya se cargaron especies vivas o un envío de especies vivas, los propietarios y </w:t>
      </w:r>
      <w:r w:rsidR="00223996" w:rsidRPr="00F523BD">
        <w:rPr>
          <w:spacing w:val="-2"/>
          <w:kern w:val="22"/>
          <w:lang w:val="es-ES"/>
        </w:rPr>
        <w:t>operadores</w:t>
      </w:r>
      <w:r w:rsidRPr="00F523BD">
        <w:rPr>
          <w:spacing w:val="-2"/>
          <w:kern w:val="22"/>
          <w:lang w:val="es-ES"/>
        </w:rPr>
        <w:t xml:space="preserve"> de los vehículos de transporte de carga deben asegurarse de que los vehículos estén lavados</w:t>
      </w:r>
      <w:r w:rsidR="001C6381" w:rsidRPr="00F523BD">
        <w:rPr>
          <w:spacing w:val="-2"/>
          <w:kern w:val="22"/>
          <w:lang w:val="es-ES"/>
        </w:rPr>
        <w:t>,</w:t>
      </w:r>
      <w:r w:rsidRPr="00F523BD">
        <w:rPr>
          <w:spacing w:val="-2"/>
          <w:kern w:val="22"/>
          <w:lang w:val="es-ES"/>
        </w:rPr>
        <w:t xml:space="preserve"> desinfectados o </w:t>
      </w:r>
      <w:r w:rsidR="001C6381" w:rsidRPr="00F523BD">
        <w:rPr>
          <w:spacing w:val="-2"/>
          <w:kern w:val="22"/>
          <w:lang w:val="es-ES"/>
        </w:rPr>
        <w:t>tratados de otra manera</w:t>
      </w:r>
      <w:r w:rsidRPr="00F523BD">
        <w:rPr>
          <w:spacing w:val="-2"/>
          <w:kern w:val="22"/>
          <w:lang w:val="es-ES"/>
        </w:rPr>
        <w:t xml:space="preserve"> a</w:t>
      </w:r>
      <w:r w:rsidR="001C6381" w:rsidRPr="00F523BD">
        <w:rPr>
          <w:spacing w:val="-2"/>
          <w:kern w:val="22"/>
          <w:lang w:val="es-ES"/>
        </w:rPr>
        <w:t>propi</w:t>
      </w:r>
      <w:r w:rsidRPr="00F523BD">
        <w:rPr>
          <w:spacing w:val="-2"/>
          <w:kern w:val="22"/>
          <w:lang w:val="es-ES"/>
        </w:rPr>
        <w:t>ad</w:t>
      </w:r>
      <w:r w:rsidR="001C6381" w:rsidRPr="00F523BD">
        <w:rPr>
          <w:spacing w:val="-2"/>
          <w:kern w:val="22"/>
          <w:lang w:val="es-ES"/>
        </w:rPr>
        <w:t>a</w:t>
      </w:r>
      <w:r w:rsidRPr="00F523BD">
        <w:rPr>
          <w:spacing w:val="-2"/>
          <w:kern w:val="22"/>
          <w:lang w:val="es-ES"/>
        </w:rPr>
        <w:t>. Los propietarios de los vehícu</w:t>
      </w:r>
      <w:r w:rsidR="001C6381" w:rsidRPr="00F523BD">
        <w:rPr>
          <w:spacing w:val="-2"/>
          <w:kern w:val="22"/>
          <w:lang w:val="es-ES"/>
        </w:rPr>
        <w:t>los de transporte de carga debe</w:t>
      </w:r>
      <w:r w:rsidRPr="00F523BD">
        <w:rPr>
          <w:spacing w:val="-2"/>
          <w:kern w:val="22"/>
          <w:lang w:val="es-ES"/>
        </w:rPr>
        <w:t xml:space="preserve">n adoptar medidas responsables para </w:t>
      </w:r>
      <w:r w:rsidR="00F523BD" w:rsidRPr="00F523BD">
        <w:rPr>
          <w:spacing w:val="-2"/>
          <w:kern w:val="22"/>
          <w:lang w:val="es-ES"/>
        </w:rPr>
        <w:t xml:space="preserve">que se </w:t>
      </w:r>
      <w:r w:rsidRPr="00F523BD">
        <w:rPr>
          <w:spacing w:val="-2"/>
          <w:kern w:val="22"/>
          <w:lang w:val="es-ES"/>
        </w:rPr>
        <w:t>apli</w:t>
      </w:r>
      <w:r w:rsidR="00F523BD" w:rsidRPr="00F523BD">
        <w:rPr>
          <w:spacing w:val="-2"/>
          <w:kern w:val="22"/>
          <w:lang w:val="es-ES"/>
        </w:rPr>
        <w:t>que</w:t>
      </w:r>
      <w:r w:rsidRPr="00F523BD">
        <w:rPr>
          <w:spacing w:val="-2"/>
          <w:kern w:val="22"/>
          <w:lang w:val="es-ES"/>
        </w:rPr>
        <w:t xml:space="preserve"> el tratamiento inmediatamente después de llegado el vehículo de transporte de carga a un destino y </w:t>
      </w:r>
      <w:r w:rsidR="00F523BD" w:rsidRPr="00F523BD">
        <w:rPr>
          <w:spacing w:val="-2"/>
          <w:kern w:val="22"/>
          <w:lang w:val="es-ES"/>
        </w:rPr>
        <w:t xml:space="preserve">para </w:t>
      </w:r>
      <w:r w:rsidRPr="00F523BD">
        <w:rPr>
          <w:spacing w:val="-2"/>
          <w:kern w:val="22"/>
          <w:lang w:val="es-ES"/>
        </w:rPr>
        <w:t>mantener el estado tratado hasta el próximo uso.</w:t>
      </w:r>
    </w:p>
    <w:p w:rsidR="00601093" w:rsidRPr="002D2D0F" w:rsidRDefault="00F523BD" w:rsidP="00601093">
      <w:pPr>
        <w:numPr>
          <w:ilvl w:val="0"/>
          <w:numId w:val="11"/>
        </w:numPr>
        <w:suppressLineNumbers/>
        <w:suppressAutoHyphens/>
        <w:kinsoku w:val="0"/>
        <w:overflowPunct w:val="0"/>
        <w:autoSpaceDE w:val="0"/>
        <w:autoSpaceDN w:val="0"/>
        <w:adjustRightInd w:val="0"/>
        <w:snapToGrid w:val="0"/>
        <w:spacing w:before="120" w:after="120"/>
        <w:ind w:left="0" w:firstLine="0"/>
        <w:rPr>
          <w:kern w:val="22"/>
          <w:lang w:val="es-ES"/>
        </w:rPr>
      </w:pPr>
      <w:r>
        <w:rPr>
          <w:kern w:val="22"/>
          <w:lang w:val="es-ES"/>
        </w:rPr>
        <w:t>Previo</w:t>
      </w:r>
      <w:r w:rsidR="00A86D6F" w:rsidRPr="002D2D0F">
        <w:rPr>
          <w:kern w:val="22"/>
          <w:lang w:val="es-ES"/>
        </w:rPr>
        <w:t xml:space="preserve"> a</w:t>
      </w:r>
      <w:r>
        <w:rPr>
          <w:kern w:val="22"/>
          <w:lang w:val="es-ES"/>
        </w:rPr>
        <w:t xml:space="preserve"> toda</w:t>
      </w:r>
      <w:r w:rsidR="00A86D6F" w:rsidRPr="002D2D0F">
        <w:rPr>
          <w:kern w:val="22"/>
          <w:lang w:val="es-ES"/>
        </w:rPr>
        <w:t xml:space="preserve"> operación, se debe </w:t>
      </w:r>
      <w:r w:rsidR="00601093" w:rsidRPr="002D2D0F">
        <w:rPr>
          <w:kern w:val="22"/>
          <w:lang w:val="es-ES"/>
        </w:rPr>
        <w:t xml:space="preserve">inspeccionar el vehículo de transporte de carga para determinar su estado sanitario y fitosanitario </w:t>
      </w:r>
      <w:r w:rsidR="00A86D6F" w:rsidRPr="002D2D0F">
        <w:rPr>
          <w:kern w:val="22"/>
          <w:lang w:val="es-ES"/>
        </w:rPr>
        <w:t>a fin de</w:t>
      </w:r>
      <w:r w:rsidR="00601093" w:rsidRPr="002D2D0F">
        <w:rPr>
          <w:kern w:val="22"/>
          <w:lang w:val="es-ES"/>
        </w:rPr>
        <w:t xml:space="preserve"> reducir a un mínimo la introducción no intencional de plagas, agentes patógenos y organismos exóticos invasores.</w:t>
      </w:r>
    </w:p>
    <w:p w:rsidR="00E024AA" w:rsidRPr="002D2D0F" w:rsidRDefault="00E024AA" w:rsidP="00E024AA">
      <w:pPr>
        <w:numPr>
          <w:ilvl w:val="0"/>
          <w:numId w:val="11"/>
        </w:numPr>
        <w:suppressLineNumbers/>
        <w:suppressAutoHyphens/>
        <w:kinsoku w:val="0"/>
        <w:overflowPunct w:val="0"/>
        <w:autoSpaceDE w:val="0"/>
        <w:autoSpaceDN w:val="0"/>
        <w:adjustRightInd w:val="0"/>
        <w:snapToGrid w:val="0"/>
        <w:spacing w:before="120" w:after="120"/>
        <w:ind w:left="0" w:firstLine="0"/>
        <w:rPr>
          <w:lang w:val="es-ES"/>
        </w:rPr>
      </w:pPr>
      <w:r w:rsidRPr="002D2D0F">
        <w:rPr>
          <w:kern w:val="22"/>
          <w:lang w:val="es-ES"/>
        </w:rPr>
        <w:lastRenderedPageBreak/>
        <w:t>En caso de fuga de especies vivas, derrames accidentales o filtraciones de un envío, el propietario y los operadores del vehículo de transporte de carga deben tomar las medidas necesarias para recapturar y contener a las especies vivas y los organismos exóticos ligados a ellas. Los propietarios y operadores de vehículos de transporte de carga deben lavar el vehículo de transporte de carga y desinfectarlo o someterlo a</w:t>
      </w:r>
      <w:r w:rsidR="00A86D6F" w:rsidRPr="002D2D0F">
        <w:rPr>
          <w:kern w:val="22"/>
          <w:lang w:val="es-ES"/>
        </w:rPr>
        <w:t xml:space="preserve"> un</w:t>
      </w:r>
      <w:r w:rsidRPr="002D2D0F">
        <w:rPr>
          <w:kern w:val="22"/>
          <w:lang w:val="es-ES"/>
        </w:rPr>
        <w:t xml:space="preserve"> tratamiento </w:t>
      </w:r>
      <w:r w:rsidR="00A86D6F" w:rsidRPr="002D2D0F">
        <w:rPr>
          <w:kern w:val="22"/>
          <w:lang w:val="es-ES"/>
        </w:rPr>
        <w:t>apropiado</w:t>
      </w:r>
      <w:r w:rsidRPr="002D2D0F">
        <w:rPr>
          <w:kern w:val="22"/>
          <w:lang w:val="es-ES"/>
        </w:rPr>
        <w:t xml:space="preserve"> e informar a las autoridades nacionales pertinentes del país afectado (país de tránsito o destino) sobre la naturaleza de la fuga, derrame o filtración y de las medidas adoptadas por los propietarios u operadores del vehículo de transporte de carga.</w:t>
      </w:r>
    </w:p>
    <w:p w:rsidR="00E024AA" w:rsidRPr="002D2D0F" w:rsidRDefault="00E024AA" w:rsidP="00E024AA">
      <w:pPr>
        <w:pStyle w:val="Heading2"/>
        <w:numPr>
          <w:ilvl w:val="0"/>
          <w:numId w:val="16"/>
        </w:numPr>
        <w:suppressLineNumbers/>
        <w:tabs>
          <w:tab w:val="clear" w:pos="720"/>
          <w:tab w:val="left" w:pos="360"/>
        </w:tabs>
        <w:suppressAutoHyphens/>
        <w:kinsoku w:val="0"/>
        <w:overflowPunct w:val="0"/>
        <w:autoSpaceDE w:val="0"/>
        <w:autoSpaceDN w:val="0"/>
        <w:adjustRightInd w:val="0"/>
        <w:snapToGrid w:val="0"/>
        <w:ind w:left="0" w:firstLine="0"/>
        <w:rPr>
          <w:iCs w:val="0"/>
          <w:kern w:val="22"/>
          <w:lang w:val="es-ES"/>
        </w:rPr>
      </w:pPr>
      <w:r w:rsidRPr="002D2D0F">
        <w:rPr>
          <w:iCs w:val="0"/>
          <w:kern w:val="22"/>
          <w:lang w:val="es-ES"/>
        </w:rPr>
        <w:t>El papel de los Estados y autoridades nacionales con respecto a especies exóticas invasoras</w:t>
      </w:r>
    </w:p>
    <w:p w:rsidR="00BA36DF" w:rsidRPr="002D2D0F" w:rsidRDefault="00BA36DF" w:rsidP="00BA36DF">
      <w:pPr>
        <w:numPr>
          <w:ilvl w:val="0"/>
          <w:numId w:val="11"/>
        </w:numPr>
        <w:suppressLineNumbers/>
        <w:suppressAutoHyphens/>
        <w:kinsoku w:val="0"/>
        <w:overflowPunct w:val="0"/>
        <w:autoSpaceDE w:val="0"/>
        <w:autoSpaceDN w:val="0"/>
        <w:adjustRightInd w:val="0"/>
        <w:snapToGrid w:val="0"/>
        <w:spacing w:before="120" w:after="120"/>
        <w:ind w:left="0" w:firstLine="0"/>
        <w:rPr>
          <w:kern w:val="22"/>
          <w:lang w:val="es-ES"/>
        </w:rPr>
      </w:pPr>
      <w:r w:rsidRPr="002D2D0F">
        <w:rPr>
          <w:kern w:val="22"/>
          <w:lang w:val="es-ES"/>
        </w:rPr>
        <w:t xml:space="preserve">Los </w:t>
      </w:r>
      <w:r w:rsidR="00A86D6F" w:rsidRPr="002D2D0F">
        <w:rPr>
          <w:kern w:val="22"/>
          <w:lang w:val="es-ES"/>
        </w:rPr>
        <w:t>E</w:t>
      </w:r>
      <w:r w:rsidRPr="002D2D0F">
        <w:rPr>
          <w:kern w:val="22"/>
          <w:lang w:val="es-ES"/>
        </w:rPr>
        <w:t xml:space="preserve">stados que reciban especies vivas deben mantener registros de todos los envíos que contengan especies vivas, consignando información sobre exportadores, </w:t>
      </w:r>
      <w:r w:rsidR="00223996" w:rsidRPr="002D2D0F">
        <w:rPr>
          <w:kern w:val="22"/>
          <w:lang w:val="es-ES"/>
        </w:rPr>
        <w:t>importadores</w:t>
      </w:r>
      <w:r w:rsidRPr="002D2D0F">
        <w:rPr>
          <w:kern w:val="22"/>
          <w:lang w:val="es-ES"/>
        </w:rPr>
        <w:t>, taxones de productos a nivel de especies o posiblemente el nivel taxonómico más bajo</w:t>
      </w:r>
      <w:r w:rsidR="00A86D6F" w:rsidRPr="002D2D0F">
        <w:rPr>
          <w:kern w:val="22"/>
          <w:lang w:val="es-ES"/>
        </w:rPr>
        <w:t xml:space="preserve"> conocido</w:t>
      </w:r>
      <w:r w:rsidRPr="002D2D0F">
        <w:rPr>
          <w:kern w:val="22"/>
          <w:lang w:val="es-ES"/>
        </w:rPr>
        <w:t xml:space="preserve"> y el estado de salud de</w:t>
      </w:r>
      <w:r w:rsidR="00A86D6F" w:rsidRPr="002D2D0F">
        <w:rPr>
          <w:kern w:val="22"/>
          <w:lang w:val="es-ES"/>
        </w:rPr>
        <w:t xml:space="preserve"> </w:t>
      </w:r>
      <w:r w:rsidRPr="002D2D0F">
        <w:rPr>
          <w:kern w:val="22"/>
          <w:lang w:val="es-ES"/>
        </w:rPr>
        <w:t>l</w:t>
      </w:r>
      <w:r w:rsidR="00A86D6F" w:rsidRPr="002D2D0F">
        <w:rPr>
          <w:kern w:val="22"/>
          <w:lang w:val="es-ES"/>
        </w:rPr>
        <w:t>os</w:t>
      </w:r>
      <w:r w:rsidRPr="002D2D0F">
        <w:rPr>
          <w:kern w:val="22"/>
          <w:lang w:val="es-ES"/>
        </w:rPr>
        <w:t xml:space="preserve"> animal</w:t>
      </w:r>
      <w:r w:rsidR="00A86D6F" w:rsidRPr="002D2D0F">
        <w:rPr>
          <w:kern w:val="22"/>
          <w:lang w:val="es-ES"/>
        </w:rPr>
        <w:t>es</w:t>
      </w:r>
      <w:r w:rsidRPr="002D2D0F">
        <w:rPr>
          <w:kern w:val="22"/>
          <w:lang w:val="es-ES"/>
        </w:rPr>
        <w:t xml:space="preserve"> y las condiciones fitosanitarias de la</w:t>
      </w:r>
      <w:r w:rsidR="00A86D6F" w:rsidRPr="002D2D0F">
        <w:rPr>
          <w:kern w:val="22"/>
          <w:lang w:val="es-ES"/>
        </w:rPr>
        <w:t>s</w:t>
      </w:r>
      <w:r w:rsidRPr="002D2D0F">
        <w:rPr>
          <w:kern w:val="22"/>
          <w:lang w:val="es-ES"/>
        </w:rPr>
        <w:t xml:space="preserve"> planta</w:t>
      </w:r>
      <w:r w:rsidR="00A86D6F" w:rsidRPr="002D2D0F">
        <w:rPr>
          <w:kern w:val="22"/>
          <w:lang w:val="es-ES"/>
        </w:rPr>
        <w:t>s</w:t>
      </w:r>
      <w:r w:rsidRPr="002D2D0F">
        <w:rPr>
          <w:kern w:val="22"/>
          <w:lang w:val="es-ES"/>
        </w:rPr>
        <w:t>.</w:t>
      </w:r>
    </w:p>
    <w:p w:rsidR="00673785" w:rsidRPr="002D2D0F" w:rsidRDefault="00673785" w:rsidP="00673785">
      <w:pPr>
        <w:numPr>
          <w:ilvl w:val="0"/>
          <w:numId w:val="11"/>
        </w:numPr>
        <w:suppressLineNumbers/>
        <w:suppressAutoHyphens/>
        <w:kinsoku w:val="0"/>
        <w:overflowPunct w:val="0"/>
        <w:autoSpaceDE w:val="0"/>
        <w:autoSpaceDN w:val="0"/>
        <w:adjustRightInd w:val="0"/>
        <w:snapToGrid w:val="0"/>
        <w:spacing w:before="120" w:after="120"/>
        <w:ind w:left="0" w:firstLine="0"/>
        <w:rPr>
          <w:kern w:val="22"/>
          <w:lang w:val="es-ES"/>
        </w:rPr>
      </w:pPr>
      <w:r w:rsidRPr="002D2D0F">
        <w:rPr>
          <w:kern w:val="22"/>
          <w:lang w:val="es-ES"/>
        </w:rPr>
        <w:t xml:space="preserve">Los Estados deben aplicar medidas nacionales apropiadas de gestión de riesgos </w:t>
      </w:r>
      <w:r w:rsidR="00223996" w:rsidRPr="002D2D0F">
        <w:rPr>
          <w:kern w:val="22"/>
          <w:lang w:val="es-ES"/>
        </w:rPr>
        <w:t>fronterizos</w:t>
      </w:r>
      <w:r w:rsidRPr="002D2D0F">
        <w:rPr>
          <w:kern w:val="22"/>
          <w:lang w:val="es-ES"/>
        </w:rPr>
        <w:t xml:space="preserve"> de conformidad con las orientaciones internacionales vigentes para reducir al mínimo el riesgo de introducción no intencional de organismos exóticos invasores.</w:t>
      </w:r>
    </w:p>
    <w:p w:rsidR="00E21BF9" w:rsidRPr="002D2D0F" w:rsidRDefault="00E21BF9" w:rsidP="00E21BF9">
      <w:pPr>
        <w:numPr>
          <w:ilvl w:val="0"/>
          <w:numId w:val="11"/>
        </w:numPr>
        <w:suppressLineNumbers/>
        <w:suppressAutoHyphens/>
        <w:kinsoku w:val="0"/>
        <w:overflowPunct w:val="0"/>
        <w:autoSpaceDE w:val="0"/>
        <w:autoSpaceDN w:val="0"/>
        <w:adjustRightInd w:val="0"/>
        <w:snapToGrid w:val="0"/>
        <w:spacing w:before="120" w:after="120"/>
        <w:ind w:left="0" w:firstLine="0"/>
        <w:rPr>
          <w:kern w:val="22"/>
          <w:lang w:val="es-ES"/>
        </w:rPr>
      </w:pPr>
      <w:r w:rsidRPr="002D2D0F">
        <w:rPr>
          <w:kern w:val="22"/>
          <w:lang w:val="es-ES"/>
        </w:rPr>
        <w:t>Cuando ingresen o se establezcan organismos exóticos invasores en forma no intencional, debe notificarse a las oficinas pertinentes, incluidas las autoridades encargadas de la conservación, entre ellas, según proceda,</w:t>
      </w:r>
      <w:r w:rsidR="0029181A" w:rsidRPr="002D2D0F">
        <w:rPr>
          <w:kern w:val="22"/>
          <w:lang w:val="es-ES"/>
        </w:rPr>
        <w:t xml:space="preserve"> </w:t>
      </w:r>
      <w:r w:rsidRPr="002D2D0F">
        <w:rPr>
          <w:kern w:val="22"/>
          <w:lang w:val="es-ES"/>
        </w:rPr>
        <w:t>la autoridad veterinaria/autoridad competente y la organización nacional de protección fitosanitaria, a fin de garantizar que el país de exportación o reexportación esté informado del hecho para evitar que se siga propagando la especie exótica invasora.</w:t>
      </w:r>
    </w:p>
    <w:p w:rsidR="00E21BF9" w:rsidRPr="002D2D0F" w:rsidRDefault="00E21BF9" w:rsidP="00E21BF9">
      <w:pPr>
        <w:numPr>
          <w:ilvl w:val="0"/>
          <w:numId w:val="11"/>
        </w:numPr>
        <w:suppressLineNumbers/>
        <w:suppressAutoHyphens/>
        <w:kinsoku w:val="0"/>
        <w:overflowPunct w:val="0"/>
        <w:autoSpaceDE w:val="0"/>
        <w:autoSpaceDN w:val="0"/>
        <w:adjustRightInd w:val="0"/>
        <w:snapToGrid w:val="0"/>
        <w:spacing w:before="120" w:after="120"/>
        <w:ind w:left="0" w:firstLine="0"/>
        <w:rPr>
          <w:lang w:val="es-ES"/>
        </w:rPr>
      </w:pPr>
      <w:r w:rsidRPr="002D2D0F">
        <w:rPr>
          <w:kern w:val="22"/>
          <w:lang w:val="es-ES"/>
        </w:rPr>
        <w:t xml:space="preserve">Los Estados, en colaboración con organizaciones pertinentes, deben poner a disposición del público información sobre: a) requisitos de importación que se apliquen al comercio de especies vivas destinados a impedir la introducción no intencional de organismos exóticos vinculada con el comercio de especies vivas; b) la presencia de especies exóticas invasoras como resultado de introducciones no intencionales; y c) los resultados de </w:t>
      </w:r>
      <w:r w:rsidR="0029181A" w:rsidRPr="002D2D0F">
        <w:rPr>
          <w:kern w:val="22"/>
          <w:lang w:val="es-ES"/>
        </w:rPr>
        <w:t>análisis de riesgos relacionados con vías</w:t>
      </w:r>
      <w:r w:rsidRPr="002D2D0F">
        <w:rPr>
          <w:kern w:val="22"/>
          <w:lang w:val="es-ES"/>
        </w:rPr>
        <w:t>, cuando se hayan realizado tales análisis.</w:t>
      </w:r>
    </w:p>
    <w:p w:rsidR="00D67C7C" w:rsidRPr="002D2D0F" w:rsidRDefault="00D67C7C" w:rsidP="00223996">
      <w:pPr>
        <w:numPr>
          <w:ilvl w:val="0"/>
          <w:numId w:val="11"/>
        </w:numPr>
        <w:suppressLineNumbers/>
        <w:suppressAutoHyphens/>
        <w:kinsoku w:val="0"/>
        <w:overflowPunct w:val="0"/>
        <w:autoSpaceDE w:val="0"/>
        <w:autoSpaceDN w:val="0"/>
        <w:adjustRightInd w:val="0"/>
        <w:snapToGrid w:val="0"/>
        <w:spacing w:before="120" w:after="120"/>
        <w:ind w:left="0" w:firstLine="0"/>
        <w:rPr>
          <w:lang w:val="es-ES"/>
        </w:rPr>
      </w:pPr>
      <w:r w:rsidRPr="002D2D0F">
        <w:rPr>
          <w:kern w:val="22"/>
          <w:lang w:val="es-ES"/>
        </w:rPr>
        <w:t xml:space="preserve">Los Estados que reciban especies vivas deben crear conciencia entre quienes intervienen </w:t>
      </w:r>
      <w:r w:rsidR="009C7B30" w:rsidRPr="002D2D0F">
        <w:rPr>
          <w:kern w:val="22"/>
          <w:lang w:val="es-ES"/>
        </w:rPr>
        <w:t>a lo largo de</w:t>
      </w:r>
      <w:r w:rsidRPr="002D2D0F">
        <w:rPr>
          <w:kern w:val="22"/>
          <w:lang w:val="es-ES"/>
        </w:rPr>
        <w:t xml:space="preserve"> la cadena de valor sobre el riesgo de invasiones biológicas que </w:t>
      </w:r>
      <w:r w:rsidR="00F02584">
        <w:rPr>
          <w:kern w:val="22"/>
          <w:lang w:val="es-ES"/>
        </w:rPr>
        <w:t>plantea</w:t>
      </w:r>
      <w:r w:rsidRPr="002D2D0F">
        <w:rPr>
          <w:kern w:val="22"/>
          <w:lang w:val="es-ES"/>
        </w:rPr>
        <w:t xml:space="preserve"> el comercio de especies vivas, incluida la introducción no intencional de plagas, agentes patógenos y organismos exóticos invasores. Esto incluye la realización de campañas de concientización </w:t>
      </w:r>
      <w:r w:rsidR="00223996" w:rsidRPr="002D2D0F">
        <w:rPr>
          <w:kern w:val="22"/>
          <w:lang w:val="es-ES"/>
        </w:rPr>
        <w:t>dirigidas</w:t>
      </w:r>
      <w:r w:rsidRPr="002D2D0F">
        <w:rPr>
          <w:kern w:val="22"/>
          <w:lang w:val="es-ES"/>
        </w:rPr>
        <w:t xml:space="preserve"> al público y a potenciales opera</w:t>
      </w:r>
      <w:r w:rsidR="00223996" w:rsidRPr="002D2D0F">
        <w:rPr>
          <w:kern w:val="22"/>
          <w:lang w:val="es-ES"/>
        </w:rPr>
        <w:t>d</w:t>
      </w:r>
      <w:r w:rsidRPr="002D2D0F">
        <w:rPr>
          <w:kern w:val="22"/>
          <w:lang w:val="es-ES"/>
        </w:rPr>
        <w:t>or</w:t>
      </w:r>
      <w:r w:rsidR="00223996" w:rsidRPr="002D2D0F">
        <w:rPr>
          <w:kern w:val="22"/>
          <w:lang w:val="es-ES"/>
        </w:rPr>
        <w:t>e</w:t>
      </w:r>
      <w:r w:rsidRPr="002D2D0F">
        <w:rPr>
          <w:kern w:val="22"/>
          <w:lang w:val="es-ES"/>
        </w:rPr>
        <w:t>s (criadores aficionados, etc.). La organización de tales campañas puede estar a cargo de los Estados, los gobiernos subnacionales, organizaciones pertinentes o</w:t>
      </w:r>
      <w:r w:rsidR="009C7B30" w:rsidRPr="002D2D0F">
        <w:rPr>
          <w:kern w:val="22"/>
          <w:lang w:val="es-ES"/>
        </w:rPr>
        <w:t xml:space="preserve"> cualquier industria que interv</w:t>
      </w:r>
      <w:r w:rsidRPr="002D2D0F">
        <w:rPr>
          <w:kern w:val="22"/>
          <w:lang w:val="es-ES"/>
        </w:rPr>
        <w:t>en</w:t>
      </w:r>
      <w:r w:rsidR="009C7B30" w:rsidRPr="002D2D0F">
        <w:rPr>
          <w:kern w:val="22"/>
          <w:lang w:val="es-ES"/>
        </w:rPr>
        <w:t>ga</w:t>
      </w:r>
      <w:r w:rsidRPr="002D2D0F">
        <w:rPr>
          <w:kern w:val="22"/>
          <w:lang w:val="es-ES"/>
        </w:rPr>
        <w:t xml:space="preserve"> en la cadena de valor.</w:t>
      </w:r>
    </w:p>
    <w:p w:rsidR="00D67C7C" w:rsidRPr="002D2D0F" w:rsidRDefault="009C7B30" w:rsidP="00305A14">
      <w:pPr>
        <w:pStyle w:val="Heading2"/>
        <w:numPr>
          <w:ilvl w:val="0"/>
          <w:numId w:val="16"/>
        </w:numPr>
        <w:suppressLineNumbers/>
        <w:tabs>
          <w:tab w:val="clear" w:pos="720"/>
          <w:tab w:val="left" w:pos="360"/>
        </w:tabs>
        <w:suppressAutoHyphens/>
        <w:kinsoku w:val="0"/>
        <w:overflowPunct w:val="0"/>
        <w:autoSpaceDE w:val="0"/>
        <w:autoSpaceDN w:val="0"/>
        <w:adjustRightInd w:val="0"/>
        <w:snapToGrid w:val="0"/>
        <w:ind w:left="0" w:firstLine="0"/>
        <w:rPr>
          <w:iCs w:val="0"/>
          <w:kern w:val="22"/>
          <w:lang w:val="es-ES"/>
        </w:rPr>
      </w:pPr>
      <w:r w:rsidRPr="002D2D0F">
        <w:rPr>
          <w:iCs w:val="0"/>
          <w:kern w:val="22"/>
          <w:lang w:val="es-ES"/>
        </w:rPr>
        <w:t>Vigilancia</w:t>
      </w:r>
    </w:p>
    <w:p w:rsidR="00305A14" w:rsidRPr="002D2D0F" w:rsidRDefault="00305A14" w:rsidP="009347B2">
      <w:pPr>
        <w:numPr>
          <w:ilvl w:val="0"/>
          <w:numId w:val="11"/>
        </w:numPr>
        <w:suppressLineNumbers/>
        <w:suppressAutoHyphens/>
        <w:kinsoku w:val="0"/>
        <w:overflowPunct w:val="0"/>
        <w:autoSpaceDE w:val="0"/>
        <w:autoSpaceDN w:val="0"/>
        <w:adjustRightInd w:val="0"/>
        <w:snapToGrid w:val="0"/>
        <w:spacing w:before="120" w:after="120"/>
        <w:ind w:left="0" w:firstLine="0"/>
        <w:rPr>
          <w:kern w:val="22"/>
          <w:lang w:val="es-ES"/>
        </w:rPr>
      </w:pPr>
      <w:r w:rsidRPr="002D2D0F">
        <w:rPr>
          <w:kern w:val="22"/>
          <w:lang w:val="es-ES"/>
        </w:rPr>
        <w:t xml:space="preserve">Los Estados deben </w:t>
      </w:r>
      <w:r w:rsidR="009C7B30" w:rsidRPr="002D2D0F">
        <w:rPr>
          <w:kern w:val="22"/>
          <w:lang w:val="es-ES"/>
        </w:rPr>
        <w:t>encargarse</w:t>
      </w:r>
      <w:r w:rsidRPr="002D2D0F">
        <w:rPr>
          <w:kern w:val="22"/>
          <w:lang w:val="es-ES"/>
        </w:rPr>
        <w:t xml:space="preserve"> </w:t>
      </w:r>
      <w:r w:rsidR="009C7B30" w:rsidRPr="002D2D0F">
        <w:rPr>
          <w:kern w:val="22"/>
          <w:lang w:val="es-ES"/>
        </w:rPr>
        <w:t xml:space="preserve">de la </w:t>
      </w:r>
      <w:r w:rsidRPr="002D2D0F">
        <w:rPr>
          <w:kern w:val="22"/>
          <w:lang w:val="es-ES"/>
        </w:rPr>
        <w:t xml:space="preserve">vigilancia de organismos exóticos invasores que pudieran llegar </w:t>
      </w:r>
      <w:r w:rsidR="009C7B30" w:rsidRPr="002D2D0F">
        <w:rPr>
          <w:kern w:val="22"/>
          <w:lang w:val="es-ES"/>
        </w:rPr>
        <w:t xml:space="preserve">en </w:t>
      </w:r>
      <w:r w:rsidR="001702DD" w:rsidRPr="002D2D0F">
        <w:rPr>
          <w:kern w:val="22"/>
          <w:lang w:val="es-ES"/>
        </w:rPr>
        <w:t>forma</w:t>
      </w:r>
      <w:r w:rsidR="009C7B30" w:rsidRPr="002D2D0F">
        <w:rPr>
          <w:kern w:val="22"/>
          <w:lang w:val="es-ES"/>
        </w:rPr>
        <w:t xml:space="preserve"> no </w:t>
      </w:r>
      <w:r w:rsidRPr="002D2D0F">
        <w:rPr>
          <w:kern w:val="22"/>
          <w:lang w:val="es-ES"/>
        </w:rPr>
        <w:t>inte</w:t>
      </w:r>
      <w:r w:rsidR="009C7B30" w:rsidRPr="002D2D0F">
        <w:rPr>
          <w:kern w:val="22"/>
          <w:lang w:val="es-ES"/>
        </w:rPr>
        <w:t>ncional</w:t>
      </w:r>
      <w:r w:rsidRPr="002D2D0F">
        <w:rPr>
          <w:kern w:val="22"/>
          <w:lang w:val="es-ES"/>
        </w:rPr>
        <w:t xml:space="preserve"> a sus territorios, particularmente en zonas susceptibles (por ej., puertos, instalaciones de cross-docking</w:t>
      </w:r>
      <w:r w:rsidR="009C7B30" w:rsidRPr="002D2D0F">
        <w:rPr>
          <w:kern w:val="22"/>
          <w:lang w:val="es-ES"/>
        </w:rPr>
        <w:t xml:space="preserve"> o </w:t>
      </w:r>
      <w:r w:rsidR="001702DD" w:rsidRPr="002D2D0F">
        <w:rPr>
          <w:kern w:val="22"/>
          <w:lang w:val="es-ES"/>
        </w:rPr>
        <w:t>recepción</w:t>
      </w:r>
      <w:r w:rsidR="009C7B30" w:rsidRPr="002D2D0F">
        <w:rPr>
          <w:kern w:val="22"/>
          <w:lang w:val="es-ES"/>
        </w:rPr>
        <w:t xml:space="preserve"> de pedidos</w:t>
      </w:r>
      <w:r w:rsidRPr="002D2D0F">
        <w:rPr>
          <w:kern w:val="22"/>
          <w:lang w:val="es-ES"/>
        </w:rPr>
        <w:t xml:space="preserve"> y almacenamiento, playas de contenedores ubicadas fuera de los muelles y vías de trenes y caminos conectados) donde pudiera </w:t>
      </w:r>
      <w:r w:rsidR="00456AB4">
        <w:rPr>
          <w:kern w:val="22"/>
          <w:lang w:val="es-ES"/>
        </w:rPr>
        <w:t>producirse</w:t>
      </w:r>
      <w:r w:rsidRPr="002D2D0F">
        <w:rPr>
          <w:kern w:val="22"/>
          <w:lang w:val="es-ES"/>
        </w:rPr>
        <w:t xml:space="preserve"> su ingreso, establecimiento y primera etapa de propagación.</w:t>
      </w:r>
    </w:p>
    <w:p w:rsidR="005445FD" w:rsidRPr="002D2D0F" w:rsidRDefault="005445FD" w:rsidP="005445FD">
      <w:pPr>
        <w:numPr>
          <w:ilvl w:val="0"/>
          <w:numId w:val="11"/>
        </w:numPr>
        <w:suppressLineNumbers/>
        <w:suppressAutoHyphens/>
        <w:kinsoku w:val="0"/>
        <w:overflowPunct w:val="0"/>
        <w:autoSpaceDE w:val="0"/>
        <w:autoSpaceDN w:val="0"/>
        <w:adjustRightInd w:val="0"/>
        <w:snapToGrid w:val="0"/>
        <w:spacing w:before="120" w:after="120"/>
        <w:ind w:left="0" w:firstLine="0"/>
        <w:rPr>
          <w:lang w:val="es-ES"/>
        </w:rPr>
      </w:pPr>
      <w:r w:rsidRPr="002D2D0F">
        <w:rPr>
          <w:kern w:val="22"/>
          <w:lang w:val="es-ES"/>
        </w:rPr>
        <w:t>Cuando se observe una introducción no intencional en zonas susceptibles, los Estados deben intensificar la vigilancia de los organismos exóticos invasores en zonas cercanas en las que haya motivo de preocupación respecto a la protección de la diversidad biológica y deben responder rápidamente para contener, controlar y erradicar a los organismos exóticos invasores. En caso de disponerse de información, se debe</w:t>
      </w:r>
      <w:r w:rsidR="009C7B30" w:rsidRPr="002D2D0F">
        <w:rPr>
          <w:kern w:val="22"/>
          <w:lang w:val="es-ES"/>
        </w:rPr>
        <w:t xml:space="preserve"> </w:t>
      </w:r>
      <w:r w:rsidRPr="002D2D0F">
        <w:rPr>
          <w:kern w:val="22"/>
          <w:lang w:val="es-ES"/>
        </w:rPr>
        <w:t>procurar comunicarla al público, incluidos los países preocupados por la introducción no intencional.</w:t>
      </w:r>
    </w:p>
    <w:p w:rsidR="00546B89" w:rsidRPr="002D2D0F" w:rsidRDefault="00546B89" w:rsidP="00546B89">
      <w:pPr>
        <w:numPr>
          <w:ilvl w:val="0"/>
          <w:numId w:val="11"/>
        </w:numPr>
        <w:suppressLineNumbers/>
        <w:suppressAutoHyphens/>
        <w:kinsoku w:val="0"/>
        <w:overflowPunct w:val="0"/>
        <w:autoSpaceDE w:val="0"/>
        <w:autoSpaceDN w:val="0"/>
        <w:adjustRightInd w:val="0"/>
        <w:snapToGrid w:val="0"/>
        <w:spacing w:before="120" w:after="120"/>
        <w:ind w:left="0" w:firstLine="0"/>
        <w:rPr>
          <w:kern w:val="22"/>
          <w:lang w:val="es-ES"/>
        </w:rPr>
      </w:pPr>
      <w:r w:rsidRPr="002D2D0F">
        <w:rPr>
          <w:kern w:val="22"/>
          <w:lang w:val="es-ES"/>
        </w:rPr>
        <w:t xml:space="preserve">Los Estados deben </w:t>
      </w:r>
      <w:r w:rsidR="009C7B30" w:rsidRPr="002D2D0F">
        <w:rPr>
          <w:kern w:val="22"/>
          <w:lang w:val="es-ES"/>
        </w:rPr>
        <w:t>vigilar</w:t>
      </w:r>
      <w:r w:rsidRPr="002D2D0F">
        <w:rPr>
          <w:kern w:val="22"/>
          <w:lang w:val="es-ES"/>
        </w:rPr>
        <w:t xml:space="preserve"> </w:t>
      </w:r>
      <w:r w:rsidR="009C7B30" w:rsidRPr="002D2D0F">
        <w:rPr>
          <w:kern w:val="22"/>
          <w:lang w:val="es-ES"/>
        </w:rPr>
        <w:t>internamente</w:t>
      </w:r>
      <w:r w:rsidRPr="002D2D0F">
        <w:rPr>
          <w:kern w:val="22"/>
          <w:lang w:val="es-ES"/>
        </w:rPr>
        <w:t xml:space="preserve"> los movimientos y la propagación de organismos exóticos invasores introducidos </w:t>
      </w:r>
      <w:r w:rsidR="009C7B30" w:rsidRPr="002D2D0F">
        <w:rPr>
          <w:kern w:val="22"/>
          <w:lang w:val="es-ES"/>
        </w:rPr>
        <w:t xml:space="preserve">de forma no intencional </w:t>
      </w:r>
      <w:r w:rsidRPr="002D2D0F">
        <w:rPr>
          <w:kern w:val="22"/>
          <w:lang w:val="es-ES"/>
        </w:rPr>
        <w:t xml:space="preserve">con la importación de especies vivas, en colaboración con </w:t>
      </w:r>
      <w:r w:rsidRPr="002D2D0F">
        <w:rPr>
          <w:kern w:val="22"/>
          <w:lang w:val="es-ES"/>
        </w:rPr>
        <w:lastRenderedPageBreak/>
        <w:t>autoridades subnacionales o locales, a fin de reducir al mínimo el impacto de las especies exóticas invasoras y su propagación.</w:t>
      </w:r>
    </w:p>
    <w:p w:rsidR="00546B89" w:rsidRPr="002D2D0F" w:rsidRDefault="00546B89" w:rsidP="00546B89">
      <w:pPr>
        <w:pStyle w:val="Heading2"/>
        <w:numPr>
          <w:ilvl w:val="0"/>
          <w:numId w:val="16"/>
        </w:numPr>
        <w:suppressLineNumbers/>
        <w:tabs>
          <w:tab w:val="clear" w:pos="720"/>
          <w:tab w:val="left" w:pos="360"/>
        </w:tabs>
        <w:suppressAutoHyphens/>
        <w:kinsoku w:val="0"/>
        <w:overflowPunct w:val="0"/>
        <w:autoSpaceDE w:val="0"/>
        <w:autoSpaceDN w:val="0"/>
        <w:adjustRightInd w:val="0"/>
        <w:snapToGrid w:val="0"/>
        <w:ind w:left="0" w:firstLine="0"/>
        <w:rPr>
          <w:bCs w:val="0"/>
          <w:iCs w:val="0"/>
          <w:kern w:val="22"/>
          <w:lang w:val="es-ES"/>
        </w:rPr>
      </w:pPr>
      <w:r w:rsidRPr="002D2D0F">
        <w:rPr>
          <w:bCs w:val="0"/>
          <w:iCs w:val="0"/>
          <w:kern w:val="22"/>
          <w:lang w:val="es-ES"/>
        </w:rPr>
        <w:t>Otras medidas</w:t>
      </w:r>
    </w:p>
    <w:p w:rsidR="00831816" w:rsidRPr="002D2D0F" w:rsidRDefault="009C7B30" w:rsidP="00831816">
      <w:pPr>
        <w:numPr>
          <w:ilvl w:val="0"/>
          <w:numId w:val="11"/>
        </w:numPr>
        <w:suppressLineNumbers/>
        <w:suppressAutoHyphens/>
        <w:kinsoku w:val="0"/>
        <w:overflowPunct w:val="0"/>
        <w:autoSpaceDE w:val="0"/>
        <w:autoSpaceDN w:val="0"/>
        <w:adjustRightInd w:val="0"/>
        <w:snapToGrid w:val="0"/>
        <w:spacing w:before="120" w:after="120"/>
        <w:ind w:left="0" w:firstLine="0"/>
        <w:rPr>
          <w:kern w:val="22"/>
          <w:lang w:val="es-ES"/>
        </w:rPr>
      </w:pPr>
      <w:r w:rsidRPr="002D2D0F">
        <w:rPr>
          <w:kern w:val="22"/>
          <w:lang w:val="es-ES"/>
        </w:rPr>
        <w:t>C</w:t>
      </w:r>
      <w:r w:rsidR="00831816" w:rsidRPr="002D2D0F">
        <w:rPr>
          <w:kern w:val="22"/>
          <w:lang w:val="es-ES"/>
        </w:rPr>
        <w:t>ualquier medida nacional de gestión de riesgo</w:t>
      </w:r>
      <w:r w:rsidRPr="002D2D0F">
        <w:rPr>
          <w:kern w:val="22"/>
          <w:lang w:val="es-ES"/>
        </w:rPr>
        <w:t>s</w:t>
      </w:r>
      <w:r w:rsidR="00831816" w:rsidRPr="002D2D0F">
        <w:rPr>
          <w:kern w:val="22"/>
          <w:lang w:val="es-ES"/>
        </w:rPr>
        <w:t xml:space="preserve"> relativa a vías de introducción no intencional en países de exportación y de importación, así como los códigos de conducta establecidos por organismos internacionales relacionados con servicios de envío y entrega, </w:t>
      </w:r>
      <w:r w:rsidRPr="002D2D0F">
        <w:rPr>
          <w:kern w:val="22"/>
          <w:lang w:val="es-ES"/>
        </w:rPr>
        <w:t xml:space="preserve">pueden ser aplicables </w:t>
      </w:r>
      <w:r w:rsidR="00831816" w:rsidRPr="002D2D0F">
        <w:rPr>
          <w:kern w:val="22"/>
          <w:lang w:val="es-ES"/>
        </w:rPr>
        <w:t>dentro del alcance de la presente orientación complementaria.</w:t>
      </w:r>
    </w:p>
    <w:p w:rsidR="00831816" w:rsidRPr="002D2D0F" w:rsidRDefault="00831816" w:rsidP="00831816">
      <w:pPr>
        <w:pStyle w:val="ListParagraph"/>
        <w:suppressLineNumbers/>
        <w:suppressAutoHyphens/>
        <w:kinsoku w:val="0"/>
        <w:overflowPunct w:val="0"/>
        <w:autoSpaceDE w:val="0"/>
        <w:autoSpaceDN w:val="0"/>
        <w:adjustRightInd w:val="0"/>
        <w:snapToGrid w:val="0"/>
        <w:ind w:left="0"/>
        <w:contextualSpacing w:val="0"/>
        <w:jc w:val="center"/>
        <w:rPr>
          <w:i/>
          <w:kern w:val="22"/>
          <w:lang w:val="es-ES"/>
        </w:rPr>
      </w:pPr>
      <w:r w:rsidRPr="002D2D0F">
        <w:rPr>
          <w:i/>
          <w:kern w:val="22"/>
          <w:lang w:val="es-ES"/>
        </w:rPr>
        <w:t>Anexo II</w:t>
      </w:r>
    </w:p>
    <w:p w:rsidR="00831816" w:rsidRPr="002D2D0F" w:rsidRDefault="00831816" w:rsidP="00831816">
      <w:pPr>
        <w:pStyle w:val="HEADING"/>
        <w:suppressLineNumbers/>
        <w:suppressAutoHyphens/>
        <w:kinsoku w:val="0"/>
        <w:overflowPunct w:val="0"/>
        <w:autoSpaceDE w:val="0"/>
        <w:autoSpaceDN w:val="0"/>
        <w:adjustRightInd w:val="0"/>
        <w:snapToGrid w:val="0"/>
        <w:spacing w:before="120"/>
        <w:rPr>
          <w:kern w:val="22"/>
          <w:lang w:val="es-ES"/>
        </w:rPr>
      </w:pPr>
      <w:r w:rsidRPr="002D2D0F">
        <w:rPr>
          <w:kern w:val="22"/>
          <w:lang w:val="es-ES"/>
        </w:rPr>
        <w:t>MANDATO PARA EL GRUPO ESPECIAL DE EXPERTOS TÉCNICOS SOBRE</w:t>
      </w:r>
      <w:r w:rsidR="00A4612C" w:rsidRPr="002D2D0F">
        <w:rPr>
          <w:kern w:val="22"/>
          <w:lang w:val="es-ES"/>
        </w:rPr>
        <w:t> </w:t>
      </w:r>
      <w:r w:rsidRPr="002D2D0F">
        <w:rPr>
          <w:kern w:val="22"/>
          <w:lang w:val="es-ES"/>
        </w:rPr>
        <w:t>ESPECIES</w:t>
      </w:r>
      <w:r w:rsidR="00A4612C" w:rsidRPr="002D2D0F">
        <w:rPr>
          <w:kern w:val="22"/>
          <w:lang w:val="es-ES"/>
        </w:rPr>
        <w:t> </w:t>
      </w:r>
      <w:r w:rsidRPr="002D2D0F">
        <w:rPr>
          <w:kern w:val="22"/>
          <w:lang w:val="es-ES"/>
        </w:rPr>
        <w:t>EXÓTICAS INVASORAS</w:t>
      </w:r>
    </w:p>
    <w:p w:rsidR="004606DB" w:rsidRPr="002D2D0F" w:rsidRDefault="004606DB" w:rsidP="004606DB">
      <w:pPr>
        <w:pStyle w:val="BodyText"/>
        <w:suppressLineNumbers/>
        <w:suppressAutoHyphens/>
        <w:kinsoku w:val="0"/>
        <w:overflowPunct w:val="0"/>
        <w:autoSpaceDE w:val="0"/>
        <w:autoSpaceDN w:val="0"/>
        <w:adjustRightInd w:val="0"/>
        <w:snapToGrid w:val="0"/>
        <w:ind w:firstLine="0"/>
        <w:rPr>
          <w:iCs w:val="0"/>
          <w:kern w:val="22"/>
          <w:lang w:val="es-ES"/>
        </w:rPr>
      </w:pPr>
      <w:r w:rsidRPr="002D2D0F">
        <w:rPr>
          <w:iCs w:val="0"/>
          <w:kern w:val="22"/>
          <w:lang w:val="es-ES"/>
        </w:rPr>
        <w:t>1.</w:t>
      </w:r>
      <w:r w:rsidRPr="002D2D0F">
        <w:rPr>
          <w:iCs w:val="0"/>
          <w:kern w:val="22"/>
          <w:lang w:val="es-ES"/>
        </w:rPr>
        <w:tab/>
        <w:t>El Grupo Especial de Expertos Técnicos llevará a cabo evaluaciones sobre:</w:t>
      </w:r>
    </w:p>
    <w:p w:rsidR="00255DD6" w:rsidRPr="002D2D0F" w:rsidRDefault="00456AB4" w:rsidP="00255DD6">
      <w:pPr>
        <w:pStyle w:val="ListParagraph"/>
        <w:numPr>
          <w:ilvl w:val="0"/>
          <w:numId w:val="18"/>
        </w:numPr>
        <w:suppressLineNumbers/>
        <w:tabs>
          <w:tab w:val="clear" w:pos="1440"/>
        </w:tabs>
        <w:suppressAutoHyphens/>
        <w:kinsoku w:val="0"/>
        <w:overflowPunct w:val="0"/>
        <w:autoSpaceDE w:val="0"/>
        <w:autoSpaceDN w:val="0"/>
        <w:adjustRightInd w:val="0"/>
        <w:snapToGrid w:val="0"/>
        <w:spacing w:before="120" w:after="120"/>
        <w:ind w:left="0" w:firstLine="720"/>
        <w:contextualSpacing w:val="0"/>
        <w:rPr>
          <w:kern w:val="22"/>
          <w:lang w:val="es-ES"/>
        </w:rPr>
      </w:pPr>
      <w:r>
        <w:rPr>
          <w:kern w:val="22"/>
          <w:lang w:val="es-ES"/>
        </w:rPr>
        <w:t xml:space="preserve">los </w:t>
      </w:r>
      <w:r w:rsidR="00255DD6" w:rsidRPr="002D2D0F">
        <w:rPr>
          <w:kern w:val="22"/>
          <w:lang w:val="es-ES"/>
        </w:rPr>
        <w:t xml:space="preserve">métodos </w:t>
      </w:r>
      <w:r>
        <w:rPr>
          <w:kern w:val="22"/>
          <w:lang w:val="es-ES"/>
        </w:rPr>
        <w:t>de</w:t>
      </w:r>
      <w:r w:rsidR="00255DD6" w:rsidRPr="002D2D0F">
        <w:rPr>
          <w:kern w:val="22"/>
          <w:lang w:val="es-ES"/>
        </w:rPr>
        <w:t xml:space="preserve"> análisis de la relación costo-beneficio y la relación costo-eficacia que </w:t>
      </w:r>
      <w:r w:rsidR="00A4612C" w:rsidRPr="002D2D0F">
        <w:rPr>
          <w:kern w:val="22"/>
          <w:lang w:val="es-ES"/>
        </w:rPr>
        <w:t>sean más convenientes par</w:t>
      </w:r>
      <w:r w:rsidR="00255DD6" w:rsidRPr="002D2D0F">
        <w:rPr>
          <w:kern w:val="22"/>
          <w:lang w:val="es-ES"/>
        </w:rPr>
        <w:t>a la gestión de especies exóticas invasoras;</w:t>
      </w:r>
    </w:p>
    <w:p w:rsidR="00255DD6" w:rsidRPr="002D2D0F" w:rsidRDefault="00255DD6" w:rsidP="00255DD6">
      <w:pPr>
        <w:pStyle w:val="ListParagraph"/>
        <w:numPr>
          <w:ilvl w:val="0"/>
          <w:numId w:val="18"/>
        </w:numPr>
        <w:suppressLineNumbers/>
        <w:tabs>
          <w:tab w:val="clear" w:pos="1440"/>
        </w:tabs>
        <w:suppressAutoHyphens/>
        <w:kinsoku w:val="0"/>
        <w:overflowPunct w:val="0"/>
        <w:autoSpaceDE w:val="0"/>
        <w:autoSpaceDN w:val="0"/>
        <w:adjustRightInd w:val="0"/>
        <w:snapToGrid w:val="0"/>
        <w:spacing w:before="120" w:after="120"/>
        <w:ind w:left="0" w:firstLine="720"/>
        <w:contextualSpacing w:val="0"/>
        <w:rPr>
          <w:rFonts w:eastAsia="Yu Mincho"/>
          <w:i/>
          <w:kern w:val="22"/>
          <w:lang w:val="es-ES"/>
        </w:rPr>
      </w:pPr>
      <w:r w:rsidRPr="002D2D0F">
        <w:rPr>
          <w:kern w:val="22"/>
          <w:lang w:val="es-ES"/>
        </w:rPr>
        <w:t xml:space="preserve">los riesgos de invasiones biológicas que planteen las especies exóticas vendidas </w:t>
      </w:r>
      <w:r w:rsidR="00A4612C" w:rsidRPr="002D2D0F">
        <w:rPr>
          <w:kern w:val="22"/>
          <w:lang w:val="es-ES"/>
        </w:rPr>
        <w:t>vía</w:t>
      </w:r>
      <w:r w:rsidRPr="002D2D0F">
        <w:rPr>
          <w:kern w:val="22"/>
          <w:lang w:val="es-ES"/>
        </w:rPr>
        <w:t xml:space="preserve"> comercio electrónico y los impactos de esas invasiones;</w:t>
      </w:r>
    </w:p>
    <w:p w:rsidR="00255DD6" w:rsidRPr="002D2D0F" w:rsidRDefault="00255DD6" w:rsidP="00255DD6">
      <w:pPr>
        <w:suppressLineNumbers/>
        <w:suppressAutoHyphens/>
        <w:kinsoku w:val="0"/>
        <w:overflowPunct w:val="0"/>
        <w:autoSpaceDE w:val="0"/>
        <w:autoSpaceDN w:val="0"/>
        <w:adjustRightInd w:val="0"/>
        <w:snapToGrid w:val="0"/>
        <w:spacing w:before="120" w:after="120"/>
        <w:rPr>
          <w:kern w:val="22"/>
          <w:lang w:val="es-ES"/>
        </w:rPr>
      </w:pPr>
      <w:r w:rsidRPr="002D2D0F">
        <w:rPr>
          <w:kern w:val="22"/>
          <w:lang w:val="es-ES"/>
        </w:rPr>
        <w:t>2.</w:t>
      </w:r>
      <w:r w:rsidRPr="002D2D0F">
        <w:rPr>
          <w:kern w:val="22"/>
          <w:lang w:val="es-ES"/>
        </w:rPr>
        <w:tab/>
        <w:t>El Grupo Especial de Expertos Técnicos desarrollará elementos para orientaciones técnicas sobre:</w:t>
      </w:r>
    </w:p>
    <w:p w:rsidR="00255DD6" w:rsidRPr="002D2D0F" w:rsidRDefault="00255DD6" w:rsidP="00255DD6">
      <w:pPr>
        <w:pStyle w:val="ListParagraph"/>
        <w:numPr>
          <w:ilvl w:val="0"/>
          <w:numId w:val="19"/>
        </w:numPr>
        <w:suppressLineNumbers/>
        <w:tabs>
          <w:tab w:val="clear" w:pos="1440"/>
        </w:tabs>
        <w:suppressAutoHyphens/>
        <w:kinsoku w:val="0"/>
        <w:overflowPunct w:val="0"/>
        <w:autoSpaceDE w:val="0"/>
        <w:autoSpaceDN w:val="0"/>
        <w:adjustRightInd w:val="0"/>
        <w:snapToGrid w:val="0"/>
        <w:ind w:left="0" w:firstLine="720"/>
        <w:contextualSpacing w:val="0"/>
        <w:rPr>
          <w:rFonts w:eastAsia="Yu Mincho"/>
          <w:i/>
          <w:kern w:val="22"/>
          <w:lang w:val="es-ES"/>
        </w:rPr>
      </w:pPr>
      <w:r w:rsidRPr="002D2D0F">
        <w:rPr>
          <w:kern w:val="22"/>
          <w:lang w:val="es-ES"/>
        </w:rPr>
        <w:t>la gestión de especies exóticas invasoras, tomando en cuenta los nuevos riesgos potenciales planteados por el cambio climático y desastres naturales y cambios en el uso de la tierra asociados;</w:t>
      </w:r>
    </w:p>
    <w:p w:rsidR="00255DD6" w:rsidRPr="002D2D0F" w:rsidRDefault="00A4612C" w:rsidP="00255DD6">
      <w:pPr>
        <w:pStyle w:val="ListParagraph"/>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contextualSpacing w:val="0"/>
        <w:rPr>
          <w:rFonts w:eastAsia="Yu Mincho"/>
          <w:i/>
          <w:kern w:val="22"/>
          <w:lang w:val="es-ES"/>
        </w:rPr>
      </w:pPr>
      <w:r w:rsidRPr="002D2D0F">
        <w:rPr>
          <w:kern w:val="22"/>
          <w:lang w:val="es-ES"/>
        </w:rPr>
        <w:t>análisis de</w:t>
      </w:r>
      <w:r w:rsidR="00255DD6" w:rsidRPr="002D2D0F">
        <w:rPr>
          <w:kern w:val="22"/>
          <w:lang w:val="es-ES"/>
        </w:rPr>
        <w:t xml:space="preserve"> riesgo</w:t>
      </w:r>
      <w:r w:rsidRPr="002D2D0F">
        <w:rPr>
          <w:kern w:val="22"/>
          <w:lang w:val="es-ES"/>
        </w:rPr>
        <w:t>s</w:t>
      </w:r>
      <w:r w:rsidR="00255DD6" w:rsidRPr="002D2D0F">
        <w:rPr>
          <w:kern w:val="22"/>
          <w:lang w:val="es-ES"/>
        </w:rPr>
        <w:t xml:space="preserve">, tomando en cuenta las </w:t>
      </w:r>
      <w:r w:rsidRPr="002D2D0F">
        <w:rPr>
          <w:kern w:val="22"/>
          <w:lang w:val="es-ES"/>
        </w:rPr>
        <w:t xml:space="preserve">potenciales </w:t>
      </w:r>
      <w:r w:rsidR="00255DD6" w:rsidRPr="002D2D0F">
        <w:rPr>
          <w:kern w:val="22"/>
          <w:lang w:val="es-ES"/>
        </w:rPr>
        <w:t xml:space="preserve">consecuencias de la introducción de especies exóticas invasoras </w:t>
      </w:r>
      <w:r w:rsidRPr="002D2D0F">
        <w:rPr>
          <w:kern w:val="22"/>
          <w:lang w:val="es-ES"/>
        </w:rPr>
        <w:t>para</w:t>
      </w:r>
      <w:r w:rsidR="00255DD6" w:rsidRPr="002D2D0F">
        <w:rPr>
          <w:kern w:val="22"/>
          <w:lang w:val="es-ES"/>
        </w:rPr>
        <w:t xml:space="preserve"> los valores sociales, económicos y culturales;</w:t>
      </w:r>
    </w:p>
    <w:p w:rsidR="00765FB6" w:rsidRPr="002D2D0F" w:rsidRDefault="00765FB6" w:rsidP="00765FB6">
      <w:pPr>
        <w:pStyle w:val="ListParagraph"/>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contextualSpacing w:val="0"/>
        <w:rPr>
          <w:kern w:val="22"/>
          <w:lang w:val="es-ES"/>
        </w:rPr>
      </w:pPr>
      <w:r w:rsidRPr="002D2D0F">
        <w:rPr>
          <w:kern w:val="22"/>
          <w:lang w:val="es-ES"/>
        </w:rPr>
        <w:t>clasificación de especies exóticas peligrosas y elementos pertinentes para la comunicación de sus riesgos.</w:t>
      </w:r>
    </w:p>
    <w:p w:rsidR="006F331B" w:rsidRPr="002D2D0F" w:rsidRDefault="006F331B" w:rsidP="00584A8D">
      <w:pPr>
        <w:suppressLineNumbers/>
        <w:suppressAutoHyphens/>
        <w:kinsoku w:val="0"/>
        <w:overflowPunct w:val="0"/>
        <w:autoSpaceDE w:val="0"/>
        <w:autoSpaceDN w:val="0"/>
        <w:adjustRightInd w:val="0"/>
        <w:snapToGrid w:val="0"/>
        <w:spacing w:before="120" w:after="120"/>
        <w:rPr>
          <w:rFonts w:eastAsia="MS Mincho"/>
          <w:snapToGrid w:val="0"/>
          <w:kern w:val="22"/>
          <w:szCs w:val="22"/>
          <w:lang w:val="es-ES" w:eastAsia="ja-JP"/>
        </w:rPr>
      </w:pPr>
    </w:p>
    <w:p w:rsidR="006F331B" w:rsidRPr="002D2D0F" w:rsidRDefault="006F331B" w:rsidP="00584A8D">
      <w:pPr>
        <w:suppressLineNumbers/>
        <w:suppressAutoHyphens/>
        <w:kinsoku w:val="0"/>
        <w:overflowPunct w:val="0"/>
        <w:autoSpaceDE w:val="0"/>
        <w:autoSpaceDN w:val="0"/>
        <w:adjustRightInd w:val="0"/>
        <w:snapToGrid w:val="0"/>
        <w:spacing w:before="120" w:after="120"/>
        <w:jc w:val="center"/>
        <w:rPr>
          <w:snapToGrid w:val="0"/>
          <w:kern w:val="22"/>
          <w:szCs w:val="22"/>
          <w:lang w:val="es-ES"/>
        </w:rPr>
      </w:pPr>
      <w:r w:rsidRPr="002D2D0F">
        <w:rPr>
          <w:snapToGrid w:val="0"/>
          <w:kern w:val="22"/>
          <w:szCs w:val="22"/>
          <w:lang w:val="es-ES"/>
        </w:rPr>
        <w:t>__________</w:t>
      </w:r>
    </w:p>
    <w:sectPr w:rsidR="006F331B" w:rsidRPr="002D2D0F" w:rsidSect="00CA1572">
      <w:headerReference w:type="even" r:id="rId22"/>
      <w:headerReference w:type="default" r:id="rId23"/>
      <w:footerReference w:type="even" r:id="rId24"/>
      <w:footerReference w:type="default" r:id="rId25"/>
      <w:pgSz w:w="12240" w:h="15840" w:code="1"/>
      <w:pgMar w:top="567"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D46" w:rsidRDefault="00D50D46">
      <w:r>
        <w:separator/>
      </w:r>
    </w:p>
  </w:endnote>
  <w:endnote w:type="continuationSeparator" w:id="0">
    <w:p w:rsidR="00D50D46" w:rsidRDefault="00D50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95" w:rsidRDefault="00C70695" w:rsidP="00584A8D">
    <w:pPr>
      <w:pStyle w:val="Footer"/>
      <w:tabs>
        <w:tab w:val="clear" w:pos="4320"/>
        <w:tab w:val="clear" w:pos="8640"/>
      </w:tabs>
      <w:kinsoku w:val="0"/>
      <w:overflowPunct w:val="0"/>
      <w:autoSpaceDE w:val="0"/>
      <w:autoSpaceDN w:val="0"/>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95" w:rsidRDefault="00C70695" w:rsidP="00584A8D">
    <w:pPr>
      <w:pStyle w:val="Footer"/>
      <w:tabs>
        <w:tab w:val="clear" w:pos="4320"/>
        <w:tab w:val="clear" w:pos="8640"/>
      </w:tabs>
      <w:kinsoku w:val="0"/>
      <w:overflowPunct w:val="0"/>
      <w:autoSpaceDE w:val="0"/>
      <w:autoSpaceDN w:val="0"/>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D46" w:rsidRDefault="00D50D46">
      <w:r>
        <w:separator/>
      </w:r>
    </w:p>
  </w:footnote>
  <w:footnote w:type="continuationSeparator" w:id="0">
    <w:p w:rsidR="00D50D46" w:rsidRDefault="00D50D46">
      <w:r>
        <w:continuationSeparator/>
      </w:r>
    </w:p>
  </w:footnote>
  <w:footnote w:id="1">
    <w:p w:rsidR="00C70695" w:rsidRPr="00452A75" w:rsidRDefault="00C70695" w:rsidP="00584A8D">
      <w:pPr>
        <w:pStyle w:val="FootnoteText"/>
        <w:kinsoku w:val="0"/>
        <w:overflowPunct w:val="0"/>
        <w:autoSpaceDE w:val="0"/>
        <w:autoSpaceDN w:val="0"/>
        <w:ind w:firstLine="0"/>
        <w:jc w:val="left"/>
        <w:rPr>
          <w:szCs w:val="18"/>
          <w:lang w:val="es-ES"/>
        </w:rPr>
      </w:pPr>
      <w:r w:rsidRPr="00452A75">
        <w:rPr>
          <w:snapToGrid w:val="0"/>
          <w:kern w:val="18"/>
          <w:szCs w:val="18"/>
          <w:lang w:val="es-ES"/>
        </w:rPr>
        <w:t xml:space="preserve">* </w:t>
      </w:r>
      <w:hyperlink r:id="rId1" w:history="1">
        <w:r w:rsidRPr="00452A75">
          <w:rPr>
            <w:rStyle w:val="Hyperlink"/>
            <w:snapToGrid w:val="0"/>
            <w:kern w:val="18"/>
            <w:szCs w:val="18"/>
            <w:lang w:val="es-ES"/>
          </w:rPr>
          <w:t>CBD/SBS</w:t>
        </w:r>
        <w:r w:rsidRPr="00452A75">
          <w:rPr>
            <w:rStyle w:val="Hyperlink"/>
            <w:snapToGrid w:val="0"/>
            <w:kern w:val="18"/>
            <w:szCs w:val="18"/>
            <w:lang w:val="es-ES"/>
          </w:rPr>
          <w:t>T</w:t>
        </w:r>
        <w:r w:rsidRPr="00452A75">
          <w:rPr>
            <w:rStyle w:val="Hyperlink"/>
            <w:snapToGrid w:val="0"/>
            <w:kern w:val="18"/>
            <w:szCs w:val="18"/>
            <w:lang w:val="es-ES"/>
          </w:rPr>
          <w:t>TA/22/1</w:t>
        </w:r>
      </w:hyperlink>
      <w:r w:rsidRPr="00452A75">
        <w:rPr>
          <w:snapToGrid w:val="0"/>
          <w:kern w:val="18"/>
          <w:szCs w:val="18"/>
          <w:lang w:val="es-ES"/>
        </w:rPr>
        <w:t>.</w:t>
      </w:r>
    </w:p>
  </w:footnote>
  <w:footnote w:id="2">
    <w:p w:rsidR="00C70695" w:rsidRPr="00452A75" w:rsidRDefault="00C70695" w:rsidP="00912FE6">
      <w:pPr>
        <w:pStyle w:val="FootnoteText"/>
        <w:kinsoku w:val="0"/>
        <w:overflowPunct w:val="0"/>
        <w:autoSpaceDE w:val="0"/>
        <w:autoSpaceDN w:val="0"/>
        <w:ind w:firstLine="0"/>
        <w:jc w:val="left"/>
        <w:rPr>
          <w:szCs w:val="18"/>
          <w:lang w:val="es-ES"/>
        </w:rPr>
      </w:pPr>
      <w:r w:rsidRPr="00452A75">
        <w:rPr>
          <w:rStyle w:val="FootnoteReference"/>
          <w:kern w:val="18"/>
          <w:szCs w:val="18"/>
          <w:u w:val="none"/>
          <w:vertAlign w:val="superscript"/>
          <w:lang w:val="es-ES"/>
        </w:rPr>
        <w:footnoteRef/>
      </w:r>
      <w:r w:rsidRPr="00452A75">
        <w:rPr>
          <w:kern w:val="18"/>
          <w:szCs w:val="18"/>
          <w:lang w:val="es-ES"/>
        </w:rPr>
        <w:t xml:space="preserve"> Decisión </w:t>
      </w:r>
      <w:hyperlink r:id="rId2" w:history="1">
        <w:r w:rsidRPr="00452A75">
          <w:rPr>
            <w:rStyle w:val="Hyperlink"/>
            <w:kern w:val="18"/>
            <w:szCs w:val="18"/>
            <w:lang w:val="es-ES"/>
          </w:rPr>
          <w:t>XII/16</w:t>
        </w:r>
      </w:hyperlink>
      <w:r w:rsidRPr="00452A75">
        <w:rPr>
          <w:kern w:val="18"/>
          <w:szCs w:val="18"/>
          <w:lang w:val="es-ES"/>
        </w:rPr>
        <w:t>, anexo.</w:t>
      </w:r>
    </w:p>
  </w:footnote>
  <w:footnote w:id="3">
    <w:p w:rsidR="00C70695" w:rsidRPr="00452A75" w:rsidRDefault="00C70695" w:rsidP="00912FE6">
      <w:pPr>
        <w:pStyle w:val="FootnoteText"/>
        <w:kinsoku w:val="0"/>
        <w:overflowPunct w:val="0"/>
        <w:autoSpaceDE w:val="0"/>
        <w:autoSpaceDN w:val="0"/>
        <w:ind w:firstLine="0"/>
        <w:jc w:val="left"/>
        <w:rPr>
          <w:szCs w:val="18"/>
          <w:lang w:val="es-ES"/>
        </w:rPr>
      </w:pPr>
      <w:r w:rsidRPr="00452A75">
        <w:rPr>
          <w:rStyle w:val="FootnoteReference"/>
          <w:kern w:val="18"/>
          <w:szCs w:val="18"/>
          <w:u w:val="none"/>
          <w:vertAlign w:val="superscript"/>
          <w:lang w:val="es-ES"/>
        </w:rPr>
        <w:footnoteRef/>
      </w:r>
      <w:r w:rsidRPr="00452A75">
        <w:rPr>
          <w:kern w:val="18"/>
          <w:szCs w:val="18"/>
          <w:lang w:val="es-ES"/>
        </w:rPr>
        <w:t xml:space="preserve"> Decisión </w:t>
      </w:r>
      <w:hyperlink r:id="rId3" w:history="1">
        <w:r w:rsidRPr="00452A75">
          <w:rPr>
            <w:rStyle w:val="Hyperlink"/>
            <w:kern w:val="18"/>
            <w:szCs w:val="18"/>
            <w:lang w:val="es-ES"/>
          </w:rPr>
          <w:t>XIII/13</w:t>
        </w:r>
      </w:hyperlink>
      <w:r w:rsidRPr="00452A75">
        <w:rPr>
          <w:kern w:val="18"/>
          <w:szCs w:val="18"/>
          <w:lang w:val="es-ES"/>
        </w:rPr>
        <w:t>, párr. 5.</w:t>
      </w:r>
    </w:p>
  </w:footnote>
  <w:footnote w:id="4">
    <w:p w:rsidR="00C70695" w:rsidRPr="00452A75" w:rsidRDefault="00C70695" w:rsidP="00FD0481">
      <w:pPr>
        <w:pStyle w:val="FootnoteText"/>
        <w:kinsoku w:val="0"/>
        <w:overflowPunct w:val="0"/>
        <w:autoSpaceDE w:val="0"/>
        <w:autoSpaceDN w:val="0"/>
        <w:ind w:firstLine="0"/>
        <w:jc w:val="left"/>
        <w:rPr>
          <w:szCs w:val="18"/>
          <w:lang w:val="es-ES"/>
        </w:rPr>
      </w:pPr>
      <w:r w:rsidRPr="00452A75">
        <w:rPr>
          <w:rStyle w:val="FootnoteReference"/>
          <w:kern w:val="18"/>
          <w:szCs w:val="18"/>
          <w:u w:val="none"/>
          <w:vertAlign w:val="superscript"/>
          <w:lang w:val="es-ES"/>
        </w:rPr>
        <w:footnoteRef/>
      </w:r>
      <w:r w:rsidRPr="00452A75">
        <w:rPr>
          <w:kern w:val="18"/>
          <w:szCs w:val="18"/>
          <w:lang w:val="es-ES"/>
        </w:rPr>
        <w:t xml:space="preserve"> Notificaciones 2017-056 y 2017-074.</w:t>
      </w:r>
    </w:p>
  </w:footnote>
  <w:footnote w:id="5">
    <w:p w:rsidR="00C70695" w:rsidRPr="00452A75" w:rsidRDefault="00C70695" w:rsidP="00FD0481">
      <w:pPr>
        <w:keepLines/>
        <w:kinsoku w:val="0"/>
        <w:overflowPunct w:val="0"/>
        <w:autoSpaceDE w:val="0"/>
        <w:autoSpaceDN w:val="0"/>
        <w:spacing w:after="60"/>
        <w:rPr>
          <w:sz w:val="18"/>
          <w:szCs w:val="18"/>
          <w:lang w:val="es-ES"/>
        </w:rPr>
      </w:pPr>
      <w:r w:rsidRPr="00452A75">
        <w:rPr>
          <w:rStyle w:val="FootnoteReference"/>
          <w:kern w:val="18"/>
          <w:szCs w:val="18"/>
          <w:u w:val="none"/>
          <w:vertAlign w:val="superscript"/>
          <w:lang w:val="es-ES"/>
        </w:rPr>
        <w:footnoteRef/>
      </w:r>
      <w:r w:rsidRPr="00452A75">
        <w:rPr>
          <w:kern w:val="18"/>
          <w:sz w:val="18"/>
          <w:szCs w:val="18"/>
          <w:lang w:val="es-ES"/>
        </w:rPr>
        <w:t xml:space="preserve"> Andorra, </w:t>
      </w:r>
      <w:r w:rsidR="002D2D0F" w:rsidRPr="00452A75">
        <w:rPr>
          <w:kern w:val="18"/>
          <w:sz w:val="18"/>
          <w:szCs w:val="18"/>
          <w:lang w:val="es-ES"/>
        </w:rPr>
        <w:t xml:space="preserve">Argelia, </w:t>
      </w:r>
      <w:r w:rsidRPr="00452A75">
        <w:rPr>
          <w:kern w:val="18"/>
          <w:sz w:val="18"/>
          <w:szCs w:val="18"/>
          <w:lang w:val="es-ES"/>
        </w:rPr>
        <w:t>Argentina, Australia, Bélgica, Bosnia y Herzegovina, Brasil, Camboya, Canadá, Chequia, China, Colombia, Eritrea, Eslovaquia, España, Estados Unidos de América, Etiopía, Finlandia, Francia, Gabón, India, Irak, Ir</w:t>
      </w:r>
      <w:r>
        <w:rPr>
          <w:kern w:val="18"/>
          <w:sz w:val="18"/>
          <w:szCs w:val="18"/>
          <w:lang w:val="es-ES"/>
        </w:rPr>
        <w:t>á</w:t>
      </w:r>
      <w:r w:rsidRPr="00452A75">
        <w:rPr>
          <w:kern w:val="18"/>
          <w:sz w:val="18"/>
          <w:szCs w:val="18"/>
          <w:lang w:val="es-ES"/>
        </w:rPr>
        <w:t>n (República Islámica del), Islandia, Italia, Japón, Kenya, Kiribati, Madagascar, Mauricio, México, Nepal, Nigeria, Noruega, Nueva Zelandia, Países Bajos, Perú, Polonia, Portugal, Reino Unido (así como Inglaterra y Gales), Saint Kitts y Nevis, San Vicente y las Granadinas, Seychelles, Sri Lanka, Sudáfrica, Suecia, Suiza, Suriname, Túnez, Turquía, Unión Europea, Venezuela</w:t>
      </w:r>
      <w:r>
        <w:rPr>
          <w:kern w:val="18"/>
          <w:sz w:val="18"/>
          <w:szCs w:val="18"/>
          <w:lang w:val="es-ES"/>
        </w:rPr>
        <w:t xml:space="preserve"> y</w:t>
      </w:r>
      <w:r w:rsidRPr="00452A75">
        <w:rPr>
          <w:kern w:val="18"/>
          <w:sz w:val="18"/>
          <w:szCs w:val="18"/>
          <w:lang w:val="es-ES"/>
        </w:rPr>
        <w:t xml:space="preserve"> Zambia.</w:t>
      </w:r>
    </w:p>
  </w:footnote>
  <w:footnote w:id="6">
    <w:p w:rsidR="00C70695" w:rsidRPr="00452A75" w:rsidRDefault="00C70695" w:rsidP="00FD0481">
      <w:pPr>
        <w:pStyle w:val="FootnoteText"/>
        <w:kinsoku w:val="0"/>
        <w:overflowPunct w:val="0"/>
        <w:autoSpaceDE w:val="0"/>
        <w:autoSpaceDN w:val="0"/>
        <w:ind w:firstLine="0"/>
        <w:jc w:val="left"/>
        <w:rPr>
          <w:szCs w:val="18"/>
          <w:lang w:val="es-ES"/>
        </w:rPr>
      </w:pPr>
      <w:r w:rsidRPr="00452A75">
        <w:rPr>
          <w:rStyle w:val="FootnoteReference"/>
          <w:kern w:val="18"/>
          <w:szCs w:val="18"/>
          <w:u w:val="none"/>
          <w:vertAlign w:val="superscript"/>
          <w:lang w:val="es-ES"/>
        </w:rPr>
        <w:footnoteRef/>
      </w:r>
      <w:r w:rsidRPr="00452A75">
        <w:rPr>
          <w:kern w:val="18"/>
          <w:szCs w:val="18"/>
          <w:lang w:val="es-ES"/>
        </w:rPr>
        <w:t xml:space="preserve"> Celebrada en Bruselas los días 22 y 23 de noviembre de 2017. Las siguientes organizaciones participaron en la octava reunión del Grupo de Enlace: CABI, CDB, CITES*, OMI, CIPF, UICN, GEEI-UICN, OIE, OMA y OMC* (*participación remota en línea). El informe del Grupo de Enlace puede consultarse en: </w:t>
      </w:r>
      <w:hyperlink r:id="rId4" w:history="1">
        <w:r w:rsidRPr="00452A75">
          <w:rPr>
            <w:rStyle w:val="Hyperlink"/>
            <w:kern w:val="18"/>
            <w:szCs w:val="18"/>
            <w:lang w:val="es-ES"/>
          </w:rPr>
          <w:t>http://www</w:t>
        </w:r>
        <w:r w:rsidRPr="00452A75">
          <w:rPr>
            <w:rStyle w:val="Hyperlink"/>
            <w:kern w:val="18"/>
            <w:szCs w:val="18"/>
            <w:lang w:val="es-ES"/>
          </w:rPr>
          <w:t>.</w:t>
        </w:r>
        <w:r w:rsidRPr="00452A75">
          <w:rPr>
            <w:rStyle w:val="Hyperlink"/>
            <w:kern w:val="18"/>
            <w:szCs w:val="18"/>
            <w:lang w:val="es-ES"/>
          </w:rPr>
          <w:t>cbd.int/invasive/lg/</w:t>
        </w:r>
      </w:hyperlink>
      <w:r>
        <w:rPr>
          <w:kern w:val="18"/>
          <w:szCs w:val="18"/>
          <w:lang w:val="es-ES"/>
        </w:rPr>
        <w:t>.</w:t>
      </w:r>
    </w:p>
  </w:footnote>
  <w:footnote w:id="7">
    <w:p w:rsidR="00C70695" w:rsidRPr="00452A75" w:rsidRDefault="00C70695" w:rsidP="00FD0481">
      <w:pPr>
        <w:pStyle w:val="FootnoteText"/>
        <w:kinsoku w:val="0"/>
        <w:overflowPunct w:val="0"/>
        <w:autoSpaceDE w:val="0"/>
        <w:autoSpaceDN w:val="0"/>
        <w:ind w:firstLine="0"/>
        <w:jc w:val="left"/>
        <w:rPr>
          <w:szCs w:val="18"/>
          <w:lang w:val="es-ES"/>
        </w:rPr>
      </w:pPr>
      <w:r w:rsidRPr="00452A75">
        <w:rPr>
          <w:rStyle w:val="FootnoteReference"/>
          <w:kern w:val="18"/>
          <w:szCs w:val="18"/>
          <w:u w:val="none"/>
          <w:vertAlign w:val="superscript"/>
          <w:lang w:val="es-ES"/>
        </w:rPr>
        <w:footnoteRef/>
      </w:r>
      <w:r w:rsidRPr="00452A75">
        <w:rPr>
          <w:kern w:val="18"/>
          <w:szCs w:val="18"/>
          <w:lang w:val="es-ES"/>
        </w:rPr>
        <w:t xml:space="preserve"> </w:t>
      </w:r>
      <w:r w:rsidR="002D2D0F">
        <w:rPr>
          <w:kern w:val="18"/>
          <w:szCs w:val="18"/>
          <w:lang w:val="es-ES"/>
        </w:rPr>
        <w:t>Realizado</w:t>
      </w:r>
      <w:r w:rsidRPr="00452A75">
        <w:rPr>
          <w:kern w:val="18"/>
          <w:szCs w:val="18"/>
          <w:lang w:val="es-ES"/>
        </w:rPr>
        <w:t xml:space="preserve"> en Montreal (Canadá), del 6 al 9 de diciembre de 2017. Los expertos </w:t>
      </w:r>
      <w:r w:rsidR="002D2D0F">
        <w:rPr>
          <w:kern w:val="18"/>
          <w:szCs w:val="18"/>
          <w:lang w:val="es-ES"/>
        </w:rPr>
        <w:t>que participaron en</w:t>
      </w:r>
      <w:r w:rsidRPr="00452A75">
        <w:rPr>
          <w:kern w:val="18"/>
          <w:szCs w:val="18"/>
          <w:lang w:val="es-ES"/>
        </w:rPr>
        <w:t xml:space="preserve"> este taller fueron seleccionados sobre la base de información presentada en respuesta a las notificaciones </w:t>
      </w:r>
      <w:r w:rsidR="002D2D0F">
        <w:rPr>
          <w:kern w:val="18"/>
          <w:szCs w:val="18"/>
          <w:lang w:val="es-ES"/>
        </w:rPr>
        <w:t xml:space="preserve">y en la selección se tuvo cuidado </w:t>
      </w:r>
      <w:r w:rsidRPr="00452A75">
        <w:rPr>
          <w:kern w:val="18"/>
          <w:szCs w:val="18"/>
          <w:lang w:val="es-ES"/>
        </w:rPr>
        <w:t>de que hubiera una representación geográfic</w:t>
      </w:r>
      <w:r>
        <w:rPr>
          <w:kern w:val="18"/>
          <w:szCs w:val="18"/>
          <w:lang w:val="es-ES"/>
        </w:rPr>
        <w:t>a</w:t>
      </w:r>
      <w:r w:rsidRPr="00452A75">
        <w:rPr>
          <w:kern w:val="18"/>
          <w:szCs w:val="18"/>
          <w:lang w:val="es-ES"/>
        </w:rPr>
        <w:t xml:space="preserve"> y de género equilibrada.</w:t>
      </w:r>
      <w:r w:rsidR="00A4612C">
        <w:rPr>
          <w:kern w:val="18"/>
          <w:szCs w:val="18"/>
          <w:lang w:val="es-ES"/>
        </w:rPr>
        <w:t xml:space="preserve"> </w:t>
      </w:r>
      <w:r w:rsidRPr="00452A75">
        <w:rPr>
          <w:kern w:val="18"/>
          <w:szCs w:val="18"/>
          <w:lang w:val="es-ES"/>
        </w:rPr>
        <w:t>Asistieron expertos de Barbados, el Brasil, Cabo Verde, el Canadá, México, Nueva Zelandia, Sri Lanka, Suecia, Pueblos Indígenas y Comunidades Locales, la Unión Internacional para la Conservación de la Naturaleza (UICN), el Grupo Especialista en Especies Invasoras de la UICN, la Secretaría de la Infraestructura Mundial de Información sobre Biodiversidad (GBIF) y la Red de Gobiernos Regionales para el Desarrollo Sostenible (nrg4sd). La Secretaría recibió además información y comentarios del Canadá, la Unión Europea, Sri Lanka, Suecia, la Secretaría de la Convención Internacional de Protección Fitosanitaria (CIPF), la Organización Mundial de Sanidad Animal (OIE), la UICN y el Grupo Especialista en Especies Invasoras de la UICN durante el período de comentarios (del 22 de diciembre de 2017 al 28 de febrero de 2018) como solicitaron los participantes. El informe del taller de expertos está disponible en el documento CBD/IAS/EM/2017/1/2.</w:t>
      </w:r>
    </w:p>
  </w:footnote>
  <w:footnote w:id="8">
    <w:p w:rsidR="00C70695" w:rsidRPr="00452A75" w:rsidRDefault="00C70695" w:rsidP="00452A75">
      <w:pPr>
        <w:pStyle w:val="FootnoteText"/>
        <w:kinsoku w:val="0"/>
        <w:overflowPunct w:val="0"/>
        <w:autoSpaceDE w:val="0"/>
        <w:autoSpaceDN w:val="0"/>
        <w:ind w:firstLine="0"/>
        <w:jc w:val="left"/>
        <w:rPr>
          <w:szCs w:val="18"/>
          <w:lang w:val="es-ES"/>
        </w:rPr>
      </w:pPr>
      <w:r w:rsidRPr="00452A75">
        <w:rPr>
          <w:rStyle w:val="FootnoteReference"/>
          <w:rFonts w:eastAsia="Yu Mincho"/>
          <w:kern w:val="18"/>
          <w:szCs w:val="18"/>
          <w:u w:val="none"/>
          <w:vertAlign w:val="superscript"/>
          <w:lang w:val="es-ES"/>
        </w:rPr>
        <w:footnoteRef/>
      </w:r>
      <w:r w:rsidRPr="00452A75">
        <w:rPr>
          <w:rStyle w:val="FootnoteReference"/>
          <w:kern w:val="18"/>
          <w:szCs w:val="18"/>
          <w:u w:val="none"/>
          <w:lang w:val="es-ES"/>
        </w:rPr>
        <w:t xml:space="preserve"> </w:t>
      </w:r>
      <w:hyperlink r:id="rId5" w:history="1">
        <w:r w:rsidRPr="008808D1">
          <w:rPr>
            <w:rStyle w:val="Hyperlink"/>
            <w:kern w:val="18"/>
            <w:szCs w:val="18"/>
            <w:lang w:val="es-ES"/>
          </w:rPr>
          <w:t>UNEP/CBD/SBSTTA/18/9/Add.1</w:t>
        </w:r>
      </w:hyperlink>
      <w:r w:rsidRPr="00452A75">
        <w:rPr>
          <w:kern w:val="18"/>
          <w:szCs w:val="18"/>
          <w:lang w:val="es-ES"/>
        </w:rPr>
        <w:t>.</w:t>
      </w:r>
    </w:p>
  </w:footnote>
  <w:footnote w:id="9">
    <w:p w:rsidR="00C70695" w:rsidRPr="00452A75" w:rsidRDefault="00C70695" w:rsidP="00B34FB0">
      <w:pPr>
        <w:pStyle w:val="FootnoteText"/>
        <w:kinsoku w:val="0"/>
        <w:overflowPunct w:val="0"/>
        <w:autoSpaceDE w:val="0"/>
        <w:autoSpaceDN w:val="0"/>
        <w:ind w:firstLine="0"/>
        <w:jc w:val="left"/>
        <w:rPr>
          <w:szCs w:val="18"/>
          <w:lang w:val="es-ES"/>
        </w:rPr>
      </w:pPr>
      <w:r w:rsidRPr="00452A75">
        <w:rPr>
          <w:rStyle w:val="FootnoteReference"/>
          <w:rFonts w:eastAsia="Yu Mincho"/>
          <w:kern w:val="18"/>
          <w:szCs w:val="18"/>
          <w:u w:val="none"/>
          <w:vertAlign w:val="superscript"/>
          <w:lang w:val="es-ES"/>
        </w:rPr>
        <w:footnoteRef/>
      </w:r>
      <w:r w:rsidRPr="00452A75">
        <w:rPr>
          <w:rStyle w:val="FootnoteReference"/>
          <w:kern w:val="18"/>
          <w:szCs w:val="18"/>
          <w:u w:val="none"/>
          <w:lang w:val="es-ES"/>
        </w:rPr>
        <w:t xml:space="preserve"> UICN</w:t>
      </w:r>
      <w:r w:rsidRPr="00452A75">
        <w:rPr>
          <w:kern w:val="18"/>
          <w:szCs w:val="18"/>
          <w:lang w:val="es-ES"/>
        </w:rPr>
        <w:t>,</w:t>
      </w:r>
      <w:r w:rsidRPr="00452A75">
        <w:rPr>
          <w:rStyle w:val="FootnoteReference"/>
          <w:kern w:val="18"/>
          <w:szCs w:val="18"/>
          <w:u w:val="none"/>
          <w:lang w:val="es-ES"/>
        </w:rPr>
        <w:t xml:space="preserve"> 2017. </w:t>
      </w:r>
      <w:r w:rsidRPr="00754BCD">
        <w:rPr>
          <w:rStyle w:val="FootnoteReference"/>
          <w:i/>
          <w:kern w:val="18"/>
          <w:szCs w:val="18"/>
          <w:u w:val="none"/>
          <w:lang w:val="es-ES"/>
        </w:rPr>
        <w:t>Guidance for interpretation of CBD categories on introduction pathways</w:t>
      </w:r>
      <w:r w:rsidRPr="00452A75">
        <w:rPr>
          <w:rStyle w:val="FootnoteReference"/>
          <w:kern w:val="18"/>
          <w:szCs w:val="18"/>
          <w:u w:val="none"/>
          <w:lang w:val="es-ES"/>
        </w:rPr>
        <w:t xml:space="preserve"> </w:t>
      </w:r>
      <w:r w:rsidRPr="00452A75">
        <w:rPr>
          <w:kern w:val="18"/>
          <w:szCs w:val="18"/>
          <w:lang w:val="es-ES"/>
        </w:rPr>
        <w:t xml:space="preserve">[Orientación para la interpretación de las categorías del CDB sobre vías de introducción]. </w:t>
      </w:r>
      <w:r w:rsidRPr="00452A75">
        <w:rPr>
          <w:rStyle w:val="FootnoteReference"/>
          <w:kern w:val="18"/>
          <w:szCs w:val="18"/>
          <w:u w:val="none"/>
          <w:lang w:val="es-ES"/>
        </w:rPr>
        <w:t>N</w:t>
      </w:r>
      <w:r w:rsidRPr="00452A75">
        <w:rPr>
          <w:kern w:val="18"/>
          <w:szCs w:val="18"/>
          <w:lang w:val="es-ES"/>
        </w:rPr>
        <w:t>ota técnica preparada por la UICN para la Comisión Europea.</w:t>
      </w:r>
    </w:p>
  </w:footnote>
  <w:footnote w:id="10">
    <w:p w:rsidR="00C70695" w:rsidRPr="00452A75" w:rsidRDefault="00C70695" w:rsidP="00452A75">
      <w:pPr>
        <w:pStyle w:val="FootnoteText"/>
        <w:kinsoku w:val="0"/>
        <w:overflowPunct w:val="0"/>
        <w:autoSpaceDE w:val="0"/>
        <w:autoSpaceDN w:val="0"/>
        <w:ind w:firstLine="0"/>
        <w:jc w:val="left"/>
        <w:rPr>
          <w:szCs w:val="18"/>
          <w:lang w:val="es-ES"/>
        </w:rPr>
      </w:pPr>
      <w:r w:rsidRPr="00452A75">
        <w:rPr>
          <w:rStyle w:val="FootnoteReference"/>
          <w:kern w:val="18"/>
          <w:szCs w:val="18"/>
          <w:u w:val="none"/>
          <w:vertAlign w:val="superscript"/>
          <w:lang w:val="es-ES"/>
        </w:rPr>
        <w:footnoteRef/>
      </w:r>
      <w:r w:rsidRPr="00452A75">
        <w:rPr>
          <w:kern w:val="18"/>
          <w:szCs w:val="18"/>
          <w:lang w:val="es-ES"/>
        </w:rPr>
        <w:t xml:space="preserve"> </w:t>
      </w:r>
      <w:hyperlink r:id="rId6" w:history="1">
        <w:r w:rsidRPr="00452A75">
          <w:rPr>
            <w:rStyle w:val="Hyperlink"/>
            <w:kern w:val="18"/>
            <w:szCs w:val="18"/>
            <w:lang w:val="es-ES"/>
          </w:rPr>
          <w:t>https://www.wto.org/spanish/tratop_s/sps_s/spsagr_s.htm</w:t>
        </w:r>
      </w:hyperlink>
    </w:p>
  </w:footnote>
  <w:footnote w:id="11">
    <w:p w:rsidR="00C70695" w:rsidRPr="00452A75" w:rsidRDefault="00C70695" w:rsidP="00903D75">
      <w:pPr>
        <w:pStyle w:val="FootnoteText"/>
        <w:kinsoku w:val="0"/>
        <w:overflowPunct w:val="0"/>
        <w:autoSpaceDE w:val="0"/>
        <w:autoSpaceDN w:val="0"/>
        <w:ind w:firstLine="0"/>
        <w:jc w:val="left"/>
        <w:rPr>
          <w:szCs w:val="18"/>
          <w:lang w:val="es-ES"/>
        </w:rPr>
      </w:pPr>
      <w:r w:rsidRPr="00452A75">
        <w:rPr>
          <w:rStyle w:val="FootnoteReference"/>
          <w:kern w:val="18"/>
          <w:szCs w:val="18"/>
          <w:u w:val="none"/>
          <w:vertAlign w:val="superscript"/>
          <w:lang w:val="es-ES"/>
        </w:rPr>
        <w:footnoteRef/>
      </w:r>
      <w:r w:rsidRPr="00452A75">
        <w:rPr>
          <w:kern w:val="18"/>
          <w:szCs w:val="18"/>
          <w:lang w:val="es-ES"/>
        </w:rPr>
        <w:t xml:space="preserve"> </w:t>
      </w:r>
      <w:r w:rsidRPr="00452A75">
        <w:rPr>
          <w:rStyle w:val="FootnoteReference"/>
          <w:kern w:val="18"/>
          <w:szCs w:val="18"/>
          <w:u w:val="none"/>
          <w:lang w:val="es-ES"/>
        </w:rPr>
        <w:t>Durante el proceso de adopción de esta decisión, un representante formuló una objeción explícita y recalcó que c</w:t>
      </w:r>
      <w:r w:rsidRPr="00452A75">
        <w:rPr>
          <w:kern w:val="18"/>
          <w:szCs w:val="18"/>
          <w:lang w:val="es-ES"/>
        </w:rPr>
        <w:t>on</w:t>
      </w:r>
      <w:r w:rsidRPr="00452A75">
        <w:rPr>
          <w:rStyle w:val="FootnoteReference"/>
          <w:kern w:val="18"/>
          <w:szCs w:val="18"/>
          <w:u w:val="none"/>
          <w:lang w:val="es-ES"/>
        </w:rPr>
        <w:t>si</w:t>
      </w:r>
      <w:r w:rsidRPr="00452A75">
        <w:rPr>
          <w:kern w:val="18"/>
          <w:szCs w:val="18"/>
          <w:lang w:val="es-ES"/>
        </w:rPr>
        <w:t>d</w:t>
      </w:r>
      <w:r w:rsidRPr="00452A75">
        <w:rPr>
          <w:rStyle w:val="FootnoteReference"/>
          <w:kern w:val="18"/>
          <w:szCs w:val="18"/>
          <w:u w:val="none"/>
          <w:lang w:val="es-ES"/>
        </w:rPr>
        <w:t>e</w:t>
      </w:r>
      <w:r w:rsidRPr="00452A75">
        <w:rPr>
          <w:kern w:val="18"/>
          <w:szCs w:val="18"/>
          <w:lang w:val="es-ES"/>
        </w:rPr>
        <w:t>r</w:t>
      </w:r>
      <w:r w:rsidRPr="00452A75">
        <w:rPr>
          <w:rStyle w:val="FootnoteReference"/>
          <w:kern w:val="18"/>
          <w:szCs w:val="18"/>
          <w:u w:val="none"/>
          <w:lang w:val="es-ES"/>
        </w:rPr>
        <w:t xml:space="preserve">aba que la Conferencia de las Partes no podía aprobar legítimamente una moción o texto </w:t>
      </w:r>
      <w:r w:rsidR="00754BCD" w:rsidRPr="00452A75">
        <w:rPr>
          <w:kern w:val="18"/>
          <w:szCs w:val="18"/>
          <w:lang w:val="es-ES"/>
        </w:rPr>
        <w:t>al cual se le hubiera hecho una objeción explícita</w:t>
      </w:r>
      <w:r w:rsidRPr="00452A75">
        <w:rPr>
          <w:rStyle w:val="FootnoteReference"/>
          <w:kern w:val="18"/>
          <w:szCs w:val="18"/>
          <w:u w:val="none"/>
          <w:lang w:val="es-ES"/>
        </w:rPr>
        <w:t xml:space="preserve">. Algunos representantes expresaron reservas en cuanto al procedimiento de adopción de esta decisión (véase </w:t>
      </w:r>
      <w:r w:rsidRPr="00452A75">
        <w:rPr>
          <w:kern w:val="18"/>
          <w:szCs w:val="18"/>
          <w:lang w:val="es-ES"/>
        </w:rPr>
        <w:t>e</w:t>
      </w:r>
      <w:r w:rsidRPr="00452A75">
        <w:rPr>
          <w:rStyle w:val="FootnoteReference"/>
          <w:kern w:val="18"/>
          <w:szCs w:val="18"/>
          <w:u w:val="none"/>
          <w:lang w:val="es-ES"/>
        </w:rPr>
        <w:t>l</w:t>
      </w:r>
      <w:r w:rsidRPr="00452A75">
        <w:rPr>
          <w:kern w:val="18"/>
          <w:szCs w:val="18"/>
          <w:lang w:val="es-ES"/>
        </w:rPr>
        <w:t xml:space="preserve"> documento</w:t>
      </w:r>
      <w:r w:rsidRPr="00452A75">
        <w:rPr>
          <w:rStyle w:val="FootnoteReference"/>
          <w:kern w:val="18"/>
          <w:szCs w:val="18"/>
          <w:u w:val="none"/>
          <w:lang w:val="es-ES"/>
        </w:rPr>
        <w:t xml:space="preserve"> </w:t>
      </w:r>
      <w:hyperlink r:id="rId7" w:history="1">
        <w:r w:rsidRPr="00D331CF">
          <w:rPr>
            <w:rStyle w:val="Hyperlink"/>
            <w:kern w:val="18"/>
            <w:szCs w:val="18"/>
            <w:lang w:val="es-ES"/>
          </w:rPr>
          <w:t>UNEP/CBD/COP/6/20</w:t>
        </w:r>
      </w:hyperlink>
      <w:r w:rsidRPr="00452A75">
        <w:rPr>
          <w:rStyle w:val="FootnoteReference"/>
          <w:kern w:val="18"/>
          <w:szCs w:val="18"/>
          <w:u w:val="none"/>
          <w:lang w:val="es-ES"/>
        </w:rPr>
        <w:t>, párrs. 294-324).</w:t>
      </w:r>
    </w:p>
  </w:footnote>
  <w:footnote w:id="12">
    <w:p w:rsidR="00C70695" w:rsidRPr="00452A75" w:rsidRDefault="00C70695" w:rsidP="00903D75">
      <w:pPr>
        <w:pStyle w:val="FootnoteText"/>
        <w:kinsoku w:val="0"/>
        <w:overflowPunct w:val="0"/>
        <w:autoSpaceDE w:val="0"/>
        <w:autoSpaceDN w:val="0"/>
        <w:ind w:firstLine="0"/>
        <w:jc w:val="left"/>
        <w:rPr>
          <w:szCs w:val="18"/>
          <w:lang w:val="es-ES"/>
        </w:rPr>
      </w:pPr>
    </w:p>
  </w:footnote>
  <w:footnote w:id="13">
    <w:p w:rsidR="00C70695" w:rsidRPr="00452A75" w:rsidRDefault="00C70695" w:rsidP="00452A75">
      <w:pPr>
        <w:pStyle w:val="FootnoteText"/>
        <w:kinsoku w:val="0"/>
        <w:overflowPunct w:val="0"/>
        <w:autoSpaceDE w:val="0"/>
        <w:autoSpaceDN w:val="0"/>
        <w:ind w:firstLine="0"/>
        <w:jc w:val="left"/>
        <w:rPr>
          <w:szCs w:val="18"/>
          <w:lang w:val="es-ES"/>
        </w:rPr>
      </w:pPr>
      <w:r w:rsidRPr="00452A75">
        <w:rPr>
          <w:rStyle w:val="FootnoteReference"/>
          <w:rFonts w:eastAsia="Yu Mincho"/>
          <w:kern w:val="18"/>
          <w:szCs w:val="18"/>
          <w:u w:val="none"/>
          <w:vertAlign w:val="superscript"/>
          <w:lang w:val="es-ES"/>
        </w:rPr>
        <w:footnoteRef/>
      </w:r>
      <w:r w:rsidRPr="00452A75">
        <w:rPr>
          <w:kern w:val="18"/>
          <w:szCs w:val="18"/>
          <w:lang w:val="es-ES"/>
        </w:rPr>
        <w:t xml:space="preserve"> </w:t>
      </w:r>
      <w:hyperlink r:id="rId8" w:history="1">
        <w:r w:rsidRPr="00452A75">
          <w:rPr>
            <w:rStyle w:val="Hyperlink"/>
            <w:kern w:val="18"/>
            <w:szCs w:val="18"/>
            <w:lang w:val="es-ES"/>
          </w:rPr>
          <w:t>http://www.oie.int/es/normas/codigo-terrestre/acceso-en-linea/</w:t>
        </w:r>
      </w:hyperlink>
    </w:p>
  </w:footnote>
  <w:footnote w:id="14">
    <w:p w:rsidR="00C70695" w:rsidRPr="00452A75" w:rsidRDefault="00C70695" w:rsidP="00452A75">
      <w:pPr>
        <w:pStyle w:val="FootnoteText"/>
        <w:kinsoku w:val="0"/>
        <w:overflowPunct w:val="0"/>
        <w:autoSpaceDE w:val="0"/>
        <w:autoSpaceDN w:val="0"/>
        <w:ind w:firstLine="0"/>
        <w:jc w:val="left"/>
        <w:rPr>
          <w:szCs w:val="18"/>
          <w:lang w:val="es-ES"/>
        </w:rPr>
      </w:pPr>
      <w:r w:rsidRPr="00452A75">
        <w:rPr>
          <w:rStyle w:val="FootnoteReference"/>
          <w:rFonts w:eastAsia="Yu Mincho"/>
          <w:kern w:val="18"/>
          <w:szCs w:val="18"/>
          <w:u w:val="none"/>
          <w:vertAlign w:val="superscript"/>
          <w:lang w:val="es-ES"/>
        </w:rPr>
        <w:footnoteRef/>
      </w:r>
      <w:r w:rsidRPr="00452A75">
        <w:rPr>
          <w:kern w:val="18"/>
          <w:szCs w:val="18"/>
          <w:lang w:val="es-ES"/>
        </w:rPr>
        <w:t xml:space="preserve"> </w:t>
      </w:r>
      <w:hyperlink r:id="rId9" w:history="1">
        <w:r w:rsidRPr="00452A75">
          <w:rPr>
            <w:rStyle w:val="Hyperlink"/>
            <w:kern w:val="18"/>
            <w:szCs w:val="18"/>
            <w:lang w:val="es-ES"/>
          </w:rPr>
          <w:t>http://www.oie.int/es/normas/codigo-acuatico/acceso-en-linea/</w:t>
        </w:r>
      </w:hyperlink>
    </w:p>
  </w:footnote>
  <w:footnote w:id="15">
    <w:p w:rsidR="00C70695" w:rsidRPr="00452A75" w:rsidRDefault="00C70695" w:rsidP="00452A75">
      <w:pPr>
        <w:pStyle w:val="FootnoteText"/>
        <w:kinsoku w:val="0"/>
        <w:overflowPunct w:val="0"/>
        <w:autoSpaceDE w:val="0"/>
        <w:autoSpaceDN w:val="0"/>
        <w:ind w:firstLine="0"/>
        <w:jc w:val="left"/>
        <w:rPr>
          <w:szCs w:val="18"/>
          <w:lang w:val="es-ES"/>
        </w:rPr>
      </w:pPr>
      <w:r w:rsidRPr="00452A75">
        <w:rPr>
          <w:rStyle w:val="FootnoteReference"/>
          <w:rFonts w:eastAsia="Yu Mincho"/>
          <w:kern w:val="18"/>
          <w:szCs w:val="18"/>
          <w:u w:val="none"/>
          <w:vertAlign w:val="superscript"/>
          <w:lang w:val="es-ES"/>
        </w:rPr>
        <w:footnoteRef/>
      </w:r>
      <w:r w:rsidRPr="00452A75">
        <w:rPr>
          <w:kern w:val="18"/>
          <w:szCs w:val="18"/>
          <w:lang w:val="es-ES"/>
        </w:rPr>
        <w:t xml:space="preserve"> </w:t>
      </w:r>
      <w:hyperlink r:id="rId10" w:history="1">
        <w:r w:rsidRPr="00B525FF">
          <w:rPr>
            <w:rStyle w:val="Hyperlink"/>
            <w:kern w:val="18"/>
            <w:szCs w:val="18"/>
            <w:lang w:val="es-ES"/>
          </w:rPr>
          <w:t>Sistema Globalmente Armonizado de Clasificación y Etiquetado de Productos Químicos (SGA), Cuarta edición revisada (publicación de las Naciones Unidas, núm. de venta: S.11.II.E.6)</w:t>
        </w:r>
      </w:hyperlink>
      <w:r w:rsidRPr="00452A75">
        <w:rPr>
          <w:kern w:val="18"/>
          <w:szCs w:val="18"/>
          <w:lang w:val="es-ES"/>
        </w:rPr>
        <w:t>.</w:t>
      </w:r>
    </w:p>
  </w:footnote>
  <w:footnote w:id="16">
    <w:p w:rsidR="00C70695" w:rsidRPr="00452A75" w:rsidRDefault="00C70695" w:rsidP="00452A75">
      <w:pPr>
        <w:pStyle w:val="FootnoteText"/>
        <w:kinsoku w:val="0"/>
        <w:overflowPunct w:val="0"/>
        <w:autoSpaceDE w:val="0"/>
        <w:autoSpaceDN w:val="0"/>
        <w:ind w:firstLine="0"/>
        <w:jc w:val="left"/>
        <w:rPr>
          <w:szCs w:val="18"/>
          <w:lang w:val="es-ES"/>
        </w:rPr>
      </w:pPr>
      <w:r w:rsidRPr="00452A75">
        <w:rPr>
          <w:rStyle w:val="FootnoteReference"/>
          <w:rFonts w:eastAsia="Yu Mincho"/>
          <w:kern w:val="18"/>
          <w:szCs w:val="18"/>
          <w:u w:val="none"/>
          <w:vertAlign w:val="superscript"/>
          <w:lang w:val="es-ES"/>
        </w:rPr>
        <w:footnoteRef/>
      </w:r>
      <w:r w:rsidRPr="00452A75">
        <w:rPr>
          <w:kern w:val="18"/>
          <w:szCs w:val="18"/>
          <w:lang w:val="es-ES"/>
        </w:rPr>
        <w:t xml:space="preserve"> </w:t>
      </w:r>
      <w:hyperlink r:id="rId11" w:history="1">
        <w:r w:rsidRPr="00B525FF">
          <w:rPr>
            <w:rStyle w:val="Hyperlink"/>
            <w:kern w:val="18"/>
            <w:szCs w:val="18"/>
            <w:lang w:val="es-ES"/>
          </w:rPr>
          <w:t>Aplicación del control de comercio estratégico (STCE): Guía de implementación</w:t>
        </w:r>
      </w:hyperlink>
      <w:r w:rsidRPr="00452A75">
        <w:rPr>
          <w:kern w:val="18"/>
          <w:szCs w:val="18"/>
          <w:lang w:val="es-ES"/>
        </w:rPr>
        <w:t>.</w:t>
      </w:r>
    </w:p>
  </w:footnote>
  <w:footnote w:id="17">
    <w:p w:rsidR="00C70695" w:rsidRPr="00452A75" w:rsidRDefault="00C70695" w:rsidP="00452A75">
      <w:pPr>
        <w:pStyle w:val="FootnoteText"/>
        <w:kinsoku w:val="0"/>
        <w:overflowPunct w:val="0"/>
        <w:autoSpaceDE w:val="0"/>
        <w:autoSpaceDN w:val="0"/>
        <w:ind w:firstLine="0"/>
        <w:jc w:val="left"/>
        <w:rPr>
          <w:szCs w:val="18"/>
          <w:lang w:val="es-ES"/>
        </w:rPr>
      </w:pPr>
      <w:r w:rsidRPr="00452A75">
        <w:rPr>
          <w:rStyle w:val="FootnoteReference"/>
          <w:rFonts w:eastAsia="Yu Mincho"/>
          <w:kern w:val="18"/>
          <w:szCs w:val="18"/>
          <w:u w:val="none"/>
          <w:vertAlign w:val="superscript"/>
          <w:lang w:val="es-ES"/>
        </w:rPr>
        <w:footnoteRef/>
      </w:r>
      <w:r w:rsidRPr="00452A75">
        <w:rPr>
          <w:kern w:val="18"/>
          <w:szCs w:val="18"/>
          <w:lang w:val="es-ES"/>
        </w:rPr>
        <w:t xml:space="preserve"> </w:t>
      </w:r>
      <w:hyperlink r:id="rId12" w:history="1">
        <w:r w:rsidRPr="00452A75">
          <w:rPr>
            <w:rStyle w:val="Hyperlink"/>
            <w:kern w:val="18"/>
            <w:szCs w:val="18"/>
            <w:lang w:val="es-ES"/>
          </w:rPr>
          <w:t>WHO/HSE/GCR/2015.2</w:t>
        </w:r>
      </w:hyperlink>
    </w:p>
  </w:footnote>
  <w:footnote w:id="18">
    <w:p w:rsidR="00C70695" w:rsidRPr="00452A75" w:rsidRDefault="00C70695" w:rsidP="00452A75">
      <w:pPr>
        <w:pStyle w:val="FootnoteText"/>
        <w:kinsoku w:val="0"/>
        <w:overflowPunct w:val="0"/>
        <w:autoSpaceDE w:val="0"/>
        <w:autoSpaceDN w:val="0"/>
        <w:ind w:firstLine="0"/>
        <w:jc w:val="left"/>
        <w:rPr>
          <w:szCs w:val="18"/>
          <w:lang w:val="es-ES"/>
        </w:rPr>
      </w:pPr>
      <w:r w:rsidRPr="00452A75">
        <w:rPr>
          <w:rStyle w:val="FootnoteReference"/>
          <w:rFonts w:eastAsia="Yu Mincho"/>
          <w:kern w:val="18"/>
          <w:szCs w:val="18"/>
          <w:u w:val="none"/>
          <w:vertAlign w:val="superscript"/>
          <w:lang w:val="es-ES"/>
        </w:rPr>
        <w:footnoteRef/>
      </w:r>
      <w:r w:rsidRPr="00452A75">
        <w:rPr>
          <w:kern w:val="18"/>
          <w:szCs w:val="18"/>
          <w:lang w:val="es-ES"/>
        </w:rPr>
        <w:t xml:space="preserve"> </w:t>
      </w:r>
      <w:hyperlink r:id="rId13" w:history="1">
        <w:r w:rsidRPr="00452A75">
          <w:rPr>
            <w:rStyle w:val="Hyperlink"/>
            <w:kern w:val="18"/>
            <w:szCs w:val="18"/>
            <w:lang w:val="es-ES"/>
          </w:rPr>
          <w:t>Publicación de las Naciones Unidas , núm. de venta: S.11.II.E.6</w:t>
        </w:r>
      </w:hyperlink>
      <w:r w:rsidRPr="00452A75">
        <w:rPr>
          <w:rStyle w:val="Hyperlink"/>
          <w:kern w:val="18"/>
          <w:szCs w:val="18"/>
          <w:u w:val="none"/>
          <w:lang w:val="es-ES"/>
        </w:rPr>
        <w:t>.</w:t>
      </w:r>
    </w:p>
  </w:footnote>
  <w:footnote w:id="19">
    <w:p w:rsidR="00C70695" w:rsidRPr="00452A75" w:rsidRDefault="00C70695">
      <w:pPr>
        <w:pStyle w:val="FootnoteText"/>
        <w:kinsoku w:val="0"/>
        <w:overflowPunct w:val="0"/>
        <w:autoSpaceDE w:val="0"/>
        <w:autoSpaceDN w:val="0"/>
        <w:ind w:firstLine="0"/>
        <w:jc w:val="left"/>
        <w:rPr>
          <w:szCs w:val="18"/>
          <w:lang w:val="es-ES"/>
        </w:rPr>
      </w:pPr>
      <w:r w:rsidRPr="00452A75">
        <w:rPr>
          <w:rStyle w:val="FootnoteReference"/>
          <w:rFonts w:eastAsia="Yu Mincho"/>
          <w:kern w:val="18"/>
          <w:szCs w:val="18"/>
          <w:u w:val="none"/>
          <w:vertAlign w:val="superscript"/>
          <w:lang w:val="es-ES"/>
        </w:rPr>
        <w:footnoteRef/>
      </w:r>
      <w:r w:rsidRPr="00452A75">
        <w:rPr>
          <w:rStyle w:val="FootnoteReference"/>
          <w:kern w:val="18"/>
          <w:szCs w:val="18"/>
          <w:u w:val="none"/>
          <w:lang w:val="es-ES"/>
        </w:rPr>
        <w:t xml:space="preserve"> </w:t>
      </w:r>
      <w:r w:rsidRPr="00452A75">
        <w:rPr>
          <w:kern w:val="18"/>
          <w:szCs w:val="18"/>
          <w:lang w:val="es-ES"/>
        </w:rPr>
        <w:t xml:space="preserve">Véase la resolución </w:t>
      </w:r>
      <w:hyperlink r:id="rId14" w:history="1">
        <w:r w:rsidRPr="00452A75">
          <w:rPr>
            <w:rStyle w:val="Hyperlink"/>
            <w:kern w:val="18"/>
            <w:szCs w:val="18"/>
            <w:lang w:val="es-ES"/>
          </w:rPr>
          <w:t>2009/19</w:t>
        </w:r>
      </w:hyperlink>
      <w:r w:rsidRPr="00452A75">
        <w:rPr>
          <w:kern w:val="18"/>
          <w:szCs w:val="18"/>
          <w:lang w:val="es-ES"/>
        </w:rPr>
        <w:t xml:space="preserve"> </w:t>
      </w:r>
      <w:r w:rsidRPr="00452A75">
        <w:rPr>
          <w:rStyle w:val="FootnoteReference"/>
          <w:kern w:val="18"/>
          <w:szCs w:val="18"/>
          <w:u w:val="none"/>
          <w:lang w:val="es-ES"/>
        </w:rPr>
        <w:t>d</w:t>
      </w:r>
      <w:r w:rsidRPr="00452A75">
        <w:rPr>
          <w:kern w:val="18"/>
          <w:szCs w:val="18"/>
          <w:lang w:val="es-ES"/>
        </w:rPr>
        <w:t>el Consejo</w:t>
      </w:r>
      <w:r w:rsidRPr="00452A75">
        <w:rPr>
          <w:rStyle w:val="FootnoteReference"/>
          <w:kern w:val="18"/>
          <w:szCs w:val="18"/>
          <w:u w:val="none"/>
          <w:lang w:val="es-ES"/>
        </w:rPr>
        <w:t xml:space="preserve"> Económic</w:t>
      </w:r>
      <w:r w:rsidRPr="00452A75">
        <w:rPr>
          <w:kern w:val="18"/>
          <w:szCs w:val="18"/>
          <w:lang w:val="es-ES"/>
        </w:rPr>
        <w:t>o</w:t>
      </w:r>
      <w:r w:rsidRPr="00452A75">
        <w:rPr>
          <w:rStyle w:val="FootnoteReference"/>
          <w:kern w:val="18"/>
          <w:szCs w:val="18"/>
          <w:u w:val="none"/>
          <w:lang w:val="es-ES"/>
        </w:rPr>
        <w:t xml:space="preserve"> </w:t>
      </w:r>
      <w:r w:rsidRPr="00452A75">
        <w:rPr>
          <w:kern w:val="18"/>
          <w:szCs w:val="18"/>
          <w:lang w:val="es-ES"/>
        </w:rPr>
        <w:t>y Social</w:t>
      </w:r>
      <w:r>
        <w:rPr>
          <w:kern w:val="18"/>
          <w:szCs w:val="18"/>
          <w:lang w:val="es-ES"/>
        </w:rPr>
        <w:t>,</w:t>
      </w:r>
      <w:r w:rsidRPr="00452A75">
        <w:rPr>
          <w:kern w:val="18"/>
          <w:szCs w:val="18"/>
          <w:lang w:val="es-ES"/>
        </w:rPr>
        <w:t xml:space="preserve"> del 29 de julio </w:t>
      </w:r>
      <w:r>
        <w:rPr>
          <w:kern w:val="18"/>
          <w:szCs w:val="18"/>
          <w:lang w:val="es-ES"/>
        </w:rPr>
        <w:t xml:space="preserve">de </w:t>
      </w:r>
      <w:r w:rsidRPr="00452A75">
        <w:rPr>
          <w:kern w:val="18"/>
          <w:szCs w:val="18"/>
          <w:lang w:val="es-ES"/>
        </w:rPr>
        <w:t>2009.</w:t>
      </w:r>
    </w:p>
  </w:footnote>
  <w:footnote w:id="20">
    <w:p w:rsidR="00C70695" w:rsidRPr="00452A75" w:rsidRDefault="00C70695" w:rsidP="0037631A">
      <w:pPr>
        <w:pStyle w:val="FootnoteText"/>
        <w:kinsoku w:val="0"/>
        <w:overflowPunct w:val="0"/>
        <w:autoSpaceDE w:val="0"/>
        <w:autoSpaceDN w:val="0"/>
        <w:ind w:firstLine="0"/>
        <w:jc w:val="left"/>
        <w:rPr>
          <w:szCs w:val="18"/>
          <w:lang w:val="es-ES"/>
        </w:rPr>
      </w:pPr>
      <w:r w:rsidRPr="009048D5">
        <w:rPr>
          <w:rStyle w:val="FootnoteReference"/>
          <w:kern w:val="18"/>
          <w:szCs w:val="18"/>
          <w:u w:val="none"/>
          <w:vertAlign w:val="superscript"/>
          <w:lang w:val="es-ES"/>
        </w:rPr>
        <w:footnoteRef/>
      </w:r>
      <w:r w:rsidRPr="00452A75">
        <w:rPr>
          <w:kern w:val="18"/>
          <w:szCs w:val="18"/>
          <w:vertAlign w:val="superscript"/>
          <w:lang w:val="es-ES"/>
        </w:rPr>
        <w:t xml:space="preserve"> </w:t>
      </w:r>
      <w:r w:rsidRPr="00452A75">
        <w:rPr>
          <w:kern w:val="18"/>
          <w:szCs w:val="18"/>
          <w:lang w:val="es-ES"/>
        </w:rPr>
        <w:t>En el documento de información CBD/SBSTTA/22/INF/22 se brinda más información sobre comercio electrónico y varios otros temas, según lo solicitado en la decisión XIII/13.</w:t>
      </w:r>
    </w:p>
  </w:footnote>
  <w:footnote w:id="21">
    <w:p w:rsidR="00C70695" w:rsidRPr="00452A75" w:rsidRDefault="00C70695">
      <w:pPr>
        <w:pStyle w:val="FootnoteText"/>
        <w:kinsoku w:val="0"/>
        <w:overflowPunct w:val="0"/>
        <w:autoSpaceDE w:val="0"/>
        <w:autoSpaceDN w:val="0"/>
        <w:ind w:firstLine="0"/>
        <w:jc w:val="left"/>
        <w:rPr>
          <w:szCs w:val="18"/>
          <w:lang w:val="es-ES"/>
        </w:rPr>
      </w:pPr>
      <w:r w:rsidRPr="009048D5">
        <w:rPr>
          <w:rStyle w:val="FootnoteReference"/>
          <w:kern w:val="18"/>
          <w:szCs w:val="18"/>
          <w:u w:val="none"/>
          <w:vertAlign w:val="superscript"/>
          <w:lang w:val="es-ES"/>
        </w:rPr>
        <w:footnoteRef/>
      </w:r>
      <w:r w:rsidRPr="00452A75">
        <w:rPr>
          <w:kern w:val="18"/>
          <w:szCs w:val="18"/>
          <w:lang w:val="es-ES"/>
        </w:rPr>
        <w:t xml:space="preserve"> </w:t>
      </w:r>
      <w:r w:rsidRPr="00452A75">
        <w:rPr>
          <w:szCs w:val="18"/>
          <w:lang w:val="es-ES"/>
        </w:rPr>
        <w:t>Véase la</w:t>
      </w:r>
      <w:r w:rsidRPr="00452A75">
        <w:rPr>
          <w:rStyle w:val="Hyperlink"/>
          <w:kern w:val="18"/>
          <w:szCs w:val="18"/>
          <w:lang w:val="es-ES"/>
        </w:rPr>
        <w:t xml:space="preserve"> resolución </w:t>
      </w:r>
      <w:hyperlink r:id="rId15" w:history="1">
        <w:r w:rsidRPr="00452A75">
          <w:rPr>
            <w:rStyle w:val="Hyperlink"/>
            <w:kern w:val="18"/>
            <w:szCs w:val="18"/>
            <w:lang w:val="es-ES"/>
          </w:rPr>
          <w:t>Conf. 11.3 (Rev. CoP17)</w:t>
        </w:r>
      </w:hyperlink>
      <w:r w:rsidRPr="00452A75">
        <w:rPr>
          <w:kern w:val="18"/>
          <w:szCs w:val="18"/>
          <w:lang w:val="es-ES"/>
        </w:rPr>
        <w:t xml:space="preserve"> sobre observancia y aplicación.</w:t>
      </w:r>
    </w:p>
  </w:footnote>
  <w:footnote w:id="22">
    <w:p w:rsidR="00C70695" w:rsidRPr="00452A75" w:rsidRDefault="00C70695">
      <w:pPr>
        <w:pStyle w:val="IPPFootnote"/>
        <w:keepLines/>
        <w:kinsoku w:val="0"/>
        <w:overflowPunct w:val="0"/>
        <w:autoSpaceDE w:val="0"/>
        <w:autoSpaceDN w:val="0"/>
        <w:jc w:val="left"/>
        <w:rPr>
          <w:sz w:val="18"/>
          <w:szCs w:val="18"/>
          <w:lang w:val="es-ES"/>
        </w:rPr>
      </w:pPr>
      <w:r w:rsidRPr="009048D5">
        <w:rPr>
          <w:rStyle w:val="FootnoteReference"/>
          <w:kern w:val="18"/>
          <w:szCs w:val="18"/>
          <w:u w:val="none"/>
          <w:vertAlign w:val="superscript"/>
          <w:lang w:val="es-ES"/>
        </w:rPr>
        <w:footnoteRef/>
      </w:r>
      <w:r w:rsidRPr="00452A75">
        <w:rPr>
          <w:kern w:val="18"/>
          <w:sz w:val="18"/>
          <w:szCs w:val="18"/>
          <w:lang w:val="es-ES"/>
        </w:rPr>
        <w:t xml:space="preserve"> Informe de la </w:t>
      </w:r>
      <w:hyperlink r:id="rId16" w:history="1">
        <w:r w:rsidRPr="00AE5D4F">
          <w:rPr>
            <w:rStyle w:val="Hyperlink"/>
            <w:kern w:val="18"/>
            <w:sz w:val="18"/>
            <w:szCs w:val="18"/>
            <w:lang w:val="es-ES"/>
          </w:rPr>
          <w:t>22ª Consulta Técnica de Organizaciones Regionales de Protección Fitosanitaria</w:t>
        </w:r>
      </w:hyperlink>
      <w:r>
        <w:rPr>
          <w:sz w:val="18"/>
          <w:szCs w:val="18"/>
          <w:lang w:val="es-ES"/>
        </w:rPr>
        <w:t xml:space="preserve"> (en inglés).</w:t>
      </w:r>
    </w:p>
  </w:footnote>
  <w:footnote w:id="23">
    <w:p w:rsidR="00C70695" w:rsidRPr="00452A75" w:rsidRDefault="00C70695">
      <w:pPr>
        <w:pStyle w:val="IPPFootnote"/>
        <w:keepLines/>
        <w:kinsoku w:val="0"/>
        <w:overflowPunct w:val="0"/>
        <w:autoSpaceDE w:val="0"/>
        <w:autoSpaceDN w:val="0"/>
        <w:jc w:val="left"/>
        <w:rPr>
          <w:sz w:val="18"/>
          <w:szCs w:val="18"/>
          <w:lang w:val="es-ES"/>
        </w:rPr>
      </w:pPr>
      <w:r w:rsidRPr="009048D5">
        <w:rPr>
          <w:rStyle w:val="FootnoteReference"/>
          <w:kern w:val="18"/>
          <w:szCs w:val="18"/>
          <w:u w:val="none"/>
          <w:vertAlign w:val="superscript"/>
          <w:lang w:val="es-ES"/>
        </w:rPr>
        <w:footnoteRef/>
      </w:r>
      <w:r w:rsidRPr="00452A75">
        <w:rPr>
          <w:kern w:val="18"/>
          <w:sz w:val="18"/>
          <w:szCs w:val="18"/>
          <w:lang w:val="es-ES"/>
        </w:rPr>
        <w:t xml:space="preserve"> El estudio del Sistema de Apoyo y de Examen de la Aplicación “Internet Trade (e-Commerce) in Plants: Potential Phytosanitary Risks” [El comercio por Internet (comercio electrónico) de plantas: Riesgos fitosanitarios potenciales] está disponible en inglés en </w:t>
      </w:r>
      <w:hyperlink r:id="rId17" w:history="1">
        <w:r w:rsidRPr="00452A75">
          <w:rPr>
            <w:rStyle w:val="Hyperlink"/>
            <w:kern w:val="18"/>
            <w:sz w:val="18"/>
            <w:szCs w:val="18"/>
            <w:lang w:val="es-ES"/>
          </w:rPr>
          <w:t>https://www.ippc.int/en/irss/activities/2/</w:t>
        </w:r>
      </w:hyperlink>
      <w:r w:rsidRPr="00452A75">
        <w:rPr>
          <w:kern w:val="18"/>
          <w:sz w:val="18"/>
          <w:szCs w:val="18"/>
          <w:lang w:val="es-ES"/>
        </w:rPr>
        <w:t>.</w:t>
      </w:r>
    </w:p>
  </w:footnote>
  <w:footnote w:id="24">
    <w:p w:rsidR="00C70695" w:rsidRPr="00452A75" w:rsidRDefault="00C70695" w:rsidP="009048D5">
      <w:pPr>
        <w:pStyle w:val="IPPFootnote"/>
        <w:keepLines/>
        <w:kinsoku w:val="0"/>
        <w:overflowPunct w:val="0"/>
        <w:autoSpaceDE w:val="0"/>
        <w:autoSpaceDN w:val="0"/>
        <w:jc w:val="left"/>
        <w:rPr>
          <w:sz w:val="18"/>
          <w:szCs w:val="18"/>
          <w:lang w:val="es-ES"/>
        </w:rPr>
      </w:pPr>
      <w:r w:rsidRPr="009048D5">
        <w:rPr>
          <w:rStyle w:val="FootnoteReference"/>
          <w:kern w:val="18"/>
          <w:szCs w:val="18"/>
          <w:u w:val="none"/>
          <w:vertAlign w:val="superscript"/>
          <w:lang w:val="es-ES"/>
        </w:rPr>
        <w:footnoteRef/>
      </w:r>
      <w:r w:rsidRPr="00452A75">
        <w:rPr>
          <w:kern w:val="18"/>
          <w:sz w:val="18"/>
          <w:szCs w:val="18"/>
          <w:lang w:val="es-ES"/>
        </w:rPr>
        <w:t xml:space="preserve"> </w:t>
      </w:r>
      <w:hyperlink r:id="rId18" w:history="1">
        <w:r w:rsidRPr="00452A75">
          <w:rPr>
            <w:rStyle w:val="Hyperlink"/>
            <w:kern w:val="18"/>
            <w:sz w:val="18"/>
            <w:szCs w:val="18"/>
            <w:lang w:val="es-ES"/>
          </w:rPr>
          <w:t>Recomendación 2014/14 de la novena reunión de la Comisión de Medidas Fitosanitarias</w:t>
        </w:r>
      </w:hyperlink>
    </w:p>
  </w:footnote>
  <w:footnote w:id="25">
    <w:p w:rsidR="00C70695" w:rsidRPr="00452A75" w:rsidRDefault="00C70695" w:rsidP="009048D5">
      <w:pPr>
        <w:pStyle w:val="FootnoteText"/>
        <w:kinsoku w:val="0"/>
        <w:overflowPunct w:val="0"/>
        <w:autoSpaceDE w:val="0"/>
        <w:autoSpaceDN w:val="0"/>
        <w:ind w:firstLine="0"/>
        <w:jc w:val="left"/>
        <w:rPr>
          <w:szCs w:val="18"/>
          <w:lang w:val="es-ES"/>
        </w:rPr>
      </w:pPr>
      <w:r w:rsidRPr="009048D5">
        <w:rPr>
          <w:rStyle w:val="FootnoteReference"/>
          <w:kern w:val="18"/>
          <w:szCs w:val="18"/>
          <w:u w:val="none"/>
          <w:vertAlign w:val="superscript"/>
          <w:lang w:val="es-ES"/>
        </w:rPr>
        <w:footnoteRef/>
      </w:r>
      <w:r w:rsidRPr="00452A75">
        <w:rPr>
          <w:kern w:val="18"/>
          <w:szCs w:val="18"/>
          <w:lang w:val="es-ES"/>
        </w:rPr>
        <w:t xml:space="preserve"> </w:t>
      </w:r>
      <w:r w:rsidRPr="00452A75">
        <w:rPr>
          <w:szCs w:val="18"/>
          <w:lang w:val="es-ES"/>
        </w:rPr>
        <w:t xml:space="preserve">Disponible en inglés en: </w:t>
      </w:r>
      <w:hyperlink r:id="rId19" w:history="1">
        <w:r w:rsidRPr="00452A75">
          <w:rPr>
            <w:rStyle w:val="Hyperlink"/>
            <w:kern w:val="18"/>
            <w:szCs w:val="18"/>
            <w:lang w:val="es-ES"/>
          </w:rPr>
          <w:t>http://www.wcoomd.org/~/media/wco/public/global/pdf/topics/facilitation/activities-and-programmes/ecommerce/wco-study-report-on-e_commerce.pdf?la=en</w:t>
        </w:r>
      </w:hyperlink>
      <w:r w:rsidRPr="00452A75">
        <w:rPr>
          <w:szCs w:val="18"/>
          <w:lang w:val="es-ES"/>
        </w:rPr>
        <w:t>.</w:t>
      </w:r>
    </w:p>
  </w:footnote>
  <w:footnote w:id="26">
    <w:p w:rsidR="00C70695" w:rsidRPr="00452A75" w:rsidRDefault="00C70695">
      <w:pPr>
        <w:pStyle w:val="FootnoteText"/>
        <w:kinsoku w:val="0"/>
        <w:overflowPunct w:val="0"/>
        <w:autoSpaceDE w:val="0"/>
        <w:autoSpaceDN w:val="0"/>
        <w:ind w:firstLine="0"/>
        <w:jc w:val="left"/>
        <w:rPr>
          <w:szCs w:val="18"/>
          <w:lang w:val="es-ES"/>
        </w:rPr>
      </w:pPr>
      <w:r w:rsidRPr="009048D5">
        <w:rPr>
          <w:rStyle w:val="FootnoteReference"/>
          <w:kern w:val="18"/>
          <w:szCs w:val="18"/>
          <w:u w:val="none"/>
          <w:vertAlign w:val="superscript"/>
          <w:lang w:val="es-ES"/>
        </w:rPr>
        <w:footnoteRef/>
      </w:r>
      <w:r w:rsidRPr="00452A75">
        <w:rPr>
          <w:kern w:val="18"/>
          <w:szCs w:val="18"/>
          <w:lang w:val="es-ES"/>
        </w:rPr>
        <w:t xml:space="preserve"> Celebrada en Bruselas los días 22 y 23 de noviembre de 2017 en la sede de la OMA.</w:t>
      </w:r>
    </w:p>
  </w:footnote>
  <w:footnote w:id="27">
    <w:p w:rsidR="00C70695" w:rsidRPr="00452A75" w:rsidRDefault="00C70695">
      <w:pPr>
        <w:pStyle w:val="FootnoteText"/>
        <w:kinsoku w:val="0"/>
        <w:overflowPunct w:val="0"/>
        <w:autoSpaceDE w:val="0"/>
        <w:autoSpaceDN w:val="0"/>
        <w:ind w:firstLine="0"/>
        <w:jc w:val="left"/>
        <w:rPr>
          <w:szCs w:val="18"/>
          <w:lang w:val="es-ES"/>
        </w:rPr>
      </w:pPr>
      <w:r w:rsidRPr="009048D5">
        <w:rPr>
          <w:rStyle w:val="FootnoteReference"/>
          <w:kern w:val="18"/>
          <w:szCs w:val="18"/>
          <w:u w:val="none"/>
          <w:vertAlign w:val="superscript"/>
          <w:lang w:val="es-ES"/>
        </w:rPr>
        <w:footnoteRef/>
      </w:r>
      <w:r w:rsidRPr="00452A75">
        <w:rPr>
          <w:kern w:val="18"/>
          <w:szCs w:val="18"/>
          <w:lang w:val="es-ES"/>
        </w:rPr>
        <w:t xml:space="preserve"> Celebrada en Bruselas del 23 al 25 de enero de 2018.</w:t>
      </w:r>
    </w:p>
  </w:footnote>
  <w:footnote w:id="28">
    <w:p w:rsidR="00C70695" w:rsidRPr="00452A75" w:rsidRDefault="00C70695">
      <w:pPr>
        <w:pStyle w:val="FootnoteText"/>
        <w:kinsoku w:val="0"/>
        <w:overflowPunct w:val="0"/>
        <w:autoSpaceDE w:val="0"/>
        <w:autoSpaceDN w:val="0"/>
        <w:ind w:firstLine="0"/>
        <w:jc w:val="left"/>
        <w:rPr>
          <w:szCs w:val="18"/>
          <w:lang w:val="es-ES"/>
        </w:rPr>
      </w:pPr>
      <w:r w:rsidRPr="009048D5">
        <w:rPr>
          <w:rStyle w:val="FootnoteReference"/>
          <w:kern w:val="18"/>
          <w:szCs w:val="18"/>
          <w:u w:val="none"/>
          <w:vertAlign w:val="superscript"/>
          <w:lang w:val="es-ES"/>
        </w:rPr>
        <w:footnoteRef/>
      </w:r>
      <w:r w:rsidRPr="00452A75">
        <w:rPr>
          <w:kern w:val="18"/>
          <w:szCs w:val="18"/>
          <w:lang w:val="es-ES"/>
        </w:rPr>
        <w:t xml:space="preserve"> Celebrada en Beijing, los días 9 y 10 de febrero de 2018.</w:t>
      </w:r>
    </w:p>
  </w:footnote>
  <w:footnote w:id="29">
    <w:p w:rsidR="00C70695" w:rsidRPr="00452A75" w:rsidRDefault="00C70695">
      <w:pPr>
        <w:pStyle w:val="FootnoteText"/>
        <w:kinsoku w:val="0"/>
        <w:overflowPunct w:val="0"/>
        <w:autoSpaceDE w:val="0"/>
        <w:autoSpaceDN w:val="0"/>
        <w:ind w:firstLine="0"/>
        <w:jc w:val="left"/>
        <w:rPr>
          <w:szCs w:val="18"/>
          <w:lang w:val="es-ES"/>
        </w:rPr>
      </w:pPr>
      <w:r w:rsidRPr="009048D5">
        <w:rPr>
          <w:rStyle w:val="FootnoteReference"/>
          <w:kern w:val="18"/>
          <w:szCs w:val="18"/>
          <w:u w:val="none"/>
          <w:vertAlign w:val="superscript"/>
          <w:lang w:val="es-ES"/>
        </w:rPr>
        <w:footnoteRef/>
      </w:r>
      <w:r w:rsidRPr="00452A75">
        <w:rPr>
          <w:kern w:val="18"/>
          <w:szCs w:val="18"/>
          <w:lang w:val="es-ES"/>
        </w:rPr>
        <w:t xml:space="preserve"> Pagad S., </w:t>
      </w:r>
      <w:r w:rsidRPr="00452A75">
        <w:rPr>
          <w:i/>
          <w:kern w:val="18"/>
          <w:szCs w:val="18"/>
          <w:lang w:val="es-ES"/>
        </w:rPr>
        <w:t>et al.</w:t>
      </w:r>
      <w:r w:rsidRPr="00452A75">
        <w:rPr>
          <w:kern w:val="18"/>
          <w:szCs w:val="18"/>
          <w:lang w:val="es-ES"/>
        </w:rPr>
        <w:t xml:space="preserve">, </w:t>
      </w:r>
      <w:r w:rsidRPr="00452A75">
        <w:rPr>
          <w:i/>
          <w:kern w:val="18"/>
          <w:szCs w:val="18"/>
          <w:lang w:val="es-ES"/>
        </w:rPr>
        <w:t>Nature Scientific Data</w:t>
      </w:r>
      <w:r w:rsidRPr="00452A75">
        <w:rPr>
          <w:kern w:val="18"/>
          <w:szCs w:val="18"/>
          <w:lang w:val="es-ES"/>
        </w:rPr>
        <w:t>, vol. 5, núm. de artículo: 170202 (2018), doi:10.1038/sdata.2017.202.</w:t>
      </w:r>
    </w:p>
  </w:footnote>
  <w:footnote w:id="30">
    <w:p w:rsidR="00C70695" w:rsidRPr="00452A75" w:rsidRDefault="00C70695" w:rsidP="009048D5">
      <w:pPr>
        <w:pStyle w:val="FootnoteText"/>
        <w:kinsoku w:val="0"/>
        <w:overflowPunct w:val="0"/>
        <w:autoSpaceDE w:val="0"/>
        <w:autoSpaceDN w:val="0"/>
        <w:ind w:firstLine="0"/>
        <w:jc w:val="left"/>
        <w:rPr>
          <w:szCs w:val="18"/>
          <w:lang w:val="es-ES"/>
        </w:rPr>
      </w:pPr>
      <w:r w:rsidRPr="009048D5">
        <w:rPr>
          <w:rStyle w:val="FootnoteReference"/>
          <w:kern w:val="18"/>
          <w:szCs w:val="18"/>
          <w:u w:val="none"/>
          <w:vertAlign w:val="superscript"/>
          <w:lang w:val="es-ES"/>
        </w:rPr>
        <w:footnoteRef/>
      </w:r>
      <w:r w:rsidRPr="00452A75">
        <w:rPr>
          <w:kern w:val="18"/>
          <w:szCs w:val="18"/>
          <w:lang w:val="es-ES"/>
        </w:rPr>
        <w:t xml:space="preserve"> </w:t>
      </w:r>
      <w:hyperlink r:id="rId20" w:history="1">
        <w:r w:rsidRPr="00452A75">
          <w:rPr>
            <w:rStyle w:val="Hyperlink"/>
            <w:kern w:val="18"/>
            <w:szCs w:val="18"/>
            <w:lang w:val="es-ES"/>
          </w:rPr>
          <w:t>https://www.gbif.org/dataset/search?publishing_org=cdef28b1-db4e-4c58-aa71-3c5238c2d0b5</w:t>
        </w:r>
      </w:hyperlink>
      <w:r w:rsidRPr="00452A75">
        <w:rPr>
          <w:kern w:val="18"/>
          <w:szCs w:val="18"/>
          <w:lang w:val="es-ES"/>
        </w:rPr>
        <w:t xml:space="preserve"> (consultado el 28 de abril de 2018).</w:t>
      </w:r>
    </w:p>
  </w:footnote>
  <w:footnote w:id="31">
    <w:p w:rsidR="00C70695" w:rsidRPr="00452A75" w:rsidRDefault="00C70695" w:rsidP="009048D5">
      <w:pPr>
        <w:pStyle w:val="FootnoteText"/>
        <w:kinsoku w:val="0"/>
        <w:overflowPunct w:val="0"/>
        <w:autoSpaceDE w:val="0"/>
        <w:autoSpaceDN w:val="0"/>
        <w:ind w:firstLine="0"/>
        <w:jc w:val="left"/>
        <w:rPr>
          <w:szCs w:val="18"/>
          <w:lang w:val="es-ES"/>
        </w:rPr>
      </w:pPr>
      <w:r w:rsidRPr="009048D5">
        <w:rPr>
          <w:rStyle w:val="FootnoteReference"/>
          <w:kern w:val="18"/>
          <w:szCs w:val="18"/>
          <w:u w:val="none"/>
          <w:vertAlign w:val="superscript"/>
          <w:lang w:val="es-ES"/>
        </w:rPr>
        <w:footnoteRef/>
      </w:r>
      <w:r w:rsidRPr="00452A75">
        <w:rPr>
          <w:kern w:val="18"/>
          <w:szCs w:val="18"/>
          <w:lang w:val="es-ES"/>
        </w:rPr>
        <w:t xml:space="preserve"> </w:t>
      </w:r>
      <w:r w:rsidRPr="00452A75">
        <w:rPr>
          <w:szCs w:val="18"/>
          <w:lang w:val="es-ES"/>
        </w:rPr>
        <w:t xml:space="preserve">Disponible en inglés en: </w:t>
      </w:r>
      <w:hyperlink r:id="rId21" w:history="1">
        <w:r w:rsidRPr="00452A75">
          <w:rPr>
            <w:rStyle w:val="Hyperlink"/>
            <w:kern w:val="18"/>
            <w:szCs w:val="18"/>
            <w:lang w:val="es-ES"/>
          </w:rPr>
          <w:t>https://www.iucn.org/sites/dev/files/eicat_standard_version_1_may_2017.pdf</w:t>
        </w:r>
      </w:hyperlink>
      <w:r w:rsidRPr="00452A75">
        <w:rPr>
          <w:szCs w:val="18"/>
          <w:lang w:val="es-ES"/>
        </w:rPr>
        <w:t>.</w:t>
      </w:r>
    </w:p>
  </w:footnote>
  <w:footnote w:id="32">
    <w:p w:rsidR="00C70695" w:rsidRPr="00452A75" w:rsidRDefault="00C70695" w:rsidP="00A65DAF">
      <w:pPr>
        <w:pStyle w:val="FootnoteText"/>
        <w:kinsoku w:val="0"/>
        <w:overflowPunct w:val="0"/>
        <w:autoSpaceDE w:val="0"/>
        <w:autoSpaceDN w:val="0"/>
        <w:ind w:firstLine="0"/>
        <w:jc w:val="left"/>
        <w:rPr>
          <w:szCs w:val="18"/>
        </w:rPr>
      </w:pPr>
      <w:r w:rsidRPr="009048D5">
        <w:rPr>
          <w:rStyle w:val="FootnoteReference"/>
          <w:kern w:val="18"/>
          <w:szCs w:val="18"/>
          <w:u w:val="none"/>
          <w:vertAlign w:val="superscript"/>
          <w:lang w:val="es-ES"/>
        </w:rPr>
        <w:footnoteRef/>
      </w:r>
      <w:r w:rsidRPr="00452A75">
        <w:rPr>
          <w:kern w:val="18"/>
          <w:szCs w:val="18"/>
          <w:lang w:val="es-ES"/>
        </w:rPr>
        <w:t xml:space="preserve"> El Grupo de Enlace Interinstitucional sobre Especies Exóticas Invasoras está compuesto actualmente por las siguientes organizaciones internacionales: el Centro Internacional para la Agricultura y las Biociencias (CABI), el Convenio sobre la Diversidad Biológica (CDB), la Convención sobre el Comercio Internacional de Especies Amenazadas de Fauna y Flora Silvestres (CITES), la Organización de las Naciones Unidas para la Alimentación y la Agricultura (FAO), la Organización de Aviación Civil Internacional (OACI), la Organización Marítima Internacional (OMI), la Convención Internacional de Protección Fitosanitaria (CIPF), la Unión Internacional para la Conservación de la Naturaleza (UICN) y su Grupo Especialista en Especies Invasoras, la Organización Mundial de Sanidad Animal (OIE); la Organización Mundial de Aduanas (OMA); y la Organización Mundial del Comercio (OMC).</w:t>
      </w:r>
    </w:p>
  </w:footnote>
  <w:footnote w:id="33">
    <w:p w:rsidR="00C70695" w:rsidRPr="00452A75" w:rsidRDefault="00C70695" w:rsidP="00A65DAF">
      <w:pPr>
        <w:pStyle w:val="FootnoteText"/>
        <w:kinsoku w:val="0"/>
        <w:overflowPunct w:val="0"/>
        <w:autoSpaceDE w:val="0"/>
        <w:autoSpaceDN w:val="0"/>
        <w:ind w:firstLine="0"/>
        <w:jc w:val="left"/>
        <w:rPr>
          <w:szCs w:val="18"/>
        </w:rPr>
      </w:pPr>
      <w:r w:rsidRPr="009048D5">
        <w:rPr>
          <w:rStyle w:val="FootnoteReference"/>
          <w:kern w:val="18"/>
          <w:szCs w:val="18"/>
          <w:u w:val="none"/>
          <w:vertAlign w:val="superscript"/>
          <w:lang w:val="es-ES"/>
        </w:rPr>
        <w:footnoteRef/>
      </w:r>
      <w:r w:rsidRPr="00452A75">
        <w:rPr>
          <w:kern w:val="18"/>
          <w:szCs w:val="18"/>
          <w:lang w:val="es-ES"/>
        </w:rPr>
        <w:t xml:space="preserve"> </w:t>
      </w:r>
      <w:r>
        <w:rPr>
          <w:kern w:val="18"/>
          <w:szCs w:val="18"/>
          <w:lang w:val="es-ES"/>
        </w:rPr>
        <w:t>La r</w:t>
      </w:r>
      <w:r w:rsidRPr="00452A75">
        <w:rPr>
          <w:kern w:val="18"/>
          <w:szCs w:val="18"/>
          <w:lang w:val="es-ES"/>
        </w:rPr>
        <w:t>e</w:t>
      </w:r>
      <w:r>
        <w:rPr>
          <w:kern w:val="18"/>
          <w:szCs w:val="18"/>
          <w:lang w:val="es-ES"/>
        </w:rPr>
        <w:t>unión se</w:t>
      </w:r>
      <w:r w:rsidRPr="00452A75">
        <w:rPr>
          <w:kern w:val="18"/>
          <w:szCs w:val="18"/>
          <w:lang w:val="es-ES"/>
        </w:rPr>
        <w:t xml:space="preserve"> celebrará en Montreal (Canadá), los días 9 y 10 de julio de 2018.</w:t>
      </w:r>
    </w:p>
  </w:footnote>
  <w:footnote w:id="34">
    <w:p w:rsidR="00C70695" w:rsidRPr="00452A75" w:rsidRDefault="00C70695" w:rsidP="002565F9">
      <w:pPr>
        <w:pStyle w:val="FootnoteText"/>
        <w:kinsoku w:val="0"/>
        <w:overflowPunct w:val="0"/>
        <w:autoSpaceDE w:val="0"/>
        <w:autoSpaceDN w:val="0"/>
        <w:ind w:firstLine="0"/>
        <w:jc w:val="left"/>
        <w:rPr>
          <w:szCs w:val="18"/>
          <w:lang w:val="es-ES"/>
        </w:rPr>
      </w:pPr>
      <w:r w:rsidRPr="0026716B">
        <w:rPr>
          <w:rStyle w:val="FootnoteReference"/>
          <w:kern w:val="18"/>
          <w:szCs w:val="18"/>
          <w:u w:val="none"/>
          <w:vertAlign w:val="superscript"/>
          <w:lang w:val="es-ES"/>
        </w:rPr>
        <w:footnoteRef/>
      </w:r>
      <w:r w:rsidRPr="00452A75">
        <w:rPr>
          <w:kern w:val="18"/>
          <w:szCs w:val="18"/>
          <w:lang w:val="es-ES"/>
        </w:rPr>
        <w:t xml:space="preserve"> Durante el proceso de adopción de esta decisión, una Parte formuló una objeción explícita y recalcó que </w:t>
      </w:r>
      <w:r w:rsidR="00754BCD">
        <w:rPr>
          <w:kern w:val="18"/>
          <w:szCs w:val="18"/>
          <w:lang w:val="es-ES"/>
        </w:rPr>
        <w:t>consider</w:t>
      </w:r>
      <w:r w:rsidRPr="00452A75">
        <w:rPr>
          <w:kern w:val="18"/>
          <w:szCs w:val="18"/>
          <w:lang w:val="es-ES"/>
        </w:rPr>
        <w:t>aba que la Conferencia de las Partes no podía aprobar legítimamente una moción o texto al cual se le hubiera hecho una objeción explícita. Algunos representantes expresaron reservas en cuanto al procedimiento de</w:t>
      </w:r>
      <w:r>
        <w:rPr>
          <w:kern w:val="18"/>
          <w:szCs w:val="18"/>
          <w:lang w:val="es-ES"/>
        </w:rPr>
        <w:t xml:space="preserve"> adopción de esta decisión (véa</w:t>
      </w:r>
      <w:r w:rsidRPr="00452A75">
        <w:rPr>
          <w:kern w:val="18"/>
          <w:szCs w:val="18"/>
          <w:lang w:val="es-ES"/>
        </w:rPr>
        <w:t>se el documento UNEP/CBD/COP/6/20</w:t>
      </w:r>
      <w:r>
        <w:rPr>
          <w:kern w:val="18"/>
          <w:szCs w:val="18"/>
          <w:lang w:val="es-ES"/>
        </w:rPr>
        <w:t xml:space="preserve">, </w:t>
      </w:r>
      <w:r w:rsidRPr="00452A75">
        <w:rPr>
          <w:kern w:val="18"/>
          <w:szCs w:val="18"/>
          <w:lang w:val="es-ES"/>
        </w:rPr>
        <w:t>párrs</w:t>
      </w:r>
      <w:r>
        <w:rPr>
          <w:kern w:val="18"/>
          <w:szCs w:val="18"/>
          <w:lang w:val="es-ES"/>
        </w:rPr>
        <w:t>.</w:t>
      </w:r>
      <w:r w:rsidRPr="00452A75">
        <w:rPr>
          <w:kern w:val="18"/>
          <w:szCs w:val="18"/>
          <w:lang w:val="es-ES"/>
        </w:rPr>
        <w:t xml:space="preserve"> 294</w:t>
      </w:r>
      <w:r>
        <w:rPr>
          <w:kern w:val="18"/>
          <w:szCs w:val="18"/>
          <w:lang w:val="es-ES"/>
        </w:rPr>
        <w:t>-</w:t>
      </w:r>
      <w:r w:rsidRPr="00452A75">
        <w:rPr>
          <w:kern w:val="18"/>
          <w:szCs w:val="18"/>
          <w:lang w:val="es-ES"/>
        </w:rPr>
        <w:t>324).</w:t>
      </w:r>
    </w:p>
  </w:footnote>
  <w:footnote w:id="35">
    <w:p w:rsidR="00C70695" w:rsidRPr="00452A75" w:rsidRDefault="00C70695" w:rsidP="0026716B">
      <w:pPr>
        <w:pStyle w:val="FootnoteText"/>
        <w:kinsoku w:val="0"/>
        <w:overflowPunct w:val="0"/>
        <w:autoSpaceDE w:val="0"/>
        <w:autoSpaceDN w:val="0"/>
        <w:ind w:firstLine="0"/>
        <w:jc w:val="left"/>
        <w:rPr>
          <w:szCs w:val="18"/>
          <w:lang w:val="es-ES"/>
        </w:rPr>
      </w:pPr>
      <w:r w:rsidRPr="0026716B">
        <w:rPr>
          <w:rStyle w:val="FootnoteReference"/>
          <w:kern w:val="18"/>
          <w:szCs w:val="18"/>
          <w:u w:val="none"/>
          <w:vertAlign w:val="superscript"/>
          <w:lang w:val="es-ES"/>
        </w:rPr>
        <w:footnoteRef/>
      </w:r>
      <w:r w:rsidRPr="00452A75">
        <w:rPr>
          <w:kern w:val="18"/>
          <w:szCs w:val="18"/>
          <w:lang w:val="es-ES"/>
        </w:rPr>
        <w:t xml:space="preserve"> </w:t>
      </w:r>
      <w:hyperlink r:id="rId22" w:history="1">
        <w:r w:rsidRPr="00452A75">
          <w:rPr>
            <w:rStyle w:val="Hyperlink"/>
            <w:kern w:val="18"/>
            <w:szCs w:val="18"/>
            <w:lang w:val="es-ES"/>
          </w:rPr>
          <w:t>http://www.ilo.org/wcmsp5/groups/public/@ed_dialogue/@sector/documents/publication/wcms_507117.pdf</w:t>
        </w:r>
      </w:hyperlink>
      <w:r w:rsidRPr="00452A75">
        <w:rPr>
          <w:kern w:val="18"/>
          <w:szCs w:val="18"/>
          <w:lang w:val="es-ES"/>
        </w:rPr>
        <w:t xml:space="preserve"> </w:t>
      </w:r>
    </w:p>
  </w:footnote>
  <w:footnote w:id="36">
    <w:p w:rsidR="00C70695" w:rsidRPr="00452A75" w:rsidRDefault="00C70695" w:rsidP="007A3C98">
      <w:pPr>
        <w:pStyle w:val="FootnoteText"/>
        <w:kinsoku w:val="0"/>
        <w:overflowPunct w:val="0"/>
        <w:autoSpaceDE w:val="0"/>
        <w:autoSpaceDN w:val="0"/>
        <w:ind w:firstLine="0"/>
        <w:jc w:val="left"/>
        <w:rPr>
          <w:szCs w:val="18"/>
          <w:lang w:val="es-ES"/>
        </w:rPr>
      </w:pPr>
      <w:r w:rsidRPr="0026716B">
        <w:rPr>
          <w:rStyle w:val="FootnoteReference"/>
          <w:kern w:val="18"/>
          <w:sz w:val="22"/>
          <w:szCs w:val="22"/>
          <w:u w:val="none"/>
          <w:vertAlign w:val="superscript"/>
          <w:lang w:val="es-ES"/>
        </w:rPr>
        <w:footnoteRef/>
      </w:r>
      <w:r w:rsidRPr="00452A75">
        <w:rPr>
          <w:kern w:val="18"/>
          <w:szCs w:val="18"/>
          <w:lang w:val="es-ES"/>
        </w:rPr>
        <w:t xml:space="preserve"> Por desinfección se entiende la aplicación, después de una limpieza completa, de procedimientos destinados a destruir los agentes infecciosos o parasitarios responsables de enfermedades animales, incluidas las zoonosis; se aplica a locales, vehículos y distintos objetos que puedan haber sido directa o indirectamente contaminados (</w:t>
      </w:r>
      <w:hyperlink r:id="rId23" w:history="1">
        <w:r w:rsidRPr="00452A75">
          <w:rPr>
            <w:rStyle w:val="Hyperlink"/>
            <w:kern w:val="18"/>
            <w:szCs w:val="18"/>
            <w:lang w:val="es-ES"/>
          </w:rPr>
          <w:t>Código Sanitario para los Animales Terrestres de la OIE</w:t>
        </w:r>
      </w:hyperlink>
      <w:r w:rsidRPr="00452A75">
        <w:rPr>
          <w:kern w:val="18"/>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95" w:rsidRPr="00DF05A3" w:rsidRDefault="00C70695" w:rsidP="00584A8D">
    <w:pPr>
      <w:pStyle w:val="Header"/>
      <w:tabs>
        <w:tab w:val="clear" w:pos="4320"/>
        <w:tab w:val="clear" w:pos="8640"/>
      </w:tabs>
      <w:kinsoku w:val="0"/>
      <w:overflowPunct w:val="0"/>
      <w:autoSpaceDE w:val="0"/>
      <w:autoSpaceDN w:val="0"/>
      <w:jc w:val="left"/>
      <w:rPr>
        <w:kern w:val="22"/>
        <w:lang w:val="es-ES"/>
      </w:rPr>
    </w:pPr>
    <w:r w:rsidRPr="00DF05A3">
      <w:rPr>
        <w:kern w:val="22"/>
        <w:lang w:val="es-ES"/>
      </w:rPr>
      <w:t>CBD/SBSTTA/22/9</w:t>
    </w:r>
  </w:p>
  <w:p w:rsidR="00C70695" w:rsidRPr="00DF05A3" w:rsidRDefault="00C70695" w:rsidP="00DF05A3">
    <w:pPr>
      <w:pStyle w:val="Header"/>
      <w:tabs>
        <w:tab w:val="clear" w:pos="4320"/>
        <w:tab w:val="clear" w:pos="8640"/>
      </w:tabs>
      <w:kinsoku w:val="0"/>
      <w:overflowPunct w:val="0"/>
      <w:autoSpaceDE w:val="0"/>
      <w:autoSpaceDN w:val="0"/>
      <w:jc w:val="left"/>
      <w:rPr>
        <w:kern w:val="22"/>
        <w:lang w:val="es-ES"/>
      </w:rPr>
    </w:pPr>
    <w:r w:rsidRPr="00DF05A3">
      <w:rPr>
        <w:kern w:val="22"/>
        <w:lang w:val="es-ES"/>
      </w:rPr>
      <w:t>P</w:t>
    </w:r>
    <w:r>
      <w:rPr>
        <w:kern w:val="22"/>
        <w:lang w:val="es-ES"/>
      </w:rPr>
      <w:t>á</w:t>
    </w:r>
    <w:r w:rsidRPr="00DF05A3">
      <w:rPr>
        <w:kern w:val="22"/>
        <w:lang w:val="es-ES"/>
      </w:rPr>
      <w:t>g</w:t>
    </w:r>
    <w:r>
      <w:rPr>
        <w:kern w:val="22"/>
        <w:lang w:val="es-ES"/>
      </w:rPr>
      <w:t>ina</w:t>
    </w:r>
    <w:r w:rsidRPr="00DF05A3">
      <w:rPr>
        <w:kern w:val="22"/>
        <w:lang w:val="es-ES"/>
      </w:rPr>
      <w:t xml:space="preserve"> </w:t>
    </w:r>
    <w:r w:rsidRPr="00DF05A3">
      <w:rPr>
        <w:kern w:val="22"/>
        <w:lang w:val="es-ES"/>
      </w:rPr>
      <w:fldChar w:fldCharType="begin"/>
    </w:r>
    <w:r w:rsidRPr="00DF05A3">
      <w:rPr>
        <w:kern w:val="22"/>
        <w:lang w:val="es-ES"/>
      </w:rPr>
      <w:instrText xml:space="preserve"> PAGE   \* MERGEFORMAT </w:instrText>
    </w:r>
    <w:r w:rsidRPr="00DF05A3">
      <w:rPr>
        <w:kern w:val="22"/>
        <w:lang w:val="es-ES"/>
      </w:rPr>
      <w:fldChar w:fldCharType="separate"/>
    </w:r>
    <w:r w:rsidR="00456AB4">
      <w:rPr>
        <w:noProof/>
        <w:kern w:val="22"/>
        <w:lang w:val="es-ES"/>
      </w:rPr>
      <w:t>2</w:t>
    </w:r>
    <w:r w:rsidRPr="00DF05A3">
      <w:rPr>
        <w:kern w:val="22"/>
        <w:lang w:val="es-ES"/>
      </w:rPr>
      <w:fldChar w:fldCharType="end"/>
    </w:r>
  </w:p>
  <w:p w:rsidR="00C70695" w:rsidRPr="00DF05A3" w:rsidRDefault="00C70695" w:rsidP="00584A8D">
    <w:pPr>
      <w:pStyle w:val="Header"/>
      <w:tabs>
        <w:tab w:val="clear" w:pos="4320"/>
        <w:tab w:val="clear" w:pos="8640"/>
      </w:tabs>
      <w:kinsoku w:val="0"/>
      <w:overflowPunct w:val="0"/>
      <w:autoSpaceDE w:val="0"/>
      <w:autoSpaceDN w:val="0"/>
      <w:jc w:val="left"/>
      <w:rPr>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95" w:rsidRPr="00DF05A3" w:rsidRDefault="00C70695" w:rsidP="00584A8D">
    <w:pPr>
      <w:pStyle w:val="Header"/>
      <w:tabs>
        <w:tab w:val="clear" w:pos="4320"/>
        <w:tab w:val="clear" w:pos="8640"/>
      </w:tabs>
      <w:kinsoku w:val="0"/>
      <w:overflowPunct w:val="0"/>
      <w:autoSpaceDE w:val="0"/>
      <w:autoSpaceDN w:val="0"/>
      <w:jc w:val="right"/>
      <w:rPr>
        <w:kern w:val="22"/>
        <w:lang w:val="es-ES"/>
      </w:rPr>
    </w:pPr>
    <w:r w:rsidRPr="00DF05A3">
      <w:rPr>
        <w:kern w:val="22"/>
        <w:lang w:val="es-ES"/>
      </w:rPr>
      <w:t>CBD/SBSTTA/22/9</w:t>
    </w:r>
  </w:p>
  <w:p w:rsidR="00C70695" w:rsidRPr="00DF05A3" w:rsidRDefault="00C70695" w:rsidP="00DF05A3">
    <w:pPr>
      <w:pStyle w:val="Header"/>
      <w:tabs>
        <w:tab w:val="clear" w:pos="4320"/>
        <w:tab w:val="clear" w:pos="8640"/>
      </w:tabs>
      <w:kinsoku w:val="0"/>
      <w:overflowPunct w:val="0"/>
      <w:autoSpaceDE w:val="0"/>
      <w:autoSpaceDN w:val="0"/>
      <w:jc w:val="right"/>
      <w:rPr>
        <w:kern w:val="22"/>
        <w:lang w:val="es-ES"/>
      </w:rPr>
    </w:pPr>
    <w:r w:rsidRPr="00DF05A3">
      <w:rPr>
        <w:kern w:val="22"/>
        <w:lang w:val="es-ES"/>
      </w:rPr>
      <w:t>P</w:t>
    </w:r>
    <w:r>
      <w:rPr>
        <w:kern w:val="22"/>
        <w:lang w:val="es-ES"/>
      </w:rPr>
      <w:t>á</w:t>
    </w:r>
    <w:r w:rsidRPr="00DF05A3">
      <w:rPr>
        <w:kern w:val="22"/>
        <w:lang w:val="es-ES"/>
      </w:rPr>
      <w:t>g</w:t>
    </w:r>
    <w:r>
      <w:rPr>
        <w:kern w:val="22"/>
        <w:lang w:val="es-ES"/>
      </w:rPr>
      <w:t>ina</w:t>
    </w:r>
    <w:r w:rsidRPr="00DF05A3">
      <w:rPr>
        <w:kern w:val="22"/>
        <w:lang w:val="es-ES"/>
      </w:rPr>
      <w:t xml:space="preserve"> </w:t>
    </w:r>
    <w:r w:rsidRPr="00DF05A3">
      <w:rPr>
        <w:kern w:val="22"/>
        <w:lang w:val="es-ES"/>
      </w:rPr>
      <w:fldChar w:fldCharType="begin"/>
    </w:r>
    <w:r w:rsidRPr="00DF05A3">
      <w:rPr>
        <w:kern w:val="22"/>
        <w:lang w:val="es-ES"/>
      </w:rPr>
      <w:instrText xml:space="preserve"> PAGE   \* MERGEFORMAT </w:instrText>
    </w:r>
    <w:r w:rsidRPr="00DF05A3">
      <w:rPr>
        <w:kern w:val="22"/>
        <w:lang w:val="es-ES"/>
      </w:rPr>
      <w:fldChar w:fldCharType="separate"/>
    </w:r>
    <w:r w:rsidR="00456AB4">
      <w:rPr>
        <w:noProof/>
        <w:kern w:val="22"/>
        <w:lang w:val="es-ES"/>
      </w:rPr>
      <w:t>5</w:t>
    </w:r>
    <w:r w:rsidRPr="00DF05A3">
      <w:rPr>
        <w:kern w:val="22"/>
        <w:lang w:val="es-ES"/>
      </w:rPr>
      <w:fldChar w:fldCharType="end"/>
    </w:r>
  </w:p>
  <w:p w:rsidR="00C70695" w:rsidRPr="00DF05A3" w:rsidRDefault="00C70695" w:rsidP="00584A8D">
    <w:pPr>
      <w:pStyle w:val="Header"/>
      <w:tabs>
        <w:tab w:val="clear" w:pos="4320"/>
        <w:tab w:val="clear" w:pos="8640"/>
      </w:tabs>
      <w:kinsoku w:val="0"/>
      <w:overflowPunct w:val="0"/>
      <w:autoSpaceDE w:val="0"/>
      <w:autoSpaceDN w:val="0"/>
      <w:jc w:val="right"/>
      <w:rPr>
        <w:kern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2597"/>
    <w:multiLevelType w:val="hybridMultilevel"/>
    <w:tmpl w:val="5782927A"/>
    <w:lvl w:ilvl="0" w:tplc="58007A5C">
      <w:start w:val="1"/>
      <w:numFmt w:val="lowerLetter"/>
      <w:lvlText w:val="%1)"/>
      <w:lvlJc w:val="left"/>
      <w:pPr>
        <w:tabs>
          <w:tab w:val="num" w:pos="1080"/>
        </w:tabs>
        <w:ind w:left="1080" w:hanging="720"/>
      </w:pPr>
      <w:rPr>
        <w:rFonts w:ascii="Times New Roman" w:hAnsi="Times New Roman" w:cs="OpenSymbol" w:hint="default"/>
        <w:b w:val="0"/>
        <w:bCs w:val="0"/>
        <w:i w:val="0"/>
        <w:iCs w:val="0"/>
        <w:caps w:val="0"/>
        <w:strike w:val="0"/>
        <w:dstrike w:val="0"/>
        <w:outline w:val="0"/>
        <w:shadow w:val="0"/>
        <w:emboss w:val="0"/>
        <w:imprint w:val="0"/>
        <w:vanish w:val="0"/>
        <w:sz w:val="22"/>
        <w:vertAlign w:val="baselin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84C0A6C"/>
    <w:multiLevelType w:val="multilevel"/>
    <w:tmpl w:val="06E871E4"/>
    <w:numStyleLink w:val="IPPParagraphnumberedlist"/>
  </w:abstractNum>
  <w:abstractNum w:abstractNumId="2">
    <w:nsid w:val="0A910917"/>
    <w:multiLevelType w:val="hybridMultilevel"/>
    <w:tmpl w:val="62386976"/>
    <w:lvl w:ilvl="0" w:tplc="C94CE424">
      <w:start w:val="1"/>
      <w:numFmt w:val="decimal"/>
      <w:lvlText w:val="%1."/>
      <w:lvlJc w:val="left"/>
      <w:pPr>
        <w:tabs>
          <w:tab w:val="num" w:pos="0"/>
        </w:tabs>
        <w:ind w:left="720" w:hanging="360"/>
      </w:pPr>
      <w:rPr>
        <w:rFonts w:ascii="Times New Roman" w:hAnsi="Times New Roman" w:cs="Times New Roman" w:hint="default"/>
        <w:i w:val="0"/>
      </w:rPr>
    </w:lvl>
    <w:lvl w:ilvl="1" w:tplc="EC8C5788">
      <w:start w:val="1"/>
      <w:numFmt w:val="lowerLetter"/>
      <w:lvlText w:val="(%2)"/>
      <w:lvlJc w:val="left"/>
      <w:pPr>
        <w:ind w:left="1440" w:hanging="360"/>
      </w:pPr>
      <w:rPr>
        <w:rFonts w:hAnsi="Arial Unicode MS" w:cs="Times New Roman" w:hint="default"/>
        <w:caps w:val="0"/>
        <w:smallCaps w:val="0"/>
        <w:strike w:val="0"/>
        <w:dstrike w:val="0"/>
        <w:color w:val="000000"/>
        <w:spacing w:val="0"/>
        <w:w w:val="100"/>
        <w:kern w:val="0"/>
        <w:position w:val="0"/>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AA07C4"/>
    <w:multiLevelType w:val="hybridMultilevel"/>
    <w:tmpl w:val="DE66A11C"/>
    <w:lvl w:ilvl="0" w:tplc="C3727700">
      <w:start w:val="1"/>
      <w:numFmt w:val="upperLetter"/>
      <w:lvlText w:val="%1."/>
      <w:lvlJc w:val="left"/>
      <w:pPr>
        <w:ind w:left="5420"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4">
    <w:nsid w:val="1A4051DF"/>
    <w:multiLevelType w:val="hybridMultilevel"/>
    <w:tmpl w:val="1E98EE22"/>
    <w:lvl w:ilvl="0" w:tplc="17CE933E">
      <w:start w:val="4"/>
      <w:numFmt w:val="upperRoman"/>
      <w:lvlText w:val="%1."/>
      <w:lvlJc w:val="left"/>
      <w:pPr>
        <w:ind w:left="1080" w:hanging="720"/>
      </w:pPr>
      <w:rPr>
        <w:rFonts w:cs="Times New Roman" w:hint="default"/>
        <w:b/>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4DA7998"/>
    <w:multiLevelType w:val="hybridMultilevel"/>
    <w:tmpl w:val="5734CD38"/>
    <w:lvl w:ilvl="0" w:tplc="6FD26976">
      <w:start w:val="1"/>
      <w:numFmt w:val="upperRoman"/>
      <w:lvlText w:val="%1."/>
      <w:lvlJc w:val="left"/>
      <w:pPr>
        <w:ind w:left="1050" w:hanging="72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6">
    <w:nsid w:val="2D9310B4"/>
    <w:multiLevelType w:val="hybridMultilevel"/>
    <w:tmpl w:val="F640AC0E"/>
    <w:lvl w:ilvl="0" w:tplc="58007A5C">
      <w:start w:val="1"/>
      <w:numFmt w:val="lowerLetter"/>
      <w:lvlText w:val="%1)"/>
      <w:lvlJc w:val="left"/>
      <w:pPr>
        <w:tabs>
          <w:tab w:val="num" w:pos="1440"/>
        </w:tabs>
        <w:ind w:left="1440" w:hanging="720"/>
      </w:pPr>
      <w:rPr>
        <w:rFonts w:ascii="Times New Roman" w:hAnsi="Times New Roman" w:cs="OpenSymbol" w:hint="default"/>
        <w:b w:val="0"/>
        <w:bCs w:val="0"/>
        <w:i w:val="0"/>
        <w:iCs w:val="0"/>
        <w:caps w:val="0"/>
        <w:strike w:val="0"/>
        <w:dstrike w:val="0"/>
        <w:outline w:val="0"/>
        <w:shadow w:val="0"/>
        <w:emboss w:val="0"/>
        <w:imprint w:val="0"/>
        <w:vanish w:val="0"/>
        <w:sz w:val="22"/>
        <w:vertAlign w:val="baseli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31FE0F8F"/>
    <w:multiLevelType w:val="multilevel"/>
    <w:tmpl w:val="06E871E4"/>
    <w:styleLink w:val="IPPParagraphnumberedlist"/>
    <w:lvl w:ilvl="0">
      <w:start w:val="1"/>
      <w:numFmt w:val="decimal"/>
      <w:lvlText w:val="[%1]"/>
      <w:lvlJc w:val="left"/>
      <w:pPr>
        <w:tabs>
          <w:tab w:val="num" w:pos="0"/>
        </w:tabs>
        <w:ind w:hanging="482"/>
      </w:pPr>
      <w:rPr>
        <w:rFonts w:ascii="Arial" w:hAnsi="Arial" w:cs="Times New Roman" w:hint="default"/>
        <w:b w:val="0"/>
        <w:i/>
        <w:color w:val="0000FF"/>
        <w:sz w:val="16"/>
      </w:rPr>
    </w:lvl>
    <w:lvl w:ilvl="1">
      <w:start w:val="1"/>
      <w:numFmt w:val="none"/>
      <w:lvlRestart w:val="0"/>
      <w:lvlText w:val=""/>
      <w:lvlJc w:val="left"/>
      <w:pPr>
        <w:tabs>
          <w:tab w:val="num" w:pos="0"/>
        </w:tabs>
        <w:ind w:hanging="482"/>
      </w:pPr>
      <w:rPr>
        <w:rFonts w:cs="Times New Roman" w:hint="default"/>
      </w:rPr>
    </w:lvl>
    <w:lvl w:ilvl="2">
      <w:start w:val="1"/>
      <w:numFmt w:val="none"/>
      <w:lvlRestart w:val="0"/>
      <w:lvlText w:val=""/>
      <w:lvlJc w:val="left"/>
      <w:pPr>
        <w:tabs>
          <w:tab w:val="num" w:pos="0"/>
        </w:tabs>
        <w:ind w:hanging="482"/>
      </w:pPr>
      <w:rPr>
        <w:rFonts w:cs="Times New Roman" w:hint="default"/>
      </w:rPr>
    </w:lvl>
    <w:lvl w:ilvl="3">
      <w:start w:val="1"/>
      <w:numFmt w:val="none"/>
      <w:lvlRestart w:val="0"/>
      <w:lvlText w:val=""/>
      <w:lvlJc w:val="left"/>
      <w:pPr>
        <w:tabs>
          <w:tab w:val="num" w:pos="0"/>
        </w:tabs>
        <w:ind w:hanging="482"/>
      </w:pPr>
      <w:rPr>
        <w:rFonts w:cs="Times New Roman" w:hint="default"/>
      </w:rPr>
    </w:lvl>
    <w:lvl w:ilvl="4">
      <w:start w:val="1"/>
      <w:numFmt w:val="none"/>
      <w:lvlRestart w:val="0"/>
      <w:lvlText w:val=""/>
      <w:lvlJc w:val="left"/>
      <w:pPr>
        <w:tabs>
          <w:tab w:val="num" w:pos="0"/>
        </w:tabs>
        <w:ind w:hanging="482"/>
      </w:pPr>
      <w:rPr>
        <w:rFonts w:cs="Times New Roman" w:hint="default"/>
      </w:rPr>
    </w:lvl>
    <w:lvl w:ilvl="5">
      <w:start w:val="1"/>
      <w:numFmt w:val="none"/>
      <w:lvlRestart w:val="0"/>
      <w:lvlText w:val=""/>
      <w:lvlJc w:val="left"/>
      <w:pPr>
        <w:tabs>
          <w:tab w:val="num" w:pos="0"/>
        </w:tabs>
        <w:ind w:hanging="482"/>
      </w:pPr>
      <w:rPr>
        <w:rFonts w:cs="Times New Roman" w:hint="default"/>
      </w:rPr>
    </w:lvl>
    <w:lvl w:ilvl="6">
      <w:start w:val="1"/>
      <w:numFmt w:val="none"/>
      <w:lvlRestart w:val="0"/>
      <w:lvlText w:val=""/>
      <w:lvlJc w:val="left"/>
      <w:pPr>
        <w:tabs>
          <w:tab w:val="num" w:pos="0"/>
        </w:tabs>
        <w:ind w:hanging="482"/>
      </w:pPr>
      <w:rPr>
        <w:rFonts w:cs="Times New Roman" w:hint="default"/>
      </w:rPr>
    </w:lvl>
    <w:lvl w:ilvl="7">
      <w:start w:val="1"/>
      <w:numFmt w:val="none"/>
      <w:lvlRestart w:val="0"/>
      <w:lvlText w:val=""/>
      <w:lvlJc w:val="left"/>
      <w:pPr>
        <w:tabs>
          <w:tab w:val="num" w:pos="0"/>
        </w:tabs>
        <w:ind w:hanging="482"/>
      </w:pPr>
      <w:rPr>
        <w:rFonts w:cs="Times New Roman" w:hint="default"/>
      </w:rPr>
    </w:lvl>
    <w:lvl w:ilvl="8">
      <w:start w:val="1"/>
      <w:numFmt w:val="none"/>
      <w:lvlRestart w:val="0"/>
      <w:lvlText w:val=""/>
      <w:lvlJc w:val="left"/>
      <w:pPr>
        <w:tabs>
          <w:tab w:val="num" w:pos="0"/>
        </w:tabs>
        <w:ind w:hanging="482"/>
      </w:pPr>
      <w:rPr>
        <w:rFonts w:cs="Times New Roman" w:hint="default"/>
      </w:rPr>
    </w:lvl>
  </w:abstractNum>
  <w:abstractNum w:abstractNumId="9">
    <w:nsid w:val="364D6E6D"/>
    <w:multiLevelType w:val="hybridMultilevel"/>
    <w:tmpl w:val="4B7C262A"/>
    <w:lvl w:ilvl="0" w:tplc="861C657E">
      <w:start w:val="1"/>
      <w:numFmt w:val="lowerLetter"/>
      <w:lvlText w:val="%1)"/>
      <w:lvlJc w:val="left"/>
      <w:pPr>
        <w:tabs>
          <w:tab w:val="num" w:pos="720"/>
        </w:tabs>
        <w:ind w:left="720" w:hanging="720"/>
      </w:pPr>
      <w:rPr>
        <w:rFonts w:ascii="Times New Roman" w:hAnsi="Times New Roman" w:cs="OpenSymbol" w:hint="default"/>
        <w:b w:val="0"/>
        <w:bCs w:val="0"/>
        <w:i w:val="0"/>
        <w:iCs w:val="0"/>
        <w:caps w:val="0"/>
        <w:strike w:val="0"/>
        <w:dstrike w:val="0"/>
        <w:outline w:val="0"/>
        <w:shadow w:val="0"/>
        <w:emboss w:val="0"/>
        <w:imprint w:val="0"/>
        <w:vanish w:val="0"/>
        <w:sz w:val="22"/>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4CC7FBB"/>
    <w:multiLevelType w:val="hybridMultilevel"/>
    <w:tmpl w:val="09C089CE"/>
    <w:lvl w:ilvl="0" w:tplc="58007A5C">
      <w:start w:val="1"/>
      <w:numFmt w:val="lowerLetter"/>
      <w:lvlText w:val="%1)"/>
      <w:lvlJc w:val="left"/>
      <w:pPr>
        <w:tabs>
          <w:tab w:val="num" w:pos="1440"/>
        </w:tabs>
        <w:ind w:left="1440" w:hanging="720"/>
      </w:pPr>
      <w:rPr>
        <w:rFonts w:ascii="Times New Roman" w:hAnsi="Times New Roman" w:cs="OpenSymbol" w:hint="default"/>
        <w:b w:val="0"/>
        <w:bCs w:val="0"/>
        <w:i w:val="0"/>
        <w:iCs w:val="0"/>
        <w:caps w:val="0"/>
        <w:strike w:val="0"/>
        <w:dstrike w:val="0"/>
        <w:outline w:val="0"/>
        <w:shadow w:val="0"/>
        <w:emboss w:val="0"/>
        <w:imprint w:val="0"/>
        <w:vanish w:val="0"/>
        <w:sz w:val="22"/>
        <w:vertAlign w:val="baseli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BF52AB1"/>
    <w:multiLevelType w:val="hybridMultilevel"/>
    <w:tmpl w:val="AE6C0B88"/>
    <w:lvl w:ilvl="0" w:tplc="417A37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5B57563D"/>
    <w:multiLevelType w:val="hybridMultilevel"/>
    <w:tmpl w:val="5546C138"/>
    <w:lvl w:ilvl="0" w:tplc="58007A5C">
      <w:start w:val="1"/>
      <w:numFmt w:val="lowerLetter"/>
      <w:lvlText w:val="%1)"/>
      <w:lvlJc w:val="left"/>
      <w:pPr>
        <w:tabs>
          <w:tab w:val="num" w:pos="1440"/>
        </w:tabs>
        <w:ind w:left="1440" w:hanging="720"/>
      </w:pPr>
      <w:rPr>
        <w:rFonts w:ascii="Times New Roman" w:hAnsi="Times New Roman" w:cs="OpenSymbol" w:hint="default"/>
        <w:b w:val="0"/>
        <w:bCs w:val="0"/>
        <w:i w:val="0"/>
        <w:iCs w:val="0"/>
        <w:caps w:val="0"/>
        <w:strike w:val="0"/>
        <w:dstrike w:val="0"/>
        <w:outline w:val="0"/>
        <w:shadow w:val="0"/>
        <w:emboss w:val="0"/>
        <w:imprint w:val="0"/>
        <w:vanish w:val="0"/>
        <w:sz w:val="22"/>
        <w:vertAlign w:val="baseli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6D8264A7"/>
    <w:multiLevelType w:val="multilevel"/>
    <w:tmpl w:val="434C48F2"/>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hAnsi="Arial Unicode MS" w:cs="Times New Roman" w:hint="default"/>
        <w:caps w:val="0"/>
        <w:smallCaps w:val="0"/>
        <w:strike w:val="0"/>
        <w:dstrike w:val="0"/>
        <w:color w:val="000000"/>
        <w:spacing w:val="0"/>
        <w:w w:val="100"/>
        <w:kern w:val="0"/>
        <w:position w:val="0"/>
        <w:vertAlign w:val="baseline"/>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125993"/>
    <w:multiLevelType w:val="hybridMultilevel"/>
    <w:tmpl w:val="D0BEAB98"/>
    <w:lvl w:ilvl="0" w:tplc="77EABE02">
      <w:start w:val="1"/>
      <w:numFmt w:val="decimal"/>
      <w:lvlText w:val="%1."/>
      <w:lvlJc w:val="left"/>
      <w:pPr>
        <w:ind w:left="360" w:hanging="360"/>
      </w:pPr>
      <w:rPr>
        <w:rFonts w:ascii="Times New Roman" w:hAnsi="Times New Roman" w:cs="Times New Roman" w:hint="default"/>
        <w:b w:val="0"/>
        <w:i w:val="0"/>
      </w:rPr>
    </w:lvl>
    <w:lvl w:ilvl="1" w:tplc="58007A5C">
      <w:start w:val="1"/>
      <w:numFmt w:val="lowerLetter"/>
      <w:lvlText w:val="%2)"/>
      <w:lvlJc w:val="left"/>
      <w:pPr>
        <w:tabs>
          <w:tab w:val="num" w:pos="1800"/>
        </w:tabs>
        <w:ind w:left="1800" w:hanging="720"/>
      </w:pPr>
      <w:rPr>
        <w:rFonts w:ascii="Times New Roman" w:hAnsi="Times New Roman" w:cs="OpenSymbol" w:hint="default"/>
        <w:b w:val="0"/>
        <w:bCs w:val="0"/>
        <w:i w:val="0"/>
        <w:iCs w:val="0"/>
        <w:caps w:val="0"/>
        <w:strike w:val="0"/>
        <w:dstrike w:val="0"/>
        <w:outline w:val="0"/>
        <w:shadow w:val="0"/>
        <w:emboss w:val="0"/>
        <w:imprint w:val="0"/>
        <w:vanish w:val="0"/>
        <w:sz w:val="22"/>
        <w:vertAlign w:val="baseline"/>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7"/>
  </w:num>
  <w:num w:numId="2">
    <w:abstractNumId w:val="13"/>
  </w:num>
  <w:num w:numId="3">
    <w:abstractNumId w:val="10"/>
  </w:num>
  <w:num w:numId="4">
    <w:abstractNumId w:val="13"/>
  </w:num>
  <w:num w:numId="5">
    <w:abstractNumId w:val="11"/>
  </w:num>
  <w:num w:numId="6">
    <w:abstractNumId w:val="18"/>
  </w:num>
  <w:num w:numId="7">
    <w:abstractNumId w:val="8"/>
  </w:num>
  <w:num w:numId="8">
    <w:abstractNumId w:val="17"/>
  </w:num>
  <w:num w:numId="9">
    <w:abstractNumId w:val="14"/>
  </w:num>
  <w:num w:numId="10">
    <w:abstractNumId w:val="1"/>
    <w:lvlOverride w:ilvl="0">
      <w:lvl w:ilvl="0">
        <w:start w:val="1"/>
        <w:numFmt w:val="decimal"/>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1">
    <w:abstractNumId w:val="2"/>
  </w:num>
  <w:num w:numId="12">
    <w:abstractNumId w:val="0"/>
  </w:num>
  <w:num w:numId="13">
    <w:abstractNumId w:val="4"/>
  </w:num>
  <w:num w:numId="14">
    <w:abstractNumId w:val="5"/>
  </w:num>
  <w:num w:numId="15">
    <w:abstractNumId w:val="12"/>
  </w:num>
  <w:num w:numId="16">
    <w:abstractNumId w:val="3"/>
  </w:num>
  <w:num w:numId="17">
    <w:abstractNumId w:val="9"/>
  </w:num>
  <w:num w:numId="18">
    <w:abstractNumId w:val="6"/>
  </w:num>
  <w:num w:numId="19">
    <w:abstractNumId w:val="15"/>
  </w:num>
  <w:num w:numId="20">
    <w:abstractNumId w:val="1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spelling="clean"/>
  <w:attachedTemplate r:id="rId1"/>
  <w:stylePaneFormatFilter w:val="3F01"/>
  <w:defaultTabStop w:val="720"/>
  <w:hyphenationZone w:val="283"/>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5B3B"/>
    <w:rsid w:val="0000256A"/>
    <w:rsid w:val="0000632F"/>
    <w:rsid w:val="00007B4B"/>
    <w:rsid w:val="00011CC5"/>
    <w:rsid w:val="0001469A"/>
    <w:rsid w:val="00020682"/>
    <w:rsid w:val="00020C90"/>
    <w:rsid w:val="000219AC"/>
    <w:rsid w:val="00030E69"/>
    <w:rsid w:val="00031D24"/>
    <w:rsid w:val="000322C6"/>
    <w:rsid w:val="0003340D"/>
    <w:rsid w:val="00037873"/>
    <w:rsid w:val="00040A26"/>
    <w:rsid w:val="00042AA7"/>
    <w:rsid w:val="00043144"/>
    <w:rsid w:val="00043627"/>
    <w:rsid w:val="00043A85"/>
    <w:rsid w:val="00043C98"/>
    <w:rsid w:val="000450B1"/>
    <w:rsid w:val="000454D9"/>
    <w:rsid w:val="000526D1"/>
    <w:rsid w:val="00054381"/>
    <w:rsid w:val="00054AC2"/>
    <w:rsid w:val="00054C6E"/>
    <w:rsid w:val="00055231"/>
    <w:rsid w:val="0006000A"/>
    <w:rsid w:val="00067088"/>
    <w:rsid w:val="00067D49"/>
    <w:rsid w:val="00070B54"/>
    <w:rsid w:val="000711E1"/>
    <w:rsid w:val="00072EAF"/>
    <w:rsid w:val="00073708"/>
    <w:rsid w:val="000763FC"/>
    <w:rsid w:val="00077500"/>
    <w:rsid w:val="00080473"/>
    <w:rsid w:val="000809EC"/>
    <w:rsid w:val="00081040"/>
    <w:rsid w:val="0008244E"/>
    <w:rsid w:val="0008335D"/>
    <w:rsid w:val="00083BE9"/>
    <w:rsid w:val="0008479C"/>
    <w:rsid w:val="000863A6"/>
    <w:rsid w:val="00091337"/>
    <w:rsid w:val="00091761"/>
    <w:rsid w:val="00091A46"/>
    <w:rsid w:val="00092AE1"/>
    <w:rsid w:val="000937E0"/>
    <w:rsid w:val="000939F4"/>
    <w:rsid w:val="00094AE1"/>
    <w:rsid w:val="0009704D"/>
    <w:rsid w:val="000A3D53"/>
    <w:rsid w:val="000A734E"/>
    <w:rsid w:val="000A7E18"/>
    <w:rsid w:val="000B00A0"/>
    <w:rsid w:val="000B2727"/>
    <w:rsid w:val="000B64C0"/>
    <w:rsid w:val="000B70E6"/>
    <w:rsid w:val="000C1ED5"/>
    <w:rsid w:val="000C2621"/>
    <w:rsid w:val="000D0720"/>
    <w:rsid w:val="000D0ED7"/>
    <w:rsid w:val="000D15FB"/>
    <w:rsid w:val="000D1EC7"/>
    <w:rsid w:val="000D3AB6"/>
    <w:rsid w:val="000D6D02"/>
    <w:rsid w:val="000D7E4C"/>
    <w:rsid w:val="000E205D"/>
    <w:rsid w:val="000E2600"/>
    <w:rsid w:val="000E2AD1"/>
    <w:rsid w:val="000E354D"/>
    <w:rsid w:val="000E3A27"/>
    <w:rsid w:val="000E637D"/>
    <w:rsid w:val="000E6663"/>
    <w:rsid w:val="000E7224"/>
    <w:rsid w:val="000E7655"/>
    <w:rsid w:val="000E7E6A"/>
    <w:rsid w:val="000F566D"/>
    <w:rsid w:val="000F5ADB"/>
    <w:rsid w:val="000F63AB"/>
    <w:rsid w:val="000F7163"/>
    <w:rsid w:val="00102F35"/>
    <w:rsid w:val="001044C4"/>
    <w:rsid w:val="001074F8"/>
    <w:rsid w:val="00107EFB"/>
    <w:rsid w:val="00112912"/>
    <w:rsid w:val="001133DA"/>
    <w:rsid w:val="00115277"/>
    <w:rsid w:val="00117B10"/>
    <w:rsid w:val="00120447"/>
    <w:rsid w:val="00121046"/>
    <w:rsid w:val="0012211C"/>
    <w:rsid w:val="0012214B"/>
    <w:rsid w:val="001228FD"/>
    <w:rsid w:val="00123012"/>
    <w:rsid w:val="00125686"/>
    <w:rsid w:val="0012695B"/>
    <w:rsid w:val="00127323"/>
    <w:rsid w:val="00127DBA"/>
    <w:rsid w:val="001322B3"/>
    <w:rsid w:val="00132628"/>
    <w:rsid w:val="00133F7C"/>
    <w:rsid w:val="0013426B"/>
    <w:rsid w:val="00135FF5"/>
    <w:rsid w:val="001361FA"/>
    <w:rsid w:val="00137D7C"/>
    <w:rsid w:val="00143BFF"/>
    <w:rsid w:val="00144A55"/>
    <w:rsid w:val="00147069"/>
    <w:rsid w:val="0014789D"/>
    <w:rsid w:val="00147F7E"/>
    <w:rsid w:val="00152F9E"/>
    <w:rsid w:val="00154709"/>
    <w:rsid w:val="0015582F"/>
    <w:rsid w:val="00155D3E"/>
    <w:rsid w:val="00157B6C"/>
    <w:rsid w:val="00157DC9"/>
    <w:rsid w:val="0016521D"/>
    <w:rsid w:val="00166367"/>
    <w:rsid w:val="001702DD"/>
    <w:rsid w:val="00170FB4"/>
    <w:rsid w:val="00171927"/>
    <w:rsid w:val="00173C50"/>
    <w:rsid w:val="00173E1E"/>
    <w:rsid w:val="00175787"/>
    <w:rsid w:val="00175917"/>
    <w:rsid w:val="001811DD"/>
    <w:rsid w:val="00182A1B"/>
    <w:rsid w:val="0018437E"/>
    <w:rsid w:val="001848CF"/>
    <w:rsid w:val="00187429"/>
    <w:rsid w:val="00190732"/>
    <w:rsid w:val="00192E06"/>
    <w:rsid w:val="001966B1"/>
    <w:rsid w:val="001A23D3"/>
    <w:rsid w:val="001A48C2"/>
    <w:rsid w:val="001A5072"/>
    <w:rsid w:val="001B34DF"/>
    <w:rsid w:val="001B6359"/>
    <w:rsid w:val="001C6381"/>
    <w:rsid w:val="001C6C48"/>
    <w:rsid w:val="001C7590"/>
    <w:rsid w:val="001D172A"/>
    <w:rsid w:val="001D2472"/>
    <w:rsid w:val="001D2937"/>
    <w:rsid w:val="001D6AF9"/>
    <w:rsid w:val="001D6F33"/>
    <w:rsid w:val="001D6FF9"/>
    <w:rsid w:val="001D73AD"/>
    <w:rsid w:val="001D7803"/>
    <w:rsid w:val="001E0C5B"/>
    <w:rsid w:val="001E28F1"/>
    <w:rsid w:val="001E495C"/>
    <w:rsid w:val="001E658B"/>
    <w:rsid w:val="001E7161"/>
    <w:rsid w:val="001E7938"/>
    <w:rsid w:val="001F00C2"/>
    <w:rsid w:val="001F54A5"/>
    <w:rsid w:val="001F5D56"/>
    <w:rsid w:val="001F6379"/>
    <w:rsid w:val="001F655B"/>
    <w:rsid w:val="001F672C"/>
    <w:rsid w:val="002012B6"/>
    <w:rsid w:val="00203EAC"/>
    <w:rsid w:val="00204415"/>
    <w:rsid w:val="00205D79"/>
    <w:rsid w:val="00206E5E"/>
    <w:rsid w:val="00207A6E"/>
    <w:rsid w:val="002119C9"/>
    <w:rsid w:val="00212B62"/>
    <w:rsid w:val="00214DAF"/>
    <w:rsid w:val="00215643"/>
    <w:rsid w:val="00222623"/>
    <w:rsid w:val="00223016"/>
    <w:rsid w:val="00223996"/>
    <w:rsid w:val="00224B92"/>
    <w:rsid w:val="002268E0"/>
    <w:rsid w:val="00232D95"/>
    <w:rsid w:val="002352CD"/>
    <w:rsid w:val="002357E1"/>
    <w:rsid w:val="0024195A"/>
    <w:rsid w:val="0024424D"/>
    <w:rsid w:val="002442EC"/>
    <w:rsid w:val="0024487B"/>
    <w:rsid w:val="00245038"/>
    <w:rsid w:val="002459C0"/>
    <w:rsid w:val="00250BDC"/>
    <w:rsid w:val="002516DD"/>
    <w:rsid w:val="00252897"/>
    <w:rsid w:val="00255DD6"/>
    <w:rsid w:val="002565F9"/>
    <w:rsid w:val="0025735B"/>
    <w:rsid w:val="00261ADB"/>
    <w:rsid w:val="00262AAB"/>
    <w:rsid w:val="002635CD"/>
    <w:rsid w:val="002638C5"/>
    <w:rsid w:val="00264713"/>
    <w:rsid w:val="00266469"/>
    <w:rsid w:val="0026716B"/>
    <w:rsid w:val="00272642"/>
    <w:rsid w:val="00272963"/>
    <w:rsid w:val="0028049A"/>
    <w:rsid w:val="00280A7A"/>
    <w:rsid w:val="00281F85"/>
    <w:rsid w:val="002875A6"/>
    <w:rsid w:val="00290376"/>
    <w:rsid w:val="00291726"/>
    <w:rsid w:val="0029181A"/>
    <w:rsid w:val="00292EA1"/>
    <w:rsid w:val="00292F7C"/>
    <w:rsid w:val="0029349F"/>
    <w:rsid w:val="00296ADE"/>
    <w:rsid w:val="002972D8"/>
    <w:rsid w:val="002977AF"/>
    <w:rsid w:val="002977ED"/>
    <w:rsid w:val="002A2D1A"/>
    <w:rsid w:val="002A3230"/>
    <w:rsid w:val="002A4A46"/>
    <w:rsid w:val="002B0371"/>
    <w:rsid w:val="002B0576"/>
    <w:rsid w:val="002B0942"/>
    <w:rsid w:val="002B3E22"/>
    <w:rsid w:val="002B4BF9"/>
    <w:rsid w:val="002C2926"/>
    <w:rsid w:val="002C3EF3"/>
    <w:rsid w:val="002C54FB"/>
    <w:rsid w:val="002C596C"/>
    <w:rsid w:val="002C6E82"/>
    <w:rsid w:val="002D08D7"/>
    <w:rsid w:val="002D11BE"/>
    <w:rsid w:val="002D2D0F"/>
    <w:rsid w:val="002D327F"/>
    <w:rsid w:val="002D34EA"/>
    <w:rsid w:val="002D37D5"/>
    <w:rsid w:val="002D46D8"/>
    <w:rsid w:val="002D611B"/>
    <w:rsid w:val="002E11DD"/>
    <w:rsid w:val="002E2113"/>
    <w:rsid w:val="002E2C70"/>
    <w:rsid w:val="002E3C55"/>
    <w:rsid w:val="002E4C77"/>
    <w:rsid w:val="002E52E3"/>
    <w:rsid w:val="002E66C7"/>
    <w:rsid w:val="002E711D"/>
    <w:rsid w:val="002F1C31"/>
    <w:rsid w:val="002F2223"/>
    <w:rsid w:val="002F3C2E"/>
    <w:rsid w:val="0030022E"/>
    <w:rsid w:val="00301F42"/>
    <w:rsid w:val="00302843"/>
    <w:rsid w:val="003050F7"/>
    <w:rsid w:val="00305A14"/>
    <w:rsid w:val="003069F7"/>
    <w:rsid w:val="00306CC7"/>
    <w:rsid w:val="0030773F"/>
    <w:rsid w:val="00310028"/>
    <w:rsid w:val="0031405C"/>
    <w:rsid w:val="00315986"/>
    <w:rsid w:val="00320C95"/>
    <w:rsid w:val="003210FF"/>
    <w:rsid w:val="0032129A"/>
    <w:rsid w:val="00322B4C"/>
    <w:rsid w:val="0032346E"/>
    <w:rsid w:val="00323A9F"/>
    <w:rsid w:val="0032575F"/>
    <w:rsid w:val="00325DE3"/>
    <w:rsid w:val="00327FED"/>
    <w:rsid w:val="00332963"/>
    <w:rsid w:val="00336766"/>
    <w:rsid w:val="003421DD"/>
    <w:rsid w:val="00346883"/>
    <w:rsid w:val="00347106"/>
    <w:rsid w:val="00350BDD"/>
    <w:rsid w:val="003545CE"/>
    <w:rsid w:val="00355AEC"/>
    <w:rsid w:val="0035655C"/>
    <w:rsid w:val="00357EFE"/>
    <w:rsid w:val="0036174E"/>
    <w:rsid w:val="00364C4A"/>
    <w:rsid w:val="0037097D"/>
    <w:rsid w:val="00374EF4"/>
    <w:rsid w:val="00375096"/>
    <w:rsid w:val="0037631A"/>
    <w:rsid w:val="0038212E"/>
    <w:rsid w:val="00382535"/>
    <w:rsid w:val="00382AF5"/>
    <w:rsid w:val="00383034"/>
    <w:rsid w:val="003858E6"/>
    <w:rsid w:val="00387688"/>
    <w:rsid w:val="00392CF0"/>
    <w:rsid w:val="00395E65"/>
    <w:rsid w:val="003A0856"/>
    <w:rsid w:val="003A67EA"/>
    <w:rsid w:val="003B10B9"/>
    <w:rsid w:val="003B1160"/>
    <w:rsid w:val="003B1383"/>
    <w:rsid w:val="003B51DC"/>
    <w:rsid w:val="003B6482"/>
    <w:rsid w:val="003B749A"/>
    <w:rsid w:val="003C113F"/>
    <w:rsid w:val="003C28F6"/>
    <w:rsid w:val="003C392E"/>
    <w:rsid w:val="003C3DAA"/>
    <w:rsid w:val="003C6913"/>
    <w:rsid w:val="003C7622"/>
    <w:rsid w:val="003D2654"/>
    <w:rsid w:val="003D7CDD"/>
    <w:rsid w:val="003E158F"/>
    <w:rsid w:val="003E286C"/>
    <w:rsid w:val="003E2DAE"/>
    <w:rsid w:val="003E33EF"/>
    <w:rsid w:val="003E4652"/>
    <w:rsid w:val="003E7890"/>
    <w:rsid w:val="003E7E69"/>
    <w:rsid w:val="003F097C"/>
    <w:rsid w:val="003F51C3"/>
    <w:rsid w:val="003F5DE0"/>
    <w:rsid w:val="003F6E44"/>
    <w:rsid w:val="00400239"/>
    <w:rsid w:val="004035DE"/>
    <w:rsid w:val="004051B0"/>
    <w:rsid w:val="00406BC6"/>
    <w:rsid w:val="00412E2E"/>
    <w:rsid w:val="00414CA6"/>
    <w:rsid w:val="0041660B"/>
    <w:rsid w:val="004212A3"/>
    <w:rsid w:val="00421B44"/>
    <w:rsid w:val="00422AA6"/>
    <w:rsid w:val="0043336A"/>
    <w:rsid w:val="0043427C"/>
    <w:rsid w:val="00436BAF"/>
    <w:rsid w:val="00437F33"/>
    <w:rsid w:val="0044153B"/>
    <w:rsid w:val="0044424E"/>
    <w:rsid w:val="0045022F"/>
    <w:rsid w:val="004504A8"/>
    <w:rsid w:val="00452A75"/>
    <w:rsid w:val="00453A94"/>
    <w:rsid w:val="00453BF8"/>
    <w:rsid w:val="0045601D"/>
    <w:rsid w:val="00456AB4"/>
    <w:rsid w:val="004575C8"/>
    <w:rsid w:val="00457756"/>
    <w:rsid w:val="004606DB"/>
    <w:rsid w:val="004616B1"/>
    <w:rsid w:val="00467997"/>
    <w:rsid w:val="00471872"/>
    <w:rsid w:val="00471F3D"/>
    <w:rsid w:val="00475458"/>
    <w:rsid w:val="00480F86"/>
    <w:rsid w:val="00483C34"/>
    <w:rsid w:val="00484354"/>
    <w:rsid w:val="0048713F"/>
    <w:rsid w:val="00487DEB"/>
    <w:rsid w:val="00493939"/>
    <w:rsid w:val="004A499F"/>
    <w:rsid w:val="004A4B6B"/>
    <w:rsid w:val="004A517E"/>
    <w:rsid w:val="004A6A2F"/>
    <w:rsid w:val="004B3D73"/>
    <w:rsid w:val="004B597A"/>
    <w:rsid w:val="004B6F64"/>
    <w:rsid w:val="004C0594"/>
    <w:rsid w:val="004D0394"/>
    <w:rsid w:val="004D1EC1"/>
    <w:rsid w:val="004D280A"/>
    <w:rsid w:val="004D3360"/>
    <w:rsid w:val="004D46D3"/>
    <w:rsid w:val="004D5233"/>
    <w:rsid w:val="004E4FE6"/>
    <w:rsid w:val="004F0525"/>
    <w:rsid w:val="004F14B2"/>
    <w:rsid w:val="004F19B8"/>
    <w:rsid w:val="004F1AA0"/>
    <w:rsid w:val="004F2C04"/>
    <w:rsid w:val="004F38BD"/>
    <w:rsid w:val="004F38F5"/>
    <w:rsid w:val="004F49EC"/>
    <w:rsid w:val="00500530"/>
    <w:rsid w:val="00501B3F"/>
    <w:rsid w:val="00503054"/>
    <w:rsid w:val="005032C9"/>
    <w:rsid w:val="005044D0"/>
    <w:rsid w:val="00506AED"/>
    <w:rsid w:val="00507DCB"/>
    <w:rsid w:val="00516C26"/>
    <w:rsid w:val="00517B15"/>
    <w:rsid w:val="00524B75"/>
    <w:rsid w:val="0052690B"/>
    <w:rsid w:val="00531EA0"/>
    <w:rsid w:val="00533D0D"/>
    <w:rsid w:val="00534760"/>
    <w:rsid w:val="0054202C"/>
    <w:rsid w:val="0054367D"/>
    <w:rsid w:val="005440A6"/>
    <w:rsid w:val="00544119"/>
    <w:rsid w:val="005445FD"/>
    <w:rsid w:val="005454A8"/>
    <w:rsid w:val="00546B89"/>
    <w:rsid w:val="00546C1B"/>
    <w:rsid w:val="00552DD5"/>
    <w:rsid w:val="0055383F"/>
    <w:rsid w:val="00554A03"/>
    <w:rsid w:val="005565E0"/>
    <w:rsid w:val="005610FE"/>
    <w:rsid w:val="00565330"/>
    <w:rsid w:val="0056605E"/>
    <w:rsid w:val="00576E57"/>
    <w:rsid w:val="00577687"/>
    <w:rsid w:val="0058035D"/>
    <w:rsid w:val="005838C4"/>
    <w:rsid w:val="00583E1D"/>
    <w:rsid w:val="00584A8D"/>
    <w:rsid w:val="00585878"/>
    <w:rsid w:val="00585D9B"/>
    <w:rsid w:val="00586CF8"/>
    <w:rsid w:val="00587D74"/>
    <w:rsid w:val="005940D5"/>
    <w:rsid w:val="005955D2"/>
    <w:rsid w:val="005962A4"/>
    <w:rsid w:val="005A195C"/>
    <w:rsid w:val="005A1C0E"/>
    <w:rsid w:val="005A3002"/>
    <w:rsid w:val="005A4284"/>
    <w:rsid w:val="005A60BD"/>
    <w:rsid w:val="005B0C07"/>
    <w:rsid w:val="005B304B"/>
    <w:rsid w:val="005B4523"/>
    <w:rsid w:val="005B51AF"/>
    <w:rsid w:val="005B59F9"/>
    <w:rsid w:val="005B670A"/>
    <w:rsid w:val="005C13DD"/>
    <w:rsid w:val="005C189A"/>
    <w:rsid w:val="005C1C89"/>
    <w:rsid w:val="005C1D38"/>
    <w:rsid w:val="005C2424"/>
    <w:rsid w:val="005C3B8E"/>
    <w:rsid w:val="005C4B9B"/>
    <w:rsid w:val="005C6937"/>
    <w:rsid w:val="005D139C"/>
    <w:rsid w:val="005D17CB"/>
    <w:rsid w:val="005D5EF4"/>
    <w:rsid w:val="005D626D"/>
    <w:rsid w:val="005D74C0"/>
    <w:rsid w:val="005E1352"/>
    <w:rsid w:val="005E2A4A"/>
    <w:rsid w:val="005E53BC"/>
    <w:rsid w:val="005E65B5"/>
    <w:rsid w:val="005E7B43"/>
    <w:rsid w:val="005F0C45"/>
    <w:rsid w:val="005F2163"/>
    <w:rsid w:val="005F416D"/>
    <w:rsid w:val="005F4738"/>
    <w:rsid w:val="005F4C74"/>
    <w:rsid w:val="005F57A1"/>
    <w:rsid w:val="005F7B53"/>
    <w:rsid w:val="00601093"/>
    <w:rsid w:val="006010F5"/>
    <w:rsid w:val="00603D71"/>
    <w:rsid w:val="00605401"/>
    <w:rsid w:val="00610DAB"/>
    <w:rsid w:val="006119C5"/>
    <w:rsid w:val="00612729"/>
    <w:rsid w:val="0061430C"/>
    <w:rsid w:val="0062057C"/>
    <w:rsid w:val="006210B6"/>
    <w:rsid w:val="006227E9"/>
    <w:rsid w:val="006260D5"/>
    <w:rsid w:val="006305EA"/>
    <w:rsid w:val="00632746"/>
    <w:rsid w:val="006357B6"/>
    <w:rsid w:val="00645E4D"/>
    <w:rsid w:val="00647E1A"/>
    <w:rsid w:val="00650442"/>
    <w:rsid w:val="006507F2"/>
    <w:rsid w:val="00653512"/>
    <w:rsid w:val="006542D7"/>
    <w:rsid w:val="0065473E"/>
    <w:rsid w:val="00655184"/>
    <w:rsid w:val="006566D4"/>
    <w:rsid w:val="00657604"/>
    <w:rsid w:val="00657FE0"/>
    <w:rsid w:val="00664E56"/>
    <w:rsid w:val="00673785"/>
    <w:rsid w:val="00674A92"/>
    <w:rsid w:val="0067680B"/>
    <w:rsid w:val="00676AFC"/>
    <w:rsid w:val="00677072"/>
    <w:rsid w:val="0068064B"/>
    <w:rsid w:val="00681DB2"/>
    <w:rsid w:val="006838C0"/>
    <w:rsid w:val="006856BA"/>
    <w:rsid w:val="00690847"/>
    <w:rsid w:val="006908E1"/>
    <w:rsid w:val="0069300A"/>
    <w:rsid w:val="006930B5"/>
    <w:rsid w:val="00693B84"/>
    <w:rsid w:val="00694DAF"/>
    <w:rsid w:val="0069638D"/>
    <w:rsid w:val="00697844"/>
    <w:rsid w:val="006A0FBD"/>
    <w:rsid w:val="006A4234"/>
    <w:rsid w:val="006A49A9"/>
    <w:rsid w:val="006A79B8"/>
    <w:rsid w:val="006B074E"/>
    <w:rsid w:val="006B1163"/>
    <w:rsid w:val="006B21A7"/>
    <w:rsid w:val="006B2BD5"/>
    <w:rsid w:val="006B4437"/>
    <w:rsid w:val="006B6FD2"/>
    <w:rsid w:val="006C44E6"/>
    <w:rsid w:val="006C521A"/>
    <w:rsid w:val="006D0E3D"/>
    <w:rsid w:val="006D11E5"/>
    <w:rsid w:val="006D336D"/>
    <w:rsid w:val="006D55B4"/>
    <w:rsid w:val="006D5F37"/>
    <w:rsid w:val="006D6876"/>
    <w:rsid w:val="006D6F57"/>
    <w:rsid w:val="006D769E"/>
    <w:rsid w:val="006E0F35"/>
    <w:rsid w:val="006E5895"/>
    <w:rsid w:val="006F03BB"/>
    <w:rsid w:val="006F09B1"/>
    <w:rsid w:val="006F107B"/>
    <w:rsid w:val="006F284C"/>
    <w:rsid w:val="006F331B"/>
    <w:rsid w:val="006F3FC6"/>
    <w:rsid w:val="006F5C90"/>
    <w:rsid w:val="006F646E"/>
    <w:rsid w:val="006F7227"/>
    <w:rsid w:val="006F7F12"/>
    <w:rsid w:val="00702366"/>
    <w:rsid w:val="007065AB"/>
    <w:rsid w:val="00711B32"/>
    <w:rsid w:val="007163BC"/>
    <w:rsid w:val="00720FB4"/>
    <w:rsid w:val="007220AD"/>
    <w:rsid w:val="00722115"/>
    <w:rsid w:val="00730AE3"/>
    <w:rsid w:val="00734082"/>
    <w:rsid w:val="00736BC2"/>
    <w:rsid w:val="00745CAB"/>
    <w:rsid w:val="00745F78"/>
    <w:rsid w:val="00754BCD"/>
    <w:rsid w:val="00755069"/>
    <w:rsid w:val="00756F19"/>
    <w:rsid w:val="00757518"/>
    <w:rsid w:val="007628C4"/>
    <w:rsid w:val="00765B80"/>
    <w:rsid w:val="00765CB9"/>
    <w:rsid w:val="00765FB6"/>
    <w:rsid w:val="00766060"/>
    <w:rsid w:val="00766386"/>
    <w:rsid w:val="00767D84"/>
    <w:rsid w:val="007754EE"/>
    <w:rsid w:val="0077620D"/>
    <w:rsid w:val="00783C70"/>
    <w:rsid w:val="007919D7"/>
    <w:rsid w:val="00792F21"/>
    <w:rsid w:val="0079325E"/>
    <w:rsid w:val="00793897"/>
    <w:rsid w:val="007A1181"/>
    <w:rsid w:val="007A1754"/>
    <w:rsid w:val="007A2BBC"/>
    <w:rsid w:val="007A3C98"/>
    <w:rsid w:val="007B1587"/>
    <w:rsid w:val="007B1BD6"/>
    <w:rsid w:val="007B2D4C"/>
    <w:rsid w:val="007C224C"/>
    <w:rsid w:val="007C22FE"/>
    <w:rsid w:val="007C3FEA"/>
    <w:rsid w:val="007C503A"/>
    <w:rsid w:val="007C5115"/>
    <w:rsid w:val="007C5285"/>
    <w:rsid w:val="007C633B"/>
    <w:rsid w:val="007C64A7"/>
    <w:rsid w:val="007C6658"/>
    <w:rsid w:val="007C7B24"/>
    <w:rsid w:val="007D20C3"/>
    <w:rsid w:val="007D3182"/>
    <w:rsid w:val="007D5657"/>
    <w:rsid w:val="007D6294"/>
    <w:rsid w:val="007D6507"/>
    <w:rsid w:val="007D68FB"/>
    <w:rsid w:val="007D7480"/>
    <w:rsid w:val="007E0597"/>
    <w:rsid w:val="007E4BED"/>
    <w:rsid w:val="007E7703"/>
    <w:rsid w:val="007F00DF"/>
    <w:rsid w:val="007F0522"/>
    <w:rsid w:val="007F72DC"/>
    <w:rsid w:val="008003B5"/>
    <w:rsid w:val="00802013"/>
    <w:rsid w:val="0080253D"/>
    <w:rsid w:val="008027E3"/>
    <w:rsid w:val="00802877"/>
    <w:rsid w:val="008038E2"/>
    <w:rsid w:val="008042DE"/>
    <w:rsid w:val="00807A8D"/>
    <w:rsid w:val="00810036"/>
    <w:rsid w:val="0081198C"/>
    <w:rsid w:val="00811CCB"/>
    <w:rsid w:val="00813A7B"/>
    <w:rsid w:val="00814626"/>
    <w:rsid w:val="00815A91"/>
    <w:rsid w:val="0082398F"/>
    <w:rsid w:val="00823D68"/>
    <w:rsid w:val="00825524"/>
    <w:rsid w:val="0082572C"/>
    <w:rsid w:val="00826761"/>
    <w:rsid w:val="00826914"/>
    <w:rsid w:val="00831816"/>
    <w:rsid w:val="0083211E"/>
    <w:rsid w:val="00837999"/>
    <w:rsid w:val="00845D24"/>
    <w:rsid w:val="008466E6"/>
    <w:rsid w:val="00850F06"/>
    <w:rsid w:val="00854BCD"/>
    <w:rsid w:val="008609F1"/>
    <w:rsid w:val="00870D40"/>
    <w:rsid w:val="0087279F"/>
    <w:rsid w:val="00877C67"/>
    <w:rsid w:val="00880448"/>
    <w:rsid w:val="008808D1"/>
    <w:rsid w:val="00880F4F"/>
    <w:rsid w:val="008819EF"/>
    <w:rsid w:val="00885C7A"/>
    <w:rsid w:val="008909AB"/>
    <w:rsid w:val="008939C6"/>
    <w:rsid w:val="008956E2"/>
    <w:rsid w:val="00897104"/>
    <w:rsid w:val="008A0F30"/>
    <w:rsid w:val="008A1594"/>
    <w:rsid w:val="008A3D5A"/>
    <w:rsid w:val="008A49CC"/>
    <w:rsid w:val="008A6954"/>
    <w:rsid w:val="008A7B99"/>
    <w:rsid w:val="008B04F3"/>
    <w:rsid w:val="008B0ACA"/>
    <w:rsid w:val="008B2EA0"/>
    <w:rsid w:val="008B514D"/>
    <w:rsid w:val="008B5682"/>
    <w:rsid w:val="008B638F"/>
    <w:rsid w:val="008C013C"/>
    <w:rsid w:val="008C073C"/>
    <w:rsid w:val="008C1E35"/>
    <w:rsid w:val="008C3735"/>
    <w:rsid w:val="008C3EE4"/>
    <w:rsid w:val="008C4A39"/>
    <w:rsid w:val="008C7BCC"/>
    <w:rsid w:val="008D3083"/>
    <w:rsid w:val="008D5AA2"/>
    <w:rsid w:val="008E2D5C"/>
    <w:rsid w:val="008E4886"/>
    <w:rsid w:val="008E5DFF"/>
    <w:rsid w:val="008E5F84"/>
    <w:rsid w:val="008E6180"/>
    <w:rsid w:val="008E652A"/>
    <w:rsid w:val="008E713E"/>
    <w:rsid w:val="008E7500"/>
    <w:rsid w:val="008E7856"/>
    <w:rsid w:val="008E7AF8"/>
    <w:rsid w:val="008F1649"/>
    <w:rsid w:val="008F2852"/>
    <w:rsid w:val="008F2CD1"/>
    <w:rsid w:val="008F34E9"/>
    <w:rsid w:val="008F452A"/>
    <w:rsid w:val="008F5583"/>
    <w:rsid w:val="008F64CA"/>
    <w:rsid w:val="008F6E42"/>
    <w:rsid w:val="0090024A"/>
    <w:rsid w:val="00902A3A"/>
    <w:rsid w:val="00902F00"/>
    <w:rsid w:val="00903D75"/>
    <w:rsid w:val="009048D5"/>
    <w:rsid w:val="00904F71"/>
    <w:rsid w:val="009067F8"/>
    <w:rsid w:val="009073AF"/>
    <w:rsid w:val="00907569"/>
    <w:rsid w:val="00907C50"/>
    <w:rsid w:val="0091105C"/>
    <w:rsid w:val="00911FB6"/>
    <w:rsid w:val="00912FE6"/>
    <w:rsid w:val="009143C0"/>
    <w:rsid w:val="00915DA3"/>
    <w:rsid w:val="00922EAD"/>
    <w:rsid w:val="00924344"/>
    <w:rsid w:val="009271C8"/>
    <w:rsid w:val="009273EC"/>
    <w:rsid w:val="00927538"/>
    <w:rsid w:val="0092794B"/>
    <w:rsid w:val="00930B9F"/>
    <w:rsid w:val="009316DE"/>
    <w:rsid w:val="00933DD0"/>
    <w:rsid w:val="009344D1"/>
    <w:rsid w:val="009347B2"/>
    <w:rsid w:val="00941D24"/>
    <w:rsid w:val="009426C5"/>
    <w:rsid w:val="0094348F"/>
    <w:rsid w:val="0094407A"/>
    <w:rsid w:val="0095088D"/>
    <w:rsid w:val="00952E39"/>
    <w:rsid w:val="00953856"/>
    <w:rsid w:val="0095452C"/>
    <w:rsid w:val="00954DF9"/>
    <w:rsid w:val="009554D5"/>
    <w:rsid w:val="009575EE"/>
    <w:rsid w:val="009610A4"/>
    <w:rsid w:val="00965084"/>
    <w:rsid w:val="00966B0C"/>
    <w:rsid w:val="0096752A"/>
    <w:rsid w:val="00970644"/>
    <w:rsid w:val="0097202C"/>
    <w:rsid w:val="0097274F"/>
    <w:rsid w:val="00973E3E"/>
    <w:rsid w:val="0097688D"/>
    <w:rsid w:val="00976BD9"/>
    <w:rsid w:val="00977358"/>
    <w:rsid w:val="0097768D"/>
    <w:rsid w:val="00980216"/>
    <w:rsid w:val="00980BA1"/>
    <w:rsid w:val="0098268D"/>
    <w:rsid w:val="00984522"/>
    <w:rsid w:val="009849A7"/>
    <w:rsid w:val="009853E9"/>
    <w:rsid w:val="00986C7D"/>
    <w:rsid w:val="00990DF6"/>
    <w:rsid w:val="00991CCA"/>
    <w:rsid w:val="00993C12"/>
    <w:rsid w:val="009944E1"/>
    <w:rsid w:val="00997CCE"/>
    <w:rsid w:val="009A075D"/>
    <w:rsid w:val="009A0DED"/>
    <w:rsid w:val="009A0F08"/>
    <w:rsid w:val="009A1D4F"/>
    <w:rsid w:val="009A2735"/>
    <w:rsid w:val="009A3393"/>
    <w:rsid w:val="009A553B"/>
    <w:rsid w:val="009A5C69"/>
    <w:rsid w:val="009B22A7"/>
    <w:rsid w:val="009B2379"/>
    <w:rsid w:val="009B2903"/>
    <w:rsid w:val="009B3EF9"/>
    <w:rsid w:val="009B5E1D"/>
    <w:rsid w:val="009B66F0"/>
    <w:rsid w:val="009B7F47"/>
    <w:rsid w:val="009C0E6E"/>
    <w:rsid w:val="009C20A9"/>
    <w:rsid w:val="009C3DC3"/>
    <w:rsid w:val="009C6D77"/>
    <w:rsid w:val="009C71E3"/>
    <w:rsid w:val="009C7A8B"/>
    <w:rsid w:val="009C7B30"/>
    <w:rsid w:val="009D1998"/>
    <w:rsid w:val="009D2F92"/>
    <w:rsid w:val="009D38C1"/>
    <w:rsid w:val="009D60CA"/>
    <w:rsid w:val="009D66E0"/>
    <w:rsid w:val="009E0FC2"/>
    <w:rsid w:val="009E2B79"/>
    <w:rsid w:val="009E3589"/>
    <w:rsid w:val="009E5F51"/>
    <w:rsid w:val="009F05CC"/>
    <w:rsid w:val="009F1F74"/>
    <w:rsid w:val="009F297A"/>
    <w:rsid w:val="00A022AF"/>
    <w:rsid w:val="00A028A0"/>
    <w:rsid w:val="00A02C81"/>
    <w:rsid w:val="00A05F4C"/>
    <w:rsid w:val="00A10051"/>
    <w:rsid w:val="00A105A5"/>
    <w:rsid w:val="00A1513B"/>
    <w:rsid w:val="00A17D3D"/>
    <w:rsid w:val="00A20F36"/>
    <w:rsid w:val="00A220A4"/>
    <w:rsid w:val="00A24D01"/>
    <w:rsid w:val="00A24F7D"/>
    <w:rsid w:val="00A257CA"/>
    <w:rsid w:val="00A2666C"/>
    <w:rsid w:val="00A276A2"/>
    <w:rsid w:val="00A30B1D"/>
    <w:rsid w:val="00A30C4E"/>
    <w:rsid w:val="00A30DAD"/>
    <w:rsid w:val="00A35766"/>
    <w:rsid w:val="00A372C2"/>
    <w:rsid w:val="00A4054F"/>
    <w:rsid w:val="00A40793"/>
    <w:rsid w:val="00A4123B"/>
    <w:rsid w:val="00A42339"/>
    <w:rsid w:val="00A44508"/>
    <w:rsid w:val="00A4612C"/>
    <w:rsid w:val="00A47E08"/>
    <w:rsid w:val="00A518EF"/>
    <w:rsid w:val="00A51BE9"/>
    <w:rsid w:val="00A5276F"/>
    <w:rsid w:val="00A52DCF"/>
    <w:rsid w:val="00A5670F"/>
    <w:rsid w:val="00A5748C"/>
    <w:rsid w:val="00A60160"/>
    <w:rsid w:val="00A62127"/>
    <w:rsid w:val="00A62F9C"/>
    <w:rsid w:val="00A65A02"/>
    <w:rsid w:val="00A65DAF"/>
    <w:rsid w:val="00A71E30"/>
    <w:rsid w:val="00A75937"/>
    <w:rsid w:val="00A76820"/>
    <w:rsid w:val="00A8273B"/>
    <w:rsid w:val="00A84C16"/>
    <w:rsid w:val="00A86D6F"/>
    <w:rsid w:val="00A92C0F"/>
    <w:rsid w:val="00AA014E"/>
    <w:rsid w:val="00AA1214"/>
    <w:rsid w:val="00AA1B9E"/>
    <w:rsid w:val="00AB03AF"/>
    <w:rsid w:val="00AB2438"/>
    <w:rsid w:val="00AB2988"/>
    <w:rsid w:val="00AB2BE7"/>
    <w:rsid w:val="00AB4C36"/>
    <w:rsid w:val="00AB50F9"/>
    <w:rsid w:val="00AB6AA2"/>
    <w:rsid w:val="00AB774A"/>
    <w:rsid w:val="00AB7E94"/>
    <w:rsid w:val="00AB7F7A"/>
    <w:rsid w:val="00AC1E69"/>
    <w:rsid w:val="00AD2162"/>
    <w:rsid w:val="00AD3EB0"/>
    <w:rsid w:val="00AD4877"/>
    <w:rsid w:val="00AD4E77"/>
    <w:rsid w:val="00AD7EAD"/>
    <w:rsid w:val="00AE2481"/>
    <w:rsid w:val="00AE5D4F"/>
    <w:rsid w:val="00AF0B93"/>
    <w:rsid w:val="00AF214D"/>
    <w:rsid w:val="00AF79A3"/>
    <w:rsid w:val="00AF7B91"/>
    <w:rsid w:val="00AF7BF7"/>
    <w:rsid w:val="00B04D99"/>
    <w:rsid w:val="00B059F4"/>
    <w:rsid w:val="00B10478"/>
    <w:rsid w:val="00B10483"/>
    <w:rsid w:val="00B11DEC"/>
    <w:rsid w:val="00B12594"/>
    <w:rsid w:val="00B138F2"/>
    <w:rsid w:val="00B13ADB"/>
    <w:rsid w:val="00B20626"/>
    <w:rsid w:val="00B26FF9"/>
    <w:rsid w:val="00B27063"/>
    <w:rsid w:val="00B271A0"/>
    <w:rsid w:val="00B316CB"/>
    <w:rsid w:val="00B318C8"/>
    <w:rsid w:val="00B3299A"/>
    <w:rsid w:val="00B32E67"/>
    <w:rsid w:val="00B34FB0"/>
    <w:rsid w:val="00B35272"/>
    <w:rsid w:val="00B44E21"/>
    <w:rsid w:val="00B464DF"/>
    <w:rsid w:val="00B465F5"/>
    <w:rsid w:val="00B51A23"/>
    <w:rsid w:val="00B51F95"/>
    <w:rsid w:val="00B525FF"/>
    <w:rsid w:val="00B535AE"/>
    <w:rsid w:val="00B54C95"/>
    <w:rsid w:val="00B56B11"/>
    <w:rsid w:val="00B57FB9"/>
    <w:rsid w:val="00B605B5"/>
    <w:rsid w:val="00B60762"/>
    <w:rsid w:val="00B619B2"/>
    <w:rsid w:val="00B62B9C"/>
    <w:rsid w:val="00B736C4"/>
    <w:rsid w:val="00B750C8"/>
    <w:rsid w:val="00B7629B"/>
    <w:rsid w:val="00B776C5"/>
    <w:rsid w:val="00B8064F"/>
    <w:rsid w:val="00B85D25"/>
    <w:rsid w:val="00B85F9B"/>
    <w:rsid w:val="00B87395"/>
    <w:rsid w:val="00B907BF"/>
    <w:rsid w:val="00B9198C"/>
    <w:rsid w:val="00B955CB"/>
    <w:rsid w:val="00B978DF"/>
    <w:rsid w:val="00BA11A4"/>
    <w:rsid w:val="00BA1498"/>
    <w:rsid w:val="00BA285F"/>
    <w:rsid w:val="00BA28D6"/>
    <w:rsid w:val="00BA3233"/>
    <w:rsid w:val="00BA36DF"/>
    <w:rsid w:val="00BA4B38"/>
    <w:rsid w:val="00BA6DB4"/>
    <w:rsid w:val="00BA7688"/>
    <w:rsid w:val="00BB5A4F"/>
    <w:rsid w:val="00BB724F"/>
    <w:rsid w:val="00BC2839"/>
    <w:rsid w:val="00BC3475"/>
    <w:rsid w:val="00BC4ABF"/>
    <w:rsid w:val="00BC4C65"/>
    <w:rsid w:val="00BC5235"/>
    <w:rsid w:val="00BC5FF2"/>
    <w:rsid w:val="00BC6213"/>
    <w:rsid w:val="00BC68D7"/>
    <w:rsid w:val="00BD281A"/>
    <w:rsid w:val="00BD5EA1"/>
    <w:rsid w:val="00BE1336"/>
    <w:rsid w:val="00BE13DD"/>
    <w:rsid w:val="00BE21BF"/>
    <w:rsid w:val="00BE26DE"/>
    <w:rsid w:val="00BE37A4"/>
    <w:rsid w:val="00BE42D2"/>
    <w:rsid w:val="00BE45DE"/>
    <w:rsid w:val="00BF114F"/>
    <w:rsid w:val="00BF2233"/>
    <w:rsid w:val="00BF231D"/>
    <w:rsid w:val="00BF2CFC"/>
    <w:rsid w:val="00BF35C8"/>
    <w:rsid w:val="00BF5E53"/>
    <w:rsid w:val="00BF6890"/>
    <w:rsid w:val="00C0222A"/>
    <w:rsid w:val="00C03221"/>
    <w:rsid w:val="00C03B88"/>
    <w:rsid w:val="00C03D94"/>
    <w:rsid w:val="00C05456"/>
    <w:rsid w:val="00C06613"/>
    <w:rsid w:val="00C076A9"/>
    <w:rsid w:val="00C07B4A"/>
    <w:rsid w:val="00C135D6"/>
    <w:rsid w:val="00C15BBB"/>
    <w:rsid w:val="00C227B2"/>
    <w:rsid w:val="00C251F3"/>
    <w:rsid w:val="00C25602"/>
    <w:rsid w:val="00C25757"/>
    <w:rsid w:val="00C312B3"/>
    <w:rsid w:val="00C31FC0"/>
    <w:rsid w:val="00C36668"/>
    <w:rsid w:val="00C37FF1"/>
    <w:rsid w:val="00C40F8A"/>
    <w:rsid w:val="00C414D7"/>
    <w:rsid w:val="00C41981"/>
    <w:rsid w:val="00C45108"/>
    <w:rsid w:val="00C507CD"/>
    <w:rsid w:val="00C51C3E"/>
    <w:rsid w:val="00C51F93"/>
    <w:rsid w:val="00C6014E"/>
    <w:rsid w:val="00C64077"/>
    <w:rsid w:val="00C65999"/>
    <w:rsid w:val="00C67E56"/>
    <w:rsid w:val="00C70695"/>
    <w:rsid w:val="00C70883"/>
    <w:rsid w:val="00C739FA"/>
    <w:rsid w:val="00C74FC1"/>
    <w:rsid w:val="00C75979"/>
    <w:rsid w:val="00C77E2B"/>
    <w:rsid w:val="00C816E8"/>
    <w:rsid w:val="00C83905"/>
    <w:rsid w:val="00C83EBF"/>
    <w:rsid w:val="00C85EA4"/>
    <w:rsid w:val="00C912FE"/>
    <w:rsid w:val="00C915A0"/>
    <w:rsid w:val="00C917A4"/>
    <w:rsid w:val="00C956D5"/>
    <w:rsid w:val="00C9571C"/>
    <w:rsid w:val="00CA1572"/>
    <w:rsid w:val="00CA4CED"/>
    <w:rsid w:val="00CA6B87"/>
    <w:rsid w:val="00CA7C15"/>
    <w:rsid w:val="00CB0B5B"/>
    <w:rsid w:val="00CB0CEA"/>
    <w:rsid w:val="00CB4344"/>
    <w:rsid w:val="00CB5EC7"/>
    <w:rsid w:val="00CB7882"/>
    <w:rsid w:val="00CC01C5"/>
    <w:rsid w:val="00CC028A"/>
    <w:rsid w:val="00CC1670"/>
    <w:rsid w:val="00CC2031"/>
    <w:rsid w:val="00CC47CE"/>
    <w:rsid w:val="00CD2A82"/>
    <w:rsid w:val="00CD46A3"/>
    <w:rsid w:val="00CD6227"/>
    <w:rsid w:val="00CD6772"/>
    <w:rsid w:val="00CE0F70"/>
    <w:rsid w:val="00CE3039"/>
    <w:rsid w:val="00CE3F4B"/>
    <w:rsid w:val="00CE51C3"/>
    <w:rsid w:val="00CE54E5"/>
    <w:rsid w:val="00CE5A7C"/>
    <w:rsid w:val="00CE6A42"/>
    <w:rsid w:val="00CE7EA2"/>
    <w:rsid w:val="00CF0EC7"/>
    <w:rsid w:val="00CF4F69"/>
    <w:rsid w:val="00CF5710"/>
    <w:rsid w:val="00CF5F04"/>
    <w:rsid w:val="00CF5FF2"/>
    <w:rsid w:val="00CF716A"/>
    <w:rsid w:val="00CF7438"/>
    <w:rsid w:val="00D01CB7"/>
    <w:rsid w:val="00D030EE"/>
    <w:rsid w:val="00D03979"/>
    <w:rsid w:val="00D03B00"/>
    <w:rsid w:val="00D04941"/>
    <w:rsid w:val="00D0579A"/>
    <w:rsid w:val="00D059F8"/>
    <w:rsid w:val="00D05FE0"/>
    <w:rsid w:val="00D1131E"/>
    <w:rsid w:val="00D15589"/>
    <w:rsid w:val="00D16C03"/>
    <w:rsid w:val="00D21DB3"/>
    <w:rsid w:val="00D220E9"/>
    <w:rsid w:val="00D222BA"/>
    <w:rsid w:val="00D22AE8"/>
    <w:rsid w:val="00D238B9"/>
    <w:rsid w:val="00D24B2E"/>
    <w:rsid w:val="00D25CA8"/>
    <w:rsid w:val="00D307AC"/>
    <w:rsid w:val="00D30AC5"/>
    <w:rsid w:val="00D315ED"/>
    <w:rsid w:val="00D31AFA"/>
    <w:rsid w:val="00D331CF"/>
    <w:rsid w:val="00D341AA"/>
    <w:rsid w:val="00D3559B"/>
    <w:rsid w:val="00D36E95"/>
    <w:rsid w:val="00D36F62"/>
    <w:rsid w:val="00D37381"/>
    <w:rsid w:val="00D40C44"/>
    <w:rsid w:val="00D432AD"/>
    <w:rsid w:val="00D4369E"/>
    <w:rsid w:val="00D44967"/>
    <w:rsid w:val="00D50D46"/>
    <w:rsid w:val="00D51069"/>
    <w:rsid w:val="00D512EA"/>
    <w:rsid w:val="00D52D87"/>
    <w:rsid w:val="00D55236"/>
    <w:rsid w:val="00D609E1"/>
    <w:rsid w:val="00D63A3E"/>
    <w:rsid w:val="00D63AE6"/>
    <w:rsid w:val="00D662D5"/>
    <w:rsid w:val="00D67923"/>
    <w:rsid w:val="00D67C7C"/>
    <w:rsid w:val="00D73C85"/>
    <w:rsid w:val="00D75807"/>
    <w:rsid w:val="00D80877"/>
    <w:rsid w:val="00D82D76"/>
    <w:rsid w:val="00D854BD"/>
    <w:rsid w:val="00D8741A"/>
    <w:rsid w:val="00D90F9F"/>
    <w:rsid w:val="00D91B4D"/>
    <w:rsid w:val="00D921CC"/>
    <w:rsid w:val="00D944DD"/>
    <w:rsid w:val="00D9537D"/>
    <w:rsid w:val="00D97AD3"/>
    <w:rsid w:val="00D97AFC"/>
    <w:rsid w:val="00DA3CB2"/>
    <w:rsid w:val="00DA7958"/>
    <w:rsid w:val="00DB0FE2"/>
    <w:rsid w:val="00DB1D29"/>
    <w:rsid w:val="00DB340D"/>
    <w:rsid w:val="00DC1B5F"/>
    <w:rsid w:val="00DC3DB1"/>
    <w:rsid w:val="00DC5CC7"/>
    <w:rsid w:val="00DC76AF"/>
    <w:rsid w:val="00DD01CC"/>
    <w:rsid w:val="00DD3B47"/>
    <w:rsid w:val="00DD52CC"/>
    <w:rsid w:val="00DE03EF"/>
    <w:rsid w:val="00DE2610"/>
    <w:rsid w:val="00DE308B"/>
    <w:rsid w:val="00DE3388"/>
    <w:rsid w:val="00DF05A3"/>
    <w:rsid w:val="00DF3F96"/>
    <w:rsid w:val="00DF4EAE"/>
    <w:rsid w:val="00DF4EB7"/>
    <w:rsid w:val="00DF55AF"/>
    <w:rsid w:val="00DF5727"/>
    <w:rsid w:val="00DF5A72"/>
    <w:rsid w:val="00DF7A17"/>
    <w:rsid w:val="00E024AA"/>
    <w:rsid w:val="00E07820"/>
    <w:rsid w:val="00E10F6A"/>
    <w:rsid w:val="00E14A6C"/>
    <w:rsid w:val="00E1759B"/>
    <w:rsid w:val="00E20051"/>
    <w:rsid w:val="00E205FE"/>
    <w:rsid w:val="00E211EB"/>
    <w:rsid w:val="00E21A0D"/>
    <w:rsid w:val="00E21BF9"/>
    <w:rsid w:val="00E25875"/>
    <w:rsid w:val="00E2622B"/>
    <w:rsid w:val="00E30A98"/>
    <w:rsid w:val="00E330B5"/>
    <w:rsid w:val="00E378C1"/>
    <w:rsid w:val="00E37A7A"/>
    <w:rsid w:val="00E404AA"/>
    <w:rsid w:val="00E40FF0"/>
    <w:rsid w:val="00E4279D"/>
    <w:rsid w:val="00E46073"/>
    <w:rsid w:val="00E47630"/>
    <w:rsid w:val="00E5096B"/>
    <w:rsid w:val="00E513D6"/>
    <w:rsid w:val="00E529C7"/>
    <w:rsid w:val="00E53C5D"/>
    <w:rsid w:val="00E55B3B"/>
    <w:rsid w:val="00E55E91"/>
    <w:rsid w:val="00E55FCD"/>
    <w:rsid w:val="00E57FAE"/>
    <w:rsid w:val="00E60CD5"/>
    <w:rsid w:val="00E65D4A"/>
    <w:rsid w:val="00E663C8"/>
    <w:rsid w:val="00E66443"/>
    <w:rsid w:val="00E664E3"/>
    <w:rsid w:val="00E71989"/>
    <w:rsid w:val="00E71BCE"/>
    <w:rsid w:val="00E739C9"/>
    <w:rsid w:val="00E74C91"/>
    <w:rsid w:val="00E761B4"/>
    <w:rsid w:val="00E76830"/>
    <w:rsid w:val="00E76EE7"/>
    <w:rsid w:val="00E804B4"/>
    <w:rsid w:val="00E8245F"/>
    <w:rsid w:val="00E8583A"/>
    <w:rsid w:val="00E85A34"/>
    <w:rsid w:val="00E85C0D"/>
    <w:rsid w:val="00E91A0C"/>
    <w:rsid w:val="00E9305D"/>
    <w:rsid w:val="00E9383E"/>
    <w:rsid w:val="00E9620E"/>
    <w:rsid w:val="00E96796"/>
    <w:rsid w:val="00EA2C00"/>
    <w:rsid w:val="00EA4658"/>
    <w:rsid w:val="00EA62B0"/>
    <w:rsid w:val="00EA68D6"/>
    <w:rsid w:val="00EA7525"/>
    <w:rsid w:val="00EB28BF"/>
    <w:rsid w:val="00EB2D6E"/>
    <w:rsid w:val="00EB425C"/>
    <w:rsid w:val="00EB45CD"/>
    <w:rsid w:val="00EB5D7B"/>
    <w:rsid w:val="00EB6B94"/>
    <w:rsid w:val="00EC0891"/>
    <w:rsid w:val="00EC182F"/>
    <w:rsid w:val="00EC24F7"/>
    <w:rsid w:val="00EC3D07"/>
    <w:rsid w:val="00EC561C"/>
    <w:rsid w:val="00ED3124"/>
    <w:rsid w:val="00ED3C5B"/>
    <w:rsid w:val="00ED3EAF"/>
    <w:rsid w:val="00ED754D"/>
    <w:rsid w:val="00EE0103"/>
    <w:rsid w:val="00EE04DA"/>
    <w:rsid w:val="00EE0CB8"/>
    <w:rsid w:val="00EE0D73"/>
    <w:rsid w:val="00EE2DDF"/>
    <w:rsid w:val="00EE3902"/>
    <w:rsid w:val="00EE46F8"/>
    <w:rsid w:val="00EE51DB"/>
    <w:rsid w:val="00EF16A9"/>
    <w:rsid w:val="00EF2530"/>
    <w:rsid w:val="00EF50BC"/>
    <w:rsid w:val="00EF6531"/>
    <w:rsid w:val="00F02584"/>
    <w:rsid w:val="00F03335"/>
    <w:rsid w:val="00F03813"/>
    <w:rsid w:val="00F0463F"/>
    <w:rsid w:val="00F05223"/>
    <w:rsid w:val="00F0786A"/>
    <w:rsid w:val="00F0798F"/>
    <w:rsid w:val="00F10360"/>
    <w:rsid w:val="00F13DA2"/>
    <w:rsid w:val="00F13DC0"/>
    <w:rsid w:val="00F14485"/>
    <w:rsid w:val="00F15CA7"/>
    <w:rsid w:val="00F16F02"/>
    <w:rsid w:val="00F17560"/>
    <w:rsid w:val="00F21A2A"/>
    <w:rsid w:val="00F23FDE"/>
    <w:rsid w:val="00F24584"/>
    <w:rsid w:val="00F25483"/>
    <w:rsid w:val="00F2618E"/>
    <w:rsid w:val="00F26A60"/>
    <w:rsid w:val="00F26C75"/>
    <w:rsid w:val="00F2731B"/>
    <w:rsid w:val="00F30FB4"/>
    <w:rsid w:val="00F32B4A"/>
    <w:rsid w:val="00F37626"/>
    <w:rsid w:val="00F42243"/>
    <w:rsid w:val="00F44287"/>
    <w:rsid w:val="00F46177"/>
    <w:rsid w:val="00F465B6"/>
    <w:rsid w:val="00F466A2"/>
    <w:rsid w:val="00F50B48"/>
    <w:rsid w:val="00F523BD"/>
    <w:rsid w:val="00F535CD"/>
    <w:rsid w:val="00F5663A"/>
    <w:rsid w:val="00F61737"/>
    <w:rsid w:val="00F61AEB"/>
    <w:rsid w:val="00F61DBA"/>
    <w:rsid w:val="00F64CB9"/>
    <w:rsid w:val="00F65E5A"/>
    <w:rsid w:val="00F65E89"/>
    <w:rsid w:val="00F67181"/>
    <w:rsid w:val="00F71E02"/>
    <w:rsid w:val="00F72092"/>
    <w:rsid w:val="00F730DC"/>
    <w:rsid w:val="00F7315B"/>
    <w:rsid w:val="00F73BC4"/>
    <w:rsid w:val="00F7528C"/>
    <w:rsid w:val="00F756F0"/>
    <w:rsid w:val="00F77628"/>
    <w:rsid w:val="00F77A70"/>
    <w:rsid w:val="00F77BCA"/>
    <w:rsid w:val="00F810A2"/>
    <w:rsid w:val="00F827AF"/>
    <w:rsid w:val="00F838DD"/>
    <w:rsid w:val="00F83906"/>
    <w:rsid w:val="00F83F1B"/>
    <w:rsid w:val="00F86BBA"/>
    <w:rsid w:val="00F86DE4"/>
    <w:rsid w:val="00F90A84"/>
    <w:rsid w:val="00F92862"/>
    <w:rsid w:val="00F94CB8"/>
    <w:rsid w:val="00F94E1D"/>
    <w:rsid w:val="00F95742"/>
    <w:rsid w:val="00F96231"/>
    <w:rsid w:val="00FA0329"/>
    <w:rsid w:val="00FA1547"/>
    <w:rsid w:val="00FA3B2F"/>
    <w:rsid w:val="00FB05BF"/>
    <w:rsid w:val="00FB0FE1"/>
    <w:rsid w:val="00FB2612"/>
    <w:rsid w:val="00FB2EC2"/>
    <w:rsid w:val="00FB3B70"/>
    <w:rsid w:val="00FB4D91"/>
    <w:rsid w:val="00FB5397"/>
    <w:rsid w:val="00FB5F2F"/>
    <w:rsid w:val="00FB60F9"/>
    <w:rsid w:val="00FB6FA5"/>
    <w:rsid w:val="00FB7C38"/>
    <w:rsid w:val="00FC0CE7"/>
    <w:rsid w:val="00FC22ED"/>
    <w:rsid w:val="00FC34E6"/>
    <w:rsid w:val="00FC397E"/>
    <w:rsid w:val="00FC4CC8"/>
    <w:rsid w:val="00FC6159"/>
    <w:rsid w:val="00FC6A0C"/>
    <w:rsid w:val="00FC7715"/>
    <w:rsid w:val="00FD0481"/>
    <w:rsid w:val="00FD061C"/>
    <w:rsid w:val="00FD1D0A"/>
    <w:rsid w:val="00FD5DF8"/>
    <w:rsid w:val="00FE058C"/>
    <w:rsid w:val="00FE28B7"/>
    <w:rsid w:val="00FE2BD1"/>
    <w:rsid w:val="00FE3031"/>
    <w:rsid w:val="00FE741A"/>
    <w:rsid w:val="00FF09C1"/>
    <w:rsid w:val="00FF1D08"/>
    <w:rsid w:val="00FF2936"/>
    <w:rsid w:val="00FF4C3A"/>
    <w:rsid w:val="00FF5532"/>
    <w:rsid w:val="00FF7127"/>
    <w:rsid w:val="00FF79B6"/>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36D"/>
    <w:pPr>
      <w:jc w:val="both"/>
    </w:pPr>
    <w:rPr>
      <w:sz w:val="22"/>
      <w:szCs w:val="24"/>
      <w:lang w:val="en-GB" w:eastAsia="en-US"/>
    </w:rPr>
  </w:style>
  <w:style w:type="paragraph" w:styleId="Heading1">
    <w:name w:val="heading 1"/>
    <w:basedOn w:val="Normal"/>
    <w:next w:val="Heading2"/>
    <w:link w:val="Heading1Char"/>
    <w:qFormat/>
    <w:rsid w:val="00173E1E"/>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173E1E"/>
    <w:pPr>
      <w:keepNext/>
      <w:tabs>
        <w:tab w:val="left" w:pos="567"/>
      </w:tabs>
      <w:spacing w:before="120" w:after="120"/>
      <w:jc w:val="center"/>
      <w:outlineLvl w:val="2"/>
    </w:pPr>
    <w:rPr>
      <w:i/>
      <w:iCs/>
    </w:rPr>
  </w:style>
  <w:style w:type="paragraph" w:styleId="Heading4">
    <w:name w:val="heading 4"/>
    <w:basedOn w:val="Normal"/>
    <w:qFormat/>
    <w:rsid w:val="00173E1E"/>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173E1E"/>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173E1E"/>
    <w:pPr>
      <w:keepNext/>
      <w:spacing w:after="240" w:line="240" w:lineRule="exact"/>
      <w:ind w:left="720"/>
      <w:outlineLvl w:val="5"/>
    </w:pPr>
    <w:rPr>
      <w:u w:val="single"/>
    </w:rPr>
  </w:style>
  <w:style w:type="paragraph" w:styleId="Heading7">
    <w:name w:val="heading 7"/>
    <w:basedOn w:val="Normal"/>
    <w:next w:val="Normal"/>
    <w:qFormat/>
    <w:rsid w:val="00173E1E"/>
    <w:pPr>
      <w:keepNext/>
      <w:jc w:val="right"/>
      <w:outlineLvl w:val="6"/>
    </w:pPr>
    <w:rPr>
      <w:rFonts w:ascii="Univers" w:hAnsi="Univers"/>
      <w:b/>
      <w:sz w:val="28"/>
    </w:rPr>
  </w:style>
  <w:style w:type="paragraph" w:styleId="Heading8">
    <w:name w:val="heading 8"/>
    <w:basedOn w:val="Normal"/>
    <w:next w:val="Normal"/>
    <w:qFormat/>
    <w:rsid w:val="00173E1E"/>
    <w:pPr>
      <w:keepNext/>
      <w:jc w:val="right"/>
      <w:outlineLvl w:val="7"/>
    </w:pPr>
    <w:rPr>
      <w:rFonts w:ascii="Univers" w:hAnsi="Univers"/>
      <w:b/>
      <w:sz w:val="32"/>
    </w:rPr>
  </w:style>
  <w:style w:type="paragraph" w:styleId="Heading9">
    <w:name w:val="heading 9"/>
    <w:basedOn w:val="Normal"/>
    <w:next w:val="Normal"/>
    <w:qFormat/>
    <w:rsid w:val="00173E1E"/>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73E1E"/>
    <w:pPr>
      <w:tabs>
        <w:tab w:val="center" w:pos="4320"/>
        <w:tab w:val="right" w:pos="8640"/>
      </w:tabs>
    </w:pPr>
  </w:style>
  <w:style w:type="paragraph" w:styleId="Footer">
    <w:name w:val="footer"/>
    <w:basedOn w:val="Normal"/>
    <w:link w:val="FooterChar"/>
    <w:rsid w:val="00173E1E"/>
    <w:pPr>
      <w:tabs>
        <w:tab w:val="center" w:pos="4320"/>
        <w:tab w:val="right" w:pos="8640"/>
      </w:tabs>
      <w:ind w:firstLine="720"/>
      <w:jc w:val="right"/>
    </w:pPr>
  </w:style>
  <w:style w:type="paragraph" w:customStyle="1" w:styleId="Para1">
    <w:name w:val="Para1"/>
    <w:basedOn w:val="Normal"/>
    <w:rsid w:val="00F13DC0"/>
    <w:pPr>
      <w:numPr>
        <w:numId w:val="2"/>
      </w:numPr>
      <w:tabs>
        <w:tab w:val="clear" w:pos="360"/>
      </w:tabs>
      <w:spacing w:before="120" w:after="120"/>
    </w:pPr>
    <w:rPr>
      <w:szCs w:val="18"/>
    </w:rPr>
  </w:style>
  <w:style w:type="paragraph" w:styleId="FootnoteText">
    <w:name w:val="footnote text"/>
    <w:aliases w:val="Geneva 9,Font: Geneva 9,Boston 10,f,ft,Fotnotstext Char,ft Char,single space,FOOTNOTES,ADB,single space1,footnote text1,FOOTNOTES1,fn1,ADB1,single space2,footnote text2,FOOTNOTES2,fn2,ADB2,single space3,fn3,fn,footnote text3"/>
    <w:basedOn w:val="Normal"/>
    <w:link w:val="FootnoteTextChar"/>
    <w:rsid w:val="00173E1E"/>
    <w:pPr>
      <w:keepLines/>
      <w:spacing w:after="60"/>
      <w:ind w:firstLine="720"/>
    </w:pPr>
    <w:rPr>
      <w:sz w:val="18"/>
    </w:rPr>
  </w:style>
  <w:style w:type="paragraph" w:styleId="BodyText">
    <w:name w:val="Body Text"/>
    <w:basedOn w:val="Normal"/>
    <w:rsid w:val="00173E1E"/>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rsid w:val="006507F2"/>
    <w:pPr>
      <w:spacing w:before="120" w:after="120"/>
      <w:ind w:left="720" w:right="720"/>
    </w:pPr>
    <w:rPr>
      <w:bCs/>
    </w:rPr>
  </w:style>
  <w:style w:type="paragraph" w:customStyle="1" w:styleId="recommendationheader">
    <w:name w:val="recommendation header"/>
    <w:basedOn w:val="Heading2"/>
    <w:rsid w:val="006507F2"/>
  </w:style>
  <w:style w:type="character" w:styleId="CommentReference">
    <w:name w:val="annotation reference"/>
    <w:basedOn w:val="DefaultParagraphFont"/>
    <w:semiHidden/>
    <w:rsid w:val="00173E1E"/>
    <w:rPr>
      <w:sz w:val="16"/>
    </w:rPr>
  </w:style>
  <w:style w:type="paragraph" w:styleId="CommentText">
    <w:name w:val="annotation text"/>
    <w:basedOn w:val="Normal"/>
    <w:link w:val="CommentTextChar"/>
    <w:semiHidden/>
    <w:rsid w:val="00173E1E"/>
    <w:pPr>
      <w:spacing w:after="120" w:line="240" w:lineRule="exact"/>
    </w:pPr>
    <w:rPr>
      <w:lang w:eastAsia="es-E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16 Poin"/>
    <w:basedOn w:val="DefaultParagraphFont"/>
    <w:rsid w:val="00173E1E"/>
    <w:rPr>
      <w:sz w:val="18"/>
      <w:u w:val="single"/>
      <w:vertAlign w:val="baseline"/>
    </w:rPr>
  </w:style>
  <w:style w:type="paragraph" w:styleId="BodyTextIndent">
    <w:name w:val="Body Text Indent"/>
    <w:basedOn w:val="Normal"/>
    <w:rsid w:val="00173E1E"/>
    <w:pPr>
      <w:spacing w:before="120" w:after="120"/>
      <w:ind w:left="1440" w:hanging="720"/>
      <w:jc w:val="left"/>
    </w:pPr>
  </w:style>
  <w:style w:type="character" w:styleId="PageNumber">
    <w:name w:val="page number"/>
    <w:basedOn w:val="DefaultParagraphFont"/>
    <w:rsid w:val="00173E1E"/>
    <w:rPr>
      <w:rFonts w:ascii="Times New Roman" w:hAnsi="Times New Roman"/>
      <w:sz w:val="22"/>
    </w:rPr>
  </w:style>
  <w:style w:type="paragraph" w:customStyle="1" w:styleId="HEADING">
    <w:name w:val="HEADING"/>
    <w:basedOn w:val="Normal"/>
    <w:rsid w:val="00173E1E"/>
    <w:pPr>
      <w:keepNext/>
      <w:spacing w:before="240" w:after="120"/>
      <w:jc w:val="center"/>
    </w:pPr>
    <w:rPr>
      <w:b/>
      <w:bCs/>
      <w:caps/>
    </w:rPr>
  </w:style>
  <w:style w:type="paragraph" w:customStyle="1" w:styleId="para4">
    <w:name w:val="para4"/>
    <w:basedOn w:val="Normal"/>
    <w:rsid w:val="00173E1E"/>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73E1E"/>
    <w:pPr>
      <w:ind w:left="170" w:right="3119" w:hanging="170"/>
      <w:jc w:val="left"/>
    </w:pPr>
  </w:style>
  <w:style w:type="paragraph" w:customStyle="1" w:styleId="Para3">
    <w:name w:val="Para3"/>
    <w:basedOn w:val="Normal"/>
    <w:rsid w:val="00173E1E"/>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rsid w:val="000F63AB"/>
  </w:style>
  <w:style w:type="paragraph" w:customStyle="1" w:styleId="tabletitle">
    <w:name w:val="table title"/>
    <w:basedOn w:val="Heading2"/>
    <w:rsid w:val="000F63AB"/>
    <w:pPr>
      <w:jc w:val="left"/>
      <w:outlineLvl w:val="9"/>
    </w:pPr>
  </w:style>
  <w:style w:type="paragraph" w:styleId="TOAHeading">
    <w:name w:val="toa heading"/>
    <w:basedOn w:val="Normal"/>
    <w:next w:val="Normal"/>
    <w:semiHidden/>
    <w:rsid w:val="00173E1E"/>
    <w:pPr>
      <w:spacing w:before="120"/>
    </w:pPr>
    <w:rPr>
      <w:rFonts w:cs="Arial"/>
      <w:b/>
      <w:bCs/>
      <w:sz w:val="24"/>
    </w:rPr>
  </w:style>
  <w:style w:type="paragraph" w:styleId="TOC9">
    <w:name w:val="toc 9"/>
    <w:basedOn w:val="Normal"/>
    <w:next w:val="Normal"/>
    <w:autoRedefine/>
    <w:semiHidden/>
    <w:rsid w:val="00173E1E"/>
    <w:pPr>
      <w:spacing w:before="120" w:after="120"/>
      <w:ind w:left="1760"/>
      <w:jc w:val="left"/>
    </w:pPr>
  </w:style>
  <w:style w:type="paragraph" w:styleId="TOC1">
    <w:name w:val="toc 1"/>
    <w:basedOn w:val="Normal"/>
    <w:next w:val="Normal"/>
    <w:autoRedefine/>
    <w:semiHidden/>
    <w:rsid w:val="00173E1E"/>
    <w:pPr>
      <w:ind w:left="720" w:hanging="720"/>
    </w:pPr>
    <w:rPr>
      <w:caps/>
    </w:rPr>
  </w:style>
  <w:style w:type="paragraph" w:styleId="TOC2">
    <w:name w:val="toc 2"/>
    <w:basedOn w:val="Normal"/>
    <w:next w:val="Normal"/>
    <w:autoRedefine/>
    <w:semiHidden/>
    <w:rsid w:val="00173E1E"/>
    <w:pPr>
      <w:tabs>
        <w:tab w:val="right" w:leader="dot" w:pos="9356"/>
      </w:tabs>
      <w:ind w:left="1440" w:hanging="720"/>
    </w:pPr>
    <w:rPr>
      <w:noProof/>
      <w:szCs w:val="22"/>
    </w:rPr>
  </w:style>
  <w:style w:type="paragraph" w:styleId="TOC3">
    <w:name w:val="toc 3"/>
    <w:basedOn w:val="Normal"/>
    <w:next w:val="Normal"/>
    <w:autoRedefine/>
    <w:semiHidden/>
    <w:rsid w:val="00173E1E"/>
    <w:pPr>
      <w:ind w:left="2160" w:hanging="720"/>
    </w:pPr>
  </w:style>
  <w:style w:type="paragraph" w:styleId="TOC4">
    <w:name w:val="toc 4"/>
    <w:basedOn w:val="Normal"/>
    <w:next w:val="Normal"/>
    <w:autoRedefine/>
    <w:semiHidden/>
    <w:rsid w:val="00173E1E"/>
    <w:pPr>
      <w:spacing w:before="120" w:after="120"/>
      <w:ind w:left="660"/>
      <w:jc w:val="left"/>
    </w:pPr>
  </w:style>
  <w:style w:type="paragraph" w:styleId="TOC5">
    <w:name w:val="toc 5"/>
    <w:basedOn w:val="Normal"/>
    <w:next w:val="Normal"/>
    <w:autoRedefine/>
    <w:semiHidden/>
    <w:rsid w:val="00173E1E"/>
    <w:pPr>
      <w:spacing w:before="120" w:after="120"/>
      <w:ind w:left="880"/>
      <w:jc w:val="left"/>
    </w:pPr>
  </w:style>
  <w:style w:type="paragraph" w:styleId="TOC6">
    <w:name w:val="toc 6"/>
    <w:basedOn w:val="Normal"/>
    <w:next w:val="Normal"/>
    <w:autoRedefine/>
    <w:semiHidden/>
    <w:rsid w:val="00173E1E"/>
    <w:pPr>
      <w:spacing w:before="120" w:after="120"/>
      <w:ind w:left="1100"/>
      <w:jc w:val="left"/>
    </w:pPr>
  </w:style>
  <w:style w:type="paragraph" w:styleId="TOC7">
    <w:name w:val="toc 7"/>
    <w:basedOn w:val="Normal"/>
    <w:next w:val="Normal"/>
    <w:autoRedefine/>
    <w:semiHidden/>
    <w:rsid w:val="00173E1E"/>
    <w:pPr>
      <w:spacing w:before="120" w:after="120"/>
      <w:ind w:left="1320"/>
      <w:jc w:val="left"/>
    </w:pPr>
  </w:style>
  <w:style w:type="paragraph" w:styleId="TOC8">
    <w:name w:val="toc 8"/>
    <w:basedOn w:val="Normal"/>
    <w:next w:val="Normal"/>
    <w:autoRedefine/>
    <w:semiHidden/>
    <w:rsid w:val="00173E1E"/>
    <w:pPr>
      <w:spacing w:before="120" w:after="120"/>
      <w:ind w:left="1540"/>
      <w:jc w:val="left"/>
    </w:pPr>
  </w:style>
  <w:style w:type="paragraph" w:customStyle="1" w:styleId="reference">
    <w:name w:val="reference"/>
    <w:basedOn w:val="Heading9"/>
    <w:rsid w:val="000F63AB"/>
    <w:rPr>
      <w:i w:val="0"/>
      <w:sz w:val="18"/>
    </w:rPr>
  </w:style>
  <w:style w:type="character" w:styleId="FollowedHyperlink">
    <w:name w:val="FollowedHyperlink"/>
    <w:basedOn w:val="DefaultParagraphFont"/>
    <w:rsid w:val="00173E1E"/>
    <w:rPr>
      <w:color w:val="800080"/>
      <w:u w:val="single"/>
    </w:rPr>
  </w:style>
  <w:style w:type="paragraph" w:customStyle="1" w:styleId="Style1">
    <w:name w:val="Style1"/>
    <w:basedOn w:val="Heading2"/>
    <w:rsid w:val="00CA6B87"/>
    <w:rPr>
      <w:i/>
    </w:rPr>
  </w:style>
  <w:style w:type="paragraph" w:customStyle="1" w:styleId="Para2">
    <w:name w:val="Para2"/>
    <w:basedOn w:val="Para1"/>
    <w:rsid w:val="00173E1E"/>
    <w:pPr>
      <w:numPr>
        <w:numId w:val="0"/>
      </w:numPr>
      <w:autoSpaceDE w:val="0"/>
      <w:autoSpaceDN w:val="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basedOn w:val="DefaultParagraphFont"/>
    <w:rsid w:val="00406BC6"/>
    <w:rPr>
      <w:color w:val="0000FF"/>
      <w:u w:val="single"/>
    </w:rPr>
  </w:style>
  <w:style w:type="character" w:styleId="EndnoteReference">
    <w:name w:val="endnote reference"/>
    <w:basedOn w:val="DefaultParagraphFont"/>
    <w:semiHidden/>
    <w:rsid w:val="00173E1E"/>
    <w:rPr>
      <w:vertAlign w:val="superscript"/>
    </w:rPr>
  </w:style>
  <w:style w:type="paragraph" w:styleId="EndnoteText">
    <w:name w:val="endnote text"/>
    <w:basedOn w:val="Normal"/>
    <w:semiHidden/>
    <w:rsid w:val="00173E1E"/>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173E1E"/>
    <w:pPr>
      <w:ind w:left="1843" w:hanging="1134"/>
      <w:jc w:val="left"/>
    </w:pPr>
  </w:style>
  <w:style w:type="paragraph" w:customStyle="1" w:styleId="Heading1multiline">
    <w:name w:val="Heading 1 (multiline)"/>
    <w:basedOn w:val="Heading1"/>
    <w:rsid w:val="00173E1E"/>
    <w:pPr>
      <w:ind w:left="1843" w:right="996" w:hanging="567"/>
      <w:jc w:val="left"/>
    </w:pPr>
  </w:style>
  <w:style w:type="paragraph" w:customStyle="1" w:styleId="Heading2multiline">
    <w:name w:val="Heading 2 (multiline)"/>
    <w:basedOn w:val="Heading1"/>
    <w:next w:val="Para1"/>
    <w:rsid w:val="00173E1E"/>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173E1E"/>
    <w:pPr>
      <w:ind w:left="1418" w:hanging="425"/>
      <w:jc w:val="left"/>
    </w:pPr>
  </w:style>
  <w:style w:type="paragraph" w:customStyle="1" w:styleId="heading2notforTOC">
    <w:name w:val="heading 2 not for TOC"/>
    <w:basedOn w:val="Heading3"/>
  </w:style>
  <w:style w:type="paragraph" w:customStyle="1" w:styleId="HEADINGNOTFORTOC">
    <w:name w:val="HEADING (NOT FOR TOC)"/>
    <w:basedOn w:val="Heading1"/>
    <w:next w:val="Heading2"/>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link w:val="FootnoteText"/>
    <w:locked/>
    <w:rsid w:val="00406BC6"/>
    <w:rPr>
      <w:sz w:val="24"/>
      <w:lang w:val="en-GB" w:eastAsia="en-US"/>
    </w:rPr>
  </w:style>
  <w:style w:type="paragraph" w:customStyle="1" w:styleId="decision">
    <w:name w:val="decision"/>
    <w:basedOn w:val="Normal"/>
    <w:rsid w:val="00406BC6"/>
    <w:pPr>
      <w:keepNext/>
      <w:spacing w:before="240" w:after="120"/>
      <w:ind w:hanging="11"/>
      <w:jc w:val="center"/>
    </w:pPr>
    <w:rPr>
      <w:b/>
      <w:kern w:val="22"/>
    </w:rPr>
  </w:style>
  <w:style w:type="paragraph" w:styleId="BalloonText">
    <w:name w:val="Balloon Text"/>
    <w:basedOn w:val="Normal"/>
    <w:link w:val="BalloonTextChar"/>
    <w:semiHidden/>
    <w:rsid w:val="00406BC6"/>
    <w:rPr>
      <w:rFonts w:ascii="Tahoma" w:hAnsi="Tahoma"/>
      <w:sz w:val="16"/>
      <w:szCs w:val="16"/>
    </w:rPr>
  </w:style>
  <w:style w:type="character" w:customStyle="1" w:styleId="BalloonTextChar">
    <w:name w:val="Balloon Text Char"/>
    <w:link w:val="BalloonText"/>
    <w:semiHidden/>
    <w:locked/>
    <w:rsid w:val="00406BC6"/>
    <w:rPr>
      <w:rFonts w:ascii="Tahoma" w:hAnsi="Tahoma"/>
      <w:sz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rsid w:val="00D9537D"/>
    <w:pPr>
      <w:spacing w:after="0" w:line="240" w:lineRule="auto"/>
    </w:pPr>
    <w:rPr>
      <w:b/>
      <w:bCs/>
    </w:rPr>
  </w:style>
  <w:style w:type="character" w:customStyle="1" w:styleId="CommentTextChar">
    <w:name w:val="Comment Text Char"/>
    <w:link w:val="CommentText"/>
    <w:semiHidden/>
    <w:locked/>
    <w:rsid w:val="00D9537D"/>
    <w:rPr>
      <w:sz w:val="24"/>
      <w:lang w:val="en-GB"/>
    </w:rPr>
  </w:style>
  <w:style w:type="character" w:customStyle="1" w:styleId="CommentSubjectChar">
    <w:name w:val="Comment Subject Char"/>
    <w:link w:val="CommentSubject"/>
    <w:semiHidden/>
    <w:locked/>
    <w:rsid w:val="00D9537D"/>
    <w:rPr>
      <w:b/>
      <w:sz w:val="24"/>
      <w:lang w:val="en-GB"/>
    </w:rPr>
  </w:style>
  <w:style w:type="paragraph" w:styleId="Revision">
    <w:name w:val="Revision"/>
    <w:hidden/>
    <w:semiHidden/>
    <w:rsid w:val="00D9537D"/>
    <w:rPr>
      <w:sz w:val="22"/>
      <w:szCs w:val="24"/>
      <w:lang w:val="en-GB" w:eastAsia="en-US"/>
    </w:rPr>
  </w:style>
  <w:style w:type="character" w:styleId="PlaceholderText">
    <w:name w:val="Placeholder Text"/>
    <w:basedOn w:val="DefaultParagraphFont"/>
    <w:rsid w:val="00073708"/>
    <w:rPr>
      <w:rFonts w:cs="Times New Roman"/>
      <w:color w:val="808080"/>
    </w:rPr>
  </w:style>
  <w:style w:type="paragraph" w:styleId="ListParagraph">
    <w:name w:val="List Paragraph"/>
    <w:basedOn w:val="Normal"/>
    <w:qFormat/>
    <w:rsid w:val="00F16F02"/>
    <w:pPr>
      <w:ind w:left="720"/>
      <w:contextualSpacing/>
    </w:pPr>
  </w:style>
  <w:style w:type="paragraph" w:customStyle="1" w:styleId="meetingname">
    <w:name w:val="meeting name"/>
    <w:basedOn w:val="Cornernotation"/>
    <w:rsid w:val="00F13DC0"/>
    <w:rPr>
      <w:rFonts w:eastAsia="Malgun Gothic"/>
      <w:caps/>
    </w:rPr>
  </w:style>
  <w:style w:type="table" w:styleId="TableGrid">
    <w:name w:val="Table Grid"/>
    <w:basedOn w:val="TableNormal"/>
    <w:rsid w:val="00207A6E"/>
    <w:rPr>
      <w:rFonts w:ascii="Cambria" w:eastAsia="MS Mincho" w:hAnsi="Cambria" w:cs="Arial"/>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semiHidden/>
    <w:rsid w:val="005F416D"/>
    <w:rPr>
      <w:rFonts w:cs="Times New Roman"/>
      <w:color w:val="808080"/>
      <w:shd w:val="clear" w:color="auto" w:fill="E6E6E6"/>
    </w:rPr>
  </w:style>
  <w:style w:type="character" w:customStyle="1" w:styleId="HeaderChar">
    <w:name w:val="Header Char"/>
    <w:basedOn w:val="DefaultParagraphFont"/>
    <w:link w:val="Header"/>
    <w:locked/>
    <w:rsid w:val="005F416D"/>
    <w:rPr>
      <w:rFonts w:cs="Times New Roman"/>
      <w:sz w:val="24"/>
      <w:szCs w:val="24"/>
      <w:lang w:val="en-GB"/>
    </w:rPr>
  </w:style>
  <w:style w:type="character" w:customStyle="1" w:styleId="FooterChar">
    <w:name w:val="Footer Char"/>
    <w:basedOn w:val="DefaultParagraphFont"/>
    <w:link w:val="Footer"/>
    <w:locked/>
    <w:rsid w:val="005F416D"/>
    <w:rPr>
      <w:rFonts w:cs="Times New Roman"/>
      <w:sz w:val="24"/>
      <w:szCs w:val="24"/>
      <w:lang w:val="en-GB"/>
    </w:rPr>
  </w:style>
  <w:style w:type="character" w:customStyle="1" w:styleId="Heading1Char">
    <w:name w:val="Heading 1 Char"/>
    <w:basedOn w:val="DefaultParagraphFont"/>
    <w:link w:val="Heading1"/>
    <w:locked/>
    <w:rsid w:val="005F416D"/>
    <w:rPr>
      <w:rFonts w:cs="Times New Roman"/>
      <w:b/>
      <w:caps/>
      <w:sz w:val="24"/>
      <w:szCs w:val="24"/>
      <w:lang w:val="en-GB"/>
    </w:rPr>
  </w:style>
  <w:style w:type="paragraph" w:customStyle="1" w:styleId="IPPBullet2">
    <w:name w:val="IPP Bullet2"/>
    <w:basedOn w:val="Normal"/>
    <w:next w:val="IPPBullet1"/>
    <w:rsid w:val="005F416D"/>
    <w:pPr>
      <w:numPr>
        <w:numId w:val="8"/>
      </w:numPr>
      <w:tabs>
        <w:tab w:val="left" w:pos="1134"/>
      </w:tabs>
      <w:spacing w:after="60"/>
      <w:ind w:left="1134" w:hanging="567"/>
    </w:pPr>
  </w:style>
  <w:style w:type="paragraph" w:customStyle="1" w:styleId="IPPFootnote">
    <w:name w:val="IPP Footnote"/>
    <w:basedOn w:val="Normal"/>
    <w:rsid w:val="005F416D"/>
    <w:pPr>
      <w:tabs>
        <w:tab w:val="left" w:pos="0"/>
        <w:tab w:val="left" w:pos="28"/>
      </w:tabs>
      <w:spacing w:after="60"/>
    </w:pPr>
    <w:rPr>
      <w:sz w:val="20"/>
    </w:rPr>
  </w:style>
  <w:style w:type="paragraph" w:customStyle="1" w:styleId="IPPBullet1">
    <w:name w:val="IPP Bullet1"/>
    <w:basedOn w:val="IPPBullet1Last"/>
    <w:rsid w:val="005F416D"/>
    <w:pPr>
      <w:numPr>
        <w:numId w:val="0"/>
      </w:numPr>
      <w:spacing w:after="60"/>
    </w:pPr>
    <w:rPr>
      <w:lang w:val="en-US"/>
    </w:rPr>
  </w:style>
  <w:style w:type="paragraph" w:customStyle="1" w:styleId="IPPBullet1Last">
    <w:name w:val="IPP Bullet1Last"/>
    <w:basedOn w:val="Normal"/>
    <w:next w:val="Normal"/>
    <w:autoRedefine/>
    <w:rsid w:val="005F416D"/>
    <w:pPr>
      <w:numPr>
        <w:numId w:val="9"/>
      </w:numPr>
      <w:spacing w:after="180"/>
    </w:pPr>
  </w:style>
  <w:style w:type="paragraph" w:customStyle="1" w:styleId="IPPNumberedList">
    <w:name w:val="IPP NumberedList"/>
    <w:basedOn w:val="IPPBullet1"/>
    <w:rsid w:val="005F416D"/>
  </w:style>
  <w:style w:type="paragraph" w:customStyle="1" w:styleId="IPPParagraphnumbering">
    <w:name w:val="IPP Paragraph numbering"/>
    <w:basedOn w:val="Normal"/>
    <w:rsid w:val="005F416D"/>
    <w:pPr>
      <w:numPr>
        <w:numId w:val="10"/>
      </w:numPr>
      <w:spacing w:after="180"/>
    </w:pPr>
    <w:rPr>
      <w:lang w:val="en-US"/>
    </w:rPr>
  </w:style>
  <w:style w:type="character" w:styleId="Strong">
    <w:name w:val="Strong"/>
    <w:basedOn w:val="DefaultParagraphFont"/>
    <w:qFormat/>
    <w:rsid w:val="005F416D"/>
    <w:rPr>
      <w:rFonts w:cs="Times New Roman"/>
      <w:b/>
      <w:bCs/>
    </w:rPr>
  </w:style>
  <w:style w:type="character" w:customStyle="1" w:styleId="UnresolvedMention2">
    <w:name w:val="Unresolved Mention2"/>
    <w:basedOn w:val="DefaultParagraphFont"/>
    <w:semiHidden/>
    <w:rsid w:val="00094AE1"/>
    <w:rPr>
      <w:rFonts w:cs="Times New Roman"/>
      <w:color w:val="808080"/>
      <w:shd w:val="clear" w:color="auto" w:fill="E6E6E6"/>
    </w:rPr>
  </w:style>
  <w:style w:type="character" w:customStyle="1" w:styleId="UnresolvedMention3">
    <w:name w:val="Unresolved Mention3"/>
    <w:basedOn w:val="DefaultParagraphFont"/>
    <w:semiHidden/>
    <w:rsid w:val="009E3589"/>
    <w:rPr>
      <w:rFonts w:cs="Times New Roman"/>
      <w:color w:val="808080"/>
      <w:shd w:val="clear" w:color="auto" w:fill="E6E6E6"/>
    </w:rPr>
  </w:style>
  <w:style w:type="character" w:customStyle="1" w:styleId="UnresolvedMention4">
    <w:name w:val="Unresolved Mention4"/>
    <w:basedOn w:val="DefaultParagraphFont"/>
    <w:semiHidden/>
    <w:rsid w:val="005C1D38"/>
    <w:rPr>
      <w:rFonts w:cs="Times New Roman"/>
      <w:color w:val="808080"/>
      <w:shd w:val="clear" w:color="auto" w:fill="E6E6E6"/>
    </w:rPr>
  </w:style>
  <w:style w:type="character" w:styleId="HTMLVariable">
    <w:name w:val="HTML Variable"/>
    <w:basedOn w:val="DefaultParagraphFont"/>
    <w:semiHidden/>
    <w:rsid w:val="00CC028A"/>
    <w:rPr>
      <w:rFonts w:cs="Times New Roman"/>
      <w:i/>
      <w:iCs/>
    </w:rPr>
  </w:style>
  <w:style w:type="character" w:customStyle="1" w:styleId="UnresolvedMention5">
    <w:name w:val="Unresolved Mention5"/>
    <w:basedOn w:val="DefaultParagraphFont"/>
    <w:semiHidden/>
    <w:rsid w:val="008A1594"/>
    <w:rPr>
      <w:rFonts w:cs="Times New Roman"/>
      <w:color w:val="808080"/>
      <w:shd w:val="clear" w:color="auto" w:fill="E6E6E6"/>
    </w:rPr>
  </w:style>
  <w:style w:type="character" w:customStyle="1" w:styleId="UnresolvedMention6">
    <w:name w:val="Unresolved Mention6"/>
    <w:basedOn w:val="DefaultParagraphFont"/>
    <w:semiHidden/>
    <w:rsid w:val="00387688"/>
    <w:rPr>
      <w:rFonts w:cs="Times New Roman"/>
      <w:color w:val="808080"/>
      <w:shd w:val="clear" w:color="auto" w:fill="E6E6E6"/>
    </w:rPr>
  </w:style>
  <w:style w:type="numbering" w:customStyle="1" w:styleId="IPPParagraphnumberedlist">
    <w:name w:val="IPP Paragraph numbered list"/>
    <w:rsid w:val="003B12F3"/>
    <w:pPr>
      <w:numPr>
        <w:numId w:val="7"/>
      </w:numPr>
    </w:pPr>
  </w:style>
  <w:style w:type="character" w:customStyle="1" w:styleId="CharChar5">
    <w:name w:val=" Char Char5"/>
    <w:rsid w:val="00DF05A3"/>
    <w:rPr>
      <w:sz w:val="22"/>
      <w:szCs w:val="24"/>
      <w:lang w:val="es-ES" w:eastAsia="es-ES"/>
    </w:rPr>
  </w:style>
  <w:style w:type="character" w:customStyle="1" w:styleId="tw4winMark">
    <w:name w:val="tw4winMark"/>
    <w:rsid w:val="00120447"/>
    <w:rPr>
      <w:rFonts w:ascii="Courier New" w:hAnsi="Courier New"/>
      <w:vanish/>
      <w:color w:val="800080"/>
      <w:vertAlign w:val="subscript"/>
    </w:rPr>
  </w:style>
  <w:style w:type="character" w:customStyle="1" w:styleId="Inget">
    <w:name w:val="Inget"/>
    <w:rsid w:val="00120447"/>
  </w:style>
  <w:style w:type="character" w:customStyle="1" w:styleId="bullet">
    <w:name w:val="bullet"/>
    <w:rsid w:val="00D37381"/>
    <w:rPr>
      <w:rFonts w:ascii="Times New Roman" w:hAnsi="Times New Roman"/>
      <w:color w:val="auto"/>
      <w:w w:val="100"/>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336"/>
          <w:marRight w:val="0"/>
          <w:marTop w:val="120"/>
          <w:marBottom w:val="312"/>
          <w:divBdr>
            <w:top w:val="none" w:sz="0" w:space="0" w:color="auto"/>
            <w:left w:val="none" w:sz="0" w:space="0" w:color="auto"/>
            <w:bottom w:val="none" w:sz="0" w:space="0" w:color="auto"/>
            <w:right w:val="none" w:sz="0" w:space="0" w:color="auto"/>
          </w:divBdr>
          <w:divsChild>
            <w:div w:id="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ho.int/es/home" TargetMode="External"/><Relationship Id="rId18" Type="http://schemas.openxmlformats.org/officeDocument/2006/relationships/hyperlink" Target="https://www.wto.org/spanish/docs_s/legal_s/tfa-nov14_s.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bd.int/doc/decisions/cop-12/cop-12-dec-16-es.pdf" TargetMode="External"/><Relationship Id="rId7" Type="http://schemas.openxmlformats.org/officeDocument/2006/relationships/endnotes" Target="endnotes.xml"/><Relationship Id="rId12" Type="http://schemas.openxmlformats.org/officeDocument/2006/relationships/hyperlink" Target="http://www.oie.int/es/" TargetMode="External"/><Relationship Id="rId17" Type="http://schemas.openxmlformats.org/officeDocument/2006/relationships/hyperlink" Target="https://www.ippc.int/es/core-activities/governance/cp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ppc.int/es/" TargetMode="External"/><Relationship Id="rId20" Type="http://schemas.openxmlformats.org/officeDocument/2006/relationships/hyperlink" Target="https://www.cbd.int/doc/decisions/cop-12/cop-12-dec-16-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13-es.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ites.org/esp"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iucngisd.org/gisd/"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un.org/es/index.html"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ie.int/es/normas/codigo-terrestre/acceso-en-linea/" TargetMode="External"/><Relationship Id="rId13" Type="http://schemas.openxmlformats.org/officeDocument/2006/relationships/hyperlink" Target="https://www.unece.org/fileadmin/DAM/trans/danger/publi/ghs/ghs_rev04/Spanish/ST-SG-AC10-30-Rev4sp.pdf" TargetMode="External"/><Relationship Id="rId18" Type="http://schemas.openxmlformats.org/officeDocument/2006/relationships/hyperlink" Target="https://www.ippc.int/static/media/files/publications/es/2014/02/24/cpm_2014_14_cpm_recommendations_es_mj487.pdf" TargetMode="External"/><Relationship Id="rId3" Type="http://schemas.openxmlformats.org/officeDocument/2006/relationships/hyperlink" Target="https://www.cbd.int/doc/decisions/cop-13/cop-13-dec-13-es.pdf" TargetMode="External"/><Relationship Id="rId21" Type="http://schemas.openxmlformats.org/officeDocument/2006/relationships/hyperlink" Target="https://www.iucn.org/sites/dev/files/eicat_standard_version_1_may_2017.pdf" TargetMode="External"/><Relationship Id="rId7" Type="http://schemas.openxmlformats.org/officeDocument/2006/relationships/hyperlink" Target="https://www.cbd.int/doc/meetings/cop/cop-06/official/cop-06-20-es.pdf" TargetMode="External"/><Relationship Id="rId12" Type="http://schemas.openxmlformats.org/officeDocument/2006/relationships/hyperlink" Target="http://apps.who.int/iris/bitstream/handle/10665/85394/WHO_HSE_GCR_2012.12_spa.pdf?sequence=1" TargetMode="External"/><Relationship Id="rId17" Type="http://schemas.openxmlformats.org/officeDocument/2006/relationships/hyperlink" Target="https://www.ippc.int/en/irss/activities/2/" TargetMode="External"/><Relationship Id="rId2" Type="http://schemas.openxmlformats.org/officeDocument/2006/relationships/hyperlink" Target="https://www.cbd.int/doc/decisions/cop-12/cop-12-dec-16-es.pdf" TargetMode="External"/><Relationship Id="rId16" Type="http://schemas.openxmlformats.org/officeDocument/2006/relationships/hyperlink" Target="https://www.ippc.int/es/2010---22nd-tc-among-rppos-/" TargetMode="External"/><Relationship Id="rId20" Type="http://schemas.openxmlformats.org/officeDocument/2006/relationships/hyperlink" Target="https://www.gbif.org/dataset/search?publishing_org=cdef28b1-db4e-4c58-aa71-3c5238c2d0b5" TargetMode="External"/><Relationship Id="rId1" Type="http://schemas.openxmlformats.org/officeDocument/2006/relationships/hyperlink" Target="https://www.cbd.int/doc/meetings/sbstta/sbstta-22/official/sbstta-22-01-es.pdf" TargetMode="External"/><Relationship Id="rId6" Type="http://schemas.openxmlformats.org/officeDocument/2006/relationships/hyperlink" Target="https://www.wto.org/spanish/tratop_s/sps_s/spsagr_s.htm" TargetMode="External"/><Relationship Id="rId11" Type="http://schemas.openxmlformats.org/officeDocument/2006/relationships/hyperlink" Target="http://www.wcoomd.org/~/media/wco/public/es/pdf/topics/enforcement-and-compliance/instruments-and-tools/stce-implementation-guide/stce-implementation-guide-_-es.pdf?db=web" TargetMode="External"/><Relationship Id="rId5" Type="http://schemas.openxmlformats.org/officeDocument/2006/relationships/hyperlink" Target="https://www.cbd.int/doc/meetings/sbstta/sbstta-18/official/sbstta-18-09-add1-es.pdf" TargetMode="External"/><Relationship Id="rId15" Type="http://schemas.openxmlformats.org/officeDocument/2006/relationships/hyperlink" Target="https://cites.org/sites/default/files/document/S-Res-11-03-R17A.pdf" TargetMode="External"/><Relationship Id="rId23" Type="http://schemas.openxmlformats.org/officeDocument/2006/relationships/hyperlink" Target="http://www.oie.int/es/normas/codigo-terrestre/acceso-en-linea/" TargetMode="External"/><Relationship Id="rId10" Type="http://schemas.openxmlformats.org/officeDocument/2006/relationships/hyperlink" Target="https://www.unece.org/fileadmin/DAM/trans/danger/publi/ghs/ghs_rev04/Spanish/ST-SG-AC10-30-Rev4sp.pdf" TargetMode="External"/><Relationship Id="rId19" Type="http://schemas.openxmlformats.org/officeDocument/2006/relationships/hyperlink" Target="http://www.wcoomd.org/~/media/wco/public/global/pdf/topics/facilitation/activities-and-programmes/ecommerce/wco-study-report-on-e_commerce.pdf?la=en" TargetMode="External"/><Relationship Id="rId4" Type="http://schemas.openxmlformats.org/officeDocument/2006/relationships/hyperlink" Target="http://www.cbd.int/invasive/lg/" TargetMode="External"/><Relationship Id="rId9" Type="http://schemas.openxmlformats.org/officeDocument/2006/relationships/hyperlink" Target="http://www.oie.int/es/normas/codigo-acuatico/acceso-en-linea/" TargetMode="External"/><Relationship Id="rId14" Type="http://schemas.openxmlformats.org/officeDocument/2006/relationships/hyperlink" Target="https://www.un.org/ecosoc/sites/www.un.org.ecosoc/files/documents/2009/resolution-2009-19.pdf" TargetMode="External"/><Relationship Id="rId22" Type="http://schemas.openxmlformats.org/officeDocument/2006/relationships/hyperlink" Target="http://www.ilo.org/wcmsp5/groups/public/@ed_dialogue/@sector/documents/publication/wcms_5071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CCC46-2964-4D38-A3BB-20E57D9D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547</TotalTime>
  <Pages>12</Pages>
  <Words>5911</Words>
  <Characters>33931</Characters>
  <Application>Microsoft Office Word</Application>
  <DocSecurity>0</DocSecurity>
  <Lines>477</Lines>
  <Paragraphs>145</Paragraphs>
  <ScaleCrop>false</ScaleCrop>
  <HeadingPairs>
    <vt:vector size="2" baseType="variant">
      <vt:variant>
        <vt:lpstr>Title</vt:lpstr>
      </vt:variant>
      <vt:variant>
        <vt:i4>1</vt:i4>
      </vt:variant>
    </vt:vector>
  </HeadingPairs>
  <TitlesOfParts>
    <vt:vector size="1" baseType="lpstr">
      <vt:lpstr>Invasive alien species</vt:lpstr>
    </vt:vector>
  </TitlesOfParts>
  <Company>Biodiversity</Company>
  <LinksUpToDate>false</LinksUpToDate>
  <CharactersWithSpaces>39697</CharactersWithSpaces>
  <SharedDoc>false</SharedDoc>
  <HLinks>
    <vt:vector size="198" baseType="variant">
      <vt:variant>
        <vt:i4>983120</vt:i4>
      </vt:variant>
      <vt:variant>
        <vt:i4>30</vt:i4>
      </vt:variant>
      <vt:variant>
        <vt:i4>0</vt:i4>
      </vt:variant>
      <vt:variant>
        <vt:i4>5</vt:i4>
      </vt:variant>
      <vt:variant>
        <vt:lpwstr>https://www.cbd.int/doc/decisions/cop-12/cop-12-dec-16-es.pdf</vt:lpwstr>
      </vt:variant>
      <vt:variant>
        <vt:lpwstr/>
      </vt:variant>
      <vt:variant>
        <vt:i4>983120</vt:i4>
      </vt:variant>
      <vt:variant>
        <vt:i4>27</vt:i4>
      </vt:variant>
      <vt:variant>
        <vt:i4>0</vt:i4>
      </vt:variant>
      <vt:variant>
        <vt:i4>5</vt:i4>
      </vt:variant>
      <vt:variant>
        <vt:lpwstr>https://www.cbd.int/doc/decisions/cop-12/cop-12-dec-16-es.pdf</vt:lpwstr>
      </vt:variant>
      <vt:variant>
        <vt:lpwstr/>
      </vt:variant>
      <vt:variant>
        <vt:i4>4915290</vt:i4>
      </vt:variant>
      <vt:variant>
        <vt:i4>24</vt:i4>
      </vt:variant>
      <vt:variant>
        <vt:i4>0</vt:i4>
      </vt:variant>
      <vt:variant>
        <vt:i4>5</vt:i4>
      </vt:variant>
      <vt:variant>
        <vt:lpwstr>http://www.iucngisd.org/gisd/</vt:lpwstr>
      </vt:variant>
      <vt:variant>
        <vt:lpwstr/>
      </vt:variant>
      <vt:variant>
        <vt:i4>3735632</vt:i4>
      </vt:variant>
      <vt:variant>
        <vt:i4>21</vt:i4>
      </vt:variant>
      <vt:variant>
        <vt:i4>0</vt:i4>
      </vt:variant>
      <vt:variant>
        <vt:i4>5</vt:i4>
      </vt:variant>
      <vt:variant>
        <vt:lpwstr>https://www.wto.org/spanish/docs_s/legal_s/tfa-nov14_s.htm</vt:lpwstr>
      </vt:variant>
      <vt:variant>
        <vt:lpwstr/>
      </vt:variant>
      <vt:variant>
        <vt:i4>3801150</vt:i4>
      </vt:variant>
      <vt:variant>
        <vt:i4>18</vt:i4>
      </vt:variant>
      <vt:variant>
        <vt:i4>0</vt:i4>
      </vt:variant>
      <vt:variant>
        <vt:i4>5</vt:i4>
      </vt:variant>
      <vt:variant>
        <vt:lpwstr>https://www.ippc.int/es/core-activities/governance/cpm/</vt:lpwstr>
      </vt:variant>
      <vt:variant>
        <vt:lpwstr/>
      </vt:variant>
      <vt:variant>
        <vt:i4>786501</vt:i4>
      </vt:variant>
      <vt:variant>
        <vt:i4>15</vt:i4>
      </vt:variant>
      <vt:variant>
        <vt:i4>0</vt:i4>
      </vt:variant>
      <vt:variant>
        <vt:i4>5</vt:i4>
      </vt:variant>
      <vt:variant>
        <vt:lpwstr>https://www.ippc.int/es/</vt:lpwstr>
      </vt:variant>
      <vt:variant>
        <vt:lpwstr/>
      </vt:variant>
      <vt:variant>
        <vt:i4>4456521</vt:i4>
      </vt:variant>
      <vt:variant>
        <vt:i4>12</vt:i4>
      </vt:variant>
      <vt:variant>
        <vt:i4>0</vt:i4>
      </vt:variant>
      <vt:variant>
        <vt:i4>5</vt:i4>
      </vt:variant>
      <vt:variant>
        <vt:lpwstr>https://www.cites.org/esp</vt:lpwstr>
      </vt:variant>
      <vt:variant>
        <vt:lpwstr/>
      </vt:variant>
      <vt:variant>
        <vt:i4>3014701</vt:i4>
      </vt:variant>
      <vt:variant>
        <vt:i4>9</vt:i4>
      </vt:variant>
      <vt:variant>
        <vt:i4>0</vt:i4>
      </vt:variant>
      <vt:variant>
        <vt:i4>5</vt:i4>
      </vt:variant>
      <vt:variant>
        <vt:lpwstr>http://www.un.org/es/index.html</vt:lpwstr>
      </vt:variant>
      <vt:variant>
        <vt:lpwstr/>
      </vt:variant>
      <vt:variant>
        <vt:i4>7208993</vt:i4>
      </vt:variant>
      <vt:variant>
        <vt:i4>6</vt:i4>
      </vt:variant>
      <vt:variant>
        <vt:i4>0</vt:i4>
      </vt:variant>
      <vt:variant>
        <vt:i4>5</vt:i4>
      </vt:variant>
      <vt:variant>
        <vt:lpwstr>http://www.who.int/es/home</vt:lpwstr>
      </vt:variant>
      <vt:variant>
        <vt:lpwstr/>
      </vt:variant>
      <vt:variant>
        <vt:i4>7733285</vt:i4>
      </vt:variant>
      <vt:variant>
        <vt:i4>3</vt:i4>
      </vt:variant>
      <vt:variant>
        <vt:i4>0</vt:i4>
      </vt:variant>
      <vt:variant>
        <vt:i4>5</vt:i4>
      </vt:variant>
      <vt:variant>
        <vt:lpwstr>http://www.oie.int/es/</vt:lpwstr>
      </vt:variant>
      <vt:variant>
        <vt:lpwstr/>
      </vt:variant>
      <vt:variant>
        <vt:i4>720977</vt:i4>
      </vt:variant>
      <vt:variant>
        <vt:i4>0</vt:i4>
      </vt:variant>
      <vt:variant>
        <vt:i4>0</vt:i4>
      </vt:variant>
      <vt:variant>
        <vt:i4>5</vt:i4>
      </vt:variant>
      <vt:variant>
        <vt:lpwstr>https://www.cbd.int/doc/decisions/cop-13/cop-13-dec-13-es.pdf</vt:lpwstr>
      </vt:variant>
      <vt:variant>
        <vt:lpwstr/>
      </vt:variant>
      <vt:variant>
        <vt:i4>7405629</vt:i4>
      </vt:variant>
      <vt:variant>
        <vt:i4>63</vt:i4>
      </vt:variant>
      <vt:variant>
        <vt:i4>0</vt:i4>
      </vt:variant>
      <vt:variant>
        <vt:i4>5</vt:i4>
      </vt:variant>
      <vt:variant>
        <vt:lpwstr>http://www.oie.int/es/normas/codigo-terrestre/acceso-en-linea/</vt:lpwstr>
      </vt:variant>
      <vt:variant>
        <vt:lpwstr/>
      </vt:variant>
      <vt:variant>
        <vt:i4>5308416</vt:i4>
      </vt:variant>
      <vt:variant>
        <vt:i4>60</vt:i4>
      </vt:variant>
      <vt:variant>
        <vt:i4>0</vt:i4>
      </vt:variant>
      <vt:variant>
        <vt:i4>5</vt:i4>
      </vt:variant>
      <vt:variant>
        <vt:lpwstr>http://www.ilo.org/wcmsp5/groups/public/@ed_dialogue/@sector/documents/publication/wcms_507117.pdf</vt:lpwstr>
      </vt:variant>
      <vt:variant>
        <vt:lpwstr/>
      </vt:variant>
      <vt:variant>
        <vt:i4>3866708</vt:i4>
      </vt:variant>
      <vt:variant>
        <vt:i4>57</vt:i4>
      </vt:variant>
      <vt:variant>
        <vt:i4>0</vt:i4>
      </vt:variant>
      <vt:variant>
        <vt:i4>5</vt:i4>
      </vt:variant>
      <vt:variant>
        <vt:lpwstr>https://www.iucn.org/sites/dev/files/eicat_standard_version_1_may_2017.pdf</vt:lpwstr>
      </vt:variant>
      <vt:variant>
        <vt:lpwstr/>
      </vt:variant>
      <vt:variant>
        <vt:i4>2162776</vt:i4>
      </vt:variant>
      <vt:variant>
        <vt:i4>54</vt:i4>
      </vt:variant>
      <vt:variant>
        <vt:i4>0</vt:i4>
      </vt:variant>
      <vt:variant>
        <vt:i4>5</vt:i4>
      </vt:variant>
      <vt:variant>
        <vt:lpwstr>https://www.gbif.org/dataset/search?publishing_org=cdef28b1-db4e-4c58-aa71-3c5238c2d0b5</vt:lpwstr>
      </vt:variant>
      <vt:variant>
        <vt:lpwstr/>
      </vt:variant>
      <vt:variant>
        <vt:i4>8060959</vt:i4>
      </vt:variant>
      <vt:variant>
        <vt:i4>51</vt:i4>
      </vt:variant>
      <vt:variant>
        <vt:i4>0</vt:i4>
      </vt:variant>
      <vt:variant>
        <vt:i4>5</vt:i4>
      </vt:variant>
      <vt:variant>
        <vt:lpwstr>http://www.wcoomd.org/~/media/wco/public/global/pdf/topics/facilitation/activities-and-programmes/ecommerce/wco-study-report-on-e_commerce.pdf?la=en</vt:lpwstr>
      </vt:variant>
      <vt:variant>
        <vt:lpwstr/>
      </vt:variant>
      <vt:variant>
        <vt:i4>3801137</vt:i4>
      </vt:variant>
      <vt:variant>
        <vt:i4>48</vt:i4>
      </vt:variant>
      <vt:variant>
        <vt:i4>0</vt:i4>
      </vt:variant>
      <vt:variant>
        <vt:i4>5</vt:i4>
      </vt:variant>
      <vt:variant>
        <vt:lpwstr>https://www.ippc.int/static/media/files/publications/es/2014/02/24/cpm_2014_14_cpm_recommendations_es_mj487.pdf</vt:lpwstr>
      </vt:variant>
      <vt:variant>
        <vt:lpwstr/>
      </vt:variant>
      <vt:variant>
        <vt:i4>8323110</vt:i4>
      </vt:variant>
      <vt:variant>
        <vt:i4>45</vt:i4>
      </vt:variant>
      <vt:variant>
        <vt:i4>0</vt:i4>
      </vt:variant>
      <vt:variant>
        <vt:i4>5</vt:i4>
      </vt:variant>
      <vt:variant>
        <vt:lpwstr>https://www.ippc.int/en/irss/activities/2/</vt:lpwstr>
      </vt:variant>
      <vt:variant>
        <vt:lpwstr/>
      </vt:variant>
      <vt:variant>
        <vt:i4>7340128</vt:i4>
      </vt:variant>
      <vt:variant>
        <vt:i4>42</vt:i4>
      </vt:variant>
      <vt:variant>
        <vt:i4>0</vt:i4>
      </vt:variant>
      <vt:variant>
        <vt:i4>5</vt:i4>
      </vt:variant>
      <vt:variant>
        <vt:lpwstr>https://cites.org/sites/default/files/document/S-Res-11-03-R17A.pdf</vt:lpwstr>
      </vt:variant>
      <vt:variant>
        <vt:lpwstr/>
      </vt:variant>
      <vt:variant>
        <vt:i4>1376264</vt:i4>
      </vt:variant>
      <vt:variant>
        <vt:i4>39</vt:i4>
      </vt:variant>
      <vt:variant>
        <vt:i4>0</vt:i4>
      </vt:variant>
      <vt:variant>
        <vt:i4>5</vt:i4>
      </vt:variant>
      <vt:variant>
        <vt:lpwstr>https://www.un.org/ecosoc/sites/www.un.org.ecosoc/files/documents/2009/resolution-2009-19.pdf</vt:lpwstr>
      </vt:variant>
      <vt:variant>
        <vt:lpwstr/>
      </vt:variant>
      <vt:variant>
        <vt:i4>50</vt:i4>
      </vt:variant>
      <vt:variant>
        <vt:i4>36</vt:i4>
      </vt:variant>
      <vt:variant>
        <vt:i4>0</vt:i4>
      </vt:variant>
      <vt:variant>
        <vt:i4>5</vt:i4>
      </vt:variant>
      <vt:variant>
        <vt:lpwstr>https://www.unece.org/fileadmin/DAM/trans/danger/publi/ghs/ghs_rev04/Spanish/ST-SG-AC10-30-Rev4sp.pdf</vt:lpwstr>
      </vt:variant>
      <vt:variant>
        <vt:lpwstr/>
      </vt:variant>
      <vt:variant>
        <vt:i4>5439561</vt:i4>
      </vt:variant>
      <vt:variant>
        <vt:i4>33</vt:i4>
      </vt:variant>
      <vt:variant>
        <vt:i4>0</vt:i4>
      </vt:variant>
      <vt:variant>
        <vt:i4>5</vt:i4>
      </vt:variant>
      <vt:variant>
        <vt:lpwstr>http://apps.who.int/iris/bitstream/handle/10665/85394/WHO_HSE_GCR_2012.12_spa.pdf?sequence=1</vt:lpwstr>
      </vt:variant>
      <vt:variant>
        <vt:lpwstr/>
      </vt:variant>
      <vt:variant>
        <vt:i4>6684698</vt:i4>
      </vt:variant>
      <vt:variant>
        <vt:i4>30</vt:i4>
      </vt:variant>
      <vt:variant>
        <vt:i4>0</vt:i4>
      </vt:variant>
      <vt:variant>
        <vt:i4>5</vt:i4>
      </vt:variant>
      <vt:variant>
        <vt:lpwstr>http://www.wcoomd.org/~/media/wco/public/es/pdf/topics/enforcement-and-compliance/instruments-and-tools/stce-implementation-guide/stce-implementation-guide-_-es.pdf?db=web</vt:lpwstr>
      </vt:variant>
      <vt:variant>
        <vt:lpwstr/>
      </vt:variant>
      <vt:variant>
        <vt:i4>50</vt:i4>
      </vt:variant>
      <vt:variant>
        <vt:i4>27</vt:i4>
      </vt:variant>
      <vt:variant>
        <vt:i4>0</vt:i4>
      </vt:variant>
      <vt:variant>
        <vt:i4>5</vt:i4>
      </vt:variant>
      <vt:variant>
        <vt:lpwstr>https://www.unece.org/fileadmin/DAM/trans/danger/publi/ghs/ghs_rev04/Spanish/ST-SG-AC10-30-Rev4sp.pdf</vt:lpwstr>
      </vt:variant>
      <vt:variant>
        <vt:lpwstr/>
      </vt:variant>
      <vt:variant>
        <vt:i4>2031647</vt:i4>
      </vt:variant>
      <vt:variant>
        <vt:i4>24</vt:i4>
      </vt:variant>
      <vt:variant>
        <vt:i4>0</vt:i4>
      </vt:variant>
      <vt:variant>
        <vt:i4>5</vt:i4>
      </vt:variant>
      <vt:variant>
        <vt:lpwstr>http://www.oie.int/es/normas/codigo-acuatico/acceso-en-linea/</vt:lpwstr>
      </vt:variant>
      <vt:variant>
        <vt:lpwstr/>
      </vt:variant>
      <vt:variant>
        <vt:i4>7405629</vt:i4>
      </vt:variant>
      <vt:variant>
        <vt:i4>21</vt:i4>
      </vt:variant>
      <vt:variant>
        <vt:i4>0</vt:i4>
      </vt:variant>
      <vt:variant>
        <vt:i4>5</vt:i4>
      </vt:variant>
      <vt:variant>
        <vt:lpwstr>http://www.oie.int/es/normas/codigo-terrestre/acceso-en-linea/</vt:lpwstr>
      </vt:variant>
      <vt:variant>
        <vt:lpwstr/>
      </vt:variant>
      <vt:variant>
        <vt:i4>851980</vt:i4>
      </vt:variant>
      <vt:variant>
        <vt:i4>18</vt:i4>
      </vt:variant>
      <vt:variant>
        <vt:i4>0</vt:i4>
      </vt:variant>
      <vt:variant>
        <vt:i4>5</vt:i4>
      </vt:variant>
      <vt:variant>
        <vt:lpwstr>https://www.cbd.int/doc/meetings/cop/cop-06/official/cop-06-20-es.pdf</vt:lpwstr>
      </vt:variant>
      <vt:variant>
        <vt:lpwstr/>
      </vt:variant>
      <vt:variant>
        <vt:i4>1638449</vt:i4>
      </vt:variant>
      <vt:variant>
        <vt:i4>15</vt:i4>
      </vt:variant>
      <vt:variant>
        <vt:i4>0</vt:i4>
      </vt:variant>
      <vt:variant>
        <vt:i4>5</vt:i4>
      </vt:variant>
      <vt:variant>
        <vt:lpwstr>https://www.wto.org/spanish/tratop_s/sps_s/spsagr_s.htm</vt:lpwstr>
      </vt:variant>
      <vt:variant>
        <vt:lpwstr/>
      </vt:variant>
      <vt:variant>
        <vt:i4>3604543</vt:i4>
      </vt:variant>
      <vt:variant>
        <vt:i4>12</vt:i4>
      </vt:variant>
      <vt:variant>
        <vt:i4>0</vt:i4>
      </vt:variant>
      <vt:variant>
        <vt:i4>5</vt:i4>
      </vt:variant>
      <vt:variant>
        <vt:lpwstr>https://www.cbd.int/doc/meetings/sbstta/sbstta-18/official/sbstta-18-09-add1-es.pdf</vt:lpwstr>
      </vt:variant>
      <vt:variant>
        <vt:lpwstr/>
      </vt:variant>
      <vt:variant>
        <vt:i4>6488114</vt:i4>
      </vt:variant>
      <vt:variant>
        <vt:i4>9</vt:i4>
      </vt:variant>
      <vt:variant>
        <vt:i4>0</vt:i4>
      </vt:variant>
      <vt:variant>
        <vt:i4>5</vt:i4>
      </vt:variant>
      <vt:variant>
        <vt:lpwstr>http://www.cbd.int/invasive/lg/</vt:lpwstr>
      </vt:variant>
      <vt:variant>
        <vt:lpwstr/>
      </vt:variant>
      <vt:variant>
        <vt:i4>720977</vt:i4>
      </vt:variant>
      <vt:variant>
        <vt:i4>6</vt:i4>
      </vt:variant>
      <vt:variant>
        <vt:i4>0</vt:i4>
      </vt:variant>
      <vt:variant>
        <vt:i4>5</vt:i4>
      </vt:variant>
      <vt:variant>
        <vt:lpwstr>https://www.cbd.int/doc/decisions/cop-13/cop-13-dec-13-es.pdf</vt:lpwstr>
      </vt:variant>
      <vt:variant>
        <vt:lpwstr/>
      </vt:variant>
      <vt:variant>
        <vt:i4>983120</vt:i4>
      </vt:variant>
      <vt:variant>
        <vt:i4>3</vt:i4>
      </vt:variant>
      <vt:variant>
        <vt:i4>0</vt:i4>
      </vt:variant>
      <vt:variant>
        <vt:i4>5</vt:i4>
      </vt:variant>
      <vt:variant>
        <vt:lpwstr>https://www.cbd.int/doc/decisions/cop-12/cop-12-dec-16-es.pdf</vt:lpwstr>
      </vt:variant>
      <vt:variant>
        <vt:lpwstr/>
      </vt:variant>
      <vt:variant>
        <vt:i4>3932218</vt:i4>
      </vt:variant>
      <vt:variant>
        <vt:i4>0</vt:i4>
      </vt:variant>
      <vt:variant>
        <vt:i4>0</vt:i4>
      </vt:variant>
      <vt:variant>
        <vt:i4>5</vt:i4>
      </vt:variant>
      <vt:variant>
        <vt:lpwstr>https://www.cbd.int/doc/meetings/sbstta/sbstta-22/official/sbstta-22-01-en.pdf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alien species</dc:title>
  <dc:subject>CBD/SBSTTA/22/9</dc:subject>
  <dc:creator>SCBD</dc:creator>
  <cp:lastModifiedBy>Laura Perez</cp:lastModifiedBy>
  <cp:revision>31</cp:revision>
  <cp:lastPrinted>2018-06-18T04:11:00Z</cp:lastPrinted>
  <dcterms:created xsi:type="dcterms:W3CDTF">2018-06-17T20:54:00Z</dcterms:created>
  <dcterms:modified xsi:type="dcterms:W3CDTF">2018-06-18T06:53:00Z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DE ASESORAMIENTO CIENTÍFICO, TÉCNICO Y TECNOLÓGICO</vt:lpwstr>
  </property>
</Properties>
</file>