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Borders>
          <w:bottom w:val="single" w:sz="30" w:space="0" w:color="000000"/>
        </w:tblBorders>
        <w:tblLayout w:type="fixed"/>
        <w:tblLook w:val="0000" w:firstRow="0" w:lastRow="0" w:firstColumn="0" w:lastColumn="0" w:noHBand="0" w:noVBand="0"/>
      </w:tblPr>
      <w:tblGrid>
        <w:gridCol w:w="17"/>
        <w:gridCol w:w="1350"/>
        <w:gridCol w:w="1260"/>
        <w:gridCol w:w="2611"/>
        <w:gridCol w:w="1710"/>
        <w:gridCol w:w="2941"/>
      </w:tblGrid>
      <w:tr w:rsidR="00C0799D" w:rsidRPr="00FE1F72" w:rsidTr="0069099E">
        <w:trPr>
          <w:gridBefore w:val="1"/>
          <w:wBefore w:w="17" w:type="dxa"/>
          <w:trHeight w:val="1196"/>
        </w:trPr>
        <w:tc>
          <w:tcPr>
            <w:tcW w:w="1350" w:type="dxa"/>
            <w:tcBorders>
              <w:bottom w:val="single" w:sz="12" w:space="0" w:color="000000"/>
            </w:tcBorders>
          </w:tcPr>
          <w:p w:rsidR="00C0799D" w:rsidRPr="00FE1F72" w:rsidRDefault="00C0799D" w:rsidP="0069099E">
            <w:pPr>
              <w:pStyle w:val="Header"/>
              <w:tabs>
                <w:tab w:val="clear" w:pos="4320"/>
                <w:tab w:val="clear" w:pos="8640"/>
              </w:tabs>
              <w:rPr>
                <w:noProof/>
                <w:lang w:val="fr-FR"/>
              </w:rPr>
            </w:pPr>
            <w:bookmarkStart w:id="0" w:name="Meeting"/>
            <w:r>
              <w:rPr>
                <w:noProof/>
                <w:lang w:val="fr-FR" w:eastAsia="fr-FR"/>
              </w:rPr>
              <w:drawing>
                <wp:anchor distT="0" distB="0" distL="114300" distR="114300" simplePos="0" relativeHeight="251657216" behindDoc="0" locked="1" layoutInCell="1" allowOverlap="0" wp14:anchorId="29AB4787" wp14:editId="2AE3BD7E">
                  <wp:simplePos x="0" y="0"/>
                  <wp:positionH relativeFrom="column">
                    <wp:posOffset>78105</wp:posOffset>
                  </wp:positionH>
                  <wp:positionV relativeFrom="page">
                    <wp:posOffset>69215</wp:posOffset>
                  </wp:positionV>
                  <wp:extent cx="495300" cy="5810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60" w:type="dxa"/>
            <w:tcBorders>
              <w:bottom w:val="single" w:sz="12" w:space="0" w:color="000000"/>
            </w:tcBorders>
          </w:tcPr>
          <w:p w:rsidR="00C0799D" w:rsidRPr="00FE1F72" w:rsidRDefault="00C0799D" w:rsidP="0069099E">
            <w:pPr>
              <w:rPr>
                <w:noProof/>
                <w:lang w:val="fr-FR"/>
              </w:rPr>
            </w:pPr>
            <w:r>
              <w:rPr>
                <w:noProof/>
                <w:sz w:val="20"/>
                <w:lang w:val="fr-FR" w:eastAsia="fr-FR"/>
              </w:rPr>
              <w:drawing>
                <wp:anchor distT="0" distB="0" distL="114300" distR="114300" simplePos="0" relativeHeight="251656192" behindDoc="0" locked="1" layoutInCell="1" allowOverlap="0" wp14:anchorId="7DE94E21" wp14:editId="7A675380">
                  <wp:simplePos x="0" y="0"/>
                  <wp:positionH relativeFrom="column">
                    <wp:posOffset>-26035</wp:posOffset>
                  </wp:positionH>
                  <wp:positionV relativeFrom="page">
                    <wp:posOffset>635</wp:posOffset>
                  </wp:positionV>
                  <wp:extent cx="822960" cy="5829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4492" r="4492"/>
                          <a:stretch>
                            <a:fillRect/>
                          </a:stretch>
                        </pic:blipFill>
                        <pic:spPr bwMode="auto">
                          <a:xfrm>
                            <a:off x="0" y="0"/>
                            <a:ext cx="822960"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2" w:type="dxa"/>
            <w:gridSpan w:val="3"/>
            <w:tcBorders>
              <w:bottom w:val="single" w:sz="12" w:space="0" w:color="000000"/>
            </w:tcBorders>
          </w:tcPr>
          <w:p w:rsidR="00C0799D" w:rsidRPr="00FE1F72" w:rsidRDefault="00C0799D" w:rsidP="0069099E">
            <w:pPr>
              <w:jc w:val="right"/>
              <w:rPr>
                <w:rFonts w:ascii="Univers" w:hAnsi="Univers"/>
                <w:b/>
                <w:noProof/>
                <w:sz w:val="32"/>
                <w:lang w:val="fr-FR"/>
              </w:rPr>
            </w:pPr>
            <w:r>
              <w:rPr>
                <w:rFonts w:ascii="Univers" w:hAnsi="Univers"/>
                <w:b/>
                <w:noProof/>
                <w:sz w:val="32"/>
                <w:lang w:val="fr-FR"/>
              </w:rPr>
              <w:t>CBD</w:t>
            </w:r>
          </w:p>
          <w:p w:rsidR="00C0799D" w:rsidRPr="00FE1F72" w:rsidRDefault="00C0799D" w:rsidP="0069099E">
            <w:pPr>
              <w:jc w:val="left"/>
              <w:rPr>
                <w:rFonts w:ascii="Univers" w:hAnsi="Univers"/>
                <w:b/>
                <w:noProof/>
                <w:sz w:val="32"/>
                <w:lang w:val="fr-FR"/>
              </w:rPr>
            </w:pPr>
          </w:p>
        </w:tc>
      </w:tr>
      <w:tr w:rsidR="00C0799D" w:rsidRPr="00A2637A" w:rsidTr="0069099E">
        <w:trPr>
          <w:trHeight w:val="1693"/>
        </w:trPr>
        <w:tc>
          <w:tcPr>
            <w:tcW w:w="5238" w:type="dxa"/>
            <w:gridSpan w:val="4"/>
          </w:tcPr>
          <w:p w:rsidR="00C0799D" w:rsidRPr="00FE1F72" w:rsidRDefault="00C0799D" w:rsidP="0069099E">
            <w:pPr>
              <w:jc w:val="left"/>
              <w:rPr>
                <w:noProof/>
                <w:lang w:val="fr-FR"/>
              </w:rPr>
            </w:pPr>
            <w:r>
              <w:rPr>
                <w:bCs/>
                <w:noProof/>
                <w:szCs w:val="22"/>
                <w:lang w:val="fr-FR" w:eastAsia="fr-FR"/>
              </w:rPr>
              <w:drawing>
                <wp:inline distT="0" distB="0" distL="0" distR="0" wp14:anchorId="68FB5DF1" wp14:editId="0E4FDDEA">
                  <wp:extent cx="2857500" cy="1076325"/>
                  <wp:effectExtent l="0" t="0" r="0" b="9525"/>
                  <wp:docPr id="4" name="Picture 4"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710" w:type="dxa"/>
          </w:tcPr>
          <w:p w:rsidR="00C0799D" w:rsidRPr="00FE1F72" w:rsidRDefault="00C0799D" w:rsidP="0069099E">
            <w:pPr>
              <w:rPr>
                <w:noProof/>
                <w:lang w:val="fr-FR"/>
              </w:rPr>
            </w:pPr>
          </w:p>
        </w:tc>
        <w:tc>
          <w:tcPr>
            <w:tcW w:w="2941" w:type="dxa"/>
          </w:tcPr>
          <w:p w:rsidR="00C0799D" w:rsidRPr="00FE1F72" w:rsidRDefault="00C0799D" w:rsidP="0069099E">
            <w:pPr>
              <w:ind w:left="37"/>
              <w:rPr>
                <w:noProof/>
                <w:lang w:val="fr-FR"/>
              </w:rPr>
            </w:pPr>
            <w:r w:rsidRPr="00FE1F72">
              <w:rPr>
                <w:noProof/>
                <w:lang w:val="fr-FR"/>
              </w:rPr>
              <w:t>Distr.</w:t>
            </w:r>
          </w:p>
          <w:p w:rsidR="00C0799D" w:rsidRPr="00FE1F72" w:rsidRDefault="00A2637A" w:rsidP="0069099E">
            <w:pPr>
              <w:ind w:left="37"/>
              <w:rPr>
                <w:noProof/>
                <w:lang w:val="fr-FR"/>
              </w:rPr>
            </w:pPr>
            <w:r>
              <w:rPr>
                <w:noProof/>
                <w:lang w:val="fr-FR"/>
              </w:rPr>
              <w:t>G</w:t>
            </w:r>
            <w:r w:rsidR="00C0799D">
              <w:rPr>
                <w:noProof/>
                <w:lang w:val="fr-FR"/>
              </w:rPr>
              <w:t>É</w:t>
            </w:r>
            <w:r>
              <w:rPr>
                <w:noProof/>
                <w:lang w:val="fr-FR"/>
              </w:rPr>
              <w:t>NÉRAL</w:t>
            </w:r>
            <w:r w:rsidR="00C0799D">
              <w:rPr>
                <w:noProof/>
                <w:lang w:val="fr-FR"/>
              </w:rPr>
              <w:t xml:space="preserve">E </w:t>
            </w:r>
          </w:p>
          <w:p w:rsidR="00C0799D" w:rsidRPr="00FE1F72" w:rsidRDefault="00C0799D" w:rsidP="0069099E">
            <w:pPr>
              <w:ind w:left="37"/>
              <w:rPr>
                <w:noProof/>
                <w:lang w:val="fr-FR"/>
              </w:rPr>
            </w:pPr>
          </w:p>
          <w:p w:rsidR="00C0799D" w:rsidRPr="00FE1F72" w:rsidRDefault="00A2637A" w:rsidP="0069099E">
            <w:pPr>
              <w:tabs>
                <w:tab w:val="left" w:pos="0"/>
              </w:tabs>
              <w:suppressAutoHyphens/>
              <w:ind w:left="37"/>
              <w:rPr>
                <w:noProof/>
                <w:lang w:val="fr-FR"/>
              </w:rPr>
            </w:pPr>
            <w:r>
              <w:rPr>
                <w:noProof/>
                <w:lang w:val="fr-FR"/>
              </w:rPr>
              <w:t>CBD/SBSTTA/22/12</w:t>
            </w:r>
          </w:p>
          <w:p w:rsidR="00C0799D" w:rsidRPr="00FE1F72" w:rsidRDefault="00A2637A" w:rsidP="0069099E">
            <w:pPr>
              <w:ind w:left="37"/>
              <w:rPr>
                <w:noProof/>
                <w:lang w:val="fr-FR"/>
              </w:rPr>
            </w:pPr>
            <w:r>
              <w:rPr>
                <w:noProof/>
                <w:lang w:val="fr-FR"/>
              </w:rPr>
              <w:t>9</w:t>
            </w:r>
            <w:r w:rsidR="00C0799D">
              <w:rPr>
                <w:noProof/>
                <w:lang w:val="fr-FR"/>
              </w:rPr>
              <w:t xml:space="preserve"> juillet 2018</w:t>
            </w:r>
          </w:p>
          <w:p w:rsidR="00C0799D" w:rsidRPr="00FE1F72" w:rsidRDefault="00C0799D" w:rsidP="0069099E">
            <w:pPr>
              <w:ind w:left="37"/>
              <w:rPr>
                <w:noProof/>
                <w:lang w:val="fr-FR"/>
              </w:rPr>
            </w:pPr>
          </w:p>
          <w:p w:rsidR="00C0799D" w:rsidRPr="00FE1F72" w:rsidRDefault="00C0799D" w:rsidP="0069099E">
            <w:pPr>
              <w:ind w:left="37"/>
              <w:rPr>
                <w:noProof/>
                <w:lang w:val="fr-FR"/>
              </w:rPr>
            </w:pPr>
            <w:r w:rsidRPr="00FE1F72">
              <w:rPr>
                <w:noProof/>
                <w:lang w:val="fr-FR"/>
              </w:rPr>
              <w:t>FRANÇAIS</w:t>
            </w:r>
          </w:p>
          <w:p w:rsidR="00C0799D" w:rsidRPr="00FE1F72" w:rsidRDefault="00C0799D" w:rsidP="0069099E">
            <w:pPr>
              <w:ind w:left="37"/>
              <w:rPr>
                <w:rFonts w:ascii="Courier New" w:hAnsi="Courier New"/>
                <w:noProof/>
                <w:lang w:val="fr-FR"/>
              </w:rPr>
            </w:pPr>
            <w:r w:rsidRPr="00FE1F72">
              <w:rPr>
                <w:noProof/>
                <w:lang w:val="fr-FR"/>
              </w:rPr>
              <w:t>ORIGINAL</w:t>
            </w:r>
            <w:r>
              <w:rPr>
                <w:noProof/>
                <w:lang w:val="fr-FR"/>
              </w:rPr>
              <w:t xml:space="preserve"> : </w:t>
            </w:r>
            <w:r w:rsidRPr="00FE1F72">
              <w:rPr>
                <w:noProof/>
                <w:lang w:val="fr-FR"/>
              </w:rPr>
              <w:t>ANGLAIS</w:t>
            </w:r>
          </w:p>
        </w:tc>
      </w:tr>
    </w:tbl>
    <w:bookmarkEnd w:id="0"/>
    <w:p w:rsidR="00C0799D" w:rsidRPr="00E60EB9" w:rsidRDefault="00C0799D" w:rsidP="00C0799D">
      <w:pPr>
        <w:pStyle w:val="meetingname"/>
        <w:ind w:right="3548"/>
        <w:rPr>
          <w:kern w:val="22"/>
          <w:szCs w:val="22"/>
          <w:lang w:val="fr-CA"/>
        </w:rPr>
      </w:pPr>
      <w:r w:rsidRPr="00E60EB9">
        <w:rPr>
          <w:kern w:val="22"/>
          <w:szCs w:val="22"/>
          <w:lang w:val="fr-CA"/>
        </w:rPr>
        <w:t>ORGANE SUBSIDIAIRE CHARGÉ de FOURNIR DES AVIS SCIENTIFIQUES, TECHNIQUES ET TECHNOLOGIQUES</w:t>
      </w:r>
    </w:p>
    <w:p w:rsidR="00C0799D" w:rsidRPr="00E60EB9" w:rsidRDefault="00C0799D" w:rsidP="00C0799D">
      <w:pPr>
        <w:rPr>
          <w:noProof/>
          <w:snapToGrid w:val="0"/>
          <w:kern w:val="22"/>
          <w:szCs w:val="22"/>
          <w:lang w:val="fr-CA" w:eastAsia="nb-NO"/>
        </w:rPr>
      </w:pPr>
      <w:r w:rsidRPr="00E60EB9">
        <w:rPr>
          <w:noProof/>
          <w:snapToGrid w:val="0"/>
          <w:kern w:val="22"/>
          <w:szCs w:val="22"/>
          <w:lang w:val="fr-CA" w:eastAsia="nb-NO"/>
        </w:rPr>
        <w:t>Vingt</w:t>
      </w:r>
      <w:r>
        <w:rPr>
          <w:noProof/>
          <w:snapToGrid w:val="0"/>
          <w:kern w:val="22"/>
          <w:szCs w:val="22"/>
          <w:lang w:val="fr-CA" w:eastAsia="nb-NO"/>
        </w:rPr>
        <w:noBreakHyphen/>
      </w:r>
      <w:r w:rsidRPr="00E60EB9">
        <w:rPr>
          <w:noProof/>
          <w:snapToGrid w:val="0"/>
          <w:kern w:val="22"/>
          <w:szCs w:val="22"/>
          <w:lang w:val="fr-CA" w:eastAsia="nb-NO"/>
        </w:rPr>
        <w:t>deuxième réunion</w:t>
      </w:r>
    </w:p>
    <w:p w:rsidR="009E6BA9" w:rsidRPr="00A2637A" w:rsidRDefault="00C0799D" w:rsidP="00A2637A">
      <w:pPr>
        <w:rPr>
          <w:snapToGrid w:val="0"/>
          <w:kern w:val="22"/>
          <w:szCs w:val="22"/>
          <w:lang w:val="fr-CA" w:eastAsia="nb-NO"/>
        </w:rPr>
      </w:pPr>
      <w:r w:rsidRPr="00E60EB9">
        <w:rPr>
          <w:noProof/>
          <w:snapToGrid w:val="0"/>
          <w:kern w:val="22"/>
          <w:szCs w:val="22"/>
          <w:lang w:val="fr-CA" w:eastAsia="nb-NO"/>
        </w:rPr>
        <w:t>Montréal, Canada, 2</w:t>
      </w:r>
      <w:r>
        <w:rPr>
          <w:noProof/>
          <w:snapToGrid w:val="0"/>
          <w:kern w:val="22"/>
          <w:szCs w:val="22"/>
          <w:lang w:val="fr-CA" w:eastAsia="nb-NO"/>
        </w:rPr>
        <w:noBreakHyphen/>
      </w:r>
      <w:r w:rsidRPr="00E60EB9">
        <w:rPr>
          <w:noProof/>
          <w:snapToGrid w:val="0"/>
          <w:kern w:val="22"/>
          <w:szCs w:val="22"/>
          <w:lang w:val="fr-CA" w:eastAsia="nb-NO"/>
        </w:rPr>
        <w:t>7</w:t>
      </w:r>
      <w:r w:rsidRPr="00E60EB9">
        <w:rPr>
          <w:snapToGrid w:val="0"/>
          <w:kern w:val="22"/>
          <w:szCs w:val="22"/>
          <w:lang w:val="fr-CA" w:eastAsia="nb-NO"/>
        </w:rPr>
        <w:t xml:space="preserve"> juillet 2018</w:t>
      </w:r>
    </w:p>
    <w:p w:rsidR="00CA6B87" w:rsidRPr="00A2637A" w:rsidRDefault="00CA6B87" w:rsidP="00CA6B87">
      <w:pPr>
        <w:rPr>
          <w:snapToGrid w:val="0"/>
          <w:kern w:val="22"/>
          <w:szCs w:val="22"/>
          <w:lang w:val="fr-FR" w:eastAsia="nb-NO"/>
        </w:rPr>
      </w:pPr>
    </w:p>
    <w:p w:rsidR="00F66AEE" w:rsidRPr="00DC6ADE" w:rsidRDefault="003A138F" w:rsidP="00F66AEE">
      <w:pPr>
        <w:pStyle w:val="Heading2"/>
        <w:suppressLineNumbers/>
        <w:suppressAutoHyphens/>
        <w:spacing w:before="240"/>
        <w:rPr>
          <w:snapToGrid w:val="0"/>
          <w:kern w:val="22"/>
          <w:szCs w:val="22"/>
          <w:lang w:val="fr-FR"/>
        </w:rPr>
      </w:pPr>
      <w:bookmarkStart w:id="1" w:name="_Toc525904146"/>
      <w:bookmarkStart w:id="2" w:name="_Toc525904305"/>
      <w:bookmarkStart w:id="3" w:name="_Toc525904549"/>
      <w:r>
        <w:rPr>
          <w:snapToGrid w:val="0"/>
          <w:kern w:val="22"/>
          <w:szCs w:val="22"/>
          <w:lang w:val="fr-FR"/>
        </w:rPr>
        <w:t>RAPPO</w:t>
      </w:r>
      <w:bookmarkStart w:id="4" w:name="_GoBack"/>
      <w:bookmarkEnd w:id="4"/>
      <w:r>
        <w:rPr>
          <w:snapToGrid w:val="0"/>
          <w:kern w:val="22"/>
          <w:szCs w:val="22"/>
          <w:lang w:val="fr-FR"/>
        </w:rPr>
        <w:t>RT</w:t>
      </w:r>
      <w:r w:rsidR="00A2637A">
        <w:rPr>
          <w:snapToGrid w:val="0"/>
          <w:kern w:val="22"/>
          <w:szCs w:val="22"/>
          <w:lang w:val="fr-FR"/>
        </w:rPr>
        <w:t xml:space="preserve"> DE L’ORGANE SUBSIDIAIRE CHARGÉ DE FOURNIR DES AVIS SCIENTIFIQUES, TECHNIQUES ET TECHNOLOGIQUES SUR SA VINGT-DEUXIÈME RÉUNION</w:t>
      </w:r>
      <w:bookmarkEnd w:id="1"/>
      <w:bookmarkEnd w:id="2"/>
      <w:bookmarkEnd w:id="3"/>
    </w:p>
    <w:p w:rsidR="00A2637A" w:rsidRDefault="00A2637A" w:rsidP="00A2637A">
      <w:pPr>
        <w:rPr>
          <w:lang w:val="fr-FR"/>
        </w:rPr>
      </w:pPr>
    </w:p>
    <w:p w:rsidR="00A2637A" w:rsidRPr="00D43CD7" w:rsidRDefault="00A2637A" w:rsidP="00A2637A">
      <w:pPr>
        <w:pBdr>
          <w:top w:val="single" w:sz="4" w:space="1" w:color="auto"/>
          <w:left w:val="single" w:sz="4" w:space="4" w:color="auto"/>
          <w:bottom w:val="single" w:sz="4" w:space="1" w:color="auto"/>
          <w:right w:val="single" w:sz="4" w:space="4" w:color="auto"/>
        </w:pBdr>
        <w:rPr>
          <w:lang w:val="fr-FR"/>
        </w:rPr>
      </w:pPr>
    </w:p>
    <w:p w:rsidR="00416E8E" w:rsidRPr="00416E8E" w:rsidRDefault="00A2637A" w:rsidP="00AF7D0C">
      <w:pPr>
        <w:pBdr>
          <w:top w:val="single" w:sz="4" w:space="1" w:color="auto"/>
          <w:left w:val="single" w:sz="4" w:space="4" w:color="auto"/>
          <w:bottom w:val="single" w:sz="4" w:space="1" w:color="auto"/>
          <w:right w:val="single" w:sz="4" w:space="4" w:color="auto"/>
        </w:pBdr>
        <w:spacing w:after="120"/>
        <w:ind w:firstLine="709"/>
        <w:rPr>
          <w:lang w:val="fr-FR"/>
        </w:rPr>
      </w:pPr>
      <w:r w:rsidRPr="00A2637A">
        <w:rPr>
          <w:lang w:val="fr-FR"/>
        </w:rPr>
        <w:t xml:space="preserve">L’Organe subsidiaire chargé de fournir des avis scientifiques, techniques et technologiques a tenu sa vingt-deuxième </w:t>
      </w:r>
      <w:r>
        <w:rPr>
          <w:lang w:val="fr-FR"/>
        </w:rPr>
        <w:t>ré</w:t>
      </w:r>
      <w:r w:rsidRPr="00A2637A">
        <w:rPr>
          <w:lang w:val="fr-FR"/>
        </w:rPr>
        <w:t xml:space="preserve">union à </w:t>
      </w:r>
      <w:r>
        <w:rPr>
          <w:lang w:val="fr-FR"/>
        </w:rPr>
        <w:t xml:space="preserve"> Montréal (</w:t>
      </w:r>
      <w:r w:rsidRPr="00A2637A">
        <w:rPr>
          <w:lang w:val="fr-FR"/>
        </w:rPr>
        <w:t>Canada</w:t>
      </w:r>
      <w:r>
        <w:rPr>
          <w:lang w:val="fr-FR"/>
        </w:rPr>
        <w:t>), du 2 au 7 juillet</w:t>
      </w:r>
      <w:r w:rsidRPr="00A2637A">
        <w:rPr>
          <w:lang w:val="fr-FR"/>
        </w:rPr>
        <w:t xml:space="preserve"> 2018. Il a adopté dix recommandations concernant : </w:t>
      </w:r>
      <w:r w:rsidR="00FF4D6A">
        <w:rPr>
          <w:lang w:val="fr-FR"/>
        </w:rPr>
        <w:t>a) l’</w:t>
      </w:r>
      <w:r w:rsidRPr="00A2637A">
        <w:rPr>
          <w:lang w:val="fr-FR"/>
        </w:rPr>
        <w:t xml:space="preserve">information </w:t>
      </w:r>
      <w:r w:rsidR="00FF4D6A">
        <w:rPr>
          <w:lang w:val="fr-FR"/>
        </w:rPr>
        <w:t xml:space="preserve">de séquençage numérique </w:t>
      </w:r>
      <w:r w:rsidRPr="00A2637A">
        <w:rPr>
          <w:lang w:val="fr-FR"/>
        </w:rPr>
        <w:t>sur les ressources génétiques; b) l’évaluation des risques et la gestion des risques présentés par les organismes vivants modifiés; c) la biologie de synthèse</w:t>
      </w:r>
      <w:r w:rsidR="00FF4D6A">
        <w:rPr>
          <w:lang w:val="fr-FR"/>
        </w:rPr>
        <w:t>; d) l’évaluation scientifique actualisée des progrès accomplis dans la réalisation de certains Objectifs d’Aichi pour la b</w:t>
      </w:r>
      <w:r w:rsidR="00416E8E">
        <w:rPr>
          <w:lang w:val="fr-FR"/>
        </w:rPr>
        <w:t xml:space="preserve">iodiversité et </w:t>
      </w:r>
      <w:r w:rsidR="00FF4D6A">
        <w:rPr>
          <w:lang w:val="fr-FR"/>
        </w:rPr>
        <w:t>options pour accélérer les progrè</w:t>
      </w:r>
      <w:r w:rsidRPr="00A2637A">
        <w:rPr>
          <w:lang w:val="fr-FR"/>
        </w:rPr>
        <w:t>s</w:t>
      </w:r>
      <w:r w:rsidR="00FF4D6A">
        <w:rPr>
          <w:lang w:val="fr-FR"/>
        </w:rPr>
        <w:t xml:space="preserve"> accomplis; e) les aire</w:t>
      </w:r>
      <w:r w:rsidRPr="00A2637A">
        <w:rPr>
          <w:lang w:val="fr-FR"/>
        </w:rPr>
        <w:t>s</w:t>
      </w:r>
      <w:r w:rsidR="00FF4D6A">
        <w:rPr>
          <w:lang w:val="fr-FR"/>
        </w:rPr>
        <w:t xml:space="preserve"> protégées et d’autres mesures de conservation efficaces par zone; f) la diversité biolo</w:t>
      </w:r>
      <w:r w:rsidR="00A40147">
        <w:rPr>
          <w:lang w:val="fr-FR"/>
        </w:rPr>
        <w:t xml:space="preserve">gique marine et côtière; g) les </w:t>
      </w:r>
      <w:r w:rsidR="00443193">
        <w:rPr>
          <w:lang w:val="fr-FR"/>
        </w:rPr>
        <w:t>approches écosystémiques d’adap</w:t>
      </w:r>
      <w:r w:rsidRPr="00A2637A">
        <w:rPr>
          <w:lang w:val="fr-FR"/>
        </w:rPr>
        <w:t xml:space="preserve">tation </w:t>
      </w:r>
      <w:r w:rsidR="00FF4D6A">
        <w:rPr>
          <w:lang w:val="fr-FR"/>
        </w:rPr>
        <w:t>au</w:t>
      </w:r>
      <w:r w:rsidR="00416E8E">
        <w:rPr>
          <w:lang w:val="fr-FR"/>
        </w:rPr>
        <w:t>x changements climatiques et de</w:t>
      </w:r>
      <w:r w:rsidR="00FF4D6A">
        <w:rPr>
          <w:lang w:val="fr-FR"/>
        </w:rPr>
        <w:t xml:space="preserve"> ré</w:t>
      </w:r>
      <w:r w:rsidRPr="00A2637A">
        <w:rPr>
          <w:lang w:val="fr-FR"/>
        </w:rPr>
        <w:t>duction</w:t>
      </w:r>
      <w:r w:rsidR="00FF4D6A">
        <w:rPr>
          <w:lang w:val="fr-FR"/>
        </w:rPr>
        <w:t xml:space="preserve"> des risques de catastrophe naturelle; </w:t>
      </w:r>
      <w:r w:rsidRPr="00A2637A">
        <w:rPr>
          <w:lang w:val="fr-FR"/>
        </w:rPr>
        <w:t xml:space="preserve">h) </w:t>
      </w:r>
      <w:r w:rsidR="00FF4D6A">
        <w:rPr>
          <w:lang w:val="fr-FR"/>
        </w:rPr>
        <w:t xml:space="preserve">les espèces exotiques envahissantes; </w:t>
      </w:r>
      <w:r w:rsidRPr="00A2637A">
        <w:rPr>
          <w:lang w:val="fr-FR"/>
        </w:rPr>
        <w:t xml:space="preserve">i) </w:t>
      </w:r>
      <w:r w:rsidR="00FF4D6A">
        <w:rPr>
          <w:lang w:val="fr-FR"/>
        </w:rPr>
        <w:t xml:space="preserve">la </w:t>
      </w:r>
      <w:r w:rsidRPr="00A2637A">
        <w:rPr>
          <w:lang w:val="fr-FR"/>
        </w:rPr>
        <w:t xml:space="preserve">conservation </w:t>
      </w:r>
      <w:r w:rsidR="00FF4D6A">
        <w:rPr>
          <w:lang w:val="fr-FR"/>
        </w:rPr>
        <w:t xml:space="preserve">et l’utilisation durable des pollinisateurs; </w:t>
      </w:r>
      <w:r w:rsidRPr="00A2637A">
        <w:rPr>
          <w:lang w:val="fr-FR"/>
        </w:rPr>
        <w:t xml:space="preserve">j) </w:t>
      </w:r>
      <w:r w:rsidR="00FF4D6A">
        <w:rPr>
          <w:lang w:val="fr-FR"/>
        </w:rPr>
        <w:t xml:space="preserve">le deuxième </w:t>
      </w:r>
      <w:r w:rsidRPr="00A2637A">
        <w:rPr>
          <w:lang w:val="fr-FR"/>
        </w:rPr>
        <w:t xml:space="preserve">programme </w:t>
      </w:r>
      <w:r w:rsidR="00FF4D6A">
        <w:rPr>
          <w:lang w:val="fr-FR"/>
        </w:rPr>
        <w:t>de travail de la Plateforme i</w:t>
      </w:r>
      <w:r w:rsidRPr="00A2637A">
        <w:rPr>
          <w:lang w:val="fr-FR"/>
        </w:rPr>
        <w:t>ntergo</w:t>
      </w:r>
      <w:r w:rsidR="00FF4D6A">
        <w:rPr>
          <w:lang w:val="fr-FR"/>
        </w:rPr>
        <w:t>u</w:t>
      </w:r>
      <w:r w:rsidRPr="00A2637A">
        <w:rPr>
          <w:lang w:val="fr-FR"/>
        </w:rPr>
        <w:t>vern</w:t>
      </w:r>
      <w:r w:rsidR="00FF4D6A">
        <w:rPr>
          <w:lang w:val="fr-FR"/>
        </w:rPr>
        <w:t>e</w:t>
      </w:r>
      <w:r w:rsidRPr="00A2637A">
        <w:rPr>
          <w:lang w:val="fr-FR"/>
        </w:rPr>
        <w:t>mental</w:t>
      </w:r>
      <w:r w:rsidR="00FF4D6A">
        <w:rPr>
          <w:lang w:val="fr-FR"/>
        </w:rPr>
        <w:t>e</w:t>
      </w:r>
      <w:r w:rsidRPr="00A2637A">
        <w:rPr>
          <w:lang w:val="fr-FR"/>
        </w:rPr>
        <w:t xml:space="preserve"> </w:t>
      </w:r>
      <w:r w:rsidR="00FF4D6A">
        <w:rPr>
          <w:lang w:val="fr-FR"/>
        </w:rPr>
        <w:t>scientifique et politique sur la biodiversité et des s</w:t>
      </w:r>
      <w:r w:rsidRPr="00A2637A">
        <w:rPr>
          <w:lang w:val="fr-FR"/>
        </w:rPr>
        <w:t>ervices</w:t>
      </w:r>
      <w:r w:rsidR="00FF4D6A">
        <w:rPr>
          <w:lang w:val="fr-FR"/>
        </w:rPr>
        <w:t xml:space="preserve"> écosystémiques</w:t>
      </w:r>
      <w:r w:rsidRPr="00A2637A">
        <w:rPr>
          <w:lang w:val="fr-FR"/>
        </w:rPr>
        <w:t xml:space="preserve">. </w:t>
      </w:r>
      <w:r w:rsidR="00416E8E">
        <w:rPr>
          <w:lang w:val="fr-FR"/>
        </w:rPr>
        <w:t>Ces recommandations figurent dans la partie I du rap</w:t>
      </w:r>
      <w:r w:rsidRPr="00416E8E">
        <w:rPr>
          <w:lang w:val="fr-FR"/>
        </w:rPr>
        <w:t>port.</w:t>
      </w:r>
    </w:p>
    <w:p w:rsidR="00AF7D0C" w:rsidRDefault="00416E8E" w:rsidP="00AF7D0C">
      <w:pPr>
        <w:pBdr>
          <w:top w:val="single" w:sz="4" w:space="1" w:color="auto"/>
          <w:left w:val="single" w:sz="4" w:space="4" w:color="auto"/>
          <w:bottom w:val="single" w:sz="4" w:space="1" w:color="auto"/>
          <w:right w:val="single" w:sz="4" w:space="4" w:color="auto"/>
        </w:pBdr>
        <w:ind w:firstLine="709"/>
        <w:rPr>
          <w:lang w:val="fr-FR"/>
        </w:rPr>
      </w:pPr>
      <w:r w:rsidRPr="00416E8E">
        <w:rPr>
          <w:lang w:val="fr-FR"/>
        </w:rPr>
        <w:t>Les projets de décisions contenus dans les recomma</w:t>
      </w:r>
      <w:r w:rsidR="00A2637A" w:rsidRPr="00416E8E">
        <w:rPr>
          <w:lang w:val="fr-FR"/>
        </w:rPr>
        <w:t xml:space="preserve">ndations </w:t>
      </w:r>
      <w:r w:rsidRPr="00416E8E">
        <w:rPr>
          <w:lang w:val="fr-FR"/>
        </w:rPr>
        <w:t xml:space="preserve">seront transmis à la Conférence des Parties à la Convention sur la diversité biologique, pour examen à sa quatorzième </w:t>
      </w:r>
      <w:r>
        <w:rPr>
          <w:lang w:val="fr-FR"/>
        </w:rPr>
        <w:t>ré</w:t>
      </w:r>
      <w:r w:rsidRPr="00416E8E">
        <w:rPr>
          <w:lang w:val="fr-FR"/>
        </w:rPr>
        <w:t xml:space="preserve">union et, selon qu’il convient, à la </w:t>
      </w:r>
      <w:r>
        <w:rPr>
          <w:lang w:val="fr-FR"/>
        </w:rPr>
        <w:t>Conférence des Parties siégeant en tant que réunion des Parties au Protocole de</w:t>
      </w:r>
      <w:r w:rsidR="00A2637A" w:rsidRPr="00416E8E">
        <w:rPr>
          <w:lang w:val="fr-FR"/>
        </w:rPr>
        <w:t xml:space="preserve"> Cartagena</w:t>
      </w:r>
      <w:r>
        <w:rPr>
          <w:lang w:val="fr-FR"/>
        </w:rPr>
        <w:t xml:space="preserve"> et à la Confé</w:t>
      </w:r>
      <w:r w:rsidR="00A2637A" w:rsidRPr="00416E8E">
        <w:rPr>
          <w:lang w:val="fr-FR"/>
        </w:rPr>
        <w:t xml:space="preserve">rence </w:t>
      </w:r>
      <w:r>
        <w:rPr>
          <w:lang w:val="fr-FR"/>
        </w:rPr>
        <w:t xml:space="preserve">des Parties siégeant en tant que réunion des Parties au Protocole de </w:t>
      </w:r>
      <w:r w:rsidR="00A2637A" w:rsidRPr="00416E8E">
        <w:rPr>
          <w:lang w:val="fr-FR"/>
        </w:rPr>
        <w:t>Nagoya</w:t>
      </w:r>
      <w:r>
        <w:rPr>
          <w:lang w:val="fr-FR"/>
        </w:rPr>
        <w:t>, pour examen à leur neuvième et troisième réunion, respectivement</w:t>
      </w:r>
      <w:r w:rsidR="00A2637A" w:rsidRPr="00416E8E">
        <w:rPr>
          <w:lang w:val="fr-FR"/>
        </w:rPr>
        <w:t xml:space="preserve">. </w:t>
      </w:r>
    </w:p>
    <w:p w:rsidR="00A2637A" w:rsidRPr="00416E8E" w:rsidRDefault="00416E8E" w:rsidP="00AF7D0C">
      <w:pPr>
        <w:pBdr>
          <w:top w:val="single" w:sz="4" w:space="1" w:color="auto"/>
          <w:left w:val="single" w:sz="4" w:space="4" w:color="auto"/>
          <w:bottom w:val="single" w:sz="4" w:space="1" w:color="auto"/>
          <w:right w:val="single" w:sz="4" w:space="4" w:color="auto"/>
        </w:pBdr>
        <w:spacing w:before="120"/>
        <w:ind w:firstLine="709"/>
        <w:rPr>
          <w:lang w:val="fr-FR"/>
        </w:rPr>
      </w:pPr>
      <w:r w:rsidRPr="00416E8E">
        <w:rPr>
          <w:lang w:val="fr-FR"/>
        </w:rPr>
        <w:t>Le compte-rendu de la réunion figure dans la partie</w:t>
      </w:r>
      <w:r>
        <w:rPr>
          <w:lang w:val="fr-FR"/>
        </w:rPr>
        <w:t xml:space="preserve"> </w:t>
      </w:r>
      <w:r w:rsidRPr="00416E8E">
        <w:rPr>
          <w:lang w:val="fr-FR"/>
        </w:rPr>
        <w:t>II du rap</w:t>
      </w:r>
      <w:r w:rsidR="00A2637A" w:rsidRPr="00416E8E">
        <w:rPr>
          <w:lang w:val="fr-FR"/>
        </w:rPr>
        <w:t>port.</w:t>
      </w:r>
    </w:p>
    <w:p w:rsidR="00416E8E" w:rsidRPr="00416E8E" w:rsidRDefault="00416E8E" w:rsidP="00A2637A">
      <w:pPr>
        <w:pBdr>
          <w:top w:val="single" w:sz="4" w:space="1" w:color="auto"/>
          <w:left w:val="single" w:sz="4" w:space="4" w:color="auto"/>
          <w:bottom w:val="single" w:sz="4" w:space="1" w:color="auto"/>
          <w:right w:val="single" w:sz="4" w:space="4" w:color="auto"/>
        </w:pBdr>
        <w:rPr>
          <w:lang w:val="fr-FR"/>
        </w:rPr>
      </w:pPr>
    </w:p>
    <w:p w:rsidR="00A2637A" w:rsidRPr="00416E8E" w:rsidRDefault="00A2637A" w:rsidP="00F66AEE">
      <w:pPr>
        <w:jc w:val="center"/>
        <w:rPr>
          <w:lang w:val="fr-FR"/>
        </w:rPr>
      </w:pPr>
    </w:p>
    <w:p w:rsidR="00A2637A" w:rsidRPr="00416E8E" w:rsidRDefault="00A2637A" w:rsidP="00F66AEE">
      <w:pPr>
        <w:jc w:val="center"/>
        <w:rPr>
          <w:lang w:val="fr-FR"/>
        </w:rPr>
      </w:pPr>
    </w:p>
    <w:p w:rsidR="00A2637A" w:rsidRPr="00416E8E" w:rsidRDefault="00A2637A" w:rsidP="00F66AEE">
      <w:pPr>
        <w:jc w:val="center"/>
        <w:rPr>
          <w:lang w:val="fr-FR"/>
        </w:rPr>
      </w:pPr>
    </w:p>
    <w:p w:rsidR="00A2637A" w:rsidRPr="00416E8E" w:rsidRDefault="00A2637A" w:rsidP="00F66AEE">
      <w:pPr>
        <w:jc w:val="center"/>
        <w:rPr>
          <w:lang w:val="fr-FR"/>
        </w:rPr>
      </w:pPr>
    </w:p>
    <w:p w:rsidR="00A2637A" w:rsidRPr="00416E8E" w:rsidRDefault="00A2637A" w:rsidP="00F66AEE">
      <w:pPr>
        <w:jc w:val="center"/>
        <w:rPr>
          <w:lang w:val="fr-FR"/>
        </w:rPr>
      </w:pPr>
    </w:p>
    <w:p w:rsidR="00A2637A" w:rsidRPr="00416E8E" w:rsidRDefault="00A2637A" w:rsidP="00F66AEE">
      <w:pPr>
        <w:jc w:val="center"/>
        <w:rPr>
          <w:lang w:val="fr-FR"/>
        </w:rPr>
      </w:pPr>
    </w:p>
    <w:p w:rsidR="00A2637A" w:rsidRPr="00416E8E" w:rsidRDefault="00A2637A" w:rsidP="00F66AEE">
      <w:pPr>
        <w:jc w:val="center"/>
        <w:rPr>
          <w:lang w:val="fr-FR"/>
        </w:rPr>
      </w:pPr>
    </w:p>
    <w:p w:rsidR="00AF7D0C" w:rsidRDefault="00AF7D0C">
      <w:pPr>
        <w:jc w:val="left"/>
        <w:rPr>
          <w:i/>
          <w:lang w:val="fr-FR"/>
        </w:rPr>
      </w:pPr>
      <w:r>
        <w:rPr>
          <w:i/>
          <w:lang w:val="fr-FR"/>
        </w:rPr>
        <w:br w:type="page"/>
      </w:r>
    </w:p>
    <w:p w:rsidR="00A40147" w:rsidRDefault="00A40147" w:rsidP="00F66AEE">
      <w:pPr>
        <w:jc w:val="center"/>
        <w:rPr>
          <w:i/>
          <w:lang w:val="fr-FR"/>
        </w:rPr>
      </w:pPr>
    </w:p>
    <w:p w:rsidR="00A2637A" w:rsidRPr="00A40147" w:rsidRDefault="000F268B" w:rsidP="00F66AEE">
      <w:pPr>
        <w:jc w:val="center"/>
        <w:rPr>
          <w:i/>
          <w:sz w:val="24"/>
          <w:lang w:val="fr-FR"/>
        </w:rPr>
      </w:pPr>
      <w:r w:rsidRPr="00A40147">
        <w:rPr>
          <w:i/>
          <w:sz w:val="24"/>
          <w:lang w:val="fr-FR"/>
        </w:rPr>
        <w:t>Table des matières</w:t>
      </w:r>
    </w:p>
    <w:p w:rsidR="00A2637A" w:rsidRDefault="00A2637A" w:rsidP="00F66AEE">
      <w:pPr>
        <w:jc w:val="center"/>
        <w:rPr>
          <w:lang w:val="fr-FR"/>
        </w:rPr>
      </w:pPr>
    </w:p>
    <w:sdt>
      <w:sdtPr>
        <w:id w:val="1409732500"/>
        <w:docPartObj>
          <w:docPartGallery w:val="Table of Contents"/>
          <w:docPartUnique/>
        </w:docPartObj>
      </w:sdtPr>
      <w:sdtEndPr>
        <w:rPr>
          <w:b/>
          <w:bCs/>
          <w:szCs w:val="24"/>
        </w:rPr>
      </w:sdtEndPr>
      <w:sdtContent>
        <w:p w:rsidR="00A40147" w:rsidRPr="00074A95" w:rsidRDefault="00EF2F71" w:rsidP="00ED52A8">
          <w:pPr>
            <w:pStyle w:val="TOC2"/>
            <w:rPr>
              <w:rFonts w:asciiTheme="minorHAnsi" w:eastAsiaTheme="minorEastAsia" w:hAnsiTheme="minorHAnsi" w:cstheme="minorBidi"/>
              <w:lang w:val="fr-FR" w:eastAsia="fr-FR"/>
            </w:rPr>
          </w:pPr>
          <w:r>
            <w:rPr>
              <w:bCs/>
            </w:rPr>
            <w:fldChar w:fldCharType="begin"/>
          </w:r>
          <w:r>
            <w:rPr>
              <w:bCs/>
            </w:rPr>
            <w:instrText xml:space="preserve"> TOC \o "1-3" \h \z \u </w:instrText>
          </w:r>
          <w:r>
            <w:rPr>
              <w:bCs/>
            </w:rPr>
            <w:fldChar w:fldCharType="separate"/>
          </w:r>
        </w:p>
        <w:p w:rsidR="00A40147" w:rsidRPr="00074A95" w:rsidRDefault="00A40147" w:rsidP="00ED52A8">
          <w:pPr>
            <w:pStyle w:val="TOC1"/>
            <w:rPr>
              <w:rFonts w:asciiTheme="minorHAnsi" w:eastAsiaTheme="minorEastAsia" w:hAnsiTheme="minorHAnsi" w:cstheme="minorBidi"/>
              <w:noProof/>
              <w:szCs w:val="22"/>
              <w:lang w:val="fr-FR" w:eastAsia="fr-FR"/>
            </w:rPr>
          </w:pPr>
          <w:hyperlink w:anchor="_Toc525904550" w:history="1">
            <w:r w:rsidRPr="00074A95">
              <w:rPr>
                <w:rStyle w:val="Hyperlink"/>
                <w:b/>
                <w:noProof/>
                <w:lang w:val="fr-FR"/>
              </w:rPr>
              <w:t>I.</w:t>
            </w:r>
            <w:r w:rsidRPr="00074A95">
              <w:rPr>
                <w:rFonts w:asciiTheme="minorHAnsi" w:eastAsiaTheme="minorEastAsia" w:hAnsiTheme="minorHAnsi" w:cstheme="minorBidi"/>
                <w:noProof/>
                <w:szCs w:val="22"/>
                <w:lang w:val="fr-FR" w:eastAsia="fr-FR"/>
              </w:rPr>
              <w:tab/>
            </w:r>
            <w:r w:rsidRPr="00074A95">
              <w:rPr>
                <w:rStyle w:val="Hyperlink"/>
                <w:b/>
                <w:noProof/>
                <w:lang w:val="fr-FR"/>
              </w:rPr>
              <w:t xml:space="preserve">RECOMMANDATIONS ADOPTÉES PAR </w:t>
            </w:r>
            <w:r w:rsidRPr="00074A95">
              <w:rPr>
                <w:rStyle w:val="Hyperlink"/>
                <w:b/>
                <w:noProof/>
                <w:kern w:val="22"/>
                <w:lang w:val="fr-FR"/>
              </w:rPr>
              <w:t>L’ORGANE SUBSIDIAIRE CHARGÉ DE FOURNIR DES AVIS SCIENTIFIQUES, TECHNIQUES ET TECHNOLOGIQUES À SA VINGT-DEUXIÈME RÉUNION</w:t>
            </w:r>
            <w:r w:rsidRPr="00074A95">
              <w:rPr>
                <w:noProof/>
                <w:webHidden/>
              </w:rPr>
              <w:tab/>
            </w:r>
            <w:r w:rsidRPr="00074A95">
              <w:rPr>
                <w:noProof/>
                <w:webHidden/>
              </w:rPr>
              <w:fldChar w:fldCharType="begin"/>
            </w:r>
            <w:r w:rsidRPr="00074A95">
              <w:rPr>
                <w:noProof/>
                <w:webHidden/>
              </w:rPr>
              <w:instrText xml:space="preserve"> PAGEREF _Toc525904550 \h </w:instrText>
            </w:r>
            <w:r w:rsidRPr="00074A95">
              <w:rPr>
                <w:noProof/>
                <w:webHidden/>
              </w:rPr>
            </w:r>
            <w:r w:rsidRPr="00074A95">
              <w:rPr>
                <w:noProof/>
                <w:webHidden/>
              </w:rPr>
              <w:fldChar w:fldCharType="separate"/>
            </w:r>
            <w:r w:rsidR="008A1114">
              <w:rPr>
                <w:noProof/>
                <w:webHidden/>
              </w:rPr>
              <w:t>3</w:t>
            </w:r>
            <w:r w:rsidRPr="00074A95">
              <w:rPr>
                <w:noProof/>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551" w:history="1">
            <w:r w:rsidRPr="00074A95">
              <w:rPr>
                <w:rStyle w:val="Hyperlink"/>
                <w:b/>
                <w:lang w:val="fr-CA"/>
              </w:rPr>
              <w:t>22/1.</w:t>
            </w:r>
            <w:r w:rsidRPr="00074A95">
              <w:rPr>
                <w:rFonts w:asciiTheme="minorHAnsi" w:eastAsiaTheme="minorEastAsia" w:hAnsiTheme="minorHAnsi" w:cstheme="minorBidi"/>
                <w:lang w:val="fr-FR" w:eastAsia="fr-FR"/>
              </w:rPr>
              <w:tab/>
            </w:r>
            <w:r w:rsidRPr="00074A95">
              <w:rPr>
                <w:rStyle w:val="Hyperlink"/>
                <w:b/>
                <w:lang w:val="fr-CA"/>
              </w:rPr>
              <w:t>Information de séquençage numérique sur les ressources génétiques</w:t>
            </w:r>
            <w:r w:rsidRPr="00074A95">
              <w:rPr>
                <w:webHidden/>
              </w:rPr>
              <w:tab/>
            </w:r>
            <w:r w:rsidRPr="00074A95">
              <w:rPr>
                <w:webHidden/>
              </w:rPr>
              <w:fldChar w:fldCharType="begin"/>
            </w:r>
            <w:r w:rsidRPr="00074A95">
              <w:rPr>
                <w:webHidden/>
              </w:rPr>
              <w:instrText xml:space="preserve"> PAGEREF _Toc525904551 \h </w:instrText>
            </w:r>
            <w:r w:rsidRPr="00074A95">
              <w:rPr>
                <w:webHidden/>
              </w:rPr>
            </w:r>
            <w:r w:rsidRPr="00074A95">
              <w:rPr>
                <w:webHidden/>
              </w:rPr>
              <w:fldChar w:fldCharType="separate"/>
            </w:r>
            <w:r w:rsidR="008A1114">
              <w:rPr>
                <w:webHidden/>
              </w:rPr>
              <w:t>3</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552" w:history="1">
            <w:r w:rsidRPr="00074A95">
              <w:rPr>
                <w:rStyle w:val="Hyperlink"/>
                <w:b/>
                <w:lang w:val="fr-CA"/>
              </w:rPr>
              <w:t xml:space="preserve">22/2. </w:t>
            </w:r>
            <w:r w:rsidRPr="00074A95">
              <w:rPr>
                <w:rFonts w:asciiTheme="minorHAnsi" w:eastAsiaTheme="minorEastAsia" w:hAnsiTheme="minorHAnsi" w:cstheme="minorBidi"/>
                <w:lang w:val="fr-FR" w:eastAsia="fr-FR"/>
              </w:rPr>
              <w:tab/>
            </w:r>
            <w:r w:rsidRPr="00074A95">
              <w:rPr>
                <w:rStyle w:val="Hyperlink"/>
                <w:b/>
                <w:lang w:val="fr-CA"/>
              </w:rPr>
              <w:t>Évaluation des risques et gestion des risques présentés par les organismes vivants modifiés</w:t>
            </w:r>
            <w:r w:rsidRPr="00074A95">
              <w:rPr>
                <w:webHidden/>
              </w:rPr>
              <w:tab/>
            </w:r>
            <w:r w:rsidRPr="00074A95">
              <w:rPr>
                <w:webHidden/>
              </w:rPr>
              <w:fldChar w:fldCharType="begin"/>
            </w:r>
            <w:r w:rsidRPr="00074A95">
              <w:rPr>
                <w:webHidden/>
              </w:rPr>
              <w:instrText xml:space="preserve"> PAGEREF _Toc525904552 \h </w:instrText>
            </w:r>
            <w:r w:rsidRPr="00074A95">
              <w:rPr>
                <w:webHidden/>
              </w:rPr>
            </w:r>
            <w:r w:rsidRPr="00074A95">
              <w:rPr>
                <w:webHidden/>
              </w:rPr>
              <w:fldChar w:fldCharType="separate"/>
            </w:r>
            <w:r w:rsidR="008A1114">
              <w:rPr>
                <w:webHidden/>
              </w:rPr>
              <w:t>8</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553" w:history="1">
            <w:r w:rsidRPr="00074A95">
              <w:rPr>
                <w:rStyle w:val="Hyperlink"/>
                <w:rFonts w:asciiTheme="majorBidi" w:hAnsiTheme="majorBidi" w:cstheme="majorBidi"/>
                <w:b/>
                <w:snapToGrid w:val="0"/>
                <w:kern w:val="22"/>
                <w:lang w:val="fr-FR"/>
              </w:rPr>
              <w:t>22/3.</w:t>
            </w:r>
            <w:r w:rsidRPr="00074A95">
              <w:rPr>
                <w:rFonts w:asciiTheme="minorHAnsi" w:eastAsiaTheme="minorEastAsia" w:hAnsiTheme="minorHAnsi" w:cstheme="minorBidi"/>
                <w:lang w:val="fr-FR" w:eastAsia="fr-FR"/>
              </w:rPr>
              <w:tab/>
            </w:r>
            <w:r w:rsidRPr="00074A95">
              <w:rPr>
                <w:rStyle w:val="Hyperlink"/>
                <w:rFonts w:asciiTheme="majorBidi" w:hAnsiTheme="majorBidi" w:cstheme="majorBidi"/>
                <w:b/>
                <w:snapToGrid w:val="0"/>
                <w:kern w:val="22"/>
                <w:lang w:val="fr-FR"/>
              </w:rPr>
              <w:t>B</w:t>
            </w:r>
            <w:r w:rsidRPr="00074A95">
              <w:rPr>
                <w:rStyle w:val="Hyperlink"/>
                <w:rFonts w:asciiTheme="majorBidi" w:hAnsiTheme="majorBidi" w:cstheme="majorBidi"/>
                <w:b/>
                <w:snapToGrid w:val="0"/>
                <w:kern w:val="22"/>
                <w:lang w:val="fr-CA"/>
              </w:rPr>
              <w:t>iologie de synthèse</w:t>
            </w:r>
            <w:r w:rsidRPr="00074A95">
              <w:rPr>
                <w:webHidden/>
              </w:rPr>
              <w:tab/>
            </w:r>
            <w:r w:rsidRPr="00074A95">
              <w:rPr>
                <w:webHidden/>
              </w:rPr>
              <w:fldChar w:fldCharType="begin"/>
            </w:r>
            <w:r w:rsidRPr="00074A95">
              <w:rPr>
                <w:webHidden/>
              </w:rPr>
              <w:instrText xml:space="preserve"> PAGEREF _Toc525904553 \h </w:instrText>
            </w:r>
            <w:r w:rsidRPr="00074A95">
              <w:rPr>
                <w:webHidden/>
              </w:rPr>
            </w:r>
            <w:r w:rsidRPr="00074A95">
              <w:rPr>
                <w:webHidden/>
              </w:rPr>
              <w:fldChar w:fldCharType="separate"/>
            </w:r>
            <w:r w:rsidR="008A1114">
              <w:rPr>
                <w:webHidden/>
              </w:rPr>
              <w:t>11</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554" w:history="1">
            <w:r w:rsidRPr="00074A95">
              <w:rPr>
                <w:rStyle w:val="Hyperlink"/>
                <w:b/>
                <w:lang w:val="fr-FR"/>
              </w:rPr>
              <w:t xml:space="preserve">22/4. </w:t>
            </w:r>
            <w:r w:rsidRPr="00074A95">
              <w:rPr>
                <w:rFonts w:asciiTheme="minorHAnsi" w:eastAsiaTheme="minorEastAsia" w:hAnsiTheme="minorHAnsi" w:cstheme="minorBidi"/>
                <w:lang w:val="fr-FR" w:eastAsia="fr-FR"/>
              </w:rPr>
              <w:tab/>
            </w:r>
            <w:r w:rsidRPr="00074A95">
              <w:rPr>
                <w:rStyle w:val="Hyperlink"/>
                <w:rFonts w:ascii="Times New Roman Bold" w:hAnsi="Times New Roman Bold" w:cs="Times New Roman Bold"/>
                <w:b/>
                <w:snapToGrid w:val="0"/>
                <w:kern w:val="22"/>
                <w:lang w:val="fr-FR"/>
              </w:rPr>
              <w:t xml:space="preserve">Évaluation scientifique actualisée des progrès accomplis dans la réalisation de certains Objectifs d’Aichi </w:t>
            </w:r>
            <w:r w:rsidRPr="00074A95">
              <w:rPr>
                <w:rStyle w:val="Hyperlink"/>
                <w:b/>
                <w:snapToGrid w:val="0"/>
                <w:kern w:val="22"/>
                <w:lang w:val="fr-FR"/>
              </w:rPr>
              <w:t xml:space="preserve">pour la biodiversité </w:t>
            </w:r>
            <w:r w:rsidRPr="00074A95">
              <w:rPr>
                <w:rStyle w:val="Hyperlink"/>
                <w:rFonts w:ascii="Times New Roman Bold" w:hAnsi="Times New Roman Bold" w:cs="Times New Roman Bold"/>
                <w:b/>
                <w:snapToGrid w:val="0"/>
                <w:kern w:val="22"/>
                <w:lang w:val="fr-FR"/>
              </w:rPr>
              <w:t>et options pour accélérer les progrès accomplis</w:t>
            </w:r>
            <w:r w:rsidRPr="00074A95">
              <w:rPr>
                <w:webHidden/>
              </w:rPr>
              <w:tab/>
            </w:r>
            <w:r w:rsidRPr="00074A95">
              <w:rPr>
                <w:webHidden/>
              </w:rPr>
              <w:fldChar w:fldCharType="begin"/>
            </w:r>
            <w:r w:rsidRPr="00074A95">
              <w:rPr>
                <w:webHidden/>
              </w:rPr>
              <w:instrText xml:space="preserve"> PAGEREF _Toc525904554 \h </w:instrText>
            </w:r>
            <w:r w:rsidRPr="00074A95">
              <w:rPr>
                <w:webHidden/>
              </w:rPr>
            </w:r>
            <w:r w:rsidRPr="00074A95">
              <w:rPr>
                <w:webHidden/>
              </w:rPr>
              <w:fldChar w:fldCharType="separate"/>
            </w:r>
            <w:r w:rsidR="008A1114">
              <w:rPr>
                <w:webHidden/>
              </w:rPr>
              <w:t>15</w:t>
            </w:r>
            <w:r w:rsidRPr="00074A95">
              <w:rPr>
                <w:webHidden/>
              </w:rPr>
              <w:fldChar w:fldCharType="end"/>
            </w:r>
          </w:hyperlink>
        </w:p>
        <w:p w:rsidR="00A40147" w:rsidRPr="00ED52A8" w:rsidRDefault="00A40147" w:rsidP="00ED52A8">
          <w:pPr>
            <w:pStyle w:val="TOC2"/>
            <w:rPr>
              <w:rFonts w:asciiTheme="minorHAnsi" w:eastAsiaTheme="minorEastAsia" w:hAnsiTheme="minorHAnsi" w:cstheme="minorBidi"/>
              <w:lang w:val="fr-FR" w:eastAsia="fr-FR"/>
            </w:rPr>
          </w:pPr>
          <w:hyperlink w:anchor="_Toc525904555" w:history="1">
            <w:r w:rsidRPr="00074A95">
              <w:rPr>
                <w:rStyle w:val="Hyperlink"/>
                <w:b/>
                <w:snapToGrid w:val="0"/>
                <w:kern w:val="22"/>
                <w:lang w:val="fr-FR"/>
              </w:rPr>
              <w:t>22/5.     Aire</w:t>
            </w:r>
            <w:r w:rsidRPr="00074A95">
              <w:rPr>
                <w:rStyle w:val="Hyperlink"/>
                <w:b/>
                <w:snapToGrid w:val="0"/>
                <w:kern w:val="22"/>
                <w:lang w:val="fr-CA"/>
              </w:rPr>
              <w:t>s protégées et autres mesures de conservation efficaces par zone</w:t>
            </w:r>
            <w:r w:rsidRPr="00074A95">
              <w:rPr>
                <w:webHidden/>
              </w:rPr>
              <w:tab/>
            </w:r>
            <w:r w:rsidRPr="00074A95">
              <w:rPr>
                <w:webHidden/>
              </w:rPr>
              <w:fldChar w:fldCharType="begin"/>
            </w:r>
            <w:r w:rsidRPr="00074A95">
              <w:rPr>
                <w:webHidden/>
              </w:rPr>
              <w:instrText xml:space="preserve"> PAGEREF _Toc525904555 \h </w:instrText>
            </w:r>
            <w:r w:rsidRPr="00074A95">
              <w:rPr>
                <w:webHidden/>
              </w:rPr>
            </w:r>
            <w:r w:rsidRPr="00074A95">
              <w:rPr>
                <w:webHidden/>
              </w:rPr>
              <w:fldChar w:fldCharType="separate"/>
            </w:r>
            <w:r w:rsidR="008A1114">
              <w:rPr>
                <w:webHidden/>
              </w:rPr>
              <w:t>22</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593" w:history="1">
            <w:r w:rsidR="00ED52A8">
              <w:rPr>
                <w:rStyle w:val="Hyperlink"/>
                <w:rFonts w:ascii="Times New Roman Bold" w:hAnsi="Times New Roman Bold" w:cs="Times New Roman Bold"/>
                <w:b/>
                <w:caps/>
                <w:lang w:val="fr-FR"/>
              </w:rPr>
              <w:t>22/</w:t>
            </w:r>
            <w:r w:rsidRPr="00074A95">
              <w:rPr>
                <w:rStyle w:val="Hyperlink"/>
                <w:rFonts w:ascii="Times New Roman Bold" w:hAnsi="Times New Roman Bold" w:cs="Times New Roman Bold"/>
                <w:b/>
                <w:caps/>
                <w:lang w:val="fr-FR"/>
              </w:rPr>
              <w:t>6.</w:t>
            </w:r>
            <w:r w:rsidRPr="00074A95">
              <w:rPr>
                <w:rFonts w:asciiTheme="minorHAnsi" w:eastAsiaTheme="minorEastAsia" w:hAnsiTheme="minorHAnsi" w:cstheme="minorBidi"/>
                <w:lang w:val="fr-FR" w:eastAsia="fr-FR"/>
              </w:rPr>
              <w:tab/>
            </w:r>
            <w:r w:rsidRPr="00074A95">
              <w:rPr>
                <w:rStyle w:val="Hyperlink"/>
                <w:rFonts w:ascii="Times New Roman Bold" w:hAnsi="Times New Roman Bold" w:cs="Times New Roman Bold"/>
                <w:b/>
                <w:lang w:val="fr-FR"/>
              </w:rPr>
              <w:t>Diversité biologique marine et côtière</w:t>
            </w:r>
            <w:r w:rsidRPr="00074A95">
              <w:rPr>
                <w:webHidden/>
              </w:rPr>
              <w:tab/>
            </w:r>
            <w:r w:rsidRPr="00074A95">
              <w:rPr>
                <w:webHidden/>
              </w:rPr>
              <w:fldChar w:fldCharType="begin"/>
            </w:r>
            <w:r w:rsidRPr="00074A95">
              <w:rPr>
                <w:webHidden/>
              </w:rPr>
              <w:instrText xml:space="preserve"> PAGEREF _Toc525904593 \h </w:instrText>
            </w:r>
            <w:r w:rsidRPr="00074A95">
              <w:rPr>
                <w:webHidden/>
              </w:rPr>
            </w:r>
            <w:r w:rsidRPr="00074A95">
              <w:rPr>
                <w:webHidden/>
              </w:rPr>
              <w:fldChar w:fldCharType="separate"/>
            </w:r>
            <w:r w:rsidR="008A1114">
              <w:rPr>
                <w:webHidden/>
              </w:rPr>
              <w:t>43</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614" w:history="1">
            <w:r w:rsidRPr="00074A95">
              <w:rPr>
                <w:rStyle w:val="Hyperlink"/>
                <w:b/>
                <w:snapToGrid w:val="0"/>
                <w:kern w:val="22"/>
                <w:lang w:val="fr-FR"/>
              </w:rPr>
              <w:t>22/7.     Diversité biologique et changements climatiques : approches écosystémiques d'adaptation aux changements climatiques et de réduction des risques de catastrophe naturelle</w:t>
            </w:r>
            <w:r w:rsidRPr="00074A95">
              <w:rPr>
                <w:webHidden/>
              </w:rPr>
              <w:tab/>
            </w:r>
            <w:r w:rsidRPr="00074A95">
              <w:rPr>
                <w:webHidden/>
              </w:rPr>
              <w:fldChar w:fldCharType="begin"/>
            </w:r>
            <w:r w:rsidRPr="00074A95">
              <w:rPr>
                <w:webHidden/>
              </w:rPr>
              <w:instrText xml:space="preserve"> PAGEREF _Toc525904614 \h </w:instrText>
            </w:r>
            <w:r w:rsidRPr="00074A95">
              <w:rPr>
                <w:webHidden/>
              </w:rPr>
            </w:r>
            <w:r w:rsidRPr="00074A95">
              <w:rPr>
                <w:webHidden/>
              </w:rPr>
              <w:fldChar w:fldCharType="separate"/>
            </w:r>
            <w:r w:rsidR="008A1114">
              <w:rPr>
                <w:webHidden/>
              </w:rPr>
              <w:t>52</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663" w:history="1">
            <w:r w:rsidRPr="00074A95">
              <w:rPr>
                <w:rStyle w:val="Hyperlink"/>
                <w:b/>
                <w:caps/>
                <w:snapToGrid w:val="0"/>
                <w:kern w:val="22"/>
                <w:lang w:val="fr-FR"/>
              </w:rPr>
              <w:t>22/8.</w:t>
            </w:r>
            <w:r w:rsidRPr="00074A95">
              <w:rPr>
                <w:rFonts w:asciiTheme="minorHAnsi" w:eastAsiaTheme="minorEastAsia" w:hAnsiTheme="minorHAnsi" w:cstheme="minorBidi"/>
                <w:lang w:val="fr-FR" w:eastAsia="fr-FR"/>
              </w:rPr>
              <w:tab/>
            </w:r>
            <w:r w:rsidRPr="00074A95">
              <w:rPr>
                <w:rStyle w:val="Hyperlink"/>
                <w:b/>
                <w:snapToGrid w:val="0"/>
                <w:kern w:val="22"/>
                <w:lang w:val="fr-FR"/>
              </w:rPr>
              <w:t>Espèces exotiques envahissantes</w:t>
            </w:r>
            <w:r w:rsidRPr="00074A95">
              <w:rPr>
                <w:webHidden/>
              </w:rPr>
              <w:tab/>
            </w:r>
            <w:r w:rsidRPr="00074A95">
              <w:rPr>
                <w:webHidden/>
              </w:rPr>
              <w:fldChar w:fldCharType="begin"/>
            </w:r>
            <w:r w:rsidRPr="00074A95">
              <w:rPr>
                <w:webHidden/>
              </w:rPr>
              <w:instrText xml:space="preserve"> PAGEREF _Toc525904663 \h </w:instrText>
            </w:r>
            <w:r w:rsidRPr="00074A95">
              <w:rPr>
                <w:webHidden/>
              </w:rPr>
            </w:r>
            <w:r w:rsidRPr="00074A95">
              <w:rPr>
                <w:webHidden/>
              </w:rPr>
              <w:fldChar w:fldCharType="separate"/>
            </w:r>
            <w:r w:rsidR="008A1114">
              <w:rPr>
                <w:webHidden/>
              </w:rPr>
              <w:t>82</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679" w:history="1">
            <w:r w:rsidRPr="00074A95">
              <w:rPr>
                <w:rStyle w:val="Hyperlink"/>
                <w:b/>
                <w:lang w:val="fr-FR"/>
              </w:rPr>
              <w:t>22/9.      Conservation et utilisation durable des pollinisateurs</w:t>
            </w:r>
            <w:r w:rsidRPr="00074A95">
              <w:rPr>
                <w:webHidden/>
              </w:rPr>
              <w:tab/>
            </w:r>
            <w:r w:rsidRPr="00074A95">
              <w:rPr>
                <w:webHidden/>
              </w:rPr>
              <w:fldChar w:fldCharType="begin"/>
            </w:r>
            <w:r w:rsidRPr="00074A95">
              <w:rPr>
                <w:webHidden/>
              </w:rPr>
              <w:instrText xml:space="preserve"> PAGEREF _Toc525904679 \h </w:instrText>
            </w:r>
            <w:r w:rsidRPr="00074A95">
              <w:rPr>
                <w:webHidden/>
              </w:rPr>
            </w:r>
            <w:r w:rsidRPr="00074A95">
              <w:rPr>
                <w:webHidden/>
              </w:rPr>
              <w:fldChar w:fldCharType="separate"/>
            </w:r>
            <w:r w:rsidR="008A1114">
              <w:rPr>
                <w:webHidden/>
              </w:rPr>
              <w:t>90</w:t>
            </w:r>
            <w:r w:rsidRPr="00074A95">
              <w:rPr>
                <w:webHidden/>
              </w:rPr>
              <w:fldChar w:fldCharType="end"/>
            </w:r>
          </w:hyperlink>
        </w:p>
        <w:p w:rsidR="00A40147" w:rsidRPr="00074A95" w:rsidRDefault="00A40147" w:rsidP="00ED52A8">
          <w:pPr>
            <w:pStyle w:val="TOC2"/>
            <w:rPr>
              <w:rFonts w:asciiTheme="minorHAnsi" w:eastAsiaTheme="minorEastAsia" w:hAnsiTheme="minorHAnsi" w:cstheme="minorBidi"/>
              <w:lang w:val="fr-FR" w:eastAsia="fr-FR"/>
            </w:rPr>
          </w:pPr>
          <w:hyperlink w:anchor="_Toc525904688" w:history="1">
            <w:r w:rsidRPr="00074A95">
              <w:rPr>
                <w:rStyle w:val="Hyperlink"/>
                <w:b/>
                <w:kern w:val="22"/>
                <w:lang w:val="fr-FR"/>
              </w:rPr>
              <w:t>22/10.</w:t>
            </w:r>
            <w:r w:rsidRPr="00074A95">
              <w:rPr>
                <w:rFonts w:asciiTheme="minorHAnsi" w:eastAsiaTheme="minorEastAsia" w:hAnsiTheme="minorHAnsi" w:cstheme="minorBidi"/>
                <w:lang w:val="fr-FR" w:eastAsia="fr-FR"/>
              </w:rPr>
              <w:tab/>
            </w:r>
            <w:r w:rsidRPr="00074A95">
              <w:rPr>
                <w:rStyle w:val="Hyperlink"/>
                <w:b/>
                <w:kern w:val="22"/>
                <w:lang w:val="fr-FR"/>
              </w:rPr>
              <w:t>D</w:t>
            </w:r>
            <w:r w:rsidRPr="00074A95">
              <w:rPr>
                <w:rStyle w:val="Hyperlink"/>
                <w:b/>
                <w:kern w:val="22"/>
                <w:lang w:val="fr-CA"/>
              </w:rPr>
              <w:t>euxième programme de travail de la Plateforme intergouvernementale scientifique et politique sur la biodiversité et les services écosystémiques</w:t>
            </w:r>
            <w:r w:rsidRPr="00074A95">
              <w:rPr>
                <w:webHidden/>
              </w:rPr>
              <w:tab/>
            </w:r>
            <w:r w:rsidRPr="00074A95">
              <w:rPr>
                <w:webHidden/>
              </w:rPr>
              <w:fldChar w:fldCharType="begin"/>
            </w:r>
            <w:r w:rsidRPr="00074A95">
              <w:rPr>
                <w:webHidden/>
              </w:rPr>
              <w:instrText xml:space="preserve"> PAGEREF _Toc525904688 \h </w:instrText>
            </w:r>
            <w:r w:rsidRPr="00074A95">
              <w:rPr>
                <w:webHidden/>
              </w:rPr>
            </w:r>
            <w:r w:rsidRPr="00074A95">
              <w:rPr>
                <w:webHidden/>
              </w:rPr>
              <w:fldChar w:fldCharType="separate"/>
            </w:r>
            <w:r w:rsidR="008A1114">
              <w:rPr>
                <w:webHidden/>
              </w:rPr>
              <w:t>108</w:t>
            </w:r>
            <w:r w:rsidRPr="00074A95">
              <w:rPr>
                <w:webHidden/>
              </w:rPr>
              <w:fldChar w:fldCharType="end"/>
            </w:r>
          </w:hyperlink>
        </w:p>
        <w:p w:rsidR="00A40147" w:rsidRPr="00074A95" w:rsidRDefault="00A40147" w:rsidP="00ED52A8">
          <w:pPr>
            <w:pStyle w:val="TOC1"/>
            <w:rPr>
              <w:rFonts w:asciiTheme="minorHAnsi" w:eastAsiaTheme="minorEastAsia" w:hAnsiTheme="minorHAnsi" w:cstheme="minorBidi"/>
              <w:noProof/>
              <w:szCs w:val="22"/>
              <w:lang w:val="fr-FR" w:eastAsia="fr-FR"/>
            </w:rPr>
          </w:pPr>
          <w:hyperlink w:anchor="_Toc525904689" w:history="1">
            <w:r w:rsidRPr="00074A95">
              <w:rPr>
                <w:rStyle w:val="Hyperlink"/>
                <w:b/>
                <w:noProof/>
                <w:lang w:val="fr-FR"/>
              </w:rPr>
              <w:t xml:space="preserve">II. </w:t>
            </w:r>
            <w:r w:rsidRPr="00074A95">
              <w:rPr>
                <w:rFonts w:asciiTheme="minorHAnsi" w:eastAsiaTheme="minorEastAsia" w:hAnsiTheme="minorHAnsi" w:cstheme="minorBidi"/>
                <w:noProof/>
                <w:szCs w:val="22"/>
                <w:lang w:val="fr-FR" w:eastAsia="fr-FR"/>
              </w:rPr>
              <w:tab/>
            </w:r>
            <w:r w:rsidRPr="00074A95">
              <w:rPr>
                <w:rStyle w:val="Hyperlink"/>
                <w:b/>
                <w:noProof/>
                <w:lang w:val="fr-FR"/>
              </w:rPr>
              <w:t>COMPTE-RENDU DE LA RÉUNION</w:t>
            </w:r>
            <w:r w:rsidRPr="00074A95">
              <w:rPr>
                <w:noProof/>
                <w:webHidden/>
              </w:rPr>
              <w:tab/>
            </w:r>
            <w:r w:rsidRPr="00074A95">
              <w:rPr>
                <w:noProof/>
                <w:webHidden/>
              </w:rPr>
              <w:fldChar w:fldCharType="begin"/>
            </w:r>
            <w:r w:rsidRPr="00074A95">
              <w:rPr>
                <w:noProof/>
                <w:webHidden/>
              </w:rPr>
              <w:instrText xml:space="preserve"> PAGEREF _Toc525904689 \h </w:instrText>
            </w:r>
            <w:r w:rsidRPr="00074A95">
              <w:rPr>
                <w:noProof/>
                <w:webHidden/>
              </w:rPr>
            </w:r>
            <w:r w:rsidRPr="00074A95">
              <w:rPr>
                <w:noProof/>
                <w:webHidden/>
              </w:rPr>
              <w:fldChar w:fldCharType="separate"/>
            </w:r>
            <w:r w:rsidR="008A1114">
              <w:rPr>
                <w:noProof/>
                <w:webHidden/>
              </w:rPr>
              <w:t>111</w:t>
            </w:r>
            <w:r w:rsidRPr="00074A95">
              <w:rPr>
                <w:noProof/>
                <w:webHidden/>
              </w:rPr>
              <w:fldChar w:fldCharType="end"/>
            </w:r>
          </w:hyperlink>
        </w:p>
        <w:p w:rsidR="00EF2F71" w:rsidRDefault="00EF2F71">
          <w:r>
            <w:rPr>
              <w:b/>
              <w:bCs/>
              <w:noProof/>
            </w:rPr>
            <w:fldChar w:fldCharType="end"/>
          </w:r>
        </w:p>
      </w:sdtContent>
    </w:sdt>
    <w:p w:rsidR="003D3017" w:rsidRDefault="003D3017">
      <w:pPr>
        <w:jc w:val="left"/>
        <w:rPr>
          <w:lang w:val="fr-FR"/>
        </w:rPr>
      </w:pPr>
      <w:r>
        <w:rPr>
          <w:lang w:val="fr-FR"/>
        </w:rPr>
        <w:br w:type="page"/>
      </w:r>
    </w:p>
    <w:p w:rsidR="00EF2F71" w:rsidRDefault="00EF2F71">
      <w:pPr>
        <w:jc w:val="left"/>
        <w:rPr>
          <w:lang w:val="fr-FR"/>
        </w:rPr>
      </w:pPr>
    </w:p>
    <w:p w:rsidR="003D3017" w:rsidRPr="003D3017" w:rsidRDefault="003D3017" w:rsidP="003D3017">
      <w:pPr>
        <w:pStyle w:val="recommendation"/>
        <w:keepNext w:val="0"/>
        <w:numPr>
          <w:ilvl w:val="0"/>
          <w:numId w:val="88"/>
        </w:numPr>
        <w:suppressLineNumbers/>
        <w:suppressAutoHyphens/>
        <w:kinsoku w:val="0"/>
        <w:overflowPunct w:val="0"/>
        <w:autoSpaceDE w:val="0"/>
        <w:autoSpaceDN w:val="0"/>
        <w:adjustRightInd w:val="0"/>
        <w:snapToGrid w:val="0"/>
        <w:spacing w:after="240" w:line="240" w:lineRule="auto"/>
        <w:outlineLvl w:val="0"/>
        <w:rPr>
          <w:i w:val="0"/>
          <w:lang w:val="fr-FR"/>
        </w:rPr>
      </w:pPr>
      <w:bookmarkStart w:id="5" w:name="_Toc525904147"/>
      <w:bookmarkStart w:id="6" w:name="_Toc525904550"/>
      <w:r w:rsidRPr="003D3017">
        <w:rPr>
          <w:i w:val="0"/>
          <w:lang w:val="fr-FR"/>
        </w:rPr>
        <w:t>RECOMMANDATIONS</w:t>
      </w:r>
      <w:r>
        <w:rPr>
          <w:i w:val="0"/>
          <w:lang w:val="fr-FR"/>
        </w:rPr>
        <w:t xml:space="preserve"> ADOPTÉ</w:t>
      </w:r>
      <w:r w:rsidRPr="003D3017">
        <w:rPr>
          <w:i w:val="0"/>
          <w:lang w:val="fr-FR"/>
        </w:rPr>
        <w:t xml:space="preserve">ES PAR </w:t>
      </w:r>
      <w:r w:rsidRPr="003D3017">
        <w:rPr>
          <w:i w:val="0"/>
          <w:kern w:val="22"/>
          <w:lang w:val="fr-FR"/>
        </w:rPr>
        <w:t>L’ORGANE SUBSIDIAIRE CHARGÉ DE FOURNIR DES AVIS SCIENTIFIQUES, T</w:t>
      </w:r>
      <w:r>
        <w:rPr>
          <w:i w:val="0"/>
          <w:kern w:val="22"/>
          <w:lang w:val="fr-FR"/>
        </w:rPr>
        <w:t xml:space="preserve">ECHNIQUES ET TECHNOLOGIQUES À </w:t>
      </w:r>
      <w:r w:rsidRPr="003D3017">
        <w:rPr>
          <w:i w:val="0"/>
          <w:kern w:val="22"/>
          <w:lang w:val="fr-FR"/>
        </w:rPr>
        <w:t>SA VINGT-DEUXIÈME RÉUNION</w:t>
      </w:r>
      <w:bookmarkEnd w:id="5"/>
      <w:bookmarkEnd w:id="6"/>
    </w:p>
    <w:p w:rsidR="00DC2190" w:rsidRPr="00931F52" w:rsidRDefault="00DC2190" w:rsidP="00DC2190">
      <w:pPr>
        <w:pStyle w:val="recommendation"/>
        <w:keepNext w:val="0"/>
        <w:suppressLineNumbers/>
        <w:suppressAutoHyphens/>
        <w:kinsoku w:val="0"/>
        <w:overflowPunct w:val="0"/>
        <w:autoSpaceDE w:val="0"/>
        <w:autoSpaceDN w:val="0"/>
        <w:adjustRightInd w:val="0"/>
        <w:snapToGrid w:val="0"/>
        <w:spacing w:after="240" w:line="240" w:lineRule="auto"/>
        <w:jc w:val="center"/>
        <w:rPr>
          <w:i w:val="0"/>
          <w:lang w:val="fr-FR"/>
        </w:rPr>
      </w:pPr>
      <w:bookmarkStart w:id="7" w:name="_Toc525904148"/>
      <w:bookmarkStart w:id="8" w:name="_Toc525904551"/>
      <w:r>
        <w:rPr>
          <w:i w:val="0"/>
          <w:lang w:val="fr-CA"/>
        </w:rPr>
        <w:t>22/1.</w:t>
      </w:r>
      <w:r>
        <w:rPr>
          <w:i w:val="0"/>
          <w:lang w:val="fr-CA"/>
        </w:rPr>
        <w:tab/>
        <w:t>I</w:t>
      </w:r>
      <w:r w:rsidRPr="00931F52">
        <w:rPr>
          <w:i w:val="0"/>
          <w:lang w:val="fr-CA"/>
        </w:rPr>
        <w:t>nformation de séquençage numérique sur les ressources génétiques</w:t>
      </w:r>
      <w:bookmarkEnd w:id="7"/>
      <w:bookmarkEnd w:id="8"/>
    </w:p>
    <w:p w:rsidR="00DC2190" w:rsidRPr="00441D60" w:rsidRDefault="00DC2190" w:rsidP="00DC2190">
      <w:pPr>
        <w:suppressLineNumbers/>
        <w:suppressAutoHyphens/>
        <w:kinsoku w:val="0"/>
        <w:overflowPunct w:val="0"/>
        <w:autoSpaceDE w:val="0"/>
        <w:autoSpaceDN w:val="0"/>
        <w:adjustRightInd w:val="0"/>
        <w:snapToGrid w:val="0"/>
        <w:spacing w:before="120" w:after="120"/>
        <w:ind w:firstLine="709"/>
        <w:rPr>
          <w:i/>
          <w:kern w:val="22"/>
          <w:lang w:val="fr-CA"/>
        </w:rPr>
      </w:pPr>
      <w:r w:rsidRPr="00441D60">
        <w:rPr>
          <w:i/>
          <w:lang w:val="fr-CA"/>
        </w:rPr>
        <w:t>L</w:t>
      </w:r>
      <w:r>
        <w:rPr>
          <w:i/>
          <w:lang w:val="fr-CA"/>
        </w:rPr>
        <w:t>’</w:t>
      </w:r>
      <w:r w:rsidRPr="00441D60">
        <w:rPr>
          <w:i/>
          <w:lang w:val="fr-CA"/>
        </w:rPr>
        <w:t>Organe subsidiaire chargé de fournir des avis scientifiques, techniques et technologiques,</w:t>
      </w:r>
    </w:p>
    <w:p w:rsidR="00DC2190" w:rsidRPr="003F758F" w:rsidRDefault="00DC2190" w:rsidP="00DC2190">
      <w:pPr>
        <w:pStyle w:val="ListParagraph"/>
        <w:spacing w:before="120" w:after="120"/>
        <w:ind w:left="0" w:firstLine="709"/>
        <w:contextualSpacing w:val="0"/>
        <w:rPr>
          <w:lang w:val="fr-CA"/>
        </w:rPr>
      </w:pPr>
      <w:r w:rsidRPr="003F758F">
        <w:rPr>
          <w:i/>
          <w:lang w:val="fr-CA"/>
        </w:rPr>
        <w:t xml:space="preserve">Rappelant </w:t>
      </w:r>
      <w:r w:rsidRPr="003F758F">
        <w:rPr>
          <w:iCs/>
          <w:lang w:val="fr-CA"/>
        </w:rPr>
        <w:t>l</w:t>
      </w:r>
      <w:r>
        <w:rPr>
          <w:iCs/>
          <w:lang w:val="fr-CA"/>
        </w:rPr>
        <w:t>’</w:t>
      </w:r>
      <w:r w:rsidRPr="003F758F">
        <w:rPr>
          <w:iCs/>
          <w:lang w:val="fr-CA"/>
        </w:rPr>
        <w:t>a</w:t>
      </w:r>
      <w:r w:rsidRPr="003F758F">
        <w:rPr>
          <w:iCs/>
          <w:szCs w:val="22"/>
          <w:lang w:val="fr-CA"/>
        </w:rPr>
        <w:t>pproche</w:t>
      </w:r>
      <w:r w:rsidRPr="003F758F">
        <w:rPr>
          <w:szCs w:val="22"/>
          <w:lang w:val="fr-CA"/>
        </w:rPr>
        <w:t xml:space="preserve"> coordonnée </w:t>
      </w:r>
      <w:r w:rsidRPr="003F758F">
        <w:rPr>
          <w:snapToGrid w:val="0"/>
          <w:kern w:val="22"/>
          <w:szCs w:val="22"/>
          <w:lang w:val="fr-CA"/>
        </w:rPr>
        <w:t>qui évite la duplication des efforts concernant l</w:t>
      </w:r>
      <w:r>
        <w:rPr>
          <w:snapToGrid w:val="0"/>
          <w:kern w:val="22"/>
          <w:szCs w:val="22"/>
          <w:lang w:val="fr-CA"/>
        </w:rPr>
        <w:t>’</w:t>
      </w:r>
      <w:r w:rsidRPr="003F758F">
        <w:rPr>
          <w:lang w:val="fr-CA"/>
        </w:rPr>
        <w:t>informati</w:t>
      </w:r>
      <w:r>
        <w:rPr>
          <w:lang w:val="fr-CA"/>
        </w:rPr>
        <w:t>on de séquençage numérique sur l</w:t>
      </w:r>
      <w:r w:rsidRPr="003F758F">
        <w:rPr>
          <w:lang w:val="fr-CA"/>
        </w:rPr>
        <w:t>es ressources génétiques</w:t>
      </w:r>
      <w:r w:rsidR="00443193">
        <w:rPr>
          <w:szCs w:val="22"/>
          <w:lang w:val="fr-CA"/>
        </w:rPr>
        <w:t xml:space="preserve"> au titre de la </w:t>
      </w:r>
      <w:r w:rsidRPr="003F758F">
        <w:rPr>
          <w:szCs w:val="22"/>
          <w:lang w:val="fr-CA"/>
        </w:rPr>
        <w:t xml:space="preserve">Convention et du Protocole de Nagoya, adoptée dans les décisions XIII/16 et </w:t>
      </w:r>
      <w:r>
        <w:rPr>
          <w:lang w:val="fr-CA"/>
        </w:rPr>
        <w:t>NP</w:t>
      </w:r>
      <w:r>
        <w:rPr>
          <w:lang w:val="fr-CA"/>
        </w:rPr>
        <w:noBreakHyphen/>
        <w:t>2/14,</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fr-CA"/>
        </w:rPr>
      </w:pPr>
      <w:r w:rsidRPr="003F758F">
        <w:rPr>
          <w:i/>
          <w:lang w:val="fr-CA"/>
        </w:rPr>
        <w:t xml:space="preserve">Prenant acte </w:t>
      </w:r>
      <w:r w:rsidRPr="003F758F">
        <w:rPr>
          <w:iCs/>
          <w:lang w:val="fr-CA"/>
        </w:rPr>
        <w:t>de la compilation des points de vue et des informations sur les répercussions potentielles de l</w:t>
      </w:r>
      <w:r>
        <w:rPr>
          <w:iCs/>
          <w:lang w:val="fr-CA"/>
        </w:rPr>
        <w:t>’</w:t>
      </w:r>
      <w:r w:rsidRPr="003F758F">
        <w:rPr>
          <w:iCs/>
          <w:lang w:val="fr-CA"/>
        </w:rPr>
        <w:t xml:space="preserve">utilisation de cette information de séquençage numérique sur les trois objectifs de la </w:t>
      </w:r>
      <w:r w:rsidRPr="003F758F">
        <w:rPr>
          <w:lang w:val="fr-CA"/>
        </w:rPr>
        <w:t>Convention et l</w:t>
      </w:r>
      <w:r>
        <w:rPr>
          <w:lang w:val="fr-CA"/>
        </w:rPr>
        <w:t>’</w:t>
      </w:r>
      <w:r w:rsidRPr="003F758F">
        <w:rPr>
          <w:lang w:val="fr-CA"/>
        </w:rPr>
        <w:t>objectif du Protocole de Nagoya,</w:t>
      </w:r>
      <w:r w:rsidRPr="00090E10">
        <w:rPr>
          <w:rStyle w:val="FootnoteReference"/>
          <w:kern w:val="22"/>
          <w:sz w:val="20"/>
          <w:szCs w:val="20"/>
          <w:u w:val="none"/>
          <w:vertAlign w:val="superscript"/>
          <w:lang w:val="fr-CA"/>
        </w:rPr>
        <w:footnoteReference w:id="1"/>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left="0" w:firstLine="720"/>
        <w:contextualSpacing w:val="0"/>
        <w:rPr>
          <w:kern w:val="22"/>
          <w:lang w:val="fr-CA"/>
        </w:rPr>
      </w:pPr>
      <w:r w:rsidRPr="003F758F">
        <w:rPr>
          <w:i/>
          <w:lang w:val="fr-CA"/>
        </w:rPr>
        <w:t>Prenant également acte</w:t>
      </w:r>
      <w:r w:rsidRPr="003F758F">
        <w:rPr>
          <w:iCs/>
          <w:lang w:val="fr-CA"/>
        </w:rPr>
        <w:t xml:space="preserve"> de l</w:t>
      </w:r>
      <w:r>
        <w:rPr>
          <w:iCs/>
          <w:lang w:val="fr-CA"/>
        </w:rPr>
        <w:t>’</w:t>
      </w:r>
      <w:r w:rsidRPr="003F758F">
        <w:rPr>
          <w:iCs/>
          <w:lang w:val="fr-CA"/>
        </w:rPr>
        <w:t>étude factuelle et exploratoire</w:t>
      </w:r>
      <w:r>
        <w:rPr>
          <w:iCs/>
          <w:lang w:val="fr-CA"/>
        </w:rPr>
        <w:t xml:space="preserve"> ainsi que des commentaires pertinents issus de l’examen par les pairs</w:t>
      </w:r>
      <w:r w:rsidRPr="003F758F">
        <w:rPr>
          <w:iCs/>
          <w:lang w:val="fr-CA"/>
        </w:rPr>
        <w:t xml:space="preserve"> qui </w:t>
      </w:r>
      <w:r w:rsidRPr="003F758F">
        <w:rPr>
          <w:szCs w:val="22"/>
          <w:lang w:val="fr-CA"/>
        </w:rPr>
        <w:t>clarifie</w:t>
      </w:r>
      <w:r>
        <w:rPr>
          <w:szCs w:val="22"/>
          <w:lang w:val="fr-CA"/>
        </w:rPr>
        <w:t>nt</w:t>
      </w:r>
      <w:r w:rsidRPr="003F758F">
        <w:rPr>
          <w:szCs w:val="22"/>
          <w:lang w:val="fr-CA"/>
        </w:rPr>
        <w:t xml:space="preserve"> la terminologie et les concepts, et évalue</w:t>
      </w:r>
      <w:r>
        <w:rPr>
          <w:szCs w:val="22"/>
          <w:lang w:val="fr-CA"/>
        </w:rPr>
        <w:t>nt</w:t>
      </w:r>
      <w:r w:rsidRPr="003F758F">
        <w:rPr>
          <w:szCs w:val="22"/>
          <w:lang w:val="fr-CA"/>
        </w:rPr>
        <w:t xml:space="preserve"> l</w:t>
      </w:r>
      <w:r>
        <w:rPr>
          <w:szCs w:val="22"/>
          <w:lang w:val="fr-CA"/>
        </w:rPr>
        <w:t>’</w:t>
      </w:r>
      <w:r w:rsidRPr="003F758F">
        <w:rPr>
          <w:szCs w:val="22"/>
          <w:lang w:val="fr-CA"/>
        </w:rPr>
        <w:t>étendue et les modalités d</w:t>
      </w:r>
      <w:r>
        <w:rPr>
          <w:szCs w:val="22"/>
          <w:lang w:val="fr-CA"/>
        </w:rPr>
        <w:t>’</w:t>
      </w:r>
      <w:r w:rsidRPr="003F758F">
        <w:rPr>
          <w:szCs w:val="22"/>
          <w:lang w:val="fr-CA"/>
        </w:rPr>
        <w:t>utilisation de l</w:t>
      </w:r>
      <w:r>
        <w:rPr>
          <w:szCs w:val="22"/>
          <w:lang w:val="fr-CA"/>
        </w:rPr>
        <w:t>’</w:t>
      </w:r>
      <w:r w:rsidRPr="003F758F">
        <w:rPr>
          <w:szCs w:val="22"/>
          <w:lang w:val="fr-CA"/>
        </w:rPr>
        <w:t>information de séquençage numérique sur les ressources génétiques dans le cadre de la Convention et du Protocole de Nagoya</w:t>
      </w:r>
      <w:r w:rsidRPr="00441D60">
        <w:rPr>
          <w:kern w:val="22"/>
          <w:lang w:val="fr-CA"/>
        </w:rPr>
        <w:t>,</w:t>
      </w:r>
      <w:r w:rsidRPr="00090E10">
        <w:rPr>
          <w:rStyle w:val="FootnoteReference"/>
          <w:kern w:val="22"/>
          <w:sz w:val="20"/>
          <w:szCs w:val="20"/>
          <w:u w:val="none"/>
          <w:vertAlign w:val="superscript"/>
          <w:lang w:val="fr-CA"/>
        </w:rPr>
        <w:footnoteReference w:id="2"/>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240"/>
        <w:ind w:left="0" w:firstLine="720"/>
        <w:contextualSpacing w:val="0"/>
        <w:rPr>
          <w:kern w:val="22"/>
          <w:lang w:val="fr-CA"/>
        </w:rPr>
      </w:pPr>
      <w:r w:rsidRPr="003F758F">
        <w:rPr>
          <w:i/>
          <w:lang w:val="fr-CA"/>
        </w:rPr>
        <w:t>Prenant enfin acte</w:t>
      </w:r>
      <w:r w:rsidRPr="003F758F">
        <w:rPr>
          <w:iCs/>
          <w:lang w:val="fr-CA"/>
        </w:rPr>
        <w:t xml:space="preserve"> du rapport du groupe spécial d</w:t>
      </w:r>
      <w:r>
        <w:rPr>
          <w:iCs/>
          <w:lang w:val="fr-CA"/>
        </w:rPr>
        <w:t>’experts techniques concernant</w:t>
      </w:r>
      <w:r w:rsidRPr="003F758F">
        <w:rPr>
          <w:iCs/>
          <w:lang w:val="fr-CA"/>
        </w:rPr>
        <w:t xml:space="preserve"> l</w:t>
      </w:r>
      <w:r>
        <w:rPr>
          <w:iCs/>
          <w:lang w:val="fr-CA"/>
        </w:rPr>
        <w:t>’</w:t>
      </w:r>
      <w:r w:rsidRPr="003F758F">
        <w:rPr>
          <w:iCs/>
          <w:lang w:val="fr-CA"/>
        </w:rPr>
        <w:t>information de séquençage numérique sur les ressources génétiques</w:t>
      </w:r>
      <w:r w:rsidRPr="00441D60">
        <w:rPr>
          <w:kern w:val="22"/>
          <w:lang w:val="fr-CA"/>
        </w:rPr>
        <w:t>,</w:t>
      </w:r>
      <w:r w:rsidRPr="00090E10">
        <w:rPr>
          <w:rStyle w:val="FootnoteReference"/>
          <w:kern w:val="22"/>
          <w:sz w:val="20"/>
          <w:szCs w:val="20"/>
          <w:u w:val="none"/>
          <w:vertAlign w:val="superscript"/>
          <w:lang w:val="fr-CA"/>
        </w:rPr>
        <w:footnoteReference w:id="3"/>
      </w:r>
    </w:p>
    <w:p w:rsidR="00DC2190" w:rsidRPr="00441D60" w:rsidRDefault="00DC2190" w:rsidP="00DC2190">
      <w:pPr>
        <w:keepNext/>
        <w:suppressLineNumbers/>
        <w:suppressAutoHyphens/>
        <w:kinsoku w:val="0"/>
        <w:overflowPunct w:val="0"/>
        <w:autoSpaceDE w:val="0"/>
        <w:autoSpaceDN w:val="0"/>
        <w:adjustRightInd w:val="0"/>
        <w:snapToGrid w:val="0"/>
        <w:spacing w:before="120" w:after="120"/>
        <w:ind w:left="720" w:hanging="360"/>
        <w:rPr>
          <w:b/>
          <w:kern w:val="22"/>
          <w:lang w:val="fr-CA"/>
        </w:rPr>
      </w:pPr>
      <w:r w:rsidRPr="00441D60">
        <w:rPr>
          <w:b/>
          <w:kern w:val="22"/>
          <w:lang w:val="fr-CA"/>
        </w:rPr>
        <w:t>A.</w:t>
      </w:r>
      <w:r w:rsidRPr="00441D60">
        <w:rPr>
          <w:b/>
          <w:kern w:val="22"/>
          <w:lang w:val="fr-CA"/>
        </w:rPr>
        <w:tab/>
      </w:r>
      <w:r w:rsidRPr="003F758F">
        <w:rPr>
          <w:b/>
          <w:lang w:val="fr-CA"/>
        </w:rPr>
        <w:t>Projet de décision pour la Conférence des Parties à la Convention sur la diversité biologique</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left="0" w:firstLine="709"/>
        <w:contextualSpacing w:val="0"/>
        <w:rPr>
          <w:i/>
          <w:kern w:val="22"/>
          <w:lang w:val="fr-CA"/>
        </w:rPr>
      </w:pPr>
      <w:r w:rsidRPr="00931F52">
        <w:rPr>
          <w:lang w:val="fr-CA"/>
        </w:rPr>
        <w:t>1.</w:t>
      </w:r>
      <w:r>
        <w:rPr>
          <w:i/>
          <w:lang w:val="fr-CA"/>
        </w:rPr>
        <w:tab/>
      </w:r>
      <w:r w:rsidRPr="003F758F">
        <w:rPr>
          <w:i/>
          <w:lang w:val="fr-CA"/>
        </w:rPr>
        <w:t>Recommande</w:t>
      </w:r>
      <w:r w:rsidRPr="003F758F">
        <w:rPr>
          <w:iCs/>
          <w:lang w:val="fr-CA"/>
        </w:rPr>
        <w:t xml:space="preserve"> que la Conférence des Parties à la Convention sur la diversité biologique adopte, à sa quatorzième réunion, une décision selon la formulation suivante :</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i/>
          <w:kern w:val="22"/>
          <w:lang w:val="fr-CA"/>
        </w:rPr>
      </w:pPr>
      <w:r w:rsidRPr="006817B4">
        <w:rPr>
          <w:b/>
          <w:bCs/>
          <w:iCs/>
          <w:kern w:val="22"/>
          <w:sz w:val="24"/>
          <w:lang w:val="fr-CA"/>
        </w:rPr>
        <w:t>[</w:t>
      </w:r>
      <w:r w:rsidRPr="003F758F">
        <w:rPr>
          <w:i/>
          <w:lang w:val="fr-CA"/>
        </w:rPr>
        <w:t>La Conférence des Parties,</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3F758F">
        <w:rPr>
          <w:i/>
          <w:lang w:val="fr-CA"/>
        </w:rPr>
        <w:t>Ayant présents à l</w:t>
      </w:r>
      <w:r>
        <w:rPr>
          <w:i/>
          <w:lang w:val="fr-CA"/>
        </w:rPr>
        <w:t>’</w:t>
      </w:r>
      <w:r w:rsidRPr="003F758F">
        <w:rPr>
          <w:i/>
          <w:lang w:val="fr-CA"/>
        </w:rPr>
        <w:t>esprit</w:t>
      </w:r>
      <w:r w:rsidRPr="003F758F">
        <w:rPr>
          <w:iCs/>
          <w:lang w:val="fr-CA"/>
        </w:rPr>
        <w:t xml:space="preserve"> les trois objectifs de la </w:t>
      </w:r>
      <w:r w:rsidRPr="003F758F">
        <w:rPr>
          <w:lang w:val="fr-CA"/>
        </w:rPr>
        <w:t>Convention</w:t>
      </w:r>
      <w:r w:rsidRPr="00441D60">
        <w:rPr>
          <w:kern w:val="22"/>
          <w:lang w:val="fr-CA"/>
        </w:rPr>
        <w:t>,</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3F758F">
        <w:rPr>
          <w:i/>
          <w:lang w:val="fr-CA"/>
        </w:rPr>
        <w:t>Rappelant</w:t>
      </w:r>
      <w:r w:rsidRPr="003F758F">
        <w:rPr>
          <w:iCs/>
          <w:lang w:val="fr-CA"/>
        </w:rPr>
        <w:t xml:space="preserve"> les </w:t>
      </w:r>
      <w:r w:rsidRPr="003F758F">
        <w:rPr>
          <w:lang w:val="fr-CA"/>
        </w:rPr>
        <w:t>articles 12, 15, 16, 17 et 18 de la Convention, et les décisions VIII/11, XII/29 et XIII/31,</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441D60">
        <w:rPr>
          <w:kern w:val="22"/>
          <w:lang w:val="fr-CA"/>
        </w:rPr>
        <w:t>[</w:t>
      </w:r>
      <w:r>
        <w:rPr>
          <w:i/>
          <w:iCs/>
          <w:kern w:val="22"/>
          <w:lang w:val="fr-CA"/>
        </w:rPr>
        <w:t>Prenant acte</w:t>
      </w:r>
      <w:r>
        <w:rPr>
          <w:kern w:val="22"/>
          <w:lang w:val="fr-CA"/>
        </w:rPr>
        <w:t xml:space="preserve"> des rapports sur les débats entourant cette question et autres questions connexes par d’autres organisations des Nations Unies, telles que l’Organisation des Nations Unies pour l’alimentation et l’agriculture, le Traité international sur les ressources </w:t>
      </w:r>
      <w:r>
        <w:rPr>
          <w:noProof/>
          <w:kern w:val="22"/>
          <w:lang w:val="fr-CA"/>
        </w:rPr>
        <w:t xml:space="preserve">phytogénétiques </w:t>
      </w:r>
      <w:r>
        <w:rPr>
          <w:kern w:val="22"/>
          <w:lang w:val="fr-CA"/>
        </w:rPr>
        <w:t>pour l’alimentation et l’agriculture, l’Organisation mondiale de la santé et l’Organisation mondiale de la propriété intellectuelle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w:t>
      </w:r>
      <w:r w:rsidRPr="00441D60">
        <w:rPr>
          <w:kern w:val="22"/>
          <w:lang w:val="fr-CA"/>
        </w:rPr>
        <w:tab/>
      </w:r>
      <w:r w:rsidRPr="003F758F">
        <w:rPr>
          <w:i/>
          <w:lang w:val="fr-CA"/>
        </w:rPr>
        <w:t>Note</w:t>
      </w:r>
      <w:r w:rsidRPr="003F758F">
        <w:rPr>
          <w:iCs/>
          <w:lang w:val="fr-CA"/>
        </w:rPr>
        <w:t xml:space="preserve"> que le terme « information de séquençage numérique » n</w:t>
      </w:r>
      <w:r>
        <w:rPr>
          <w:iCs/>
          <w:lang w:val="fr-CA"/>
        </w:rPr>
        <w:t>’</w:t>
      </w:r>
      <w:r w:rsidRPr="003F758F">
        <w:rPr>
          <w:iCs/>
          <w:lang w:val="fr-CA"/>
        </w:rPr>
        <w:t>est pas toujours le plus approprié pour désigner les divers types d</w:t>
      </w:r>
      <w:r>
        <w:rPr>
          <w:iCs/>
          <w:lang w:val="fr-CA"/>
        </w:rPr>
        <w:t>’</w:t>
      </w:r>
      <w:r w:rsidRPr="003F758F">
        <w:rPr>
          <w:iCs/>
          <w:lang w:val="fr-CA"/>
        </w:rPr>
        <w:t>informations sur les ressources génétiques, et sert de substitut provisoire jusqu</w:t>
      </w:r>
      <w:r>
        <w:rPr>
          <w:iCs/>
          <w:lang w:val="fr-CA"/>
        </w:rPr>
        <w:t>’</w:t>
      </w:r>
      <w:r w:rsidRPr="003F758F">
        <w:rPr>
          <w:iCs/>
          <w:lang w:val="fr-CA"/>
        </w:rPr>
        <w:t>à l</w:t>
      </w:r>
      <w:r>
        <w:rPr>
          <w:iCs/>
          <w:lang w:val="fr-CA"/>
        </w:rPr>
        <w:t>’</w:t>
      </w:r>
      <w:r w:rsidRPr="003F758F">
        <w:rPr>
          <w:iCs/>
          <w:lang w:val="fr-CA"/>
        </w:rPr>
        <w:t>adoption d</w:t>
      </w:r>
      <w:r>
        <w:rPr>
          <w:iCs/>
          <w:lang w:val="fr-CA"/>
        </w:rPr>
        <w:t>’</w:t>
      </w:r>
      <w:r w:rsidRPr="003F758F">
        <w:rPr>
          <w:iCs/>
          <w:lang w:val="fr-CA"/>
        </w:rPr>
        <w:t>un nouveau terme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[2.</w:t>
      </w:r>
      <w:r w:rsidRPr="00441D60">
        <w:rPr>
          <w:kern w:val="22"/>
          <w:lang w:val="fr-CA"/>
        </w:rPr>
        <w:tab/>
      </w:r>
      <w:r>
        <w:rPr>
          <w:i/>
          <w:iCs/>
          <w:kern w:val="22"/>
          <w:lang w:val="fr-CA"/>
        </w:rPr>
        <w:t>Reconnaît</w:t>
      </w:r>
      <w:r>
        <w:rPr>
          <w:kern w:val="22"/>
          <w:lang w:val="fr-CA"/>
        </w:rPr>
        <w:t xml:space="preserve"> que l’information de séquençage numérique comprend des informations sur les séquences d’acides nucléiques et de protéines ainsi que des informations dérivées de processus biologiques et métaboliques spécifiques aux cellules de la ressource génétique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3.</w:t>
      </w:r>
      <w:r w:rsidRPr="00441D60">
        <w:rPr>
          <w:kern w:val="22"/>
          <w:lang w:val="fr-CA"/>
        </w:rPr>
        <w:tab/>
      </w:r>
      <w:r w:rsidRPr="003F758F">
        <w:rPr>
          <w:i/>
          <w:lang w:val="fr-CA"/>
        </w:rPr>
        <w:t xml:space="preserve">Reconnaît </w:t>
      </w:r>
      <w:r w:rsidRPr="003F758F">
        <w:rPr>
          <w:iCs/>
          <w:lang w:val="fr-CA"/>
        </w:rPr>
        <w:t>l</w:t>
      </w:r>
      <w:r>
        <w:rPr>
          <w:iCs/>
          <w:lang w:val="fr-CA"/>
        </w:rPr>
        <w:t>’</w:t>
      </w:r>
      <w:r w:rsidRPr="003F758F">
        <w:rPr>
          <w:iCs/>
          <w:lang w:val="fr-CA"/>
        </w:rPr>
        <w:t>importance de l</w:t>
      </w:r>
      <w:r>
        <w:rPr>
          <w:iCs/>
          <w:lang w:val="fr-CA"/>
        </w:rPr>
        <w:t>’</w:t>
      </w:r>
      <w:r w:rsidRPr="003F758F">
        <w:rPr>
          <w:iCs/>
          <w:lang w:val="fr-CA"/>
        </w:rPr>
        <w:t xml:space="preserve">information de séquençage numérique sur les ressources génétiques pour la </w:t>
      </w:r>
      <w:r w:rsidRPr="003F758F">
        <w:rPr>
          <w:lang w:val="fr-CA"/>
        </w:rPr>
        <w:t>conservation de la diversité biologique et l</w:t>
      </w:r>
      <w:r>
        <w:rPr>
          <w:lang w:val="fr-CA"/>
        </w:rPr>
        <w:t>’</w:t>
      </w:r>
      <w:r w:rsidRPr="003F758F">
        <w:rPr>
          <w:lang w:val="fr-CA"/>
        </w:rPr>
        <w:t xml:space="preserve">utilisation durable de ses </w:t>
      </w:r>
      <w:r w:rsidRPr="003F758F">
        <w:rPr>
          <w:lang w:val="fr-CA"/>
        </w:rPr>
        <w:lastRenderedPageBreak/>
        <w:t xml:space="preserve">éléments constitutifs, tout </w:t>
      </w:r>
      <w:r w:rsidRPr="003F758F">
        <w:rPr>
          <w:i/>
          <w:iCs/>
          <w:lang w:val="fr-CA"/>
        </w:rPr>
        <w:t>en soulignant</w:t>
      </w:r>
      <w:r w:rsidRPr="003F758F">
        <w:rPr>
          <w:lang w:val="fr-CA"/>
        </w:rPr>
        <w:t xml:space="preserve"> que les trois objectifs de la Convention sont interdépendants et synergiques</w:t>
      </w:r>
      <w:r w:rsidRPr="00441D60">
        <w:rPr>
          <w:kern w:val="22"/>
          <w:lang w:val="fr-CA"/>
        </w:rPr>
        <w:t>;</w:t>
      </w:r>
    </w:p>
    <w:p w:rsidR="00DC2190" w:rsidRPr="00A1782D"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[4.</w:t>
      </w:r>
      <w:r w:rsidRPr="00441D60">
        <w:rPr>
          <w:kern w:val="22"/>
          <w:lang w:val="fr-CA"/>
        </w:rPr>
        <w:tab/>
      </w:r>
      <w:r>
        <w:rPr>
          <w:i/>
          <w:iCs/>
          <w:kern w:val="22"/>
          <w:lang w:val="fr-CA"/>
        </w:rPr>
        <w:t>Reconnaît</w:t>
      </w:r>
      <w:r>
        <w:rPr>
          <w:kern w:val="22"/>
          <w:lang w:val="fr-CA"/>
        </w:rPr>
        <w:t xml:space="preserve"> que l’information de séquençage numérique sur les ressources génétiques a des effets importants et très positifs sur la conservation de la diversité biologique et l’utilisation durable de ses éléments constitutifs, ainsi que sur la protection de la santé humaine, animale et végétale et sur la sécurité alimentaire et la salubrité des aliments;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5.</w:t>
      </w:r>
      <w:r w:rsidRPr="00441D60">
        <w:rPr>
          <w:kern w:val="22"/>
          <w:lang w:val="fr-CA"/>
        </w:rPr>
        <w:tab/>
      </w:r>
      <w:r w:rsidRPr="003F758F">
        <w:rPr>
          <w:i/>
          <w:lang w:val="fr-CA"/>
        </w:rPr>
        <w:t xml:space="preserve">Constate </w:t>
      </w:r>
      <w:r w:rsidRPr="003F758F">
        <w:rPr>
          <w:iCs/>
          <w:lang w:val="fr-CA"/>
        </w:rPr>
        <w:t>que l</w:t>
      </w:r>
      <w:r>
        <w:rPr>
          <w:iCs/>
          <w:lang w:val="fr-CA"/>
        </w:rPr>
        <w:t>’</w:t>
      </w:r>
      <w:r w:rsidRPr="003F758F">
        <w:rPr>
          <w:iCs/>
          <w:lang w:val="fr-CA"/>
        </w:rPr>
        <w:t>utilisation de l</w:t>
      </w:r>
      <w:r>
        <w:rPr>
          <w:iCs/>
          <w:lang w:val="fr-CA"/>
        </w:rPr>
        <w:t>’</w:t>
      </w:r>
      <w:r w:rsidRPr="003F758F">
        <w:rPr>
          <w:iCs/>
          <w:lang w:val="fr-CA"/>
        </w:rPr>
        <w:t>information de séquençage numérique sur les ressources génétiques et l</w:t>
      </w:r>
      <w:r>
        <w:rPr>
          <w:iCs/>
          <w:lang w:val="fr-CA"/>
        </w:rPr>
        <w:t>’</w:t>
      </w:r>
      <w:r w:rsidRPr="003F758F">
        <w:rPr>
          <w:iCs/>
          <w:lang w:val="fr-CA"/>
        </w:rPr>
        <w:t xml:space="preserve">accès libre à </w:t>
      </w:r>
      <w:r>
        <w:rPr>
          <w:iCs/>
          <w:lang w:val="fr-CA"/>
        </w:rPr>
        <w:t>cette information</w:t>
      </w:r>
      <w:r w:rsidRPr="003F758F">
        <w:rPr>
          <w:iCs/>
          <w:lang w:val="fr-CA"/>
        </w:rPr>
        <w:t xml:space="preserve"> contribuent à la recherche scientifique</w:t>
      </w:r>
      <w:r>
        <w:rPr>
          <w:iCs/>
          <w:lang w:val="fr-CA"/>
        </w:rPr>
        <w:t xml:space="preserve"> </w:t>
      </w:r>
      <w:r w:rsidRPr="00441D60">
        <w:rPr>
          <w:kern w:val="22"/>
          <w:lang w:val="fr-CA"/>
        </w:rPr>
        <w:t>[</w:t>
      </w:r>
      <w:r>
        <w:rPr>
          <w:kern w:val="22"/>
          <w:lang w:val="fr-CA"/>
        </w:rPr>
        <w:t>qui est essentielle pour la caractérisation, la conservation et l’utilisation durable de la diversité biologique et pour la sécurité alimentaire, la salubrité des aliments et la santé humaine</w:t>
      </w:r>
      <w:r w:rsidRPr="00441D60">
        <w:rPr>
          <w:kern w:val="22"/>
          <w:lang w:val="fr-CA"/>
        </w:rPr>
        <w:t>] [</w:t>
      </w:r>
      <w:r>
        <w:rPr>
          <w:kern w:val="22"/>
          <w:lang w:val="fr-CA"/>
        </w:rPr>
        <w:t>et qui fournit de multiples avantages à la société</w:t>
      </w:r>
      <w:r w:rsidRPr="00441D60">
        <w:rPr>
          <w:kern w:val="22"/>
          <w:lang w:val="fr-CA"/>
        </w:rPr>
        <w:t>] [</w:t>
      </w:r>
      <w:r>
        <w:rPr>
          <w:kern w:val="22"/>
          <w:lang w:val="fr-CA"/>
        </w:rPr>
        <w:t>qui devraient être partagés de manière juste et équitable;]</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[6.</w:t>
      </w:r>
      <w:r w:rsidRPr="00441D60">
        <w:rPr>
          <w:kern w:val="22"/>
          <w:lang w:val="fr-CA"/>
        </w:rPr>
        <w:tab/>
      </w:r>
      <w:r>
        <w:rPr>
          <w:i/>
          <w:iCs/>
          <w:kern w:val="22"/>
          <w:lang w:val="fr-CA"/>
        </w:rPr>
        <w:t>Note</w:t>
      </w:r>
      <w:r>
        <w:rPr>
          <w:kern w:val="22"/>
          <w:lang w:val="fr-CA"/>
        </w:rPr>
        <w:t xml:space="preserve"> que l’accès à l’information de séquençage numérique contenue dans les bases de données publiques n’est pas assujetti aux exigences relatives au consentement préalable en connaissance de cause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[7.</w:t>
      </w:r>
      <w:r w:rsidRPr="00441D60">
        <w:rPr>
          <w:kern w:val="22"/>
          <w:lang w:val="fr-CA"/>
        </w:rPr>
        <w:tab/>
      </w:r>
      <w:r>
        <w:rPr>
          <w:i/>
          <w:iCs/>
          <w:kern w:val="22"/>
          <w:lang w:val="fr-CA"/>
        </w:rPr>
        <w:t>Note</w:t>
      </w:r>
      <w:r>
        <w:rPr>
          <w:kern w:val="22"/>
          <w:lang w:val="fr-CA"/>
        </w:rPr>
        <w:t xml:space="preserve"> que la création d’informations de séquençage numérique requiert un accès initial à une ressource génétique et que, par conséquent, les avantages découlant de l’utilisation de l’information de séquençage numérique devraient être partagés de façon juste et équitable, conformément au troisième objectif de la Convention, à l’objectif du Protocole de Nagoya et à l’article 5(1) du Protocole de Nagoya, et de manière à ce que les peuples autochtones et les communautés locales bénéficient directement de la conservation de la diversité biologique, afin que ces avantages servent d’incitation à la conservation et à l’utilisation durable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8.</w:t>
      </w:r>
      <w:r w:rsidRPr="00441D60">
        <w:rPr>
          <w:kern w:val="22"/>
          <w:lang w:val="fr-CA"/>
        </w:rPr>
        <w:tab/>
      </w:r>
      <w:r w:rsidRPr="003F758F">
        <w:rPr>
          <w:i/>
          <w:lang w:val="fr-CA"/>
        </w:rPr>
        <w:t>Constate également</w:t>
      </w:r>
      <w:r w:rsidRPr="003F758F">
        <w:rPr>
          <w:iCs/>
          <w:lang w:val="fr-CA"/>
        </w:rPr>
        <w:t xml:space="preserve"> que la capacité à utiliser, à produire et à analyser l</w:t>
      </w:r>
      <w:r>
        <w:rPr>
          <w:iCs/>
          <w:lang w:val="fr-CA"/>
        </w:rPr>
        <w:t>’</w:t>
      </w:r>
      <w:r w:rsidRPr="003F758F">
        <w:rPr>
          <w:iCs/>
          <w:lang w:val="fr-CA"/>
        </w:rPr>
        <w:t xml:space="preserve">information de séquençage numérique sur les ressources génétiques doit être renforcée dans de nombreux pays, et </w:t>
      </w:r>
      <w:r w:rsidRPr="003F758F">
        <w:rPr>
          <w:i/>
          <w:lang w:val="fr-CA"/>
        </w:rPr>
        <w:t>encourage</w:t>
      </w:r>
      <w:r w:rsidRPr="003F758F">
        <w:rPr>
          <w:iCs/>
          <w:lang w:val="fr-CA"/>
        </w:rPr>
        <w:t xml:space="preserve"> les Parties, les autres gouvernements et les organisations compétentes à concourir au renforcement des capacités et au transfert de technologies, afin de faciliter l</w:t>
      </w:r>
      <w:r>
        <w:rPr>
          <w:iCs/>
          <w:lang w:val="fr-CA"/>
        </w:rPr>
        <w:t>’</w:t>
      </w:r>
      <w:r w:rsidRPr="003F758F">
        <w:rPr>
          <w:iCs/>
          <w:lang w:val="fr-CA"/>
        </w:rPr>
        <w:t xml:space="preserve">utilisation de cette information et de contribuer à la </w:t>
      </w:r>
      <w:r w:rsidRPr="003F758F">
        <w:rPr>
          <w:lang w:val="fr-CA"/>
        </w:rPr>
        <w:t>conservation et à l</w:t>
      </w:r>
      <w:r>
        <w:rPr>
          <w:lang w:val="fr-CA"/>
        </w:rPr>
        <w:t>’</w:t>
      </w:r>
      <w:r w:rsidRPr="003F758F">
        <w:rPr>
          <w:lang w:val="fr-CA"/>
        </w:rPr>
        <w:t>utilisation durable de la diversité biologique</w:t>
      </w:r>
      <w:r>
        <w:rPr>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 xml:space="preserve">[9. </w:t>
      </w:r>
      <w:r w:rsidRPr="00441D60">
        <w:rPr>
          <w:kern w:val="22"/>
          <w:lang w:val="fr-CA"/>
        </w:rPr>
        <w:tab/>
      </w:r>
      <w:r>
        <w:rPr>
          <w:i/>
          <w:iCs/>
          <w:kern w:val="22"/>
          <w:lang w:val="fr-CA"/>
        </w:rPr>
        <w:t>Reconnaît également</w:t>
      </w:r>
      <w:r>
        <w:rPr>
          <w:kern w:val="22"/>
          <w:lang w:val="fr-CA"/>
        </w:rPr>
        <w:t xml:space="preserve"> la nécessité de trouver un équilibre entre l’intérêt que présente un accès libre et gratuit à l’information relative aux ressources génétiques, et l’intérêt présenté par un partage juste et équitable des avantages avec les pays et les communautés fournissant les ressources génétiques d’où émane cette information qui autrement pourraient ne pas profiter des résultats des activités de recherche et développement</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[10.</w:t>
      </w:r>
      <w:r w:rsidRPr="00441D60">
        <w:rPr>
          <w:kern w:val="22"/>
          <w:lang w:val="fr-CA"/>
        </w:rPr>
        <w:tab/>
      </w:r>
      <w:r>
        <w:rPr>
          <w:i/>
          <w:iCs/>
          <w:kern w:val="22"/>
          <w:lang w:val="fr-CA"/>
        </w:rPr>
        <w:t>Note</w:t>
      </w:r>
      <w:r>
        <w:rPr>
          <w:kern w:val="22"/>
          <w:lang w:val="fr-CA"/>
        </w:rPr>
        <w:t xml:space="preserve"> que certaines Parties ont mis en œuvre des dispositions dans lesquelles l’information de séquençage numérique est considérée comme équivalente aux ressources génétiques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[11.</w:t>
      </w:r>
      <w:r w:rsidRPr="00441D60">
        <w:rPr>
          <w:kern w:val="22"/>
          <w:lang w:val="fr-CA"/>
        </w:rPr>
        <w:tab/>
      </w:r>
      <w:r>
        <w:rPr>
          <w:i/>
          <w:lang w:val="fr-CA"/>
        </w:rPr>
        <w:t>Reconnaît</w:t>
      </w:r>
      <w:r w:rsidRPr="00B61388">
        <w:rPr>
          <w:iCs/>
          <w:lang w:val="fr-CA"/>
        </w:rPr>
        <w:t xml:space="preserve"> que les conditions convenues d</w:t>
      </w:r>
      <w:r>
        <w:rPr>
          <w:iCs/>
          <w:lang w:val="fr-CA"/>
        </w:rPr>
        <w:t>’</w:t>
      </w:r>
      <w:r w:rsidRPr="00B61388">
        <w:rPr>
          <w:iCs/>
          <w:lang w:val="fr-CA"/>
        </w:rPr>
        <w:t>un commun accord peuvent s</w:t>
      </w:r>
      <w:r>
        <w:rPr>
          <w:iCs/>
          <w:lang w:val="fr-CA"/>
        </w:rPr>
        <w:t>’</w:t>
      </w:r>
      <w:r w:rsidRPr="00B61388">
        <w:rPr>
          <w:iCs/>
          <w:lang w:val="fr-CA"/>
        </w:rPr>
        <w:t>étendre aux avantages découlant de l</w:t>
      </w:r>
      <w:r>
        <w:rPr>
          <w:iCs/>
          <w:lang w:val="fr-CA"/>
        </w:rPr>
        <w:t>’</w:t>
      </w:r>
      <w:r w:rsidRPr="00B61388">
        <w:rPr>
          <w:iCs/>
          <w:lang w:val="fr-CA"/>
        </w:rPr>
        <w:t>utilisation commerciale de l</w:t>
      </w:r>
      <w:r>
        <w:rPr>
          <w:iCs/>
          <w:lang w:val="fr-CA"/>
        </w:rPr>
        <w:t>’</w:t>
      </w:r>
      <w:r w:rsidRPr="00B61388">
        <w:rPr>
          <w:iCs/>
          <w:lang w:val="fr-CA"/>
        </w:rPr>
        <w:t>information de séquençage numérique sur les ressources génétiques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441D60">
        <w:rPr>
          <w:kern w:val="22"/>
          <w:szCs w:val="22"/>
          <w:lang w:val="fr-CA"/>
        </w:rPr>
        <w:t xml:space="preserve">[12. </w:t>
      </w:r>
      <w:r w:rsidRPr="00441D60">
        <w:rPr>
          <w:kern w:val="22"/>
          <w:szCs w:val="22"/>
          <w:lang w:val="fr-CA"/>
        </w:rPr>
        <w:tab/>
      </w:r>
      <w:r>
        <w:rPr>
          <w:i/>
          <w:iCs/>
          <w:kern w:val="22"/>
          <w:szCs w:val="22"/>
          <w:lang w:val="fr-CA"/>
        </w:rPr>
        <w:t>Reconnaît également</w:t>
      </w:r>
      <w:r>
        <w:rPr>
          <w:kern w:val="22"/>
          <w:szCs w:val="22"/>
          <w:lang w:val="fr-CA"/>
        </w:rPr>
        <w:t xml:space="preserve"> que l’information de séquençage numérique sur les ressources génétiques peut faciliter une appropriation illicite si elle est utilisée pour contourner les lois nationales relatives à l’accès et qu’aucune mesure alternative de partage des avantages n’est mise en place</w:t>
      </w:r>
      <w:r w:rsidRPr="00441D60">
        <w:rPr>
          <w:kern w:val="22"/>
          <w:szCs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szCs w:val="22"/>
          <w:lang w:val="fr-CA"/>
        </w:rPr>
      </w:pPr>
      <w:r w:rsidRPr="00441D60">
        <w:rPr>
          <w:kern w:val="22"/>
          <w:lang w:val="fr-CA"/>
        </w:rPr>
        <w:t>[13.</w:t>
      </w:r>
      <w:r w:rsidRPr="00441D60">
        <w:rPr>
          <w:kern w:val="22"/>
          <w:lang w:val="fr-CA"/>
        </w:rPr>
        <w:tab/>
      </w:r>
      <w:r>
        <w:rPr>
          <w:i/>
          <w:iCs/>
          <w:kern w:val="22"/>
          <w:lang w:val="fr-CA"/>
        </w:rPr>
        <w:t>Reconnaît</w:t>
      </w:r>
      <w:r>
        <w:rPr>
          <w:kern w:val="22"/>
          <w:lang w:val="fr-CA"/>
        </w:rPr>
        <w:t xml:space="preserve"> que, </w:t>
      </w:r>
      <w:r>
        <w:rPr>
          <w:iCs/>
          <w:lang w:val="fr-CA"/>
        </w:rPr>
        <w:t>conformément à l’article 15.7</w:t>
      </w:r>
      <w:r w:rsidRPr="003F758F">
        <w:rPr>
          <w:iCs/>
          <w:lang w:val="fr-CA"/>
        </w:rPr>
        <w:t xml:space="preserve"> de la </w:t>
      </w:r>
      <w:r>
        <w:rPr>
          <w:lang w:val="fr-CA"/>
        </w:rPr>
        <w:t>Convention et à l’article 5</w:t>
      </w:r>
      <w:r w:rsidRPr="003F758F">
        <w:rPr>
          <w:lang w:val="fr-CA"/>
        </w:rPr>
        <w:t xml:space="preserve"> du Protocole de Nagoya, </w:t>
      </w:r>
      <w:r>
        <w:rPr>
          <w:lang w:val="fr-CA"/>
        </w:rPr>
        <w:t xml:space="preserve">les avantages découlant de </w:t>
      </w:r>
      <w:r w:rsidRPr="003F758F">
        <w:rPr>
          <w:iCs/>
          <w:lang w:val="fr-CA"/>
        </w:rPr>
        <w:t>l</w:t>
      </w:r>
      <w:r>
        <w:rPr>
          <w:iCs/>
          <w:lang w:val="fr-CA"/>
        </w:rPr>
        <w:t>’</w:t>
      </w:r>
      <w:r w:rsidRPr="003F758F">
        <w:rPr>
          <w:iCs/>
          <w:lang w:val="fr-CA"/>
        </w:rPr>
        <w:t xml:space="preserve">utilisation </w:t>
      </w:r>
      <w:r>
        <w:rPr>
          <w:iCs/>
          <w:lang w:val="fr-CA"/>
        </w:rPr>
        <w:t xml:space="preserve">commerciale des résultats </w:t>
      </w:r>
      <w:r w:rsidRPr="003F758F">
        <w:rPr>
          <w:iCs/>
          <w:lang w:val="fr-CA"/>
        </w:rPr>
        <w:t xml:space="preserve">de </w:t>
      </w:r>
      <w:r>
        <w:rPr>
          <w:iCs/>
          <w:lang w:val="fr-CA"/>
        </w:rPr>
        <w:t xml:space="preserve">l’utilisation de </w:t>
      </w:r>
      <w:r w:rsidRPr="003F758F">
        <w:rPr>
          <w:iCs/>
          <w:lang w:val="fr-CA"/>
        </w:rPr>
        <w:t>l</w:t>
      </w:r>
      <w:r>
        <w:rPr>
          <w:iCs/>
          <w:lang w:val="fr-CA"/>
        </w:rPr>
        <w:t>’</w:t>
      </w:r>
      <w:r w:rsidRPr="003F758F">
        <w:rPr>
          <w:iCs/>
          <w:lang w:val="fr-CA"/>
        </w:rPr>
        <w:t>information de séquençage numérique sur les ressources génétiques</w:t>
      </w:r>
      <w:r>
        <w:rPr>
          <w:kern w:val="22"/>
          <w:lang w:val="fr-CA"/>
        </w:rPr>
        <w:t xml:space="preserve"> émanant de l’accès seront partagés de manière juste et équitable</w:t>
      </w:r>
      <w:r w:rsidRPr="00441D60">
        <w:rPr>
          <w:kern w:val="22"/>
          <w:szCs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lastRenderedPageBreak/>
        <w:t>[14.</w:t>
      </w:r>
      <w:r w:rsidRPr="00441D60">
        <w:rPr>
          <w:kern w:val="22"/>
          <w:lang w:val="fr-CA"/>
        </w:rPr>
        <w:tab/>
      </w:r>
      <w:r>
        <w:rPr>
          <w:i/>
          <w:lang w:val="fr-CA"/>
        </w:rPr>
        <w:t>Reconnaît</w:t>
      </w:r>
      <w:r w:rsidRPr="003F758F">
        <w:rPr>
          <w:i/>
          <w:lang w:val="fr-CA"/>
        </w:rPr>
        <w:t xml:space="preserve"> également </w:t>
      </w:r>
      <w:r w:rsidRPr="003F758F">
        <w:rPr>
          <w:iCs/>
          <w:lang w:val="fr-CA"/>
        </w:rPr>
        <w:t>que, conformément à l</w:t>
      </w:r>
      <w:r>
        <w:rPr>
          <w:iCs/>
          <w:lang w:val="fr-CA"/>
        </w:rPr>
        <w:t>’</w:t>
      </w:r>
      <w:r w:rsidRPr="003F758F">
        <w:rPr>
          <w:iCs/>
          <w:lang w:val="fr-CA"/>
        </w:rPr>
        <w:t xml:space="preserve">article 15.2 de la </w:t>
      </w:r>
      <w:r w:rsidRPr="003F758F">
        <w:rPr>
          <w:lang w:val="fr-CA"/>
        </w:rPr>
        <w:t>Convention et à l</w:t>
      </w:r>
      <w:r>
        <w:rPr>
          <w:lang w:val="fr-CA"/>
        </w:rPr>
        <w:t>’</w:t>
      </w:r>
      <w:r w:rsidRPr="003F758F">
        <w:rPr>
          <w:lang w:val="fr-CA"/>
        </w:rPr>
        <w:t xml:space="preserve">article 8 du Protocole de Nagoya, </w:t>
      </w:r>
      <w:r w:rsidRPr="003F758F">
        <w:rPr>
          <w:iCs/>
          <w:lang w:val="fr-CA"/>
        </w:rPr>
        <w:t>l</w:t>
      </w:r>
      <w:r>
        <w:rPr>
          <w:iCs/>
          <w:lang w:val="fr-CA"/>
        </w:rPr>
        <w:t>’</w:t>
      </w:r>
      <w:r w:rsidRPr="003F758F">
        <w:rPr>
          <w:iCs/>
          <w:lang w:val="fr-CA"/>
        </w:rPr>
        <w:t>utilisation de l</w:t>
      </w:r>
      <w:r>
        <w:rPr>
          <w:iCs/>
          <w:lang w:val="fr-CA"/>
        </w:rPr>
        <w:t>’</w:t>
      </w:r>
      <w:r w:rsidRPr="003F758F">
        <w:rPr>
          <w:iCs/>
          <w:lang w:val="fr-CA"/>
        </w:rPr>
        <w:t>information de séquençage numérique sur les ressources génétiques</w:t>
      </w:r>
      <w:r>
        <w:rPr>
          <w:iCs/>
          <w:lang w:val="fr-CA"/>
        </w:rPr>
        <w:t xml:space="preserve"> au titre de la recherche et</w:t>
      </w:r>
      <w:r w:rsidRPr="003F758F">
        <w:rPr>
          <w:iCs/>
          <w:lang w:val="fr-CA"/>
        </w:rPr>
        <w:t xml:space="preserve"> développement</w:t>
      </w:r>
      <w:r>
        <w:rPr>
          <w:iCs/>
          <w:lang w:val="fr-CA"/>
        </w:rPr>
        <w:t xml:space="preserve"> non commercial</w:t>
      </w:r>
      <w:r w:rsidRPr="003F758F">
        <w:rPr>
          <w:iCs/>
          <w:lang w:val="fr-CA"/>
        </w:rPr>
        <w:t xml:space="preserve"> doit faire l</w:t>
      </w:r>
      <w:r>
        <w:rPr>
          <w:iCs/>
          <w:lang w:val="fr-CA"/>
        </w:rPr>
        <w:t>’</w:t>
      </w:r>
      <w:r w:rsidRPr="003F758F">
        <w:rPr>
          <w:iCs/>
          <w:lang w:val="fr-CA"/>
        </w:rPr>
        <w:t>objet de mesures simplifiées</w:t>
      </w:r>
      <w:r>
        <w:rPr>
          <w:iCs/>
          <w:lang w:val="fr-CA"/>
        </w:rPr>
        <w:t xml:space="preserve"> conformes aux lois nationales </w:t>
      </w:r>
      <w:r w:rsidRPr="00441D60">
        <w:rPr>
          <w:kern w:val="22"/>
          <w:lang w:val="fr-CA"/>
        </w:rPr>
        <w:t>[</w:t>
      </w:r>
      <w:r>
        <w:rPr>
          <w:kern w:val="22"/>
          <w:lang w:val="fr-CA"/>
        </w:rPr>
        <w:t>en tenant compte de la nécessité d’aborder tout changement d’intention en matière de recherche et développement, soulignant que chaque Partie a le droit souverain de décider la manière dont elle souhaite créer des conditions visant à promouvoir et encourager la recherche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 xml:space="preserve">[15. </w:t>
      </w:r>
      <w:r w:rsidRPr="00441D60">
        <w:rPr>
          <w:kern w:val="22"/>
          <w:lang w:val="fr-CA"/>
        </w:rPr>
        <w:tab/>
      </w:r>
      <w:r w:rsidRPr="00B61388">
        <w:rPr>
          <w:i/>
          <w:lang w:val="fr-CA"/>
        </w:rPr>
        <w:t>Invite</w:t>
      </w:r>
      <w:r w:rsidRPr="00B61388">
        <w:rPr>
          <w:iCs/>
          <w:lang w:val="fr-CA"/>
        </w:rPr>
        <w:t xml:space="preserve"> les </w:t>
      </w:r>
      <w:r w:rsidRPr="00B61388">
        <w:rPr>
          <w:lang w:val="fr-CA"/>
        </w:rPr>
        <w:t>Parties, les autres gouvernements, les peuples autochtones, les communautés locales, les organisations compétentes et les parties prenantes à faciliter l</w:t>
      </w:r>
      <w:r>
        <w:rPr>
          <w:lang w:val="fr-CA"/>
        </w:rPr>
        <w:t>’</w:t>
      </w:r>
      <w:r w:rsidRPr="00B61388">
        <w:rPr>
          <w:lang w:val="fr-CA"/>
        </w:rPr>
        <w:t>accès à l</w:t>
      </w:r>
      <w:r>
        <w:rPr>
          <w:lang w:val="fr-CA"/>
        </w:rPr>
        <w:t>’</w:t>
      </w:r>
      <w:r w:rsidRPr="00B61388">
        <w:rPr>
          <w:lang w:val="fr-CA"/>
        </w:rPr>
        <w:t xml:space="preserve">information de </w:t>
      </w:r>
      <w:r w:rsidRPr="00B61388">
        <w:rPr>
          <w:iCs/>
          <w:lang w:val="fr-CA"/>
        </w:rPr>
        <w:t xml:space="preserve">séquençage numérique, </w:t>
      </w:r>
      <w:r w:rsidRPr="00B61388">
        <w:rPr>
          <w:lang w:val="fr-CA"/>
        </w:rPr>
        <w:t xml:space="preserve">et à concourir aux échanges et aux utilisations de cette information </w:t>
      </w:r>
      <w:r w:rsidRPr="00441D60">
        <w:rPr>
          <w:kern w:val="22"/>
          <w:lang w:val="fr-CA"/>
        </w:rPr>
        <w:t>[</w:t>
      </w:r>
      <w:r w:rsidRPr="00B61388">
        <w:rPr>
          <w:iCs/>
          <w:lang w:val="fr-CA"/>
        </w:rPr>
        <w:t xml:space="preserve">afin de contribuer à la réalisation des trois objectifs de la </w:t>
      </w:r>
      <w:r>
        <w:rPr>
          <w:lang w:val="fr-CA"/>
        </w:rPr>
        <w:t>Convention</w:t>
      </w:r>
      <w:r w:rsidRPr="00441D60">
        <w:rPr>
          <w:kern w:val="22"/>
          <w:lang w:val="fr-CA"/>
        </w:rPr>
        <w:t>]</w:t>
      </w:r>
      <w:r>
        <w:rPr>
          <w:kern w:val="22"/>
          <w:lang w:val="fr-CA"/>
        </w:rPr>
        <w:t xml:space="preserve"> </w:t>
      </w:r>
      <w:r w:rsidRPr="00441D60">
        <w:rPr>
          <w:kern w:val="22"/>
          <w:lang w:val="fr-CA"/>
        </w:rPr>
        <w:t>[</w:t>
      </w:r>
      <w:r w:rsidRPr="00B61388">
        <w:rPr>
          <w:iCs/>
          <w:lang w:val="fr-CA"/>
        </w:rPr>
        <w:t xml:space="preserve">afin de contribuer à la réalisation des trois objectifs de la </w:t>
      </w:r>
      <w:r w:rsidRPr="00B61388">
        <w:rPr>
          <w:lang w:val="fr-CA"/>
        </w:rPr>
        <w:t>Convention, notamment la protection de la santé humaine, animale et végéta</w:t>
      </w:r>
      <w:r>
        <w:rPr>
          <w:lang w:val="fr-CA"/>
        </w:rPr>
        <w:t>le et la sécurité alimentaire</w:t>
      </w:r>
      <w:r w:rsidRPr="00441D60">
        <w:rPr>
          <w:kern w:val="22"/>
          <w:lang w:val="fr-CA"/>
        </w:rPr>
        <w:t>]</w:t>
      </w:r>
      <w:r w:rsidRPr="009434E1">
        <w:rPr>
          <w:kern w:val="22"/>
          <w:lang w:val="fr-CA"/>
        </w:rPr>
        <w:t xml:space="preserve"> </w:t>
      </w:r>
      <w:r w:rsidRPr="00441D60">
        <w:rPr>
          <w:kern w:val="22"/>
          <w:lang w:val="fr-CA"/>
        </w:rPr>
        <w:t>[</w:t>
      </w:r>
      <w:r w:rsidRPr="00B61388">
        <w:rPr>
          <w:lang w:val="fr-CA"/>
        </w:rPr>
        <w:t>aux fins de la conservation de la diversité biologique, de l</w:t>
      </w:r>
      <w:r>
        <w:rPr>
          <w:lang w:val="fr-CA"/>
        </w:rPr>
        <w:t>’</w:t>
      </w:r>
      <w:r w:rsidRPr="00B61388">
        <w:rPr>
          <w:lang w:val="fr-CA"/>
        </w:rPr>
        <w:t>utilisation durable de ses éléments constitutifs, de la protection de la santé humaine, animale et végétale et de la sécurité alimentair</w:t>
      </w:r>
      <w:r>
        <w:rPr>
          <w:lang w:val="fr-CA"/>
        </w:rPr>
        <w:t>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16.</w:t>
      </w:r>
      <w:r w:rsidRPr="00441D60">
        <w:rPr>
          <w:kern w:val="22"/>
          <w:lang w:val="fr-CA"/>
        </w:rPr>
        <w:tab/>
      </w:r>
      <w:r w:rsidRPr="003F758F">
        <w:rPr>
          <w:i/>
          <w:lang w:val="fr-CA"/>
        </w:rPr>
        <w:t>Invite</w:t>
      </w:r>
      <w:r w:rsidRPr="003F758F">
        <w:rPr>
          <w:iCs/>
          <w:lang w:val="fr-CA"/>
        </w:rPr>
        <w:t xml:space="preserve"> les </w:t>
      </w:r>
      <w:r w:rsidRPr="003F758F">
        <w:rPr>
          <w:lang w:val="fr-CA"/>
        </w:rPr>
        <w:t xml:space="preserve">Parties, les autres gouvernements, les peuples autochtones, les communautés locales et les parties prenantes concernées à présenter des points de vue et des informations susceptibles de </w:t>
      </w:r>
      <w:r w:rsidRPr="003F758F">
        <w:rPr>
          <w:szCs w:val="22"/>
          <w:lang w:val="fr-CA"/>
        </w:rPr>
        <w:t>clarifier le concept d</w:t>
      </w:r>
      <w:r>
        <w:rPr>
          <w:szCs w:val="22"/>
          <w:lang w:val="fr-CA"/>
        </w:rPr>
        <w:t>’</w:t>
      </w:r>
      <w:r w:rsidRPr="003F758F">
        <w:rPr>
          <w:szCs w:val="22"/>
          <w:lang w:val="fr-CA"/>
        </w:rPr>
        <w:t>information de séquençage numérique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17.</w:t>
      </w:r>
      <w:r w:rsidRPr="00441D60">
        <w:rPr>
          <w:kern w:val="22"/>
          <w:lang w:val="fr-CA"/>
        </w:rPr>
        <w:tab/>
      </w:r>
      <w:r w:rsidRPr="003F758F">
        <w:rPr>
          <w:i/>
          <w:lang w:val="fr-CA"/>
        </w:rPr>
        <w:t>Invite</w:t>
      </w:r>
      <w:r w:rsidRPr="003F758F">
        <w:rPr>
          <w:iCs/>
          <w:lang w:val="fr-CA"/>
        </w:rPr>
        <w:t xml:space="preserve"> les </w:t>
      </w:r>
      <w:r w:rsidRPr="003F758F">
        <w:rPr>
          <w:lang w:val="fr-CA"/>
        </w:rPr>
        <w:t xml:space="preserve">Parties et les autres gouvernements à présenter des informations sur la manière dont ils tiennent compte de </w:t>
      </w:r>
      <w:r w:rsidRPr="003F758F">
        <w:rPr>
          <w:szCs w:val="22"/>
          <w:lang w:val="fr-CA"/>
        </w:rPr>
        <w:t>l</w:t>
      </w:r>
      <w:r>
        <w:rPr>
          <w:szCs w:val="22"/>
          <w:lang w:val="fr-CA"/>
        </w:rPr>
        <w:t>’</w:t>
      </w:r>
      <w:r w:rsidRPr="003F758F">
        <w:rPr>
          <w:szCs w:val="22"/>
          <w:lang w:val="fr-CA"/>
        </w:rPr>
        <w:t>info</w:t>
      </w:r>
      <w:r>
        <w:rPr>
          <w:szCs w:val="22"/>
          <w:lang w:val="fr-CA"/>
        </w:rPr>
        <w:t xml:space="preserve">rmation de séquençage numérique </w:t>
      </w:r>
      <w:r w:rsidRPr="003F758F">
        <w:rPr>
          <w:szCs w:val="22"/>
          <w:lang w:val="fr-CA"/>
        </w:rPr>
        <w:t>dans leurs dispositions législatives internes et les autres mesures relatives à l</w:t>
      </w:r>
      <w:r>
        <w:rPr>
          <w:szCs w:val="22"/>
          <w:lang w:val="fr-CA"/>
        </w:rPr>
        <w:t>’</w:t>
      </w:r>
      <w:r w:rsidRPr="003F758F">
        <w:rPr>
          <w:szCs w:val="22"/>
          <w:lang w:val="fr-CA"/>
        </w:rPr>
        <w:t>information de séquençage numérique sur les ressources génétiques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[18.</w:t>
      </w:r>
      <w:r w:rsidRPr="00441D60">
        <w:rPr>
          <w:kern w:val="22"/>
          <w:lang w:val="fr-CA"/>
        </w:rPr>
        <w:tab/>
      </w:r>
      <w:r w:rsidRPr="003F758F">
        <w:rPr>
          <w:i/>
          <w:lang w:val="fr-CA"/>
        </w:rPr>
        <w:t>Décide</w:t>
      </w:r>
      <w:r w:rsidRPr="003F758F">
        <w:rPr>
          <w:iCs/>
          <w:lang w:val="fr-CA"/>
        </w:rPr>
        <w:t xml:space="preserve"> de créer un </w:t>
      </w:r>
      <w:r w:rsidRPr="00441D60">
        <w:rPr>
          <w:kern w:val="22"/>
          <w:lang w:val="fr-CA"/>
        </w:rPr>
        <w:t>[</w:t>
      </w:r>
      <w:r w:rsidRPr="003F758F">
        <w:rPr>
          <w:iCs/>
          <w:lang w:val="fr-CA"/>
        </w:rPr>
        <w:t>groupe spécial d</w:t>
      </w:r>
      <w:r>
        <w:rPr>
          <w:iCs/>
          <w:lang w:val="fr-CA"/>
        </w:rPr>
        <w:t>’</w:t>
      </w:r>
      <w:r w:rsidRPr="003F758F">
        <w:rPr>
          <w:iCs/>
          <w:lang w:val="fr-CA"/>
        </w:rPr>
        <w:t>experts techniques</w:t>
      </w:r>
      <w:r w:rsidRPr="00090E10">
        <w:rPr>
          <w:rStyle w:val="FootnoteReference"/>
          <w:sz w:val="20"/>
          <w:szCs w:val="20"/>
          <w:u w:val="none"/>
          <w:vertAlign w:val="superscript"/>
          <w:lang w:val="fr-CA"/>
        </w:rPr>
        <w:footnoteReference w:id="4"/>
      </w:r>
      <w:r w:rsidRPr="009434E1">
        <w:rPr>
          <w:kern w:val="22"/>
          <w:lang w:val="fr-CA"/>
        </w:rPr>
        <w:t>]</w:t>
      </w:r>
      <w:r w:rsidRPr="00441D60">
        <w:rPr>
          <w:kern w:val="22"/>
          <w:lang w:val="fr-CA"/>
        </w:rPr>
        <w:t xml:space="preserve"> [</w:t>
      </w:r>
      <w:r>
        <w:rPr>
          <w:kern w:val="22"/>
          <w:lang w:val="fr-CA"/>
        </w:rPr>
        <w:t>groupe de travail à composition non limitée</w:t>
      </w:r>
      <w:r w:rsidRPr="00441D60">
        <w:rPr>
          <w:kern w:val="22"/>
          <w:lang w:val="fr-CA"/>
        </w:rPr>
        <w:t>]</w:t>
      </w:r>
      <w:r>
        <w:rPr>
          <w:kern w:val="22"/>
          <w:lang w:val="fr-CA"/>
        </w:rPr>
        <w:t>,</w:t>
      </w:r>
      <w:r w:rsidRPr="00441D60">
        <w:rPr>
          <w:kern w:val="22"/>
          <w:lang w:val="fr-CA"/>
        </w:rPr>
        <w:t xml:space="preserve"> </w:t>
      </w:r>
      <w:r w:rsidRPr="003F758F">
        <w:rPr>
          <w:iCs/>
          <w:lang w:val="fr-CA"/>
        </w:rPr>
        <w:t xml:space="preserve">et </w:t>
      </w:r>
      <w:r w:rsidRPr="003F758F">
        <w:rPr>
          <w:i/>
          <w:lang w:val="fr-CA"/>
        </w:rPr>
        <w:t>prie</w:t>
      </w:r>
      <w:r w:rsidRPr="003F758F">
        <w:rPr>
          <w:iCs/>
          <w:lang w:val="fr-CA"/>
        </w:rPr>
        <w:t xml:space="preserve"> la Secrétaire exécutive, dans la limite des </w:t>
      </w:r>
      <w:r w:rsidRPr="003F758F">
        <w:rPr>
          <w:lang w:val="fr-CA"/>
        </w:rPr>
        <w:t>ressources financières disponibles,</w:t>
      </w:r>
      <w:r w:rsidRPr="003F758F">
        <w:rPr>
          <w:iCs/>
          <w:lang w:val="fr-CA"/>
        </w:rPr>
        <w:t xml:space="preserve"> de convoquer une réunion de ce groupe conformément au mandat figurant en annexe</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[19.</w:t>
      </w:r>
      <w:r w:rsidRPr="00441D60">
        <w:rPr>
          <w:kern w:val="22"/>
          <w:lang w:val="fr-CA"/>
        </w:rPr>
        <w:tab/>
      </w:r>
      <w:r>
        <w:rPr>
          <w:i/>
          <w:iCs/>
          <w:kern w:val="22"/>
          <w:lang w:val="fr-CA"/>
        </w:rPr>
        <w:t>Décide</w:t>
      </w:r>
      <w:r>
        <w:rPr>
          <w:kern w:val="22"/>
          <w:lang w:val="fr-CA"/>
        </w:rPr>
        <w:t xml:space="preserve"> de créer un groupe de travail à composition non limitée pour élaborer des modalités relatives au partage des avantages découlant de l’information de séquençage numérique, notamment de possibles approches multilatérales et des approches impliquant des bases de données accessibles au public, en tenant compte du rapport du groupe spécial d’experts techniques créé conformément au paragraphe 18 </w:t>
      </w:r>
      <w:r>
        <w:rPr>
          <w:noProof/>
          <w:kern w:val="22"/>
          <w:lang w:val="fr-CA"/>
        </w:rPr>
        <w:t>ci</w:t>
      </w:r>
      <w:r>
        <w:rPr>
          <w:noProof/>
          <w:kern w:val="22"/>
          <w:lang w:val="fr-CA"/>
        </w:rPr>
        <w:noBreakHyphen/>
        <w:t>dessus,</w:t>
      </w:r>
      <w:r>
        <w:rPr>
          <w:kern w:val="22"/>
          <w:lang w:val="fr-CA"/>
        </w:rPr>
        <w:t xml:space="preserve"> qui se réunira au moins une fois au cours du prochain exercice biennal et qui fera rapport à la Conférence des Parties à sa quinzième réunion</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20.</w:t>
      </w:r>
      <w:r w:rsidRPr="00441D60">
        <w:rPr>
          <w:kern w:val="22"/>
          <w:lang w:val="fr-CA"/>
        </w:rPr>
        <w:tab/>
      </w:r>
      <w:r w:rsidRPr="003F758F">
        <w:rPr>
          <w:i/>
          <w:lang w:val="fr-CA"/>
        </w:rPr>
        <w:t>Prie</w:t>
      </w:r>
      <w:r w:rsidRPr="003F758F">
        <w:rPr>
          <w:iCs/>
          <w:lang w:val="fr-CA"/>
        </w:rPr>
        <w:t xml:space="preserve"> la Secrétaire exécutive, dans la limite des </w:t>
      </w:r>
      <w:r w:rsidRPr="003F758F">
        <w:rPr>
          <w:lang w:val="fr-CA"/>
        </w:rPr>
        <w:t>ressources financières disponibles, de :</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i/>
          <w:kern w:val="22"/>
          <w:lang w:val="fr-CA"/>
        </w:rPr>
      </w:pPr>
      <w:r w:rsidRPr="00441D60">
        <w:rPr>
          <w:kern w:val="22"/>
          <w:lang w:val="fr-CA"/>
        </w:rPr>
        <w:t>a)</w:t>
      </w:r>
      <w:r w:rsidRPr="00441D60">
        <w:rPr>
          <w:kern w:val="22"/>
          <w:lang w:val="fr-CA"/>
        </w:rPr>
        <w:tab/>
      </w:r>
      <w:r w:rsidRPr="003F758F">
        <w:rPr>
          <w:lang w:val="fr-CA"/>
        </w:rPr>
        <w:t>Compiler et faire la synthèse des points de vue et des informations présentés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t>[b)</w:t>
      </w:r>
      <w:r w:rsidRPr="00441D60">
        <w:rPr>
          <w:kern w:val="22"/>
          <w:lang w:val="fr-CA"/>
        </w:rPr>
        <w:tab/>
      </w:r>
      <w:r w:rsidRPr="003F758F">
        <w:rPr>
          <w:lang w:val="fr-CA"/>
        </w:rPr>
        <w:t>Commander une étude</w:t>
      </w:r>
      <w:r>
        <w:rPr>
          <w:lang w:val="fr-CA"/>
        </w:rPr>
        <w:t xml:space="preserve"> </w:t>
      </w:r>
      <w:r w:rsidRPr="00441D60">
        <w:rPr>
          <w:kern w:val="22"/>
          <w:lang w:val="fr-CA"/>
        </w:rPr>
        <w:t>[</w:t>
      </w:r>
      <w:r>
        <w:rPr>
          <w:kern w:val="22"/>
          <w:lang w:val="fr-CA"/>
        </w:rPr>
        <w:t>évaluée par des pairs</w:t>
      </w:r>
      <w:r w:rsidRPr="00441D60">
        <w:rPr>
          <w:kern w:val="22"/>
          <w:lang w:val="fr-CA"/>
        </w:rPr>
        <w:t xml:space="preserve">] </w:t>
      </w:r>
      <w:r w:rsidRPr="003F758F">
        <w:rPr>
          <w:lang w:val="fr-CA"/>
        </w:rPr>
        <w:t>sur l</w:t>
      </w:r>
      <w:r>
        <w:rPr>
          <w:lang w:val="fr-CA"/>
        </w:rPr>
        <w:t>’</w:t>
      </w:r>
      <w:r w:rsidRPr="003F758F">
        <w:rPr>
          <w:lang w:val="fr-CA"/>
        </w:rPr>
        <w:t>évolution en cours du domaine de la traçabilité, en incluant les moyens de prendre en compte cette dernière dans les bases de données, ainsi que la façon dont ces dernières peuvent éclairer les discussions relatives à l</w:t>
      </w:r>
      <w:r>
        <w:rPr>
          <w:lang w:val="fr-CA"/>
        </w:rPr>
        <w:t>’</w:t>
      </w:r>
      <w:r w:rsidRPr="003F758F">
        <w:rPr>
          <w:lang w:val="fr-CA"/>
        </w:rPr>
        <w:t>information de séquençage numérique sur les ressources génétiques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i/>
          <w:kern w:val="22"/>
          <w:lang w:val="fr-CA"/>
        </w:rPr>
      </w:pPr>
      <w:r w:rsidRPr="00441D60">
        <w:rPr>
          <w:kern w:val="22"/>
          <w:lang w:val="fr-CA"/>
        </w:rPr>
        <w:t>[c)</w:t>
      </w:r>
      <w:r w:rsidRPr="00441D60">
        <w:rPr>
          <w:kern w:val="22"/>
          <w:lang w:val="fr-CA"/>
        </w:rPr>
        <w:tab/>
      </w:r>
      <w:r w:rsidRPr="003F758F">
        <w:rPr>
          <w:lang w:val="fr-CA"/>
        </w:rPr>
        <w:t xml:space="preserve">Commander une étude </w:t>
      </w:r>
      <w:r w:rsidRPr="00441D60">
        <w:rPr>
          <w:kern w:val="22"/>
          <w:lang w:val="fr-CA"/>
        </w:rPr>
        <w:t>[</w:t>
      </w:r>
      <w:r>
        <w:rPr>
          <w:kern w:val="22"/>
          <w:lang w:val="fr-CA"/>
        </w:rPr>
        <w:t>évaluée par des pairs</w:t>
      </w:r>
      <w:r w:rsidRPr="00441D60">
        <w:rPr>
          <w:kern w:val="22"/>
          <w:lang w:val="fr-CA"/>
        </w:rPr>
        <w:t xml:space="preserve">] </w:t>
      </w:r>
      <w:r w:rsidRPr="003F758F">
        <w:rPr>
          <w:lang w:val="fr-CA"/>
        </w:rPr>
        <w:t>sur le partage des avantages associés à l</w:t>
      </w:r>
      <w:r>
        <w:rPr>
          <w:lang w:val="fr-CA"/>
        </w:rPr>
        <w:t>’</w:t>
      </w:r>
      <w:r w:rsidRPr="003F758F">
        <w:rPr>
          <w:lang w:val="fr-CA"/>
        </w:rPr>
        <w:t>information de séquençage numérique, en incluant un examen des différentes formes choisies pour les avantages découlant des utilisations non commerciales et commerciales, et des incidences de la numérisation de l</w:t>
      </w:r>
      <w:r>
        <w:rPr>
          <w:lang w:val="fr-CA"/>
        </w:rPr>
        <w:t>’</w:t>
      </w:r>
      <w:r w:rsidRPr="003F758F">
        <w:rPr>
          <w:lang w:val="fr-CA"/>
        </w:rPr>
        <w:t>information sur le partage des avantages dans d</w:t>
      </w:r>
      <w:r>
        <w:rPr>
          <w:lang w:val="fr-CA"/>
        </w:rPr>
        <w:t>’</w:t>
      </w:r>
      <w:r w:rsidRPr="003F758F">
        <w:rPr>
          <w:lang w:val="fr-CA"/>
        </w:rPr>
        <w:t>autres secteurs, notamment les enseignements éventuels de l</w:t>
      </w:r>
      <w:r>
        <w:rPr>
          <w:lang w:val="fr-CA"/>
        </w:rPr>
        <w:t>’</w:t>
      </w:r>
      <w:r w:rsidRPr="003F758F">
        <w:rPr>
          <w:lang w:val="fr-CA"/>
        </w:rPr>
        <w:t>industrie de la musique, de l</w:t>
      </w:r>
      <w:r>
        <w:rPr>
          <w:lang w:val="fr-CA"/>
        </w:rPr>
        <w:t>’</w:t>
      </w:r>
      <w:r w:rsidRPr="003F758F">
        <w:rPr>
          <w:lang w:val="fr-CA"/>
        </w:rPr>
        <w:t>informatique, de l</w:t>
      </w:r>
      <w:r>
        <w:rPr>
          <w:lang w:val="fr-CA"/>
        </w:rPr>
        <w:t>’</w:t>
      </w:r>
      <w:r w:rsidRPr="003F758F">
        <w:rPr>
          <w:lang w:val="fr-CA"/>
        </w:rPr>
        <w:t>édition</w:t>
      </w:r>
      <w:r>
        <w:rPr>
          <w:lang w:val="fr-CA"/>
        </w:rPr>
        <w:t xml:space="preserve"> ainsi que d’autres industries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kern w:val="22"/>
          <w:lang w:val="fr-CA"/>
        </w:rPr>
      </w:pPr>
      <w:r w:rsidRPr="00441D60">
        <w:rPr>
          <w:kern w:val="22"/>
          <w:lang w:val="fr-CA"/>
        </w:rPr>
        <w:lastRenderedPageBreak/>
        <w:t>d)</w:t>
      </w:r>
      <w:r w:rsidRPr="00441D60">
        <w:rPr>
          <w:kern w:val="22"/>
          <w:lang w:val="fr-CA"/>
        </w:rPr>
        <w:tab/>
      </w:r>
      <w:r>
        <w:rPr>
          <w:lang w:val="fr-CA"/>
        </w:rPr>
        <w:t>Mettre les</w:t>
      </w:r>
      <w:r w:rsidRPr="003F758F">
        <w:rPr>
          <w:lang w:val="fr-CA"/>
        </w:rPr>
        <w:t xml:space="preserve"> études et </w:t>
      </w:r>
      <w:r>
        <w:rPr>
          <w:lang w:val="fr-CA"/>
        </w:rPr>
        <w:t>l</w:t>
      </w:r>
      <w:r w:rsidRPr="003F758F">
        <w:rPr>
          <w:lang w:val="fr-CA"/>
        </w:rPr>
        <w:t>es compilations des points de vue</w:t>
      </w:r>
      <w:r>
        <w:rPr>
          <w:lang w:val="fr-CA"/>
        </w:rPr>
        <w:t xml:space="preserve"> à la disposition des Parties et</w:t>
      </w:r>
      <w:r w:rsidRPr="003F758F">
        <w:rPr>
          <w:lang w:val="fr-CA"/>
        </w:rPr>
        <w:t xml:space="preserve"> </w:t>
      </w:r>
      <w:r>
        <w:rPr>
          <w:lang w:val="fr-CA"/>
        </w:rPr>
        <w:t xml:space="preserve">du </w:t>
      </w:r>
      <w:r w:rsidRPr="003F758F">
        <w:rPr>
          <w:lang w:val="fr-CA"/>
        </w:rPr>
        <w:t>groupe spécial d</w:t>
      </w:r>
      <w:r>
        <w:rPr>
          <w:lang w:val="fr-CA"/>
        </w:rPr>
        <w:t>’</w:t>
      </w:r>
      <w:r w:rsidRPr="003F758F">
        <w:rPr>
          <w:lang w:val="fr-CA"/>
        </w:rPr>
        <w:t>experts technique</w:t>
      </w:r>
      <w:r>
        <w:rPr>
          <w:lang w:val="fr-CA"/>
        </w:rPr>
        <w:t xml:space="preserve"> pour sa considération;</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20" w:firstLine="720"/>
        <w:rPr>
          <w:i/>
          <w:kern w:val="22"/>
          <w:lang w:val="fr-CA"/>
        </w:rPr>
      </w:pPr>
      <w:r w:rsidRPr="00441D60">
        <w:rPr>
          <w:kern w:val="22"/>
          <w:lang w:val="fr-CA"/>
        </w:rPr>
        <w:t>e)</w:t>
      </w:r>
      <w:r w:rsidRPr="00441D60">
        <w:rPr>
          <w:kern w:val="22"/>
          <w:lang w:val="fr-CA"/>
        </w:rPr>
        <w:tab/>
      </w:r>
      <w:r w:rsidRPr="003F758F">
        <w:rPr>
          <w:lang w:val="fr-CA"/>
        </w:rPr>
        <w:t>Convoquer une discussion en ligne à composition non limitée en l</w:t>
      </w:r>
      <w:r>
        <w:rPr>
          <w:lang w:val="fr-CA"/>
        </w:rPr>
        <w:t>’</w:t>
      </w:r>
      <w:r w:rsidRPr="003F758F">
        <w:rPr>
          <w:lang w:val="fr-CA"/>
        </w:rPr>
        <w:t>encadrant, afin d</w:t>
      </w:r>
      <w:r>
        <w:rPr>
          <w:lang w:val="fr-CA"/>
        </w:rPr>
        <w:t>’</w:t>
      </w:r>
      <w:r w:rsidRPr="003F758F">
        <w:rPr>
          <w:lang w:val="fr-CA"/>
        </w:rPr>
        <w:t>appuyer les travaux effectués par le groupe spécial d</w:t>
      </w:r>
      <w:r>
        <w:rPr>
          <w:lang w:val="fr-CA"/>
        </w:rPr>
        <w:t>’</w:t>
      </w:r>
      <w:r w:rsidRPr="003F758F">
        <w:rPr>
          <w:lang w:val="fr-CA"/>
        </w:rPr>
        <w:t xml:space="preserve">experts techniques créé au paragraphe 10 </w:t>
      </w:r>
      <w:r w:rsidRPr="003F758F">
        <w:rPr>
          <w:noProof/>
          <w:lang w:val="fr-CA"/>
        </w:rPr>
        <w:t>ci</w:t>
      </w:r>
      <w:r>
        <w:rPr>
          <w:noProof/>
          <w:lang w:val="fr-CA"/>
        </w:rPr>
        <w:noBreakHyphen/>
      </w:r>
      <w:r w:rsidRPr="003F758F">
        <w:rPr>
          <w:noProof/>
          <w:lang w:val="fr-CA"/>
        </w:rPr>
        <w:t>dessus au titre de son</w:t>
      </w:r>
      <w:r w:rsidRPr="003F758F">
        <w:rPr>
          <w:lang w:val="fr-CA"/>
        </w:rPr>
        <w:t xml:space="preserve"> mandat</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firstLine="567"/>
        <w:rPr>
          <w:kern w:val="22"/>
          <w:lang w:val="fr-CA"/>
        </w:rPr>
      </w:pPr>
      <w:r w:rsidRPr="00441D60">
        <w:rPr>
          <w:kern w:val="22"/>
          <w:lang w:val="fr-CA"/>
        </w:rPr>
        <w:t>[21.</w:t>
      </w:r>
      <w:r w:rsidRPr="00441D60">
        <w:rPr>
          <w:kern w:val="22"/>
          <w:lang w:val="fr-CA"/>
        </w:rPr>
        <w:tab/>
      </w:r>
      <w:r w:rsidRPr="003F758F">
        <w:rPr>
          <w:i/>
          <w:lang w:val="fr-CA"/>
        </w:rPr>
        <w:t>Prie</w:t>
      </w:r>
      <w:r w:rsidRPr="003F758F">
        <w:rPr>
          <w:iCs/>
          <w:lang w:val="fr-CA"/>
        </w:rPr>
        <w:t xml:space="preserve"> l</w:t>
      </w:r>
      <w:r>
        <w:rPr>
          <w:iCs/>
          <w:lang w:val="fr-CA"/>
        </w:rPr>
        <w:t>’</w:t>
      </w:r>
      <w:r w:rsidRPr="003F758F">
        <w:rPr>
          <w:iCs/>
          <w:lang w:val="fr-CA"/>
        </w:rPr>
        <w:t>Organe subsidiaire chargé de fournir des avis scientifiques, techniques et technologiques d</w:t>
      </w:r>
      <w:r>
        <w:rPr>
          <w:iCs/>
          <w:lang w:val="fr-CA"/>
        </w:rPr>
        <w:t>’</w:t>
      </w:r>
      <w:r w:rsidRPr="003F758F">
        <w:rPr>
          <w:iCs/>
          <w:lang w:val="fr-CA"/>
        </w:rPr>
        <w:t>examiner les résultats du groupe spécial d</w:t>
      </w:r>
      <w:r>
        <w:rPr>
          <w:iCs/>
          <w:lang w:val="fr-CA"/>
        </w:rPr>
        <w:t>’</w:t>
      </w:r>
      <w:r w:rsidRPr="003F758F">
        <w:rPr>
          <w:iCs/>
          <w:lang w:val="fr-CA"/>
        </w:rPr>
        <w:t>experts techniques, et de formuler une recommandation aux fins d</w:t>
      </w:r>
      <w:r>
        <w:rPr>
          <w:iCs/>
          <w:lang w:val="fr-CA"/>
        </w:rPr>
        <w:t>’</w:t>
      </w:r>
      <w:r w:rsidRPr="003F758F">
        <w:rPr>
          <w:iCs/>
          <w:lang w:val="fr-CA"/>
        </w:rPr>
        <w:t>examen par la Conférence des Parties à sa quinzième réunion</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firstLine="567"/>
        <w:rPr>
          <w:kern w:val="22"/>
          <w:lang w:val="fr-CA"/>
        </w:rPr>
      </w:pPr>
      <w:r w:rsidRPr="00441D60">
        <w:rPr>
          <w:kern w:val="22"/>
          <w:lang w:val="fr-CA"/>
        </w:rPr>
        <w:t>22.</w:t>
      </w:r>
      <w:r w:rsidRPr="00441D60">
        <w:rPr>
          <w:kern w:val="22"/>
          <w:lang w:val="fr-CA"/>
        </w:rPr>
        <w:tab/>
      </w:r>
      <w:r w:rsidRPr="003F758F">
        <w:rPr>
          <w:i/>
          <w:lang w:val="fr-CA"/>
        </w:rPr>
        <w:t>Constat</w:t>
      </w:r>
      <w:r>
        <w:rPr>
          <w:i/>
          <w:lang w:val="fr-CA"/>
        </w:rPr>
        <w:t>e</w:t>
      </w:r>
      <w:r w:rsidRPr="003F758F">
        <w:rPr>
          <w:i/>
          <w:lang w:val="fr-CA"/>
        </w:rPr>
        <w:t xml:space="preserve"> </w:t>
      </w:r>
      <w:r w:rsidRPr="003F758F">
        <w:rPr>
          <w:iCs/>
          <w:lang w:val="fr-CA"/>
        </w:rPr>
        <w:t>que la production, l</w:t>
      </w:r>
      <w:r>
        <w:rPr>
          <w:iCs/>
          <w:lang w:val="fr-CA"/>
        </w:rPr>
        <w:t>’</w:t>
      </w:r>
      <w:r w:rsidRPr="003F758F">
        <w:rPr>
          <w:iCs/>
          <w:lang w:val="fr-CA"/>
        </w:rPr>
        <w:t>utilisation et la gestion de l</w:t>
      </w:r>
      <w:r>
        <w:rPr>
          <w:iCs/>
          <w:lang w:val="fr-CA"/>
        </w:rPr>
        <w:t>’</w:t>
      </w:r>
      <w:r w:rsidRPr="003F758F">
        <w:rPr>
          <w:iCs/>
          <w:lang w:val="fr-CA"/>
        </w:rPr>
        <w:t>information de séquençage numérique sont dynamiques et influencées par les évolutions technologiques et scientifiques,</w:t>
      </w:r>
      <w:r>
        <w:rPr>
          <w:iCs/>
          <w:lang w:val="fr-CA"/>
        </w:rPr>
        <w:t xml:space="preserve"> et</w:t>
      </w:r>
      <w:r w:rsidRPr="003F758F">
        <w:rPr>
          <w:iCs/>
          <w:lang w:val="fr-CA"/>
        </w:rPr>
        <w:t xml:space="preserve"> </w:t>
      </w:r>
      <w:r w:rsidRPr="003F758F">
        <w:rPr>
          <w:i/>
          <w:lang w:val="fr-CA"/>
        </w:rPr>
        <w:t>note</w:t>
      </w:r>
      <w:r w:rsidRPr="003F758F">
        <w:rPr>
          <w:iCs/>
          <w:lang w:val="fr-CA"/>
        </w:rPr>
        <w:t xml:space="preserve"> qu</w:t>
      </w:r>
      <w:r>
        <w:rPr>
          <w:iCs/>
          <w:lang w:val="fr-CA"/>
        </w:rPr>
        <w:t>’</w:t>
      </w:r>
      <w:r w:rsidRPr="003F758F">
        <w:rPr>
          <w:iCs/>
          <w:lang w:val="fr-CA"/>
        </w:rPr>
        <w:t>il est nécessaire d</w:t>
      </w:r>
      <w:r>
        <w:rPr>
          <w:iCs/>
          <w:lang w:val="fr-CA"/>
        </w:rPr>
        <w:t>’</w:t>
      </w:r>
      <w:r w:rsidRPr="003F758F">
        <w:rPr>
          <w:iCs/>
          <w:lang w:val="fr-CA"/>
        </w:rPr>
        <w:t>analyser de manière prospective et régulière les faits survenant dans le domaine de l</w:t>
      </w:r>
      <w:r>
        <w:rPr>
          <w:iCs/>
          <w:lang w:val="fr-CA"/>
        </w:rPr>
        <w:t>’</w:t>
      </w:r>
      <w:r w:rsidRPr="003F758F">
        <w:rPr>
          <w:iCs/>
          <w:lang w:val="fr-CA"/>
        </w:rPr>
        <w:t>information de séquençage numérique sur les ressources génétiques, aux fins d</w:t>
      </w:r>
      <w:r>
        <w:rPr>
          <w:iCs/>
          <w:lang w:val="fr-CA"/>
        </w:rPr>
        <w:t>’</w:t>
      </w:r>
      <w:r w:rsidRPr="003F758F">
        <w:rPr>
          <w:iCs/>
          <w:lang w:val="fr-CA"/>
        </w:rPr>
        <w:t xml:space="preserve">examiner leurs répercussions potentielles sur les objectifs de la </w:t>
      </w:r>
      <w:r w:rsidRPr="003F758F">
        <w:rPr>
          <w:lang w:val="fr-CA"/>
        </w:rPr>
        <w:t>Convention et du Protocole de Nagoya</w:t>
      </w:r>
      <w:r>
        <w:rPr>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360"/>
        <w:ind w:left="709" w:firstLine="567"/>
        <w:rPr>
          <w:i/>
          <w:kern w:val="22"/>
          <w:lang w:val="fr-CA"/>
        </w:rPr>
      </w:pPr>
      <w:r w:rsidRPr="00441D60">
        <w:rPr>
          <w:kern w:val="22"/>
          <w:lang w:val="fr-CA"/>
        </w:rPr>
        <w:t>23.</w:t>
      </w:r>
      <w:r w:rsidRPr="00441D60">
        <w:rPr>
          <w:kern w:val="22"/>
          <w:lang w:val="fr-CA"/>
        </w:rPr>
        <w:tab/>
      </w:r>
      <w:r>
        <w:rPr>
          <w:i/>
          <w:lang w:val="fr-CA"/>
        </w:rPr>
        <w:t>Note</w:t>
      </w:r>
      <w:r w:rsidRPr="003F758F">
        <w:rPr>
          <w:iCs/>
          <w:lang w:val="fr-CA"/>
        </w:rPr>
        <w:t xml:space="preserve"> que la question de l</w:t>
      </w:r>
      <w:r>
        <w:rPr>
          <w:iCs/>
          <w:lang w:val="fr-CA"/>
        </w:rPr>
        <w:t>’</w:t>
      </w:r>
      <w:r w:rsidRPr="003F758F">
        <w:rPr>
          <w:iCs/>
          <w:lang w:val="fr-CA"/>
        </w:rPr>
        <w:t xml:space="preserve">information de séquençage numérique sur les ressources génétiques est actuellement examinée dans plusieurs instances </w:t>
      </w:r>
      <w:r w:rsidRPr="003F758F">
        <w:rPr>
          <w:lang w:val="fr-CA"/>
        </w:rPr>
        <w:t>internationales,</w:t>
      </w:r>
      <w:r>
        <w:rPr>
          <w:lang w:val="fr-CA"/>
        </w:rPr>
        <w:t xml:space="preserve"> et</w:t>
      </w:r>
      <w:r w:rsidRPr="003F758F">
        <w:rPr>
          <w:lang w:val="fr-CA"/>
        </w:rPr>
        <w:t xml:space="preserve"> </w:t>
      </w:r>
      <w:r w:rsidRPr="003F758F">
        <w:rPr>
          <w:i/>
          <w:iCs/>
          <w:lang w:val="fr-CA"/>
        </w:rPr>
        <w:t>prie</w:t>
      </w:r>
      <w:r w:rsidRPr="003F758F">
        <w:rPr>
          <w:lang w:val="fr-CA"/>
        </w:rPr>
        <w:t xml:space="preserve"> la Secrétaire exécutive de continuer à participer et à collaborer aux procédures et débats de politique générale perti</w:t>
      </w:r>
      <w:r>
        <w:rPr>
          <w:lang w:val="fr-CA"/>
        </w:rPr>
        <w:t>nents en cours, afin de recueilli</w:t>
      </w:r>
      <w:r w:rsidRPr="003F758F">
        <w:rPr>
          <w:lang w:val="fr-CA"/>
        </w:rPr>
        <w:t>r des informations sur les échanges relatifs à l</w:t>
      </w:r>
      <w:r>
        <w:rPr>
          <w:lang w:val="fr-CA"/>
        </w:rPr>
        <w:t>’</w:t>
      </w:r>
      <w:r w:rsidRPr="003F758F">
        <w:rPr>
          <w:lang w:val="fr-CA"/>
        </w:rPr>
        <w:t>utilisation de cette information qui présentent un intérêt pour la Convention et le Protocole de Nagoya.</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contextualSpacing w:val="0"/>
        <w:jc w:val="center"/>
        <w:rPr>
          <w:i/>
          <w:kern w:val="22"/>
          <w:lang w:val="fr-CA"/>
        </w:rPr>
      </w:pPr>
      <w:r w:rsidRPr="00441D60">
        <w:rPr>
          <w:kern w:val="22"/>
          <w:lang w:val="fr-CA"/>
        </w:rPr>
        <w:t>[</w:t>
      </w:r>
      <w:r w:rsidRPr="00441D60">
        <w:rPr>
          <w:i/>
          <w:kern w:val="22"/>
          <w:lang w:val="fr-CA"/>
        </w:rPr>
        <w:t>Annex</w:t>
      </w:r>
      <w:r>
        <w:rPr>
          <w:i/>
          <w:kern w:val="22"/>
          <w:lang w:val="fr-CA"/>
        </w:rPr>
        <w:t>e</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240"/>
        <w:contextualSpacing w:val="0"/>
        <w:jc w:val="center"/>
        <w:rPr>
          <w:b/>
          <w:kern w:val="22"/>
          <w:lang w:val="fr-CA"/>
        </w:rPr>
      </w:pPr>
      <w:r w:rsidRPr="003F758F">
        <w:rPr>
          <w:b/>
          <w:lang w:val="fr-CA"/>
        </w:rPr>
        <w:t>MANDAT DU DEUXIÈME GROUPE SPÉCIAL D</w:t>
      </w:r>
      <w:r>
        <w:rPr>
          <w:b/>
          <w:lang w:val="fr-CA"/>
        </w:rPr>
        <w:t>’</w:t>
      </w:r>
      <w:r w:rsidRPr="003F758F">
        <w:rPr>
          <w:b/>
          <w:lang w:val="fr-CA"/>
        </w:rPr>
        <w:t>EXPERTS TECHNIQUES SUR L</w:t>
      </w:r>
      <w:r>
        <w:rPr>
          <w:b/>
          <w:lang w:val="fr-CA"/>
        </w:rPr>
        <w:t>’</w:t>
      </w:r>
      <w:r w:rsidRPr="003F758F">
        <w:rPr>
          <w:b/>
          <w:lang w:val="fr-CA"/>
        </w:rPr>
        <w:t>INFORMATION DE SÉQUENÇAGE NUMÉRIQUE SUR LES RESSOURCES GÉNÉTIQUES</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rPr>
          <w:kern w:val="22"/>
          <w:lang w:val="fr-CA"/>
        </w:rPr>
      </w:pPr>
      <w:r w:rsidRPr="003F758F">
        <w:rPr>
          <w:lang w:val="fr-CA"/>
        </w:rPr>
        <w:t>Le groupe spécial d</w:t>
      </w:r>
      <w:r>
        <w:rPr>
          <w:lang w:val="fr-CA"/>
        </w:rPr>
        <w:t>’</w:t>
      </w:r>
      <w:r w:rsidRPr="003F758F">
        <w:rPr>
          <w:lang w:val="fr-CA"/>
        </w:rPr>
        <w:t>experts techniques doit :</w:t>
      </w:r>
    </w:p>
    <w:p w:rsidR="00DC2190" w:rsidRPr="003F758F" w:rsidRDefault="00DC2190" w:rsidP="00DC2190">
      <w:pPr>
        <w:spacing w:before="120" w:after="120"/>
        <w:ind w:left="709" w:firstLine="850"/>
        <w:rPr>
          <w:lang w:val="fr-CA"/>
        </w:rPr>
      </w:pPr>
      <w:r w:rsidRPr="003F758F">
        <w:rPr>
          <w:lang w:val="fr-CA"/>
        </w:rPr>
        <w:t>a)</w:t>
      </w:r>
      <w:r w:rsidRPr="003F758F">
        <w:rPr>
          <w:lang w:val="fr-CA"/>
        </w:rPr>
        <w:tab/>
        <w:t>Prendre en considération :</w:t>
      </w:r>
    </w:p>
    <w:p w:rsidR="00DC2190" w:rsidRPr="003F758F" w:rsidRDefault="00DC2190" w:rsidP="00DC2190">
      <w:pPr>
        <w:spacing w:before="120" w:after="120"/>
        <w:ind w:left="2835" w:hanging="708"/>
        <w:rPr>
          <w:lang w:val="fr-CA"/>
        </w:rPr>
      </w:pPr>
      <w:r w:rsidRPr="003F758F">
        <w:rPr>
          <w:lang w:val="fr-CA"/>
        </w:rPr>
        <w:t>i)</w:t>
      </w:r>
      <w:r w:rsidRPr="003F758F">
        <w:rPr>
          <w:lang w:val="fr-CA"/>
        </w:rPr>
        <w:tab/>
        <w:t>La compilation et la synthèse des points de vue et des informations relatifs à l</w:t>
      </w:r>
      <w:r>
        <w:rPr>
          <w:lang w:val="fr-CA"/>
        </w:rPr>
        <w:t>’</w:t>
      </w:r>
      <w:r w:rsidRPr="003F758F">
        <w:rPr>
          <w:lang w:val="fr-CA"/>
        </w:rPr>
        <w:t>information de séquençage numérique sur les ressources génétiques présentées conformément à la décision XIII/16</w:t>
      </w:r>
      <w:r w:rsidR="00090E10">
        <w:rPr>
          <w:lang w:val="fr-CA"/>
        </w:rPr>
        <w:t>;</w:t>
      </w:r>
      <w:r w:rsidRPr="00090E10">
        <w:rPr>
          <w:rStyle w:val="FootnoteReference"/>
          <w:rFonts w:eastAsiaTheme="majorEastAsia"/>
          <w:sz w:val="20"/>
          <w:szCs w:val="20"/>
          <w:u w:val="none"/>
          <w:vertAlign w:val="superscript"/>
          <w:lang w:val="fr-CA"/>
        </w:rPr>
        <w:footnoteReference w:id="5"/>
      </w:r>
    </w:p>
    <w:p w:rsidR="00DC2190" w:rsidRPr="003F758F" w:rsidRDefault="00DC2190" w:rsidP="00DC2190">
      <w:pPr>
        <w:spacing w:before="120" w:after="120"/>
        <w:ind w:left="2835" w:hanging="708"/>
        <w:rPr>
          <w:lang w:val="fr-CA"/>
        </w:rPr>
      </w:pPr>
      <w:r w:rsidRPr="003F758F">
        <w:rPr>
          <w:lang w:val="fr-CA"/>
        </w:rPr>
        <w:t>ii)</w:t>
      </w:r>
      <w:r w:rsidRPr="003F758F">
        <w:rPr>
          <w:lang w:val="fr-CA"/>
        </w:rPr>
        <w:tab/>
        <w:t>L</w:t>
      </w:r>
      <w:r>
        <w:rPr>
          <w:lang w:val="fr-CA"/>
        </w:rPr>
        <w:t>’</w:t>
      </w:r>
      <w:r w:rsidRPr="003F758F">
        <w:rPr>
          <w:lang w:val="fr-CA"/>
        </w:rPr>
        <w:t>étude factuelle et exploratoire qui clarifie la terminologie et les concepts, et évalue l</w:t>
      </w:r>
      <w:r>
        <w:rPr>
          <w:lang w:val="fr-CA"/>
        </w:rPr>
        <w:t>’</w:t>
      </w:r>
      <w:r w:rsidRPr="003F758F">
        <w:rPr>
          <w:lang w:val="fr-CA"/>
        </w:rPr>
        <w:t>étendue et les modalités d</w:t>
      </w:r>
      <w:r>
        <w:rPr>
          <w:lang w:val="fr-CA"/>
        </w:rPr>
        <w:t>’</w:t>
      </w:r>
      <w:r w:rsidRPr="003F758F">
        <w:rPr>
          <w:lang w:val="fr-CA"/>
        </w:rPr>
        <w:t>utilisation de l</w:t>
      </w:r>
      <w:r>
        <w:rPr>
          <w:lang w:val="fr-CA"/>
        </w:rPr>
        <w:t>’</w:t>
      </w:r>
      <w:r w:rsidRPr="003F758F">
        <w:rPr>
          <w:lang w:val="fr-CA"/>
        </w:rPr>
        <w:t>information de séquençage numérique sur les ressources génétiques dans le cadre de la Convention et du Protocole de Nagoya, entreprise conformément à la décision XIII/16</w:t>
      </w:r>
      <w:r>
        <w:rPr>
          <w:lang w:val="fr-CA"/>
        </w:rPr>
        <w:t>;</w:t>
      </w:r>
      <w:r w:rsidRPr="00090E10">
        <w:rPr>
          <w:rStyle w:val="FootnoteReference"/>
          <w:rFonts w:eastAsiaTheme="majorEastAsia"/>
          <w:sz w:val="20"/>
          <w:szCs w:val="20"/>
          <w:u w:val="none"/>
          <w:vertAlign w:val="superscript"/>
          <w:lang w:val="fr-CA"/>
        </w:rPr>
        <w:footnoteReference w:id="6"/>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2835" w:hanging="634"/>
        <w:rPr>
          <w:kern w:val="22"/>
          <w:lang w:val="fr-CA"/>
        </w:rPr>
      </w:pPr>
      <w:r w:rsidRPr="003F758F">
        <w:rPr>
          <w:lang w:val="fr-CA"/>
        </w:rPr>
        <w:t>ii</w:t>
      </w:r>
      <w:r>
        <w:rPr>
          <w:lang w:val="fr-CA"/>
        </w:rPr>
        <w:t>i)</w:t>
      </w:r>
      <w:r>
        <w:rPr>
          <w:lang w:val="fr-CA"/>
        </w:rPr>
        <w:tab/>
        <w:t xml:space="preserve">Le rapport du premier groupe </w:t>
      </w:r>
      <w:r w:rsidRPr="003F758F">
        <w:rPr>
          <w:lang w:val="fr-CA"/>
        </w:rPr>
        <w:t>spécial d</w:t>
      </w:r>
      <w:r>
        <w:rPr>
          <w:lang w:val="fr-CA"/>
        </w:rPr>
        <w:t>’</w:t>
      </w:r>
      <w:r w:rsidRPr="003F758F">
        <w:rPr>
          <w:lang w:val="fr-CA"/>
        </w:rPr>
        <w:t>experts techniques sur l</w:t>
      </w:r>
      <w:r>
        <w:rPr>
          <w:lang w:val="fr-CA"/>
        </w:rPr>
        <w:t>’</w:t>
      </w:r>
      <w:r w:rsidRPr="003F758F">
        <w:rPr>
          <w:lang w:val="fr-CA"/>
        </w:rPr>
        <w:t>information de séquençage numérique sur les ressources génétiques</w:t>
      </w:r>
      <w:r w:rsidR="00090E10">
        <w:rPr>
          <w:lang w:val="fr-CA"/>
        </w:rPr>
        <w:t>;</w:t>
      </w:r>
      <w:r w:rsidRPr="00090E10">
        <w:rPr>
          <w:rStyle w:val="FootnoteReference"/>
          <w:rFonts w:eastAsiaTheme="majorEastAsia"/>
          <w:sz w:val="20"/>
          <w:szCs w:val="20"/>
          <w:u w:val="none"/>
          <w:vertAlign w:val="superscript"/>
          <w:lang w:val="fr-CA"/>
        </w:rPr>
        <w:footnoteReference w:id="7"/>
      </w:r>
    </w:p>
    <w:p w:rsidR="00DC2190" w:rsidRPr="003F758F" w:rsidRDefault="00DC2190" w:rsidP="00DC2190">
      <w:pPr>
        <w:ind w:left="709" w:firstLine="850"/>
        <w:rPr>
          <w:lang w:val="fr-CA"/>
        </w:rPr>
      </w:pPr>
      <w:r w:rsidRPr="003F758F">
        <w:rPr>
          <w:lang w:val="fr-CA"/>
        </w:rPr>
        <w:t>b)</w:t>
      </w:r>
      <w:r w:rsidRPr="003F758F">
        <w:rPr>
          <w:lang w:val="fr-CA"/>
        </w:rPr>
        <w:tab/>
        <w:t>Examiner la compilation des points de vue et des informations, ainsi que les études additionnelle</w:t>
      </w:r>
      <w:r>
        <w:rPr>
          <w:lang w:val="fr-CA"/>
        </w:rPr>
        <w:t>s mentionnées aux paragraphes 20</w:t>
      </w:r>
      <w:r w:rsidRPr="003F758F">
        <w:rPr>
          <w:lang w:val="fr-CA"/>
        </w:rPr>
        <w:t xml:space="preserve"> a), </w:t>
      </w:r>
      <w:r>
        <w:rPr>
          <w:lang w:val="fr-CA"/>
        </w:rPr>
        <w:t>[</w:t>
      </w:r>
      <w:r w:rsidRPr="003F758F">
        <w:rPr>
          <w:lang w:val="fr-CA"/>
        </w:rPr>
        <w:t>b)</w:t>
      </w:r>
      <w:r>
        <w:rPr>
          <w:lang w:val="fr-CA"/>
        </w:rPr>
        <w:t>]</w:t>
      </w:r>
      <w:r w:rsidRPr="003F758F">
        <w:rPr>
          <w:lang w:val="fr-CA"/>
        </w:rPr>
        <w:t> et [c)] de la présente décision</w:t>
      </w:r>
      <w:r>
        <w:rPr>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firstLine="850"/>
        <w:rPr>
          <w:kern w:val="22"/>
          <w:lang w:val="fr-CA"/>
        </w:rPr>
      </w:pPr>
      <w:r w:rsidRPr="003F758F">
        <w:rPr>
          <w:lang w:val="fr-CA"/>
        </w:rPr>
        <w:t>c)</w:t>
      </w:r>
      <w:r w:rsidRPr="003F758F" w:rsidDel="00A93979">
        <w:rPr>
          <w:lang w:val="fr-CA"/>
        </w:rPr>
        <w:tab/>
      </w:r>
      <w:r w:rsidRPr="003F758F">
        <w:rPr>
          <w:lang w:val="fr-CA"/>
        </w:rPr>
        <w:t>Clarifier le concept d</w:t>
      </w:r>
      <w:r>
        <w:rPr>
          <w:lang w:val="fr-CA"/>
        </w:rPr>
        <w:t>’</w:t>
      </w:r>
      <w:r w:rsidRPr="003F758F">
        <w:rPr>
          <w:lang w:val="fr-CA"/>
        </w:rPr>
        <w:t>information de séquençage numérique dans le cadre de la Convention et du Protocole de Nagoya, et désigner un terme fonctionnel</w:t>
      </w:r>
      <w:r w:rsidRPr="00441D60" w:rsidDel="00A93979">
        <w:rPr>
          <w:kern w:val="22"/>
          <w:lang w:val="fr-CA"/>
        </w:rPr>
        <w:t>;</w:t>
      </w:r>
    </w:p>
    <w:p w:rsidR="00DC2190" w:rsidRPr="00441D60" w:rsidDel="00A93979" w:rsidRDefault="00DC2190" w:rsidP="00DC2190">
      <w:pPr>
        <w:suppressLineNumbers/>
        <w:suppressAutoHyphens/>
        <w:kinsoku w:val="0"/>
        <w:overflowPunct w:val="0"/>
        <w:autoSpaceDE w:val="0"/>
        <w:autoSpaceDN w:val="0"/>
        <w:adjustRightInd w:val="0"/>
        <w:snapToGrid w:val="0"/>
        <w:spacing w:before="120" w:after="120"/>
        <w:ind w:left="709" w:firstLine="850"/>
        <w:rPr>
          <w:kern w:val="22"/>
          <w:lang w:val="fr-CA"/>
        </w:rPr>
      </w:pPr>
      <w:r w:rsidRPr="00441D60">
        <w:rPr>
          <w:kern w:val="22"/>
          <w:lang w:val="fr-CA"/>
        </w:rPr>
        <w:lastRenderedPageBreak/>
        <w:t>[</w:t>
      </w:r>
      <w:r w:rsidRPr="003F758F">
        <w:rPr>
          <w:lang w:val="fr-CA"/>
        </w:rPr>
        <w:t>d)</w:t>
      </w:r>
      <w:r w:rsidRPr="003F758F">
        <w:rPr>
          <w:lang w:val="fr-CA"/>
        </w:rPr>
        <w:tab/>
        <w:t>Examiner la manière dont l</w:t>
      </w:r>
      <w:r>
        <w:rPr>
          <w:lang w:val="fr-CA"/>
        </w:rPr>
        <w:t>’</w:t>
      </w:r>
      <w:r w:rsidRPr="003F758F">
        <w:rPr>
          <w:lang w:val="fr-CA"/>
        </w:rPr>
        <w:t>évolution de la traçabilité peut éclairer les discussions relatives à l</w:t>
      </w:r>
      <w:r>
        <w:rPr>
          <w:lang w:val="fr-CA"/>
        </w:rPr>
        <w:t>’</w:t>
      </w:r>
      <w:r w:rsidRPr="003F758F">
        <w:rPr>
          <w:lang w:val="fr-CA"/>
        </w:rPr>
        <w:t>information de séquençage numérique sur les ressources génétiques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firstLine="850"/>
        <w:rPr>
          <w:kern w:val="22"/>
          <w:lang w:val="fr-CA"/>
        </w:rPr>
      </w:pPr>
      <w:r>
        <w:rPr>
          <w:kern w:val="22"/>
          <w:lang w:val="fr-CA"/>
        </w:rPr>
        <w:t>[</w:t>
      </w:r>
      <w:r w:rsidRPr="00441D60">
        <w:rPr>
          <w:kern w:val="22"/>
          <w:lang w:val="fr-CA"/>
        </w:rPr>
        <w:t>e</w:t>
      </w:r>
      <w:r w:rsidRPr="003F758F" w:rsidDel="00A93979">
        <w:rPr>
          <w:lang w:val="fr-CA"/>
        </w:rPr>
        <w:t>)</w:t>
      </w:r>
      <w:r w:rsidRPr="003F758F" w:rsidDel="00A93979">
        <w:rPr>
          <w:lang w:val="fr-CA"/>
        </w:rPr>
        <w:tab/>
      </w:r>
      <w:r w:rsidRPr="003F758F">
        <w:rPr>
          <w:lang w:val="fr-CA"/>
        </w:rPr>
        <w:t>Examiner les mesures simplifiées concernant l</w:t>
      </w:r>
      <w:r>
        <w:rPr>
          <w:lang w:val="fr-CA"/>
        </w:rPr>
        <w:t>’</w:t>
      </w:r>
      <w:r w:rsidRPr="003F758F">
        <w:rPr>
          <w:lang w:val="fr-CA"/>
        </w:rPr>
        <w:t>utilisation de l</w:t>
      </w:r>
      <w:r>
        <w:rPr>
          <w:lang w:val="fr-CA"/>
        </w:rPr>
        <w:t>’</w:t>
      </w:r>
      <w:r w:rsidRPr="003F758F">
        <w:rPr>
          <w:lang w:val="fr-CA"/>
        </w:rPr>
        <w:t>information de séquençage numérique sur les ressources génétiques</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firstLine="850"/>
        <w:rPr>
          <w:kern w:val="22"/>
          <w:lang w:val="fr-CA"/>
        </w:rPr>
      </w:pPr>
      <w:r w:rsidRPr="003F758F">
        <w:rPr>
          <w:lang w:val="fr-CA"/>
        </w:rPr>
        <w:t>f)</w:t>
      </w:r>
      <w:r w:rsidRPr="003F758F">
        <w:rPr>
          <w:lang w:val="fr-CA"/>
        </w:rPr>
        <w:tab/>
        <w:t>Envisager des mécanismes pour assurer le partage juste et équitable des avantages découlant de l</w:t>
      </w:r>
      <w:r>
        <w:rPr>
          <w:lang w:val="fr-CA"/>
        </w:rPr>
        <w:t>’</w:t>
      </w:r>
      <w:r w:rsidRPr="003F758F">
        <w:rPr>
          <w:lang w:val="fr-CA"/>
        </w:rPr>
        <w:t>utilisation commerciale de l</w:t>
      </w:r>
      <w:r>
        <w:rPr>
          <w:lang w:val="fr-CA"/>
        </w:rPr>
        <w:t>’</w:t>
      </w:r>
      <w:r w:rsidRPr="003F758F">
        <w:rPr>
          <w:lang w:val="fr-CA"/>
        </w:rPr>
        <w:t>information de séquençage numérique sur les ressources génétiques, en incluant le cas particulier des situations tr</w:t>
      </w:r>
      <w:r>
        <w:rPr>
          <w:lang w:val="fr-CA"/>
        </w:rPr>
        <w:t>ans</w:t>
      </w:r>
      <w:r w:rsidRPr="003F758F">
        <w:rPr>
          <w:lang w:val="fr-CA"/>
        </w:rPr>
        <w:t>frontières ou celui pour lequel il est impossible d</w:t>
      </w:r>
      <w:r>
        <w:rPr>
          <w:lang w:val="fr-CA"/>
        </w:rPr>
        <w:t>’</w:t>
      </w:r>
      <w:r w:rsidRPr="003F758F">
        <w:rPr>
          <w:lang w:val="fr-CA"/>
        </w:rPr>
        <w:t>identifier le pays d</w:t>
      </w:r>
      <w:r>
        <w:rPr>
          <w:lang w:val="fr-CA"/>
        </w:rPr>
        <w:t>’</w:t>
      </w:r>
      <w:r w:rsidRPr="003F758F">
        <w:rPr>
          <w:lang w:val="fr-CA"/>
        </w:rPr>
        <w:t>origine de la ressources génétique</w:t>
      </w:r>
      <w:r w:rsidRPr="00441D60">
        <w:rPr>
          <w:kern w:val="22"/>
          <w:lang w:val="fr-CA"/>
        </w:rPr>
        <w:t>;</w:t>
      </w:r>
    </w:p>
    <w:p w:rsidR="00DC2190" w:rsidRPr="003F758F" w:rsidRDefault="00DC2190" w:rsidP="00DC2190">
      <w:pPr>
        <w:spacing w:before="120" w:after="120"/>
        <w:ind w:left="709" w:firstLine="850"/>
        <w:rPr>
          <w:lang w:val="fr-CA"/>
        </w:rPr>
      </w:pPr>
      <w:r w:rsidRPr="003F758F">
        <w:rPr>
          <w:lang w:val="fr-CA"/>
        </w:rPr>
        <w:t>g)</w:t>
      </w:r>
      <w:r w:rsidRPr="003F758F">
        <w:rPr>
          <w:lang w:val="fr-CA"/>
        </w:rPr>
        <w:tab/>
        <w:t>Envisager des mécanismes pour assurer la conformité aux obligations relatives au partage des avantages découlant de l</w:t>
      </w:r>
      <w:r>
        <w:rPr>
          <w:lang w:val="fr-CA"/>
        </w:rPr>
        <w:t>’</w:t>
      </w:r>
      <w:r w:rsidRPr="003F758F">
        <w:rPr>
          <w:lang w:val="fr-CA"/>
        </w:rPr>
        <w:t>utilisation de l</w:t>
      </w:r>
      <w:r>
        <w:rPr>
          <w:lang w:val="fr-CA"/>
        </w:rPr>
        <w:t>’</w:t>
      </w:r>
      <w:r w:rsidRPr="003F758F">
        <w:rPr>
          <w:lang w:val="fr-CA"/>
        </w:rPr>
        <w:t>information de séquençage numériq</w:t>
      </w:r>
      <w:r>
        <w:rPr>
          <w:lang w:val="fr-CA"/>
        </w:rPr>
        <w:t>ue sur les ressources génétiques, ainsi que des applications ultérieures et d’une</w:t>
      </w:r>
      <w:r w:rsidRPr="003F758F">
        <w:rPr>
          <w:lang w:val="fr-CA"/>
        </w:rPr>
        <w:t xml:space="preserve"> commercialisation</w:t>
      </w:r>
      <w:r>
        <w:rPr>
          <w:lang w:val="fr-CA"/>
        </w:rPr>
        <w:t>;</w:t>
      </w:r>
      <w:r w:rsidRPr="00E21EE1">
        <w:rPr>
          <w:kern w:val="22"/>
          <w:lang w:val="fr-FR"/>
        </w:rPr>
        <w:t>]</w:t>
      </w:r>
    </w:p>
    <w:p w:rsidR="00DC2190" w:rsidRPr="00441D60" w:rsidRDefault="00DC2190" w:rsidP="00DC2190">
      <w:pPr>
        <w:suppressLineNumbers/>
        <w:suppressAutoHyphens/>
        <w:kinsoku w:val="0"/>
        <w:overflowPunct w:val="0"/>
        <w:autoSpaceDE w:val="0"/>
        <w:autoSpaceDN w:val="0"/>
        <w:adjustRightInd w:val="0"/>
        <w:snapToGrid w:val="0"/>
        <w:spacing w:before="120" w:after="120"/>
        <w:ind w:left="709" w:firstLine="850"/>
        <w:rPr>
          <w:kern w:val="22"/>
          <w:lang w:val="fr-CA"/>
        </w:rPr>
      </w:pPr>
      <w:r w:rsidRPr="003F758F">
        <w:rPr>
          <w:lang w:val="fr-CA"/>
        </w:rPr>
        <w:t xml:space="preserve">h) </w:t>
      </w:r>
      <w:r w:rsidRPr="003F758F">
        <w:rPr>
          <w:lang w:val="fr-CA"/>
        </w:rPr>
        <w:tab/>
        <w:t xml:space="preserve">Se réunir au moins une fois </w:t>
      </w:r>
      <w:r w:rsidRPr="003F758F">
        <w:rPr>
          <w:szCs w:val="22"/>
          <w:lang w:val="fr-CA"/>
        </w:rPr>
        <w:t xml:space="preserve">en </w:t>
      </w:r>
      <w:r w:rsidRPr="003F758F">
        <w:rPr>
          <w:noProof/>
          <w:szCs w:val="22"/>
          <w:lang w:val="fr-CA"/>
        </w:rPr>
        <w:t>face</w:t>
      </w:r>
      <w:r>
        <w:rPr>
          <w:noProof/>
          <w:szCs w:val="22"/>
          <w:lang w:val="fr-CA"/>
        </w:rPr>
        <w:noBreakHyphen/>
      </w:r>
      <w:r w:rsidRPr="003F758F">
        <w:rPr>
          <w:noProof/>
          <w:szCs w:val="22"/>
          <w:lang w:val="fr-CA"/>
        </w:rPr>
        <w:t>à</w:t>
      </w:r>
      <w:r>
        <w:rPr>
          <w:noProof/>
          <w:szCs w:val="22"/>
          <w:lang w:val="fr-CA"/>
        </w:rPr>
        <w:noBreakHyphen/>
      </w:r>
      <w:r w:rsidRPr="003F758F">
        <w:rPr>
          <w:noProof/>
          <w:szCs w:val="22"/>
          <w:lang w:val="fr-CA"/>
        </w:rPr>
        <w:t>face,</w:t>
      </w:r>
      <w:r w:rsidRPr="003F758F">
        <w:rPr>
          <w:szCs w:val="22"/>
          <w:lang w:val="fr-CA"/>
        </w:rPr>
        <w:t xml:space="preserve"> dans la limite des ressources financières disponibles, avant la quinzième réunion de la Conférence des Parties, et utiliser les outils en ligne pour faciliter ses travaux, selon qu</w:t>
      </w:r>
      <w:r>
        <w:rPr>
          <w:szCs w:val="22"/>
          <w:lang w:val="fr-CA"/>
        </w:rPr>
        <w:t>’</w:t>
      </w:r>
      <w:r w:rsidRPr="003F758F">
        <w:rPr>
          <w:szCs w:val="22"/>
          <w:lang w:val="fr-CA"/>
        </w:rPr>
        <w:t>il convient</w:t>
      </w:r>
      <w:r w:rsidRPr="00441D60">
        <w:rPr>
          <w:kern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before="120" w:after="240"/>
        <w:ind w:left="709" w:firstLine="850"/>
        <w:rPr>
          <w:kern w:val="22"/>
          <w:lang w:val="fr-CA"/>
        </w:rPr>
      </w:pPr>
      <w:r w:rsidRPr="003F758F">
        <w:rPr>
          <w:lang w:val="fr-CA"/>
        </w:rPr>
        <w:t>i)</w:t>
      </w:r>
      <w:r w:rsidRPr="003F758F">
        <w:rPr>
          <w:lang w:val="fr-CA"/>
        </w:rPr>
        <w:tab/>
      </w:r>
      <w:r w:rsidRPr="003F758F">
        <w:rPr>
          <w:szCs w:val="22"/>
          <w:lang w:val="fr-CA"/>
        </w:rPr>
        <w:t>Présenter ses résultats aux fins d</w:t>
      </w:r>
      <w:r>
        <w:rPr>
          <w:szCs w:val="22"/>
          <w:lang w:val="fr-CA"/>
        </w:rPr>
        <w:t>’</w:t>
      </w:r>
      <w:r w:rsidRPr="003F758F">
        <w:rPr>
          <w:szCs w:val="22"/>
          <w:lang w:val="fr-CA"/>
        </w:rPr>
        <w:t>examen d</w:t>
      </w:r>
      <w:r>
        <w:rPr>
          <w:szCs w:val="22"/>
          <w:lang w:val="fr-CA"/>
        </w:rPr>
        <w:t>’</w:t>
      </w:r>
      <w:r w:rsidRPr="003F758F">
        <w:rPr>
          <w:szCs w:val="22"/>
          <w:lang w:val="fr-CA"/>
        </w:rPr>
        <w:t>une réunion de l</w:t>
      </w:r>
      <w:r>
        <w:rPr>
          <w:szCs w:val="22"/>
          <w:lang w:val="fr-CA"/>
        </w:rPr>
        <w:t>’</w:t>
      </w:r>
      <w:r w:rsidRPr="003F758F">
        <w:rPr>
          <w:szCs w:val="22"/>
          <w:lang w:val="fr-CA"/>
        </w:rPr>
        <w:t>Organe subsidiaire chargé de fournir des avis scientifiques, techniques et technologiques qui se tiendra avant la quinzième réunion de la Conférence des Parties</w:t>
      </w:r>
      <w:r w:rsidRPr="00441D60">
        <w:rPr>
          <w:kern w:val="22"/>
          <w:lang w:val="fr-CA"/>
        </w:rPr>
        <w:t>.]</w:t>
      </w:r>
      <w:r w:rsidRPr="006817B4">
        <w:rPr>
          <w:b/>
          <w:bCs/>
          <w:kern w:val="22"/>
          <w:sz w:val="24"/>
          <w:lang w:val="fr-CA"/>
        </w:rPr>
        <w:t>]</w:t>
      </w:r>
    </w:p>
    <w:p w:rsidR="00DC2190" w:rsidRPr="00441D60" w:rsidRDefault="00DC2190" w:rsidP="00DC2190">
      <w:pPr>
        <w:keepNext/>
        <w:suppressLineNumbers/>
        <w:suppressAutoHyphens/>
        <w:kinsoku w:val="0"/>
        <w:overflowPunct w:val="0"/>
        <w:autoSpaceDE w:val="0"/>
        <w:autoSpaceDN w:val="0"/>
        <w:adjustRightInd w:val="0"/>
        <w:snapToGrid w:val="0"/>
        <w:spacing w:before="120" w:after="120"/>
        <w:ind w:left="1124" w:right="389" w:hanging="562"/>
        <w:rPr>
          <w:i/>
          <w:kern w:val="22"/>
          <w:lang w:val="fr-CA"/>
        </w:rPr>
      </w:pPr>
      <w:r w:rsidRPr="00441D60">
        <w:rPr>
          <w:b/>
          <w:kern w:val="22"/>
          <w:lang w:val="fr-CA"/>
        </w:rPr>
        <w:t>B.</w:t>
      </w:r>
      <w:r w:rsidRPr="00441D60">
        <w:rPr>
          <w:b/>
          <w:kern w:val="22"/>
          <w:lang w:val="fr-CA"/>
        </w:rPr>
        <w:tab/>
      </w:r>
      <w:r w:rsidRPr="003F758F">
        <w:rPr>
          <w:b/>
          <w:lang w:val="fr-CA"/>
        </w:rPr>
        <w:t>Projet de décision pour la Conférence des Parties siégeant en tant que réunion des Parties au Protocole de Nagoya</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left="0" w:firstLine="720"/>
        <w:contextualSpacing w:val="0"/>
        <w:rPr>
          <w:i/>
          <w:kern w:val="22"/>
          <w:lang w:val="fr-CA"/>
        </w:rPr>
      </w:pPr>
      <w:r w:rsidRPr="003755CB">
        <w:rPr>
          <w:lang w:val="fr-CA"/>
        </w:rPr>
        <w:t>2.</w:t>
      </w:r>
      <w:r>
        <w:rPr>
          <w:i/>
          <w:lang w:val="fr-CA"/>
        </w:rPr>
        <w:tab/>
      </w:r>
      <w:r w:rsidRPr="003F758F">
        <w:rPr>
          <w:i/>
          <w:lang w:val="fr-CA"/>
        </w:rPr>
        <w:t>Recommande</w:t>
      </w:r>
      <w:r w:rsidRPr="003F758F">
        <w:rPr>
          <w:iCs/>
          <w:lang w:val="fr-CA"/>
        </w:rPr>
        <w:t xml:space="preserve"> que la </w:t>
      </w:r>
      <w:r w:rsidRPr="003F758F">
        <w:rPr>
          <w:lang w:val="fr-CA"/>
        </w:rPr>
        <w:t>Conférence des Parties siégeant en tant que réunion des Parties au Protocole de Nagoya adopte, à sa troisième réunion, une décision selon la formulation suivante :</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firstLine="720"/>
        <w:contextualSpacing w:val="0"/>
        <w:rPr>
          <w:i/>
          <w:kern w:val="22"/>
          <w:lang w:val="fr-CA"/>
        </w:rPr>
      </w:pPr>
      <w:r w:rsidRPr="006817B4">
        <w:rPr>
          <w:b/>
          <w:bCs/>
          <w:iCs/>
          <w:kern w:val="22"/>
          <w:sz w:val="24"/>
          <w:lang w:val="fr-CA"/>
        </w:rPr>
        <w:t>[</w:t>
      </w:r>
      <w:r w:rsidRPr="003F758F">
        <w:rPr>
          <w:i/>
          <w:lang w:val="fr-CA"/>
        </w:rPr>
        <w:t>La Conférence des Parties siégeant en tant que réunion des Parties au Protocole de Nagoya,</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3F758F">
        <w:rPr>
          <w:i/>
          <w:lang w:val="fr-CA"/>
        </w:rPr>
        <w:t>Ayant présent à l</w:t>
      </w:r>
      <w:r>
        <w:rPr>
          <w:i/>
          <w:lang w:val="fr-CA"/>
        </w:rPr>
        <w:t>’</w:t>
      </w:r>
      <w:r w:rsidRPr="003F758F">
        <w:rPr>
          <w:i/>
          <w:lang w:val="fr-CA"/>
        </w:rPr>
        <w:t>esprit</w:t>
      </w:r>
      <w:r w:rsidRPr="003F758F">
        <w:rPr>
          <w:iCs/>
          <w:lang w:val="fr-CA"/>
        </w:rPr>
        <w:t xml:space="preserve"> l</w:t>
      </w:r>
      <w:r>
        <w:rPr>
          <w:iCs/>
          <w:lang w:val="fr-CA"/>
        </w:rPr>
        <w:t>’</w:t>
      </w:r>
      <w:r w:rsidRPr="003F758F">
        <w:rPr>
          <w:iCs/>
          <w:lang w:val="fr-CA"/>
        </w:rPr>
        <w:t>objectif du Protocole de Nagoya</w:t>
      </w:r>
      <w:r w:rsidRPr="00441D60">
        <w:rPr>
          <w:kern w:val="22"/>
          <w:lang w:val="fr-CA"/>
        </w:rPr>
        <w:t>,</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441D60">
        <w:rPr>
          <w:kern w:val="22"/>
          <w:lang w:val="fr-CA"/>
        </w:rPr>
        <w:t>[</w:t>
      </w:r>
      <w:r w:rsidRPr="003F758F">
        <w:rPr>
          <w:i/>
          <w:lang w:val="fr-CA"/>
        </w:rPr>
        <w:t>Rappelant</w:t>
      </w:r>
      <w:r w:rsidRPr="003F758F">
        <w:rPr>
          <w:iCs/>
          <w:lang w:val="fr-CA"/>
        </w:rPr>
        <w:t xml:space="preserve"> les </w:t>
      </w:r>
      <w:r>
        <w:rPr>
          <w:lang w:val="fr-CA"/>
        </w:rPr>
        <w:t>articles 5.1</w:t>
      </w:r>
      <w:r w:rsidRPr="003F758F">
        <w:rPr>
          <w:lang w:val="fr-CA"/>
        </w:rPr>
        <w:t>, 8, 17, 20, 22 et 23 du Protocole de Nagoya</w:t>
      </w:r>
      <w:r w:rsidRPr="00441D60">
        <w:rPr>
          <w:kern w:val="22"/>
          <w:lang w:val="fr-CA"/>
        </w:rPr>
        <w:t>,]</w:t>
      </w:r>
    </w:p>
    <w:p w:rsidR="00DC2190" w:rsidRPr="00441D60" w:rsidRDefault="00DC2190" w:rsidP="00DC2190">
      <w:pPr>
        <w:pStyle w:val="ListParagraph"/>
        <w:suppressLineNumbers/>
        <w:suppressAutoHyphens/>
        <w:kinsoku w:val="0"/>
        <w:overflowPunct w:val="0"/>
        <w:autoSpaceDE w:val="0"/>
        <w:autoSpaceDN w:val="0"/>
        <w:adjustRightInd w:val="0"/>
        <w:snapToGrid w:val="0"/>
        <w:spacing w:before="120" w:after="120"/>
        <w:ind w:firstLine="720"/>
        <w:contextualSpacing w:val="0"/>
        <w:rPr>
          <w:kern w:val="22"/>
          <w:lang w:val="fr-CA"/>
        </w:rPr>
      </w:pPr>
      <w:r w:rsidRPr="003F758F">
        <w:rPr>
          <w:i/>
          <w:lang w:val="fr-CA"/>
        </w:rPr>
        <w:t>Prenant acte</w:t>
      </w:r>
      <w:r>
        <w:rPr>
          <w:iCs/>
          <w:lang w:val="fr-CA"/>
        </w:rPr>
        <w:t xml:space="preserve"> de la décision 14</w:t>
      </w:r>
      <w:r w:rsidRPr="00441D60">
        <w:rPr>
          <w:kern w:val="22"/>
          <w:lang w:val="fr-CA"/>
        </w:rPr>
        <w:t>,</w:t>
      </w:r>
    </w:p>
    <w:p w:rsidR="00DC2190" w:rsidRPr="003F758F" w:rsidRDefault="00DC2190" w:rsidP="00DC2190">
      <w:pPr>
        <w:spacing w:before="120" w:after="120"/>
        <w:ind w:left="720" w:firstLine="698"/>
        <w:rPr>
          <w:lang w:val="fr-CA"/>
        </w:rPr>
      </w:pPr>
      <w:r w:rsidRPr="003F758F">
        <w:rPr>
          <w:lang w:val="fr-CA"/>
        </w:rPr>
        <w:t>1.</w:t>
      </w:r>
      <w:r w:rsidRPr="003F758F">
        <w:rPr>
          <w:lang w:val="fr-CA"/>
        </w:rPr>
        <w:tab/>
      </w:r>
      <w:r w:rsidRPr="003F758F">
        <w:rPr>
          <w:i/>
          <w:lang w:val="fr-CA"/>
        </w:rPr>
        <w:t>Décide</w:t>
      </w:r>
      <w:r w:rsidRPr="003F758F">
        <w:rPr>
          <w:iCs/>
          <w:lang w:val="fr-CA"/>
        </w:rPr>
        <w:t xml:space="preserve"> que le groupe spécial d</w:t>
      </w:r>
      <w:r>
        <w:rPr>
          <w:iCs/>
          <w:lang w:val="fr-CA"/>
        </w:rPr>
        <w:t>’</w:t>
      </w:r>
      <w:r w:rsidRPr="003F758F">
        <w:rPr>
          <w:iCs/>
          <w:lang w:val="fr-CA"/>
        </w:rPr>
        <w:t xml:space="preserve">experts techniques mentionné au </w:t>
      </w:r>
      <w:r>
        <w:rPr>
          <w:iCs/>
          <w:lang w:val="fr-CA"/>
        </w:rPr>
        <w:t>paragraphe x de la décision 14</w:t>
      </w:r>
      <w:r w:rsidRPr="003F758F">
        <w:rPr>
          <w:iCs/>
          <w:lang w:val="fr-CA"/>
        </w:rPr>
        <w:t xml:space="preserve"> </w:t>
      </w:r>
      <w:r>
        <w:rPr>
          <w:snapToGrid w:val="0"/>
          <w:kern w:val="22"/>
          <w:szCs w:val="22"/>
          <w:lang w:val="fr-CA"/>
        </w:rPr>
        <w:t>siégera aussi au titre du</w:t>
      </w:r>
      <w:r w:rsidRPr="003F758F">
        <w:rPr>
          <w:snapToGrid w:val="0"/>
          <w:kern w:val="22"/>
          <w:szCs w:val="22"/>
          <w:lang w:val="fr-CA"/>
        </w:rPr>
        <w:t xml:space="preserve"> Protocole de Nagoya</w:t>
      </w:r>
      <w:r>
        <w:rPr>
          <w:snapToGrid w:val="0"/>
          <w:kern w:val="22"/>
          <w:szCs w:val="22"/>
          <w:lang w:val="fr-CA"/>
        </w:rPr>
        <w:t>;</w:t>
      </w:r>
    </w:p>
    <w:p w:rsidR="00DC2190" w:rsidRPr="00441D60" w:rsidRDefault="00DC2190" w:rsidP="00DC2190">
      <w:pPr>
        <w:suppressLineNumbers/>
        <w:suppressAutoHyphens/>
        <w:kinsoku w:val="0"/>
        <w:overflowPunct w:val="0"/>
        <w:autoSpaceDE w:val="0"/>
        <w:autoSpaceDN w:val="0"/>
        <w:adjustRightInd w:val="0"/>
        <w:snapToGrid w:val="0"/>
        <w:spacing w:after="240"/>
        <w:ind w:left="720" w:firstLine="720"/>
        <w:rPr>
          <w:kern w:val="22"/>
          <w:lang w:val="fr-CA"/>
        </w:rPr>
      </w:pPr>
      <w:r w:rsidRPr="003F758F">
        <w:rPr>
          <w:lang w:val="fr-CA"/>
        </w:rPr>
        <w:t>2.</w:t>
      </w:r>
      <w:r w:rsidRPr="003F758F">
        <w:rPr>
          <w:lang w:val="fr-CA"/>
        </w:rPr>
        <w:tab/>
      </w:r>
      <w:r w:rsidRPr="003F758F">
        <w:rPr>
          <w:i/>
          <w:lang w:val="fr-CA"/>
        </w:rPr>
        <w:t xml:space="preserve">Prie </w:t>
      </w:r>
      <w:r w:rsidRPr="003F758F">
        <w:rPr>
          <w:iCs/>
          <w:lang w:val="fr-CA"/>
        </w:rPr>
        <w:t>l</w:t>
      </w:r>
      <w:r>
        <w:rPr>
          <w:iCs/>
          <w:lang w:val="fr-CA"/>
        </w:rPr>
        <w:t>’</w:t>
      </w:r>
      <w:r w:rsidRPr="003F758F">
        <w:rPr>
          <w:iCs/>
          <w:lang w:val="fr-CA"/>
        </w:rPr>
        <w:t>Organe subsidiaire chargé de fournir des avis scientifiques, techniques et technologiques d</w:t>
      </w:r>
      <w:r>
        <w:rPr>
          <w:iCs/>
          <w:lang w:val="fr-CA"/>
        </w:rPr>
        <w:t>’</w:t>
      </w:r>
      <w:r w:rsidRPr="003F758F">
        <w:rPr>
          <w:iCs/>
          <w:lang w:val="fr-CA"/>
        </w:rPr>
        <w:t>examiner les résultats du groupe spécial d</w:t>
      </w:r>
      <w:r>
        <w:rPr>
          <w:iCs/>
          <w:lang w:val="fr-CA"/>
        </w:rPr>
        <w:t>’</w:t>
      </w:r>
      <w:r w:rsidRPr="003F758F">
        <w:rPr>
          <w:iCs/>
          <w:lang w:val="fr-CA"/>
        </w:rPr>
        <w:t>experts techniques, et de formuler une recommandation aux fins d</w:t>
      </w:r>
      <w:r>
        <w:rPr>
          <w:iCs/>
          <w:lang w:val="fr-CA"/>
        </w:rPr>
        <w:t>’</w:t>
      </w:r>
      <w:r w:rsidRPr="003F758F">
        <w:rPr>
          <w:iCs/>
          <w:lang w:val="fr-CA"/>
        </w:rPr>
        <w:t>examen par la Conférence des Parties siégeant en tant que réunion des Parties au Protocole de Nagoya à sa quatrième réunion</w:t>
      </w:r>
      <w:r w:rsidRPr="00441D60">
        <w:rPr>
          <w:kern w:val="22"/>
          <w:lang w:val="fr-CA"/>
        </w:rPr>
        <w:t>.</w:t>
      </w:r>
      <w:r w:rsidRPr="006817B4">
        <w:rPr>
          <w:b/>
          <w:bCs/>
          <w:kern w:val="22"/>
          <w:sz w:val="24"/>
          <w:lang w:val="fr-CA"/>
        </w:rPr>
        <w:t>]</w:t>
      </w:r>
    </w:p>
    <w:p w:rsidR="00090E10" w:rsidRDefault="00090E10">
      <w:pPr>
        <w:jc w:val="left"/>
        <w:rPr>
          <w:lang w:val="fr-CA"/>
        </w:rPr>
      </w:pPr>
      <w:r>
        <w:rPr>
          <w:lang w:val="fr-CA"/>
        </w:rPr>
        <w:br w:type="page"/>
      </w:r>
    </w:p>
    <w:p w:rsidR="00DC2190" w:rsidRDefault="00DC2190">
      <w:pPr>
        <w:jc w:val="left"/>
        <w:rPr>
          <w:lang w:val="fr-CA"/>
        </w:rPr>
      </w:pPr>
    </w:p>
    <w:p w:rsidR="00DC2190" w:rsidRPr="00090E10" w:rsidRDefault="00090E10" w:rsidP="00090E10">
      <w:pPr>
        <w:pStyle w:val="Heading2"/>
        <w:spacing w:after="240"/>
        <w:rPr>
          <w:caps/>
          <w:lang w:val="fr-CA"/>
        </w:rPr>
      </w:pPr>
      <w:bookmarkStart w:id="9" w:name="_Toc525904149"/>
      <w:bookmarkStart w:id="10" w:name="_Toc525904552"/>
      <w:r w:rsidRPr="00090E10">
        <w:rPr>
          <w:bCs w:val="0"/>
          <w:iCs w:val="0"/>
          <w:lang w:val="fr-CA"/>
        </w:rPr>
        <w:t xml:space="preserve">22/2. </w:t>
      </w:r>
      <w:r w:rsidRPr="00090E10">
        <w:rPr>
          <w:bCs w:val="0"/>
          <w:iCs w:val="0"/>
          <w:lang w:val="fr-CA"/>
        </w:rPr>
        <w:tab/>
        <w:t>Évaluation des risques et gestion des risques présentés par les organismes vivants modifiés</w:t>
      </w:r>
      <w:bookmarkEnd w:id="9"/>
      <w:bookmarkEnd w:id="10"/>
    </w:p>
    <w:p w:rsidR="00DC2190" w:rsidRPr="00EC1C00" w:rsidRDefault="00DC2190" w:rsidP="00DC2190">
      <w:pPr>
        <w:pStyle w:val="Para1"/>
        <w:numPr>
          <w:ilvl w:val="0"/>
          <w:numId w:val="0"/>
        </w:numPr>
        <w:suppressLineNumbers/>
        <w:suppressAutoHyphens/>
        <w:kinsoku w:val="0"/>
        <w:overflowPunct w:val="0"/>
        <w:autoSpaceDE w:val="0"/>
        <w:autoSpaceDN w:val="0"/>
        <w:snapToGrid w:val="0"/>
        <w:spacing w:after="240"/>
        <w:ind w:firstLine="720"/>
        <w:rPr>
          <w:kern w:val="22"/>
          <w:szCs w:val="22"/>
          <w:lang w:val="fr-CA" w:bidi="fr-FR"/>
        </w:rPr>
      </w:pPr>
      <w:r>
        <w:rPr>
          <w:kern w:val="22"/>
          <w:szCs w:val="22"/>
          <w:lang w:val="fr-CA" w:bidi="fr-FR"/>
        </w:rPr>
        <w:t>L’Organe subsidiaire chargé de fournir des avis scientifiques, techniques et technologiques recommande que la Conférence des Parties siégeant en tant que réunion des Parties au Protocole de Cartagena adopte une décision libellée comme suit :</w:t>
      </w:r>
    </w:p>
    <w:p w:rsidR="00DC2190" w:rsidRPr="00860D94" w:rsidRDefault="00DC2190" w:rsidP="00DC2190">
      <w:pPr>
        <w:pStyle w:val="Para1"/>
        <w:numPr>
          <w:ilvl w:val="0"/>
          <w:numId w:val="0"/>
        </w:numPr>
        <w:suppressLineNumbers/>
        <w:suppressAutoHyphens/>
        <w:kinsoku w:val="0"/>
        <w:overflowPunct w:val="0"/>
        <w:autoSpaceDE w:val="0"/>
        <w:autoSpaceDN w:val="0"/>
        <w:snapToGrid w:val="0"/>
        <w:ind w:firstLine="720"/>
        <w:rPr>
          <w:i/>
          <w:kern w:val="22"/>
          <w:szCs w:val="22"/>
          <w:lang w:val="fr-CA"/>
        </w:rPr>
      </w:pPr>
      <w:r w:rsidRPr="00860D94">
        <w:rPr>
          <w:i/>
          <w:kern w:val="22"/>
          <w:szCs w:val="22"/>
          <w:lang w:val="fr-CA" w:bidi="fr-FR"/>
        </w:rPr>
        <w:t>La Conférence des Parties siégeant en tant que réunion des Parties au Protocole de Cartagena sur la prévention des risques biotechnologiques,</w:t>
      </w:r>
    </w:p>
    <w:p w:rsidR="00DC2190" w:rsidRPr="00860D94" w:rsidRDefault="00DC2190" w:rsidP="00DC2190">
      <w:pPr>
        <w:pStyle w:val="Para1"/>
        <w:numPr>
          <w:ilvl w:val="0"/>
          <w:numId w:val="0"/>
        </w:numPr>
        <w:suppressLineNumbers/>
        <w:tabs>
          <w:tab w:val="left" w:pos="720"/>
        </w:tabs>
        <w:suppressAutoHyphens/>
        <w:kinsoku w:val="0"/>
        <w:overflowPunct w:val="0"/>
        <w:autoSpaceDE w:val="0"/>
        <w:autoSpaceDN w:val="0"/>
        <w:snapToGrid w:val="0"/>
        <w:ind w:firstLine="720"/>
        <w:rPr>
          <w:kern w:val="22"/>
          <w:szCs w:val="22"/>
          <w:lang w:val="fr-CA"/>
        </w:rPr>
      </w:pPr>
      <w:r w:rsidRPr="00860D94">
        <w:rPr>
          <w:i/>
          <w:kern w:val="22"/>
          <w:szCs w:val="22"/>
          <w:lang w:val="fr-CA" w:bidi="fr-FR"/>
        </w:rPr>
        <w:t>Rappelant</w:t>
      </w:r>
      <w:r w:rsidRPr="00860D94">
        <w:rPr>
          <w:lang w:val="fr-CA" w:bidi="fr-FR"/>
        </w:rPr>
        <w:t xml:space="preserve"> </w:t>
      </w:r>
      <w:r w:rsidRPr="00860D94">
        <w:rPr>
          <w:kern w:val="22"/>
          <w:szCs w:val="22"/>
          <w:lang w:val="fr-CA" w:bidi="fr-FR"/>
        </w:rPr>
        <w:t>les décisions</w:t>
      </w:r>
      <w:r>
        <w:rPr>
          <w:kern w:val="22"/>
          <w:szCs w:val="22"/>
          <w:lang w:val="fr-CA" w:bidi="fr-FR"/>
        </w:rPr>
        <w:t> </w:t>
      </w:r>
      <w:hyperlink r:id="rId11" w:history="1">
        <w:r w:rsidRPr="00EC1C00">
          <w:rPr>
            <w:rStyle w:val="Hyperlink"/>
            <w:lang w:val="fr-CA" w:bidi="fr-FR"/>
          </w:rPr>
          <w:t>BS</w:t>
        </w:r>
        <w:r w:rsidRPr="00EC1C00">
          <w:rPr>
            <w:rStyle w:val="Hyperlink"/>
            <w:lang w:val="fr-CA" w:bidi="fr-FR"/>
          </w:rPr>
          <w:noBreakHyphen/>
        </w:r>
        <w:r w:rsidRPr="00EC1C00">
          <w:rPr>
            <w:rStyle w:val="Hyperlink"/>
            <w:kern w:val="22"/>
            <w:szCs w:val="22"/>
            <w:lang w:val="fr-CA" w:bidi="fr-FR"/>
          </w:rPr>
          <w:t>VII/12</w:t>
        </w:r>
      </w:hyperlink>
      <w:r w:rsidRPr="00860D94">
        <w:rPr>
          <w:kern w:val="22"/>
          <w:szCs w:val="22"/>
          <w:lang w:val="fr-CA" w:bidi="fr-FR"/>
        </w:rPr>
        <w:t xml:space="preserve"> et </w:t>
      </w:r>
      <w:hyperlink r:id="rId12" w:history="1">
        <w:r w:rsidRPr="00EC1C00">
          <w:rPr>
            <w:rStyle w:val="Hyperlink"/>
            <w:kern w:val="22"/>
            <w:szCs w:val="22"/>
            <w:lang w:val="fr-CA" w:bidi="fr-FR"/>
          </w:rPr>
          <w:t>XII/24</w:t>
        </w:r>
      </w:hyperlink>
      <w:r w:rsidRPr="00860D94">
        <w:rPr>
          <w:kern w:val="22"/>
          <w:szCs w:val="22"/>
          <w:lang w:val="fr-CA" w:bidi="fr-FR"/>
        </w:rPr>
        <w:t xml:space="preserve"> qui recommandent une approche coordonnée sur la question de la </w:t>
      </w:r>
      <w:r>
        <w:rPr>
          <w:kern w:val="22"/>
          <w:szCs w:val="22"/>
          <w:lang w:val="fr-CA" w:bidi="fr-FR"/>
        </w:rPr>
        <w:t>biologie de synthèse</w:t>
      </w:r>
      <w:r w:rsidRPr="00860D94">
        <w:rPr>
          <w:kern w:val="22"/>
          <w:szCs w:val="22"/>
          <w:lang w:val="fr-CA" w:bidi="fr-FR"/>
        </w:rPr>
        <w:t>,</w:t>
      </w:r>
    </w:p>
    <w:p w:rsidR="00DC2190" w:rsidRPr="00860D94" w:rsidRDefault="00DC2190" w:rsidP="00DC2190">
      <w:pPr>
        <w:pStyle w:val="Para1"/>
        <w:numPr>
          <w:ilvl w:val="0"/>
          <w:numId w:val="0"/>
        </w:numPr>
        <w:suppressLineNumbers/>
        <w:tabs>
          <w:tab w:val="left" w:pos="720"/>
        </w:tabs>
        <w:suppressAutoHyphens/>
        <w:kinsoku w:val="0"/>
        <w:overflowPunct w:val="0"/>
        <w:autoSpaceDE w:val="0"/>
        <w:autoSpaceDN w:val="0"/>
        <w:snapToGrid w:val="0"/>
        <w:ind w:firstLine="720"/>
        <w:rPr>
          <w:kern w:val="22"/>
          <w:szCs w:val="22"/>
          <w:lang w:val="fr-CA"/>
        </w:rPr>
      </w:pPr>
      <w:r w:rsidRPr="00860D94">
        <w:rPr>
          <w:i/>
          <w:kern w:val="22"/>
          <w:szCs w:val="22"/>
          <w:lang w:val="fr-CA" w:bidi="fr-FR"/>
        </w:rPr>
        <w:t>Réaffirmant</w:t>
      </w:r>
      <w:r>
        <w:rPr>
          <w:kern w:val="22"/>
          <w:szCs w:val="22"/>
          <w:lang w:val="fr-CA" w:bidi="fr-FR"/>
        </w:rPr>
        <w:t xml:space="preserve"> la décision </w:t>
      </w:r>
      <w:r w:rsidRPr="00860D94">
        <w:rPr>
          <w:kern w:val="22"/>
          <w:szCs w:val="22"/>
          <w:lang w:val="fr-CA" w:bidi="fr-FR"/>
        </w:rPr>
        <w:t>XII/24 de la Conférence</w:t>
      </w:r>
      <w:r>
        <w:rPr>
          <w:kern w:val="22"/>
          <w:szCs w:val="22"/>
          <w:lang w:val="fr-CA" w:bidi="fr-FR"/>
        </w:rPr>
        <w:t xml:space="preserve"> des Parties qui exhorte</w:t>
      </w:r>
      <w:r w:rsidRPr="00860D94">
        <w:rPr>
          <w:kern w:val="22"/>
          <w:szCs w:val="22"/>
          <w:lang w:val="fr-CA" w:bidi="fr-FR"/>
        </w:rPr>
        <w:t xml:space="preserve"> les Parties et invite </w:t>
      </w:r>
      <w:r>
        <w:rPr>
          <w:kern w:val="22"/>
          <w:szCs w:val="22"/>
          <w:lang w:val="fr-CA" w:bidi="fr-FR"/>
        </w:rPr>
        <w:t>les autres gouvernements à utilis</w:t>
      </w:r>
      <w:r w:rsidRPr="00860D94">
        <w:rPr>
          <w:kern w:val="22"/>
          <w:szCs w:val="22"/>
          <w:lang w:val="fr-CA" w:bidi="fr-FR"/>
        </w:rPr>
        <w:t>er une approche de précaution</w:t>
      </w:r>
      <w:r w:rsidRPr="00860D94">
        <w:rPr>
          <w:szCs w:val="22"/>
          <w:lang w:val="fr-CA" w:bidi="fr-FR"/>
        </w:rPr>
        <w:t xml:space="preserve">, conformément au préambule </w:t>
      </w:r>
      <w:r>
        <w:rPr>
          <w:szCs w:val="22"/>
          <w:lang w:val="fr-CA" w:bidi="fr-FR"/>
        </w:rPr>
        <w:t>de la Convention et à son article 14, pour gérer les</w:t>
      </w:r>
      <w:r w:rsidRPr="00860D94">
        <w:rPr>
          <w:szCs w:val="22"/>
          <w:lang w:val="fr-CA" w:bidi="fr-FR"/>
        </w:rPr>
        <w:t xml:space="preserve"> menaces de réduction ou de perte significati</w:t>
      </w:r>
      <w:r>
        <w:rPr>
          <w:szCs w:val="22"/>
          <w:lang w:val="fr-CA" w:bidi="fr-FR"/>
        </w:rPr>
        <w:t>ve de diversité biologique présentées</w:t>
      </w:r>
      <w:r w:rsidRPr="00860D94">
        <w:rPr>
          <w:szCs w:val="22"/>
          <w:lang w:val="fr-CA" w:bidi="fr-FR"/>
        </w:rPr>
        <w:t xml:space="preserve"> par les organismes, les composants et les produits issus de la </w:t>
      </w:r>
      <w:r>
        <w:rPr>
          <w:szCs w:val="22"/>
          <w:lang w:val="fr-CA" w:bidi="fr-FR"/>
        </w:rPr>
        <w:t>biologie de synthèse, conformément aux dispositions de</w:t>
      </w:r>
      <w:r w:rsidRPr="00860D94">
        <w:rPr>
          <w:szCs w:val="22"/>
          <w:lang w:val="fr-CA" w:bidi="fr-FR"/>
        </w:rPr>
        <w:t xml:space="preserve"> </w:t>
      </w:r>
      <w:r>
        <w:rPr>
          <w:szCs w:val="22"/>
          <w:lang w:val="fr-CA" w:bidi="fr-FR"/>
        </w:rPr>
        <w:t xml:space="preserve">la législation nationale et aux autres </w:t>
      </w:r>
      <w:r w:rsidRPr="00860D94">
        <w:rPr>
          <w:szCs w:val="22"/>
          <w:lang w:val="fr-CA" w:bidi="fr-FR"/>
        </w:rPr>
        <w:t>obligations internationales pertinentes,</w:t>
      </w:r>
    </w:p>
    <w:p w:rsidR="00DC2190" w:rsidRPr="00860D94"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 xml:space="preserve">Note </w:t>
      </w:r>
      <w:r w:rsidRPr="00860D94">
        <w:rPr>
          <w:kern w:val="22"/>
          <w:szCs w:val="22"/>
          <w:lang w:val="fr-CA" w:bidi="fr-FR"/>
        </w:rPr>
        <w:t>la disponibilité de nombreux documents d</w:t>
      </w:r>
      <w:r>
        <w:rPr>
          <w:kern w:val="22"/>
          <w:szCs w:val="22"/>
          <w:lang w:val="fr-CA" w:bidi="fr-FR"/>
        </w:rPr>
        <w:t>’</w:t>
      </w:r>
      <w:r w:rsidRPr="00860D94">
        <w:rPr>
          <w:kern w:val="22"/>
          <w:szCs w:val="22"/>
          <w:lang w:val="fr-CA" w:bidi="fr-FR"/>
        </w:rPr>
        <w:t>orientation et d</w:t>
      </w:r>
      <w:r>
        <w:rPr>
          <w:kern w:val="22"/>
          <w:szCs w:val="22"/>
          <w:lang w:val="fr-CA" w:bidi="fr-FR"/>
        </w:rPr>
        <w:t>’autres ressources pour appuye</w:t>
      </w:r>
      <w:r w:rsidRPr="00860D94">
        <w:rPr>
          <w:kern w:val="22"/>
          <w:szCs w:val="22"/>
          <w:lang w:val="fr-CA" w:bidi="fr-FR"/>
        </w:rPr>
        <w:t>r le processus d</w:t>
      </w:r>
      <w:r>
        <w:rPr>
          <w:kern w:val="22"/>
          <w:szCs w:val="22"/>
          <w:lang w:val="fr-CA" w:bidi="fr-FR"/>
        </w:rPr>
        <w:t>’</w:t>
      </w:r>
      <w:r w:rsidRPr="00860D94">
        <w:rPr>
          <w:kern w:val="22"/>
          <w:szCs w:val="22"/>
          <w:lang w:val="fr-CA" w:bidi="fr-FR"/>
        </w:rPr>
        <w:t xml:space="preserve">évaluation des risques, mais </w:t>
      </w:r>
      <w:r w:rsidRPr="00860D94">
        <w:rPr>
          <w:i/>
          <w:kern w:val="22"/>
          <w:szCs w:val="22"/>
          <w:lang w:val="fr-CA" w:bidi="fr-FR"/>
        </w:rPr>
        <w:t>reconnaît</w:t>
      </w:r>
      <w:r w:rsidRPr="00860D94">
        <w:rPr>
          <w:kern w:val="22"/>
          <w:szCs w:val="22"/>
          <w:lang w:val="fr-CA" w:bidi="fr-FR"/>
        </w:rPr>
        <w:t xml:space="preserve"> les lacunes et les besoins</w:t>
      </w:r>
      <w:r>
        <w:rPr>
          <w:kern w:val="22"/>
          <w:szCs w:val="22"/>
          <w:lang w:val="fr-CA" w:bidi="fr-FR"/>
        </w:rPr>
        <w:t xml:space="preserve"> recensés par certaines Parties;</w:t>
      </w:r>
    </w:p>
    <w:p w:rsidR="00DC2190"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Constate</w:t>
      </w:r>
      <w:r w:rsidRPr="00860D94">
        <w:rPr>
          <w:kern w:val="22"/>
          <w:szCs w:val="22"/>
          <w:lang w:val="fr-CA" w:bidi="fr-FR"/>
        </w:rPr>
        <w:t xml:space="preserve"> la divergence de vues entre les Parti</w:t>
      </w:r>
      <w:r>
        <w:rPr>
          <w:kern w:val="22"/>
          <w:szCs w:val="22"/>
          <w:lang w:val="fr-CA" w:bidi="fr-FR"/>
        </w:rPr>
        <w:t xml:space="preserve">es sur le point de savoir si des orientations </w:t>
      </w:r>
      <w:r w:rsidRPr="00860D94">
        <w:rPr>
          <w:kern w:val="22"/>
          <w:szCs w:val="22"/>
          <w:lang w:val="fr-CA" w:bidi="fr-FR"/>
        </w:rPr>
        <w:t>supplémentaires sur des aspects spécifiques de l</w:t>
      </w:r>
      <w:r>
        <w:rPr>
          <w:kern w:val="22"/>
          <w:szCs w:val="22"/>
          <w:lang w:val="fr-CA" w:bidi="fr-FR"/>
        </w:rPr>
        <w:t>’évaluation des risques sont requises;</w:t>
      </w:r>
    </w:p>
    <w:p w:rsidR="00DC2190" w:rsidRPr="009B7EAC"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9B7EAC">
        <w:rPr>
          <w:i/>
          <w:snapToGrid/>
          <w:spacing w:val="-4"/>
          <w:kern w:val="22"/>
          <w:szCs w:val="22"/>
          <w:lang w:val="fr-CA"/>
        </w:rPr>
        <w:t xml:space="preserve">Reconnaît aussi </w:t>
      </w:r>
      <w:r w:rsidRPr="009B7EAC">
        <w:rPr>
          <w:snapToGrid/>
          <w:spacing w:val="-4"/>
          <w:kern w:val="22"/>
          <w:szCs w:val="22"/>
          <w:lang w:val="fr-CA"/>
        </w:rPr>
        <w:t>que</w:t>
      </w:r>
      <w:r>
        <w:rPr>
          <w:snapToGrid/>
          <w:spacing w:val="-4"/>
          <w:kern w:val="22"/>
          <w:szCs w:val="22"/>
          <w:lang w:val="fr-CA"/>
        </w:rPr>
        <w:t xml:space="preserve"> des recherches et analyses doivent être effectuées et des orientations précises peuvent être utiles pour appuyer une évaluation des risques au cas par cas,</w:t>
      </w:r>
      <w:r w:rsidRPr="00B03A8F">
        <w:rPr>
          <w:snapToGrid/>
          <w:spacing w:val="-4"/>
          <w:kern w:val="22"/>
          <w:szCs w:val="22"/>
          <w:lang w:val="fr-CA"/>
        </w:rPr>
        <w:t xml:space="preserve"> </w:t>
      </w:r>
      <w:r w:rsidRPr="009B7EAC">
        <w:rPr>
          <w:snapToGrid/>
          <w:spacing w:val="-4"/>
          <w:kern w:val="22"/>
          <w:szCs w:val="22"/>
          <w:lang w:val="fr-CA"/>
        </w:rPr>
        <w:t>av</w:t>
      </w:r>
      <w:r>
        <w:rPr>
          <w:snapToGrid/>
          <w:spacing w:val="-4"/>
          <w:kern w:val="22"/>
          <w:szCs w:val="22"/>
          <w:lang w:val="fr-CA"/>
        </w:rPr>
        <w:t>ant d’envisager</w:t>
      </w:r>
      <w:r w:rsidRPr="009B7EAC">
        <w:rPr>
          <w:snapToGrid/>
          <w:spacing w:val="-4"/>
          <w:kern w:val="22"/>
          <w:szCs w:val="22"/>
          <w:lang w:val="fr-CA"/>
        </w:rPr>
        <w:t xml:space="preserve"> </w:t>
      </w:r>
      <w:r>
        <w:rPr>
          <w:snapToGrid/>
          <w:spacing w:val="-4"/>
          <w:kern w:val="22"/>
          <w:szCs w:val="22"/>
          <w:lang w:val="fr-CA"/>
        </w:rPr>
        <w:t xml:space="preserve">la libération de tels </w:t>
      </w:r>
      <w:r w:rsidRPr="009B7EAC">
        <w:rPr>
          <w:snapToGrid/>
          <w:spacing w:val="-4"/>
          <w:kern w:val="22"/>
          <w:szCs w:val="22"/>
          <w:lang w:val="fr-CA"/>
        </w:rPr>
        <w:t>organism</w:t>
      </w:r>
      <w:r>
        <w:rPr>
          <w:snapToGrid/>
          <w:spacing w:val="-4"/>
          <w:kern w:val="22"/>
          <w:szCs w:val="22"/>
          <w:lang w:val="fr-CA"/>
        </w:rPr>
        <w:t>e</w:t>
      </w:r>
      <w:r w:rsidRPr="009B7EAC">
        <w:rPr>
          <w:snapToGrid/>
          <w:spacing w:val="-4"/>
          <w:kern w:val="22"/>
          <w:szCs w:val="22"/>
          <w:lang w:val="fr-CA"/>
        </w:rPr>
        <w:t>s</w:t>
      </w:r>
      <w:r>
        <w:rPr>
          <w:snapToGrid/>
          <w:spacing w:val="-4"/>
          <w:kern w:val="22"/>
          <w:szCs w:val="22"/>
          <w:lang w:val="fr-CA"/>
        </w:rPr>
        <w:t xml:space="preserve"> dans l’environnement,</w:t>
      </w:r>
      <w:r w:rsidRPr="005F3E0D">
        <w:rPr>
          <w:snapToGrid/>
          <w:spacing w:val="-4"/>
          <w:kern w:val="22"/>
          <w:szCs w:val="22"/>
          <w:lang w:val="fr-CA"/>
        </w:rPr>
        <w:t xml:space="preserve"> </w:t>
      </w:r>
      <w:r>
        <w:rPr>
          <w:snapToGrid/>
          <w:spacing w:val="-4"/>
          <w:kern w:val="22"/>
          <w:szCs w:val="22"/>
          <w:lang w:val="fr-CA"/>
        </w:rPr>
        <w:t xml:space="preserve">puisque des </w:t>
      </w:r>
      <w:r w:rsidRPr="009B7EAC">
        <w:rPr>
          <w:snapToGrid/>
          <w:spacing w:val="-4"/>
          <w:kern w:val="22"/>
          <w:szCs w:val="22"/>
          <w:lang w:val="fr-CA"/>
        </w:rPr>
        <w:t xml:space="preserve">effets défavorables potentiels </w:t>
      </w:r>
      <w:r>
        <w:rPr>
          <w:snapToGrid/>
          <w:spacing w:val="-4"/>
          <w:kern w:val="22"/>
          <w:szCs w:val="22"/>
          <w:lang w:val="fr-CA"/>
        </w:rPr>
        <w:t>peuvent résulter d’organismes résultant du forçage génétique</w:t>
      </w:r>
      <w:r w:rsidRPr="009B7EAC">
        <w:rPr>
          <w:snapToGrid/>
          <w:spacing w:val="-4"/>
          <w:kern w:val="22"/>
          <w:szCs w:val="22"/>
          <w:lang w:val="fr-CA"/>
        </w:rPr>
        <w:t>;</w:t>
      </w:r>
    </w:p>
    <w:p w:rsidR="00DC2190" w:rsidRPr="007B787A"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7B787A">
        <w:rPr>
          <w:i/>
          <w:snapToGrid/>
          <w:kern w:val="22"/>
          <w:szCs w:val="22"/>
          <w:lang w:val="fr-CA"/>
        </w:rPr>
        <w:t>Prend note</w:t>
      </w:r>
      <w:r w:rsidRPr="007B787A">
        <w:rPr>
          <w:snapToGrid/>
          <w:kern w:val="22"/>
          <w:szCs w:val="22"/>
          <w:lang w:val="fr-CA"/>
        </w:rPr>
        <w:t xml:space="preserve"> des conclusions du groupe spécial d’experts techniqu</w:t>
      </w:r>
      <w:r>
        <w:rPr>
          <w:snapToGrid/>
          <w:kern w:val="22"/>
          <w:szCs w:val="22"/>
          <w:lang w:val="fr-CA"/>
        </w:rPr>
        <w:t>es sur la biologie de synthèse, à savoir, qu’</w:t>
      </w:r>
      <w:r w:rsidRPr="007B787A">
        <w:rPr>
          <w:snapToGrid/>
          <w:kern w:val="22"/>
          <w:szCs w:val="22"/>
          <w:lang w:val="fr-CA"/>
        </w:rPr>
        <w:t>en raison des incertitu</w:t>
      </w:r>
      <w:r>
        <w:rPr>
          <w:snapToGrid/>
          <w:kern w:val="22"/>
          <w:szCs w:val="22"/>
          <w:lang w:val="fr-CA"/>
        </w:rPr>
        <w:t>des actuelles concern</w:t>
      </w:r>
      <w:r w:rsidRPr="007B787A">
        <w:rPr>
          <w:snapToGrid/>
          <w:kern w:val="22"/>
          <w:szCs w:val="22"/>
          <w:lang w:val="fr-CA"/>
        </w:rPr>
        <w:t>ant le forçage génétique, il convient d’obtenir le consente</w:t>
      </w:r>
      <w:r>
        <w:rPr>
          <w:snapToGrid/>
          <w:kern w:val="22"/>
          <w:szCs w:val="22"/>
          <w:lang w:val="fr-CA"/>
        </w:rPr>
        <w:t>ment préalable, donné librement et en connaissance de cause des peu</w:t>
      </w:r>
      <w:r w:rsidRPr="007B787A">
        <w:rPr>
          <w:snapToGrid/>
          <w:kern w:val="22"/>
          <w:szCs w:val="22"/>
          <w:lang w:val="fr-CA"/>
        </w:rPr>
        <w:t>ples autochtones et communautés locales lorsqu</w:t>
      </w:r>
      <w:r>
        <w:rPr>
          <w:snapToGrid/>
          <w:kern w:val="22"/>
          <w:szCs w:val="22"/>
          <w:lang w:val="fr-CA"/>
        </w:rPr>
        <w:t xml:space="preserve">’une libération éventuelle d’organismes résultant du forçage génétique est envisagée, qui peuvent avoir un </w:t>
      </w:r>
      <w:r w:rsidRPr="007B787A">
        <w:rPr>
          <w:snapToGrid/>
          <w:kern w:val="22"/>
          <w:szCs w:val="22"/>
          <w:lang w:val="fr-CA"/>
        </w:rPr>
        <w:t xml:space="preserve">impact </w:t>
      </w:r>
      <w:r>
        <w:rPr>
          <w:snapToGrid/>
          <w:kern w:val="22"/>
          <w:szCs w:val="22"/>
          <w:lang w:val="fr-CA"/>
        </w:rPr>
        <w:t>sur leurs connaissances</w:t>
      </w:r>
      <w:r w:rsidRPr="007B787A">
        <w:rPr>
          <w:snapToGrid/>
          <w:kern w:val="22"/>
          <w:szCs w:val="22"/>
          <w:lang w:val="fr-CA"/>
        </w:rPr>
        <w:t>, innovation</w:t>
      </w:r>
      <w:r>
        <w:rPr>
          <w:snapToGrid/>
          <w:kern w:val="22"/>
          <w:szCs w:val="22"/>
          <w:lang w:val="fr-CA"/>
        </w:rPr>
        <w:t>s, pratiques, moyens de subsistance et utilisations traditionnels des terres et des eaux</w:t>
      </w:r>
      <w:r w:rsidRPr="007B787A">
        <w:rPr>
          <w:snapToGrid/>
          <w:kern w:val="22"/>
          <w:szCs w:val="22"/>
          <w:lang w:val="fr-CA"/>
        </w:rPr>
        <w:t>;</w:t>
      </w:r>
    </w:p>
    <w:p w:rsidR="00DC2190" w:rsidRPr="00860D94" w:rsidRDefault="00DC2190" w:rsidP="00004EAF">
      <w:pPr>
        <w:pStyle w:val="Para1"/>
        <w:numPr>
          <w:ilvl w:val="0"/>
          <w:numId w:val="9"/>
        </w:numPr>
        <w:suppressLineNumbers/>
        <w:suppressAutoHyphens/>
        <w:kinsoku w:val="0"/>
        <w:overflowPunct w:val="0"/>
        <w:autoSpaceDE w:val="0"/>
        <w:autoSpaceDN w:val="0"/>
        <w:snapToGrid w:val="0"/>
        <w:ind w:left="0" w:firstLine="709"/>
        <w:rPr>
          <w:kern w:val="22"/>
          <w:szCs w:val="22"/>
          <w:lang w:val="fr-CA"/>
        </w:rPr>
      </w:pPr>
      <w:r>
        <w:rPr>
          <w:i/>
          <w:kern w:val="22"/>
          <w:szCs w:val="22"/>
          <w:lang w:val="fr-CA" w:bidi="fr-FR"/>
        </w:rPr>
        <w:t xml:space="preserve">Demande </w:t>
      </w:r>
      <w:r>
        <w:rPr>
          <w:kern w:val="22"/>
          <w:szCs w:val="22"/>
          <w:lang w:val="fr-CA" w:bidi="fr-FR"/>
        </w:rPr>
        <w:t>une large coopération internationale, un</w:t>
      </w:r>
      <w:r w:rsidRPr="00860D94">
        <w:rPr>
          <w:kern w:val="22"/>
          <w:szCs w:val="22"/>
          <w:lang w:val="fr-CA" w:bidi="fr-FR"/>
        </w:rPr>
        <w:t xml:space="preserve"> partage des connaissances et </w:t>
      </w:r>
      <w:r>
        <w:rPr>
          <w:kern w:val="22"/>
          <w:szCs w:val="22"/>
          <w:lang w:val="fr-CA" w:bidi="fr-FR"/>
        </w:rPr>
        <w:t xml:space="preserve">un renforcement </w:t>
      </w:r>
      <w:r w:rsidRPr="00860D94">
        <w:rPr>
          <w:kern w:val="22"/>
          <w:szCs w:val="22"/>
          <w:lang w:val="fr-CA" w:bidi="fr-FR"/>
        </w:rPr>
        <w:t>des capacités pour soutenir</w:t>
      </w:r>
      <w:r>
        <w:rPr>
          <w:kern w:val="22"/>
          <w:szCs w:val="22"/>
          <w:lang w:val="fr-CA" w:bidi="fr-FR"/>
        </w:rPr>
        <w:t xml:space="preserve">, entre autres, les Parties dans l’évaluation des </w:t>
      </w:r>
      <w:r w:rsidRPr="00860D94">
        <w:rPr>
          <w:kern w:val="22"/>
          <w:szCs w:val="22"/>
          <w:lang w:val="fr-CA" w:bidi="fr-FR"/>
        </w:rPr>
        <w:t>effets défavorables</w:t>
      </w:r>
      <w:r>
        <w:rPr>
          <w:kern w:val="22"/>
          <w:szCs w:val="22"/>
          <w:lang w:val="fr-CA" w:bidi="fr-FR"/>
        </w:rPr>
        <w:t xml:space="preserve"> potentiels sur </w:t>
      </w:r>
      <w:r w:rsidRPr="00860D94">
        <w:rPr>
          <w:kern w:val="22"/>
          <w:szCs w:val="22"/>
          <w:lang w:val="fr-CA" w:bidi="fr-FR"/>
        </w:rPr>
        <w:t xml:space="preserve">la conservation et </w:t>
      </w:r>
      <w:r>
        <w:rPr>
          <w:kern w:val="22"/>
          <w:szCs w:val="22"/>
          <w:lang w:val="fr-CA" w:bidi="fr-FR"/>
        </w:rPr>
        <w:t>l’</w:t>
      </w:r>
      <w:r w:rsidRPr="00860D94">
        <w:rPr>
          <w:kern w:val="22"/>
          <w:szCs w:val="22"/>
          <w:lang w:val="fr-CA" w:bidi="fr-FR"/>
        </w:rPr>
        <w:t>utilisation durab</w:t>
      </w:r>
      <w:r>
        <w:rPr>
          <w:kern w:val="22"/>
          <w:szCs w:val="22"/>
          <w:lang w:val="fr-CA" w:bidi="fr-FR"/>
        </w:rPr>
        <w:t>le de la diversité biologique résultant</w:t>
      </w:r>
      <w:r w:rsidRPr="00860D94">
        <w:rPr>
          <w:kern w:val="22"/>
          <w:szCs w:val="22"/>
          <w:lang w:val="fr-CA" w:bidi="fr-FR"/>
        </w:rPr>
        <w:t xml:space="preserve"> </w:t>
      </w:r>
      <w:r w:rsidRPr="00860D94">
        <w:rPr>
          <w:lang w:val="fr-CA" w:bidi="fr-FR"/>
        </w:rPr>
        <w:t>[</w:t>
      </w:r>
      <w:r>
        <w:rPr>
          <w:lang w:val="fr-CA" w:bidi="fr-FR"/>
        </w:rPr>
        <w:t xml:space="preserve">des </w:t>
      </w:r>
      <w:r w:rsidRPr="00860D94">
        <w:rPr>
          <w:lang w:val="fr-CA" w:bidi="fr-FR"/>
        </w:rPr>
        <w:t xml:space="preserve">organismes vivants modifiés </w:t>
      </w:r>
      <w:r w:rsidRPr="00860D94">
        <w:rPr>
          <w:kern w:val="22"/>
          <w:szCs w:val="22"/>
          <w:lang w:val="fr-CA" w:bidi="fr-FR"/>
        </w:rPr>
        <w:t xml:space="preserve">produits par édition du génome,] </w:t>
      </w:r>
      <w:r>
        <w:rPr>
          <w:kern w:val="22"/>
          <w:szCs w:val="22"/>
          <w:lang w:val="fr-CA" w:bidi="fr-FR"/>
        </w:rPr>
        <w:t xml:space="preserve">des </w:t>
      </w:r>
      <w:r w:rsidRPr="00860D94">
        <w:rPr>
          <w:kern w:val="22"/>
          <w:szCs w:val="22"/>
          <w:lang w:val="fr-CA" w:bidi="fr-FR"/>
        </w:rPr>
        <w:t>organismes vivan</w:t>
      </w:r>
      <w:r>
        <w:rPr>
          <w:kern w:val="22"/>
          <w:szCs w:val="22"/>
          <w:lang w:val="fr-CA" w:bidi="fr-FR"/>
        </w:rPr>
        <w:t>ts modifiés ayant subi un forçage génétique</w:t>
      </w:r>
      <w:r w:rsidRPr="00860D94">
        <w:rPr>
          <w:kern w:val="22"/>
          <w:szCs w:val="22"/>
          <w:lang w:val="fr-CA" w:bidi="fr-FR"/>
        </w:rPr>
        <w:t xml:space="preserve"> et des poissons vivants </w:t>
      </w:r>
      <w:r>
        <w:rPr>
          <w:kern w:val="22"/>
          <w:szCs w:val="22"/>
          <w:lang w:val="fr-CA" w:bidi="fr-FR"/>
        </w:rPr>
        <w:t xml:space="preserve">génétiquement </w:t>
      </w:r>
      <w:r w:rsidRPr="00860D94">
        <w:rPr>
          <w:kern w:val="22"/>
          <w:szCs w:val="22"/>
          <w:lang w:val="fr-CA" w:bidi="fr-FR"/>
        </w:rPr>
        <w:t>modifiés, en tenant compte des risques pour la santé humaine, de la valeur de la biodiversité pour les peuples autochtones et les communautés locales, et des expériences p</w:t>
      </w:r>
      <w:r>
        <w:rPr>
          <w:kern w:val="22"/>
          <w:szCs w:val="22"/>
          <w:lang w:val="fr-CA" w:bidi="fr-FR"/>
        </w:rPr>
        <w:t>ertinentes de chaque pays en matière d’</w:t>
      </w:r>
      <w:r w:rsidRPr="00860D94">
        <w:rPr>
          <w:kern w:val="22"/>
          <w:szCs w:val="22"/>
          <w:lang w:val="fr-CA" w:bidi="fr-FR"/>
        </w:rPr>
        <w:t>évaluation des risques de ces org</w:t>
      </w:r>
      <w:r>
        <w:rPr>
          <w:kern w:val="22"/>
          <w:szCs w:val="22"/>
          <w:lang w:val="fr-CA" w:bidi="fr-FR"/>
        </w:rPr>
        <w:t>anismes, conformément à l’annexe </w:t>
      </w:r>
      <w:r w:rsidRPr="00860D94">
        <w:rPr>
          <w:kern w:val="22"/>
          <w:szCs w:val="22"/>
          <w:lang w:val="fr-CA" w:bidi="fr-FR"/>
        </w:rPr>
        <w:t>III du Pr</w:t>
      </w:r>
      <w:r>
        <w:rPr>
          <w:kern w:val="22"/>
          <w:szCs w:val="22"/>
          <w:lang w:val="fr-CA" w:bidi="fr-FR"/>
        </w:rPr>
        <w:t>otocole de Cartagena;</w:t>
      </w:r>
    </w:p>
    <w:p w:rsidR="00DC2190" w:rsidRPr="00860D94" w:rsidRDefault="00DC2190" w:rsidP="00004EAF">
      <w:pPr>
        <w:pStyle w:val="Para1"/>
        <w:numPr>
          <w:ilvl w:val="0"/>
          <w:numId w:val="9"/>
        </w:numPr>
        <w:suppressLineNumbers/>
        <w:suppressAutoHyphens/>
        <w:kinsoku w:val="0"/>
        <w:overflowPunct w:val="0"/>
        <w:autoSpaceDE w:val="0"/>
        <w:autoSpaceDN w:val="0"/>
        <w:snapToGrid w:val="0"/>
        <w:ind w:left="0" w:firstLine="720"/>
        <w:rPr>
          <w:kern w:val="22"/>
          <w:szCs w:val="22"/>
          <w:lang w:val="fr-CA"/>
        </w:rPr>
      </w:pPr>
      <w:r>
        <w:rPr>
          <w:i/>
          <w:kern w:val="22"/>
          <w:szCs w:val="22"/>
          <w:lang w:val="fr-CA" w:bidi="fr-FR"/>
        </w:rPr>
        <w:t>Décide</w:t>
      </w:r>
      <w:r w:rsidRPr="00860D94">
        <w:rPr>
          <w:kern w:val="22"/>
          <w:szCs w:val="22"/>
          <w:lang w:val="fr-CA" w:bidi="fr-FR"/>
        </w:rPr>
        <w:t xml:space="preserve"> </w:t>
      </w:r>
      <w:r>
        <w:rPr>
          <w:kern w:val="22"/>
          <w:szCs w:val="22"/>
          <w:lang w:val="fr-CA" w:bidi="fr-FR"/>
        </w:rPr>
        <w:t xml:space="preserve">de mettre en place </w:t>
      </w:r>
      <w:r w:rsidRPr="00860D94">
        <w:rPr>
          <w:kern w:val="22"/>
          <w:szCs w:val="22"/>
          <w:lang w:val="fr-CA" w:bidi="fr-FR"/>
        </w:rPr>
        <w:t>un processus d</w:t>
      </w:r>
      <w:r>
        <w:rPr>
          <w:kern w:val="22"/>
          <w:szCs w:val="22"/>
          <w:lang w:val="fr-CA" w:bidi="fr-FR"/>
        </w:rPr>
        <w:t>’identification et de hiérarchisation des problèmes spécifiques concernant l’</w:t>
      </w:r>
      <w:r w:rsidRPr="00860D94">
        <w:rPr>
          <w:kern w:val="22"/>
          <w:szCs w:val="22"/>
          <w:lang w:val="fr-CA" w:bidi="fr-FR"/>
        </w:rPr>
        <w:t>éva</w:t>
      </w:r>
      <w:r>
        <w:rPr>
          <w:kern w:val="22"/>
          <w:szCs w:val="22"/>
          <w:lang w:val="fr-CA" w:bidi="fr-FR"/>
        </w:rPr>
        <w:t>luation des risques présentés par les</w:t>
      </w:r>
      <w:r w:rsidRPr="00860D94">
        <w:rPr>
          <w:kern w:val="22"/>
          <w:szCs w:val="22"/>
          <w:lang w:val="fr-CA" w:bidi="fr-FR"/>
        </w:rPr>
        <w:t xml:space="preserve"> organismes vivants modifiés</w:t>
      </w:r>
      <w:r>
        <w:rPr>
          <w:kern w:val="22"/>
          <w:szCs w:val="22"/>
          <w:lang w:val="fr-CA" w:bidi="fr-FR"/>
        </w:rPr>
        <w:t>,</w:t>
      </w:r>
      <w:r w:rsidRPr="00860D94">
        <w:rPr>
          <w:kern w:val="22"/>
          <w:szCs w:val="22"/>
          <w:lang w:val="fr-CA" w:bidi="fr-FR"/>
        </w:rPr>
        <w:t xml:space="preserve"> aux fins d</w:t>
      </w:r>
      <w:r>
        <w:rPr>
          <w:kern w:val="22"/>
          <w:szCs w:val="22"/>
          <w:lang w:val="fr-CA" w:bidi="fr-FR"/>
        </w:rPr>
        <w:t>’</w:t>
      </w:r>
      <w:r w:rsidRPr="00860D94">
        <w:rPr>
          <w:kern w:val="22"/>
          <w:szCs w:val="22"/>
          <w:lang w:val="fr-CA" w:bidi="fr-FR"/>
        </w:rPr>
        <w:t xml:space="preserve">examen par la </w:t>
      </w:r>
      <w:r>
        <w:rPr>
          <w:kern w:val="22"/>
          <w:szCs w:val="22"/>
          <w:lang w:val="fr-CA" w:bidi="fr-FR"/>
        </w:rPr>
        <w:t xml:space="preserve">Conférence des Parties siégeant en tant que réunion des Parties au Protocole de Cartagena, en vue d’élaborer d’autres orientations </w:t>
      </w:r>
      <w:r w:rsidRPr="00860D94">
        <w:rPr>
          <w:kern w:val="22"/>
          <w:szCs w:val="22"/>
          <w:lang w:val="fr-CA" w:bidi="fr-FR"/>
        </w:rPr>
        <w:t>sur l</w:t>
      </w:r>
      <w:r>
        <w:rPr>
          <w:kern w:val="22"/>
          <w:szCs w:val="22"/>
          <w:lang w:val="fr-CA" w:bidi="fr-FR"/>
        </w:rPr>
        <w:t>’</w:t>
      </w:r>
      <w:r w:rsidRPr="00860D94">
        <w:rPr>
          <w:kern w:val="22"/>
          <w:szCs w:val="22"/>
          <w:lang w:val="fr-CA" w:bidi="fr-FR"/>
        </w:rPr>
        <w:t>évaluati</w:t>
      </w:r>
      <w:r>
        <w:rPr>
          <w:kern w:val="22"/>
          <w:szCs w:val="22"/>
          <w:lang w:val="fr-CA" w:bidi="fr-FR"/>
        </w:rPr>
        <w:t>on des risques pour les problèmes</w:t>
      </w:r>
      <w:r w:rsidRPr="00860D94">
        <w:rPr>
          <w:kern w:val="22"/>
          <w:szCs w:val="22"/>
          <w:lang w:val="fr-CA" w:bidi="fr-FR"/>
        </w:rPr>
        <w:t xml:space="preserve"> spécifiques ident</w:t>
      </w:r>
      <w:r>
        <w:rPr>
          <w:kern w:val="22"/>
          <w:szCs w:val="22"/>
          <w:lang w:val="fr-CA" w:bidi="fr-FR"/>
        </w:rPr>
        <w:t>ifiés, compte tenu de l’annexe I;</w:t>
      </w:r>
    </w:p>
    <w:p w:rsidR="00DC2190" w:rsidRPr="00860D94" w:rsidRDefault="00DC2190" w:rsidP="00004EAF">
      <w:pPr>
        <w:pStyle w:val="Para1"/>
        <w:numPr>
          <w:ilvl w:val="0"/>
          <w:numId w:val="9"/>
        </w:numPr>
        <w:suppressLineNumbers/>
        <w:suppressAutoHyphens/>
        <w:kinsoku w:val="0"/>
        <w:overflowPunct w:val="0"/>
        <w:autoSpaceDE w:val="0"/>
        <w:autoSpaceDN w:val="0"/>
        <w:snapToGrid w:val="0"/>
        <w:ind w:left="0" w:firstLine="720"/>
        <w:rPr>
          <w:kern w:val="22"/>
          <w:szCs w:val="22"/>
          <w:lang w:val="fr-CA"/>
        </w:rPr>
      </w:pPr>
      <w:r>
        <w:rPr>
          <w:i/>
          <w:kern w:val="22"/>
          <w:szCs w:val="22"/>
          <w:lang w:val="fr-CA" w:bidi="fr-FR"/>
        </w:rPr>
        <w:t>Décide aussi</w:t>
      </w:r>
      <w:r w:rsidRPr="00860D94">
        <w:rPr>
          <w:i/>
          <w:kern w:val="22"/>
          <w:szCs w:val="22"/>
          <w:lang w:val="fr-CA" w:bidi="fr-FR"/>
        </w:rPr>
        <w:t xml:space="preserve"> </w:t>
      </w:r>
      <w:r w:rsidRPr="00860D94">
        <w:rPr>
          <w:kern w:val="22"/>
          <w:szCs w:val="22"/>
          <w:lang w:val="fr-CA" w:bidi="fr-FR"/>
        </w:rPr>
        <w:t>d</w:t>
      </w:r>
      <w:r>
        <w:rPr>
          <w:kern w:val="22"/>
          <w:szCs w:val="22"/>
          <w:lang w:val="fr-CA" w:bidi="fr-FR"/>
        </w:rPr>
        <w:t>’</w:t>
      </w:r>
      <w:r w:rsidRPr="00860D94">
        <w:rPr>
          <w:kern w:val="22"/>
          <w:szCs w:val="22"/>
          <w:lang w:val="fr-CA" w:bidi="fr-FR"/>
        </w:rPr>
        <w:t xml:space="preserve">examiner, à sa dixième réunion, </w:t>
      </w:r>
      <w:r>
        <w:rPr>
          <w:kern w:val="22"/>
          <w:szCs w:val="22"/>
          <w:lang w:val="fr-CA" w:bidi="fr-FR"/>
        </w:rPr>
        <w:t xml:space="preserve">la question de savoir </w:t>
      </w:r>
      <w:r w:rsidRPr="00860D94">
        <w:rPr>
          <w:kern w:val="22"/>
          <w:szCs w:val="22"/>
          <w:lang w:val="fr-CA" w:bidi="fr-FR"/>
        </w:rPr>
        <w:t>si du matériel d</w:t>
      </w:r>
      <w:r>
        <w:rPr>
          <w:kern w:val="22"/>
          <w:szCs w:val="22"/>
          <w:lang w:val="fr-CA" w:bidi="fr-FR"/>
        </w:rPr>
        <w:t>’</w:t>
      </w:r>
      <w:r w:rsidRPr="00860D94">
        <w:rPr>
          <w:kern w:val="22"/>
          <w:szCs w:val="22"/>
          <w:lang w:val="fr-CA" w:bidi="fr-FR"/>
        </w:rPr>
        <w:t>orientation supplémentaire sur l</w:t>
      </w:r>
      <w:r>
        <w:rPr>
          <w:kern w:val="22"/>
          <w:szCs w:val="22"/>
          <w:lang w:val="fr-CA" w:bidi="fr-FR"/>
        </w:rPr>
        <w:t>’</w:t>
      </w:r>
      <w:r w:rsidRPr="00860D94">
        <w:rPr>
          <w:kern w:val="22"/>
          <w:szCs w:val="22"/>
          <w:lang w:val="fr-CA" w:bidi="fr-FR"/>
        </w:rPr>
        <w:t>évaluation des r</w:t>
      </w:r>
      <w:r>
        <w:rPr>
          <w:kern w:val="22"/>
          <w:szCs w:val="22"/>
          <w:lang w:val="fr-CA" w:bidi="fr-FR"/>
        </w:rPr>
        <w:t xml:space="preserve">isques est nécessaire pour : </w:t>
      </w:r>
      <w:r>
        <w:rPr>
          <w:lang w:val="fr-CA" w:bidi="fr-FR"/>
        </w:rPr>
        <w:t>[a</w:t>
      </w:r>
      <w:r w:rsidRPr="00860D94">
        <w:rPr>
          <w:lang w:val="fr-CA" w:bidi="fr-FR"/>
        </w:rPr>
        <w:t xml:space="preserve">) </w:t>
      </w:r>
      <w:r>
        <w:rPr>
          <w:lang w:val="fr-CA" w:bidi="fr-FR"/>
        </w:rPr>
        <w:t xml:space="preserve">les </w:t>
      </w:r>
      <w:r w:rsidRPr="00860D94">
        <w:rPr>
          <w:lang w:val="fr-CA" w:bidi="fr-FR"/>
        </w:rPr>
        <w:t xml:space="preserve">organismes vivants </w:t>
      </w:r>
      <w:r w:rsidRPr="00860D94">
        <w:rPr>
          <w:lang w:val="fr-CA" w:bidi="fr-FR"/>
        </w:rPr>
        <w:lastRenderedPageBreak/>
        <w:t xml:space="preserve">modifiés </w:t>
      </w:r>
      <w:r w:rsidRPr="00860D94">
        <w:rPr>
          <w:kern w:val="22"/>
          <w:szCs w:val="22"/>
          <w:lang w:val="fr-CA" w:bidi="fr-FR"/>
        </w:rPr>
        <w:t xml:space="preserve">produits par édition </w:t>
      </w:r>
      <w:r>
        <w:rPr>
          <w:kern w:val="22"/>
          <w:szCs w:val="22"/>
          <w:lang w:val="fr-CA" w:bidi="fr-FR"/>
        </w:rPr>
        <w:t>du génome,] b</w:t>
      </w:r>
      <w:r w:rsidRPr="00860D94">
        <w:rPr>
          <w:kern w:val="22"/>
          <w:szCs w:val="22"/>
          <w:lang w:val="fr-CA" w:bidi="fr-FR"/>
        </w:rPr>
        <w:t xml:space="preserve">) </w:t>
      </w:r>
      <w:r>
        <w:rPr>
          <w:kern w:val="22"/>
          <w:szCs w:val="22"/>
          <w:lang w:val="fr-CA" w:bidi="fr-FR"/>
        </w:rPr>
        <w:t xml:space="preserve">les </w:t>
      </w:r>
      <w:r w:rsidRPr="00860D94">
        <w:rPr>
          <w:kern w:val="22"/>
          <w:szCs w:val="22"/>
          <w:lang w:val="fr-CA" w:bidi="fr-FR"/>
        </w:rPr>
        <w:t xml:space="preserve">organismes vivants modifiés </w:t>
      </w:r>
      <w:r>
        <w:rPr>
          <w:kern w:val="22"/>
          <w:szCs w:val="22"/>
          <w:lang w:val="fr-CA" w:bidi="fr-FR"/>
        </w:rPr>
        <w:t>ayant subi un forçage génétique, et c) les poissons vivants génétiquement modifiés;</w:t>
      </w:r>
    </w:p>
    <w:p w:rsidR="00DC2190" w:rsidRPr="00860D94"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Décide en outre</w:t>
      </w:r>
      <w:r w:rsidRPr="00860D94">
        <w:rPr>
          <w:kern w:val="22"/>
          <w:szCs w:val="22"/>
          <w:lang w:val="fr-CA" w:bidi="fr-FR"/>
        </w:rPr>
        <w:t xml:space="preserve"> d</w:t>
      </w:r>
      <w:r>
        <w:rPr>
          <w:kern w:val="22"/>
          <w:szCs w:val="22"/>
          <w:lang w:val="fr-CA" w:bidi="fr-FR"/>
        </w:rPr>
        <w:t>e constituer</w:t>
      </w:r>
      <w:r w:rsidRPr="00860D94">
        <w:rPr>
          <w:kern w:val="22"/>
          <w:szCs w:val="22"/>
          <w:lang w:val="fr-CA" w:bidi="fr-FR"/>
        </w:rPr>
        <w:t xml:space="preserve"> un groupe spécial d</w:t>
      </w:r>
      <w:r>
        <w:rPr>
          <w:kern w:val="22"/>
          <w:szCs w:val="22"/>
          <w:lang w:val="fr-CA" w:bidi="fr-FR"/>
        </w:rPr>
        <w:t>’</w:t>
      </w:r>
      <w:r w:rsidRPr="00860D94">
        <w:rPr>
          <w:kern w:val="22"/>
          <w:szCs w:val="22"/>
          <w:lang w:val="fr-CA" w:bidi="fr-FR"/>
        </w:rPr>
        <w:t>experts techniques sur l</w:t>
      </w:r>
      <w:r>
        <w:rPr>
          <w:kern w:val="22"/>
          <w:szCs w:val="22"/>
          <w:lang w:val="fr-CA" w:bidi="fr-FR"/>
        </w:rPr>
        <w:t>’</w:t>
      </w:r>
      <w:r w:rsidRPr="00860D94">
        <w:rPr>
          <w:kern w:val="22"/>
          <w:szCs w:val="22"/>
          <w:lang w:val="fr-CA" w:bidi="fr-FR"/>
        </w:rPr>
        <w:t>évaluation des risques, composé d</w:t>
      </w:r>
      <w:r>
        <w:rPr>
          <w:kern w:val="22"/>
          <w:szCs w:val="22"/>
          <w:lang w:val="fr-CA" w:bidi="fr-FR"/>
        </w:rPr>
        <w:t xml:space="preserve">e spécialistes sélectionnés selon le mode de fonctionnement </w:t>
      </w:r>
      <w:r w:rsidRPr="00860D94">
        <w:rPr>
          <w:noProof/>
          <w:kern w:val="22"/>
          <w:szCs w:val="22"/>
          <w:lang w:val="fr-CA" w:bidi="fr-FR"/>
        </w:rPr>
        <w:t>consolidé de l</w:t>
      </w:r>
      <w:r>
        <w:rPr>
          <w:noProof/>
          <w:kern w:val="22"/>
          <w:szCs w:val="22"/>
          <w:lang w:val="fr-CA" w:bidi="fr-FR"/>
        </w:rPr>
        <w:t>’</w:t>
      </w:r>
      <w:r w:rsidRPr="00860D94">
        <w:rPr>
          <w:noProof/>
          <w:kern w:val="22"/>
          <w:szCs w:val="22"/>
          <w:lang w:val="fr-CA" w:bidi="fr-FR"/>
        </w:rPr>
        <w:t>Organe</w:t>
      </w:r>
      <w:r w:rsidRPr="00860D94">
        <w:rPr>
          <w:kern w:val="22"/>
          <w:szCs w:val="22"/>
          <w:lang w:val="fr-CA" w:bidi="fr-FR"/>
        </w:rPr>
        <w:t xml:space="preserve"> subsidiaire chargé de fournir des avis scientifique</w:t>
      </w:r>
      <w:r>
        <w:rPr>
          <w:kern w:val="22"/>
          <w:szCs w:val="22"/>
          <w:lang w:val="fr-CA" w:bidi="fr-FR"/>
        </w:rPr>
        <w:t>s, techniques et technologiques</w:t>
      </w:r>
      <w:r w:rsidRPr="00090E10">
        <w:rPr>
          <w:rStyle w:val="FootnoteReference"/>
          <w:rFonts w:eastAsiaTheme="majorEastAsia"/>
          <w:kern w:val="22"/>
          <w:sz w:val="20"/>
          <w:szCs w:val="20"/>
          <w:u w:val="none"/>
          <w:vertAlign w:val="superscript"/>
          <w:lang w:val="fr-CA" w:bidi="fr-FR"/>
        </w:rPr>
        <w:footnoteReference w:id="8"/>
      </w:r>
      <w:r>
        <w:rPr>
          <w:kern w:val="22"/>
          <w:szCs w:val="22"/>
          <w:lang w:val="fr-CA" w:bidi="fr-FR"/>
        </w:rPr>
        <w:t xml:space="preserve">, en accord avec le mandat figurant </w:t>
      </w:r>
      <w:r w:rsidRPr="00860D94">
        <w:rPr>
          <w:kern w:val="22"/>
          <w:szCs w:val="22"/>
          <w:lang w:val="fr-CA" w:bidi="fr-FR"/>
        </w:rPr>
        <w:t>à l</w:t>
      </w:r>
      <w:r>
        <w:rPr>
          <w:kern w:val="22"/>
          <w:szCs w:val="22"/>
          <w:lang w:val="fr-CA" w:bidi="fr-FR"/>
        </w:rPr>
        <w:t>’annexe II;</w:t>
      </w:r>
    </w:p>
    <w:p w:rsidR="00DC2190" w:rsidRPr="00860D94"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Décide</w:t>
      </w:r>
      <w:r w:rsidRPr="00860D94">
        <w:rPr>
          <w:kern w:val="22"/>
          <w:szCs w:val="22"/>
          <w:lang w:val="fr-CA" w:bidi="fr-FR"/>
        </w:rPr>
        <w:t xml:space="preserve"> d</w:t>
      </w:r>
      <w:r>
        <w:rPr>
          <w:kern w:val="22"/>
          <w:szCs w:val="22"/>
          <w:lang w:val="fr-CA" w:bidi="fr-FR"/>
        </w:rPr>
        <w:t>e proroger</w:t>
      </w:r>
      <w:r w:rsidRPr="00860D94">
        <w:rPr>
          <w:kern w:val="22"/>
          <w:szCs w:val="22"/>
          <w:lang w:val="fr-CA" w:bidi="fr-FR"/>
        </w:rPr>
        <w:t xml:space="preserve"> le forum en ligne sur l</w:t>
      </w:r>
      <w:r>
        <w:rPr>
          <w:kern w:val="22"/>
          <w:szCs w:val="22"/>
          <w:lang w:val="fr-CA" w:bidi="fr-FR"/>
        </w:rPr>
        <w:t>’</w:t>
      </w:r>
      <w:r w:rsidRPr="00860D94">
        <w:rPr>
          <w:kern w:val="22"/>
          <w:szCs w:val="22"/>
          <w:lang w:val="fr-CA" w:bidi="fr-FR"/>
        </w:rPr>
        <w:t>évaluation des risques et la gestion des risques</w:t>
      </w:r>
      <w:r>
        <w:rPr>
          <w:kern w:val="22"/>
          <w:szCs w:val="22"/>
          <w:lang w:val="fr-CA" w:bidi="fr-FR"/>
        </w:rPr>
        <w:t>,</w:t>
      </w:r>
      <w:r w:rsidRPr="00860D94">
        <w:rPr>
          <w:kern w:val="22"/>
          <w:szCs w:val="22"/>
          <w:lang w:val="fr-CA" w:bidi="fr-FR"/>
        </w:rPr>
        <w:t xml:space="preserve"> afin d</w:t>
      </w:r>
      <w:r>
        <w:rPr>
          <w:kern w:val="22"/>
          <w:szCs w:val="22"/>
          <w:lang w:val="fr-CA" w:bidi="fr-FR"/>
        </w:rPr>
        <w:t>’</w:t>
      </w:r>
      <w:r w:rsidRPr="00860D94">
        <w:rPr>
          <w:kern w:val="22"/>
          <w:szCs w:val="22"/>
          <w:lang w:val="fr-CA" w:bidi="fr-FR"/>
        </w:rPr>
        <w:t>aider le groupe spécial d</w:t>
      </w:r>
      <w:r>
        <w:rPr>
          <w:kern w:val="22"/>
          <w:szCs w:val="22"/>
          <w:lang w:val="fr-CA" w:bidi="fr-FR"/>
        </w:rPr>
        <w:t>’</w:t>
      </w:r>
      <w:r w:rsidRPr="00860D94">
        <w:rPr>
          <w:kern w:val="22"/>
          <w:szCs w:val="22"/>
          <w:lang w:val="fr-CA" w:bidi="fr-FR"/>
        </w:rPr>
        <w:t>experts techniques sur l</w:t>
      </w:r>
      <w:r>
        <w:rPr>
          <w:kern w:val="22"/>
          <w:szCs w:val="22"/>
          <w:lang w:val="fr-CA" w:bidi="fr-FR"/>
        </w:rPr>
        <w:t>’évaluation des risques;</w:t>
      </w:r>
    </w:p>
    <w:p w:rsidR="00DC2190" w:rsidRPr="00860D94"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 xml:space="preserve">Invite les </w:t>
      </w:r>
      <w:r w:rsidRPr="00860D94">
        <w:rPr>
          <w:kern w:val="22"/>
          <w:szCs w:val="22"/>
          <w:lang w:val="fr-CA" w:bidi="fr-FR"/>
        </w:rPr>
        <w:t xml:space="preserve">Parties, </w:t>
      </w:r>
      <w:r>
        <w:rPr>
          <w:kern w:val="22"/>
          <w:szCs w:val="22"/>
          <w:lang w:val="fr-CA" w:bidi="fr-FR"/>
        </w:rPr>
        <w:t xml:space="preserve">les </w:t>
      </w:r>
      <w:r w:rsidRPr="00860D94">
        <w:rPr>
          <w:kern w:val="22"/>
          <w:szCs w:val="22"/>
          <w:lang w:val="fr-CA" w:bidi="fr-FR"/>
        </w:rPr>
        <w:t xml:space="preserve">autres gouvernements, les peuples autochtones et communautés locales et les </w:t>
      </w:r>
      <w:r>
        <w:rPr>
          <w:kern w:val="22"/>
          <w:szCs w:val="22"/>
          <w:lang w:val="fr-CA" w:bidi="fr-FR"/>
        </w:rPr>
        <w:t>organisations compétentes à transm</w:t>
      </w:r>
      <w:r w:rsidRPr="00860D94">
        <w:rPr>
          <w:kern w:val="22"/>
          <w:szCs w:val="22"/>
          <w:lang w:val="fr-CA" w:bidi="fr-FR"/>
        </w:rPr>
        <w:t>ettre à la Secrétaire exécutive toute in</w:t>
      </w:r>
      <w:r>
        <w:rPr>
          <w:kern w:val="22"/>
          <w:szCs w:val="22"/>
          <w:lang w:val="fr-CA" w:bidi="fr-FR"/>
        </w:rPr>
        <w:t xml:space="preserve">formation pertinente sur </w:t>
      </w:r>
      <w:r w:rsidRPr="00860D94">
        <w:rPr>
          <w:kern w:val="22"/>
          <w:szCs w:val="22"/>
          <w:lang w:val="fr-CA" w:bidi="fr-FR"/>
        </w:rPr>
        <w:t>les trava</w:t>
      </w:r>
      <w:r>
        <w:rPr>
          <w:kern w:val="22"/>
          <w:szCs w:val="22"/>
          <w:lang w:val="fr-CA" w:bidi="fr-FR"/>
        </w:rPr>
        <w:t>ux du forum en ligne et du groupe spécial d’experts techniques sur l’évaluation des risques;</w:t>
      </w:r>
    </w:p>
    <w:p w:rsidR="00DC2190" w:rsidRPr="00860D94" w:rsidRDefault="00DC2190" w:rsidP="00004EAF">
      <w:pPr>
        <w:pStyle w:val="Para1"/>
        <w:numPr>
          <w:ilvl w:val="0"/>
          <w:numId w:val="9"/>
        </w:numPr>
        <w:suppressLineNumbers/>
        <w:tabs>
          <w:tab w:val="left" w:pos="720"/>
        </w:tabs>
        <w:suppressAutoHyphens/>
        <w:kinsoku w:val="0"/>
        <w:overflowPunct w:val="0"/>
        <w:autoSpaceDE w:val="0"/>
        <w:autoSpaceDN w:val="0"/>
        <w:snapToGrid w:val="0"/>
        <w:ind w:left="0" w:firstLine="720"/>
        <w:rPr>
          <w:kern w:val="22"/>
          <w:szCs w:val="22"/>
          <w:lang w:val="fr-CA"/>
        </w:rPr>
      </w:pPr>
      <w:r w:rsidRPr="00860D94">
        <w:rPr>
          <w:i/>
          <w:kern w:val="22"/>
          <w:szCs w:val="22"/>
          <w:lang w:val="fr-CA" w:bidi="fr-FR"/>
        </w:rPr>
        <w:t>Demande</w:t>
      </w:r>
      <w:r>
        <w:rPr>
          <w:kern w:val="22"/>
          <w:szCs w:val="22"/>
          <w:lang w:val="fr-CA" w:bidi="fr-FR"/>
        </w:rPr>
        <w:t xml:space="preserve"> à la Secrétaire exécutive, dans la limite des ressources disponibles</w:t>
      </w:r>
      <w:r w:rsidRPr="00860D94">
        <w:rPr>
          <w:kern w:val="22"/>
          <w:szCs w:val="22"/>
          <w:lang w:val="fr-CA" w:bidi="fr-FR"/>
        </w:rPr>
        <w:t>, de :</w:t>
      </w:r>
    </w:p>
    <w:p w:rsidR="00DC2190" w:rsidRPr="00860D94" w:rsidRDefault="00DC2190" w:rsidP="00004EAF">
      <w:pPr>
        <w:pStyle w:val="ListParagraph"/>
        <w:numPr>
          <w:ilvl w:val="0"/>
          <w:numId w:val="10"/>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lang w:val="fr-CA"/>
        </w:rPr>
      </w:pPr>
      <w:r>
        <w:rPr>
          <w:snapToGrid w:val="0"/>
          <w:kern w:val="22"/>
          <w:szCs w:val="22"/>
          <w:lang w:val="fr-CA" w:bidi="fr-FR"/>
        </w:rPr>
        <w:t>Commander une étude éclairant</w:t>
      </w:r>
      <w:r w:rsidRPr="00860D94">
        <w:rPr>
          <w:snapToGrid w:val="0"/>
          <w:kern w:val="22"/>
          <w:szCs w:val="22"/>
          <w:lang w:val="fr-CA" w:bidi="fr-FR"/>
        </w:rPr>
        <w:t xml:space="preserve"> l</w:t>
      </w:r>
      <w:r>
        <w:rPr>
          <w:snapToGrid w:val="0"/>
          <w:kern w:val="22"/>
          <w:szCs w:val="22"/>
          <w:lang w:val="fr-CA" w:bidi="fr-FR"/>
        </w:rPr>
        <w:t>’</w:t>
      </w:r>
      <w:r w:rsidRPr="00860D94">
        <w:rPr>
          <w:snapToGrid w:val="0"/>
          <w:kern w:val="22"/>
          <w:szCs w:val="22"/>
          <w:lang w:val="fr-CA" w:bidi="fr-FR"/>
        </w:rPr>
        <w:t>application de l</w:t>
      </w:r>
      <w:r>
        <w:rPr>
          <w:snapToGrid w:val="0"/>
          <w:kern w:val="22"/>
          <w:szCs w:val="22"/>
          <w:lang w:val="fr-CA" w:bidi="fr-FR"/>
        </w:rPr>
        <w:t>’</w:t>
      </w:r>
      <w:r w:rsidRPr="00860D94">
        <w:rPr>
          <w:snapToGrid w:val="0"/>
          <w:kern w:val="22"/>
          <w:szCs w:val="22"/>
          <w:lang w:val="fr-CA" w:bidi="fr-FR"/>
        </w:rPr>
        <w:t xml:space="preserve">annexe I aux </w:t>
      </w:r>
      <w:r>
        <w:rPr>
          <w:lang w:val="fr-CA" w:bidi="fr-FR"/>
        </w:rPr>
        <w:t>[</w:t>
      </w:r>
      <w:r w:rsidRPr="00860D94">
        <w:rPr>
          <w:lang w:val="fr-CA" w:bidi="fr-FR"/>
        </w:rPr>
        <w:t xml:space="preserve">i) organismes vivants modifiés </w:t>
      </w:r>
      <w:r w:rsidRPr="00860D94">
        <w:rPr>
          <w:kern w:val="22"/>
          <w:szCs w:val="22"/>
          <w:lang w:val="fr-CA" w:bidi="fr-FR"/>
        </w:rPr>
        <w:t>pr</w:t>
      </w:r>
      <w:r>
        <w:rPr>
          <w:kern w:val="22"/>
          <w:szCs w:val="22"/>
          <w:lang w:val="fr-CA" w:bidi="fr-FR"/>
        </w:rPr>
        <w:t xml:space="preserve">oduits par édition du génome,] </w:t>
      </w:r>
      <w:r w:rsidRPr="00860D94">
        <w:rPr>
          <w:kern w:val="22"/>
          <w:szCs w:val="22"/>
          <w:lang w:val="fr-CA" w:bidi="fr-FR"/>
        </w:rPr>
        <w:t xml:space="preserve">ii) organismes vivants modifiés </w:t>
      </w:r>
      <w:r>
        <w:rPr>
          <w:kern w:val="22"/>
          <w:szCs w:val="22"/>
          <w:lang w:val="fr-CA" w:bidi="fr-FR"/>
        </w:rPr>
        <w:t xml:space="preserve">ayant subi un forçage génétique et </w:t>
      </w:r>
      <w:r w:rsidRPr="00860D94">
        <w:rPr>
          <w:kern w:val="22"/>
          <w:szCs w:val="22"/>
          <w:lang w:val="fr-CA" w:bidi="fr-FR"/>
        </w:rPr>
        <w:t xml:space="preserve">iii) poissons vivants </w:t>
      </w:r>
      <w:r>
        <w:rPr>
          <w:kern w:val="22"/>
          <w:szCs w:val="22"/>
          <w:lang w:val="fr-CA" w:bidi="fr-FR"/>
        </w:rPr>
        <w:t xml:space="preserve">génétiquement </w:t>
      </w:r>
      <w:r w:rsidRPr="00860D94">
        <w:rPr>
          <w:kern w:val="22"/>
          <w:szCs w:val="22"/>
          <w:lang w:val="fr-CA" w:bidi="fr-FR"/>
        </w:rPr>
        <w:t xml:space="preserve">modifiés, pour faciliter </w:t>
      </w:r>
      <w:r>
        <w:rPr>
          <w:kern w:val="22"/>
          <w:szCs w:val="22"/>
          <w:lang w:val="fr-CA" w:bidi="fr-FR"/>
        </w:rPr>
        <w:t xml:space="preserve">le processus visé </w:t>
      </w:r>
      <w:r>
        <w:rPr>
          <w:noProof/>
          <w:kern w:val="22"/>
          <w:szCs w:val="22"/>
          <w:lang w:val="fr-CA" w:bidi="fr-FR"/>
        </w:rPr>
        <w:t>au paragraphe </w:t>
      </w:r>
      <w:r w:rsidRPr="00860D94">
        <w:rPr>
          <w:noProof/>
          <w:kern w:val="22"/>
          <w:szCs w:val="22"/>
          <w:lang w:val="fr-CA" w:bidi="fr-FR"/>
        </w:rPr>
        <w:t>5 ci</w:t>
      </w:r>
      <w:r>
        <w:rPr>
          <w:noProof/>
          <w:kern w:val="22"/>
          <w:szCs w:val="22"/>
          <w:lang w:val="fr-CA" w:bidi="fr-FR"/>
        </w:rPr>
        <w:noBreakHyphen/>
      </w:r>
      <w:r w:rsidRPr="00860D94">
        <w:rPr>
          <w:noProof/>
          <w:kern w:val="22"/>
          <w:szCs w:val="22"/>
          <w:lang w:val="fr-CA" w:bidi="fr-FR"/>
        </w:rPr>
        <w:t>dessus, et</w:t>
      </w:r>
      <w:r>
        <w:rPr>
          <w:kern w:val="22"/>
          <w:szCs w:val="22"/>
          <w:lang w:val="fr-CA" w:bidi="fr-FR"/>
        </w:rPr>
        <w:t xml:space="preserve"> de </w:t>
      </w:r>
      <w:r w:rsidRPr="00860D94">
        <w:rPr>
          <w:kern w:val="22"/>
          <w:szCs w:val="22"/>
          <w:lang w:val="fr-CA" w:bidi="fr-FR"/>
        </w:rPr>
        <w:t xml:space="preserve">présenter </w:t>
      </w:r>
      <w:r>
        <w:rPr>
          <w:kern w:val="22"/>
          <w:szCs w:val="22"/>
          <w:lang w:val="fr-CA" w:bidi="fr-FR"/>
        </w:rPr>
        <w:t>cette étude au f</w:t>
      </w:r>
      <w:r w:rsidRPr="00860D94">
        <w:rPr>
          <w:kern w:val="22"/>
          <w:szCs w:val="22"/>
          <w:lang w:val="fr-CA" w:bidi="fr-FR"/>
        </w:rPr>
        <w:t xml:space="preserve">orum en ligne à composition non limitée et au </w:t>
      </w:r>
      <w:r>
        <w:rPr>
          <w:kern w:val="22"/>
          <w:szCs w:val="22"/>
          <w:lang w:val="fr-CA" w:bidi="fr-FR"/>
        </w:rPr>
        <w:t xml:space="preserve">groupe spécial d’experts techniques sur l’évaluation et la gestion des </w:t>
      </w:r>
      <w:r w:rsidRPr="00860D94">
        <w:rPr>
          <w:kern w:val="22"/>
          <w:szCs w:val="22"/>
          <w:lang w:val="fr-CA" w:bidi="fr-FR"/>
        </w:rPr>
        <w:t>risques</w:t>
      </w:r>
      <w:r>
        <w:rPr>
          <w:kern w:val="22"/>
          <w:szCs w:val="22"/>
          <w:lang w:val="fr-CA" w:bidi="fr-FR"/>
        </w:rPr>
        <w:t>;</w:t>
      </w:r>
      <w:r w:rsidRPr="00860D94">
        <w:rPr>
          <w:kern w:val="22"/>
          <w:szCs w:val="22"/>
          <w:lang w:val="fr-CA" w:bidi="fr-FR"/>
        </w:rPr>
        <w:t xml:space="preserve"> </w:t>
      </w:r>
    </w:p>
    <w:p w:rsidR="00DC2190" w:rsidRPr="00860D94" w:rsidRDefault="00DC2190" w:rsidP="00004EAF">
      <w:pPr>
        <w:pStyle w:val="ListParagraph"/>
        <w:numPr>
          <w:ilvl w:val="0"/>
          <w:numId w:val="10"/>
        </w:numPr>
        <w:suppressLineNumbers/>
        <w:tabs>
          <w:tab w:val="left" w:pos="1440"/>
        </w:tabs>
        <w:suppressAutoHyphens/>
        <w:kinsoku w:val="0"/>
        <w:overflowPunct w:val="0"/>
        <w:autoSpaceDE w:val="0"/>
        <w:autoSpaceDN w:val="0"/>
        <w:spacing w:before="120" w:after="120"/>
        <w:ind w:left="0" w:firstLine="720"/>
        <w:contextualSpacing w:val="0"/>
        <w:rPr>
          <w:snapToGrid w:val="0"/>
          <w:kern w:val="22"/>
          <w:szCs w:val="22"/>
          <w:lang w:val="fr-CA"/>
        </w:rPr>
      </w:pPr>
      <w:r w:rsidRPr="00860D94">
        <w:rPr>
          <w:snapToGrid w:val="0"/>
          <w:kern w:val="22"/>
          <w:szCs w:val="22"/>
          <w:lang w:val="fr-CA" w:bidi="fr-FR"/>
        </w:rPr>
        <w:t xml:space="preserve">Recueillir et </w:t>
      </w:r>
      <w:r>
        <w:rPr>
          <w:snapToGrid w:val="0"/>
          <w:kern w:val="22"/>
          <w:szCs w:val="22"/>
          <w:lang w:val="fr-CA" w:bidi="fr-FR"/>
        </w:rPr>
        <w:t>résumer</w:t>
      </w:r>
      <w:r w:rsidRPr="00860D94">
        <w:rPr>
          <w:snapToGrid w:val="0"/>
          <w:kern w:val="22"/>
          <w:szCs w:val="22"/>
          <w:lang w:val="fr-CA" w:bidi="fr-FR"/>
        </w:rPr>
        <w:t xml:space="preserve"> les informations pertinentes pour faciliter le travail du forum en ligne et du groupe spécial d</w:t>
      </w:r>
      <w:r>
        <w:rPr>
          <w:snapToGrid w:val="0"/>
          <w:kern w:val="22"/>
          <w:szCs w:val="22"/>
          <w:lang w:val="fr-CA" w:bidi="fr-FR"/>
        </w:rPr>
        <w:t>’</w:t>
      </w:r>
      <w:r w:rsidRPr="00860D94">
        <w:rPr>
          <w:snapToGrid w:val="0"/>
          <w:kern w:val="22"/>
          <w:szCs w:val="22"/>
          <w:lang w:val="fr-CA" w:bidi="fr-FR"/>
        </w:rPr>
        <w:t>experts techniques</w:t>
      </w:r>
      <w:r>
        <w:rPr>
          <w:snapToGrid w:val="0"/>
          <w:kern w:val="22"/>
          <w:szCs w:val="22"/>
          <w:lang w:val="fr-CA" w:bidi="fr-FR"/>
        </w:rPr>
        <w:t>;</w:t>
      </w:r>
    </w:p>
    <w:p w:rsidR="00DC2190" w:rsidRPr="00860D94" w:rsidRDefault="00DC2190" w:rsidP="00004EAF">
      <w:pPr>
        <w:pStyle w:val="ListParagraph"/>
        <w:numPr>
          <w:ilvl w:val="0"/>
          <w:numId w:val="10"/>
        </w:numPr>
        <w:suppressLineNumbers/>
        <w:tabs>
          <w:tab w:val="left" w:pos="1440"/>
        </w:tabs>
        <w:suppressAutoHyphens/>
        <w:kinsoku w:val="0"/>
        <w:overflowPunct w:val="0"/>
        <w:autoSpaceDE w:val="0"/>
        <w:autoSpaceDN w:val="0"/>
        <w:spacing w:before="120" w:after="120"/>
        <w:ind w:left="0" w:firstLine="720"/>
        <w:contextualSpacing w:val="0"/>
        <w:rPr>
          <w:snapToGrid w:val="0"/>
          <w:color w:val="000000"/>
          <w:kern w:val="22"/>
          <w:szCs w:val="22"/>
          <w:lang w:val="fr-CA"/>
        </w:rPr>
      </w:pPr>
      <w:r w:rsidRPr="00860D94">
        <w:rPr>
          <w:snapToGrid w:val="0"/>
          <w:color w:val="000000"/>
          <w:kern w:val="22"/>
          <w:szCs w:val="22"/>
          <w:lang w:val="fr-CA" w:bidi="fr-FR"/>
        </w:rPr>
        <w:t>Aider le modérateur principal du forum en lig</w:t>
      </w:r>
      <w:r>
        <w:rPr>
          <w:snapToGrid w:val="0"/>
          <w:color w:val="000000"/>
          <w:kern w:val="22"/>
          <w:szCs w:val="22"/>
          <w:lang w:val="fr-CA" w:bidi="fr-FR"/>
        </w:rPr>
        <w:t>ne à organiser des débats et à rendre compte de leurs résultats;</w:t>
      </w:r>
    </w:p>
    <w:p w:rsidR="00DC2190" w:rsidRPr="00860D94" w:rsidRDefault="00DC2190" w:rsidP="00004EAF">
      <w:pPr>
        <w:pStyle w:val="ListParagraph"/>
        <w:numPr>
          <w:ilvl w:val="0"/>
          <w:numId w:val="10"/>
        </w:numPr>
        <w:suppressLineNumbers/>
        <w:tabs>
          <w:tab w:val="left" w:pos="1440"/>
        </w:tabs>
        <w:suppressAutoHyphens/>
        <w:kinsoku w:val="0"/>
        <w:overflowPunct w:val="0"/>
        <w:autoSpaceDE w:val="0"/>
        <w:autoSpaceDN w:val="0"/>
        <w:spacing w:before="120" w:after="120"/>
        <w:ind w:left="0" w:firstLine="720"/>
        <w:contextualSpacing w:val="0"/>
        <w:rPr>
          <w:noProof/>
          <w:snapToGrid w:val="0"/>
          <w:kern w:val="22"/>
          <w:szCs w:val="22"/>
          <w:lang w:val="fr-CA"/>
        </w:rPr>
      </w:pPr>
      <w:r w:rsidRPr="00860D94">
        <w:rPr>
          <w:snapToGrid w:val="0"/>
          <w:kern w:val="22"/>
          <w:szCs w:val="22"/>
          <w:lang w:val="fr-CA" w:bidi="fr-FR"/>
        </w:rPr>
        <w:t xml:space="preserve">Convoquer une réunion en </w:t>
      </w:r>
      <w:r w:rsidRPr="00860D94">
        <w:rPr>
          <w:noProof/>
          <w:snapToGrid w:val="0"/>
          <w:kern w:val="22"/>
          <w:szCs w:val="22"/>
          <w:lang w:val="fr-CA" w:bidi="fr-FR"/>
        </w:rPr>
        <w:t>face</w:t>
      </w:r>
      <w:r>
        <w:rPr>
          <w:noProof/>
          <w:snapToGrid w:val="0"/>
          <w:kern w:val="22"/>
          <w:szCs w:val="22"/>
          <w:lang w:val="fr-CA" w:bidi="fr-FR"/>
        </w:rPr>
        <w:noBreakHyphen/>
      </w:r>
      <w:r w:rsidRPr="00860D94">
        <w:rPr>
          <w:noProof/>
          <w:snapToGrid w:val="0"/>
          <w:kern w:val="22"/>
          <w:szCs w:val="22"/>
          <w:lang w:val="fr-CA" w:bidi="fr-FR"/>
        </w:rPr>
        <w:t>à</w:t>
      </w:r>
      <w:r>
        <w:rPr>
          <w:noProof/>
          <w:snapToGrid w:val="0"/>
          <w:kern w:val="22"/>
          <w:szCs w:val="22"/>
          <w:lang w:val="fr-CA" w:bidi="fr-FR"/>
        </w:rPr>
        <w:noBreakHyphen/>
        <w:t>face du g</w:t>
      </w:r>
      <w:r w:rsidRPr="00860D94">
        <w:rPr>
          <w:noProof/>
          <w:snapToGrid w:val="0"/>
          <w:kern w:val="22"/>
          <w:szCs w:val="22"/>
          <w:lang w:val="fr-CA" w:bidi="fr-FR"/>
        </w:rPr>
        <w:t>roupe spécial d</w:t>
      </w:r>
      <w:r>
        <w:rPr>
          <w:noProof/>
          <w:snapToGrid w:val="0"/>
          <w:kern w:val="22"/>
          <w:szCs w:val="22"/>
          <w:lang w:val="fr-CA" w:bidi="fr-FR"/>
        </w:rPr>
        <w:t>’</w:t>
      </w:r>
      <w:r w:rsidRPr="00860D94">
        <w:rPr>
          <w:noProof/>
          <w:snapToGrid w:val="0"/>
          <w:kern w:val="22"/>
          <w:szCs w:val="22"/>
          <w:lang w:val="fr-CA" w:bidi="fr-FR"/>
        </w:rPr>
        <w:t>experts techniques sur l</w:t>
      </w:r>
      <w:r>
        <w:rPr>
          <w:noProof/>
          <w:snapToGrid w:val="0"/>
          <w:kern w:val="22"/>
          <w:szCs w:val="22"/>
          <w:lang w:val="fr-CA" w:bidi="fr-FR"/>
        </w:rPr>
        <w:t>’</w:t>
      </w:r>
      <w:r w:rsidRPr="00860D94">
        <w:rPr>
          <w:noProof/>
          <w:snapToGrid w:val="0"/>
          <w:kern w:val="22"/>
          <w:szCs w:val="22"/>
          <w:lang w:val="fr-CA" w:bidi="fr-FR"/>
        </w:rPr>
        <w:t xml:space="preserve">évaluation des </w:t>
      </w:r>
      <w:r>
        <w:rPr>
          <w:noProof/>
          <w:snapToGrid w:val="0"/>
          <w:kern w:val="22"/>
          <w:szCs w:val="22"/>
          <w:lang w:val="fr-CA" w:bidi="fr-FR"/>
        </w:rPr>
        <w:t>risques;</w:t>
      </w:r>
    </w:p>
    <w:p w:rsidR="00DC2190" w:rsidRPr="00860D94" w:rsidRDefault="00DC2190" w:rsidP="00004EAF">
      <w:pPr>
        <w:pStyle w:val="ListParagraph"/>
        <w:numPr>
          <w:ilvl w:val="0"/>
          <w:numId w:val="9"/>
        </w:numPr>
        <w:spacing w:after="120"/>
        <w:ind w:left="0" w:firstLine="720"/>
        <w:rPr>
          <w:i/>
          <w:kern w:val="22"/>
          <w:szCs w:val="22"/>
          <w:lang w:val="fr-CA"/>
        </w:rPr>
      </w:pPr>
      <w:r w:rsidRPr="00860D94">
        <w:rPr>
          <w:i/>
          <w:kern w:val="22"/>
          <w:szCs w:val="22"/>
          <w:lang w:val="fr-CA" w:bidi="fr-FR"/>
        </w:rPr>
        <w:t xml:space="preserve">Demande </w:t>
      </w:r>
      <w:r>
        <w:rPr>
          <w:kern w:val="22"/>
          <w:szCs w:val="22"/>
          <w:lang w:val="fr-CA" w:bidi="fr-FR"/>
        </w:rPr>
        <w:t xml:space="preserve">à </w:t>
      </w:r>
      <w:r w:rsidRPr="00860D94">
        <w:rPr>
          <w:noProof/>
          <w:kern w:val="22"/>
          <w:szCs w:val="22"/>
          <w:lang w:val="fr-CA" w:bidi="fr-FR"/>
        </w:rPr>
        <w:t>l</w:t>
      </w:r>
      <w:r>
        <w:rPr>
          <w:noProof/>
          <w:kern w:val="22"/>
          <w:szCs w:val="22"/>
          <w:lang w:val="fr-CA" w:bidi="fr-FR"/>
        </w:rPr>
        <w:t>’</w:t>
      </w:r>
      <w:r w:rsidRPr="00860D94">
        <w:rPr>
          <w:noProof/>
          <w:kern w:val="22"/>
          <w:szCs w:val="22"/>
          <w:lang w:val="fr-CA" w:bidi="fr-FR"/>
        </w:rPr>
        <w:t>Organe</w:t>
      </w:r>
      <w:r w:rsidRPr="00860D94">
        <w:rPr>
          <w:kern w:val="22"/>
          <w:szCs w:val="22"/>
          <w:lang w:val="fr-CA" w:bidi="fr-FR"/>
        </w:rPr>
        <w:t xml:space="preserve"> subsidiaire chargé de fournir des avis scientifiques, techniques et technologiques </w:t>
      </w:r>
      <w:r>
        <w:rPr>
          <w:kern w:val="22"/>
          <w:szCs w:val="22"/>
          <w:lang w:val="fr-CA" w:bidi="fr-FR"/>
        </w:rPr>
        <w:t>de formuler une recommandation sur la question de savoir si du</w:t>
      </w:r>
      <w:r w:rsidRPr="00860D94">
        <w:rPr>
          <w:kern w:val="22"/>
          <w:szCs w:val="22"/>
          <w:lang w:val="fr-CA" w:bidi="fr-FR"/>
        </w:rPr>
        <w:t xml:space="preserve"> matériel d</w:t>
      </w:r>
      <w:r>
        <w:rPr>
          <w:kern w:val="22"/>
          <w:szCs w:val="22"/>
          <w:lang w:val="fr-CA" w:bidi="fr-FR"/>
        </w:rPr>
        <w:t>’</w:t>
      </w:r>
      <w:r w:rsidRPr="00860D94">
        <w:rPr>
          <w:kern w:val="22"/>
          <w:szCs w:val="22"/>
          <w:lang w:val="fr-CA" w:bidi="fr-FR"/>
        </w:rPr>
        <w:t>orientation supplémentaire sur l</w:t>
      </w:r>
      <w:r>
        <w:rPr>
          <w:kern w:val="22"/>
          <w:szCs w:val="22"/>
          <w:lang w:val="fr-CA" w:bidi="fr-FR"/>
        </w:rPr>
        <w:t>’</w:t>
      </w:r>
      <w:r w:rsidRPr="00860D94">
        <w:rPr>
          <w:kern w:val="22"/>
          <w:szCs w:val="22"/>
          <w:lang w:val="fr-CA" w:bidi="fr-FR"/>
        </w:rPr>
        <w:t>é</w:t>
      </w:r>
      <w:r>
        <w:rPr>
          <w:kern w:val="22"/>
          <w:szCs w:val="22"/>
          <w:lang w:val="fr-CA" w:bidi="fr-FR"/>
        </w:rPr>
        <w:t>valuation des risques est nécessaire pour :</w:t>
      </w:r>
      <w:r w:rsidRPr="00860D94">
        <w:rPr>
          <w:kern w:val="22"/>
          <w:szCs w:val="22"/>
          <w:lang w:val="fr-CA" w:bidi="fr-FR"/>
        </w:rPr>
        <w:t xml:space="preserve"> </w:t>
      </w:r>
      <w:r>
        <w:rPr>
          <w:lang w:val="fr-CA" w:bidi="fr-FR"/>
        </w:rPr>
        <w:t>[</w:t>
      </w:r>
      <w:r w:rsidRPr="00860D94">
        <w:rPr>
          <w:lang w:val="fr-CA" w:bidi="fr-FR"/>
        </w:rPr>
        <w:t xml:space="preserve">i) </w:t>
      </w:r>
      <w:r>
        <w:rPr>
          <w:lang w:val="fr-CA" w:bidi="fr-FR"/>
        </w:rPr>
        <w:t xml:space="preserve">les </w:t>
      </w:r>
      <w:r w:rsidRPr="00860D94">
        <w:rPr>
          <w:lang w:val="fr-CA" w:bidi="fr-FR"/>
        </w:rPr>
        <w:t xml:space="preserve">organismes vivants modifiés </w:t>
      </w:r>
      <w:r w:rsidRPr="00860D94">
        <w:rPr>
          <w:kern w:val="22"/>
          <w:szCs w:val="22"/>
          <w:lang w:val="fr-CA" w:bidi="fr-FR"/>
        </w:rPr>
        <w:t>pr</w:t>
      </w:r>
      <w:r>
        <w:rPr>
          <w:kern w:val="22"/>
          <w:szCs w:val="22"/>
          <w:lang w:val="fr-CA" w:bidi="fr-FR"/>
        </w:rPr>
        <w:t xml:space="preserve">oduits par édition du génome,] </w:t>
      </w:r>
      <w:r w:rsidRPr="00860D94">
        <w:rPr>
          <w:kern w:val="22"/>
          <w:szCs w:val="22"/>
          <w:lang w:val="fr-CA" w:bidi="fr-FR"/>
        </w:rPr>
        <w:t xml:space="preserve">ii) </w:t>
      </w:r>
      <w:r>
        <w:rPr>
          <w:kern w:val="22"/>
          <w:szCs w:val="22"/>
          <w:lang w:val="fr-CA" w:bidi="fr-FR"/>
        </w:rPr>
        <w:t xml:space="preserve">les </w:t>
      </w:r>
      <w:r w:rsidRPr="00860D94">
        <w:rPr>
          <w:kern w:val="22"/>
          <w:szCs w:val="22"/>
          <w:lang w:val="fr-CA" w:bidi="fr-FR"/>
        </w:rPr>
        <w:t xml:space="preserve">organismes vivants modifiés </w:t>
      </w:r>
      <w:r>
        <w:rPr>
          <w:kern w:val="22"/>
          <w:szCs w:val="22"/>
          <w:lang w:val="fr-CA" w:bidi="fr-FR"/>
        </w:rPr>
        <w:t>ayant subi un forçage génétique</w:t>
      </w:r>
      <w:r w:rsidRPr="00860D94">
        <w:rPr>
          <w:kern w:val="22"/>
          <w:szCs w:val="22"/>
          <w:lang w:val="fr-CA" w:bidi="fr-FR"/>
        </w:rPr>
        <w:t xml:space="preserve">, et iii) </w:t>
      </w:r>
      <w:r>
        <w:rPr>
          <w:kern w:val="22"/>
          <w:szCs w:val="22"/>
          <w:lang w:val="fr-CA" w:bidi="fr-FR"/>
        </w:rPr>
        <w:t xml:space="preserve">les </w:t>
      </w:r>
      <w:r w:rsidRPr="00860D94">
        <w:rPr>
          <w:kern w:val="22"/>
          <w:szCs w:val="22"/>
          <w:lang w:val="fr-CA" w:bidi="fr-FR"/>
        </w:rPr>
        <w:t>poissons vivants</w:t>
      </w:r>
      <w:r>
        <w:rPr>
          <w:kern w:val="22"/>
          <w:szCs w:val="22"/>
          <w:lang w:val="fr-CA" w:bidi="fr-FR"/>
        </w:rPr>
        <w:t xml:space="preserve"> génétiquement</w:t>
      </w:r>
      <w:r w:rsidRPr="00860D94">
        <w:rPr>
          <w:kern w:val="22"/>
          <w:szCs w:val="22"/>
          <w:lang w:val="fr-CA" w:bidi="fr-FR"/>
        </w:rPr>
        <w:t xml:space="preserve"> modifiés</w:t>
      </w:r>
      <w:r>
        <w:rPr>
          <w:kern w:val="22"/>
          <w:szCs w:val="22"/>
          <w:lang w:val="fr-CA" w:bidi="fr-FR"/>
        </w:rPr>
        <w:t>,</w:t>
      </w:r>
      <w:r w:rsidRPr="00860D94">
        <w:rPr>
          <w:kern w:val="22"/>
          <w:szCs w:val="22"/>
          <w:lang w:val="fr-CA" w:bidi="fr-FR"/>
        </w:rPr>
        <w:t xml:space="preserve"> pour examen par la </w:t>
      </w:r>
      <w:r w:rsidRPr="00860D94">
        <w:rPr>
          <w:snapToGrid w:val="0"/>
          <w:kern w:val="22"/>
          <w:szCs w:val="22"/>
          <w:lang w:val="fr-CA" w:bidi="fr-FR"/>
        </w:rPr>
        <w:t>Conférence des Parties siégeant en tant que réunion des Pa</w:t>
      </w:r>
      <w:r>
        <w:rPr>
          <w:snapToGrid w:val="0"/>
          <w:kern w:val="22"/>
          <w:szCs w:val="22"/>
          <w:lang w:val="fr-CA" w:bidi="fr-FR"/>
        </w:rPr>
        <w:t>rties au Protocole de Cartagena</w:t>
      </w:r>
      <w:r w:rsidRPr="00860D94">
        <w:rPr>
          <w:kern w:val="22"/>
          <w:szCs w:val="22"/>
          <w:lang w:val="fr-CA" w:bidi="fr-FR"/>
        </w:rPr>
        <w:t xml:space="preserve"> à sa dixième réunion.</w:t>
      </w:r>
    </w:p>
    <w:p w:rsidR="00DC2190" w:rsidRPr="00860D94" w:rsidRDefault="00DC2190" w:rsidP="00DC2190">
      <w:pPr>
        <w:jc w:val="right"/>
        <w:rPr>
          <w:i/>
          <w:kern w:val="22"/>
          <w:szCs w:val="22"/>
          <w:lang w:val="fr-CA"/>
        </w:rPr>
      </w:pPr>
    </w:p>
    <w:p w:rsidR="00DC2190" w:rsidRPr="00860D94" w:rsidRDefault="00DC2190" w:rsidP="00DC2190">
      <w:pPr>
        <w:jc w:val="center"/>
        <w:rPr>
          <w:i/>
          <w:kern w:val="22"/>
          <w:szCs w:val="22"/>
          <w:lang w:val="fr-CA"/>
        </w:rPr>
      </w:pPr>
      <w:r>
        <w:rPr>
          <w:i/>
          <w:kern w:val="22"/>
          <w:szCs w:val="22"/>
          <w:lang w:val="fr-CA" w:bidi="fr-FR"/>
        </w:rPr>
        <w:t>Annexe </w:t>
      </w:r>
      <w:r w:rsidRPr="00860D94">
        <w:rPr>
          <w:i/>
          <w:kern w:val="22"/>
          <w:szCs w:val="22"/>
          <w:lang w:val="fr-CA" w:bidi="fr-FR"/>
        </w:rPr>
        <w:t>I</w:t>
      </w:r>
    </w:p>
    <w:p w:rsidR="00DC2190" w:rsidRPr="00860D94" w:rsidRDefault="00DC2190" w:rsidP="00DC2190">
      <w:pPr>
        <w:suppressLineNumbers/>
        <w:suppressAutoHyphens/>
        <w:kinsoku w:val="0"/>
        <w:overflowPunct w:val="0"/>
        <w:autoSpaceDE w:val="0"/>
        <w:autoSpaceDN w:val="0"/>
        <w:spacing w:before="120" w:after="240"/>
        <w:jc w:val="center"/>
        <w:rPr>
          <w:b/>
          <w:snapToGrid w:val="0"/>
          <w:kern w:val="22"/>
          <w:szCs w:val="22"/>
          <w:lang w:val="fr-CA"/>
        </w:rPr>
      </w:pPr>
      <w:r>
        <w:rPr>
          <w:b/>
          <w:snapToGrid w:val="0"/>
          <w:kern w:val="22"/>
          <w:szCs w:val="22"/>
          <w:lang w:val="fr-CA" w:bidi="fr-FR"/>
        </w:rPr>
        <w:t>Identification et hiérarch</w:t>
      </w:r>
      <w:r w:rsidRPr="00860D94">
        <w:rPr>
          <w:b/>
          <w:snapToGrid w:val="0"/>
          <w:kern w:val="22"/>
          <w:szCs w:val="22"/>
          <w:lang w:val="fr-CA" w:bidi="fr-FR"/>
        </w:rPr>
        <w:t>isation</w:t>
      </w:r>
      <w:r>
        <w:rPr>
          <w:b/>
          <w:snapToGrid w:val="0"/>
          <w:kern w:val="22"/>
          <w:szCs w:val="22"/>
          <w:lang w:val="fr-CA" w:bidi="fr-FR"/>
        </w:rPr>
        <w:t xml:space="preserve"> des problèmes spécifiques d’évaluation des risques présentés par les</w:t>
      </w:r>
      <w:r w:rsidRPr="00860D94">
        <w:rPr>
          <w:b/>
          <w:snapToGrid w:val="0"/>
          <w:kern w:val="22"/>
          <w:szCs w:val="22"/>
          <w:lang w:val="fr-CA" w:bidi="fr-FR"/>
        </w:rPr>
        <w:t xml:space="preserve"> organ</w:t>
      </w:r>
      <w:r>
        <w:rPr>
          <w:b/>
          <w:snapToGrid w:val="0"/>
          <w:kern w:val="22"/>
          <w:szCs w:val="22"/>
          <w:lang w:val="fr-CA" w:bidi="fr-FR"/>
        </w:rPr>
        <w:t xml:space="preserve">ismes vivants modifiés méritant </w:t>
      </w:r>
      <w:r w:rsidRPr="00860D94">
        <w:rPr>
          <w:b/>
          <w:snapToGrid w:val="0"/>
          <w:kern w:val="22"/>
          <w:szCs w:val="22"/>
          <w:lang w:val="fr-CA" w:bidi="fr-FR"/>
        </w:rPr>
        <w:t>examen</w:t>
      </w:r>
    </w:p>
    <w:p w:rsidR="00DC2190" w:rsidRPr="00860D94" w:rsidRDefault="00DC2190" w:rsidP="00DC2190">
      <w:pPr>
        <w:suppressLineNumber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Le processus permettant de recommander des problèmes spécifiques d</w:t>
      </w:r>
      <w:r>
        <w:rPr>
          <w:snapToGrid w:val="0"/>
          <w:kern w:val="22"/>
          <w:szCs w:val="22"/>
          <w:lang w:val="fr-CA" w:bidi="fr-FR"/>
        </w:rPr>
        <w:t>’</w:t>
      </w:r>
      <w:r w:rsidRPr="00860D94">
        <w:rPr>
          <w:snapToGrid w:val="0"/>
          <w:kern w:val="22"/>
          <w:szCs w:val="22"/>
          <w:lang w:val="fr-CA" w:bidi="fr-FR"/>
        </w:rPr>
        <w:t>évaluation des risques aux fins d</w:t>
      </w:r>
      <w:r>
        <w:rPr>
          <w:snapToGrid w:val="0"/>
          <w:kern w:val="22"/>
          <w:szCs w:val="22"/>
          <w:lang w:val="fr-CA" w:bidi="fr-FR"/>
        </w:rPr>
        <w:t>’</w:t>
      </w:r>
      <w:r w:rsidRPr="00860D94">
        <w:rPr>
          <w:snapToGrid w:val="0"/>
          <w:kern w:val="22"/>
          <w:szCs w:val="22"/>
          <w:lang w:val="fr-CA" w:bidi="fr-FR"/>
        </w:rPr>
        <w:t xml:space="preserve">examen par la Conférence des Parties siégeant en tant que réunion des Parties au Protocole de Cartagena </w:t>
      </w:r>
      <w:r>
        <w:rPr>
          <w:snapToGrid w:val="0"/>
          <w:kern w:val="22"/>
          <w:szCs w:val="22"/>
          <w:lang w:val="fr-CA" w:bidi="fr-FR"/>
        </w:rPr>
        <w:t xml:space="preserve">sur la prévention des risques biotechnologiques </w:t>
      </w:r>
      <w:r w:rsidRPr="00860D94">
        <w:rPr>
          <w:snapToGrid w:val="0"/>
          <w:kern w:val="22"/>
          <w:szCs w:val="22"/>
          <w:lang w:val="fr-CA" w:bidi="fr-FR"/>
        </w:rPr>
        <w:t>devrait inclure une analyse structurée pour évaluer</w:t>
      </w:r>
      <w:r>
        <w:rPr>
          <w:snapToGrid w:val="0"/>
          <w:kern w:val="22"/>
          <w:szCs w:val="22"/>
          <w:lang w:val="fr-CA" w:bidi="fr-FR"/>
        </w:rPr>
        <w:t xml:space="preserve"> si les problèmes spécifiques remplissent les condition</w:t>
      </w:r>
      <w:r w:rsidRPr="00860D94">
        <w:rPr>
          <w:snapToGrid w:val="0"/>
          <w:kern w:val="22"/>
          <w:szCs w:val="22"/>
          <w:lang w:val="fr-CA" w:bidi="fr-FR"/>
        </w:rPr>
        <w:t>s suivant</w:t>
      </w:r>
      <w:r>
        <w:rPr>
          <w:snapToGrid w:val="0"/>
          <w:kern w:val="22"/>
          <w:szCs w:val="22"/>
          <w:lang w:val="fr-CA" w:bidi="fr-FR"/>
        </w:rPr>
        <w:t>e</w:t>
      </w:r>
      <w:r w:rsidRPr="00860D94">
        <w:rPr>
          <w:snapToGrid w:val="0"/>
          <w:kern w:val="22"/>
          <w:szCs w:val="22"/>
          <w:lang w:val="fr-CA" w:bidi="fr-FR"/>
        </w:rPr>
        <w:t>s :</w:t>
      </w:r>
    </w:p>
    <w:p w:rsidR="00DC2190" w:rsidRPr="00860D94" w:rsidRDefault="00DC2190" w:rsidP="00DC2190">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 xml:space="preserve">a) </w:t>
      </w:r>
      <w:r>
        <w:rPr>
          <w:snapToGrid w:val="0"/>
          <w:kern w:val="22"/>
          <w:szCs w:val="22"/>
          <w:lang w:val="fr-CA" w:bidi="fr-FR"/>
        </w:rPr>
        <w:tab/>
        <w:t>Ils sont identifié</w:t>
      </w:r>
      <w:r w:rsidRPr="00860D94">
        <w:rPr>
          <w:snapToGrid w:val="0"/>
          <w:kern w:val="22"/>
          <w:szCs w:val="22"/>
          <w:lang w:val="fr-CA" w:bidi="fr-FR"/>
        </w:rPr>
        <w:t>s par les P</w:t>
      </w:r>
      <w:r>
        <w:rPr>
          <w:snapToGrid w:val="0"/>
          <w:kern w:val="22"/>
          <w:szCs w:val="22"/>
          <w:lang w:val="fr-CA" w:bidi="fr-FR"/>
        </w:rPr>
        <w:t>arties comme des questions prioritaires,</w:t>
      </w:r>
      <w:r w:rsidRPr="00860D94">
        <w:rPr>
          <w:snapToGrid w:val="0"/>
          <w:kern w:val="22"/>
          <w:szCs w:val="22"/>
          <w:lang w:val="fr-CA" w:bidi="fr-FR"/>
        </w:rPr>
        <w:t xml:space="preserve"> en prenant en compte les difficultés d</w:t>
      </w:r>
      <w:r>
        <w:rPr>
          <w:snapToGrid w:val="0"/>
          <w:kern w:val="22"/>
          <w:szCs w:val="22"/>
          <w:lang w:val="fr-CA" w:bidi="fr-FR"/>
        </w:rPr>
        <w:t>’</w:t>
      </w:r>
      <w:r w:rsidRPr="00860D94">
        <w:rPr>
          <w:snapToGrid w:val="0"/>
          <w:kern w:val="22"/>
          <w:szCs w:val="22"/>
          <w:lang w:val="fr-CA" w:bidi="fr-FR"/>
        </w:rPr>
        <w:t>évaluation des risques, en particulier celles rencontrées par les</w:t>
      </w:r>
      <w:r>
        <w:rPr>
          <w:snapToGrid w:val="0"/>
          <w:kern w:val="22"/>
          <w:szCs w:val="22"/>
          <w:lang w:val="fr-CA" w:bidi="fr-FR"/>
        </w:rPr>
        <w:t xml:space="preserve"> pays en développement Parties e</w:t>
      </w:r>
      <w:r w:rsidRPr="00860D94">
        <w:rPr>
          <w:snapToGrid w:val="0"/>
          <w:kern w:val="22"/>
          <w:szCs w:val="22"/>
          <w:lang w:val="fr-CA" w:bidi="fr-FR"/>
        </w:rPr>
        <w:t>t les pays à économie en transition</w:t>
      </w:r>
      <w:r>
        <w:rPr>
          <w:snapToGrid w:val="0"/>
          <w:kern w:val="22"/>
          <w:szCs w:val="22"/>
          <w:lang w:val="fr-CA" w:bidi="fr-FR"/>
        </w:rPr>
        <w:t>;</w:t>
      </w:r>
    </w:p>
    <w:p w:rsidR="00DC2190" w:rsidRPr="00860D94" w:rsidRDefault="00DC2190" w:rsidP="00DC2190">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t>b)</w:t>
      </w:r>
      <w:r>
        <w:rPr>
          <w:snapToGrid w:val="0"/>
          <w:kern w:val="22"/>
          <w:szCs w:val="22"/>
          <w:lang w:val="fr-CA" w:bidi="fr-FR"/>
        </w:rPr>
        <w:tab/>
        <w:t>Ils entrent dans le champ d’application et font partie de l’objectif</w:t>
      </w:r>
      <w:r w:rsidRPr="00860D94">
        <w:rPr>
          <w:snapToGrid w:val="0"/>
          <w:kern w:val="22"/>
          <w:szCs w:val="22"/>
          <w:lang w:val="fr-CA" w:bidi="fr-FR"/>
        </w:rPr>
        <w:t xml:space="preserve"> du Protocole de Cartagena</w:t>
      </w:r>
      <w:r>
        <w:rPr>
          <w:snapToGrid w:val="0"/>
          <w:kern w:val="22"/>
          <w:szCs w:val="22"/>
          <w:lang w:val="fr-CA" w:bidi="fr-FR"/>
        </w:rPr>
        <w:t>;</w:t>
      </w:r>
    </w:p>
    <w:p w:rsidR="00DC2190" w:rsidRPr="00860D94" w:rsidRDefault="00DC2190" w:rsidP="00DC2190">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Pr>
          <w:snapToGrid w:val="0"/>
          <w:kern w:val="22"/>
          <w:szCs w:val="22"/>
          <w:lang w:val="fr-CA" w:bidi="fr-FR"/>
        </w:rPr>
        <w:lastRenderedPageBreak/>
        <w:t xml:space="preserve">c) </w:t>
      </w:r>
      <w:r>
        <w:rPr>
          <w:snapToGrid w:val="0"/>
          <w:kern w:val="22"/>
          <w:szCs w:val="22"/>
          <w:lang w:val="fr-CA" w:bidi="fr-FR"/>
        </w:rPr>
        <w:tab/>
        <w:t>Ils présentent des difficultés pour les</w:t>
      </w:r>
      <w:r w:rsidRPr="00860D94">
        <w:rPr>
          <w:snapToGrid w:val="0"/>
          <w:kern w:val="22"/>
          <w:szCs w:val="22"/>
          <w:lang w:val="fr-CA" w:bidi="fr-FR"/>
        </w:rPr>
        <w:t xml:space="preserve"> cadres, </w:t>
      </w:r>
      <w:r>
        <w:rPr>
          <w:snapToGrid w:val="0"/>
          <w:kern w:val="22"/>
          <w:szCs w:val="22"/>
          <w:lang w:val="fr-CA" w:bidi="fr-FR"/>
        </w:rPr>
        <w:t>les orientation</w:t>
      </w:r>
      <w:r w:rsidRPr="00860D94">
        <w:rPr>
          <w:snapToGrid w:val="0"/>
          <w:kern w:val="22"/>
          <w:szCs w:val="22"/>
          <w:lang w:val="fr-CA" w:bidi="fr-FR"/>
        </w:rPr>
        <w:t xml:space="preserve">s et </w:t>
      </w:r>
      <w:r>
        <w:rPr>
          <w:snapToGrid w:val="0"/>
          <w:kern w:val="22"/>
          <w:szCs w:val="22"/>
          <w:lang w:val="fr-CA" w:bidi="fr-FR"/>
        </w:rPr>
        <w:t xml:space="preserve">les </w:t>
      </w:r>
      <w:r w:rsidRPr="00860D94">
        <w:rPr>
          <w:snapToGrid w:val="0"/>
          <w:kern w:val="22"/>
          <w:szCs w:val="22"/>
          <w:lang w:val="fr-CA" w:bidi="fr-FR"/>
        </w:rPr>
        <w:t>méthodes d</w:t>
      </w:r>
      <w:r>
        <w:rPr>
          <w:snapToGrid w:val="0"/>
          <w:kern w:val="22"/>
          <w:szCs w:val="22"/>
          <w:lang w:val="fr-CA" w:bidi="fr-FR"/>
        </w:rPr>
        <w:t>’</w:t>
      </w:r>
      <w:r w:rsidRPr="00860D94">
        <w:rPr>
          <w:snapToGrid w:val="0"/>
          <w:kern w:val="22"/>
          <w:szCs w:val="22"/>
          <w:lang w:val="fr-CA" w:bidi="fr-FR"/>
        </w:rPr>
        <w:t xml:space="preserve">évaluation des risques, </w:t>
      </w:r>
      <w:r>
        <w:rPr>
          <w:snapToGrid w:val="0"/>
          <w:kern w:val="22"/>
          <w:szCs w:val="22"/>
          <w:lang w:val="fr-CA" w:bidi="fr-FR"/>
        </w:rPr>
        <w:t xml:space="preserve">comme par exemple, le problème en question a été examiné en utilisant les </w:t>
      </w:r>
      <w:r w:rsidRPr="00860D94">
        <w:rPr>
          <w:snapToGrid w:val="0"/>
          <w:kern w:val="22"/>
          <w:szCs w:val="22"/>
          <w:lang w:val="fr-CA" w:bidi="fr-FR"/>
        </w:rPr>
        <w:t>cadres d</w:t>
      </w:r>
      <w:r>
        <w:rPr>
          <w:snapToGrid w:val="0"/>
          <w:kern w:val="22"/>
          <w:szCs w:val="22"/>
          <w:lang w:val="fr-CA" w:bidi="fr-FR"/>
        </w:rPr>
        <w:t>’</w:t>
      </w:r>
      <w:r w:rsidRPr="00860D94">
        <w:rPr>
          <w:snapToGrid w:val="0"/>
          <w:kern w:val="22"/>
          <w:szCs w:val="22"/>
          <w:lang w:val="fr-CA" w:bidi="fr-FR"/>
        </w:rPr>
        <w:t xml:space="preserve">évaluation des risques </w:t>
      </w:r>
      <w:r>
        <w:rPr>
          <w:snapToGrid w:val="0"/>
          <w:kern w:val="22"/>
          <w:szCs w:val="22"/>
          <w:lang w:val="fr-CA" w:bidi="fr-FR"/>
        </w:rPr>
        <w:t>en place, mais présente des difficulté</w:t>
      </w:r>
      <w:r w:rsidRPr="00860D94">
        <w:rPr>
          <w:snapToGrid w:val="0"/>
          <w:kern w:val="22"/>
          <w:szCs w:val="22"/>
          <w:lang w:val="fr-CA" w:bidi="fr-FR"/>
        </w:rPr>
        <w:t>s technique</w:t>
      </w:r>
      <w:r>
        <w:rPr>
          <w:snapToGrid w:val="0"/>
          <w:kern w:val="22"/>
          <w:szCs w:val="22"/>
          <w:lang w:val="fr-CA" w:bidi="fr-FR"/>
        </w:rPr>
        <w:t>s ou méthodologiques spécifique</w:t>
      </w:r>
      <w:r w:rsidRPr="00860D94">
        <w:rPr>
          <w:snapToGrid w:val="0"/>
          <w:kern w:val="22"/>
          <w:szCs w:val="22"/>
          <w:lang w:val="fr-CA" w:bidi="fr-FR"/>
        </w:rPr>
        <w:t>s</w:t>
      </w:r>
      <w:r>
        <w:rPr>
          <w:snapToGrid w:val="0"/>
          <w:kern w:val="22"/>
          <w:szCs w:val="22"/>
          <w:lang w:val="fr-CA" w:bidi="fr-FR"/>
        </w:rPr>
        <w:t xml:space="preserve"> qui doivent être examinées plus avant; </w:t>
      </w:r>
    </w:p>
    <w:p w:rsidR="00DC2190" w:rsidRPr="00860D94" w:rsidRDefault="00DC2190" w:rsidP="00DC2190">
      <w:pPr>
        <w:suppressLineNumbers/>
        <w:tabs>
          <w:tab w:val="left" w:pos="1440"/>
        </w:tabs>
        <w:suppressAutoHyphens/>
        <w:kinsoku w:val="0"/>
        <w:overflowPunct w:val="0"/>
        <w:autoSpaceDE w:val="0"/>
        <w:autoSpaceDN w:val="0"/>
        <w:spacing w:before="120" w:after="120"/>
        <w:ind w:firstLine="720"/>
        <w:rPr>
          <w:snapToGrid w:val="0"/>
          <w:kern w:val="22"/>
          <w:szCs w:val="22"/>
          <w:lang w:val="fr-CA"/>
        </w:rPr>
      </w:pPr>
      <w:r w:rsidRPr="00860D94">
        <w:rPr>
          <w:snapToGrid w:val="0"/>
          <w:kern w:val="22"/>
          <w:szCs w:val="22"/>
          <w:lang w:val="fr-CA" w:bidi="fr-FR"/>
        </w:rPr>
        <w:t xml:space="preserve">d) </w:t>
      </w:r>
      <w:r w:rsidRPr="00860D94">
        <w:rPr>
          <w:snapToGrid w:val="0"/>
          <w:kern w:val="22"/>
          <w:szCs w:val="22"/>
          <w:lang w:val="fr-CA" w:bidi="fr-FR"/>
        </w:rPr>
        <w:tab/>
        <w:t>L</w:t>
      </w:r>
      <w:r>
        <w:rPr>
          <w:snapToGrid w:val="0"/>
          <w:kern w:val="22"/>
          <w:szCs w:val="22"/>
          <w:lang w:val="fr-CA" w:bidi="fr-FR"/>
        </w:rPr>
        <w:t>es difficulté</w:t>
      </w:r>
      <w:r w:rsidRPr="00860D94">
        <w:rPr>
          <w:snapToGrid w:val="0"/>
          <w:kern w:val="22"/>
          <w:szCs w:val="22"/>
          <w:lang w:val="fr-CA" w:bidi="fr-FR"/>
        </w:rPr>
        <w:t>s</w:t>
      </w:r>
      <w:r>
        <w:rPr>
          <w:snapToGrid w:val="0"/>
          <w:kern w:val="22"/>
          <w:szCs w:val="22"/>
          <w:lang w:val="fr-CA" w:bidi="fr-FR"/>
        </w:rPr>
        <w:t xml:space="preserve"> présentées par la gestion du problème </w:t>
      </w:r>
      <w:r w:rsidRPr="00860D94">
        <w:rPr>
          <w:snapToGrid w:val="0"/>
          <w:kern w:val="22"/>
          <w:szCs w:val="22"/>
          <w:lang w:val="fr-CA" w:bidi="fr-FR"/>
        </w:rPr>
        <w:t>spécifique sont clairement décrit</w:t>
      </w:r>
      <w:r>
        <w:rPr>
          <w:snapToGrid w:val="0"/>
          <w:kern w:val="22"/>
          <w:szCs w:val="22"/>
          <w:lang w:val="fr-CA" w:bidi="fr-FR"/>
        </w:rPr>
        <w:t>e</w:t>
      </w:r>
      <w:r w:rsidRPr="00860D94">
        <w:rPr>
          <w:snapToGrid w:val="0"/>
          <w:kern w:val="22"/>
          <w:szCs w:val="22"/>
          <w:lang w:val="fr-CA" w:bidi="fr-FR"/>
        </w:rPr>
        <w:t>s</w:t>
      </w:r>
      <w:r>
        <w:rPr>
          <w:snapToGrid w:val="0"/>
          <w:kern w:val="22"/>
          <w:szCs w:val="22"/>
          <w:lang w:val="fr-CA" w:bidi="fr-FR"/>
        </w:rPr>
        <w:t>;</w:t>
      </w:r>
    </w:p>
    <w:p w:rsidR="00DC2190" w:rsidRPr="00860D94" w:rsidRDefault="00DC2190" w:rsidP="00DC2190">
      <w:pPr>
        <w:suppressLineNumbers/>
        <w:suppressAutoHyphens/>
        <w:kinsoku w:val="0"/>
        <w:overflowPunct w:val="0"/>
        <w:autoSpaceDE w:val="0"/>
        <w:autoSpaceDN w:val="0"/>
        <w:spacing w:before="120" w:after="120"/>
        <w:rPr>
          <w:snapToGrid w:val="0"/>
          <w:kern w:val="22"/>
          <w:szCs w:val="22"/>
          <w:lang w:val="fr-CA"/>
        </w:rPr>
      </w:pPr>
      <w:r>
        <w:rPr>
          <w:snapToGrid w:val="0"/>
          <w:kern w:val="22"/>
          <w:szCs w:val="22"/>
          <w:lang w:val="fr-CA" w:bidi="fr-FR"/>
        </w:rPr>
        <w:t>et sachant que</w:t>
      </w:r>
      <w:r w:rsidRPr="00860D94">
        <w:rPr>
          <w:snapToGrid w:val="0"/>
          <w:kern w:val="22"/>
          <w:szCs w:val="22"/>
          <w:lang w:val="fr-CA" w:bidi="fr-FR"/>
        </w:rPr>
        <w:t>, entre autres :</w:t>
      </w:r>
    </w:p>
    <w:p w:rsidR="00DC2190" w:rsidRPr="00860D94" w:rsidRDefault="00DC2190" w:rsidP="00DC2190">
      <w:pPr>
        <w:suppressLineNumbers/>
        <w:suppressAutoHyphens/>
        <w:kinsoku w:val="0"/>
        <w:overflowPunct w:val="0"/>
        <w:autoSpaceDE w:val="0"/>
        <w:autoSpaceDN w:val="0"/>
        <w:spacing w:before="120" w:after="120"/>
        <w:ind w:left="709"/>
        <w:rPr>
          <w:snapToGrid w:val="0"/>
          <w:kern w:val="22"/>
          <w:szCs w:val="22"/>
          <w:lang w:val="fr-CA"/>
        </w:rPr>
      </w:pPr>
      <w:r>
        <w:rPr>
          <w:snapToGrid w:val="0"/>
          <w:kern w:val="22"/>
          <w:szCs w:val="22"/>
          <w:lang w:val="fr-CA" w:bidi="fr-FR"/>
        </w:rPr>
        <w:t xml:space="preserve"> e) </w:t>
      </w:r>
      <w:r>
        <w:rPr>
          <w:snapToGrid w:val="0"/>
          <w:kern w:val="22"/>
          <w:szCs w:val="22"/>
          <w:lang w:val="fr-CA" w:bidi="fr-FR"/>
        </w:rPr>
        <w:tab/>
        <w:t>Les problèmes spécifiques concernent d</w:t>
      </w:r>
      <w:r w:rsidRPr="00860D94">
        <w:rPr>
          <w:snapToGrid w:val="0"/>
          <w:kern w:val="22"/>
          <w:szCs w:val="22"/>
          <w:lang w:val="fr-CA" w:bidi="fr-FR"/>
        </w:rPr>
        <w:t>es organismes vivants modifiés qui :</w:t>
      </w:r>
    </w:p>
    <w:p w:rsidR="00DC2190" w:rsidRPr="00860D94" w:rsidRDefault="00DC2190" w:rsidP="00DC2190">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w:t>
      </w:r>
      <w:r w:rsidRPr="00860D94">
        <w:rPr>
          <w:snapToGrid w:val="0"/>
          <w:kern w:val="22"/>
          <w:szCs w:val="22"/>
          <w:lang w:val="fr-CA" w:bidi="fr-FR"/>
        </w:rPr>
        <w:tab/>
        <w:t xml:space="preserve">Sont susceptibles de causer des effets défavorables [graves ou irréversibles] sur la diversité biologique, compte </w:t>
      </w:r>
      <w:r>
        <w:rPr>
          <w:snapToGrid w:val="0"/>
          <w:kern w:val="22"/>
          <w:szCs w:val="22"/>
          <w:lang w:val="fr-CA" w:bidi="fr-FR"/>
        </w:rPr>
        <w:t xml:space="preserve">tenu </w:t>
      </w:r>
      <w:r w:rsidRPr="00860D94">
        <w:rPr>
          <w:snapToGrid w:val="0"/>
          <w:kern w:val="22"/>
          <w:szCs w:val="22"/>
          <w:lang w:val="fr-CA" w:bidi="fr-FR"/>
        </w:rPr>
        <w:t xml:space="preserve">de la nécessité urgente de protéger certains aspects </w:t>
      </w:r>
      <w:r>
        <w:rPr>
          <w:snapToGrid w:val="0"/>
          <w:kern w:val="22"/>
          <w:szCs w:val="22"/>
          <w:lang w:val="fr-CA" w:bidi="fr-FR"/>
        </w:rPr>
        <w:t xml:space="preserve">spécifiques </w:t>
      </w:r>
      <w:r w:rsidRPr="00860D94">
        <w:rPr>
          <w:snapToGrid w:val="0"/>
          <w:kern w:val="22"/>
          <w:szCs w:val="22"/>
          <w:lang w:val="fr-CA" w:bidi="fr-FR"/>
        </w:rPr>
        <w:t>de la biodiversité</w:t>
      </w:r>
      <w:r>
        <w:rPr>
          <w:snapToGrid w:val="0"/>
          <w:kern w:val="22"/>
          <w:szCs w:val="22"/>
          <w:lang w:val="fr-CA" w:bidi="fr-FR"/>
        </w:rPr>
        <w:t>, tels qu’</w:t>
      </w:r>
      <w:r w:rsidRPr="00860D94">
        <w:rPr>
          <w:snapToGrid w:val="0"/>
          <w:kern w:val="22"/>
          <w:szCs w:val="22"/>
          <w:lang w:val="fr-CA" w:bidi="fr-FR"/>
        </w:rPr>
        <w:t>une espèce endé</w:t>
      </w:r>
      <w:r>
        <w:rPr>
          <w:snapToGrid w:val="0"/>
          <w:kern w:val="22"/>
          <w:szCs w:val="22"/>
          <w:lang w:val="fr-CA" w:bidi="fr-FR"/>
        </w:rPr>
        <w:t xml:space="preserve">mique/rare, ou un habitat ou </w:t>
      </w:r>
      <w:r w:rsidRPr="00860D94">
        <w:rPr>
          <w:snapToGrid w:val="0"/>
          <w:kern w:val="22"/>
          <w:szCs w:val="22"/>
          <w:lang w:val="fr-CA" w:bidi="fr-FR"/>
        </w:rPr>
        <w:t xml:space="preserve">écosystème unique, </w:t>
      </w:r>
      <w:r>
        <w:rPr>
          <w:snapToGrid w:val="0"/>
          <w:kern w:val="22"/>
          <w:szCs w:val="22"/>
          <w:lang w:val="fr-CA" w:bidi="fr-FR"/>
        </w:rPr>
        <w:t xml:space="preserve">en tenant compte </w:t>
      </w:r>
      <w:r w:rsidRPr="00860D94">
        <w:rPr>
          <w:snapToGrid w:val="0"/>
          <w:kern w:val="22"/>
          <w:szCs w:val="22"/>
          <w:lang w:val="fr-CA" w:bidi="fr-FR"/>
        </w:rPr>
        <w:t>des</w:t>
      </w:r>
      <w:r>
        <w:rPr>
          <w:snapToGrid w:val="0"/>
          <w:kern w:val="22"/>
          <w:szCs w:val="22"/>
          <w:lang w:val="fr-CA" w:bidi="fr-FR"/>
        </w:rPr>
        <w:t xml:space="preserve"> risques pour la santé humaine et de la valeur de</w:t>
      </w:r>
      <w:r w:rsidRPr="00860D94">
        <w:rPr>
          <w:snapToGrid w:val="0"/>
          <w:kern w:val="22"/>
          <w:szCs w:val="22"/>
          <w:lang w:val="fr-CA" w:bidi="fr-FR"/>
        </w:rPr>
        <w:t xml:space="preserve"> la diversité biologique pour les peuples autochtones et les communautés locales</w:t>
      </w:r>
      <w:r>
        <w:rPr>
          <w:snapToGrid w:val="0"/>
          <w:kern w:val="22"/>
          <w:szCs w:val="22"/>
          <w:lang w:val="fr-CA" w:bidi="fr-FR"/>
        </w:rPr>
        <w:t>;</w:t>
      </w:r>
    </w:p>
    <w:p w:rsidR="00DC2190" w:rsidRPr="00860D94" w:rsidRDefault="00DC2190" w:rsidP="00DC2190">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 xml:space="preserve">ii) </w:t>
      </w:r>
      <w:r w:rsidRPr="00860D94">
        <w:rPr>
          <w:snapToGrid w:val="0"/>
          <w:kern w:val="22"/>
          <w:szCs w:val="22"/>
          <w:lang w:val="fr-CA" w:bidi="fr-FR"/>
        </w:rPr>
        <w:tab/>
        <w:t>P</w:t>
      </w:r>
      <w:r>
        <w:rPr>
          <w:snapToGrid w:val="0"/>
          <w:kern w:val="22"/>
          <w:szCs w:val="22"/>
          <w:lang w:val="fr-CA" w:bidi="fr-FR"/>
        </w:rPr>
        <w:t>euvent être introduits</w:t>
      </w:r>
      <w:r w:rsidRPr="00860D94">
        <w:rPr>
          <w:snapToGrid w:val="0"/>
          <w:kern w:val="22"/>
          <w:szCs w:val="22"/>
          <w:lang w:val="fr-CA" w:bidi="fr-FR"/>
        </w:rPr>
        <w:t xml:space="preserve"> dans l</w:t>
      </w:r>
      <w:r>
        <w:rPr>
          <w:snapToGrid w:val="0"/>
          <w:kern w:val="22"/>
          <w:szCs w:val="22"/>
          <w:lang w:val="fr-CA" w:bidi="fr-FR"/>
        </w:rPr>
        <w:t xml:space="preserve">’environnement intentionnellement ou </w:t>
      </w:r>
      <w:r w:rsidRPr="00860D94">
        <w:rPr>
          <w:snapToGrid w:val="0"/>
          <w:kern w:val="22"/>
          <w:szCs w:val="22"/>
          <w:lang w:val="fr-CA" w:bidi="fr-FR"/>
        </w:rPr>
        <w:t>accidentellement</w:t>
      </w:r>
      <w:r>
        <w:rPr>
          <w:snapToGrid w:val="0"/>
          <w:kern w:val="22"/>
          <w:szCs w:val="22"/>
          <w:lang w:val="fr-CA" w:bidi="fr-FR"/>
        </w:rPr>
        <w:t>;</w:t>
      </w:r>
    </w:p>
    <w:p w:rsidR="00DC2190" w:rsidRPr="00860D94" w:rsidRDefault="00DC2190" w:rsidP="00DC2190">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iii)</w:t>
      </w:r>
      <w:r w:rsidRPr="00860D94">
        <w:rPr>
          <w:snapToGrid w:val="0"/>
          <w:kern w:val="22"/>
          <w:szCs w:val="22"/>
          <w:lang w:val="fr-CA" w:bidi="fr-FR"/>
        </w:rPr>
        <w:tab/>
        <w:t xml:space="preserve">Sont susceptibles de se </w:t>
      </w:r>
      <w:r>
        <w:rPr>
          <w:noProof/>
          <w:snapToGrid w:val="0"/>
          <w:kern w:val="22"/>
          <w:szCs w:val="22"/>
          <w:lang w:val="fr-CA" w:bidi="fr-FR"/>
        </w:rPr>
        <w:t>propager</w:t>
      </w:r>
      <w:r w:rsidRPr="00860D94">
        <w:rPr>
          <w:noProof/>
          <w:snapToGrid w:val="0"/>
          <w:kern w:val="22"/>
          <w:szCs w:val="22"/>
          <w:lang w:val="fr-CA" w:bidi="fr-FR"/>
        </w:rPr>
        <w:t xml:space="preserve"> au</w:t>
      </w:r>
      <w:r>
        <w:rPr>
          <w:noProof/>
          <w:snapToGrid w:val="0"/>
          <w:kern w:val="22"/>
          <w:szCs w:val="22"/>
          <w:lang w:val="fr-CA" w:bidi="fr-FR"/>
        </w:rPr>
        <w:noBreakHyphen/>
      </w:r>
      <w:r w:rsidRPr="00860D94">
        <w:rPr>
          <w:noProof/>
          <w:snapToGrid w:val="0"/>
          <w:kern w:val="22"/>
          <w:szCs w:val="22"/>
          <w:lang w:val="fr-CA" w:bidi="fr-FR"/>
        </w:rPr>
        <w:t>delà des</w:t>
      </w:r>
      <w:r w:rsidRPr="00860D94">
        <w:rPr>
          <w:snapToGrid w:val="0"/>
          <w:kern w:val="22"/>
          <w:szCs w:val="22"/>
          <w:lang w:val="fr-CA" w:bidi="fr-FR"/>
        </w:rPr>
        <w:t xml:space="preserve"> frontières nationales</w:t>
      </w:r>
      <w:r>
        <w:rPr>
          <w:snapToGrid w:val="0"/>
          <w:kern w:val="22"/>
          <w:szCs w:val="22"/>
          <w:lang w:val="fr-CA" w:bidi="fr-FR"/>
        </w:rPr>
        <w:t>;</w:t>
      </w:r>
      <w:r w:rsidRPr="00860D94">
        <w:rPr>
          <w:snapToGrid w:val="0"/>
          <w:kern w:val="22"/>
          <w:szCs w:val="22"/>
          <w:lang w:val="fr-CA" w:bidi="fr-FR"/>
        </w:rPr>
        <w:t xml:space="preserve"> </w:t>
      </w:r>
    </w:p>
    <w:p w:rsidR="00DC2190" w:rsidRPr="00860D94" w:rsidRDefault="00DC2190" w:rsidP="00DC2190">
      <w:pPr>
        <w:suppressLineNumbers/>
        <w:suppressAutoHyphens/>
        <w:kinsoku w:val="0"/>
        <w:overflowPunct w:val="0"/>
        <w:autoSpaceDE w:val="0"/>
        <w:autoSpaceDN w:val="0"/>
        <w:spacing w:before="120" w:after="120"/>
        <w:ind w:left="1980" w:hanging="540"/>
        <w:rPr>
          <w:snapToGrid w:val="0"/>
          <w:kern w:val="22"/>
          <w:szCs w:val="22"/>
          <w:lang w:val="fr-CA"/>
        </w:rPr>
      </w:pPr>
      <w:r w:rsidRPr="00860D94">
        <w:rPr>
          <w:snapToGrid w:val="0"/>
          <w:kern w:val="22"/>
          <w:szCs w:val="22"/>
          <w:lang w:val="fr-CA" w:bidi="fr-FR"/>
        </w:rPr>
        <w:t>iv)</w:t>
      </w:r>
      <w:r w:rsidRPr="00860D94">
        <w:rPr>
          <w:snapToGrid w:val="0"/>
          <w:kern w:val="22"/>
          <w:szCs w:val="22"/>
          <w:lang w:val="fr-CA" w:bidi="fr-FR"/>
        </w:rPr>
        <w:tab/>
        <w:t>Sont déjà commercialisés ou utilisés quelque part dans le monde, ou sont susceptibles de l</w:t>
      </w:r>
      <w:r>
        <w:rPr>
          <w:snapToGrid w:val="0"/>
          <w:kern w:val="22"/>
          <w:szCs w:val="22"/>
          <w:lang w:val="fr-CA" w:bidi="fr-FR"/>
        </w:rPr>
        <w:t>’</w:t>
      </w:r>
      <w:r w:rsidRPr="00860D94">
        <w:rPr>
          <w:snapToGrid w:val="0"/>
          <w:kern w:val="22"/>
          <w:szCs w:val="22"/>
          <w:lang w:val="fr-CA" w:bidi="fr-FR"/>
        </w:rPr>
        <w:t>être</w:t>
      </w:r>
      <w:r>
        <w:rPr>
          <w:snapToGrid w:val="0"/>
          <w:kern w:val="22"/>
          <w:szCs w:val="22"/>
          <w:lang w:val="fr-CA" w:bidi="fr-FR"/>
        </w:rPr>
        <w:t>;</w:t>
      </w:r>
    </w:p>
    <w:p w:rsidR="00DC2190" w:rsidRPr="00860D94" w:rsidRDefault="00DC2190" w:rsidP="00DC2190">
      <w:pPr>
        <w:suppressLineNumbers/>
        <w:suppressAutoHyphens/>
        <w:kinsoku w:val="0"/>
        <w:overflowPunct w:val="0"/>
        <w:autoSpaceDE w:val="0"/>
        <w:autoSpaceDN w:val="0"/>
        <w:spacing w:before="120" w:after="480"/>
        <w:rPr>
          <w:snapToGrid w:val="0"/>
          <w:kern w:val="22"/>
          <w:szCs w:val="22"/>
          <w:lang w:val="fr-CA"/>
        </w:rPr>
      </w:pPr>
      <w:r w:rsidRPr="00860D94">
        <w:rPr>
          <w:snapToGrid w:val="0"/>
          <w:kern w:val="22"/>
          <w:szCs w:val="22"/>
          <w:lang w:val="fr-CA" w:bidi="fr-FR"/>
        </w:rPr>
        <w:t>et d</w:t>
      </w:r>
      <w:r>
        <w:rPr>
          <w:snapToGrid w:val="0"/>
          <w:kern w:val="22"/>
          <w:szCs w:val="22"/>
          <w:lang w:val="fr-CA" w:bidi="fr-FR"/>
        </w:rPr>
        <w:t>’</w:t>
      </w:r>
      <w:r w:rsidRPr="00860D94">
        <w:rPr>
          <w:snapToGrid w:val="0"/>
          <w:kern w:val="22"/>
          <w:szCs w:val="22"/>
          <w:lang w:val="fr-CA" w:bidi="fr-FR"/>
        </w:rPr>
        <w:t>envisager</w:t>
      </w:r>
      <w:r>
        <w:rPr>
          <w:snapToGrid w:val="0"/>
          <w:kern w:val="22"/>
          <w:szCs w:val="22"/>
          <w:lang w:val="fr-CA" w:bidi="fr-FR"/>
        </w:rPr>
        <w:t xml:space="preserve"> un exercice d’inventaire pour déterminer si des ressources concernant des problèmes semblables </w:t>
      </w:r>
      <w:r w:rsidRPr="00860D94">
        <w:rPr>
          <w:snapToGrid w:val="0"/>
          <w:kern w:val="22"/>
          <w:szCs w:val="22"/>
          <w:lang w:val="fr-CA" w:bidi="fr-FR"/>
        </w:rPr>
        <w:t>ont été élaborées par des or</w:t>
      </w:r>
      <w:r>
        <w:rPr>
          <w:snapToGrid w:val="0"/>
          <w:kern w:val="22"/>
          <w:szCs w:val="22"/>
          <w:lang w:val="fr-CA" w:bidi="fr-FR"/>
        </w:rPr>
        <w:t>ganismes nationaux, régionaux ou internationaux et, le cas échéant</w:t>
      </w:r>
      <w:r w:rsidRPr="00860D94">
        <w:rPr>
          <w:snapToGrid w:val="0"/>
          <w:kern w:val="22"/>
          <w:szCs w:val="22"/>
          <w:lang w:val="fr-CA" w:bidi="fr-FR"/>
        </w:rPr>
        <w:t xml:space="preserve">, </w:t>
      </w:r>
      <w:r>
        <w:rPr>
          <w:noProof/>
          <w:snapToGrid w:val="0"/>
          <w:kern w:val="22"/>
          <w:szCs w:val="22"/>
          <w:lang w:val="fr-CA" w:bidi="fr-FR"/>
        </w:rPr>
        <w:t>si ces ressources</w:t>
      </w:r>
      <w:r w:rsidRPr="00860D94">
        <w:rPr>
          <w:noProof/>
          <w:snapToGrid w:val="0"/>
          <w:kern w:val="22"/>
          <w:szCs w:val="22"/>
          <w:lang w:val="fr-CA" w:bidi="fr-FR"/>
        </w:rPr>
        <w:t xml:space="preserve"> peuve</w:t>
      </w:r>
      <w:r w:rsidRPr="00860D94">
        <w:rPr>
          <w:snapToGrid w:val="0"/>
          <w:kern w:val="22"/>
          <w:szCs w:val="22"/>
          <w:lang w:val="fr-CA" w:bidi="fr-FR"/>
        </w:rPr>
        <w:t>n</w:t>
      </w:r>
      <w:r>
        <w:rPr>
          <w:snapToGrid w:val="0"/>
          <w:kern w:val="22"/>
          <w:szCs w:val="22"/>
          <w:lang w:val="fr-CA" w:bidi="fr-FR"/>
        </w:rPr>
        <w:t xml:space="preserve">t être révisées ou adaptées à </w:t>
      </w:r>
      <w:r w:rsidRPr="00860D94">
        <w:rPr>
          <w:snapToGrid w:val="0"/>
          <w:kern w:val="22"/>
          <w:szCs w:val="22"/>
          <w:lang w:val="fr-CA" w:bidi="fr-FR"/>
        </w:rPr>
        <w:t>l</w:t>
      </w:r>
      <w:r>
        <w:rPr>
          <w:snapToGrid w:val="0"/>
          <w:kern w:val="22"/>
          <w:szCs w:val="22"/>
          <w:lang w:val="fr-CA" w:bidi="fr-FR"/>
        </w:rPr>
        <w:t>’</w:t>
      </w:r>
      <w:r w:rsidRPr="00860D94">
        <w:rPr>
          <w:snapToGrid w:val="0"/>
          <w:kern w:val="22"/>
          <w:szCs w:val="22"/>
          <w:lang w:val="fr-CA" w:bidi="fr-FR"/>
        </w:rPr>
        <w:t>objectif du Protocole de Cartagena</w:t>
      </w:r>
      <w:r>
        <w:rPr>
          <w:snapToGrid w:val="0"/>
          <w:kern w:val="22"/>
          <w:szCs w:val="22"/>
          <w:lang w:val="fr-CA" w:bidi="fr-FR"/>
        </w:rPr>
        <w:t>, selon qu’il convient</w:t>
      </w:r>
      <w:r w:rsidRPr="00860D94">
        <w:rPr>
          <w:snapToGrid w:val="0"/>
          <w:kern w:val="22"/>
          <w:szCs w:val="22"/>
          <w:lang w:val="fr-CA" w:bidi="fr-FR"/>
        </w:rPr>
        <w:t>.</w:t>
      </w:r>
    </w:p>
    <w:p w:rsidR="00DC2190" w:rsidRPr="00860D94" w:rsidRDefault="00DC2190" w:rsidP="00DC2190">
      <w:pPr>
        <w:keepNext/>
        <w:suppressLineNumbers/>
        <w:suppressAutoHyphens/>
        <w:kinsoku w:val="0"/>
        <w:overflowPunct w:val="0"/>
        <w:autoSpaceDE w:val="0"/>
        <w:autoSpaceDN w:val="0"/>
        <w:spacing w:before="120" w:after="120"/>
        <w:jc w:val="center"/>
        <w:rPr>
          <w:i/>
          <w:snapToGrid w:val="0"/>
          <w:kern w:val="22"/>
          <w:szCs w:val="22"/>
          <w:lang w:val="fr-CA"/>
        </w:rPr>
      </w:pPr>
      <w:r>
        <w:rPr>
          <w:i/>
          <w:snapToGrid w:val="0"/>
          <w:kern w:val="22"/>
          <w:szCs w:val="22"/>
          <w:lang w:val="fr-CA" w:bidi="fr-FR"/>
        </w:rPr>
        <w:t>Annexe </w:t>
      </w:r>
      <w:r w:rsidRPr="00860D94">
        <w:rPr>
          <w:i/>
          <w:snapToGrid w:val="0"/>
          <w:kern w:val="22"/>
          <w:szCs w:val="22"/>
          <w:lang w:val="fr-CA" w:bidi="fr-FR"/>
        </w:rPr>
        <w:t>II</w:t>
      </w:r>
    </w:p>
    <w:p w:rsidR="00DC2190" w:rsidRPr="00860D94" w:rsidRDefault="00DC2190" w:rsidP="00DC2190">
      <w:pPr>
        <w:suppressLineNumbers/>
        <w:suppressAutoHyphens/>
        <w:kinsoku w:val="0"/>
        <w:overflowPunct w:val="0"/>
        <w:autoSpaceDE w:val="0"/>
        <w:autoSpaceDN w:val="0"/>
        <w:spacing w:before="120" w:after="240"/>
        <w:jc w:val="center"/>
        <w:rPr>
          <w:b/>
          <w:kern w:val="22"/>
          <w:szCs w:val="22"/>
          <w:lang w:val="fr-CA"/>
        </w:rPr>
      </w:pPr>
      <w:r>
        <w:rPr>
          <w:b/>
          <w:color w:val="000000"/>
          <w:lang w:val="fr-CA" w:bidi="fr-FR"/>
        </w:rPr>
        <w:t>Mandat du G</w:t>
      </w:r>
      <w:r w:rsidRPr="00860D94">
        <w:rPr>
          <w:b/>
          <w:color w:val="000000"/>
          <w:lang w:val="fr-CA" w:bidi="fr-FR"/>
        </w:rPr>
        <w:t>roupe spécial d</w:t>
      </w:r>
      <w:r>
        <w:rPr>
          <w:b/>
          <w:color w:val="000000"/>
          <w:lang w:val="fr-CA" w:bidi="fr-FR"/>
        </w:rPr>
        <w:t>’</w:t>
      </w:r>
      <w:r w:rsidRPr="00860D94">
        <w:rPr>
          <w:b/>
          <w:color w:val="000000"/>
          <w:lang w:val="fr-CA" w:bidi="fr-FR"/>
        </w:rPr>
        <w:t>experts techniques sur l</w:t>
      </w:r>
      <w:r>
        <w:rPr>
          <w:b/>
          <w:color w:val="000000"/>
          <w:lang w:val="fr-CA" w:bidi="fr-FR"/>
        </w:rPr>
        <w:t>’</w:t>
      </w:r>
      <w:r w:rsidRPr="00860D94">
        <w:rPr>
          <w:b/>
          <w:color w:val="000000"/>
          <w:lang w:val="fr-CA" w:bidi="fr-FR"/>
        </w:rPr>
        <w:t>évaluation des risques</w:t>
      </w:r>
    </w:p>
    <w:p w:rsidR="00DC2190" w:rsidRPr="00860D94" w:rsidRDefault="00DC2190" w:rsidP="00DC2190">
      <w:pPr>
        <w:suppressLineNumbers/>
        <w:suppressAutoHyphens/>
        <w:kinsoku w:val="0"/>
        <w:overflowPunct w:val="0"/>
        <w:autoSpaceDE w:val="0"/>
        <w:autoSpaceDN w:val="0"/>
        <w:spacing w:before="120" w:after="120"/>
        <w:rPr>
          <w:kern w:val="22"/>
          <w:szCs w:val="22"/>
          <w:lang w:val="fr-CA"/>
        </w:rPr>
      </w:pPr>
      <w:r w:rsidRPr="00860D94">
        <w:rPr>
          <w:kern w:val="22"/>
          <w:szCs w:val="22"/>
          <w:lang w:val="fr-CA" w:bidi="fr-FR"/>
        </w:rPr>
        <w:t>Le Groupe spécial d</w:t>
      </w:r>
      <w:r>
        <w:rPr>
          <w:kern w:val="22"/>
          <w:szCs w:val="22"/>
          <w:lang w:val="fr-CA" w:bidi="fr-FR"/>
        </w:rPr>
        <w:t>’</w:t>
      </w:r>
      <w:r w:rsidRPr="00860D94">
        <w:rPr>
          <w:kern w:val="22"/>
          <w:szCs w:val="22"/>
          <w:lang w:val="fr-CA" w:bidi="fr-FR"/>
        </w:rPr>
        <w:t>experts techniques sur l</w:t>
      </w:r>
      <w:r>
        <w:rPr>
          <w:kern w:val="22"/>
          <w:szCs w:val="22"/>
          <w:lang w:val="fr-CA" w:bidi="fr-FR"/>
        </w:rPr>
        <w:t>’</w:t>
      </w:r>
      <w:r w:rsidRPr="00860D94">
        <w:rPr>
          <w:kern w:val="22"/>
          <w:szCs w:val="22"/>
          <w:lang w:val="fr-CA" w:bidi="fr-FR"/>
        </w:rPr>
        <w:t>évaluat</w:t>
      </w:r>
      <w:r>
        <w:rPr>
          <w:kern w:val="22"/>
          <w:szCs w:val="22"/>
          <w:lang w:val="fr-CA" w:bidi="fr-FR"/>
        </w:rPr>
        <w:t xml:space="preserve">ion des risques, </w:t>
      </w:r>
      <w:r w:rsidRPr="00860D94">
        <w:rPr>
          <w:kern w:val="22"/>
          <w:szCs w:val="22"/>
          <w:lang w:val="fr-CA" w:bidi="fr-FR"/>
        </w:rPr>
        <w:t xml:space="preserve">compte </w:t>
      </w:r>
      <w:r>
        <w:rPr>
          <w:kern w:val="22"/>
          <w:szCs w:val="22"/>
          <w:lang w:val="fr-CA" w:bidi="fr-FR"/>
        </w:rPr>
        <w:t xml:space="preserve">tenu </w:t>
      </w:r>
      <w:r w:rsidRPr="00860D94">
        <w:rPr>
          <w:kern w:val="22"/>
          <w:szCs w:val="22"/>
          <w:lang w:val="fr-CA" w:bidi="fr-FR"/>
        </w:rPr>
        <w:t>des travaux réalisés par le Groupe spécial d</w:t>
      </w:r>
      <w:r>
        <w:rPr>
          <w:kern w:val="22"/>
          <w:szCs w:val="22"/>
          <w:lang w:val="fr-CA" w:bidi="fr-FR"/>
        </w:rPr>
        <w:t>’</w:t>
      </w:r>
      <w:r w:rsidRPr="00860D94">
        <w:rPr>
          <w:kern w:val="22"/>
          <w:szCs w:val="22"/>
          <w:lang w:val="fr-CA" w:bidi="fr-FR"/>
        </w:rPr>
        <w:t xml:space="preserve">experts techniques sur la </w:t>
      </w:r>
      <w:r>
        <w:rPr>
          <w:kern w:val="22"/>
          <w:szCs w:val="22"/>
          <w:lang w:val="fr-CA" w:bidi="fr-FR"/>
        </w:rPr>
        <w:t>biologie de synthèse, est chargé de</w:t>
      </w:r>
      <w:r w:rsidRPr="00860D94">
        <w:rPr>
          <w:kern w:val="22"/>
          <w:szCs w:val="22"/>
          <w:lang w:val="fr-CA" w:bidi="fr-FR"/>
        </w:rPr>
        <w:t> :</w:t>
      </w:r>
    </w:p>
    <w:p w:rsidR="00DC2190" w:rsidRPr="00860D94" w:rsidRDefault="00DC2190" w:rsidP="00DC2190">
      <w:pPr>
        <w:pStyle w:val="Para1"/>
        <w:numPr>
          <w:ilvl w:val="0"/>
          <w:numId w:val="0"/>
        </w:numPr>
        <w:suppressLineNumbers/>
        <w:tabs>
          <w:tab w:val="left" w:pos="1440"/>
        </w:tabs>
        <w:suppressAutoHyphens/>
        <w:kinsoku w:val="0"/>
        <w:overflowPunct w:val="0"/>
        <w:autoSpaceDE w:val="0"/>
        <w:autoSpaceDN w:val="0"/>
        <w:snapToGrid w:val="0"/>
        <w:ind w:firstLine="720"/>
        <w:rPr>
          <w:kern w:val="22"/>
          <w:szCs w:val="22"/>
          <w:lang w:val="fr-CA"/>
        </w:rPr>
      </w:pPr>
      <w:r>
        <w:rPr>
          <w:kern w:val="22"/>
          <w:szCs w:val="22"/>
          <w:lang w:val="fr-CA" w:bidi="fr-FR"/>
        </w:rPr>
        <w:t>a)</w:t>
      </w:r>
      <w:r>
        <w:rPr>
          <w:kern w:val="22"/>
          <w:szCs w:val="22"/>
          <w:lang w:val="fr-CA" w:bidi="fr-FR"/>
        </w:rPr>
        <w:tab/>
        <w:t>E</w:t>
      </w:r>
      <w:r w:rsidRPr="00860D94">
        <w:rPr>
          <w:kern w:val="22"/>
          <w:szCs w:val="22"/>
          <w:lang w:val="fr-CA" w:bidi="fr-FR"/>
        </w:rPr>
        <w:t>xaminer l</w:t>
      </w:r>
      <w:r>
        <w:rPr>
          <w:kern w:val="22"/>
          <w:szCs w:val="22"/>
          <w:lang w:val="fr-CA" w:bidi="fr-FR"/>
        </w:rPr>
        <w:t>’étude dont il est question au paragraphe </w:t>
      </w:r>
      <w:r>
        <w:rPr>
          <w:noProof/>
          <w:kern w:val="22"/>
          <w:szCs w:val="22"/>
          <w:lang w:val="fr-CA" w:bidi="fr-FR"/>
        </w:rPr>
        <w:t>11</w:t>
      </w:r>
      <w:r w:rsidRPr="00860D94">
        <w:rPr>
          <w:noProof/>
          <w:kern w:val="22"/>
          <w:szCs w:val="22"/>
          <w:lang w:val="fr-CA" w:bidi="fr-FR"/>
        </w:rPr>
        <w:t xml:space="preserve"> </w:t>
      </w:r>
      <w:r>
        <w:rPr>
          <w:noProof/>
          <w:kern w:val="22"/>
          <w:szCs w:val="22"/>
          <w:lang w:val="fr-CA" w:bidi="fr-FR"/>
        </w:rPr>
        <w:t xml:space="preserve">a) </w:t>
      </w:r>
      <w:r w:rsidRPr="00860D94">
        <w:rPr>
          <w:noProof/>
          <w:kern w:val="22"/>
          <w:szCs w:val="22"/>
          <w:lang w:val="fr-CA" w:bidi="fr-FR"/>
        </w:rPr>
        <w:t>ci</w:t>
      </w:r>
      <w:r>
        <w:rPr>
          <w:noProof/>
          <w:kern w:val="22"/>
          <w:szCs w:val="22"/>
          <w:lang w:val="fr-CA" w:bidi="fr-FR"/>
        </w:rPr>
        <w:noBreakHyphen/>
      </w:r>
      <w:r w:rsidRPr="00860D94">
        <w:rPr>
          <w:noProof/>
          <w:kern w:val="22"/>
          <w:szCs w:val="22"/>
          <w:lang w:val="fr-CA" w:bidi="fr-FR"/>
        </w:rPr>
        <w:t xml:space="preserve">dessus et </w:t>
      </w:r>
      <w:r>
        <w:rPr>
          <w:noProof/>
          <w:kern w:val="22"/>
          <w:szCs w:val="22"/>
          <w:lang w:val="fr-CA" w:bidi="fr-FR"/>
        </w:rPr>
        <w:t>d’</w:t>
      </w:r>
      <w:r w:rsidRPr="00860D94">
        <w:rPr>
          <w:noProof/>
          <w:kern w:val="22"/>
          <w:szCs w:val="22"/>
          <w:lang w:val="fr-CA" w:bidi="fr-FR"/>
        </w:rPr>
        <w:t>effectuer une analyse</w:t>
      </w:r>
      <w:r>
        <w:rPr>
          <w:noProof/>
          <w:kern w:val="22"/>
          <w:szCs w:val="22"/>
          <w:lang w:val="fr-CA" w:bidi="fr-FR"/>
        </w:rPr>
        <w:t xml:space="preserve"> sur</w:t>
      </w:r>
      <w:r w:rsidRPr="00860D94">
        <w:rPr>
          <w:noProof/>
          <w:kern w:val="22"/>
          <w:szCs w:val="22"/>
          <w:lang w:val="fr-CA" w:bidi="fr-FR"/>
        </w:rPr>
        <w:t xml:space="preserve"> </w:t>
      </w:r>
      <w:r>
        <w:rPr>
          <w:noProof/>
          <w:lang w:val="fr-CA" w:bidi="fr-FR"/>
        </w:rPr>
        <w:t>[</w:t>
      </w:r>
      <w:r w:rsidRPr="00860D94">
        <w:rPr>
          <w:noProof/>
          <w:lang w:val="fr-CA" w:bidi="fr-FR"/>
        </w:rPr>
        <w:t xml:space="preserve">i) </w:t>
      </w:r>
      <w:r>
        <w:rPr>
          <w:noProof/>
          <w:lang w:val="fr-CA" w:bidi="fr-FR"/>
        </w:rPr>
        <w:t xml:space="preserve">les </w:t>
      </w:r>
      <w:r w:rsidRPr="00860D94">
        <w:rPr>
          <w:noProof/>
          <w:lang w:val="fr-CA" w:bidi="fr-FR"/>
        </w:rPr>
        <w:t xml:space="preserve">organismes vivants modifiés </w:t>
      </w:r>
      <w:r w:rsidRPr="00860D94">
        <w:rPr>
          <w:noProof/>
          <w:kern w:val="22"/>
          <w:szCs w:val="22"/>
          <w:lang w:val="fr-CA" w:bidi="fr-FR"/>
        </w:rPr>
        <w:t>pr</w:t>
      </w:r>
      <w:r>
        <w:rPr>
          <w:noProof/>
          <w:kern w:val="22"/>
          <w:szCs w:val="22"/>
          <w:lang w:val="fr-CA" w:bidi="fr-FR"/>
        </w:rPr>
        <w:t xml:space="preserve">oduits par édition du génome,] </w:t>
      </w:r>
      <w:r w:rsidRPr="00860D94">
        <w:rPr>
          <w:noProof/>
          <w:kern w:val="22"/>
          <w:szCs w:val="22"/>
          <w:lang w:val="fr-CA" w:bidi="fr-FR"/>
        </w:rPr>
        <w:t>ii)</w:t>
      </w:r>
      <w:r>
        <w:rPr>
          <w:kern w:val="22"/>
          <w:szCs w:val="22"/>
          <w:lang w:val="fr-CA" w:bidi="fr-FR"/>
        </w:rPr>
        <w:t xml:space="preserve"> l</w:t>
      </w:r>
      <w:r w:rsidRPr="00860D94">
        <w:rPr>
          <w:kern w:val="22"/>
          <w:szCs w:val="22"/>
          <w:lang w:val="fr-CA" w:bidi="fr-FR"/>
        </w:rPr>
        <w:t xml:space="preserve">es organismes vivants modifiés </w:t>
      </w:r>
      <w:r>
        <w:rPr>
          <w:kern w:val="22"/>
          <w:szCs w:val="22"/>
          <w:lang w:val="fr-CA" w:bidi="fr-FR"/>
        </w:rPr>
        <w:t>ayant subi un forçage génétique et iii) l</w:t>
      </w:r>
      <w:r w:rsidRPr="00860D94">
        <w:rPr>
          <w:kern w:val="22"/>
          <w:szCs w:val="22"/>
          <w:lang w:val="fr-CA" w:bidi="fr-FR"/>
        </w:rPr>
        <w:t xml:space="preserve">es poissons vivants </w:t>
      </w:r>
      <w:r>
        <w:rPr>
          <w:kern w:val="22"/>
          <w:szCs w:val="22"/>
          <w:lang w:val="fr-CA" w:bidi="fr-FR"/>
        </w:rPr>
        <w:t xml:space="preserve">génétiquement </w:t>
      </w:r>
      <w:r w:rsidRPr="00860D94">
        <w:rPr>
          <w:kern w:val="22"/>
          <w:szCs w:val="22"/>
          <w:lang w:val="fr-CA" w:bidi="fr-FR"/>
        </w:rPr>
        <w:t>mo</w:t>
      </w:r>
      <w:r>
        <w:rPr>
          <w:kern w:val="22"/>
          <w:szCs w:val="22"/>
          <w:lang w:val="fr-CA" w:bidi="fr-FR"/>
        </w:rPr>
        <w:t>difiés, conformément à l’annexe </w:t>
      </w:r>
      <w:r w:rsidRPr="00860D94">
        <w:rPr>
          <w:kern w:val="22"/>
          <w:szCs w:val="22"/>
          <w:lang w:val="fr-CA" w:bidi="fr-FR"/>
        </w:rPr>
        <w:t>I</w:t>
      </w:r>
      <w:r>
        <w:rPr>
          <w:kern w:val="22"/>
          <w:szCs w:val="22"/>
          <w:lang w:val="fr-CA" w:bidi="fr-FR"/>
        </w:rPr>
        <w:t>, et conforté par les</w:t>
      </w:r>
      <w:r w:rsidRPr="00860D94">
        <w:rPr>
          <w:kern w:val="22"/>
          <w:szCs w:val="22"/>
          <w:lang w:val="fr-CA" w:bidi="fr-FR"/>
        </w:rPr>
        <w:t xml:space="preserve"> données de l</w:t>
      </w:r>
      <w:r>
        <w:rPr>
          <w:kern w:val="22"/>
          <w:szCs w:val="22"/>
          <w:lang w:val="fr-CA" w:bidi="fr-FR"/>
        </w:rPr>
        <w:t>’</w:t>
      </w:r>
      <w:r w:rsidRPr="00860D94">
        <w:rPr>
          <w:kern w:val="22"/>
          <w:szCs w:val="22"/>
          <w:lang w:val="fr-CA" w:bidi="fr-FR"/>
        </w:rPr>
        <w:t>étude</w:t>
      </w:r>
      <w:r>
        <w:rPr>
          <w:kern w:val="22"/>
          <w:szCs w:val="22"/>
          <w:lang w:val="fr-CA" w:bidi="fr-FR"/>
        </w:rPr>
        <w:t>;</w:t>
      </w:r>
      <w:r w:rsidRPr="00860D94">
        <w:rPr>
          <w:kern w:val="22"/>
          <w:szCs w:val="22"/>
          <w:lang w:val="fr-CA" w:bidi="fr-FR"/>
        </w:rPr>
        <w:t xml:space="preserve"> </w:t>
      </w:r>
    </w:p>
    <w:p w:rsidR="00DC2190" w:rsidRPr="00860D94" w:rsidRDefault="00DC2190" w:rsidP="00DC2190">
      <w:pPr>
        <w:pStyle w:val="Para1"/>
        <w:numPr>
          <w:ilvl w:val="0"/>
          <w:numId w:val="0"/>
        </w:numPr>
        <w:suppressLineNumbers/>
        <w:tabs>
          <w:tab w:val="left" w:pos="1440"/>
        </w:tabs>
        <w:suppressAutoHyphens/>
        <w:kinsoku w:val="0"/>
        <w:overflowPunct w:val="0"/>
        <w:autoSpaceDE w:val="0"/>
        <w:autoSpaceDN w:val="0"/>
        <w:snapToGrid w:val="0"/>
        <w:ind w:firstLine="720"/>
        <w:rPr>
          <w:kern w:val="22"/>
          <w:szCs w:val="22"/>
          <w:lang w:val="fr-CA"/>
        </w:rPr>
      </w:pPr>
      <w:r>
        <w:rPr>
          <w:kern w:val="22"/>
          <w:szCs w:val="22"/>
          <w:lang w:val="fr-CA" w:bidi="fr-FR"/>
        </w:rPr>
        <w:t xml:space="preserve">b) </w:t>
      </w:r>
      <w:r>
        <w:rPr>
          <w:kern w:val="22"/>
          <w:szCs w:val="22"/>
          <w:lang w:val="fr-CA" w:bidi="fr-FR"/>
        </w:rPr>
        <w:tab/>
        <w:t>E</w:t>
      </w:r>
      <w:r w:rsidRPr="00860D94">
        <w:rPr>
          <w:kern w:val="22"/>
          <w:szCs w:val="22"/>
          <w:lang w:val="fr-CA" w:bidi="fr-FR"/>
        </w:rPr>
        <w:t xml:space="preserve">xaminer les besoins et les priorités </w:t>
      </w:r>
      <w:r>
        <w:rPr>
          <w:kern w:val="22"/>
          <w:szCs w:val="22"/>
          <w:lang w:val="fr-CA" w:bidi="fr-FR"/>
        </w:rPr>
        <w:t>pour l’élaboration d’autres orientation</w:t>
      </w:r>
      <w:r w:rsidRPr="00860D94">
        <w:rPr>
          <w:kern w:val="22"/>
          <w:szCs w:val="22"/>
          <w:lang w:val="fr-CA" w:bidi="fr-FR"/>
        </w:rPr>
        <w:t>s</w:t>
      </w:r>
      <w:r>
        <w:rPr>
          <w:kern w:val="22"/>
          <w:szCs w:val="22"/>
          <w:lang w:val="fr-CA" w:bidi="fr-FR"/>
        </w:rPr>
        <w:t>, ainsi</w:t>
      </w:r>
      <w:r w:rsidRPr="00860D94">
        <w:rPr>
          <w:kern w:val="22"/>
          <w:szCs w:val="22"/>
          <w:lang w:val="fr-CA" w:bidi="fr-FR"/>
        </w:rPr>
        <w:t xml:space="preserve"> </w:t>
      </w:r>
      <w:r>
        <w:rPr>
          <w:kern w:val="22"/>
          <w:szCs w:val="22"/>
          <w:lang w:val="fr-CA" w:bidi="fr-FR"/>
        </w:rPr>
        <w:t xml:space="preserve">que </w:t>
      </w:r>
      <w:r w:rsidRPr="00860D94">
        <w:rPr>
          <w:kern w:val="22"/>
          <w:szCs w:val="22"/>
          <w:lang w:val="fr-CA" w:bidi="fr-FR"/>
        </w:rPr>
        <w:t xml:space="preserve">les lacunes </w:t>
      </w:r>
      <w:r>
        <w:rPr>
          <w:kern w:val="22"/>
          <w:szCs w:val="22"/>
          <w:lang w:val="fr-CA" w:bidi="fr-FR"/>
        </w:rPr>
        <w:t>subsistant dans l</w:t>
      </w:r>
      <w:r w:rsidRPr="00860D94">
        <w:rPr>
          <w:kern w:val="22"/>
          <w:szCs w:val="22"/>
          <w:lang w:val="fr-CA" w:bidi="fr-FR"/>
        </w:rPr>
        <w:t>es orientations existantes</w:t>
      </w:r>
      <w:r>
        <w:rPr>
          <w:kern w:val="22"/>
          <w:szCs w:val="22"/>
          <w:lang w:val="fr-CA" w:bidi="fr-FR"/>
        </w:rPr>
        <w:t>,</w:t>
      </w:r>
      <w:r w:rsidRPr="00860D94">
        <w:rPr>
          <w:kern w:val="22"/>
          <w:szCs w:val="22"/>
          <w:lang w:val="fr-CA" w:bidi="fr-FR"/>
        </w:rPr>
        <w:t xml:space="preserve"> </w:t>
      </w:r>
      <w:r>
        <w:rPr>
          <w:kern w:val="22"/>
          <w:szCs w:val="22"/>
          <w:lang w:val="fr-CA" w:bidi="fr-FR"/>
        </w:rPr>
        <w:t>tels qu’identifié</w:t>
      </w:r>
      <w:r w:rsidRPr="00860D94">
        <w:rPr>
          <w:kern w:val="22"/>
          <w:szCs w:val="22"/>
          <w:lang w:val="fr-CA" w:bidi="fr-FR"/>
        </w:rPr>
        <w:t>s par les P</w:t>
      </w:r>
      <w:r>
        <w:rPr>
          <w:kern w:val="22"/>
          <w:szCs w:val="22"/>
          <w:lang w:val="fr-CA" w:bidi="fr-FR"/>
        </w:rPr>
        <w:t>arties en application de la décision </w:t>
      </w:r>
      <w:r w:rsidRPr="00860D94">
        <w:rPr>
          <w:kern w:val="22"/>
          <w:szCs w:val="22"/>
          <w:lang w:val="fr-CA" w:bidi="fr-FR"/>
        </w:rPr>
        <w:t>VIII/CP</w:t>
      </w:r>
      <w:r>
        <w:rPr>
          <w:kern w:val="22"/>
          <w:szCs w:val="22"/>
          <w:lang w:val="fr-CA" w:bidi="fr-FR"/>
        </w:rPr>
        <w:noBreakHyphen/>
      </w:r>
      <w:r w:rsidRPr="00860D94">
        <w:rPr>
          <w:kern w:val="22"/>
          <w:szCs w:val="22"/>
          <w:lang w:val="fr-CA" w:bidi="fr-FR"/>
        </w:rPr>
        <w:t>12 concer</w:t>
      </w:r>
      <w:r>
        <w:rPr>
          <w:kern w:val="22"/>
          <w:szCs w:val="22"/>
          <w:lang w:val="fr-CA" w:bidi="fr-FR"/>
        </w:rPr>
        <w:t>nant des sujets spécifiques relatifs à l’évaluation des risques,</w:t>
      </w:r>
      <w:r w:rsidRPr="00860D94">
        <w:rPr>
          <w:kern w:val="22"/>
          <w:szCs w:val="22"/>
          <w:lang w:val="fr-CA" w:bidi="fr-FR"/>
        </w:rPr>
        <w:t xml:space="preserve"> et préparer une analyse</w:t>
      </w:r>
      <w:r>
        <w:rPr>
          <w:kern w:val="22"/>
          <w:szCs w:val="22"/>
          <w:lang w:val="fr-CA" w:bidi="fr-FR"/>
        </w:rPr>
        <w:t>;</w:t>
      </w:r>
      <w:r w:rsidRPr="00860D94">
        <w:rPr>
          <w:kern w:val="22"/>
          <w:szCs w:val="22"/>
          <w:lang w:val="fr-CA" w:bidi="fr-FR"/>
        </w:rPr>
        <w:t xml:space="preserve"> </w:t>
      </w:r>
    </w:p>
    <w:p w:rsidR="00DC2190" w:rsidRPr="00860D94" w:rsidRDefault="00DC2190" w:rsidP="00DC2190">
      <w:pPr>
        <w:pStyle w:val="Para1"/>
        <w:numPr>
          <w:ilvl w:val="0"/>
          <w:numId w:val="0"/>
        </w:numPr>
        <w:suppressLineNumbers/>
        <w:tabs>
          <w:tab w:val="left" w:pos="1440"/>
        </w:tabs>
        <w:suppressAutoHyphens/>
        <w:kinsoku w:val="0"/>
        <w:overflowPunct w:val="0"/>
        <w:autoSpaceDE w:val="0"/>
        <w:autoSpaceDN w:val="0"/>
        <w:snapToGrid w:val="0"/>
        <w:ind w:firstLine="720"/>
        <w:rPr>
          <w:kern w:val="22"/>
          <w:szCs w:val="22"/>
          <w:lang w:val="fr-CA"/>
        </w:rPr>
      </w:pPr>
      <w:r w:rsidRPr="00860D94">
        <w:rPr>
          <w:kern w:val="22"/>
          <w:szCs w:val="22"/>
          <w:lang w:val="fr-CA" w:bidi="fr-FR"/>
        </w:rPr>
        <w:t xml:space="preserve">c) </w:t>
      </w:r>
      <w:r w:rsidRPr="00860D94">
        <w:rPr>
          <w:kern w:val="22"/>
          <w:szCs w:val="22"/>
          <w:lang w:val="fr-CA" w:bidi="fr-FR"/>
        </w:rPr>
        <w:tab/>
      </w:r>
      <w:r>
        <w:rPr>
          <w:kern w:val="22"/>
          <w:szCs w:val="22"/>
          <w:lang w:val="fr-CA" w:bidi="fr-FR"/>
        </w:rPr>
        <w:t>Formuler des recommandations sur i) la nécessité d’avoir des orientation</w:t>
      </w:r>
      <w:r w:rsidRPr="00860D94">
        <w:rPr>
          <w:kern w:val="22"/>
          <w:szCs w:val="22"/>
          <w:lang w:val="fr-CA" w:bidi="fr-FR"/>
        </w:rPr>
        <w:t>s sur l</w:t>
      </w:r>
      <w:r>
        <w:rPr>
          <w:kern w:val="22"/>
          <w:szCs w:val="22"/>
          <w:lang w:val="fr-CA" w:bidi="fr-FR"/>
        </w:rPr>
        <w:t>’</w:t>
      </w:r>
      <w:r w:rsidRPr="00860D94">
        <w:rPr>
          <w:kern w:val="22"/>
          <w:szCs w:val="22"/>
          <w:lang w:val="fr-CA" w:bidi="fr-FR"/>
        </w:rPr>
        <w:t xml:space="preserve">évaluation des risques </w:t>
      </w:r>
      <w:r>
        <w:rPr>
          <w:kern w:val="22"/>
          <w:szCs w:val="22"/>
          <w:lang w:val="fr-CA" w:bidi="fr-FR"/>
        </w:rPr>
        <w:t xml:space="preserve">présentés par </w:t>
      </w:r>
      <w:r w:rsidRPr="00860D94">
        <w:rPr>
          <w:lang w:val="fr-CA" w:bidi="fr-FR"/>
        </w:rPr>
        <w:t>[</w:t>
      </w:r>
      <w:r>
        <w:rPr>
          <w:lang w:val="fr-CA" w:bidi="fr-FR"/>
        </w:rPr>
        <w:t xml:space="preserve">les </w:t>
      </w:r>
      <w:r w:rsidRPr="00860D94">
        <w:rPr>
          <w:lang w:val="fr-CA" w:bidi="fr-FR"/>
        </w:rPr>
        <w:t xml:space="preserve">organismes vivants modifiés </w:t>
      </w:r>
      <w:r w:rsidRPr="00860D94">
        <w:rPr>
          <w:kern w:val="22"/>
          <w:szCs w:val="22"/>
          <w:lang w:val="fr-CA" w:bidi="fr-FR"/>
        </w:rPr>
        <w:t xml:space="preserve">produits par édition du génome,] </w:t>
      </w:r>
      <w:r>
        <w:rPr>
          <w:kern w:val="22"/>
          <w:szCs w:val="22"/>
          <w:lang w:val="fr-CA" w:bidi="fr-FR"/>
        </w:rPr>
        <w:t>les organismes vivants modifiés ayant subi un forçage génétique,</w:t>
      </w:r>
      <w:r w:rsidRPr="00860D94">
        <w:rPr>
          <w:kern w:val="22"/>
          <w:szCs w:val="22"/>
          <w:lang w:val="fr-CA" w:bidi="fr-FR"/>
        </w:rPr>
        <w:t xml:space="preserve"> e</w:t>
      </w:r>
      <w:r>
        <w:rPr>
          <w:kern w:val="22"/>
          <w:szCs w:val="22"/>
          <w:lang w:val="fr-CA" w:bidi="fr-FR"/>
        </w:rPr>
        <w:t xml:space="preserve">t les poissons vivants génétiquement modifiés, et ii) toute modification à apporter </w:t>
      </w:r>
      <w:r w:rsidRPr="00860D94">
        <w:rPr>
          <w:kern w:val="22"/>
          <w:szCs w:val="22"/>
          <w:lang w:val="fr-CA" w:bidi="fr-FR"/>
        </w:rPr>
        <w:t>à l</w:t>
      </w:r>
      <w:r>
        <w:rPr>
          <w:kern w:val="22"/>
          <w:szCs w:val="22"/>
          <w:lang w:val="fr-CA" w:bidi="fr-FR"/>
        </w:rPr>
        <w:t>’</w:t>
      </w:r>
      <w:r w:rsidRPr="00860D94">
        <w:rPr>
          <w:kern w:val="22"/>
          <w:szCs w:val="22"/>
          <w:lang w:val="fr-CA" w:bidi="fr-FR"/>
        </w:rPr>
        <w:t>anne</w:t>
      </w:r>
      <w:r>
        <w:rPr>
          <w:kern w:val="22"/>
          <w:szCs w:val="22"/>
          <w:lang w:val="fr-CA" w:bidi="fr-FR"/>
        </w:rPr>
        <w:t>xe I</w:t>
      </w:r>
      <w:r w:rsidRPr="00860D94">
        <w:rPr>
          <w:kern w:val="22"/>
          <w:szCs w:val="22"/>
          <w:lang w:val="fr-CA" w:bidi="fr-FR"/>
        </w:rPr>
        <w:t>;</w:t>
      </w:r>
    </w:p>
    <w:p w:rsidR="00DC2190" w:rsidRPr="00860D94" w:rsidRDefault="00DC2190" w:rsidP="00DC2190">
      <w:pPr>
        <w:pStyle w:val="ListParagraph"/>
        <w:suppressLineNumbers/>
        <w:tabs>
          <w:tab w:val="left" w:pos="1440"/>
        </w:tabs>
        <w:suppressAutoHyphens/>
        <w:kinsoku w:val="0"/>
        <w:overflowPunct w:val="0"/>
        <w:autoSpaceDE w:val="0"/>
        <w:autoSpaceDN w:val="0"/>
        <w:spacing w:before="120" w:after="240"/>
        <w:ind w:left="0" w:firstLine="720"/>
        <w:contextualSpacing w:val="0"/>
        <w:rPr>
          <w:iCs/>
          <w:snapToGrid w:val="0"/>
          <w:kern w:val="22"/>
          <w:szCs w:val="22"/>
          <w:lang w:val="fr-CA"/>
        </w:rPr>
      </w:pPr>
      <w:r w:rsidRPr="00860D94">
        <w:rPr>
          <w:kern w:val="22"/>
          <w:szCs w:val="22"/>
          <w:lang w:val="fr-CA" w:bidi="fr-FR"/>
        </w:rPr>
        <w:t xml:space="preserve">d) </w:t>
      </w:r>
      <w:r w:rsidRPr="00860D94">
        <w:rPr>
          <w:kern w:val="22"/>
          <w:szCs w:val="22"/>
          <w:lang w:val="fr-CA" w:bidi="fr-FR"/>
        </w:rPr>
        <w:tab/>
        <w:t>Préparer un rapport</w:t>
      </w:r>
      <w:r>
        <w:rPr>
          <w:kern w:val="22"/>
          <w:szCs w:val="22"/>
          <w:lang w:val="fr-CA" w:bidi="fr-FR"/>
        </w:rPr>
        <w:t>,</w:t>
      </w:r>
      <w:r w:rsidRPr="00860D94">
        <w:rPr>
          <w:kern w:val="22"/>
          <w:szCs w:val="22"/>
          <w:lang w:val="fr-CA" w:bidi="fr-FR"/>
        </w:rPr>
        <w:t xml:space="preserve"> pour examen par l</w:t>
      </w:r>
      <w:r>
        <w:rPr>
          <w:kern w:val="22"/>
          <w:szCs w:val="22"/>
          <w:lang w:val="fr-CA" w:bidi="fr-FR"/>
        </w:rPr>
        <w:t>’</w:t>
      </w:r>
      <w:r>
        <w:rPr>
          <w:rStyle w:val="st"/>
          <w:kern w:val="22"/>
          <w:szCs w:val="22"/>
          <w:lang w:val="fr-CA" w:bidi="fr-FR"/>
        </w:rPr>
        <w:t>Organe subsidiaire chargé de fournir d</w:t>
      </w:r>
      <w:r w:rsidRPr="00860D94">
        <w:rPr>
          <w:rStyle w:val="st"/>
          <w:kern w:val="22"/>
          <w:szCs w:val="22"/>
          <w:lang w:val="fr-CA" w:bidi="fr-FR"/>
        </w:rPr>
        <w:t>es avis scientifiques, techniques et technologiques</w:t>
      </w:r>
      <w:r>
        <w:rPr>
          <w:rStyle w:val="st"/>
          <w:kern w:val="22"/>
          <w:szCs w:val="22"/>
          <w:lang w:val="fr-CA" w:bidi="fr-FR"/>
        </w:rPr>
        <w:t>,</w:t>
      </w:r>
      <w:r w:rsidRPr="00860D94">
        <w:rPr>
          <w:kern w:val="22"/>
          <w:szCs w:val="22"/>
          <w:lang w:val="fr-CA" w:bidi="fr-FR"/>
        </w:rPr>
        <w:t xml:space="preserve"> en vue de permettre à l</w:t>
      </w:r>
      <w:r>
        <w:rPr>
          <w:kern w:val="22"/>
          <w:szCs w:val="22"/>
          <w:lang w:val="fr-CA" w:bidi="fr-FR"/>
        </w:rPr>
        <w:t>’</w:t>
      </w:r>
      <w:r>
        <w:rPr>
          <w:rStyle w:val="st"/>
          <w:kern w:val="22"/>
          <w:szCs w:val="22"/>
          <w:lang w:val="fr-CA" w:bidi="fr-FR"/>
        </w:rPr>
        <w:t>O</w:t>
      </w:r>
      <w:r w:rsidRPr="00860D94">
        <w:rPr>
          <w:rStyle w:val="st"/>
          <w:kern w:val="22"/>
          <w:szCs w:val="22"/>
          <w:lang w:val="fr-CA" w:bidi="fr-FR"/>
        </w:rPr>
        <w:t xml:space="preserve">rgane subsidiaire </w:t>
      </w:r>
      <w:r>
        <w:rPr>
          <w:kern w:val="22"/>
          <w:szCs w:val="22"/>
          <w:lang w:val="fr-CA" w:bidi="fr-FR"/>
        </w:rPr>
        <w:t>d’élaborer</w:t>
      </w:r>
      <w:r w:rsidRPr="00860D94">
        <w:rPr>
          <w:kern w:val="22"/>
          <w:szCs w:val="22"/>
          <w:lang w:val="fr-CA" w:bidi="fr-FR"/>
        </w:rPr>
        <w:t xml:space="preserve"> une recommandation</w:t>
      </w:r>
      <w:r>
        <w:rPr>
          <w:kern w:val="22"/>
          <w:szCs w:val="22"/>
          <w:lang w:val="fr-CA" w:bidi="fr-FR"/>
        </w:rPr>
        <w:t>,</w:t>
      </w:r>
      <w:r w:rsidRPr="00860D94">
        <w:rPr>
          <w:kern w:val="22"/>
          <w:szCs w:val="22"/>
          <w:lang w:val="fr-CA" w:bidi="fr-FR"/>
        </w:rPr>
        <w:t xml:space="preserve"> aux fins d</w:t>
      </w:r>
      <w:r>
        <w:rPr>
          <w:kern w:val="22"/>
          <w:szCs w:val="22"/>
          <w:lang w:val="fr-CA" w:bidi="fr-FR"/>
        </w:rPr>
        <w:t>’</w:t>
      </w:r>
      <w:r w:rsidRPr="00860D94">
        <w:rPr>
          <w:kern w:val="22"/>
          <w:szCs w:val="22"/>
          <w:lang w:val="fr-CA" w:bidi="fr-FR"/>
        </w:rPr>
        <w:t xml:space="preserve">examen par la Conférence des Parties siégeant en tant que réunion des Parties au Protocole de Cartagena </w:t>
      </w:r>
      <w:r>
        <w:rPr>
          <w:kern w:val="22"/>
          <w:szCs w:val="22"/>
          <w:lang w:val="fr-CA" w:bidi="fr-FR"/>
        </w:rPr>
        <w:t xml:space="preserve">sur la prévention des risques biotechnologiques </w:t>
      </w:r>
      <w:r w:rsidRPr="00860D94">
        <w:rPr>
          <w:kern w:val="22"/>
          <w:szCs w:val="22"/>
          <w:lang w:val="fr-CA" w:bidi="fr-FR"/>
        </w:rPr>
        <w:t>à sa dixième réunion</w:t>
      </w:r>
      <w:r>
        <w:rPr>
          <w:kern w:val="22"/>
          <w:szCs w:val="22"/>
          <w:lang w:val="fr-CA" w:bidi="fr-FR"/>
        </w:rPr>
        <w:t>.</w:t>
      </w:r>
    </w:p>
    <w:p w:rsidR="009F6935" w:rsidRDefault="009F6935">
      <w:pPr>
        <w:jc w:val="left"/>
        <w:rPr>
          <w:lang w:val="fr-CA"/>
        </w:rPr>
      </w:pPr>
      <w:r>
        <w:rPr>
          <w:lang w:val="fr-CA"/>
        </w:rPr>
        <w:br w:type="page"/>
      </w:r>
    </w:p>
    <w:p w:rsidR="009F6935" w:rsidRPr="00090E10" w:rsidRDefault="009F6935" w:rsidP="00090E10">
      <w:pPr>
        <w:pStyle w:val="Heading2"/>
        <w:spacing w:after="240"/>
        <w:rPr>
          <w:rFonts w:asciiTheme="majorBidi" w:hAnsiTheme="majorBidi" w:cstheme="majorBidi"/>
          <w:caps/>
          <w:szCs w:val="22"/>
          <w:lang w:val="fr-CA"/>
        </w:rPr>
      </w:pPr>
      <w:bookmarkStart w:id="11" w:name="_Toc525904150"/>
      <w:bookmarkStart w:id="12" w:name="_Toc525904553"/>
      <w:r w:rsidRPr="00090E10">
        <w:rPr>
          <w:rFonts w:asciiTheme="majorBidi" w:hAnsiTheme="majorBidi" w:cstheme="majorBidi"/>
          <w:snapToGrid w:val="0"/>
          <w:kern w:val="22"/>
          <w:szCs w:val="22"/>
          <w:lang w:val="fr-FR"/>
        </w:rPr>
        <w:lastRenderedPageBreak/>
        <w:t>22/3.</w:t>
      </w:r>
      <w:r w:rsidRPr="00090E10">
        <w:rPr>
          <w:rFonts w:asciiTheme="majorBidi" w:hAnsiTheme="majorBidi" w:cstheme="majorBidi"/>
          <w:snapToGrid w:val="0"/>
          <w:kern w:val="22"/>
          <w:szCs w:val="22"/>
          <w:lang w:val="fr-FR"/>
        </w:rPr>
        <w:tab/>
        <w:t>B</w:t>
      </w:r>
      <w:r w:rsidRPr="00090E10">
        <w:rPr>
          <w:rFonts w:asciiTheme="majorBidi" w:hAnsiTheme="majorBidi" w:cstheme="majorBidi"/>
          <w:snapToGrid w:val="0"/>
          <w:kern w:val="22"/>
          <w:szCs w:val="22"/>
          <w:lang w:val="fr-CA"/>
        </w:rPr>
        <w:t>iologie de synthèse</w:t>
      </w:r>
      <w:bookmarkEnd w:id="11"/>
      <w:bookmarkEnd w:id="12"/>
    </w:p>
    <w:p w:rsidR="009F6935" w:rsidRPr="00934C05" w:rsidRDefault="009F6935" w:rsidP="009F6935">
      <w:pPr>
        <w:pStyle w:val="Para1"/>
        <w:numPr>
          <w:ilvl w:val="0"/>
          <w:numId w:val="0"/>
        </w:numPr>
        <w:suppressLineNumbers/>
        <w:suppressAutoHyphens/>
        <w:kinsoku w:val="0"/>
        <w:overflowPunct w:val="0"/>
        <w:autoSpaceDE w:val="0"/>
        <w:autoSpaceDN w:val="0"/>
        <w:snapToGrid w:val="0"/>
        <w:ind w:firstLine="720"/>
        <w:rPr>
          <w:kern w:val="22"/>
          <w:szCs w:val="22"/>
          <w:lang w:val="fr-CA" w:bidi="fr-FR"/>
        </w:rPr>
      </w:pPr>
      <w:r>
        <w:rPr>
          <w:kern w:val="22"/>
          <w:szCs w:val="22"/>
          <w:lang w:val="fr-CA" w:bidi="fr-FR"/>
        </w:rPr>
        <w:t>L’Organe subsidiaire chargé de fournir des avis scientifique</w:t>
      </w:r>
      <w:r w:rsidR="00EA2E10">
        <w:rPr>
          <w:kern w:val="22"/>
          <w:szCs w:val="22"/>
          <w:lang w:val="fr-CA" w:bidi="fr-FR"/>
        </w:rPr>
        <w:t xml:space="preserve">s, techniques et technologiques </w:t>
      </w:r>
      <w:r>
        <w:rPr>
          <w:kern w:val="22"/>
          <w:szCs w:val="22"/>
          <w:lang w:val="fr-CA" w:bidi="fr-FR"/>
        </w:rPr>
        <w:t>recommande que la Conférence des Parties siégeant en tant que réunion des Parties au Protocole de Cartagena adopte une décision libellée comme suit :</w:t>
      </w:r>
    </w:p>
    <w:p w:rsidR="009F6935" w:rsidRPr="002124C3" w:rsidRDefault="009F6935" w:rsidP="009F6935">
      <w:pPr>
        <w:suppressLineNumbers/>
        <w:suppressAutoHyphens/>
        <w:kinsoku w:val="0"/>
        <w:overflowPunct w:val="0"/>
        <w:autoSpaceDE w:val="0"/>
        <w:autoSpaceDN w:val="0"/>
        <w:snapToGrid w:val="0"/>
        <w:spacing w:before="120" w:after="120"/>
        <w:ind w:firstLine="720"/>
        <w:rPr>
          <w:i/>
          <w:snapToGrid w:val="0"/>
          <w:color w:val="000000"/>
          <w:kern w:val="22"/>
          <w:szCs w:val="22"/>
          <w:lang w:val="fr-CA"/>
        </w:rPr>
      </w:pPr>
      <w:r w:rsidRPr="001219ED">
        <w:rPr>
          <w:i/>
          <w:snapToGrid w:val="0"/>
          <w:kern w:val="22"/>
          <w:szCs w:val="22"/>
          <w:lang w:val="fr-CA"/>
        </w:rPr>
        <w:t>La Conférence des Parties</w:t>
      </w:r>
      <w:r>
        <w:rPr>
          <w:i/>
          <w:snapToGrid w:val="0"/>
          <w:kern w:val="22"/>
          <w:szCs w:val="22"/>
          <w:lang w:val="fr-CA"/>
        </w:rPr>
        <w:t xml:space="preserve"> siégeant en tant que réunion des Parties au Protocole de Cartagena sur la prévention des risques biotechnologiques</w:t>
      </w:r>
      <w:r w:rsidRPr="002124C3">
        <w:rPr>
          <w:iCs/>
          <w:snapToGrid w:val="0"/>
          <w:color w:val="000000"/>
          <w:kern w:val="22"/>
          <w:szCs w:val="22"/>
          <w:lang w:val="fr-CA"/>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i/>
          <w:snapToGrid w:val="0"/>
          <w:color w:val="000000"/>
          <w:kern w:val="22"/>
          <w:szCs w:val="22"/>
          <w:lang w:val="fr-CA"/>
        </w:rPr>
      </w:pPr>
      <w:r w:rsidRPr="001219ED">
        <w:rPr>
          <w:i/>
          <w:snapToGrid w:val="0"/>
          <w:color w:val="000000"/>
          <w:kern w:val="22"/>
          <w:szCs w:val="22"/>
          <w:lang w:val="fr-CA"/>
        </w:rPr>
        <w:t xml:space="preserve">Rappelant </w:t>
      </w:r>
      <w:r w:rsidRPr="001219ED">
        <w:rPr>
          <w:snapToGrid w:val="0"/>
          <w:color w:val="000000"/>
          <w:kern w:val="22"/>
          <w:szCs w:val="22"/>
          <w:lang w:val="fr-CA"/>
        </w:rPr>
        <w:t>les décisions</w:t>
      </w:r>
      <w:r>
        <w:rPr>
          <w:i/>
          <w:snapToGrid w:val="0"/>
          <w:color w:val="000000"/>
          <w:kern w:val="22"/>
          <w:szCs w:val="22"/>
          <w:lang w:val="fr-CA"/>
        </w:rPr>
        <w:t> </w:t>
      </w:r>
      <w:r w:rsidRPr="001219ED">
        <w:rPr>
          <w:iCs/>
          <w:snapToGrid w:val="0"/>
          <w:kern w:val="22"/>
          <w:szCs w:val="22"/>
          <w:lang w:val="fr-CA"/>
        </w:rPr>
        <w:t>XII/24</w:t>
      </w:r>
      <w:r>
        <w:rPr>
          <w:iCs/>
          <w:snapToGrid w:val="0"/>
          <w:kern w:val="22"/>
          <w:szCs w:val="22"/>
          <w:lang w:val="fr-CA"/>
        </w:rPr>
        <w:t xml:space="preserve"> et </w:t>
      </w:r>
      <w:r w:rsidRPr="001219ED">
        <w:rPr>
          <w:iCs/>
          <w:snapToGrid w:val="0"/>
          <w:kern w:val="22"/>
          <w:szCs w:val="22"/>
          <w:lang w:val="fr-CA"/>
        </w:rPr>
        <w:t>XIII/17</w:t>
      </w:r>
      <w:r>
        <w:rPr>
          <w:iCs/>
          <w:snapToGrid w:val="0"/>
          <w:kern w:val="22"/>
          <w:szCs w:val="22"/>
          <w:lang w:val="fr-CA"/>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sidRPr="002124C3">
        <w:rPr>
          <w:snapToGrid w:val="0"/>
          <w:kern w:val="22"/>
          <w:szCs w:val="22"/>
          <w:lang w:val="fr-CA"/>
        </w:rPr>
        <w:t>1.</w:t>
      </w:r>
      <w:r w:rsidRPr="002124C3">
        <w:rPr>
          <w:snapToGrid w:val="0"/>
          <w:kern w:val="22"/>
          <w:szCs w:val="22"/>
          <w:lang w:val="fr-CA"/>
        </w:rPr>
        <w:tab/>
      </w:r>
      <w:r>
        <w:rPr>
          <w:i/>
          <w:snapToGrid w:val="0"/>
          <w:color w:val="000000"/>
          <w:kern w:val="22"/>
          <w:szCs w:val="22"/>
          <w:lang w:val="fr-CA"/>
        </w:rPr>
        <w:t>Se félicite</w:t>
      </w:r>
      <w:r>
        <w:rPr>
          <w:iCs/>
          <w:snapToGrid w:val="0"/>
          <w:color w:val="000000"/>
          <w:kern w:val="22"/>
          <w:szCs w:val="22"/>
          <w:lang w:val="fr-CA"/>
        </w:rPr>
        <w:t xml:space="preserve"> </w:t>
      </w:r>
      <w:r w:rsidRPr="001219ED">
        <w:rPr>
          <w:snapToGrid w:val="0"/>
          <w:color w:val="000000"/>
          <w:kern w:val="22"/>
          <w:szCs w:val="22"/>
          <w:lang w:val="fr-CA"/>
        </w:rPr>
        <w:t xml:space="preserve">des résultats de la </w:t>
      </w:r>
      <w:r w:rsidRPr="001219ED">
        <w:rPr>
          <w:snapToGrid w:val="0"/>
          <w:kern w:val="22"/>
          <w:szCs w:val="22"/>
          <w:lang w:val="fr-CA"/>
        </w:rPr>
        <w:t xml:space="preserve">réunion du Groupe spécial d’experts techniques sur la biologie de synthèse, tenue à Montréal (Canada), </w:t>
      </w:r>
      <w:r>
        <w:rPr>
          <w:snapToGrid w:val="0"/>
          <w:kern w:val="22"/>
          <w:szCs w:val="22"/>
          <w:lang w:val="fr-CA"/>
        </w:rPr>
        <w:t>du 5 au 8 </w:t>
      </w:r>
      <w:r w:rsidRPr="001219ED">
        <w:rPr>
          <w:snapToGrid w:val="0"/>
          <w:kern w:val="22"/>
          <w:szCs w:val="22"/>
          <w:lang w:val="fr-CA"/>
        </w:rPr>
        <w:t>décembre</w:t>
      </w:r>
      <w:r>
        <w:rPr>
          <w:snapToGrid w:val="0"/>
          <w:kern w:val="22"/>
          <w:szCs w:val="22"/>
          <w:lang w:val="fr-CA"/>
        </w:rPr>
        <w:t> </w:t>
      </w:r>
      <w:r w:rsidRPr="001219ED">
        <w:rPr>
          <w:snapToGrid w:val="0"/>
          <w:kern w:val="22"/>
          <w:szCs w:val="22"/>
          <w:lang w:val="fr-CA"/>
        </w:rPr>
        <w:t>2017</w:t>
      </w:r>
      <w:r w:rsidRPr="00EA2E10">
        <w:rPr>
          <w:rStyle w:val="FootnoteReference"/>
          <w:rFonts w:eastAsiaTheme="majorEastAsia"/>
          <w:snapToGrid w:val="0"/>
          <w:kern w:val="22"/>
          <w:sz w:val="20"/>
          <w:szCs w:val="20"/>
          <w:u w:val="none"/>
          <w:vertAlign w:val="superscript"/>
          <w:lang w:val="fr-CA"/>
        </w:rPr>
        <w:footnoteReference w:id="9"/>
      </w:r>
      <w:r>
        <w:rPr>
          <w:snapToGrid w:val="0"/>
          <w:kern w:val="22"/>
          <w:szCs w:val="22"/>
          <w:lang w:val="fr-CA"/>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sidRPr="002124C3">
        <w:rPr>
          <w:snapToGrid w:val="0"/>
          <w:color w:val="000000"/>
          <w:kern w:val="22"/>
          <w:szCs w:val="22"/>
          <w:lang w:val="fr-CA"/>
        </w:rPr>
        <w:t>2.</w:t>
      </w:r>
      <w:r w:rsidRPr="002124C3">
        <w:rPr>
          <w:snapToGrid w:val="0"/>
          <w:color w:val="000000"/>
          <w:kern w:val="22"/>
          <w:szCs w:val="22"/>
          <w:lang w:val="fr-CA"/>
        </w:rPr>
        <w:tab/>
      </w:r>
      <w:r>
        <w:rPr>
          <w:i/>
          <w:iCs/>
          <w:snapToGrid w:val="0"/>
          <w:color w:val="000000"/>
          <w:kern w:val="22"/>
          <w:szCs w:val="22"/>
          <w:lang w:val="fr-CA"/>
        </w:rPr>
        <w:t xml:space="preserve">Reconnaît </w:t>
      </w:r>
      <w:r w:rsidRPr="001219ED">
        <w:rPr>
          <w:snapToGrid w:val="0"/>
          <w:color w:val="000000"/>
          <w:kern w:val="22"/>
          <w:szCs w:val="22"/>
          <w:lang w:val="fr-CA"/>
        </w:rPr>
        <w:t xml:space="preserve">que la biologie de synthèse </w:t>
      </w:r>
      <w:r>
        <w:rPr>
          <w:snapToGrid w:val="0"/>
          <w:kern w:val="22"/>
          <w:szCs w:val="22"/>
          <w:lang w:val="fr-CA"/>
        </w:rPr>
        <w:t>est une que</w:t>
      </w:r>
      <w:r w:rsidRPr="001219ED">
        <w:rPr>
          <w:snapToGrid w:val="0"/>
          <w:kern w:val="22"/>
          <w:szCs w:val="22"/>
          <w:lang w:val="fr-CA"/>
        </w:rPr>
        <w:t>stion pluridisciplinaire</w:t>
      </w:r>
      <w:r>
        <w:rPr>
          <w:snapToGrid w:val="0"/>
          <w:kern w:val="22"/>
          <w:szCs w:val="22"/>
          <w:lang w:val="fr-CA"/>
        </w:rPr>
        <w:t xml:space="preserve"> qui évolue rapidement, avec des </w:t>
      </w:r>
      <w:r w:rsidRPr="001219ED">
        <w:rPr>
          <w:snapToGrid w:val="0"/>
          <w:color w:val="000000"/>
          <w:kern w:val="22"/>
          <w:szCs w:val="22"/>
          <w:lang w:val="fr-CA"/>
        </w:rPr>
        <w:t xml:space="preserve">avantages potentiels et </w:t>
      </w:r>
      <w:r>
        <w:rPr>
          <w:snapToGrid w:val="0"/>
          <w:color w:val="000000"/>
          <w:kern w:val="22"/>
          <w:szCs w:val="22"/>
          <w:lang w:val="fr-CA"/>
        </w:rPr>
        <w:t>des effets défavorabl</w:t>
      </w:r>
      <w:r w:rsidRPr="001219ED">
        <w:rPr>
          <w:snapToGrid w:val="0"/>
          <w:color w:val="000000"/>
          <w:kern w:val="22"/>
          <w:szCs w:val="22"/>
          <w:lang w:val="fr-CA"/>
        </w:rPr>
        <w:t xml:space="preserve">es </w:t>
      </w:r>
      <w:r>
        <w:rPr>
          <w:snapToGrid w:val="0"/>
          <w:color w:val="000000"/>
          <w:kern w:val="22"/>
          <w:szCs w:val="22"/>
          <w:lang w:val="fr-CA"/>
        </w:rPr>
        <w:t xml:space="preserve">potentiels </w:t>
      </w:r>
      <w:r w:rsidRPr="001219ED">
        <w:rPr>
          <w:snapToGrid w:val="0"/>
          <w:color w:val="000000"/>
          <w:kern w:val="22"/>
          <w:szCs w:val="22"/>
          <w:lang w:val="fr-CA"/>
        </w:rPr>
        <w:t>au regard des trois objectifs de la Convention</w:t>
      </w:r>
      <w:r>
        <w:rPr>
          <w:snapToGrid w:val="0"/>
          <w:color w:val="000000"/>
          <w:kern w:val="22"/>
          <w:szCs w:val="22"/>
          <w:lang w:val="fr-CA"/>
        </w:rPr>
        <w:t xml:space="preserve"> sur la diversité biologique;</w:t>
      </w:r>
    </w:p>
    <w:p w:rsidR="009F6935"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sidRPr="002124C3">
        <w:rPr>
          <w:snapToGrid w:val="0"/>
          <w:kern w:val="22"/>
          <w:szCs w:val="22"/>
          <w:lang w:val="fr-CA"/>
        </w:rPr>
        <w:t>3.</w:t>
      </w:r>
      <w:r w:rsidRPr="002124C3">
        <w:rPr>
          <w:snapToGrid w:val="0"/>
          <w:kern w:val="22"/>
          <w:szCs w:val="22"/>
          <w:lang w:val="fr-CA"/>
        </w:rPr>
        <w:tab/>
      </w:r>
      <w:r w:rsidRPr="00E62F6C">
        <w:rPr>
          <w:i/>
          <w:iCs/>
          <w:snapToGrid w:val="0"/>
          <w:kern w:val="22"/>
          <w:szCs w:val="22"/>
          <w:lang w:val="fr-CA"/>
        </w:rPr>
        <w:t>Convient</w:t>
      </w:r>
      <w:r>
        <w:rPr>
          <w:snapToGrid w:val="0"/>
          <w:kern w:val="22"/>
          <w:szCs w:val="22"/>
          <w:lang w:val="fr-CA"/>
        </w:rPr>
        <w:t xml:space="preserve"> </w:t>
      </w:r>
      <w:r w:rsidRPr="001219ED">
        <w:rPr>
          <w:snapToGrid w:val="0"/>
          <w:color w:val="000000"/>
          <w:kern w:val="22"/>
          <w:szCs w:val="22"/>
          <w:lang w:val="fr-CA"/>
        </w:rPr>
        <w:t>qu’une analyse prospective, un suivi et une éva</w:t>
      </w:r>
      <w:r>
        <w:rPr>
          <w:snapToGrid w:val="0"/>
          <w:color w:val="000000"/>
          <w:kern w:val="22"/>
          <w:szCs w:val="22"/>
          <w:lang w:val="fr-CA"/>
        </w:rPr>
        <w:t xml:space="preserve">luation </w:t>
      </w:r>
      <w:r w:rsidRPr="001219ED">
        <w:rPr>
          <w:snapToGrid w:val="0"/>
          <w:color w:val="000000"/>
          <w:kern w:val="22"/>
          <w:szCs w:val="22"/>
          <w:lang w:val="fr-CA"/>
        </w:rPr>
        <w:t>des avancées dans le domaine de la biologie de synthèse</w:t>
      </w:r>
      <w:r w:rsidR="00EA2E10">
        <w:rPr>
          <w:snapToGrid w:val="0"/>
          <w:color w:val="000000"/>
          <w:kern w:val="22"/>
          <w:szCs w:val="22"/>
          <w:lang w:val="fr-CA"/>
        </w:rPr>
        <w:t xml:space="preserve"> </w:t>
      </w:r>
      <w:r>
        <w:rPr>
          <w:snapToGrid w:val="0"/>
          <w:color w:val="000000"/>
          <w:kern w:val="22"/>
          <w:szCs w:val="22"/>
          <w:lang w:val="fr-CA"/>
        </w:rPr>
        <w:t>[, y compris celles découlant de l’édition du génome,] sont nécessaires afin d’examin</w:t>
      </w:r>
      <w:r w:rsidRPr="001219ED">
        <w:rPr>
          <w:snapToGrid w:val="0"/>
          <w:color w:val="000000"/>
          <w:kern w:val="22"/>
          <w:szCs w:val="22"/>
          <w:lang w:val="fr-CA"/>
        </w:rPr>
        <w:t>er les n</w:t>
      </w:r>
      <w:r>
        <w:rPr>
          <w:snapToGrid w:val="0"/>
          <w:color w:val="000000"/>
          <w:kern w:val="22"/>
          <w:szCs w:val="22"/>
          <w:lang w:val="fr-CA"/>
        </w:rPr>
        <w:t>ouvelles informations concernant les impacts positifs et négatif</w:t>
      </w:r>
      <w:r w:rsidRPr="001219ED">
        <w:rPr>
          <w:snapToGrid w:val="0"/>
          <w:color w:val="000000"/>
          <w:kern w:val="22"/>
          <w:szCs w:val="22"/>
          <w:lang w:val="fr-CA"/>
        </w:rPr>
        <w:t>s de la biologie de synthèse au regard des trois objectifs de la Convention et des objectifs de ses Protocoles</w:t>
      </w:r>
      <w:r>
        <w:rPr>
          <w:snapToGrid w:val="0"/>
          <w:color w:val="000000"/>
          <w:kern w:val="22"/>
          <w:szCs w:val="22"/>
          <w:lang w:val="fr-CA"/>
        </w:rPr>
        <w:t>;</w:t>
      </w:r>
    </w:p>
    <w:p w:rsidR="009F6935"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color w:val="000000"/>
          <w:kern w:val="22"/>
          <w:szCs w:val="22"/>
          <w:lang w:val="fr-CA"/>
        </w:rPr>
        <w:t>[</w:t>
      </w:r>
      <w:r w:rsidRPr="00AE763B">
        <w:rPr>
          <w:snapToGrid w:val="0"/>
          <w:color w:val="000000"/>
          <w:kern w:val="22"/>
          <w:szCs w:val="22"/>
          <w:lang w:val="fr-CA"/>
        </w:rPr>
        <w:t>4.</w:t>
      </w:r>
      <w:r w:rsidRPr="00AE763B">
        <w:rPr>
          <w:snapToGrid w:val="0"/>
          <w:color w:val="000000"/>
          <w:kern w:val="22"/>
          <w:szCs w:val="22"/>
          <w:lang w:val="fr-CA"/>
        </w:rPr>
        <w:tab/>
      </w:r>
      <w:r w:rsidRPr="00AE763B">
        <w:rPr>
          <w:i/>
          <w:snapToGrid w:val="0"/>
          <w:kern w:val="22"/>
          <w:szCs w:val="22"/>
          <w:lang w:val="fr-CA"/>
        </w:rPr>
        <w:t xml:space="preserve">Décide </w:t>
      </w:r>
      <w:r>
        <w:rPr>
          <w:snapToGrid w:val="0"/>
          <w:kern w:val="22"/>
          <w:szCs w:val="22"/>
          <w:lang w:val="fr-CA"/>
        </w:rPr>
        <w:t>de mettre en place un processus et des mo</w:t>
      </w:r>
      <w:r w:rsidRPr="00AE763B">
        <w:rPr>
          <w:snapToGrid w:val="0"/>
          <w:kern w:val="22"/>
          <w:szCs w:val="22"/>
          <w:lang w:val="fr-CA"/>
        </w:rPr>
        <w:t>dalités</w:t>
      </w:r>
      <w:r>
        <w:rPr>
          <w:snapToGrid w:val="0"/>
          <w:kern w:val="22"/>
          <w:szCs w:val="22"/>
          <w:lang w:val="fr-CA"/>
        </w:rPr>
        <w:t xml:space="preserve"> pour une étude prospective</w:t>
      </w:r>
      <w:r w:rsidRPr="00AE763B">
        <w:rPr>
          <w:snapToGrid w:val="0"/>
          <w:kern w:val="22"/>
          <w:szCs w:val="22"/>
          <w:lang w:val="fr-CA"/>
        </w:rPr>
        <w:t>, un suivi et une évaluation périod</w:t>
      </w:r>
      <w:r>
        <w:rPr>
          <w:snapToGrid w:val="0"/>
          <w:kern w:val="22"/>
          <w:szCs w:val="22"/>
          <w:lang w:val="fr-CA"/>
        </w:rPr>
        <w:t>iques des nouvelles avancées</w:t>
      </w:r>
      <w:r w:rsidRPr="00AE763B">
        <w:rPr>
          <w:snapToGrid w:val="0"/>
          <w:kern w:val="22"/>
          <w:szCs w:val="22"/>
          <w:lang w:val="fr-CA"/>
        </w:rPr>
        <w:t xml:space="preserve"> dans le domaine de la</w:t>
      </w:r>
      <w:r>
        <w:rPr>
          <w:snapToGrid w:val="0"/>
          <w:kern w:val="22"/>
          <w:szCs w:val="22"/>
          <w:lang w:val="fr-CA"/>
        </w:rPr>
        <w:t xml:space="preserve"> biologie de synthèse</w:t>
      </w:r>
      <w:r w:rsidRPr="00AE763B">
        <w:rPr>
          <w:snapToGrid w:val="0"/>
          <w:kern w:val="22"/>
          <w:szCs w:val="22"/>
          <w:lang w:val="fr-CA"/>
        </w:rPr>
        <w:t>,</w:t>
      </w:r>
      <w:r>
        <w:rPr>
          <w:snapToGrid w:val="0"/>
          <w:kern w:val="22"/>
          <w:szCs w:val="22"/>
          <w:lang w:val="fr-CA"/>
        </w:rPr>
        <w:t xml:space="preserve"> et</w:t>
      </w:r>
      <w:r w:rsidRPr="00AE763B">
        <w:rPr>
          <w:snapToGrid w:val="0"/>
          <w:kern w:val="22"/>
          <w:szCs w:val="22"/>
          <w:lang w:val="fr-CA"/>
        </w:rPr>
        <w:t xml:space="preserve"> </w:t>
      </w:r>
      <w:r>
        <w:rPr>
          <w:i/>
          <w:iCs/>
          <w:snapToGrid w:val="0"/>
          <w:kern w:val="22"/>
          <w:szCs w:val="22"/>
          <w:lang w:val="fr-CA"/>
        </w:rPr>
        <w:t>décide également</w:t>
      </w:r>
      <w:r>
        <w:rPr>
          <w:snapToGrid w:val="0"/>
          <w:kern w:val="22"/>
          <w:szCs w:val="22"/>
          <w:lang w:val="fr-CA"/>
        </w:rPr>
        <w:t xml:space="preserve"> de créer un méc</w:t>
      </w:r>
      <w:r w:rsidRPr="00AE763B">
        <w:rPr>
          <w:snapToGrid w:val="0"/>
          <w:kern w:val="22"/>
          <w:szCs w:val="22"/>
          <w:lang w:val="fr-CA"/>
        </w:rPr>
        <w:t>anism</w:t>
      </w:r>
      <w:r>
        <w:rPr>
          <w:snapToGrid w:val="0"/>
          <w:kern w:val="22"/>
          <w:szCs w:val="22"/>
          <w:lang w:val="fr-CA"/>
        </w:rPr>
        <w:t>e pour communiquer périodiquement les résultats à l’Organe subsidiaire chargé de fournir des avis scientifiques, techniques et technologiques, à la Conférence des Parties et à la Conférence des Parties siégeant en tant que réunion des Parties au Protocole de Cartagena sur la prévention des risques biotechnologiques;]</w:t>
      </w:r>
    </w:p>
    <w:p w:rsidR="009F6935" w:rsidRPr="003D4AA1"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sidRPr="003D4AA1">
        <w:rPr>
          <w:snapToGrid w:val="0"/>
          <w:kern w:val="22"/>
          <w:szCs w:val="22"/>
          <w:lang w:val="fr-CA"/>
        </w:rPr>
        <w:t>5.</w:t>
      </w:r>
      <w:r w:rsidRPr="003D4AA1">
        <w:rPr>
          <w:snapToGrid w:val="0"/>
          <w:kern w:val="22"/>
          <w:szCs w:val="22"/>
          <w:lang w:val="fr-CA"/>
        </w:rPr>
        <w:tab/>
      </w:r>
      <w:r w:rsidRPr="003D4AA1">
        <w:rPr>
          <w:i/>
          <w:snapToGrid w:val="0"/>
          <w:color w:val="000000"/>
          <w:kern w:val="22"/>
          <w:szCs w:val="22"/>
          <w:lang w:val="fr-CA" w:eastAsia="x-none"/>
        </w:rPr>
        <w:t>Reconnaît</w:t>
      </w:r>
      <w:r w:rsidRPr="003D4AA1">
        <w:rPr>
          <w:snapToGrid w:val="0"/>
          <w:color w:val="000000"/>
          <w:kern w:val="22"/>
          <w:szCs w:val="22"/>
          <w:lang w:val="fr-CA" w:eastAsia="x-none"/>
        </w:rPr>
        <w:t xml:space="preserve"> la nécessité d’</w:t>
      </w:r>
      <w:r>
        <w:rPr>
          <w:snapToGrid w:val="0"/>
          <w:color w:val="000000"/>
          <w:kern w:val="22"/>
          <w:szCs w:val="22"/>
          <w:lang w:val="fr-CA" w:eastAsia="x-none"/>
        </w:rPr>
        <w:t>effectuer</w:t>
      </w:r>
      <w:r w:rsidRPr="003D4AA1">
        <w:rPr>
          <w:snapToGrid w:val="0"/>
          <w:color w:val="000000"/>
          <w:kern w:val="22"/>
          <w:szCs w:val="22"/>
          <w:lang w:val="fr-CA" w:eastAsia="x-none"/>
        </w:rPr>
        <w:t xml:space="preserve"> une </w:t>
      </w:r>
      <w:r w:rsidRPr="003D4AA1">
        <w:rPr>
          <w:snapToGrid w:val="0"/>
          <w:kern w:val="22"/>
          <w:szCs w:val="22"/>
          <w:lang w:val="fr-CA"/>
        </w:rPr>
        <w:t>analyse de la bio</w:t>
      </w:r>
      <w:r>
        <w:rPr>
          <w:snapToGrid w:val="0"/>
          <w:kern w:val="22"/>
          <w:szCs w:val="22"/>
          <w:lang w:val="fr-CA"/>
        </w:rPr>
        <w:t>logie de synthèse au regard des critères énoncés au paragraphe 12 de la dé</w:t>
      </w:r>
      <w:r w:rsidRPr="003D4AA1">
        <w:rPr>
          <w:snapToGrid w:val="0"/>
          <w:kern w:val="22"/>
          <w:szCs w:val="22"/>
          <w:lang w:val="fr-CA"/>
        </w:rPr>
        <w:t>cision</w:t>
      </w:r>
      <w:r>
        <w:rPr>
          <w:snapToGrid w:val="0"/>
          <w:kern w:val="22"/>
          <w:szCs w:val="22"/>
          <w:lang w:val="fr-CA"/>
        </w:rPr>
        <w:t> IX/29</w:t>
      </w:r>
      <w:r w:rsidRPr="003D4AA1">
        <w:rPr>
          <w:snapToGrid w:val="0"/>
          <w:kern w:val="22"/>
          <w:szCs w:val="22"/>
          <w:lang w:val="fr-CA"/>
        </w:rPr>
        <w:t>,</w:t>
      </w:r>
      <w:r>
        <w:rPr>
          <w:snapToGrid w:val="0"/>
          <w:kern w:val="22"/>
          <w:szCs w:val="22"/>
          <w:lang w:val="fr-CA"/>
        </w:rPr>
        <w:t xml:space="preserve"> afin de parachever l’analyse demandée au paragraphe 2 de la dé</w:t>
      </w:r>
      <w:r w:rsidRPr="003D4AA1">
        <w:rPr>
          <w:snapToGrid w:val="0"/>
          <w:kern w:val="22"/>
          <w:szCs w:val="22"/>
          <w:lang w:val="fr-CA"/>
        </w:rPr>
        <w:t>cision</w:t>
      </w:r>
      <w:r>
        <w:rPr>
          <w:snapToGrid w:val="0"/>
          <w:kern w:val="22"/>
          <w:szCs w:val="22"/>
          <w:lang w:val="fr-CA"/>
        </w:rPr>
        <w:t> XII/24 et au paragraphe 13 de la décision XIII/17</w:t>
      </w:r>
      <w:r w:rsidRPr="003D4AA1">
        <w:rPr>
          <w:snapToGrid w:val="0"/>
          <w:kern w:val="22"/>
          <w:szCs w:val="22"/>
          <w:lang w:val="fr-CA"/>
        </w:rPr>
        <w:t>;</w:t>
      </w:r>
    </w:p>
    <w:p w:rsidR="009F6935"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kern w:val="22"/>
          <w:szCs w:val="22"/>
          <w:lang w:val="fr-CA"/>
        </w:rPr>
        <w:t>6</w:t>
      </w:r>
      <w:r w:rsidRPr="002124C3">
        <w:rPr>
          <w:snapToGrid w:val="0"/>
          <w:kern w:val="22"/>
          <w:szCs w:val="22"/>
          <w:lang w:val="fr-CA"/>
        </w:rPr>
        <w:t>.</w:t>
      </w:r>
      <w:r w:rsidRPr="002124C3">
        <w:rPr>
          <w:snapToGrid w:val="0"/>
          <w:kern w:val="22"/>
          <w:szCs w:val="22"/>
          <w:lang w:val="fr-CA"/>
        </w:rPr>
        <w:tab/>
      </w:r>
      <w:r w:rsidRPr="001219ED">
        <w:rPr>
          <w:i/>
          <w:snapToGrid w:val="0"/>
          <w:color w:val="000000"/>
          <w:kern w:val="22"/>
          <w:szCs w:val="22"/>
          <w:lang w:val="fr-CA"/>
        </w:rPr>
        <w:t>Reconnaît</w:t>
      </w:r>
      <w:r>
        <w:rPr>
          <w:i/>
          <w:snapToGrid w:val="0"/>
          <w:color w:val="000000"/>
          <w:kern w:val="22"/>
          <w:szCs w:val="22"/>
          <w:lang w:val="fr-CA"/>
        </w:rPr>
        <w:t xml:space="preserve"> aussi</w:t>
      </w:r>
      <w:r w:rsidRPr="001219ED">
        <w:rPr>
          <w:snapToGrid w:val="0"/>
          <w:color w:val="000000"/>
          <w:kern w:val="22"/>
          <w:szCs w:val="22"/>
          <w:lang w:val="fr-CA"/>
        </w:rPr>
        <w:t xml:space="preserve"> que les</w:t>
      </w:r>
      <w:r>
        <w:rPr>
          <w:snapToGrid w:val="0"/>
          <w:kern w:val="22"/>
          <w:szCs w:val="22"/>
          <w:lang w:val="fr-CA"/>
        </w:rPr>
        <w:t xml:space="preserve"> avancées découlant</w:t>
      </w:r>
      <w:r w:rsidRPr="001219ED">
        <w:rPr>
          <w:snapToGrid w:val="0"/>
          <w:kern w:val="22"/>
          <w:szCs w:val="22"/>
          <w:lang w:val="fr-CA"/>
        </w:rPr>
        <w:t xml:space="preserve"> de la recherche et développement dans le domaine</w:t>
      </w:r>
      <w:r w:rsidRPr="001219ED">
        <w:rPr>
          <w:snapToGrid w:val="0"/>
          <w:color w:val="000000"/>
          <w:kern w:val="22"/>
          <w:szCs w:val="22"/>
          <w:lang w:val="fr-CA"/>
        </w:rPr>
        <w:t xml:space="preserve"> de la biol</w:t>
      </w:r>
      <w:r>
        <w:rPr>
          <w:snapToGrid w:val="0"/>
          <w:color w:val="000000"/>
          <w:kern w:val="22"/>
          <w:szCs w:val="22"/>
          <w:lang w:val="fr-CA"/>
        </w:rPr>
        <w:t xml:space="preserve">ogie de synthèse peuvent poser des difficultés dans </w:t>
      </w:r>
      <w:r w:rsidRPr="001219ED">
        <w:rPr>
          <w:snapToGrid w:val="0"/>
          <w:color w:val="000000"/>
          <w:kern w:val="22"/>
          <w:szCs w:val="22"/>
          <w:lang w:val="fr-CA"/>
        </w:rPr>
        <w:t xml:space="preserve">certains pays, </w:t>
      </w:r>
      <w:r>
        <w:rPr>
          <w:snapToGrid w:val="0"/>
          <w:color w:val="000000"/>
          <w:kern w:val="22"/>
          <w:szCs w:val="22"/>
          <w:lang w:val="fr-CA"/>
        </w:rPr>
        <w:t xml:space="preserve">notamment les pays en développement et </w:t>
      </w:r>
      <w:r w:rsidRPr="001219ED">
        <w:rPr>
          <w:snapToGrid w:val="0"/>
          <w:color w:val="000000"/>
          <w:kern w:val="22"/>
          <w:szCs w:val="22"/>
          <w:lang w:val="fr-CA"/>
        </w:rPr>
        <w:t>en particulier ceux qui manquent d’expérience</w:t>
      </w:r>
      <w:r>
        <w:rPr>
          <w:snapToGrid w:val="0"/>
          <w:color w:val="000000"/>
          <w:kern w:val="22"/>
          <w:szCs w:val="22"/>
          <w:lang w:val="fr-CA"/>
        </w:rPr>
        <w:t xml:space="preserve"> ou de ressources, en ce qui concerne leur capacité d’</w:t>
      </w:r>
      <w:r w:rsidRPr="001219ED">
        <w:rPr>
          <w:snapToGrid w:val="0"/>
          <w:color w:val="000000"/>
          <w:kern w:val="22"/>
          <w:szCs w:val="22"/>
          <w:lang w:val="fr-CA"/>
        </w:rPr>
        <w:t>évaluer toute la gamme des</w:t>
      </w:r>
      <w:r>
        <w:rPr>
          <w:snapToGrid w:val="0"/>
          <w:color w:val="000000"/>
          <w:kern w:val="22"/>
          <w:szCs w:val="22"/>
          <w:lang w:val="fr-CA"/>
        </w:rPr>
        <w:t xml:space="preserve"> applications et les</w:t>
      </w:r>
      <w:r w:rsidRPr="001219ED">
        <w:rPr>
          <w:snapToGrid w:val="0"/>
          <w:color w:val="000000"/>
          <w:kern w:val="22"/>
          <w:szCs w:val="22"/>
          <w:lang w:val="fr-CA"/>
        </w:rPr>
        <w:t xml:space="preserve"> effets potentiels de la biologie de synthèse</w:t>
      </w:r>
      <w:r>
        <w:rPr>
          <w:snapToGrid w:val="0"/>
          <w:color w:val="000000"/>
          <w:kern w:val="22"/>
          <w:szCs w:val="22"/>
          <w:lang w:val="fr-CA"/>
        </w:rPr>
        <w:t xml:space="preserve"> sur les trois objectifs de la Convention; </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color w:val="000000"/>
          <w:kern w:val="22"/>
          <w:szCs w:val="22"/>
          <w:lang w:val="fr-CA"/>
        </w:rPr>
        <w:t>7.</w:t>
      </w:r>
      <w:r>
        <w:rPr>
          <w:snapToGrid w:val="0"/>
          <w:color w:val="000000"/>
          <w:kern w:val="22"/>
          <w:szCs w:val="22"/>
          <w:lang w:val="fr-CA"/>
        </w:rPr>
        <w:tab/>
      </w:r>
      <w:r>
        <w:rPr>
          <w:i/>
          <w:iCs/>
          <w:snapToGrid w:val="0"/>
          <w:color w:val="000000"/>
          <w:kern w:val="22"/>
          <w:szCs w:val="22"/>
          <w:lang w:val="fr-CA"/>
        </w:rPr>
        <w:t>Reconnaît en outre</w:t>
      </w:r>
      <w:r>
        <w:rPr>
          <w:snapToGrid w:val="0"/>
          <w:color w:val="000000"/>
          <w:kern w:val="22"/>
          <w:szCs w:val="22"/>
          <w:lang w:val="fr-CA"/>
        </w:rPr>
        <w:t xml:space="preserve"> le rôle des informations et des ressources disponibles dans le Centre d’échange de la Convention et le Centre d'échange pour la prévention des risques biotechnologiques du Protocole de Cartagena, ainsi que des initiatives en matière de renforcement des capacités pour aider ces pays;</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kern w:val="22"/>
          <w:szCs w:val="22"/>
          <w:lang w:val="fr-CA"/>
        </w:rPr>
        <w:t>8</w:t>
      </w:r>
      <w:r w:rsidRPr="002124C3">
        <w:rPr>
          <w:snapToGrid w:val="0"/>
          <w:kern w:val="22"/>
          <w:szCs w:val="22"/>
          <w:lang w:val="fr-CA"/>
        </w:rPr>
        <w:t>.</w:t>
      </w:r>
      <w:r w:rsidRPr="002124C3">
        <w:rPr>
          <w:snapToGrid w:val="0"/>
          <w:kern w:val="22"/>
          <w:szCs w:val="22"/>
          <w:lang w:val="fr-CA"/>
        </w:rPr>
        <w:tab/>
      </w:r>
      <w:r>
        <w:rPr>
          <w:i/>
          <w:iCs/>
          <w:snapToGrid w:val="0"/>
          <w:kern w:val="22"/>
          <w:szCs w:val="22"/>
          <w:lang w:val="fr-CA"/>
        </w:rPr>
        <w:t>Souligne</w:t>
      </w:r>
      <w:r>
        <w:rPr>
          <w:snapToGrid w:val="0"/>
          <w:kern w:val="22"/>
          <w:szCs w:val="22"/>
          <w:lang w:val="fr-CA"/>
        </w:rPr>
        <w:t xml:space="preserve"> </w:t>
      </w:r>
      <w:r w:rsidRPr="001219ED">
        <w:rPr>
          <w:snapToGrid w:val="0"/>
          <w:kern w:val="22"/>
          <w:szCs w:val="22"/>
          <w:lang w:val="fr-CA"/>
        </w:rPr>
        <w:t>le besoin d’une approche coordonnée</w:t>
      </w:r>
      <w:r>
        <w:rPr>
          <w:snapToGrid w:val="0"/>
          <w:kern w:val="22"/>
          <w:szCs w:val="22"/>
          <w:lang w:val="fr-CA"/>
        </w:rPr>
        <w:t>, complémentaire</w:t>
      </w:r>
      <w:r w:rsidRPr="001219ED">
        <w:rPr>
          <w:snapToGrid w:val="0"/>
          <w:kern w:val="22"/>
          <w:szCs w:val="22"/>
          <w:lang w:val="fr-CA"/>
        </w:rPr>
        <w:t xml:space="preserve"> et sans doubles emplois sur les questions relatives à la biologie de synthèse au titre de la Convention et de se</w:t>
      </w:r>
      <w:r>
        <w:rPr>
          <w:snapToGrid w:val="0"/>
          <w:kern w:val="22"/>
          <w:szCs w:val="22"/>
          <w:lang w:val="fr-CA"/>
        </w:rPr>
        <w:t>s Protocoles, ainsi qu’avec d’autres conventions et d</w:t>
      </w:r>
      <w:r w:rsidRPr="001219ED">
        <w:rPr>
          <w:snapToGrid w:val="0"/>
          <w:kern w:val="22"/>
          <w:szCs w:val="22"/>
          <w:lang w:val="fr-CA"/>
        </w:rPr>
        <w:t>es organisations et initiatives pertinentes</w:t>
      </w:r>
      <w:r>
        <w:rPr>
          <w:snapToGrid w:val="0"/>
          <w:kern w:val="22"/>
          <w:szCs w:val="22"/>
          <w:lang w:val="fr-CA"/>
        </w:rPr>
        <w:t>;</w:t>
      </w:r>
    </w:p>
    <w:p w:rsidR="009F6935" w:rsidRPr="00181898"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sidRPr="00181898">
        <w:rPr>
          <w:snapToGrid w:val="0"/>
          <w:color w:val="000000"/>
          <w:kern w:val="22"/>
          <w:szCs w:val="22"/>
          <w:lang w:val="fr-CA"/>
        </w:rPr>
        <w:t>9.</w:t>
      </w:r>
      <w:r w:rsidRPr="00181898">
        <w:rPr>
          <w:snapToGrid w:val="0"/>
          <w:color w:val="000000"/>
          <w:kern w:val="22"/>
          <w:szCs w:val="22"/>
          <w:lang w:val="fr-CA"/>
        </w:rPr>
        <w:tab/>
      </w:r>
      <w:r w:rsidRPr="00181898">
        <w:rPr>
          <w:i/>
          <w:iCs/>
          <w:snapToGrid w:val="0"/>
          <w:color w:val="000000"/>
          <w:kern w:val="22"/>
          <w:szCs w:val="22"/>
          <w:lang w:val="fr-CA"/>
        </w:rPr>
        <w:t>Prend note</w:t>
      </w:r>
      <w:r w:rsidRPr="00181898">
        <w:rPr>
          <w:snapToGrid w:val="0"/>
          <w:color w:val="000000"/>
          <w:kern w:val="22"/>
          <w:szCs w:val="22"/>
          <w:lang w:val="fr-CA"/>
        </w:rPr>
        <w:t xml:space="preserve"> </w:t>
      </w:r>
      <w:r>
        <w:rPr>
          <w:snapToGrid w:val="0"/>
          <w:color w:val="000000"/>
          <w:kern w:val="22"/>
          <w:szCs w:val="22"/>
          <w:lang w:val="fr-CA" w:eastAsia="x-none"/>
        </w:rPr>
        <w:t>des efforts actuels prodigués par les Parties, les autres gouvernements, l</w:t>
      </w:r>
      <w:r w:rsidRPr="00181898">
        <w:rPr>
          <w:snapToGrid w:val="0"/>
          <w:color w:val="000000"/>
          <w:kern w:val="22"/>
          <w:szCs w:val="22"/>
          <w:lang w:val="fr-CA" w:eastAsia="x-none"/>
        </w:rPr>
        <w:t>es organisations</w:t>
      </w:r>
      <w:r>
        <w:rPr>
          <w:snapToGrid w:val="0"/>
          <w:color w:val="000000"/>
          <w:kern w:val="22"/>
          <w:szCs w:val="22"/>
          <w:lang w:val="fr-CA" w:eastAsia="x-none"/>
        </w:rPr>
        <w:t xml:space="preserve"> pertinentes et d’autres entités pour fournir des informations sur les avancées, les lacunes dans les connaissances et d’autres questions qui intéressent les objectifs de la Convention en lien avec la biologie de synthèse</w:t>
      </w:r>
      <w:r w:rsidRPr="00181898">
        <w:rPr>
          <w:snapToGrid w:val="0"/>
          <w:color w:val="000000"/>
          <w:kern w:val="22"/>
          <w:szCs w:val="22"/>
          <w:lang w:val="fr-CA" w:eastAsia="x-none"/>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10</w:t>
      </w:r>
      <w:r w:rsidRPr="002124C3">
        <w:rPr>
          <w:snapToGrid w:val="0"/>
          <w:color w:val="000000"/>
          <w:kern w:val="22"/>
          <w:szCs w:val="22"/>
          <w:lang w:val="fr-CA"/>
        </w:rPr>
        <w:t>.</w:t>
      </w:r>
      <w:r w:rsidRPr="002124C3">
        <w:rPr>
          <w:snapToGrid w:val="0"/>
          <w:color w:val="000000"/>
          <w:kern w:val="22"/>
          <w:szCs w:val="22"/>
          <w:lang w:val="fr-CA"/>
        </w:rPr>
        <w:tab/>
      </w:r>
      <w:r>
        <w:rPr>
          <w:i/>
          <w:iCs/>
          <w:snapToGrid w:val="0"/>
          <w:color w:val="000000"/>
          <w:kern w:val="22"/>
          <w:szCs w:val="22"/>
          <w:lang w:val="fr-CA"/>
        </w:rPr>
        <w:t>Demande</w:t>
      </w:r>
      <w:r>
        <w:rPr>
          <w:snapToGrid w:val="0"/>
          <w:color w:val="000000"/>
          <w:kern w:val="22"/>
          <w:szCs w:val="22"/>
          <w:lang w:val="fr-CA"/>
        </w:rPr>
        <w:t xml:space="preserve"> aux Parties et aux autres gouvernements, compte tenu des incertitudes actuelles concernant le forçage génétique, d’appliquer </w:t>
      </w:r>
      <w:r>
        <w:rPr>
          <w:snapToGrid w:val="0"/>
          <w:kern w:val="22"/>
          <w:szCs w:val="22"/>
          <w:lang w:val="fr-FR" w:eastAsia="x-none"/>
        </w:rPr>
        <w:t>une appro</w:t>
      </w:r>
      <w:r w:rsidRPr="005E7087">
        <w:rPr>
          <w:snapToGrid w:val="0"/>
          <w:kern w:val="22"/>
          <w:szCs w:val="22"/>
          <w:lang w:val="fr-FR" w:eastAsia="x-none"/>
        </w:rPr>
        <w:t>ch</w:t>
      </w:r>
      <w:r>
        <w:rPr>
          <w:snapToGrid w:val="0"/>
          <w:kern w:val="22"/>
          <w:szCs w:val="22"/>
          <w:lang w:val="fr-FR" w:eastAsia="x-none"/>
        </w:rPr>
        <w:t>e de précaution</w:t>
      </w:r>
      <w:r w:rsidRPr="00EA2E10">
        <w:rPr>
          <w:rStyle w:val="FootnoteReference"/>
          <w:snapToGrid w:val="0"/>
          <w:kern w:val="22"/>
          <w:sz w:val="20"/>
          <w:szCs w:val="20"/>
          <w:u w:val="none"/>
          <w:vertAlign w:val="superscript"/>
          <w:lang w:eastAsia="x-none"/>
        </w:rPr>
        <w:footnoteReference w:id="10"/>
      </w:r>
      <w:r w:rsidRPr="005E7087">
        <w:rPr>
          <w:snapToGrid w:val="0"/>
          <w:kern w:val="22"/>
          <w:szCs w:val="22"/>
          <w:lang w:val="fr-FR" w:eastAsia="x-none"/>
        </w:rPr>
        <w:t>,</w:t>
      </w:r>
      <w:r>
        <w:rPr>
          <w:snapToGrid w:val="0"/>
          <w:kern w:val="22"/>
          <w:szCs w:val="22"/>
          <w:lang w:val="fr-FR" w:eastAsia="x-none"/>
        </w:rPr>
        <w:t xml:space="preserve"> conformément aux objectifs </w:t>
      </w:r>
      <w:r>
        <w:rPr>
          <w:snapToGrid w:val="0"/>
          <w:kern w:val="22"/>
          <w:szCs w:val="22"/>
          <w:lang w:val="fr-FR" w:eastAsia="x-none"/>
        </w:rPr>
        <w:lastRenderedPageBreak/>
        <w:t>de la</w:t>
      </w:r>
      <w:r w:rsidRPr="005E7087">
        <w:rPr>
          <w:snapToGrid w:val="0"/>
          <w:kern w:val="22"/>
          <w:szCs w:val="22"/>
          <w:lang w:val="fr-FR" w:eastAsia="x-none"/>
        </w:rPr>
        <w:t xml:space="preserve"> Convention, [</w:t>
      </w:r>
      <w:r>
        <w:rPr>
          <w:snapToGrid w:val="0"/>
          <w:kern w:val="22"/>
          <w:szCs w:val="22"/>
          <w:lang w:val="fr-FR" w:eastAsia="x-none"/>
        </w:rPr>
        <w:t>en ce qui concerne la dissémination][et de s’abstenir de disséminer</w:t>
      </w:r>
      <w:r w:rsidRPr="005E7087">
        <w:rPr>
          <w:snapToGrid w:val="0"/>
          <w:kern w:val="22"/>
          <w:szCs w:val="22"/>
          <w:lang w:val="fr-FR" w:eastAsia="x-none"/>
        </w:rPr>
        <w:t xml:space="preserve">] </w:t>
      </w:r>
      <w:r>
        <w:rPr>
          <w:kern w:val="22"/>
          <w:szCs w:val="22"/>
          <w:lang w:val="fr-CA"/>
        </w:rPr>
        <w:t xml:space="preserve">des </w:t>
      </w:r>
      <w:r w:rsidRPr="001219ED">
        <w:rPr>
          <w:kern w:val="22"/>
          <w:szCs w:val="22"/>
          <w:lang w:val="fr-CA"/>
        </w:rPr>
        <w:t xml:space="preserve">organismes </w:t>
      </w:r>
      <w:r>
        <w:rPr>
          <w:kern w:val="22"/>
          <w:szCs w:val="22"/>
          <w:lang w:val="fr-CA"/>
        </w:rPr>
        <w:t>résultant d’un forçage génétique</w:t>
      </w:r>
      <w:r w:rsidRPr="001219ED">
        <w:rPr>
          <w:kern w:val="22"/>
          <w:szCs w:val="22"/>
          <w:lang w:val="fr-CA"/>
        </w:rPr>
        <w:t>, y compris des disséminations expérimentales</w:t>
      </w:r>
      <w:r>
        <w:rPr>
          <w:kern w:val="22"/>
          <w:szCs w:val="22"/>
          <w:lang w:val="fr-CA"/>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kern w:val="22"/>
          <w:szCs w:val="22"/>
          <w:lang w:val="fr-CA"/>
        </w:rPr>
        <w:t>11</w:t>
      </w:r>
      <w:r w:rsidRPr="002124C3">
        <w:rPr>
          <w:snapToGrid w:val="0"/>
          <w:kern w:val="22"/>
          <w:szCs w:val="22"/>
          <w:lang w:val="fr-CA"/>
        </w:rPr>
        <w:t>.</w:t>
      </w:r>
      <w:r w:rsidRPr="002124C3">
        <w:rPr>
          <w:snapToGrid w:val="0"/>
          <w:kern w:val="22"/>
          <w:szCs w:val="22"/>
          <w:lang w:val="fr-CA"/>
        </w:rPr>
        <w:tab/>
      </w:r>
      <w:r w:rsidRPr="001219ED">
        <w:rPr>
          <w:i/>
          <w:snapToGrid w:val="0"/>
          <w:kern w:val="22"/>
          <w:szCs w:val="22"/>
          <w:lang w:val="fr-CA"/>
        </w:rPr>
        <w:t xml:space="preserve">Reconnaît </w:t>
      </w:r>
      <w:r>
        <w:rPr>
          <w:snapToGrid w:val="0"/>
          <w:kern w:val="22"/>
          <w:szCs w:val="22"/>
          <w:lang w:val="fr-CA"/>
        </w:rPr>
        <w:t>que des recherches et analyses doivent être effectuées et des orientations peuvent s’avérer utiles</w:t>
      </w:r>
      <w:r w:rsidRPr="00EA2E10">
        <w:rPr>
          <w:rStyle w:val="FootnoteReference"/>
          <w:snapToGrid w:val="0"/>
          <w:kern w:val="22"/>
          <w:sz w:val="20"/>
          <w:szCs w:val="20"/>
          <w:u w:val="none"/>
          <w:vertAlign w:val="superscript"/>
          <w:lang w:eastAsia="x-none"/>
        </w:rPr>
        <w:footnoteReference w:id="11"/>
      </w:r>
      <w:r>
        <w:rPr>
          <w:snapToGrid w:val="0"/>
          <w:kern w:val="22"/>
          <w:szCs w:val="22"/>
          <w:lang w:val="fr-CA"/>
        </w:rPr>
        <w:t xml:space="preserve"> pour appuyer une évaluation des risques au cas par cas,</w:t>
      </w:r>
      <w:r w:rsidRPr="00F904B7">
        <w:rPr>
          <w:snapToGrid w:val="0"/>
          <w:kern w:val="22"/>
          <w:szCs w:val="22"/>
          <w:lang w:val="fr-CA"/>
        </w:rPr>
        <w:t xml:space="preserve"> </w:t>
      </w:r>
      <w:r>
        <w:rPr>
          <w:snapToGrid w:val="0"/>
          <w:kern w:val="22"/>
          <w:szCs w:val="22"/>
          <w:lang w:val="fr-CA"/>
        </w:rPr>
        <w:t>avant d’envisager leur dissémination dans l’environnement, puisque des effets défavorables</w:t>
      </w:r>
      <w:r w:rsidRPr="001219ED">
        <w:rPr>
          <w:snapToGrid w:val="0"/>
          <w:kern w:val="22"/>
          <w:szCs w:val="22"/>
          <w:lang w:val="fr-CA"/>
        </w:rPr>
        <w:t xml:space="preserve"> potentiels </w:t>
      </w:r>
      <w:r>
        <w:rPr>
          <w:snapToGrid w:val="0"/>
          <w:kern w:val="22"/>
          <w:szCs w:val="22"/>
          <w:lang w:val="fr-CA"/>
        </w:rPr>
        <w:t>peuvent résulter des organismes ayant subi un forçage génétique;</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CA"/>
        </w:rPr>
      </w:pPr>
      <w:r>
        <w:rPr>
          <w:snapToGrid w:val="0"/>
          <w:color w:val="000000" w:themeColor="text1"/>
          <w:kern w:val="22"/>
          <w:szCs w:val="22"/>
          <w:lang w:val="fr-CA"/>
        </w:rPr>
        <w:t>12</w:t>
      </w:r>
      <w:r w:rsidRPr="002124C3">
        <w:rPr>
          <w:snapToGrid w:val="0"/>
          <w:color w:val="000000" w:themeColor="text1"/>
          <w:kern w:val="22"/>
          <w:szCs w:val="22"/>
          <w:lang w:val="fr-CA"/>
        </w:rPr>
        <w:t>.</w:t>
      </w:r>
      <w:r w:rsidRPr="002124C3">
        <w:rPr>
          <w:snapToGrid w:val="0"/>
          <w:color w:val="000000" w:themeColor="text1"/>
          <w:kern w:val="22"/>
          <w:szCs w:val="22"/>
          <w:lang w:val="fr-CA"/>
        </w:rPr>
        <w:tab/>
      </w:r>
      <w:r>
        <w:rPr>
          <w:i/>
          <w:iCs/>
          <w:snapToGrid w:val="0"/>
          <w:color w:val="000000" w:themeColor="text1"/>
          <w:kern w:val="22"/>
          <w:szCs w:val="22"/>
          <w:lang w:val="fr-CA"/>
        </w:rPr>
        <w:t>Prend note</w:t>
      </w:r>
      <w:r>
        <w:rPr>
          <w:snapToGrid w:val="0"/>
          <w:color w:val="000000" w:themeColor="text1"/>
          <w:kern w:val="22"/>
          <w:szCs w:val="22"/>
          <w:lang w:val="fr-CA"/>
        </w:rPr>
        <w:t xml:space="preserve"> des conclusions du Groupe spécial d’experts techniques sur la biologie de synthèse</w:t>
      </w:r>
      <w:r w:rsidRPr="00216808">
        <w:rPr>
          <w:rStyle w:val="FootnoteReference"/>
          <w:snapToGrid w:val="0"/>
          <w:color w:val="000000" w:themeColor="text1"/>
          <w:kern w:val="22"/>
          <w:sz w:val="20"/>
          <w:szCs w:val="20"/>
          <w:u w:val="none"/>
          <w:vertAlign w:val="superscript"/>
        </w:rPr>
        <w:footnoteReference w:id="12"/>
      </w:r>
      <w:r>
        <w:rPr>
          <w:snapToGrid w:val="0"/>
          <w:color w:val="000000" w:themeColor="text1"/>
          <w:kern w:val="22"/>
          <w:szCs w:val="22"/>
          <w:lang w:val="fr-CA"/>
        </w:rPr>
        <w:t>, à savoir, qu’</w:t>
      </w:r>
      <w:r>
        <w:rPr>
          <w:snapToGrid w:val="0"/>
          <w:color w:val="000000"/>
          <w:kern w:val="22"/>
          <w:szCs w:val="22"/>
          <w:lang w:val="fr-CA"/>
        </w:rPr>
        <w:t xml:space="preserve">en raison </w:t>
      </w:r>
      <w:r>
        <w:rPr>
          <w:kern w:val="22"/>
          <w:szCs w:val="22"/>
          <w:lang w:val="fr-CA"/>
        </w:rPr>
        <w:t>d</w:t>
      </w:r>
      <w:r w:rsidRPr="001219ED">
        <w:rPr>
          <w:kern w:val="22"/>
          <w:szCs w:val="22"/>
          <w:lang w:val="fr-CA"/>
        </w:rPr>
        <w:t xml:space="preserve">es incertitudes </w:t>
      </w:r>
      <w:r>
        <w:rPr>
          <w:kern w:val="22"/>
          <w:szCs w:val="22"/>
          <w:lang w:val="fr-CA"/>
        </w:rPr>
        <w:t>actuelles concernant le forçage génétique</w:t>
      </w:r>
      <w:r w:rsidRPr="001219ED">
        <w:rPr>
          <w:kern w:val="22"/>
          <w:szCs w:val="22"/>
          <w:lang w:val="fr-CA"/>
        </w:rPr>
        <w:t xml:space="preserve">, </w:t>
      </w:r>
      <w:r>
        <w:rPr>
          <w:kern w:val="22"/>
          <w:szCs w:val="22"/>
          <w:lang w:val="fr-CA"/>
        </w:rPr>
        <w:t>il conviendrait d’obtenir le</w:t>
      </w:r>
      <w:r w:rsidRPr="001219ED">
        <w:rPr>
          <w:kern w:val="22"/>
          <w:szCs w:val="22"/>
          <w:lang w:val="fr-CA"/>
        </w:rPr>
        <w:t xml:space="preserve"> consentement préalable, </w:t>
      </w:r>
      <w:r>
        <w:rPr>
          <w:kern w:val="22"/>
          <w:szCs w:val="22"/>
          <w:lang w:val="fr-CA"/>
        </w:rPr>
        <w:t>donné librement et en connaissance de cause</w:t>
      </w:r>
      <w:r w:rsidRPr="001219ED">
        <w:rPr>
          <w:kern w:val="22"/>
          <w:szCs w:val="22"/>
          <w:lang w:val="fr-CA"/>
        </w:rPr>
        <w:t xml:space="preserve"> des peuples autochtones et </w:t>
      </w:r>
      <w:r>
        <w:rPr>
          <w:kern w:val="22"/>
          <w:szCs w:val="22"/>
          <w:lang w:val="fr-CA"/>
        </w:rPr>
        <w:t>des communautés locales lorsque la</w:t>
      </w:r>
      <w:r w:rsidRPr="001219ED">
        <w:rPr>
          <w:kern w:val="22"/>
          <w:szCs w:val="22"/>
          <w:lang w:val="fr-CA"/>
        </w:rPr>
        <w:t xml:space="preserve"> </w:t>
      </w:r>
      <w:r>
        <w:rPr>
          <w:kern w:val="22"/>
          <w:szCs w:val="22"/>
          <w:lang w:val="fr-CA"/>
        </w:rPr>
        <w:t>dissémination</w:t>
      </w:r>
      <w:r w:rsidRPr="001219ED">
        <w:rPr>
          <w:kern w:val="22"/>
          <w:szCs w:val="22"/>
          <w:lang w:val="fr-CA"/>
        </w:rPr>
        <w:t xml:space="preserve"> d’</w:t>
      </w:r>
      <w:r>
        <w:rPr>
          <w:kern w:val="22"/>
          <w:szCs w:val="22"/>
          <w:lang w:val="fr-CA"/>
        </w:rPr>
        <w:t>organismes ayant subi un forçage génétique est envisagée, qui pourraient avoir un impact sur leurs connaissances, innovations, pratiques, moyens de subsistance et utilisation traditionnels des terres et des eaux;</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CA"/>
        </w:rPr>
      </w:pPr>
      <w:r>
        <w:rPr>
          <w:snapToGrid w:val="0"/>
          <w:color w:val="000000" w:themeColor="text1"/>
          <w:kern w:val="22"/>
          <w:szCs w:val="22"/>
          <w:lang w:val="fr-CA"/>
        </w:rPr>
        <w:t>13</w:t>
      </w:r>
      <w:r w:rsidRPr="002124C3">
        <w:rPr>
          <w:snapToGrid w:val="0"/>
          <w:color w:val="000000" w:themeColor="text1"/>
          <w:kern w:val="22"/>
          <w:szCs w:val="22"/>
          <w:lang w:val="fr-CA"/>
        </w:rPr>
        <w:t>.</w:t>
      </w:r>
      <w:r w:rsidRPr="002124C3">
        <w:rPr>
          <w:snapToGrid w:val="0"/>
          <w:color w:val="000000" w:themeColor="text1"/>
          <w:kern w:val="22"/>
          <w:szCs w:val="22"/>
          <w:lang w:val="fr-CA"/>
        </w:rPr>
        <w:tab/>
      </w:r>
      <w:r w:rsidRPr="001219ED">
        <w:rPr>
          <w:i/>
          <w:snapToGrid w:val="0"/>
          <w:kern w:val="22"/>
          <w:szCs w:val="22"/>
          <w:lang w:val="fr-CA"/>
        </w:rPr>
        <w:t>Demande</w:t>
      </w:r>
      <w:r w:rsidRPr="001219ED">
        <w:rPr>
          <w:snapToGrid w:val="0"/>
          <w:kern w:val="22"/>
          <w:szCs w:val="22"/>
          <w:lang w:val="fr-CA"/>
        </w:rPr>
        <w:t xml:space="preserve"> aux Parties, aux autres gouvernements et aux organisations compétentes d</w:t>
      </w:r>
      <w:r>
        <w:rPr>
          <w:snapToGrid w:val="0"/>
          <w:kern w:val="22"/>
          <w:szCs w:val="22"/>
          <w:lang w:val="fr-CA"/>
        </w:rPr>
        <w:t>e continuer d’élaborer ou d’</w:t>
      </w:r>
      <w:r w:rsidRPr="001219ED">
        <w:rPr>
          <w:snapToGrid w:val="0"/>
          <w:kern w:val="22"/>
          <w:szCs w:val="22"/>
          <w:lang w:val="fr-CA"/>
        </w:rPr>
        <w:t>appliquer</w:t>
      </w:r>
      <w:r>
        <w:rPr>
          <w:snapToGrid w:val="0"/>
          <w:kern w:val="22"/>
          <w:szCs w:val="22"/>
          <w:lang w:val="fr-CA"/>
        </w:rPr>
        <w:t>, selon qu’il convient,</w:t>
      </w:r>
      <w:r w:rsidRPr="001219ED">
        <w:rPr>
          <w:snapToGrid w:val="0"/>
          <w:kern w:val="22"/>
          <w:szCs w:val="22"/>
          <w:lang w:val="fr-CA"/>
        </w:rPr>
        <w:t xml:space="preserve"> des </w:t>
      </w:r>
      <w:r>
        <w:rPr>
          <w:snapToGrid w:val="0"/>
          <w:kern w:val="22"/>
          <w:szCs w:val="22"/>
          <w:lang w:val="fr-CA"/>
        </w:rPr>
        <w:t>mesures pour prévenir ou réduire à un</w:t>
      </w:r>
      <w:r w:rsidRPr="001219ED">
        <w:rPr>
          <w:snapToGrid w:val="0"/>
          <w:kern w:val="22"/>
          <w:szCs w:val="22"/>
          <w:lang w:val="fr-CA"/>
        </w:rPr>
        <w:t xml:space="preserve"> minimum </w:t>
      </w:r>
      <w:r>
        <w:rPr>
          <w:snapToGrid w:val="0"/>
          <w:kern w:val="22"/>
          <w:szCs w:val="22"/>
          <w:lang w:val="fr-CA"/>
        </w:rPr>
        <w:t xml:space="preserve">les effets défavorables potentiels découlant d’une </w:t>
      </w:r>
      <w:r w:rsidRPr="001219ED">
        <w:rPr>
          <w:snapToGrid w:val="0"/>
          <w:kern w:val="22"/>
          <w:szCs w:val="22"/>
          <w:lang w:val="fr-CA"/>
        </w:rPr>
        <w:t>exposition de l’</w:t>
      </w:r>
      <w:r w:rsidRPr="001219ED">
        <w:rPr>
          <w:snapToGrid w:val="0"/>
          <w:color w:val="000000"/>
          <w:kern w:val="22"/>
          <w:szCs w:val="22"/>
          <w:lang w:val="fr-CA"/>
        </w:rPr>
        <w:t xml:space="preserve">environnement à des organismes, composants </w:t>
      </w:r>
      <w:r>
        <w:rPr>
          <w:snapToGrid w:val="0"/>
          <w:color w:val="000000"/>
          <w:kern w:val="22"/>
          <w:szCs w:val="22"/>
          <w:lang w:val="fr-CA"/>
        </w:rPr>
        <w:t>et</w:t>
      </w:r>
      <w:r w:rsidRPr="001219ED">
        <w:rPr>
          <w:snapToGrid w:val="0"/>
          <w:color w:val="000000"/>
          <w:kern w:val="22"/>
          <w:szCs w:val="22"/>
          <w:lang w:val="fr-CA"/>
        </w:rPr>
        <w:t xml:space="preserve"> produits issus de</w:t>
      </w:r>
      <w:r>
        <w:rPr>
          <w:snapToGrid w:val="0"/>
          <w:color w:val="000000"/>
          <w:kern w:val="22"/>
          <w:szCs w:val="22"/>
          <w:lang w:val="fr-CA"/>
        </w:rPr>
        <w:t xml:space="preserve"> la biologie de synthèse utilisés </w:t>
      </w:r>
      <w:r w:rsidRPr="001219ED">
        <w:rPr>
          <w:snapToGrid w:val="0"/>
          <w:color w:val="000000"/>
          <w:kern w:val="22"/>
          <w:szCs w:val="22"/>
          <w:lang w:val="fr-CA"/>
        </w:rPr>
        <w:t>en milieu confiné</w:t>
      </w:r>
      <w:r>
        <w:rPr>
          <w:snapToGrid w:val="0"/>
          <w:color w:val="000000"/>
          <w:kern w:val="22"/>
          <w:szCs w:val="22"/>
          <w:lang w:val="fr-CA"/>
        </w:rPr>
        <w:t>, y compris des mesures</w:t>
      </w:r>
      <w:r>
        <w:rPr>
          <w:snapToGrid w:val="0"/>
          <w:color w:val="000000" w:themeColor="text1"/>
          <w:kern w:val="22"/>
          <w:szCs w:val="22"/>
          <w:lang w:val="fr-CA"/>
        </w:rPr>
        <w:t xml:space="preserve"> </w:t>
      </w:r>
      <w:r w:rsidRPr="001219ED">
        <w:rPr>
          <w:kern w:val="22"/>
          <w:szCs w:val="22"/>
          <w:lang w:val="fr-CA"/>
        </w:rPr>
        <w:t>pour la détection, l’identific</w:t>
      </w:r>
      <w:r>
        <w:rPr>
          <w:kern w:val="22"/>
          <w:szCs w:val="22"/>
          <w:lang w:val="fr-CA"/>
        </w:rPr>
        <w:t>ation et la surveillance, selon les circonstances nationales ou conformément aux lignes directrices reconnues au niveau international, selon qu’il convient, et en prenant dûment en considération les centres d’origine et la diversité génétique;</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14</w:t>
      </w:r>
      <w:r w:rsidRPr="002124C3">
        <w:rPr>
          <w:snapToGrid w:val="0"/>
          <w:color w:val="000000"/>
          <w:kern w:val="22"/>
          <w:szCs w:val="22"/>
          <w:lang w:val="fr-CA"/>
        </w:rPr>
        <w:t>.</w:t>
      </w:r>
      <w:r w:rsidRPr="002124C3">
        <w:rPr>
          <w:snapToGrid w:val="0"/>
          <w:color w:val="000000"/>
          <w:kern w:val="22"/>
          <w:szCs w:val="22"/>
          <w:lang w:val="fr-CA"/>
        </w:rPr>
        <w:tab/>
      </w:r>
      <w:r w:rsidRPr="001219ED">
        <w:rPr>
          <w:i/>
          <w:snapToGrid w:val="0"/>
          <w:color w:val="000000"/>
          <w:kern w:val="22"/>
          <w:szCs w:val="22"/>
          <w:lang w:val="fr-CA"/>
        </w:rPr>
        <w:t>Demande aussi</w:t>
      </w:r>
      <w:r w:rsidRPr="001219ED">
        <w:rPr>
          <w:snapToGrid w:val="0"/>
          <w:color w:val="000000"/>
          <w:kern w:val="22"/>
          <w:szCs w:val="22"/>
          <w:lang w:val="fr-CA"/>
        </w:rPr>
        <w:t xml:space="preserve"> aux Parties, aux autres gouvernements et aux organisations compétentes de </w:t>
      </w:r>
      <w:r>
        <w:rPr>
          <w:snapToGrid w:val="0"/>
          <w:color w:val="000000"/>
          <w:kern w:val="22"/>
          <w:szCs w:val="22"/>
          <w:lang w:val="fr-CA"/>
        </w:rPr>
        <w:t xml:space="preserve">continuer de </w:t>
      </w:r>
      <w:r w:rsidRPr="001219ED">
        <w:rPr>
          <w:snapToGrid w:val="0"/>
          <w:color w:val="000000"/>
          <w:kern w:val="22"/>
          <w:szCs w:val="22"/>
          <w:lang w:val="fr-CA"/>
        </w:rPr>
        <w:t xml:space="preserve">diffuser des </w:t>
      </w:r>
      <w:r w:rsidRPr="001219ED">
        <w:rPr>
          <w:snapToGrid w:val="0"/>
          <w:kern w:val="22"/>
          <w:szCs w:val="22"/>
          <w:lang w:val="fr-CA"/>
        </w:rPr>
        <w:t>informations</w:t>
      </w:r>
      <w:r w:rsidRPr="001219ED">
        <w:rPr>
          <w:snapToGrid w:val="0"/>
          <w:color w:val="000000"/>
          <w:kern w:val="22"/>
          <w:szCs w:val="22"/>
          <w:lang w:val="fr-CA"/>
        </w:rPr>
        <w:t xml:space="preserve"> et </w:t>
      </w:r>
      <w:r>
        <w:rPr>
          <w:snapToGrid w:val="0"/>
          <w:color w:val="000000"/>
          <w:kern w:val="22"/>
          <w:szCs w:val="22"/>
          <w:lang w:val="fr-CA"/>
        </w:rPr>
        <w:t>de</w:t>
      </w:r>
      <w:r w:rsidRPr="001219ED">
        <w:rPr>
          <w:snapToGrid w:val="0"/>
          <w:color w:val="000000"/>
          <w:kern w:val="22"/>
          <w:szCs w:val="22"/>
          <w:lang w:val="fr-CA"/>
        </w:rPr>
        <w:t xml:space="preserve"> partager</w:t>
      </w:r>
      <w:r>
        <w:rPr>
          <w:snapToGrid w:val="0"/>
          <w:color w:val="000000"/>
          <w:kern w:val="22"/>
          <w:szCs w:val="22"/>
          <w:lang w:val="fr-CA"/>
        </w:rPr>
        <w:t>, notamment par le biais du Centre d'échange de la Convention et du Centre d’échange pour la prévention des risques biotechnologiques,</w:t>
      </w:r>
      <w:r w:rsidRPr="001219ED">
        <w:rPr>
          <w:snapToGrid w:val="0"/>
          <w:color w:val="000000"/>
          <w:kern w:val="22"/>
          <w:szCs w:val="22"/>
          <w:lang w:val="fr-CA"/>
        </w:rPr>
        <w:t xml:space="preserve"> leurs données d’expérience sur les évaluations scientifiques des avantages </w:t>
      </w:r>
      <w:r>
        <w:rPr>
          <w:snapToGrid w:val="0"/>
          <w:color w:val="000000"/>
          <w:kern w:val="22"/>
          <w:szCs w:val="22"/>
          <w:lang w:val="fr-CA"/>
        </w:rPr>
        <w:t>potentiels et des effets défavorabl</w:t>
      </w:r>
      <w:r w:rsidRPr="001219ED">
        <w:rPr>
          <w:snapToGrid w:val="0"/>
          <w:color w:val="000000"/>
          <w:kern w:val="22"/>
          <w:szCs w:val="22"/>
          <w:lang w:val="fr-CA"/>
        </w:rPr>
        <w:t>es potentiels de la biologie de synthèse</w:t>
      </w:r>
      <w:r>
        <w:rPr>
          <w:snapToGrid w:val="0"/>
          <w:color w:val="000000"/>
          <w:kern w:val="22"/>
          <w:szCs w:val="22"/>
          <w:lang w:val="fr-CA"/>
        </w:rPr>
        <w:t xml:space="preserve"> sur la diversité biologique</w:t>
      </w:r>
      <w:r w:rsidRPr="001219ED">
        <w:rPr>
          <w:snapToGrid w:val="0"/>
          <w:color w:val="000000"/>
          <w:kern w:val="22"/>
          <w:szCs w:val="22"/>
          <w:lang w:val="fr-CA"/>
        </w:rPr>
        <w:t>, y compris</w:t>
      </w:r>
      <w:r>
        <w:rPr>
          <w:snapToGrid w:val="0"/>
          <w:color w:val="000000"/>
          <w:kern w:val="22"/>
          <w:szCs w:val="22"/>
          <w:lang w:val="fr-CA"/>
        </w:rPr>
        <w:t>, entre autres, les effets de certaines applications spécifiques des organismes résultant du forçage génétique et les effets de l’utilisation d’</w:t>
      </w:r>
      <w:r w:rsidRPr="001219ED">
        <w:rPr>
          <w:snapToGrid w:val="0"/>
          <w:color w:val="000000"/>
          <w:kern w:val="22"/>
          <w:szCs w:val="22"/>
          <w:lang w:val="fr-CA"/>
        </w:rPr>
        <w:t>organismes vivants modifiés qui ont été libérés dans l’environnement</w:t>
      </w:r>
      <w:r>
        <w:rPr>
          <w:snapToGrid w:val="0"/>
          <w:color w:val="000000"/>
          <w:kern w:val="22"/>
          <w:szCs w:val="22"/>
          <w:lang w:val="fr-CA"/>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Pr>
          <w:iCs/>
          <w:snapToGrid w:val="0"/>
          <w:kern w:val="22"/>
          <w:szCs w:val="22"/>
          <w:lang w:val="fr-CA"/>
        </w:rPr>
        <w:t>15</w:t>
      </w:r>
      <w:r w:rsidRPr="002124C3">
        <w:rPr>
          <w:iCs/>
          <w:snapToGrid w:val="0"/>
          <w:kern w:val="22"/>
          <w:szCs w:val="22"/>
          <w:lang w:val="fr-CA"/>
        </w:rPr>
        <w:t>.</w:t>
      </w:r>
      <w:r w:rsidRPr="002124C3">
        <w:rPr>
          <w:iCs/>
          <w:snapToGrid w:val="0"/>
          <w:kern w:val="22"/>
          <w:szCs w:val="22"/>
          <w:lang w:val="fr-CA"/>
        </w:rPr>
        <w:tab/>
      </w:r>
      <w:r w:rsidRPr="001219ED">
        <w:rPr>
          <w:i/>
          <w:snapToGrid w:val="0"/>
          <w:color w:val="000000"/>
          <w:kern w:val="22"/>
          <w:szCs w:val="22"/>
          <w:lang w:val="fr-CA"/>
        </w:rPr>
        <w:t>Décide</w:t>
      </w:r>
      <w:r>
        <w:rPr>
          <w:iCs/>
          <w:snapToGrid w:val="0"/>
          <w:color w:val="000000"/>
          <w:kern w:val="22"/>
          <w:szCs w:val="22"/>
          <w:lang w:val="fr-CA"/>
        </w:rPr>
        <w:t xml:space="preserve"> de proroger le</w:t>
      </w:r>
      <w:r w:rsidRPr="001219ED">
        <w:rPr>
          <w:snapToGrid w:val="0"/>
          <w:color w:val="000000"/>
          <w:kern w:val="22"/>
          <w:szCs w:val="22"/>
          <w:lang w:val="fr-CA"/>
        </w:rPr>
        <w:t xml:space="preserve"> Groupe spécial d’experts techniques sur la biologie de synthèse</w:t>
      </w:r>
      <w:r>
        <w:rPr>
          <w:snapToGrid w:val="0"/>
          <w:color w:val="000000"/>
          <w:kern w:val="22"/>
          <w:szCs w:val="22"/>
          <w:lang w:val="fr-CA"/>
        </w:rPr>
        <w:t xml:space="preserve"> en renouvelant ses membres, en tenant compte, entre autres,</w:t>
      </w:r>
      <w:r w:rsidRPr="001219ED">
        <w:rPr>
          <w:snapToGrid w:val="0"/>
          <w:color w:val="000000"/>
          <w:kern w:val="22"/>
          <w:szCs w:val="22"/>
          <w:lang w:val="fr-CA"/>
        </w:rPr>
        <w:t xml:space="preserve"> </w:t>
      </w:r>
      <w:r>
        <w:rPr>
          <w:snapToGrid w:val="0"/>
          <w:color w:val="000000"/>
          <w:kern w:val="22"/>
          <w:szCs w:val="22"/>
          <w:lang w:val="fr-CA"/>
        </w:rPr>
        <w:t xml:space="preserve">des travaux sur l’évaluation des risques  menés </w:t>
      </w:r>
      <w:r w:rsidRPr="001219ED">
        <w:rPr>
          <w:snapToGrid w:val="0"/>
          <w:color w:val="000000"/>
          <w:kern w:val="22"/>
          <w:szCs w:val="22"/>
          <w:lang w:val="fr-CA"/>
        </w:rPr>
        <w:t>au titre du Protocole de</w:t>
      </w:r>
      <w:r>
        <w:rPr>
          <w:snapToGrid w:val="0"/>
          <w:color w:val="000000"/>
          <w:kern w:val="22"/>
          <w:szCs w:val="22"/>
          <w:lang w:val="fr-CA"/>
        </w:rPr>
        <w:t xml:space="preserve"> Cartagena, afin d’entreprendre des travaux conformément au mandat figurant dans l’annexe à la présente recommandation;</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16</w:t>
      </w:r>
      <w:r w:rsidRPr="002124C3">
        <w:rPr>
          <w:snapToGrid w:val="0"/>
          <w:color w:val="000000"/>
          <w:kern w:val="22"/>
          <w:szCs w:val="22"/>
          <w:lang w:val="fr-CA"/>
        </w:rPr>
        <w:t>.</w:t>
      </w:r>
      <w:r w:rsidRPr="002124C3">
        <w:rPr>
          <w:snapToGrid w:val="0"/>
          <w:color w:val="000000"/>
          <w:kern w:val="22"/>
          <w:szCs w:val="22"/>
          <w:lang w:val="fr-CA"/>
        </w:rPr>
        <w:tab/>
      </w:r>
      <w:r w:rsidRPr="001219ED">
        <w:rPr>
          <w:i/>
          <w:snapToGrid w:val="0"/>
          <w:color w:val="000000"/>
          <w:kern w:val="22"/>
          <w:szCs w:val="22"/>
          <w:lang w:val="fr-CA"/>
        </w:rPr>
        <w:t>Décide également</w:t>
      </w:r>
      <w:r>
        <w:rPr>
          <w:iCs/>
          <w:snapToGrid w:val="0"/>
          <w:color w:val="000000"/>
          <w:kern w:val="22"/>
          <w:szCs w:val="22"/>
          <w:lang w:val="fr-CA"/>
        </w:rPr>
        <w:t xml:space="preserve"> de prorog</w:t>
      </w:r>
      <w:r w:rsidRPr="001219ED">
        <w:rPr>
          <w:iCs/>
          <w:snapToGrid w:val="0"/>
          <w:color w:val="000000"/>
          <w:kern w:val="22"/>
          <w:szCs w:val="22"/>
          <w:lang w:val="fr-CA"/>
        </w:rPr>
        <w:t>er le</w:t>
      </w:r>
      <w:r w:rsidRPr="001219ED">
        <w:rPr>
          <w:snapToGrid w:val="0"/>
          <w:color w:val="000000"/>
          <w:kern w:val="22"/>
          <w:szCs w:val="22"/>
          <w:lang w:val="fr-CA"/>
        </w:rPr>
        <w:t xml:space="preserve"> Forum en ligne à composition non limitée sur la biologie de synthèse</w:t>
      </w:r>
      <w:r>
        <w:rPr>
          <w:snapToGrid w:val="0"/>
          <w:color w:val="000000"/>
          <w:kern w:val="22"/>
          <w:szCs w:val="22"/>
          <w:lang w:val="fr-CA"/>
        </w:rPr>
        <w:t>, en tenant compte des travaux sur l’évaluation des risques menés au titre du Protocole de Cartagena, afin d’</w:t>
      </w:r>
      <w:r w:rsidRPr="001219ED">
        <w:rPr>
          <w:snapToGrid w:val="0"/>
          <w:color w:val="000000"/>
          <w:kern w:val="22"/>
          <w:szCs w:val="22"/>
          <w:lang w:val="fr-CA"/>
        </w:rPr>
        <w:t xml:space="preserve">appuyer les délibérations du Groupe spécial d’experts techniques sur la biologie de synthèse, et </w:t>
      </w:r>
      <w:r w:rsidRPr="001219ED">
        <w:rPr>
          <w:i/>
          <w:snapToGrid w:val="0"/>
          <w:color w:val="000000"/>
          <w:kern w:val="22"/>
          <w:szCs w:val="22"/>
          <w:lang w:val="fr-CA"/>
        </w:rPr>
        <w:t xml:space="preserve">invite </w:t>
      </w:r>
      <w:r w:rsidRPr="001219ED">
        <w:rPr>
          <w:snapToGrid w:val="0"/>
          <w:color w:val="000000"/>
          <w:kern w:val="22"/>
          <w:szCs w:val="22"/>
          <w:lang w:val="fr-CA"/>
        </w:rPr>
        <w:t>les Parties, les autres gouvernements, les peuples autochtones et communautés locales et les organisations</w:t>
      </w:r>
      <w:r>
        <w:rPr>
          <w:snapToGrid w:val="0"/>
          <w:color w:val="000000"/>
          <w:kern w:val="22"/>
          <w:szCs w:val="22"/>
          <w:lang w:val="fr-CA"/>
        </w:rPr>
        <w:t xml:space="preserve"> compétentes à continuer de désign</w:t>
      </w:r>
      <w:r w:rsidRPr="001219ED">
        <w:rPr>
          <w:snapToGrid w:val="0"/>
          <w:color w:val="000000"/>
          <w:kern w:val="22"/>
          <w:szCs w:val="22"/>
          <w:lang w:val="fr-CA"/>
        </w:rPr>
        <w:t>er des e</w:t>
      </w:r>
      <w:r>
        <w:rPr>
          <w:snapToGrid w:val="0"/>
          <w:color w:val="000000"/>
          <w:kern w:val="22"/>
          <w:szCs w:val="22"/>
          <w:lang w:val="fr-CA"/>
        </w:rPr>
        <w:t xml:space="preserve">xperts pour participer </w:t>
      </w:r>
      <w:r w:rsidRPr="001219ED">
        <w:rPr>
          <w:snapToGrid w:val="0"/>
          <w:color w:val="000000"/>
          <w:kern w:val="22"/>
          <w:szCs w:val="22"/>
          <w:lang w:val="fr-CA"/>
        </w:rPr>
        <w:t>au Forum en ligne sur la biologie de synthèse</w:t>
      </w:r>
      <w:r>
        <w:rPr>
          <w:snapToGrid w:val="0"/>
          <w:color w:val="000000"/>
          <w:kern w:val="22"/>
          <w:szCs w:val="22"/>
          <w:lang w:val="fr-CA"/>
        </w:rPr>
        <w:t>;</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kern w:val="22"/>
          <w:szCs w:val="22"/>
          <w:lang w:val="fr-CA"/>
        </w:rPr>
      </w:pPr>
      <w:r>
        <w:rPr>
          <w:snapToGrid w:val="0"/>
          <w:color w:val="000000"/>
          <w:kern w:val="22"/>
          <w:szCs w:val="22"/>
          <w:lang w:val="fr-CA"/>
        </w:rPr>
        <w:t>17</w:t>
      </w:r>
      <w:r w:rsidRPr="002124C3">
        <w:rPr>
          <w:snapToGrid w:val="0"/>
          <w:color w:val="000000"/>
          <w:kern w:val="22"/>
          <w:szCs w:val="22"/>
          <w:lang w:val="fr-CA"/>
        </w:rPr>
        <w:t>.</w:t>
      </w:r>
      <w:r w:rsidRPr="002124C3">
        <w:rPr>
          <w:snapToGrid w:val="0"/>
          <w:color w:val="000000"/>
          <w:kern w:val="22"/>
          <w:szCs w:val="22"/>
          <w:lang w:val="fr-CA"/>
        </w:rPr>
        <w:tab/>
      </w:r>
      <w:r w:rsidRPr="001219ED">
        <w:rPr>
          <w:i/>
          <w:snapToGrid w:val="0"/>
          <w:kern w:val="22"/>
          <w:szCs w:val="22"/>
          <w:lang w:val="fr-CA"/>
        </w:rPr>
        <w:t>Invite</w:t>
      </w:r>
      <w:r w:rsidRPr="001219ED">
        <w:rPr>
          <w:snapToGrid w:val="0"/>
          <w:kern w:val="22"/>
          <w:szCs w:val="22"/>
          <w:lang w:val="fr-CA"/>
        </w:rPr>
        <w:t xml:space="preserve"> les Parties, les autres gouvernements, les peuples autochtones et communautés locales et </w:t>
      </w:r>
      <w:r>
        <w:rPr>
          <w:snapToGrid w:val="0"/>
          <w:kern w:val="22"/>
          <w:szCs w:val="22"/>
          <w:lang w:val="fr-CA"/>
        </w:rPr>
        <w:t>les</w:t>
      </w:r>
      <w:r w:rsidRPr="001219ED">
        <w:rPr>
          <w:snapToGrid w:val="0"/>
          <w:kern w:val="22"/>
          <w:szCs w:val="22"/>
          <w:lang w:val="fr-CA"/>
        </w:rPr>
        <w:t xml:space="preserve"> </w:t>
      </w:r>
      <w:r>
        <w:rPr>
          <w:snapToGrid w:val="0"/>
          <w:color w:val="000000" w:themeColor="text1"/>
          <w:kern w:val="22"/>
          <w:szCs w:val="22"/>
          <w:lang w:val="fr-CA"/>
        </w:rPr>
        <w:t>organisation</w:t>
      </w:r>
      <w:r w:rsidRPr="001219ED">
        <w:rPr>
          <w:snapToGrid w:val="0"/>
          <w:color w:val="000000" w:themeColor="text1"/>
          <w:kern w:val="22"/>
          <w:szCs w:val="22"/>
          <w:lang w:val="fr-CA"/>
        </w:rPr>
        <w:t xml:space="preserve">s compétentes à fournir </w:t>
      </w:r>
      <w:r>
        <w:rPr>
          <w:snapToGrid w:val="0"/>
          <w:color w:val="000000" w:themeColor="text1"/>
          <w:kern w:val="22"/>
          <w:szCs w:val="22"/>
          <w:lang w:val="fr-CA"/>
        </w:rPr>
        <w:t>à la Secrétaire exécutive</w:t>
      </w:r>
      <w:r w:rsidRPr="001219ED">
        <w:rPr>
          <w:snapToGrid w:val="0"/>
          <w:color w:val="000000" w:themeColor="text1"/>
          <w:kern w:val="22"/>
          <w:szCs w:val="22"/>
          <w:lang w:val="fr-CA"/>
        </w:rPr>
        <w:t xml:space="preserve"> des informations</w:t>
      </w:r>
      <w:r>
        <w:rPr>
          <w:snapToGrid w:val="0"/>
          <w:color w:val="000000" w:themeColor="text1"/>
          <w:kern w:val="22"/>
          <w:szCs w:val="22"/>
          <w:lang w:val="fr-CA"/>
        </w:rPr>
        <w:t xml:space="preserve"> pertinentes</w:t>
      </w:r>
      <w:r w:rsidRPr="001219ED">
        <w:rPr>
          <w:snapToGrid w:val="0"/>
          <w:color w:val="000000" w:themeColor="text1"/>
          <w:kern w:val="22"/>
          <w:szCs w:val="22"/>
          <w:lang w:val="fr-CA"/>
        </w:rPr>
        <w:t xml:space="preserve"> </w:t>
      </w:r>
      <w:r>
        <w:rPr>
          <w:snapToGrid w:val="0"/>
          <w:color w:val="000000" w:themeColor="text1"/>
          <w:kern w:val="22"/>
          <w:szCs w:val="22"/>
          <w:lang w:val="fr-CA"/>
        </w:rPr>
        <w:t>relatives aux paragraphes a) à d) de l’annexe, afin de contribuer aux travaux du Groupe spécial d’experts techniques;</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color w:val="000000" w:themeColor="text1"/>
          <w:kern w:val="22"/>
          <w:szCs w:val="22"/>
          <w:lang w:val="fr-CA"/>
        </w:rPr>
      </w:pPr>
      <w:r>
        <w:rPr>
          <w:snapToGrid w:val="0"/>
          <w:color w:val="000000" w:themeColor="text1"/>
          <w:kern w:val="22"/>
          <w:szCs w:val="22"/>
          <w:lang w:val="fr-CA"/>
        </w:rPr>
        <w:t>18</w:t>
      </w:r>
      <w:r w:rsidRPr="002124C3">
        <w:rPr>
          <w:snapToGrid w:val="0"/>
          <w:color w:val="000000" w:themeColor="text1"/>
          <w:kern w:val="22"/>
          <w:szCs w:val="22"/>
          <w:lang w:val="fr-CA"/>
        </w:rPr>
        <w:t>.</w:t>
      </w:r>
      <w:r w:rsidRPr="002124C3">
        <w:rPr>
          <w:snapToGrid w:val="0"/>
          <w:color w:val="000000" w:themeColor="text1"/>
          <w:kern w:val="22"/>
          <w:szCs w:val="22"/>
          <w:lang w:val="fr-CA"/>
        </w:rPr>
        <w:tab/>
      </w:r>
      <w:r>
        <w:rPr>
          <w:i/>
          <w:iCs/>
          <w:snapToGrid w:val="0"/>
          <w:color w:val="000000" w:themeColor="text1"/>
          <w:kern w:val="22"/>
          <w:szCs w:val="22"/>
          <w:lang w:val="fr-CA"/>
        </w:rPr>
        <w:t>Prie</w:t>
      </w:r>
      <w:r>
        <w:rPr>
          <w:snapToGrid w:val="0"/>
          <w:color w:val="000000" w:themeColor="text1"/>
          <w:kern w:val="22"/>
          <w:szCs w:val="22"/>
          <w:lang w:val="fr-CA"/>
        </w:rPr>
        <w:t xml:space="preserve"> la Secrétaire exécutive, dans la limite des ressources disponibles :</w:t>
      </w:r>
    </w:p>
    <w:p w:rsidR="009F6935" w:rsidRPr="002124C3" w:rsidRDefault="009F6935" w:rsidP="009F6935">
      <w:pPr>
        <w:suppressLineNumbers/>
        <w:suppressAutoHyphens/>
        <w:kinsoku w:val="0"/>
        <w:overflowPunct w:val="0"/>
        <w:autoSpaceDE w:val="0"/>
        <w:autoSpaceDN w:val="0"/>
        <w:snapToGrid w:val="0"/>
        <w:spacing w:after="120"/>
        <w:ind w:firstLine="720"/>
        <w:rPr>
          <w:snapToGrid w:val="0"/>
          <w:color w:val="000000"/>
          <w:kern w:val="22"/>
          <w:szCs w:val="22"/>
          <w:lang w:val="fr-CA" w:eastAsia="en-CA"/>
        </w:rPr>
      </w:pPr>
      <w:r w:rsidRPr="002124C3">
        <w:rPr>
          <w:snapToGrid w:val="0"/>
          <w:color w:val="000000"/>
          <w:kern w:val="22"/>
          <w:szCs w:val="22"/>
          <w:lang w:val="fr-CA" w:eastAsia="en-CA"/>
        </w:rPr>
        <w:t>a)</w:t>
      </w:r>
      <w:r w:rsidRPr="002124C3">
        <w:rPr>
          <w:snapToGrid w:val="0"/>
          <w:color w:val="000000"/>
          <w:kern w:val="22"/>
          <w:szCs w:val="22"/>
          <w:lang w:val="fr-CA" w:eastAsia="en-CA"/>
        </w:rPr>
        <w:tab/>
      </w:r>
      <w:r>
        <w:rPr>
          <w:snapToGrid w:val="0"/>
          <w:color w:val="000000"/>
          <w:kern w:val="22"/>
          <w:szCs w:val="22"/>
          <w:lang w:val="fr-CA" w:eastAsia="en-CA"/>
        </w:rPr>
        <w:t>D’o</w:t>
      </w:r>
      <w:r w:rsidRPr="001219ED">
        <w:rPr>
          <w:snapToGrid w:val="0"/>
          <w:color w:val="000000"/>
          <w:kern w:val="22"/>
          <w:szCs w:val="22"/>
          <w:lang w:val="fr-CA" w:eastAsia="en-CA"/>
        </w:rPr>
        <w:t>rgani</w:t>
      </w:r>
      <w:r>
        <w:rPr>
          <w:snapToGrid w:val="0"/>
          <w:color w:val="000000"/>
          <w:kern w:val="22"/>
          <w:szCs w:val="22"/>
          <w:lang w:val="fr-CA" w:eastAsia="en-CA"/>
        </w:rPr>
        <w:t>ser des débats en ligne, en les encadrant, dans le cadre</w:t>
      </w:r>
      <w:r w:rsidRPr="001219ED">
        <w:rPr>
          <w:snapToGrid w:val="0"/>
          <w:color w:val="000000"/>
          <w:kern w:val="22"/>
          <w:szCs w:val="22"/>
          <w:lang w:val="fr-CA" w:eastAsia="en-CA"/>
        </w:rPr>
        <w:t xml:space="preserve"> du Forum en ligne à composition non limitée sur la biologie de synthèse</w:t>
      </w:r>
      <w:r>
        <w:rPr>
          <w:snapToGrid w:val="0"/>
          <w:color w:val="000000"/>
          <w:kern w:val="22"/>
          <w:szCs w:val="22"/>
          <w:lang w:val="fr-CA" w:eastAsia="en-CA"/>
        </w:rPr>
        <w:t>;</w:t>
      </w:r>
    </w:p>
    <w:p w:rsidR="009F6935" w:rsidRPr="002124C3" w:rsidRDefault="009F6935" w:rsidP="009F6935">
      <w:pPr>
        <w:suppressLineNumbers/>
        <w:suppressAutoHyphens/>
        <w:kinsoku w:val="0"/>
        <w:overflowPunct w:val="0"/>
        <w:autoSpaceDE w:val="0"/>
        <w:autoSpaceDN w:val="0"/>
        <w:snapToGrid w:val="0"/>
        <w:spacing w:after="120"/>
        <w:ind w:firstLine="720"/>
        <w:rPr>
          <w:snapToGrid w:val="0"/>
          <w:color w:val="000000" w:themeColor="text1"/>
          <w:kern w:val="22"/>
          <w:szCs w:val="22"/>
          <w:lang w:val="fr-CA" w:eastAsia="en-CA"/>
        </w:rPr>
      </w:pPr>
      <w:r w:rsidRPr="002124C3">
        <w:rPr>
          <w:snapToGrid w:val="0"/>
          <w:color w:val="000000" w:themeColor="text1"/>
          <w:kern w:val="22"/>
          <w:szCs w:val="22"/>
          <w:lang w:val="fr-CA" w:eastAsia="en-CA"/>
        </w:rPr>
        <w:lastRenderedPageBreak/>
        <w:t>b)</w:t>
      </w:r>
      <w:r w:rsidRPr="002124C3">
        <w:rPr>
          <w:snapToGrid w:val="0"/>
          <w:color w:val="000000" w:themeColor="text1"/>
          <w:kern w:val="22"/>
          <w:szCs w:val="22"/>
          <w:lang w:val="fr-CA" w:eastAsia="en-CA"/>
        </w:rPr>
        <w:tab/>
      </w:r>
      <w:r>
        <w:rPr>
          <w:snapToGrid w:val="0"/>
          <w:color w:val="000000" w:themeColor="text1"/>
          <w:kern w:val="22"/>
          <w:szCs w:val="22"/>
          <w:lang w:val="fr-CA" w:eastAsia="en-CA"/>
        </w:rPr>
        <w:t>De f</w:t>
      </w:r>
      <w:r w:rsidRPr="001219ED">
        <w:rPr>
          <w:snapToGrid w:val="0"/>
          <w:kern w:val="22"/>
          <w:szCs w:val="22"/>
          <w:lang w:val="fr-CA" w:eastAsia="en-CA"/>
        </w:rPr>
        <w:t>aciliter les travaux du Groupe spécial d’experts techniques sur la biologie de synthèse</w:t>
      </w:r>
      <w:r>
        <w:rPr>
          <w:snapToGrid w:val="0"/>
          <w:kern w:val="22"/>
          <w:szCs w:val="22"/>
          <w:lang w:val="fr-CA" w:eastAsia="en-CA"/>
        </w:rPr>
        <w:t xml:space="preserve"> en effectuant</w:t>
      </w:r>
      <w:r w:rsidRPr="001219ED">
        <w:rPr>
          <w:snapToGrid w:val="0"/>
          <w:kern w:val="22"/>
          <w:szCs w:val="22"/>
          <w:lang w:val="fr-CA" w:eastAsia="en-CA"/>
        </w:rPr>
        <w:t xml:space="preserve">, entre autres, </w:t>
      </w:r>
      <w:r>
        <w:rPr>
          <w:snapToGrid w:val="0"/>
          <w:kern w:val="22"/>
          <w:szCs w:val="22"/>
          <w:lang w:val="fr-CA" w:eastAsia="en-CA"/>
        </w:rPr>
        <w:t>la collecte et synthèse d’</w:t>
      </w:r>
      <w:r w:rsidRPr="001219ED">
        <w:rPr>
          <w:snapToGrid w:val="0"/>
          <w:kern w:val="22"/>
          <w:szCs w:val="22"/>
          <w:lang w:val="fr-CA" w:eastAsia="en-CA"/>
        </w:rPr>
        <w:t>informations pertinentes</w:t>
      </w:r>
      <w:r>
        <w:rPr>
          <w:snapToGrid w:val="0"/>
          <w:kern w:val="22"/>
          <w:szCs w:val="22"/>
          <w:lang w:val="fr-CA" w:eastAsia="en-CA"/>
        </w:rPr>
        <w:t xml:space="preserve"> et leur examen critique par des pairs</w:t>
      </w:r>
      <w:r w:rsidRPr="001219ED">
        <w:rPr>
          <w:snapToGrid w:val="0"/>
          <w:kern w:val="22"/>
          <w:szCs w:val="22"/>
          <w:lang w:val="fr-CA" w:eastAsia="en-CA"/>
        </w:rPr>
        <w:t xml:space="preserve">, et en organisant </w:t>
      </w:r>
      <w:r>
        <w:rPr>
          <w:snapToGrid w:val="0"/>
          <w:kern w:val="22"/>
          <w:szCs w:val="22"/>
          <w:lang w:val="fr-CA" w:eastAsia="en-CA"/>
        </w:rPr>
        <w:t>au moins une réunion en face-à-face;</w:t>
      </w:r>
    </w:p>
    <w:p w:rsidR="009F6935" w:rsidRPr="002124C3" w:rsidRDefault="009F6935" w:rsidP="009F6935">
      <w:pPr>
        <w:suppressLineNumbers/>
        <w:suppressAutoHyphens/>
        <w:kinsoku w:val="0"/>
        <w:overflowPunct w:val="0"/>
        <w:autoSpaceDE w:val="0"/>
        <w:autoSpaceDN w:val="0"/>
        <w:snapToGrid w:val="0"/>
        <w:spacing w:after="120"/>
        <w:ind w:firstLine="720"/>
        <w:rPr>
          <w:snapToGrid w:val="0"/>
          <w:color w:val="000000" w:themeColor="text1"/>
          <w:kern w:val="22"/>
          <w:szCs w:val="22"/>
          <w:lang w:val="fr-CA" w:eastAsia="en-CA"/>
        </w:rPr>
      </w:pPr>
      <w:r w:rsidRPr="002124C3">
        <w:rPr>
          <w:snapToGrid w:val="0"/>
          <w:color w:val="000000" w:themeColor="text1"/>
          <w:kern w:val="22"/>
          <w:szCs w:val="22"/>
          <w:lang w:val="fr-CA" w:eastAsia="en-CA"/>
        </w:rPr>
        <w:t>c)</w:t>
      </w:r>
      <w:r w:rsidRPr="002124C3">
        <w:rPr>
          <w:snapToGrid w:val="0"/>
          <w:color w:val="000000" w:themeColor="text1"/>
          <w:kern w:val="22"/>
          <w:szCs w:val="22"/>
          <w:lang w:val="fr-CA" w:eastAsia="en-CA"/>
        </w:rPr>
        <w:tab/>
      </w:r>
      <w:r>
        <w:rPr>
          <w:snapToGrid w:val="0"/>
          <w:color w:val="000000" w:themeColor="text1"/>
          <w:kern w:val="22"/>
          <w:szCs w:val="22"/>
          <w:lang w:val="fr-CA" w:eastAsia="en-CA"/>
        </w:rPr>
        <w:t>De mettre à jour le Cahier technique sur la biologie de synthèse, aux fins d’examen par l’Organe subsidiaire chargé de donner des avis scientifiques, techniques et technologiques, sur la base d’informations scientifiques révisées par des pairs et d’autres informations pertinentes;</w:t>
      </w:r>
    </w:p>
    <w:p w:rsidR="009F6935" w:rsidRPr="002124C3" w:rsidRDefault="009F6935" w:rsidP="009F6935">
      <w:pPr>
        <w:snapToGrid w:val="0"/>
        <w:spacing w:after="120"/>
        <w:ind w:firstLine="720"/>
        <w:rPr>
          <w:snapToGrid w:val="0"/>
          <w:color w:val="000000" w:themeColor="text1"/>
          <w:kern w:val="22"/>
          <w:szCs w:val="22"/>
          <w:lang w:val="fr-CA"/>
        </w:rPr>
      </w:pPr>
      <w:r w:rsidRPr="002124C3">
        <w:rPr>
          <w:snapToGrid w:val="0"/>
          <w:color w:val="000000" w:themeColor="text1"/>
          <w:kern w:val="22"/>
          <w:szCs w:val="22"/>
          <w:lang w:val="fr-CA"/>
        </w:rPr>
        <w:t>d)</w:t>
      </w:r>
      <w:r w:rsidRPr="002124C3">
        <w:rPr>
          <w:snapToGrid w:val="0"/>
          <w:color w:val="000000" w:themeColor="text1"/>
          <w:kern w:val="22"/>
          <w:szCs w:val="22"/>
          <w:lang w:val="fr-CA"/>
        </w:rPr>
        <w:tab/>
      </w:r>
      <w:r>
        <w:rPr>
          <w:snapToGrid w:val="0"/>
          <w:color w:val="000000" w:themeColor="text1"/>
          <w:kern w:val="22"/>
          <w:szCs w:val="22"/>
          <w:lang w:val="fr-CA"/>
        </w:rPr>
        <w:t>De p</w:t>
      </w:r>
      <w:r w:rsidRPr="001219ED">
        <w:rPr>
          <w:snapToGrid w:val="0"/>
          <w:color w:val="000000" w:themeColor="text1"/>
          <w:kern w:val="22"/>
          <w:szCs w:val="22"/>
          <w:lang w:val="fr-CA"/>
        </w:rPr>
        <w:t>oursuivre la coopération avec d’autres organisations, conventions et initiatives, y compris des établissements universitaires et</w:t>
      </w:r>
      <w:r>
        <w:rPr>
          <w:snapToGrid w:val="0"/>
          <w:color w:val="000000" w:themeColor="text1"/>
          <w:kern w:val="22"/>
          <w:szCs w:val="22"/>
          <w:lang w:val="fr-CA"/>
        </w:rPr>
        <w:t xml:space="preserve"> des instituts de recherche provenant de</w:t>
      </w:r>
      <w:r w:rsidRPr="001219ED">
        <w:rPr>
          <w:snapToGrid w:val="0"/>
          <w:color w:val="000000" w:themeColor="text1"/>
          <w:kern w:val="22"/>
          <w:szCs w:val="22"/>
          <w:lang w:val="fr-CA"/>
        </w:rPr>
        <w:t xml:space="preserve"> toutes les régions, sur les questions relatives à la biologie de synthèse</w:t>
      </w:r>
      <w:r>
        <w:rPr>
          <w:snapToGrid w:val="0"/>
          <w:color w:val="000000" w:themeColor="text1"/>
          <w:kern w:val="22"/>
          <w:szCs w:val="22"/>
          <w:lang w:val="fr-CA"/>
        </w:rPr>
        <w:t>, y compris un partage de données d’expérience et d’informations;</w:t>
      </w:r>
    </w:p>
    <w:p w:rsidR="009F6935" w:rsidRPr="002124C3" w:rsidRDefault="009F6935" w:rsidP="009F6935">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lang w:val="fr-CA"/>
        </w:rPr>
      </w:pPr>
      <w:r w:rsidRPr="002124C3">
        <w:rPr>
          <w:snapToGrid w:val="0"/>
          <w:color w:val="000000"/>
          <w:kern w:val="22"/>
          <w:szCs w:val="22"/>
          <w:lang w:val="fr-CA"/>
        </w:rPr>
        <w:t>e)</w:t>
      </w:r>
      <w:r w:rsidRPr="002124C3">
        <w:rPr>
          <w:snapToGrid w:val="0"/>
          <w:color w:val="000000"/>
          <w:kern w:val="22"/>
          <w:szCs w:val="22"/>
          <w:lang w:val="fr-CA"/>
        </w:rPr>
        <w:tab/>
      </w:r>
      <w:r>
        <w:rPr>
          <w:snapToGrid w:val="0"/>
          <w:color w:val="000000"/>
          <w:kern w:val="22"/>
          <w:szCs w:val="22"/>
          <w:lang w:val="fr-CA"/>
        </w:rPr>
        <w:t>D’é</w:t>
      </w:r>
      <w:r w:rsidRPr="001219ED">
        <w:rPr>
          <w:snapToGrid w:val="0"/>
          <w:color w:val="000000"/>
          <w:kern w:val="22"/>
          <w:szCs w:val="22"/>
          <w:lang w:val="fr-CA"/>
        </w:rPr>
        <w:t>tu</w:t>
      </w:r>
      <w:r>
        <w:rPr>
          <w:snapToGrid w:val="0"/>
          <w:color w:val="000000"/>
          <w:kern w:val="22"/>
          <w:szCs w:val="22"/>
          <w:lang w:val="fr-CA"/>
        </w:rPr>
        <w:t xml:space="preserve">dier les moyens de faciliter, favoriser et </w:t>
      </w:r>
      <w:r w:rsidRPr="001219ED">
        <w:rPr>
          <w:snapToGrid w:val="0"/>
          <w:color w:val="000000"/>
          <w:kern w:val="22"/>
          <w:szCs w:val="22"/>
          <w:lang w:val="fr-CA"/>
        </w:rPr>
        <w:t>appuyer le renforcement des capacités et le part</w:t>
      </w:r>
      <w:r>
        <w:rPr>
          <w:snapToGrid w:val="0"/>
          <w:color w:val="000000"/>
          <w:kern w:val="22"/>
          <w:szCs w:val="22"/>
          <w:lang w:val="fr-CA"/>
        </w:rPr>
        <w:t xml:space="preserve">age de connaissances concernant </w:t>
      </w:r>
      <w:r w:rsidRPr="001219ED">
        <w:rPr>
          <w:snapToGrid w:val="0"/>
          <w:color w:val="000000"/>
          <w:kern w:val="22"/>
          <w:szCs w:val="22"/>
          <w:lang w:val="fr-CA"/>
        </w:rPr>
        <w:t>la biologie de synthèse, en tenant compte des besoins des Parties et des peuples autochtones et communautés locales, y compris</w:t>
      </w:r>
      <w:r>
        <w:rPr>
          <w:snapToGrid w:val="0"/>
          <w:color w:val="000000"/>
          <w:kern w:val="22"/>
          <w:szCs w:val="22"/>
          <w:lang w:val="fr-CA"/>
        </w:rPr>
        <w:t xml:space="preserve"> en apportant des financements</w:t>
      </w:r>
      <w:r w:rsidRPr="001219ED">
        <w:rPr>
          <w:snapToGrid w:val="0"/>
          <w:color w:val="000000"/>
          <w:kern w:val="22"/>
          <w:szCs w:val="22"/>
          <w:lang w:val="fr-CA"/>
        </w:rPr>
        <w:t xml:space="preserve"> nécessa</w:t>
      </w:r>
      <w:r>
        <w:rPr>
          <w:snapToGrid w:val="0"/>
          <w:color w:val="000000"/>
          <w:kern w:val="22"/>
          <w:szCs w:val="22"/>
          <w:lang w:val="fr-CA"/>
        </w:rPr>
        <w:t xml:space="preserve">ires, et en mettant au point conjointement </w:t>
      </w:r>
      <w:r w:rsidRPr="001219ED">
        <w:rPr>
          <w:snapToGrid w:val="0"/>
          <w:color w:val="000000"/>
          <w:kern w:val="22"/>
          <w:szCs w:val="22"/>
          <w:lang w:val="fr-CA"/>
        </w:rPr>
        <w:t>un</w:t>
      </w:r>
      <w:r>
        <w:rPr>
          <w:snapToGrid w:val="0"/>
          <w:color w:val="000000"/>
          <w:kern w:val="22"/>
          <w:szCs w:val="22"/>
          <w:lang w:val="fr-CA"/>
        </w:rPr>
        <w:t xml:space="preserve"> matériel d’information et de</w:t>
      </w:r>
      <w:r w:rsidRPr="001219ED">
        <w:rPr>
          <w:snapToGrid w:val="0"/>
          <w:color w:val="000000"/>
          <w:kern w:val="22"/>
          <w:szCs w:val="22"/>
          <w:lang w:val="fr-CA"/>
        </w:rPr>
        <w:t xml:space="preserve"> formation dans toutes les langues officielles des </w:t>
      </w:r>
      <w:r>
        <w:rPr>
          <w:snapToGrid w:val="0"/>
          <w:color w:val="000000"/>
          <w:kern w:val="22"/>
          <w:szCs w:val="22"/>
          <w:lang w:val="fr-CA"/>
        </w:rPr>
        <w:t>Nations </w:t>
      </w:r>
      <w:r w:rsidRPr="001219ED">
        <w:rPr>
          <w:snapToGrid w:val="0"/>
          <w:color w:val="000000"/>
          <w:kern w:val="22"/>
          <w:szCs w:val="22"/>
          <w:lang w:val="fr-CA"/>
        </w:rPr>
        <w:t>Unies et, l</w:t>
      </w:r>
      <w:r>
        <w:rPr>
          <w:snapToGrid w:val="0"/>
          <w:color w:val="000000"/>
          <w:kern w:val="22"/>
          <w:szCs w:val="22"/>
          <w:lang w:val="fr-CA"/>
        </w:rPr>
        <w:t>orsque cela est possible, dans d</w:t>
      </w:r>
      <w:r w:rsidRPr="001219ED">
        <w:rPr>
          <w:snapToGrid w:val="0"/>
          <w:color w:val="000000"/>
          <w:kern w:val="22"/>
          <w:szCs w:val="22"/>
          <w:lang w:val="fr-CA"/>
        </w:rPr>
        <w:t>es langues locales</w:t>
      </w:r>
      <w:r>
        <w:rPr>
          <w:snapToGrid w:val="0"/>
          <w:color w:val="000000"/>
          <w:kern w:val="22"/>
          <w:szCs w:val="22"/>
          <w:lang w:val="fr-CA"/>
        </w:rPr>
        <w:t>;</w:t>
      </w:r>
    </w:p>
    <w:p w:rsidR="009F6935" w:rsidRPr="002124C3" w:rsidRDefault="009F6935" w:rsidP="009F6935">
      <w:pPr>
        <w:suppressLineNumbers/>
        <w:tabs>
          <w:tab w:val="left" w:pos="1440"/>
        </w:tabs>
        <w:suppressAutoHyphens/>
        <w:kinsoku w:val="0"/>
        <w:overflowPunct w:val="0"/>
        <w:autoSpaceDE w:val="0"/>
        <w:autoSpaceDN w:val="0"/>
        <w:snapToGrid w:val="0"/>
        <w:spacing w:after="120"/>
        <w:ind w:firstLine="720"/>
        <w:rPr>
          <w:snapToGrid w:val="0"/>
          <w:color w:val="000000"/>
          <w:kern w:val="22"/>
          <w:szCs w:val="22"/>
          <w:lang w:val="fr-CA"/>
        </w:rPr>
      </w:pPr>
      <w:r w:rsidRPr="002124C3">
        <w:rPr>
          <w:snapToGrid w:val="0"/>
          <w:color w:val="000000"/>
          <w:kern w:val="22"/>
          <w:szCs w:val="22"/>
          <w:lang w:val="fr-CA"/>
        </w:rPr>
        <w:t>f)</w:t>
      </w:r>
      <w:r w:rsidRPr="002124C3">
        <w:rPr>
          <w:snapToGrid w:val="0"/>
          <w:color w:val="000000"/>
          <w:kern w:val="22"/>
          <w:szCs w:val="22"/>
          <w:lang w:val="fr-CA"/>
        </w:rPr>
        <w:tab/>
      </w:r>
      <w:r>
        <w:rPr>
          <w:snapToGrid w:val="0"/>
          <w:color w:val="000000"/>
          <w:kern w:val="22"/>
          <w:szCs w:val="22"/>
          <w:lang w:val="fr-CA"/>
        </w:rPr>
        <w:t xml:space="preserve">De collaborer et d’organiser des débats, y compris par le biais du </w:t>
      </w:r>
      <w:r w:rsidRPr="001219ED">
        <w:rPr>
          <w:kern w:val="22"/>
          <w:szCs w:val="22"/>
          <w:lang w:val="fr-CA"/>
        </w:rPr>
        <w:t xml:space="preserve">Réseau de laboratoires pour la détection et l’identification des </w:t>
      </w:r>
      <w:r>
        <w:rPr>
          <w:kern w:val="22"/>
          <w:szCs w:val="22"/>
          <w:lang w:val="fr-CA"/>
        </w:rPr>
        <w:t>organismes vivants modifiés</w:t>
      </w:r>
      <w:r w:rsidRPr="00216808">
        <w:rPr>
          <w:rStyle w:val="FootnoteReference"/>
          <w:snapToGrid w:val="0"/>
          <w:color w:val="000000"/>
          <w:kern w:val="22"/>
          <w:sz w:val="20"/>
          <w:szCs w:val="20"/>
          <w:u w:val="none"/>
          <w:vertAlign w:val="superscript"/>
          <w:lang w:eastAsia="x-none"/>
        </w:rPr>
        <w:footnoteReference w:id="13"/>
      </w:r>
      <w:r>
        <w:rPr>
          <w:kern w:val="22"/>
          <w:szCs w:val="22"/>
          <w:lang w:val="fr-CA"/>
        </w:rPr>
        <w:t>, afin de partager des données d’expérience sur la détection, l’identification et la surveillance des organismes, composants et produits issus de la biologie de synthèse, et de continuer à inviter des laboratoires, y compris des laboratoires d’analyse, à rejoindre ce réseau;</w:t>
      </w:r>
    </w:p>
    <w:p w:rsidR="009F6935" w:rsidRPr="002124C3" w:rsidRDefault="009F6935" w:rsidP="009F6935">
      <w:pPr>
        <w:suppressLineNumbers/>
        <w:tabs>
          <w:tab w:val="left" w:pos="1440"/>
        </w:tabs>
        <w:suppressAutoHyphens/>
        <w:kinsoku w:val="0"/>
        <w:overflowPunct w:val="0"/>
        <w:autoSpaceDE w:val="0"/>
        <w:autoSpaceDN w:val="0"/>
        <w:snapToGrid w:val="0"/>
        <w:spacing w:after="240"/>
        <w:ind w:firstLine="720"/>
        <w:rPr>
          <w:snapToGrid w:val="0"/>
          <w:color w:val="000000"/>
          <w:kern w:val="22"/>
          <w:szCs w:val="22"/>
          <w:lang w:val="fr-CA"/>
        </w:rPr>
      </w:pPr>
      <w:r w:rsidRPr="002124C3">
        <w:rPr>
          <w:snapToGrid w:val="0"/>
          <w:color w:val="000000"/>
          <w:kern w:val="22"/>
          <w:szCs w:val="22"/>
          <w:lang w:val="fr-CA"/>
        </w:rPr>
        <w:t>g)</w:t>
      </w:r>
      <w:r w:rsidRPr="002124C3">
        <w:rPr>
          <w:snapToGrid w:val="0"/>
          <w:color w:val="000000"/>
          <w:kern w:val="22"/>
          <w:szCs w:val="22"/>
          <w:lang w:val="fr-CA"/>
        </w:rPr>
        <w:tab/>
      </w:r>
      <w:r>
        <w:rPr>
          <w:snapToGrid w:val="0"/>
          <w:color w:val="000000"/>
          <w:kern w:val="22"/>
          <w:szCs w:val="22"/>
          <w:lang w:val="fr-CA"/>
        </w:rPr>
        <w:t>D’assurer la participation pleine et effective des peuples autochtones et des communautés locales aux débats et à la prise de décisions concernant la biologie de synthèse, en application de la décision X/40.</w:t>
      </w:r>
    </w:p>
    <w:p w:rsidR="009F6935" w:rsidRPr="002124C3" w:rsidRDefault="009F6935" w:rsidP="009F6935">
      <w:pPr>
        <w:suppressLineNumbers/>
        <w:suppressAutoHyphens/>
        <w:kinsoku w:val="0"/>
        <w:overflowPunct w:val="0"/>
        <w:autoSpaceDE w:val="0"/>
        <w:autoSpaceDN w:val="0"/>
        <w:snapToGrid w:val="0"/>
        <w:spacing w:before="120" w:after="120"/>
        <w:ind w:firstLine="720"/>
        <w:rPr>
          <w:snapToGrid w:val="0"/>
          <w:kern w:val="22"/>
          <w:szCs w:val="22"/>
          <w:lang w:val="fr-CA"/>
        </w:rPr>
      </w:pPr>
      <w:r>
        <w:rPr>
          <w:snapToGrid w:val="0"/>
          <w:kern w:val="22"/>
          <w:szCs w:val="22"/>
          <w:lang w:val="fr-CA"/>
        </w:rPr>
        <w:t>19</w:t>
      </w:r>
      <w:r w:rsidRPr="002124C3">
        <w:rPr>
          <w:snapToGrid w:val="0"/>
          <w:kern w:val="22"/>
          <w:szCs w:val="22"/>
          <w:lang w:val="fr-CA"/>
        </w:rPr>
        <w:t>.</w:t>
      </w:r>
      <w:r w:rsidRPr="002124C3">
        <w:rPr>
          <w:snapToGrid w:val="0"/>
          <w:kern w:val="22"/>
          <w:szCs w:val="22"/>
          <w:lang w:val="fr-CA"/>
        </w:rPr>
        <w:tab/>
      </w:r>
      <w:r w:rsidRPr="001219ED">
        <w:rPr>
          <w:i/>
          <w:snapToGrid w:val="0"/>
          <w:kern w:val="22"/>
          <w:szCs w:val="22"/>
          <w:lang w:val="fr-CA"/>
        </w:rPr>
        <w:t>Prie</w:t>
      </w:r>
      <w:r w:rsidRPr="001219ED">
        <w:rPr>
          <w:snapToGrid w:val="0"/>
          <w:kern w:val="22"/>
          <w:szCs w:val="22"/>
          <w:lang w:val="fr-CA"/>
        </w:rPr>
        <w:t xml:space="preserve"> </w:t>
      </w:r>
      <w:r w:rsidRPr="001219ED">
        <w:rPr>
          <w:bCs/>
          <w:iCs/>
          <w:snapToGrid w:val="0"/>
          <w:kern w:val="22"/>
          <w:szCs w:val="22"/>
          <w:lang w:val="fr-CA"/>
        </w:rPr>
        <w:t>l’Organe subsidiaire chargé de fournir des avis scientifiques, techniques et technologiques</w:t>
      </w:r>
      <w:r>
        <w:rPr>
          <w:bCs/>
          <w:iCs/>
          <w:snapToGrid w:val="0"/>
          <w:kern w:val="22"/>
          <w:szCs w:val="22"/>
          <w:lang w:val="fr-CA"/>
        </w:rPr>
        <w:t> :</w:t>
      </w:r>
    </w:p>
    <w:p w:rsidR="009F6935" w:rsidRPr="002124C3"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2124C3">
        <w:rPr>
          <w:snapToGrid w:val="0"/>
          <w:kern w:val="22"/>
          <w:szCs w:val="22"/>
          <w:lang w:val="fr-CA"/>
        </w:rPr>
        <w:t>a)</w:t>
      </w:r>
      <w:r w:rsidRPr="002124C3">
        <w:rPr>
          <w:snapToGrid w:val="0"/>
          <w:kern w:val="22"/>
          <w:szCs w:val="22"/>
          <w:lang w:val="fr-CA"/>
        </w:rPr>
        <w:tab/>
      </w:r>
      <w:r>
        <w:rPr>
          <w:snapToGrid w:val="0"/>
          <w:kern w:val="22"/>
          <w:szCs w:val="22"/>
          <w:lang w:val="fr-CA"/>
        </w:rPr>
        <w:t>D</w:t>
      </w:r>
      <w:r w:rsidRPr="001219ED">
        <w:rPr>
          <w:snapToGrid w:val="0"/>
          <w:kern w:val="22"/>
          <w:szCs w:val="22"/>
          <w:lang w:val="fr-CA"/>
        </w:rPr>
        <w:t>’examiner les travaux du</w:t>
      </w:r>
      <w:r>
        <w:rPr>
          <w:snapToGrid w:val="0"/>
          <w:kern w:val="22"/>
          <w:szCs w:val="22"/>
          <w:lang w:val="fr-CA"/>
        </w:rPr>
        <w:t xml:space="preserve"> </w:t>
      </w:r>
      <w:r w:rsidRPr="001219ED">
        <w:rPr>
          <w:snapToGrid w:val="0"/>
          <w:color w:val="000000"/>
          <w:kern w:val="22"/>
          <w:szCs w:val="22"/>
          <w:lang w:val="fr-CA"/>
        </w:rPr>
        <w:t>Forum en ligne à composition non limitée sur la biologie de synthèse</w:t>
      </w:r>
      <w:r>
        <w:rPr>
          <w:snapToGrid w:val="0"/>
          <w:color w:val="000000"/>
          <w:kern w:val="22"/>
          <w:szCs w:val="22"/>
          <w:lang w:val="fr-CA"/>
        </w:rPr>
        <w:t xml:space="preserve"> et du</w:t>
      </w:r>
      <w:r w:rsidRPr="001219ED">
        <w:rPr>
          <w:snapToGrid w:val="0"/>
          <w:kern w:val="22"/>
          <w:szCs w:val="22"/>
          <w:lang w:val="fr-CA"/>
        </w:rPr>
        <w:t xml:space="preserve"> </w:t>
      </w:r>
      <w:r w:rsidRPr="001219ED">
        <w:rPr>
          <w:snapToGrid w:val="0"/>
          <w:color w:val="000000"/>
          <w:kern w:val="22"/>
          <w:szCs w:val="22"/>
          <w:lang w:val="fr-CA"/>
        </w:rPr>
        <w:t>Groupe spécial d’experts techniques sur la biologie de synthèse</w:t>
      </w:r>
      <w:r>
        <w:rPr>
          <w:snapToGrid w:val="0"/>
          <w:color w:val="000000"/>
          <w:kern w:val="22"/>
          <w:szCs w:val="22"/>
          <w:lang w:val="fr-CA"/>
        </w:rPr>
        <w:t>;</w:t>
      </w:r>
    </w:p>
    <w:p w:rsidR="009F6935" w:rsidRPr="002124C3"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CA"/>
        </w:rPr>
      </w:pPr>
      <w:r w:rsidRPr="002124C3">
        <w:rPr>
          <w:snapToGrid w:val="0"/>
          <w:kern w:val="22"/>
          <w:szCs w:val="22"/>
          <w:lang w:val="fr-CA"/>
        </w:rPr>
        <w:t>b)</w:t>
      </w:r>
      <w:r w:rsidRPr="002124C3">
        <w:rPr>
          <w:snapToGrid w:val="0"/>
          <w:kern w:val="22"/>
          <w:szCs w:val="22"/>
          <w:lang w:val="fr-CA"/>
        </w:rPr>
        <w:tab/>
      </w:r>
      <w:r>
        <w:rPr>
          <w:snapToGrid w:val="0"/>
          <w:kern w:val="22"/>
          <w:szCs w:val="22"/>
          <w:lang w:val="fr-CA"/>
        </w:rPr>
        <w:t>De prendre note de l’analyse préliminaire effectuée par la Secrétaire exécutive</w:t>
      </w:r>
      <w:r w:rsidRPr="00216808">
        <w:rPr>
          <w:rStyle w:val="FootnoteReference"/>
          <w:snapToGrid w:val="0"/>
          <w:kern w:val="22"/>
          <w:sz w:val="20"/>
          <w:szCs w:val="20"/>
          <w:u w:val="none"/>
          <w:vertAlign w:val="superscript"/>
        </w:rPr>
        <w:footnoteReference w:id="14"/>
      </w:r>
      <w:r>
        <w:rPr>
          <w:snapToGrid w:val="0"/>
          <w:kern w:val="22"/>
          <w:szCs w:val="22"/>
          <w:lang w:val="fr-CA"/>
        </w:rPr>
        <w:t xml:space="preserve"> et d’envisager des analyses et avis plus poussés fournis par le Groupe </w:t>
      </w:r>
      <w:r w:rsidRPr="001219ED">
        <w:rPr>
          <w:snapToGrid w:val="0"/>
          <w:color w:val="000000"/>
          <w:kern w:val="22"/>
          <w:szCs w:val="22"/>
          <w:lang w:val="fr-CA"/>
        </w:rPr>
        <w:t>spécial d’experts techniques sur la biologie de synthèse</w:t>
      </w:r>
      <w:r>
        <w:rPr>
          <w:snapToGrid w:val="0"/>
          <w:color w:val="000000"/>
          <w:kern w:val="22"/>
          <w:szCs w:val="22"/>
          <w:lang w:val="fr-CA"/>
        </w:rPr>
        <w:t xml:space="preserve"> concernant</w:t>
      </w:r>
      <w:r>
        <w:rPr>
          <w:snapToGrid w:val="0"/>
          <w:kern w:val="22"/>
          <w:szCs w:val="22"/>
          <w:lang w:val="fr-CA"/>
        </w:rPr>
        <w:t xml:space="preserve"> la relation entre la biologie de synthèse et les critères énoncés au paragraphe 12 de la décision</w:t>
      </w:r>
      <w:r w:rsidRPr="002124C3">
        <w:rPr>
          <w:snapToGrid w:val="0"/>
          <w:kern w:val="22"/>
          <w:szCs w:val="22"/>
          <w:lang w:val="fr-CA"/>
        </w:rPr>
        <w:t> IX/29</w:t>
      </w:r>
      <w:r>
        <w:rPr>
          <w:snapToGrid w:val="0"/>
          <w:kern w:val="22"/>
          <w:szCs w:val="22"/>
          <w:lang w:val="fr-CA"/>
        </w:rPr>
        <w:t>, afin de contribuer au parachèvement de l’analyse demandée au paragraphe 2 de la décision XII/24;</w:t>
      </w:r>
    </w:p>
    <w:p w:rsidR="009F6935" w:rsidRPr="002124C3" w:rsidRDefault="009F6935" w:rsidP="009F6935">
      <w:pPr>
        <w:suppressLineNumbers/>
        <w:suppressAutoHyphens/>
        <w:kinsoku w:val="0"/>
        <w:overflowPunct w:val="0"/>
        <w:autoSpaceDE w:val="0"/>
        <w:autoSpaceDN w:val="0"/>
        <w:adjustRightInd w:val="0"/>
        <w:snapToGrid w:val="0"/>
        <w:spacing w:before="120" w:after="600"/>
        <w:ind w:firstLine="720"/>
        <w:rPr>
          <w:i/>
          <w:snapToGrid w:val="0"/>
          <w:kern w:val="22"/>
          <w:szCs w:val="22"/>
          <w:lang w:val="fr-CA"/>
        </w:rPr>
      </w:pPr>
      <w:r w:rsidRPr="002124C3">
        <w:rPr>
          <w:snapToGrid w:val="0"/>
          <w:kern w:val="22"/>
          <w:szCs w:val="22"/>
          <w:lang w:val="fr-CA"/>
        </w:rPr>
        <w:t>c)</w:t>
      </w:r>
      <w:r w:rsidRPr="002124C3">
        <w:rPr>
          <w:snapToGrid w:val="0"/>
          <w:kern w:val="22"/>
          <w:szCs w:val="22"/>
          <w:lang w:val="fr-CA"/>
        </w:rPr>
        <w:tab/>
      </w:r>
      <w:r>
        <w:rPr>
          <w:snapToGrid w:val="0"/>
          <w:kern w:val="22"/>
          <w:szCs w:val="22"/>
          <w:lang w:val="fr-CA"/>
        </w:rPr>
        <w:t>D</w:t>
      </w:r>
      <w:r w:rsidRPr="001219ED">
        <w:rPr>
          <w:snapToGrid w:val="0"/>
          <w:kern w:val="22"/>
          <w:szCs w:val="22"/>
          <w:lang w:val="fr-CA"/>
        </w:rPr>
        <w:t>e transmettre une recommandation à la Conférence des Parties à sa quinzième réunion</w:t>
      </w:r>
      <w:r>
        <w:rPr>
          <w:snapToGrid w:val="0"/>
          <w:kern w:val="22"/>
          <w:szCs w:val="22"/>
          <w:lang w:val="fr-CA"/>
        </w:rPr>
        <w:t>.</w:t>
      </w:r>
    </w:p>
    <w:p w:rsidR="009F6935" w:rsidRPr="002124C3" w:rsidRDefault="009F6935" w:rsidP="009F6935">
      <w:pPr>
        <w:suppressLineNumbers/>
        <w:suppressAutoHyphens/>
        <w:kinsoku w:val="0"/>
        <w:overflowPunct w:val="0"/>
        <w:autoSpaceDE w:val="0"/>
        <w:autoSpaceDN w:val="0"/>
        <w:jc w:val="center"/>
        <w:rPr>
          <w:i/>
          <w:snapToGrid w:val="0"/>
          <w:color w:val="000000"/>
          <w:kern w:val="22"/>
          <w:szCs w:val="22"/>
          <w:lang w:val="fr-CA"/>
        </w:rPr>
      </w:pPr>
      <w:r w:rsidRPr="002124C3">
        <w:rPr>
          <w:i/>
          <w:snapToGrid w:val="0"/>
          <w:color w:val="000000"/>
          <w:kern w:val="22"/>
          <w:szCs w:val="22"/>
          <w:lang w:val="fr-CA"/>
        </w:rPr>
        <w:t>Annex</w:t>
      </w:r>
      <w:r>
        <w:rPr>
          <w:i/>
          <w:snapToGrid w:val="0"/>
          <w:color w:val="000000"/>
          <w:kern w:val="22"/>
          <w:szCs w:val="22"/>
          <w:lang w:val="fr-CA"/>
        </w:rPr>
        <w:t>e</w:t>
      </w:r>
    </w:p>
    <w:p w:rsidR="009F6935" w:rsidRPr="002124C3" w:rsidRDefault="009F6935" w:rsidP="009F6935">
      <w:pPr>
        <w:suppressLineNumbers/>
        <w:suppressAutoHyphens/>
        <w:kinsoku w:val="0"/>
        <w:overflowPunct w:val="0"/>
        <w:autoSpaceDE w:val="0"/>
        <w:autoSpaceDN w:val="0"/>
        <w:spacing w:before="120" w:after="240"/>
        <w:ind w:left="284" w:right="248"/>
        <w:jc w:val="center"/>
        <w:rPr>
          <w:b/>
          <w:snapToGrid w:val="0"/>
          <w:color w:val="000000"/>
          <w:kern w:val="22"/>
          <w:szCs w:val="22"/>
          <w:lang w:val="fr-CA"/>
        </w:rPr>
      </w:pPr>
      <w:r>
        <w:rPr>
          <w:b/>
          <w:snapToGrid w:val="0"/>
          <w:color w:val="000000"/>
          <w:kern w:val="22"/>
          <w:szCs w:val="22"/>
          <w:lang w:val="fr-CA"/>
        </w:rPr>
        <w:t>MANDAT DU GROUPE SPÉCIAL D’EXPERTS TECHNIQUES SUR LA BIOLOGIE DE SYNTHÈSE</w:t>
      </w:r>
    </w:p>
    <w:p w:rsidR="009F6935" w:rsidRPr="002124C3" w:rsidRDefault="009F6935" w:rsidP="009F6935">
      <w:pPr>
        <w:suppressLineNumbers/>
        <w:suppressAutoHyphens/>
        <w:kinsoku w:val="0"/>
        <w:overflowPunct w:val="0"/>
        <w:autoSpaceDE w:val="0"/>
        <w:autoSpaceDN w:val="0"/>
        <w:spacing w:before="120" w:after="120"/>
        <w:jc w:val="left"/>
        <w:rPr>
          <w:snapToGrid w:val="0"/>
          <w:color w:val="000000"/>
          <w:kern w:val="22"/>
          <w:szCs w:val="22"/>
          <w:lang w:val="fr-CA"/>
        </w:rPr>
      </w:pPr>
      <w:r>
        <w:rPr>
          <w:snapToGrid w:val="0"/>
          <w:color w:val="000000"/>
          <w:kern w:val="22"/>
          <w:szCs w:val="22"/>
          <w:lang w:val="fr-CA"/>
        </w:rPr>
        <w:t xml:space="preserve">Le </w:t>
      </w:r>
      <w:r w:rsidRPr="001219ED">
        <w:rPr>
          <w:snapToGrid w:val="0"/>
          <w:color w:val="000000"/>
          <w:kern w:val="22"/>
          <w:szCs w:val="22"/>
          <w:lang w:val="fr-CA"/>
        </w:rPr>
        <w:t>Groupe spécial d’experts techniques sur la biologie de synthèse</w:t>
      </w:r>
      <w:r>
        <w:rPr>
          <w:snapToGrid w:val="0"/>
          <w:color w:val="000000"/>
          <w:kern w:val="22"/>
          <w:szCs w:val="22"/>
          <w:lang w:val="fr-CA"/>
        </w:rPr>
        <w:t xml:space="preserve"> est chargé de :</w:t>
      </w:r>
    </w:p>
    <w:p w:rsidR="009F6935" w:rsidRDefault="009F6935" w:rsidP="009F6935">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fr-CA"/>
        </w:rPr>
      </w:pPr>
      <w:r w:rsidRPr="002124C3">
        <w:rPr>
          <w:snapToGrid w:val="0"/>
          <w:color w:val="000000"/>
          <w:kern w:val="22"/>
          <w:szCs w:val="22"/>
          <w:lang w:val="fr-CA"/>
        </w:rPr>
        <w:t>a)</w:t>
      </w:r>
      <w:r w:rsidRPr="002124C3">
        <w:rPr>
          <w:snapToGrid w:val="0"/>
          <w:color w:val="000000"/>
          <w:kern w:val="22"/>
          <w:szCs w:val="22"/>
          <w:lang w:val="fr-CA"/>
        </w:rPr>
        <w:tab/>
      </w:r>
      <w:r>
        <w:rPr>
          <w:snapToGrid w:val="0"/>
          <w:color w:val="000000"/>
          <w:kern w:val="22"/>
          <w:szCs w:val="22"/>
          <w:lang w:val="fr-CA"/>
        </w:rPr>
        <w:t xml:space="preserve">Fournir un </w:t>
      </w:r>
      <w:r>
        <w:rPr>
          <w:snapToGrid w:val="0"/>
          <w:kern w:val="22"/>
          <w:szCs w:val="22"/>
          <w:lang w:val="fr-CA"/>
        </w:rPr>
        <w:t>avis sur la relation entre la biologie de synthèse et les critères énoncés au paragraphe 12 de la décision</w:t>
      </w:r>
      <w:r w:rsidRPr="002124C3">
        <w:rPr>
          <w:snapToGrid w:val="0"/>
          <w:kern w:val="22"/>
          <w:szCs w:val="22"/>
          <w:lang w:val="fr-CA"/>
        </w:rPr>
        <w:t> IX/29</w:t>
      </w:r>
      <w:r>
        <w:rPr>
          <w:snapToGrid w:val="0"/>
          <w:kern w:val="22"/>
          <w:szCs w:val="22"/>
          <w:lang w:val="fr-CA"/>
        </w:rPr>
        <w:t>, afin de contribuer au parachèvement de l’analyse demandée au paragraphe 2 de la décision XII/24, sur la base de</w:t>
      </w:r>
      <w:r w:rsidRPr="00546A85">
        <w:rPr>
          <w:snapToGrid w:val="0"/>
          <w:kern w:val="22"/>
          <w:szCs w:val="22"/>
          <w:lang w:val="fr-CA"/>
        </w:rPr>
        <w:t xml:space="preserve"> </w:t>
      </w:r>
      <w:r>
        <w:rPr>
          <w:snapToGrid w:val="0"/>
          <w:kern w:val="22"/>
          <w:szCs w:val="22"/>
          <w:lang w:val="fr-CA"/>
        </w:rPr>
        <w:t>l’analyse préliminaire effectuée par la Secrétaire exécutive dans le document SBSTTA/22/INF/17;</w:t>
      </w:r>
    </w:p>
    <w:p w:rsidR="009F6935" w:rsidRPr="002124C3" w:rsidRDefault="009F6935" w:rsidP="009F6935">
      <w:pPr>
        <w:suppressLineNumbers/>
        <w:suppressAutoHyphens/>
        <w:kinsoku w:val="0"/>
        <w:overflowPunct w:val="0"/>
        <w:autoSpaceDE w:val="0"/>
        <w:autoSpaceDN w:val="0"/>
        <w:adjustRightInd w:val="0"/>
        <w:snapToGrid w:val="0"/>
        <w:spacing w:before="120" w:after="120"/>
        <w:ind w:firstLine="720"/>
        <w:rPr>
          <w:snapToGrid w:val="0"/>
          <w:color w:val="000000"/>
          <w:kern w:val="22"/>
          <w:szCs w:val="22"/>
          <w:lang w:val="fr-CA"/>
        </w:rPr>
      </w:pPr>
      <w:r>
        <w:rPr>
          <w:snapToGrid w:val="0"/>
          <w:color w:val="000000"/>
          <w:kern w:val="22"/>
          <w:szCs w:val="22"/>
          <w:lang w:val="fr-CA"/>
        </w:rPr>
        <w:lastRenderedPageBreak/>
        <w:t>b)</w:t>
      </w:r>
      <w:r>
        <w:rPr>
          <w:snapToGrid w:val="0"/>
          <w:color w:val="000000"/>
          <w:kern w:val="22"/>
          <w:szCs w:val="22"/>
          <w:lang w:val="fr-CA"/>
        </w:rPr>
        <w:tab/>
        <w:t xml:space="preserve">Faire </w:t>
      </w:r>
      <w:r w:rsidRPr="001219ED">
        <w:rPr>
          <w:snapToGrid w:val="0"/>
          <w:color w:val="000000"/>
          <w:kern w:val="22"/>
          <w:szCs w:val="22"/>
          <w:lang w:val="fr-CA"/>
        </w:rPr>
        <w:t>l’inventaire des nouvelles avancées dans le domaine de la biologie de synthèse depuis la dernière réunion du Groupe spécial d’experts techniques, en vue d’appuyer un processus d’analyse prospective périodique</w:t>
      </w:r>
      <w:r>
        <w:rPr>
          <w:snapToGrid w:val="0"/>
          <w:color w:val="000000"/>
          <w:kern w:val="22"/>
          <w:szCs w:val="22"/>
          <w:lang w:val="fr-CA"/>
        </w:rPr>
        <w:t>;</w:t>
      </w:r>
    </w:p>
    <w:p w:rsidR="009F6935" w:rsidRPr="002124C3" w:rsidRDefault="009F6935" w:rsidP="009F6935">
      <w:pPr>
        <w:suppressLineNumbers/>
        <w:suppressAutoHyphens/>
        <w:kinsoku w:val="0"/>
        <w:overflowPunct w:val="0"/>
        <w:autoSpaceDE w:val="0"/>
        <w:autoSpaceDN w:val="0"/>
        <w:adjustRightInd w:val="0"/>
        <w:snapToGrid w:val="0"/>
        <w:spacing w:before="120" w:after="120"/>
        <w:ind w:firstLine="720"/>
        <w:rPr>
          <w:iCs/>
          <w:snapToGrid w:val="0"/>
          <w:spacing w:val="-1"/>
          <w:kern w:val="22"/>
          <w:szCs w:val="22"/>
          <w:lang w:val="fr-CA"/>
        </w:rPr>
      </w:pPr>
      <w:r>
        <w:rPr>
          <w:iCs/>
          <w:snapToGrid w:val="0"/>
          <w:spacing w:val="-1"/>
          <w:kern w:val="22"/>
          <w:szCs w:val="22"/>
          <w:lang w:val="fr-CA"/>
        </w:rPr>
        <w:t>c</w:t>
      </w:r>
      <w:r w:rsidRPr="002124C3">
        <w:rPr>
          <w:iCs/>
          <w:snapToGrid w:val="0"/>
          <w:spacing w:val="-1"/>
          <w:kern w:val="22"/>
          <w:szCs w:val="22"/>
          <w:lang w:val="fr-CA"/>
        </w:rPr>
        <w:t>)</w:t>
      </w:r>
      <w:r w:rsidRPr="002124C3">
        <w:rPr>
          <w:iCs/>
          <w:snapToGrid w:val="0"/>
          <w:spacing w:val="-1"/>
          <w:kern w:val="22"/>
          <w:szCs w:val="22"/>
          <w:lang w:val="fr-CA"/>
        </w:rPr>
        <w:tab/>
      </w:r>
      <w:r>
        <w:rPr>
          <w:snapToGrid w:val="0"/>
          <w:color w:val="000000"/>
          <w:kern w:val="22"/>
          <w:szCs w:val="22"/>
          <w:lang w:val="fr-CA"/>
        </w:rPr>
        <w:t>E</w:t>
      </w:r>
      <w:r w:rsidRPr="001219ED">
        <w:rPr>
          <w:snapToGrid w:val="0"/>
          <w:color w:val="000000"/>
          <w:kern w:val="22"/>
          <w:szCs w:val="22"/>
          <w:lang w:val="fr-CA"/>
        </w:rPr>
        <w:t xml:space="preserve">ffectuer une analyse de l’état actuel des connaissances, en analysant les </w:t>
      </w:r>
      <w:r w:rsidRPr="001219ED">
        <w:rPr>
          <w:snapToGrid w:val="0"/>
          <w:kern w:val="22"/>
          <w:szCs w:val="22"/>
          <w:lang w:val="fr-CA"/>
        </w:rPr>
        <w:t>informations disponibles, y compris, entre autres, les publications à comité de le</w:t>
      </w:r>
      <w:r>
        <w:rPr>
          <w:snapToGrid w:val="0"/>
          <w:kern w:val="22"/>
          <w:szCs w:val="22"/>
          <w:lang w:val="fr-CA"/>
        </w:rPr>
        <w:t>cture, concernant les impact</w:t>
      </w:r>
      <w:r w:rsidRPr="001219ED">
        <w:rPr>
          <w:snapToGrid w:val="0"/>
          <w:kern w:val="22"/>
          <w:szCs w:val="22"/>
          <w:lang w:val="fr-CA"/>
        </w:rPr>
        <w:t xml:space="preserve">s </w:t>
      </w:r>
      <w:r>
        <w:rPr>
          <w:iCs/>
          <w:snapToGrid w:val="0"/>
          <w:kern w:val="22"/>
          <w:szCs w:val="22"/>
          <w:lang w:val="fr-CA"/>
        </w:rPr>
        <w:t>positifs et négatifs potentiel</w:t>
      </w:r>
      <w:r w:rsidRPr="001219ED">
        <w:rPr>
          <w:iCs/>
          <w:snapToGrid w:val="0"/>
          <w:kern w:val="22"/>
          <w:szCs w:val="22"/>
          <w:lang w:val="fr-CA"/>
        </w:rPr>
        <w:t xml:space="preserve">s </w:t>
      </w:r>
      <w:r>
        <w:rPr>
          <w:iCs/>
          <w:snapToGrid w:val="0"/>
          <w:kern w:val="22"/>
          <w:szCs w:val="22"/>
          <w:lang w:val="fr-CA"/>
        </w:rPr>
        <w:t>sur l’environnement</w:t>
      </w:r>
      <w:r w:rsidRPr="001219ED">
        <w:rPr>
          <w:iCs/>
          <w:snapToGrid w:val="0"/>
          <w:kern w:val="22"/>
          <w:szCs w:val="22"/>
          <w:lang w:val="fr-CA"/>
        </w:rPr>
        <w:t>,</w:t>
      </w:r>
      <w:r>
        <w:rPr>
          <w:iCs/>
          <w:snapToGrid w:val="0"/>
          <w:kern w:val="22"/>
          <w:szCs w:val="22"/>
          <w:lang w:val="fr-CA"/>
        </w:rPr>
        <w:t xml:space="preserve"> en tenant compte de la santé humaine et des impacts culturel</w:t>
      </w:r>
      <w:r w:rsidRPr="001219ED">
        <w:rPr>
          <w:iCs/>
          <w:snapToGrid w:val="0"/>
          <w:kern w:val="22"/>
          <w:szCs w:val="22"/>
          <w:lang w:val="fr-CA"/>
        </w:rPr>
        <w:t>s</w:t>
      </w:r>
      <w:r>
        <w:rPr>
          <w:iCs/>
          <w:snapToGrid w:val="0"/>
          <w:kern w:val="22"/>
          <w:szCs w:val="22"/>
          <w:lang w:val="fr-CA"/>
        </w:rPr>
        <w:t xml:space="preserve"> et </w:t>
      </w:r>
      <w:r w:rsidRPr="001219ED">
        <w:rPr>
          <w:iCs/>
          <w:snapToGrid w:val="0"/>
          <w:kern w:val="22"/>
          <w:szCs w:val="22"/>
          <w:lang w:val="fr-CA"/>
        </w:rPr>
        <w:t>socioéconomiques</w:t>
      </w:r>
      <w:r>
        <w:rPr>
          <w:iCs/>
          <w:snapToGrid w:val="0"/>
          <w:kern w:val="22"/>
          <w:szCs w:val="22"/>
          <w:lang w:val="fr-CA"/>
        </w:rPr>
        <w:t>, en ce qui concerne notamment la valeur de la diversité biologique pour les peuples autochtones et les communautés locales,</w:t>
      </w:r>
      <w:r w:rsidRPr="001219ED">
        <w:rPr>
          <w:iCs/>
          <w:snapToGrid w:val="0"/>
          <w:kern w:val="22"/>
          <w:szCs w:val="22"/>
          <w:lang w:val="fr-CA"/>
        </w:rPr>
        <w:t xml:space="preserve"> des applications actuelles ou prochaines de la biologie de synthèse, </w:t>
      </w:r>
      <w:r>
        <w:rPr>
          <w:iCs/>
          <w:snapToGrid w:val="0"/>
          <w:kern w:val="22"/>
          <w:szCs w:val="22"/>
          <w:lang w:val="fr-CA"/>
        </w:rPr>
        <w:t>notamment les applications qui utilisent des organismes résultant du forçage génétique, en tenant compte des caractéristiques et des espèces qui pourraient potentiellement être disséminées et de la dynamique de leur dissémination, ainsi que de la nécessité d’éviter les doubles emplois avec les travaux sur l’évaluation des risques menés au titre du Protocole de Cartagena sur la prévention des risques biotechnologiques;</w:t>
      </w:r>
    </w:p>
    <w:p w:rsidR="009F6935" w:rsidRPr="002124C3" w:rsidRDefault="009F6935" w:rsidP="009F6935">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Pr>
          <w:iCs/>
          <w:snapToGrid w:val="0"/>
          <w:kern w:val="22"/>
          <w:szCs w:val="22"/>
          <w:lang w:val="fr-CA"/>
        </w:rPr>
        <w:t>d</w:t>
      </w:r>
      <w:r w:rsidRPr="002124C3">
        <w:rPr>
          <w:iCs/>
          <w:snapToGrid w:val="0"/>
          <w:kern w:val="22"/>
          <w:szCs w:val="22"/>
          <w:lang w:val="fr-CA"/>
        </w:rPr>
        <w:t>)</w:t>
      </w:r>
      <w:r w:rsidRPr="002124C3">
        <w:rPr>
          <w:iCs/>
          <w:snapToGrid w:val="0"/>
          <w:kern w:val="22"/>
          <w:szCs w:val="22"/>
          <w:lang w:val="fr-CA"/>
        </w:rPr>
        <w:tab/>
      </w:r>
      <w:r>
        <w:rPr>
          <w:iCs/>
          <w:snapToGrid w:val="0"/>
          <w:kern w:val="22"/>
          <w:szCs w:val="22"/>
          <w:lang w:val="fr-CA"/>
        </w:rPr>
        <w:t>Examiner s’il existe des organismes créés à ce jour par des avancées dans le domaine de la biologie de synthèse, qui n’entrent pas dans la définition du terme « organisme vivant modifié » au sens du Protocole de Cartagena;</w:t>
      </w:r>
    </w:p>
    <w:p w:rsidR="009F6935" w:rsidRPr="002124C3" w:rsidRDefault="009F6935" w:rsidP="009F6935">
      <w:pPr>
        <w:suppressLineNumbers/>
        <w:suppressAutoHyphens/>
        <w:kinsoku w:val="0"/>
        <w:overflowPunct w:val="0"/>
        <w:autoSpaceDE w:val="0"/>
        <w:autoSpaceDN w:val="0"/>
        <w:adjustRightInd w:val="0"/>
        <w:snapToGrid w:val="0"/>
        <w:spacing w:before="120" w:after="120"/>
        <w:ind w:firstLine="720"/>
        <w:rPr>
          <w:iCs/>
          <w:snapToGrid w:val="0"/>
          <w:kern w:val="22"/>
          <w:szCs w:val="22"/>
          <w:lang w:val="fr-CA"/>
        </w:rPr>
      </w:pPr>
      <w:r>
        <w:rPr>
          <w:iCs/>
          <w:snapToGrid w:val="0"/>
          <w:kern w:val="22"/>
          <w:szCs w:val="22"/>
          <w:lang w:val="fr-CA"/>
        </w:rPr>
        <w:t>e</w:t>
      </w:r>
      <w:r w:rsidRPr="002124C3">
        <w:rPr>
          <w:iCs/>
          <w:snapToGrid w:val="0"/>
          <w:kern w:val="22"/>
          <w:szCs w:val="22"/>
          <w:lang w:val="fr-CA"/>
        </w:rPr>
        <w:t>)</w:t>
      </w:r>
      <w:r w:rsidRPr="002124C3">
        <w:rPr>
          <w:iCs/>
          <w:snapToGrid w:val="0"/>
          <w:kern w:val="22"/>
          <w:szCs w:val="22"/>
          <w:lang w:val="fr-CA"/>
        </w:rPr>
        <w:tab/>
      </w:r>
      <w:r>
        <w:rPr>
          <w:iCs/>
          <w:snapToGrid w:val="0"/>
          <w:kern w:val="22"/>
          <w:szCs w:val="22"/>
          <w:lang w:val="fr-CA"/>
        </w:rPr>
        <w:t>Établir un rapport prospectif sur l</w:t>
      </w:r>
      <w:r w:rsidRPr="001219ED">
        <w:rPr>
          <w:iCs/>
          <w:snapToGrid w:val="0"/>
          <w:kern w:val="22"/>
          <w:szCs w:val="22"/>
          <w:lang w:val="fr-CA"/>
        </w:rPr>
        <w:t>es applications de la biologie de synthèse qui sont aux premiers stades de recherche et développement</w:t>
      </w:r>
      <w:r>
        <w:rPr>
          <w:iCs/>
          <w:snapToGrid w:val="0"/>
          <w:kern w:val="22"/>
          <w:szCs w:val="22"/>
          <w:lang w:val="fr-CA"/>
        </w:rPr>
        <w:t xml:space="preserve">, au regard des trois objectifs de la Convention, en compilant et en analysant les informations, y compris, entre autres, les </w:t>
      </w:r>
      <w:r w:rsidRPr="001219ED">
        <w:rPr>
          <w:snapToGrid w:val="0"/>
          <w:kern w:val="22"/>
          <w:szCs w:val="22"/>
          <w:lang w:val="fr-CA"/>
        </w:rPr>
        <w:t>publications à comité de lecture</w:t>
      </w:r>
      <w:r>
        <w:rPr>
          <w:iCs/>
          <w:snapToGrid w:val="0"/>
          <w:kern w:val="22"/>
          <w:szCs w:val="22"/>
          <w:lang w:val="fr-CA"/>
        </w:rPr>
        <w:t>;</w:t>
      </w:r>
    </w:p>
    <w:p w:rsidR="009F6935" w:rsidRPr="002124C3" w:rsidRDefault="009F6935" w:rsidP="009F6935">
      <w:pPr>
        <w:suppressLineNumbers/>
        <w:suppressAutoHyphens/>
        <w:kinsoku w:val="0"/>
        <w:overflowPunct w:val="0"/>
        <w:autoSpaceDE w:val="0"/>
        <w:autoSpaceDN w:val="0"/>
        <w:adjustRightInd w:val="0"/>
        <w:snapToGrid w:val="0"/>
        <w:spacing w:before="120" w:after="360"/>
        <w:ind w:firstLine="720"/>
        <w:rPr>
          <w:snapToGrid w:val="0"/>
          <w:color w:val="000000"/>
          <w:kern w:val="22"/>
          <w:szCs w:val="22"/>
          <w:lang w:val="fr-CA"/>
        </w:rPr>
      </w:pPr>
      <w:r w:rsidRPr="002124C3">
        <w:rPr>
          <w:snapToGrid w:val="0"/>
          <w:color w:val="000000"/>
          <w:kern w:val="22"/>
          <w:szCs w:val="22"/>
          <w:lang w:val="fr-CA"/>
        </w:rPr>
        <w:t>f)</w:t>
      </w:r>
      <w:r w:rsidRPr="002124C3">
        <w:rPr>
          <w:snapToGrid w:val="0"/>
          <w:color w:val="000000"/>
          <w:kern w:val="22"/>
          <w:szCs w:val="22"/>
          <w:lang w:val="fr-CA"/>
        </w:rPr>
        <w:tab/>
      </w:r>
      <w:r>
        <w:rPr>
          <w:iCs/>
          <w:snapToGrid w:val="0"/>
          <w:kern w:val="22"/>
          <w:szCs w:val="22"/>
          <w:lang w:val="fr-CA"/>
        </w:rPr>
        <w:t>É</w:t>
      </w:r>
      <w:r w:rsidRPr="001219ED">
        <w:rPr>
          <w:iCs/>
          <w:snapToGrid w:val="0"/>
          <w:kern w:val="22"/>
          <w:szCs w:val="22"/>
          <w:lang w:val="fr-CA"/>
        </w:rPr>
        <w:t xml:space="preserve">tablir un rapport sur les résultats de ses travaux, </w:t>
      </w:r>
      <w:r>
        <w:rPr>
          <w:iCs/>
          <w:snapToGrid w:val="0"/>
          <w:kern w:val="22"/>
          <w:szCs w:val="22"/>
          <w:lang w:val="fr-CA"/>
        </w:rPr>
        <w:t>aux fins</w:t>
      </w:r>
      <w:r w:rsidRPr="001219ED">
        <w:rPr>
          <w:iCs/>
          <w:snapToGrid w:val="0"/>
          <w:kern w:val="22"/>
          <w:szCs w:val="22"/>
          <w:lang w:val="fr-CA"/>
        </w:rPr>
        <w:t xml:space="preserve"> </w:t>
      </w:r>
      <w:r>
        <w:rPr>
          <w:iCs/>
          <w:snapToGrid w:val="0"/>
          <w:kern w:val="22"/>
          <w:szCs w:val="22"/>
          <w:lang w:val="fr-CA"/>
        </w:rPr>
        <w:t>d’</w:t>
      </w:r>
      <w:r w:rsidRPr="001219ED">
        <w:rPr>
          <w:iCs/>
          <w:snapToGrid w:val="0"/>
          <w:kern w:val="22"/>
          <w:szCs w:val="22"/>
          <w:lang w:val="fr-CA"/>
        </w:rPr>
        <w:t xml:space="preserve">examen par </w:t>
      </w:r>
      <w:r w:rsidRPr="001219ED">
        <w:rPr>
          <w:bCs/>
          <w:iCs/>
          <w:snapToGrid w:val="0"/>
          <w:kern w:val="22"/>
          <w:szCs w:val="22"/>
          <w:lang w:val="fr-CA"/>
        </w:rPr>
        <w:t>l’Organe subsidiaire chargé de fournir des avis scientifiques, techniques et technologiques</w:t>
      </w:r>
      <w:r>
        <w:rPr>
          <w:bCs/>
          <w:iCs/>
          <w:snapToGrid w:val="0"/>
          <w:kern w:val="22"/>
          <w:szCs w:val="22"/>
          <w:lang w:val="fr-CA"/>
        </w:rPr>
        <w:t xml:space="preserve"> à une réunion qui se tiendra avant la quinzième réunion de la Conférence des Parties.</w:t>
      </w:r>
    </w:p>
    <w:p w:rsidR="009F6935" w:rsidRDefault="009F6935">
      <w:pPr>
        <w:jc w:val="left"/>
        <w:rPr>
          <w:lang w:val="fr-CA"/>
        </w:rPr>
      </w:pPr>
      <w:r>
        <w:rPr>
          <w:lang w:val="fr-CA"/>
        </w:rPr>
        <w:br w:type="page"/>
      </w:r>
    </w:p>
    <w:p w:rsidR="00DC2190" w:rsidRDefault="00DC2190">
      <w:pPr>
        <w:jc w:val="left"/>
        <w:rPr>
          <w:lang w:val="fr-CA"/>
        </w:rPr>
      </w:pPr>
    </w:p>
    <w:p w:rsidR="009F6935" w:rsidRPr="00216808" w:rsidRDefault="009F6935" w:rsidP="00216808">
      <w:pPr>
        <w:pStyle w:val="Heading2"/>
        <w:tabs>
          <w:tab w:val="clear" w:pos="720"/>
          <w:tab w:val="left" w:pos="851"/>
        </w:tabs>
        <w:spacing w:after="240"/>
        <w:ind w:left="851" w:hanging="851"/>
        <w:jc w:val="left"/>
        <w:rPr>
          <w:caps/>
          <w:lang w:val="fr-FR"/>
        </w:rPr>
      </w:pPr>
      <w:bookmarkStart w:id="13" w:name="_Toc525904151"/>
      <w:bookmarkStart w:id="14" w:name="_Toc525904554"/>
      <w:r w:rsidRPr="00216808">
        <w:rPr>
          <w:szCs w:val="22"/>
          <w:lang w:val="fr-FR"/>
        </w:rPr>
        <w:t xml:space="preserve">22/4. </w:t>
      </w:r>
      <w:r w:rsidRPr="00216808">
        <w:rPr>
          <w:szCs w:val="22"/>
          <w:lang w:val="fr-FR"/>
        </w:rPr>
        <w:tab/>
      </w:r>
      <w:r w:rsidRPr="00216808">
        <w:rPr>
          <w:rFonts w:ascii="Times New Roman Bold" w:hAnsi="Times New Roman Bold" w:cs="Times New Roman Bold"/>
          <w:bCs w:val="0"/>
          <w:snapToGrid w:val="0"/>
          <w:kern w:val="22"/>
          <w:szCs w:val="22"/>
          <w:lang w:val="fr-FR"/>
        </w:rPr>
        <w:t xml:space="preserve">Évaluation scientifique actualisée des progrès accomplis dans la réalisation de certains Objectifs d’Aichi </w:t>
      </w:r>
      <w:r w:rsidRPr="00216808">
        <w:rPr>
          <w:snapToGrid w:val="0"/>
          <w:kern w:val="22"/>
          <w:szCs w:val="22"/>
          <w:lang w:val="fr-FR"/>
        </w:rPr>
        <w:t xml:space="preserve">pour la biodiversité </w:t>
      </w:r>
      <w:r w:rsidRPr="00216808">
        <w:rPr>
          <w:rFonts w:ascii="Times New Roman Bold" w:hAnsi="Times New Roman Bold" w:cs="Times New Roman Bold"/>
          <w:bCs w:val="0"/>
          <w:snapToGrid w:val="0"/>
          <w:kern w:val="22"/>
          <w:szCs w:val="22"/>
          <w:lang w:val="fr-FR"/>
        </w:rPr>
        <w:t>et options pour accélérer les progrès accomplis</w:t>
      </w:r>
      <w:bookmarkEnd w:id="13"/>
      <w:bookmarkEnd w:id="14"/>
      <w:r w:rsidRPr="00216808">
        <w:rPr>
          <w:rFonts w:ascii="Times New Roman Bold" w:hAnsi="Times New Roman Bold" w:cs="Times New Roman Bold"/>
          <w:bCs w:val="0"/>
          <w:caps/>
          <w:snapToGrid w:val="0"/>
          <w:kern w:val="22"/>
          <w:szCs w:val="22"/>
          <w:lang w:val="fr-FR"/>
        </w:rPr>
        <w:t xml:space="preserve"> </w:t>
      </w:r>
    </w:p>
    <w:p w:rsidR="009F6935" w:rsidRPr="001724BB" w:rsidRDefault="009F6935" w:rsidP="009F6935">
      <w:pPr>
        <w:suppressLineNumbers/>
        <w:suppressAutoHyphens/>
        <w:kinsoku w:val="0"/>
        <w:overflowPunct w:val="0"/>
        <w:autoSpaceDE w:val="0"/>
        <w:autoSpaceDN w:val="0"/>
        <w:spacing w:before="120" w:after="120"/>
        <w:ind w:firstLine="720"/>
        <w:rPr>
          <w:i/>
          <w:iCs/>
          <w:snapToGrid w:val="0"/>
          <w:kern w:val="22"/>
          <w:szCs w:val="22"/>
          <w:lang w:val="fr-FR"/>
        </w:rPr>
      </w:pPr>
      <w:r>
        <w:rPr>
          <w:i/>
          <w:iCs/>
          <w:snapToGrid w:val="0"/>
          <w:kern w:val="22"/>
          <w:szCs w:val="22"/>
          <w:lang w:val="fr-FR"/>
        </w:rPr>
        <w:t>L’</w:t>
      </w:r>
      <w:r w:rsidRPr="001724BB">
        <w:rPr>
          <w:i/>
          <w:iCs/>
          <w:snapToGrid w:val="0"/>
          <w:kern w:val="22"/>
          <w:szCs w:val="22"/>
          <w:lang w:val="fr-FR"/>
        </w:rPr>
        <w:t>Organe subsidiaire chargé de fournir des avis scientifiques, techniques et technologiques,</w:t>
      </w:r>
    </w:p>
    <w:p w:rsidR="009F6935" w:rsidRPr="001724BB" w:rsidRDefault="009F6935" w:rsidP="009F6935">
      <w:pPr>
        <w:suppressLineNumbers/>
        <w:suppressAutoHyphens/>
        <w:kinsoku w:val="0"/>
        <w:overflowPunct w:val="0"/>
        <w:autoSpaceDE w:val="0"/>
        <w:autoSpaceDN w:val="0"/>
        <w:spacing w:before="120" w:after="120"/>
        <w:ind w:firstLine="720"/>
        <w:rPr>
          <w:i/>
          <w:iCs/>
          <w:snapToGrid w:val="0"/>
          <w:kern w:val="22"/>
          <w:szCs w:val="22"/>
          <w:lang w:val="fr-FR"/>
        </w:rPr>
      </w:pPr>
      <w:r w:rsidRPr="001724BB">
        <w:rPr>
          <w:i/>
          <w:iCs/>
          <w:snapToGrid w:val="0"/>
          <w:kern w:val="22"/>
          <w:szCs w:val="22"/>
          <w:lang w:val="fr-FR"/>
        </w:rPr>
        <w:t xml:space="preserve">Rappelant </w:t>
      </w:r>
      <w:r w:rsidRPr="001724BB">
        <w:rPr>
          <w:iCs/>
          <w:snapToGrid w:val="0"/>
          <w:kern w:val="22"/>
          <w:szCs w:val="22"/>
          <w:lang w:val="fr-FR"/>
        </w:rPr>
        <w:t>la décision XIII/29,</w:t>
      </w:r>
    </w:p>
    <w:p w:rsidR="009F6935" w:rsidRPr="001724BB" w:rsidRDefault="009F6935" w:rsidP="009F6935">
      <w:pPr>
        <w:pStyle w:val="ListParagraph"/>
        <w:suppressLineNumbers/>
        <w:suppressAutoHyphens/>
        <w:kinsoku w:val="0"/>
        <w:overflowPunct w:val="0"/>
        <w:autoSpaceDE w:val="0"/>
        <w:autoSpaceDN w:val="0"/>
        <w:spacing w:before="120" w:after="120"/>
        <w:ind w:left="0" w:firstLine="720"/>
        <w:contextualSpacing w:val="0"/>
        <w:rPr>
          <w:szCs w:val="22"/>
          <w:lang w:val="fr-FR"/>
        </w:rPr>
      </w:pPr>
      <w:r w:rsidRPr="001724BB">
        <w:rPr>
          <w:snapToGrid w:val="0"/>
          <w:kern w:val="22"/>
          <w:szCs w:val="22"/>
          <w:lang w:val="fr-FR"/>
        </w:rPr>
        <w:t>1.</w:t>
      </w:r>
      <w:r w:rsidRPr="001724BB">
        <w:rPr>
          <w:i/>
          <w:snapToGrid w:val="0"/>
          <w:kern w:val="22"/>
          <w:szCs w:val="22"/>
          <w:lang w:val="fr-FR"/>
        </w:rPr>
        <w:tab/>
      </w:r>
      <w:r>
        <w:rPr>
          <w:i/>
          <w:kern w:val="22"/>
          <w:lang w:val="fr-FR"/>
        </w:rPr>
        <w:t>Accueille avec satisfaction</w:t>
      </w:r>
      <w:r w:rsidRPr="0018026F">
        <w:rPr>
          <w:iCs/>
          <w:kern w:val="22"/>
          <w:lang w:val="fr-FR"/>
        </w:rPr>
        <w:t xml:space="preserve"> </w:t>
      </w:r>
      <w:r>
        <w:rPr>
          <w:iCs/>
          <w:kern w:val="22"/>
          <w:lang w:val="fr-FR"/>
        </w:rPr>
        <w:t>l</w:t>
      </w:r>
      <w:r w:rsidRPr="0018026F">
        <w:rPr>
          <w:iCs/>
          <w:kern w:val="22"/>
          <w:lang w:val="fr-FR"/>
        </w:rPr>
        <w:t>e</w:t>
      </w:r>
      <w:r>
        <w:rPr>
          <w:iCs/>
          <w:kern w:val="22"/>
          <w:lang w:val="fr-FR"/>
        </w:rPr>
        <w:t>s</w:t>
      </w:r>
      <w:r w:rsidRPr="0018026F">
        <w:rPr>
          <w:iCs/>
          <w:kern w:val="22"/>
          <w:lang w:val="fr-FR"/>
        </w:rPr>
        <w:t xml:space="preserve"> évaluations régionales</w:t>
      </w:r>
      <w:r>
        <w:rPr>
          <w:iCs/>
          <w:kern w:val="22"/>
          <w:lang w:val="fr-FR"/>
        </w:rPr>
        <w:t xml:space="preserve"> de la</w:t>
      </w:r>
      <w:r w:rsidRPr="0018026F">
        <w:rPr>
          <w:iCs/>
          <w:kern w:val="22"/>
          <w:lang w:val="fr-FR"/>
        </w:rPr>
        <w:t xml:space="preserve"> </w:t>
      </w:r>
      <w:r>
        <w:rPr>
          <w:iCs/>
          <w:kern w:val="22"/>
          <w:lang w:val="fr-FR"/>
        </w:rPr>
        <w:t>biodiversité</w:t>
      </w:r>
      <w:r w:rsidRPr="0018026F">
        <w:rPr>
          <w:iCs/>
          <w:kern w:val="22"/>
          <w:lang w:val="fr-FR"/>
        </w:rPr>
        <w:t xml:space="preserve"> et </w:t>
      </w:r>
      <w:r>
        <w:rPr>
          <w:iCs/>
          <w:kern w:val="22"/>
          <w:lang w:val="fr-FR"/>
        </w:rPr>
        <w:t xml:space="preserve">des </w:t>
      </w:r>
      <w:r w:rsidRPr="0018026F">
        <w:rPr>
          <w:iCs/>
          <w:kern w:val="22"/>
          <w:lang w:val="fr-FR"/>
        </w:rPr>
        <w:t xml:space="preserve">services écosystémiques </w:t>
      </w:r>
      <w:r>
        <w:rPr>
          <w:iCs/>
          <w:kern w:val="22"/>
          <w:lang w:val="fr-FR"/>
        </w:rPr>
        <w:t>pour l’Afrique, les Amériques, l’Asie et Pacifique, et l’Europe et Asie centrale,</w:t>
      </w:r>
      <w:r w:rsidRPr="0018026F">
        <w:rPr>
          <w:iCs/>
          <w:kern w:val="22"/>
          <w:lang w:val="fr-FR"/>
        </w:rPr>
        <w:t xml:space="preserve"> et </w:t>
      </w:r>
      <w:r>
        <w:rPr>
          <w:iCs/>
          <w:kern w:val="22"/>
          <w:lang w:val="fr-FR"/>
        </w:rPr>
        <w:t>l’évaluation thématique sur la dégradation et la restauration des terres de la</w:t>
      </w:r>
      <w:r w:rsidRPr="0018026F">
        <w:rPr>
          <w:iCs/>
          <w:kern w:val="22"/>
          <w:lang w:val="fr-FR"/>
        </w:rPr>
        <w:t xml:space="preserve"> </w:t>
      </w:r>
      <w:r>
        <w:rPr>
          <w:rFonts w:asciiTheme="majorBidi" w:hAnsiTheme="majorBidi" w:cstheme="majorBidi"/>
          <w:kern w:val="22"/>
          <w:szCs w:val="22"/>
          <w:lang w:val="fr-FR"/>
        </w:rPr>
        <w:t xml:space="preserve">Plateforme intergouvernementale scientifique et politique sur la biodiversité </w:t>
      </w:r>
      <w:r w:rsidRPr="0018026F">
        <w:rPr>
          <w:rFonts w:asciiTheme="majorBidi" w:hAnsiTheme="majorBidi" w:cstheme="majorBidi"/>
          <w:kern w:val="22"/>
          <w:szCs w:val="22"/>
          <w:lang w:val="fr-FR"/>
        </w:rPr>
        <w:t xml:space="preserve">et </w:t>
      </w:r>
      <w:r>
        <w:rPr>
          <w:rFonts w:asciiTheme="majorBidi" w:hAnsiTheme="majorBidi" w:cstheme="majorBidi"/>
          <w:kern w:val="22"/>
          <w:szCs w:val="22"/>
          <w:lang w:val="fr-FR"/>
        </w:rPr>
        <w:t>les s</w:t>
      </w:r>
      <w:r w:rsidRPr="0018026F">
        <w:rPr>
          <w:rFonts w:asciiTheme="majorBidi" w:hAnsiTheme="majorBidi" w:cstheme="majorBidi"/>
          <w:kern w:val="22"/>
          <w:szCs w:val="22"/>
          <w:lang w:val="fr-FR"/>
        </w:rPr>
        <w:t>ervices écosystémiques</w:t>
      </w:r>
      <w:r w:rsidRPr="001724BB">
        <w:rPr>
          <w:iCs/>
          <w:snapToGrid w:val="0"/>
          <w:kern w:val="22"/>
          <w:szCs w:val="22"/>
          <w:lang w:val="fr-FR"/>
        </w:rPr>
        <w:t>;</w:t>
      </w:r>
    </w:p>
    <w:p w:rsidR="009F6935" w:rsidRPr="001724BB"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fr-FR"/>
        </w:rPr>
      </w:pPr>
      <w:r w:rsidRPr="00612059">
        <w:rPr>
          <w:snapToGrid w:val="0"/>
          <w:kern w:val="22"/>
          <w:szCs w:val="22"/>
          <w:lang w:val="fr-FR"/>
        </w:rPr>
        <w:t>2.</w:t>
      </w:r>
      <w:r w:rsidRPr="00612059">
        <w:rPr>
          <w:i/>
          <w:snapToGrid w:val="0"/>
          <w:kern w:val="22"/>
          <w:szCs w:val="22"/>
          <w:lang w:val="fr-FR"/>
        </w:rPr>
        <w:t xml:space="preserve"> </w:t>
      </w:r>
      <w:r w:rsidRPr="00612059">
        <w:rPr>
          <w:i/>
          <w:snapToGrid w:val="0"/>
          <w:kern w:val="22"/>
          <w:szCs w:val="22"/>
          <w:lang w:val="fr-FR"/>
        </w:rPr>
        <w:tab/>
      </w:r>
      <w:r>
        <w:rPr>
          <w:i/>
          <w:snapToGrid w:val="0"/>
          <w:kern w:val="22"/>
          <w:szCs w:val="22"/>
          <w:lang w:val="fr-FR"/>
        </w:rPr>
        <w:t xml:space="preserve">Se félicite </w:t>
      </w:r>
      <w:r w:rsidRPr="00EB02E0">
        <w:rPr>
          <w:snapToGrid w:val="0"/>
          <w:kern w:val="22"/>
          <w:szCs w:val="22"/>
          <w:lang w:val="fr-FR"/>
        </w:rPr>
        <w:t>de</w:t>
      </w:r>
      <w:r w:rsidRPr="00EB02E0">
        <w:rPr>
          <w:iCs/>
          <w:snapToGrid w:val="0"/>
          <w:kern w:val="22"/>
          <w:szCs w:val="22"/>
          <w:lang w:val="fr-FR"/>
        </w:rPr>
        <w:t xml:space="preserve"> </w:t>
      </w:r>
      <w:r w:rsidRPr="001724BB">
        <w:rPr>
          <w:iCs/>
          <w:snapToGrid w:val="0"/>
          <w:kern w:val="22"/>
          <w:szCs w:val="22"/>
          <w:lang w:val="fr-FR"/>
        </w:rPr>
        <w:t>l’analyse des in</w:t>
      </w:r>
      <w:r>
        <w:rPr>
          <w:iCs/>
          <w:snapToGrid w:val="0"/>
          <w:kern w:val="22"/>
          <w:szCs w:val="22"/>
          <w:lang w:val="fr-FR"/>
        </w:rPr>
        <w:t>formations scientifiques actuali</w:t>
      </w:r>
      <w:r w:rsidRPr="001724BB">
        <w:rPr>
          <w:iCs/>
          <w:snapToGrid w:val="0"/>
          <w:kern w:val="22"/>
          <w:szCs w:val="22"/>
          <w:lang w:val="fr-FR"/>
        </w:rPr>
        <w:t xml:space="preserve">sées, y compris </w:t>
      </w:r>
      <w:r>
        <w:rPr>
          <w:iCs/>
          <w:snapToGrid w:val="0"/>
          <w:kern w:val="22"/>
          <w:szCs w:val="22"/>
          <w:lang w:val="fr-FR"/>
        </w:rPr>
        <w:t>ses</w:t>
      </w:r>
      <w:r w:rsidRPr="001724BB">
        <w:rPr>
          <w:iCs/>
          <w:snapToGrid w:val="0"/>
          <w:kern w:val="22"/>
          <w:szCs w:val="22"/>
          <w:lang w:val="fr-FR"/>
        </w:rPr>
        <w:t xml:space="preserve"> conclusions, </w:t>
      </w:r>
      <w:r>
        <w:rPr>
          <w:iCs/>
          <w:snapToGrid w:val="0"/>
          <w:kern w:val="22"/>
          <w:szCs w:val="22"/>
          <w:lang w:val="fr-FR"/>
        </w:rPr>
        <w:t xml:space="preserve">et les lacunes dans les </w:t>
      </w:r>
      <w:r w:rsidRPr="001724BB">
        <w:rPr>
          <w:iCs/>
          <w:snapToGrid w:val="0"/>
          <w:kern w:val="22"/>
          <w:szCs w:val="22"/>
          <w:lang w:val="fr-FR"/>
        </w:rPr>
        <w:t>information</w:t>
      </w:r>
      <w:r>
        <w:rPr>
          <w:iCs/>
          <w:snapToGrid w:val="0"/>
          <w:kern w:val="22"/>
          <w:szCs w:val="22"/>
          <w:lang w:val="fr-FR"/>
        </w:rPr>
        <w:t>s, telles que résumées dans le document d’</w:t>
      </w:r>
      <w:r w:rsidRPr="001724BB">
        <w:rPr>
          <w:iCs/>
          <w:snapToGrid w:val="0"/>
          <w:kern w:val="22"/>
          <w:szCs w:val="22"/>
          <w:lang w:val="fr-FR"/>
        </w:rPr>
        <w:t xml:space="preserve">information </w:t>
      </w:r>
      <w:r>
        <w:rPr>
          <w:iCs/>
          <w:snapToGrid w:val="0"/>
          <w:kern w:val="22"/>
          <w:szCs w:val="22"/>
          <w:lang w:val="fr-FR"/>
        </w:rPr>
        <w:t>diffusé par la Secrétaire exécutive</w:t>
      </w:r>
      <w:r w:rsidRPr="00A12E58">
        <w:rPr>
          <w:rStyle w:val="FootnoteReference"/>
          <w:iCs/>
          <w:snapToGrid w:val="0"/>
          <w:kern w:val="22"/>
          <w:sz w:val="20"/>
          <w:szCs w:val="20"/>
          <w:u w:val="none"/>
          <w:vertAlign w:val="superscript"/>
        </w:rPr>
        <w:footnoteReference w:id="15"/>
      </w:r>
      <w:r>
        <w:rPr>
          <w:iCs/>
          <w:snapToGrid w:val="0"/>
          <w:kern w:val="22"/>
          <w:szCs w:val="22"/>
          <w:lang w:val="fr-FR"/>
        </w:rPr>
        <w:t>,</w:t>
      </w:r>
      <w:r w:rsidRPr="001724BB">
        <w:rPr>
          <w:iCs/>
          <w:snapToGrid w:val="0"/>
          <w:kern w:val="22"/>
          <w:szCs w:val="22"/>
          <w:lang w:val="fr-FR"/>
        </w:rPr>
        <w:t xml:space="preserve"> </w:t>
      </w:r>
      <w:r>
        <w:rPr>
          <w:iCs/>
          <w:snapToGrid w:val="0"/>
          <w:kern w:val="22"/>
          <w:szCs w:val="22"/>
          <w:lang w:val="fr-FR"/>
        </w:rPr>
        <w:t xml:space="preserve">et </w:t>
      </w:r>
      <w:r w:rsidRPr="00E55E44">
        <w:rPr>
          <w:i/>
          <w:iCs/>
          <w:snapToGrid w:val="0"/>
          <w:kern w:val="22"/>
          <w:szCs w:val="22"/>
          <w:lang w:val="fr-FR"/>
        </w:rPr>
        <w:t>prend note</w:t>
      </w:r>
      <w:r>
        <w:rPr>
          <w:iCs/>
          <w:snapToGrid w:val="0"/>
          <w:kern w:val="22"/>
          <w:szCs w:val="22"/>
          <w:lang w:val="fr-FR"/>
        </w:rPr>
        <w:t xml:space="preserve"> des autres documents d’information</w:t>
      </w:r>
      <w:r w:rsidRPr="00A12E58">
        <w:rPr>
          <w:rStyle w:val="FootnoteReference"/>
          <w:iCs/>
          <w:snapToGrid w:val="0"/>
          <w:kern w:val="22"/>
          <w:sz w:val="20"/>
          <w:szCs w:val="20"/>
          <w:u w:val="none"/>
          <w:vertAlign w:val="superscript"/>
        </w:rPr>
        <w:footnoteReference w:id="16"/>
      </w:r>
      <w:r w:rsidRPr="001724BB">
        <w:rPr>
          <w:iCs/>
          <w:snapToGrid w:val="0"/>
          <w:kern w:val="22"/>
          <w:szCs w:val="22"/>
          <w:lang w:val="fr-FR"/>
        </w:rPr>
        <w:t>;</w:t>
      </w:r>
    </w:p>
    <w:p w:rsidR="009F6935" w:rsidRPr="00120E55" w:rsidRDefault="009F6935" w:rsidP="009F6935">
      <w:pPr>
        <w:pStyle w:val="ListParagraph"/>
        <w:suppressLineNumbers/>
        <w:suppressAutoHyphens/>
        <w:kinsoku w:val="0"/>
        <w:overflowPunct w:val="0"/>
        <w:autoSpaceDE w:val="0"/>
        <w:autoSpaceDN w:val="0"/>
        <w:spacing w:before="120" w:after="120"/>
        <w:ind w:left="0" w:firstLine="720"/>
        <w:contextualSpacing w:val="0"/>
        <w:rPr>
          <w:i/>
          <w:iCs/>
          <w:snapToGrid w:val="0"/>
          <w:spacing w:val="-2"/>
          <w:kern w:val="22"/>
          <w:szCs w:val="22"/>
          <w:lang w:val="fr-FR"/>
        </w:rPr>
      </w:pPr>
      <w:r w:rsidRPr="001724BB">
        <w:rPr>
          <w:iCs/>
          <w:snapToGrid w:val="0"/>
          <w:spacing w:val="-2"/>
          <w:kern w:val="22"/>
          <w:szCs w:val="22"/>
          <w:lang w:val="fr-FR"/>
        </w:rPr>
        <w:t>3.</w:t>
      </w:r>
      <w:r w:rsidRPr="001724BB">
        <w:rPr>
          <w:iCs/>
          <w:snapToGrid w:val="0"/>
          <w:spacing w:val="-2"/>
          <w:kern w:val="22"/>
          <w:szCs w:val="22"/>
          <w:lang w:val="fr-FR"/>
        </w:rPr>
        <w:tab/>
      </w:r>
      <w:r>
        <w:rPr>
          <w:i/>
          <w:snapToGrid w:val="0"/>
          <w:spacing w:val="-2"/>
          <w:kern w:val="22"/>
          <w:szCs w:val="22"/>
          <w:lang w:val="fr-FR"/>
        </w:rPr>
        <w:t>Prend note</w:t>
      </w:r>
      <w:r>
        <w:rPr>
          <w:iCs/>
          <w:snapToGrid w:val="0"/>
          <w:spacing w:val="-2"/>
          <w:kern w:val="22"/>
          <w:szCs w:val="22"/>
          <w:lang w:val="fr-FR"/>
        </w:rPr>
        <w:t xml:space="preserve"> des</w:t>
      </w:r>
      <w:r w:rsidRPr="001724BB">
        <w:rPr>
          <w:iCs/>
          <w:snapToGrid w:val="0"/>
          <w:spacing w:val="-2"/>
          <w:kern w:val="22"/>
          <w:szCs w:val="22"/>
          <w:lang w:val="fr-FR"/>
        </w:rPr>
        <w:t xml:space="preserve"> indicateurs supplémentaires qui ont été identifiés et </w:t>
      </w:r>
      <w:r>
        <w:rPr>
          <w:iCs/>
          <w:snapToGrid w:val="0"/>
          <w:spacing w:val="-2"/>
          <w:kern w:val="22"/>
          <w:szCs w:val="22"/>
          <w:lang w:val="fr-FR"/>
        </w:rPr>
        <w:t xml:space="preserve">de </w:t>
      </w:r>
      <w:r w:rsidRPr="001724BB">
        <w:rPr>
          <w:iCs/>
          <w:snapToGrid w:val="0"/>
          <w:spacing w:val="-2"/>
          <w:kern w:val="22"/>
          <w:szCs w:val="22"/>
          <w:lang w:val="fr-FR"/>
        </w:rPr>
        <w:t>ceux pour lesquels on dispose de données actualisées</w:t>
      </w:r>
      <w:r w:rsidRPr="00A12E58">
        <w:rPr>
          <w:rStyle w:val="FootnoteReference"/>
          <w:iCs/>
          <w:snapToGrid w:val="0"/>
          <w:spacing w:val="-2"/>
          <w:kern w:val="22"/>
          <w:sz w:val="20"/>
          <w:szCs w:val="20"/>
          <w:u w:val="none"/>
          <w:vertAlign w:val="superscript"/>
        </w:rPr>
        <w:footnoteReference w:id="17"/>
      </w:r>
      <w:r>
        <w:rPr>
          <w:iCs/>
          <w:snapToGrid w:val="0"/>
          <w:spacing w:val="-2"/>
          <w:kern w:val="22"/>
          <w:szCs w:val="22"/>
          <w:lang w:val="fr-FR"/>
        </w:rPr>
        <w:t>,</w:t>
      </w:r>
      <w:r w:rsidRPr="001724BB">
        <w:rPr>
          <w:iCs/>
          <w:snapToGrid w:val="0"/>
          <w:spacing w:val="-2"/>
          <w:kern w:val="22"/>
          <w:szCs w:val="22"/>
          <w:lang w:val="fr-FR"/>
        </w:rPr>
        <w:t xml:space="preserve"> </w:t>
      </w:r>
      <w:r>
        <w:rPr>
          <w:iCs/>
          <w:snapToGrid w:val="0"/>
          <w:spacing w:val="-2"/>
          <w:kern w:val="22"/>
          <w:szCs w:val="22"/>
          <w:lang w:val="fr-FR"/>
        </w:rPr>
        <w:t>et</w:t>
      </w:r>
      <w:r w:rsidRPr="001724BB">
        <w:rPr>
          <w:iCs/>
          <w:snapToGrid w:val="0"/>
          <w:spacing w:val="-2"/>
          <w:kern w:val="22"/>
          <w:szCs w:val="22"/>
          <w:lang w:val="fr-FR"/>
        </w:rPr>
        <w:t xml:space="preserve"> </w:t>
      </w:r>
      <w:r>
        <w:rPr>
          <w:i/>
          <w:snapToGrid w:val="0"/>
          <w:spacing w:val="-2"/>
          <w:kern w:val="22"/>
          <w:szCs w:val="22"/>
          <w:lang w:val="fr-FR"/>
        </w:rPr>
        <w:t>prend acte</w:t>
      </w:r>
      <w:r w:rsidRPr="001724BB">
        <w:rPr>
          <w:iCs/>
          <w:snapToGrid w:val="0"/>
          <w:spacing w:val="-2"/>
          <w:kern w:val="22"/>
          <w:szCs w:val="22"/>
          <w:lang w:val="fr-FR"/>
        </w:rPr>
        <w:t xml:space="preserve"> </w:t>
      </w:r>
      <w:r>
        <w:rPr>
          <w:iCs/>
          <w:snapToGrid w:val="0"/>
          <w:spacing w:val="-2"/>
          <w:kern w:val="22"/>
          <w:szCs w:val="22"/>
          <w:lang w:val="fr-FR"/>
        </w:rPr>
        <w:t xml:space="preserve">de la contribution du Partenariat sur les </w:t>
      </w:r>
      <w:r w:rsidRPr="001724BB">
        <w:rPr>
          <w:iCs/>
          <w:snapToGrid w:val="0"/>
          <w:spacing w:val="-2"/>
          <w:kern w:val="22"/>
          <w:szCs w:val="22"/>
          <w:lang w:val="fr-FR"/>
        </w:rPr>
        <w:t>indicateurs</w:t>
      </w:r>
      <w:r>
        <w:rPr>
          <w:iCs/>
          <w:snapToGrid w:val="0"/>
          <w:spacing w:val="-2"/>
          <w:kern w:val="22"/>
          <w:szCs w:val="22"/>
          <w:lang w:val="fr-FR"/>
        </w:rPr>
        <w:t xml:space="preserve"> de biodiversité à l’avancement des travaux relatifs au Plan stratégique pour la diversité biologique 2011-2020</w:t>
      </w:r>
      <w:r w:rsidRPr="00A12E58">
        <w:rPr>
          <w:rStyle w:val="FootnoteReference"/>
          <w:iCs/>
          <w:snapToGrid w:val="0"/>
          <w:kern w:val="22"/>
          <w:sz w:val="20"/>
          <w:szCs w:val="20"/>
          <w:u w:val="none"/>
          <w:vertAlign w:val="superscript"/>
        </w:rPr>
        <w:footnoteReference w:id="18"/>
      </w:r>
      <w:r w:rsidRPr="001724BB">
        <w:rPr>
          <w:iCs/>
          <w:snapToGrid w:val="0"/>
          <w:spacing w:val="-2"/>
          <w:kern w:val="22"/>
          <w:szCs w:val="22"/>
          <w:lang w:val="fr-FR"/>
        </w:rPr>
        <w:t>;</w:t>
      </w:r>
    </w:p>
    <w:p w:rsidR="009F6935" w:rsidRPr="00D94D3C"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fr-FR"/>
        </w:rPr>
      </w:pPr>
      <w:r w:rsidRPr="001724BB">
        <w:rPr>
          <w:iCs/>
          <w:snapToGrid w:val="0"/>
          <w:kern w:val="22"/>
          <w:szCs w:val="22"/>
          <w:lang w:val="fr-FR"/>
        </w:rPr>
        <w:t>4.</w:t>
      </w:r>
      <w:r w:rsidRPr="001724BB">
        <w:rPr>
          <w:iCs/>
          <w:snapToGrid w:val="0"/>
          <w:kern w:val="22"/>
          <w:szCs w:val="22"/>
          <w:lang w:val="fr-FR"/>
        </w:rPr>
        <w:tab/>
      </w:r>
      <w:r>
        <w:rPr>
          <w:iCs/>
          <w:snapToGrid w:val="0"/>
          <w:kern w:val="22"/>
          <w:szCs w:val="22"/>
          <w:lang w:val="fr-FR"/>
        </w:rPr>
        <w:t xml:space="preserve">Ayant examiné les options éventuelles pour </w:t>
      </w:r>
      <w:r w:rsidRPr="00D94D3C">
        <w:rPr>
          <w:iCs/>
          <w:snapToGrid w:val="0"/>
          <w:kern w:val="22"/>
          <w:szCs w:val="22"/>
          <w:lang w:val="fr-FR"/>
        </w:rPr>
        <w:t xml:space="preserve">accélérer les progrès </w:t>
      </w:r>
      <w:r>
        <w:rPr>
          <w:iCs/>
          <w:snapToGrid w:val="0"/>
          <w:kern w:val="22"/>
          <w:szCs w:val="22"/>
          <w:lang w:val="fr-FR"/>
        </w:rPr>
        <w:t xml:space="preserve">accomplis dans </w:t>
      </w:r>
      <w:r w:rsidRPr="00D94D3C">
        <w:rPr>
          <w:iCs/>
          <w:snapToGrid w:val="0"/>
          <w:kern w:val="22"/>
          <w:szCs w:val="22"/>
          <w:lang w:val="fr-FR"/>
        </w:rPr>
        <w:t xml:space="preserve">la réalisation des </w:t>
      </w:r>
      <w:r>
        <w:rPr>
          <w:iCs/>
          <w:snapToGrid w:val="0"/>
          <w:kern w:val="22"/>
          <w:szCs w:val="22"/>
          <w:lang w:val="fr-FR"/>
        </w:rPr>
        <w:t>Objectifs d’Aichi pour la biodiversité</w:t>
      </w:r>
      <w:r w:rsidRPr="00D94D3C">
        <w:rPr>
          <w:iCs/>
          <w:snapToGrid w:val="0"/>
          <w:kern w:val="22"/>
          <w:szCs w:val="22"/>
          <w:lang w:val="fr-FR"/>
        </w:rPr>
        <w:t xml:space="preserve"> indiqués </w:t>
      </w:r>
      <w:r>
        <w:rPr>
          <w:iCs/>
          <w:snapToGrid w:val="0"/>
          <w:kern w:val="22"/>
          <w:szCs w:val="22"/>
          <w:lang w:val="fr-FR"/>
        </w:rPr>
        <w:t>dans</w:t>
      </w:r>
      <w:r w:rsidRPr="00D94D3C">
        <w:rPr>
          <w:iCs/>
          <w:snapToGrid w:val="0"/>
          <w:kern w:val="22"/>
          <w:szCs w:val="22"/>
          <w:lang w:val="fr-FR"/>
        </w:rPr>
        <w:t xml:space="preserve"> l’annexe</w:t>
      </w:r>
      <w:r>
        <w:rPr>
          <w:iCs/>
          <w:snapToGrid w:val="0"/>
          <w:kern w:val="22"/>
          <w:szCs w:val="22"/>
          <w:lang w:val="fr-FR"/>
        </w:rPr>
        <w:t xml:space="preserve"> dans une perspective</w:t>
      </w:r>
      <w:r w:rsidRPr="00D94D3C">
        <w:rPr>
          <w:iCs/>
          <w:snapToGrid w:val="0"/>
          <w:kern w:val="22"/>
          <w:szCs w:val="22"/>
          <w:lang w:val="fr-FR"/>
        </w:rPr>
        <w:t xml:space="preserve"> scientifique et technique, </w:t>
      </w:r>
      <w:r w:rsidRPr="00D94D3C">
        <w:rPr>
          <w:i/>
          <w:iCs/>
          <w:snapToGrid w:val="0"/>
          <w:kern w:val="22"/>
          <w:szCs w:val="22"/>
          <w:lang w:val="fr-FR"/>
        </w:rPr>
        <w:t>invite</w:t>
      </w:r>
      <w:r w:rsidRPr="00D94D3C">
        <w:rPr>
          <w:iCs/>
          <w:snapToGrid w:val="0"/>
          <w:kern w:val="22"/>
          <w:szCs w:val="22"/>
          <w:lang w:val="fr-FR"/>
        </w:rPr>
        <w:t xml:space="preserve"> l’Organe subsidiaire chargé de fournir des avis scientifique</w:t>
      </w:r>
      <w:r>
        <w:rPr>
          <w:iCs/>
          <w:snapToGrid w:val="0"/>
          <w:kern w:val="22"/>
          <w:szCs w:val="22"/>
          <w:lang w:val="fr-FR"/>
        </w:rPr>
        <w:t>s, techniques et technologiques à examiner ces option</w:t>
      </w:r>
      <w:r w:rsidRPr="00D94D3C">
        <w:rPr>
          <w:iCs/>
          <w:snapToGrid w:val="0"/>
          <w:kern w:val="22"/>
          <w:szCs w:val="22"/>
          <w:lang w:val="fr-FR"/>
        </w:rPr>
        <w:t>s lors de ses délibérations sur le point 3 de l’ordre du jour provisoire</w:t>
      </w:r>
      <w:r w:rsidRPr="00A12E58">
        <w:rPr>
          <w:rStyle w:val="FootnoteReference"/>
          <w:iCs/>
          <w:snapToGrid w:val="0"/>
          <w:kern w:val="22"/>
          <w:sz w:val="20"/>
          <w:szCs w:val="20"/>
          <w:u w:val="none"/>
          <w:vertAlign w:val="superscript"/>
        </w:rPr>
        <w:footnoteReference w:id="19"/>
      </w:r>
      <w:r>
        <w:rPr>
          <w:iCs/>
          <w:snapToGrid w:val="0"/>
          <w:kern w:val="22"/>
          <w:szCs w:val="22"/>
          <w:lang w:val="fr-FR"/>
        </w:rPr>
        <w:t>, portant sur un examen</w:t>
      </w:r>
      <w:r w:rsidRPr="00D94D3C">
        <w:rPr>
          <w:iCs/>
          <w:snapToGrid w:val="0"/>
          <w:kern w:val="22"/>
          <w:szCs w:val="22"/>
          <w:lang w:val="fr-FR"/>
        </w:rPr>
        <w:t xml:space="preserve"> des progrès accomplis dans </w:t>
      </w:r>
      <w:r>
        <w:rPr>
          <w:iCs/>
          <w:snapToGrid w:val="0"/>
          <w:kern w:val="22"/>
          <w:szCs w:val="22"/>
          <w:lang w:val="fr-FR"/>
        </w:rPr>
        <w:t>la mise en œuvre</w:t>
      </w:r>
      <w:r w:rsidRPr="00D94D3C">
        <w:rPr>
          <w:iCs/>
          <w:snapToGrid w:val="0"/>
          <w:kern w:val="22"/>
          <w:szCs w:val="22"/>
          <w:lang w:val="fr-FR"/>
        </w:rPr>
        <w:t xml:space="preserve"> de la Convention et de son </w:t>
      </w:r>
      <w:r>
        <w:rPr>
          <w:iCs/>
          <w:snapToGrid w:val="0"/>
          <w:kern w:val="22"/>
          <w:szCs w:val="22"/>
          <w:lang w:val="fr-FR"/>
        </w:rPr>
        <w:t>Plan stratégique pour la diversité biologique 2011-2020</w:t>
      </w:r>
      <w:r w:rsidRPr="00D94D3C">
        <w:rPr>
          <w:iCs/>
          <w:snapToGrid w:val="0"/>
          <w:kern w:val="22"/>
          <w:szCs w:val="22"/>
          <w:lang w:val="fr-FR"/>
        </w:rPr>
        <w:t>;</w:t>
      </w:r>
    </w:p>
    <w:p w:rsidR="009F6935" w:rsidRPr="00D94D3C"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lang w:val="fr-FR"/>
        </w:rPr>
      </w:pPr>
      <w:r w:rsidRPr="00D94D3C">
        <w:rPr>
          <w:iCs/>
          <w:snapToGrid w:val="0"/>
          <w:spacing w:val="-2"/>
          <w:kern w:val="22"/>
          <w:szCs w:val="22"/>
          <w:lang w:val="fr-FR"/>
        </w:rPr>
        <w:t>5.</w:t>
      </w:r>
      <w:r w:rsidRPr="00D94D3C">
        <w:rPr>
          <w:iCs/>
          <w:snapToGrid w:val="0"/>
          <w:spacing w:val="-2"/>
          <w:kern w:val="22"/>
          <w:szCs w:val="22"/>
          <w:lang w:val="fr-FR"/>
        </w:rPr>
        <w:tab/>
      </w:r>
      <w:r>
        <w:rPr>
          <w:i/>
          <w:iCs/>
          <w:snapToGrid w:val="0"/>
          <w:spacing w:val="-2"/>
          <w:kern w:val="22"/>
          <w:szCs w:val="22"/>
          <w:lang w:val="fr-FR"/>
        </w:rPr>
        <w:t>Constate avec préoccupation</w:t>
      </w:r>
      <w:r w:rsidRPr="00D94D3C">
        <w:rPr>
          <w:i/>
          <w:iCs/>
          <w:snapToGrid w:val="0"/>
          <w:spacing w:val="-2"/>
          <w:kern w:val="22"/>
          <w:szCs w:val="22"/>
          <w:lang w:val="fr-FR"/>
        </w:rPr>
        <w:t xml:space="preserve"> </w:t>
      </w:r>
      <w:r w:rsidRPr="00D94D3C">
        <w:rPr>
          <w:iCs/>
          <w:snapToGrid w:val="0"/>
          <w:spacing w:val="-2"/>
          <w:kern w:val="22"/>
          <w:szCs w:val="22"/>
          <w:lang w:val="fr-FR"/>
        </w:rPr>
        <w:t>que les évaluations e</w:t>
      </w:r>
      <w:r>
        <w:rPr>
          <w:iCs/>
          <w:snapToGrid w:val="0"/>
          <w:spacing w:val="-2"/>
          <w:kern w:val="22"/>
          <w:szCs w:val="22"/>
          <w:lang w:val="fr-FR"/>
        </w:rPr>
        <w:t>t l’examen mentionné</w:t>
      </w:r>
      <w:r w:rsidRPr="00D94D3C">
        <w:rPr>
          <w:iCs/>
          <w:snapToGrid w:val="0"/>
          <w:spacing w:val="-2"/>
          <w:kern w:val="22"/>
          <w:szCs w:val="22"/>
          <w:lang w:val="fr-FR"/>
        </w:rPr>
        <w:t>s</w:t>
      </w:r>
      <w:r>
        <w:rPr>
          <w:iCs/>
          <w:snapToGrid w:val="0"/>
          <w:spacing w:val="-2"/>
          <w:kern w:val="22"/>
          <w:szCs w:val="22"/>
          <w:lang w:val="fr-FR"/>
        </w:rPr>
        <w:t xml:space="preserve"> aux paragraphes 1 </w:t>
      </w:r>
      <w:r w:rsidRPr="00D94D3C">
        <w:rPr>
          <w:iCs/>
          <w:snapToGrid w:val="0"/>
          <w:spacing w:val="-2"/>
          <w:kern w:val="22"/>
          <w:szCs w:val="22"/>
          <w:lang w:val="fr-FR"/>
        </w:rPr>
        <w:t>et 2 ci-dessus concluent que:</w:t>
      </w:r>
    </w:p>
    <w:p w:rsidR="009F6935" w:rsidRPr="001724BB"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kern w:val="22"/>
          <w:szCs w:val="22"/>
          <w:lang w:val="fr-FR"/>
        </w:rPr>
      </w:pPr>
      <w:r w:rsidRPr="00D94D3C">
        <w:rPr>
          <w:iCs/>
          <w:snapToGrid w:val="0"/>
          <w:kern w:val="22"/>
          <w:szCs w:val="22"/>
          <w:lang w:val="fr-FR"/>
        </w:rPr>
        <w:t>a)</w:t>
      </w:r>
      <w:r w:rsidRPr="00D94D3C">
        <w:rPr>
          <w:iCs/>
          <w:snapToGrid w:val="0"/>
          <w:kern w:val="22"/>
          <w:szCs w:val="22"/>
          <w:lang w:val="fr-FR"/>
        </w:rPr>
        <w:tab/>
        <w:t xml:space="preserve">Les progrès accomplis demeurent insuffisants pour pouvoir atteindre les Objectifs d’Aichi </w:t>
      </w:r>
      <w:r>
        <w:rPr>
          <w:snapToGrid w:val="0"/>
          <w:kern w:val="22"/>
          <w:szCs w:val="22"/>
          <w:lang w:val="fr-FR"/>
        </w:rPr>
        <w:t>pour la biodiversité</w:t>
      </w:r>
      <w:r>
        <w:rPr>
          <w:iCs/>
          <w:snapToGrid w:val="0"/>
          <w:kern w:val="22"/>
          <w:szCs w:val="22"/>
          <w:lang w:val="fr-FR"/>
        </w:rPr>
        <w:t xml:space="preserve"> et les éléments correspondants</w:t>
      </w:r>
      <w:r w:rsidRPr="001724BB">
        <w:rPr>
          <w:iCs/>
          <w:snapToGrid w:val="0"/>
          <w:kern w:val="22"/>
          <w:szCs w:val="22"/>
          <w:lang w:val="fr-FR"/>
        </w:rPr>
        <w:t xml:space="preserve"> </w:t>
      </w:r>
      <w:r>
        <w:rPr>
          <w:iCs/>
          <w:snapToGrid w:val="0"/>
          <w:kern w:val="22"/>
          <w:szCs w:val="22"/>
          <w:lang w:val="fr-FR"/>
        </w:rPr>
        <w:t>des</w:t>
      </w:r>
      <w:r w:rsidRPr="001724BB">
        <w:rPr>
          <w:iCs/>
          <w:snapToGrid w:val="0"/>
          <w:kern w:val="22"/>
          <w:szCs w:val="22"/>
          <w:lang w:val="fr-FR"/>
        </w:rPr>
        <w:t xml:space="preserve"> </w:t>
      </w:r>
      <w:r>
        <w:rPr>
          <w:iCs/>
          <w:snapToGrid w:val="0"/>
          <w:kern w:val="22"/>
          <w:szCs w:val="22"/>
          <w:lang w:val="fr-FR"/>
        </w:rPr>
        <w:t>Objectifs de développement durable</w:t>
      </w:r>
      <w:bookmarkStart w:id="15" w:name="_Ref518417920"/>
      <w:r w:rsidRPr="00A12E58">
        <w:rPr>
          <w:rStyle w:val="FootnoteReference"/>
          <w:iCs/>
          <w:snapToGrid w:val="0"/>
          <w:kern w:val="22"/>
          <w:sz w:val="20"/>
          <w:szCs w:val="20"/>
          <w:u w:val="none"/>
          <w:vertAlign w:val="superscript"/>
        </w:rPr>
        <w:footnoteReference w:id="20"/>
      </w:r>
      <w:bookmarkEnd w:id="15"/>
      <w:r>
        <w:rPr>
          <w:iCs/>
          <w:snapToGrid w:val="0"/>
          <w:kern w:val="22"/>
          <w:szCs w:val="22"/>
          <w:lang w:val="fr-FR"/>
        </w:rPr>
        <w:t>;</w:t>
      </w:r>
    </w:p>
    <w:p w:rsidR="009F6935" w:rsidRPr="00074959" w:rsidRDefault="009F6935" w:rsidP="009F6935">
      <w:pPr>
        <w:pStyle w:val="ListParagraph"/>
        <w:suppressLineNumbers/>
        <w:suppressAutoHyphens/>
        <w:kinsoku w:val="0"/>
        <w:overflowPunct w:val="0"/>
        <w:autoSpaceDE w:val="0"/>
        <w:autoSpaceDN w:val="0"/>
        <w:spacing w:before="120" w:after="240"/>
        <w:ind w:left="0" w:firstLine="720"/>
        <w:contextualSpacing w:val="0"/>
        <w:rPr>
          <w:iCs/>
          <w:snapToGrid w:val="0"/>
          <w:kern w:val="22"/>
          <w:szCs w:val="22"/>
          <w:lang w:val="fr-FR"/>
        </w:rPr>
      </w:pPr>
      <w:r w:rsidRPr="001724BB">
        <w:rPr>
          <w:iCs/>
          <w:snapToGrid w:val="0"/>
          <w:kern w:val="22"/>
          <w:szCs w:val="22"/>
          <w:lang w:val="fr-FR"/>
        </w:rPr>
        <w:t>b)</w:t>
      </w:r>
      <w:r w:rsidRPr="001724BB">
        <w:rPr>
          <w:iCs/>
          <w:snapToGrid w:val="0"/>
          <w:kern w:val="22"/>
          <w:szCs w:val="22"/>
          <w:lang w:val="fr-FR"/>
        </w:rPr>
        <w:tab/>
        <w:t>Il subsiste des lacunes dans les informatio</w:t>
      </w:r>
      <w:r>
        <w:rPr>
          <w:iCs/>
          <w:snapToGrid w:val="0"/>
          <w:kern w:val="22"/>
          <w:szCs w:val="22"/>
          <w:lang w:val="fr-FR"/>
        </w:rPr>
        <w:t>ns disponibles</w:t>
      </w:r>
      <w:r w:rsidRPr="001724BB">
        <w:rPr>
          <w:iCs/>
          <w:snapToGrid w:val="0"/>
          <w:kern w:val="22"/>
          <w:szCs w:val="22"/>
          <w:lang w:val="fr-FR"/>
        </w:rPr>
        <w:t xml:space="preserve">, </w:t>
      </w:r>
      <w:r>
        <w:rPr>
          <w:iCs/>
          <w:snapToGrid w:val="0"/>
          <w:kern w:val="22"/>
          <w:szCs w:val="22"/>
          <w:lang w:val="fr-FR"/>
        </w:rPr>
        <w:t>notamment en ce qui concerne l’intégration des questions socioéconomiques</w:t>
      </w:r>
      <w:r w:rsidRPr="001724BB">
        <w:rPr>
          <w:iCs/>
          <w:snapToGrid w:val="0"/>
          <w:kern w:val="22"/>
          <w:szCs w:val="22"/>
          <w:lang w:val="fr-FR"/>
        </w:rPr>
        <w:t xml:space="preserve"> et </w:t>
      </w:r>
      <w:r>
        <w:rPr>
          <w:iCs/>
          <w:snapToGrid w:val="0"/>
          <w:kern w:val="22"/>
          <w:szCs w:val="22"/>
          <w:lang w:val="fr-FR"/>
        </w:rPr>
        <w:t>des connaissances autochtones et locale</w:t>
      </w:r>
      <w:r w:rsidRPr="001724BB">
        <w:rPr>
          <w:iCs/>
          <w:snapToGrid w:val="0"/>
          <w:kern w:val="22"/>
          <w:szCs w:val="22"/>
          <w:lang w:val="fr-FR"/>
        </w:rPr>
        <w:t>s;</w:t>
      </w:r>
    </w:p>
    <w:p w:rsidR="009F6935"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lang w:val="fr-FR"/>
        </w:rPr>
      </w:pPr>
      <w:r w:rsidRPr="001724BB">
        <w:rPr>
          <w:iCs/>
          <w:snapToGrid w:val="0"/>
          <w:spacing w:val="-2"/>
          <w:kern w:val="22"/>
          <w:szCs w:val="22"/>
          <w:lang w:val="fr-FR"/>
        </w:rPr>
        <w:t>6.</w:t>
      </w:r>
      <w:r w:rsidRPr="001724BB">
        <w:rPr>
          <w:iCs/>
          <w:snapToGrid w:val="0"/>
          <w:spacing w:val="-2"/>
          <w:kern w:val="22"/>
          <w:szCs w:val="22"/>
          <w:lang w:val="fr-FR"/>
        </w:rPr>
        <w:tab/>
      </w:r>
      <w:r w:rsidRPr="001724BB">
        <w:rPr>
          <w:i/>
          <w:iCs/>
          <w:snapToGrid w:val="0"/>
          <w:kern w:val="22"/>
          <w:szCs w:val="22"/>
          <w:lang w:val="fr-FR"/>
        </w:rPr>
        <w:t>Encourage</w:t>
      </w:r>
      <w:r w:rsidRPr="001724BB">
        <w:rPr>
          <w:iCs/>
          <w:snapToGrid w:val="0"/>
          <w:kern w:val="22"/>
          <w:szCs w:val="22"/>
          <w:lang w:val="fr-FR"/>
        </w:rPr>
        <w:t xml:space="preserve"> les Parties à utiliser les conclusions des évaluations </w:t>
      </w:r>
      <w:r>
        <w:rPr>
          <w:iCs/>
          <w:snapToGrid w:val="0"/>
          <w:kern w:val="22"/>
          <w:szCs w:val="22"/>
          <w:lang w:val="fr-FR"/>
        </w:rPr>
        <w:t>de la</w:t>
      </w:r>
      <w:r w:rsidRPr="001724BB">
        <w:rPr>
          <w:snapToGrid w:val="0"/>
          <w:kern w:val="22"/>
          <w:szCs w:val="22"/>
          <w:lang w:val="fr-FR"/>
        </w:rPr>
        <w:t xml:space="preserve"> Plateforme intergouvernementale scientifique et politique </w:t>
      </w:r>
      <w:r>
        <w:rPr>
          <w:snapToGrid w:val="0"/>
          <w:kern w:val="22"/>
          <w:szCs w:val="22"/>
          <w:lang w:val="fr-FR"/>
        </w:rPr>
        <w:t>sur la biodiversité et les services écosystémiques</w:t>
      </w:r>
      <w:r w:rsidRPr="001724BB">
        <w:rPr>
          <w:iCs/>
          <w:snapToGrid w:val="0"/>
          <w:kern w:val="22"/>
          <w:szCs w:val="22"/>
          <w:lang w:val="fr-FR"/>
        </w:rPr>
        <w:t xml:space="preserve">, </w:t>
      </w:r>
      <w:r>
        <w:rPr>
          <w:iCs/>
          <w:snapToGrid w:val="0"/>
          <w:kern w:val="22"/>
          <w:szCs w:val="22"/>
          <w:lang w:val="fr-FR"/>
        </w:rPr>
        <w:t xml:space="preserve">les </w:t>
      </w:r>
      <w:r w:rsidRPr="001724BB">
        <w:rPr>
          <w:iCs/>
          <w:snapToGrid w:val="0"/>
          <w:kern w:val="22"/>
          <w:szCs w:val="22"/>
          <w:lang w:val="fr-FR"/>
        </w:rPr>
        <w:t>inform</w:t>
      </w:r>
      <w:r>
        <w:rPr>
          <w:iCs/>
          <w:snapToGrid w:val="0"/>
          <w:kern w:val="22"/>
          <w:szCs w:val="22"/>
          <w:lang w:val="fr-FR"/>
        </w:rPr>
        <w:t>ations scientifiques actualisées</w:t>
      </w:r>
      <w:r w:rsidRPr="001724BB">
        <w:rPr>
          <w:iCs/>
          <w:snapToGrid w:val="0"/>
          <w:kern w:val="22"/>
          <w:szCs w:val="22"/>
          <w:lang w:val="fr-FR"/>
        </w:rPr>
        <w:t xml:space="preserve"> </w:t>
      </w:r>
      <w:r>
        <w:rPr>
          <w:iCs/>
          <w:snapToGrid w:val="0"/>
          <w:kern w:val="22"/>
          <w:szCs w:val="22"/>
          <w:lang w:val="fr-FR"/>
        </w:rPr>
        <w:t xml:space="preserve">et les </w:t>
      </w:r>
      <w:r w:rsidRPr="001724BB">
        <w:rPr>
          <w:iCs/>
          <w:snapToGrid w:val="0"/>
          <w:kern w:val="22"/>
          <w:szCs w:val="22"/>
          <w:lang w:val="fr-FR"/>
        </w:rPr>
        <w:t xml:space="preserve">indicateurs supplémentaires </w:t>
      </w:r>
      <w:r>
        <w:rPr>
          <w:iCs/>
          <w:snapToGrid w:val="0"/>
          <w:kern w:val="22"/>
          <w:szCs w:val="22"/>
          <w:lang w:val="fr-FR"/>
        </w:rPr>
        <w:t>susmentionnés</w:t>
      </w:r>
      <w:r w:rsidRPr="001724BB">
        <w:rPr>
          <w:iCs/>
          <w:snapToGrid w:val="0"/>
          <w:kern w:val="22"/>
          <w:szCs w:val="22"/>
          <w:lang w:val="fr-FR"/>
        </w:rPr>
        <w:t xml:space="preserve">, </w:t>
      </w:r>
      <w:r>
        <w:rPr>
          <w:iCs/>
          <w:snapToGrid w:val="0"/>
          <w:kern w:val="22"/>
          <w:szCs w:val="22"/>
          <w:lang w:val="fr-FR"/>
        </w:rPr>
        <w:t>selon qu’il convient</w:t>
      </w:r>
      <w:r w:rsidRPr="001724BB">
        <w:rPr>
          <w:iCs/>
          <w:snapToGrid w:val="0"/>
          <w:kern w:val="22"/>
          <w:szCs w:val="22"/>
          <w:lang w:val="fr-FR"/>
        </w:rPr>
        <w:t xml:space="preserve">, </w:t>
      </w:r>
      <w:r>
        <w:rPr>
          <w:iCs/>
          <w:snapToGrid w:val="0"/>
          <w:kern w:val="22"/>
          <w:szCs w:val="22"/>
          <w:lang w:val="fr-FR"/>
        </w:rPr>
        <w:t>conformément aux circonstances qui prévalent dans les pays, lors de l’établissement de leurs</w:t>
      </w:r>
      <w:r w:rsidRPr="001724BB">
        <w:rPr>
          <w:iCs/>
          <w:snapToGrid w:val="0"/>
          <w:kern w:val="22"/>
          <w:szCs w:val="22"/>
          <w:lang w:val="fr-FR"/>
        </w:rPr>
        <w:t xml:space="preserve"> </w:t>
      </w:r>
      <w:r>
        <w:rPr>
          <w:iCs/>
          <w:snapToGrid w:val="0"/>
          <w:kern w:val="22"/>
          <w:szCs w:val="22"/>
          <w:lang w:val="fr-FR"/>
        </w:rPr>
        <w:t>sixièmes rapports nationaux</w:t>
      </w:r>
      <w:r w:rsidRPr="001724BB">
        <w:rPr>
          <w:iCs/>
          <w:snapToGrid w:val="0"/>
          <w:kern w:val="22"/>
          <w:szCs w:val="22"/>
          <w:lang w:val="fr-FR"/>
        </w:rPr>
        <w:t xml:space="preserve">, </w:t>
      </w:r>
      <w:r>
        <w:rPr>
          <w:iCs/>
          <w:snapToGrid w:val="0"/>
          <w:kern w:val="22"/>
          <w:szCs w:val="22"/>
          <w:lang w:val="fr-FR"/>
        </w:rPr>
        <w:t xml:space="preserve">entre </w:t>
      </w:r>
      <w:r w:rsidRPr="001724BB">
        <w:rPr>
          <w:iCs/>
          <w:snapToGrid w:val="0"/>
          <w:kern w:val="22"/>
          <w:szCs w:val="22"/>
          <w:lang w:val="fr-FR"/>
        </w:rPr>
        <w:t xml:space="preserve">autres </w:t>
      </w:r>
      <w:r>
        <w:rPr>
          <w:iCs/>
          <w:snapToGrid w:val="0"/>
          <w:kern w:val="22"/>
          <w:szCs w:val="22"/>
          <w:lang w:val="fr-FR"/>
        </w:rPr>
        <w:t>choses;</w:t>
      </w:r>
    </w:p>
    <w:p w:rsidR="009F6935"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lang w:val="fr-FR"/>
        </w:rPr>
      </w:pPr>
      <w:r>
        <w:rPr>
          <w:iCs/>
          <w:snapToGrid w:val="0"/>
          <w:spacing w:val="-2"/>
          <w:kern w:val="22"/>
          <w:szCs w:val="22"/>
          <w:lang w:val="fr-FR"/>
        </w:rPr>
        <w:t>7.</w:t>
      </w:r>
      <w:r>
        <w:rPr>
          <w:iCs/>
          <w:snapToGrid w:val="0"/>
          <w:spacing w:val="-2"/>
          <w:kern w:val="22"/>
          <w:szCs w:val="22"/>
          <w:lang w:val="fr-FR"/>
        </w:rPr>
        <w:tab/>
      </w:r>
      <w:r w:rsidRPr="001724BB">
        <w:rPr>
          <w:i/>
          <w:iCs/>
          <w:snapToGrid w:val="0"/>
          <w:spacing w:val="-2"/>
          <w:kern w:val="22"/>
          <w:szCs w:val="22"/>
          <w:lang w:val="fr-FR"/>
        </w:rPr>
        <w:t>Invite</w:t>
      </w:r>
      <w:r w:rsidRPr="001724BB">
        <w:rPr>
          <w:iCs/>
          <w:snapToGrid w:val="0"/>
          <w:spacing w:val="-2"/>
          <w:kern w:val="22"/>
          <w:szCs w:val="22"/>
          <w:lang w:val="fr-FR"/>
        </w:rPr>
        <w:t xml:space="preserve"> </w:t>
      </w:r>
      <w:r>
        <w:rPr>
          <w:iCs/>
          <w:snapToGrid w:val="0"/>
          <w:spacing w:val="-2"/>
          <w:kern w:val="22"/>
          <w:szCs w:val="22"/>
          <w:lang w:val="fr-FR"/>
        </w:rPr>
        <w:t>le</w:t>
      </w:r>
      <w:r w:rsidRPr="001724BB">
        <w:rPr>
          <w:iCs/>
          <w:snapToGrid w:val="0"/>
          <w:spacing w:val="-2"/>
          <w:kern w:val="22"/>
          <w:szCs w:val="22"/>
          <w:lang w:val="fr-FR"/>
        </w:rPr>
        <w:t xml:space="preserve"> Secrétaire exécutif </w:t>
      </w:r>
      <w:r>
        <w:rPr>
          <w:iCs/>
          <w:snapToGrid w:val="0"/>
          <w:spacing w:val="-2"/>
          <w:kern w:val="22"/>
          <w:szCs w:val="22"/>
          <w:lang w:val="fr-FR"/>
        </w:rPr>
        <w:t>de la</w:t>
      </w:r>
      <w:r w:rsidRPr="001724BB">
        <w:rPr>
          <w:iCs/>
          <w:snapToGrid w:val="0"/>
          <w:spacing w:val="-2"/>
          <w:kern w:val="22"/>
          <w:szCs w:val="22"/>
          <w:lang w:val="fr-FR"/>
        </w:rPr>
        <w:t xml:space="preserve"> </w:t>
      </w:r>
      <w:r w:rsidRPr="001724BB">
        <w:rPr>
          <w:snapToGrid w:val="0"/>
          <w:spacing w:val="-2"/>
          <w:kern w:val="22"/>
          <w:szCs w:val="22"/>
          <w:lang w:val="fr-FR"/>
        </w:rPr>
        <w:t>Plateforme intergouvernementale scientifique et politique sur la biodiversité et les services écosystémiques</w:t>
      </w:r>
      <w:r w:rsidRPr="001724BB">
        <w:rPr>
          <w:iCs/>
          <w:snapToGrid w:val="0"/>
          <w:spacing w:val="-2"/>
          <w:kern w:val="22"/>
          <w:szCs w:val="22"/>
          <w:lang w:val="fr-FR"/>
        </w:rPr>
        <w:t xml:space="preserve">, </w:t>
      </w:r>
      <w:r>
        <w:rPr>
          <w:iCs/>
          <w:snapToGrid w:val="0"/>
          <w:spacing w:val="-2"/>
          <w:kern w:val="22"/>
          <w:szCs w:val="22"/>
          <w:lang w:val="fr-FR"/>
        </w:rPr>
        <w:t>en</w:t>
      </w:r>
      <w:r w:rsidRPr="001724BB">
        <w:rPr>
          <w:iCs/>
          <w:snapToGrid w:val="0"/>
          <w:spacing w:val="-2"/>
          <w:kern w:val="22"/>
          <w:szCs w:val="22"/>
          <w:lang w:val="fr-FR"/>
        </w:rPr>
        <w:t xml:space="preserve"> collaboration </w:t>
      </w:r>
      <w:r>
        <w:rPr>
          <w:iCs/>
          <w:snapToGrid w:val="0"/>
          <w:spacing w:val="-2"/>
          <w:kern w:val="22"/>
          <w:szCs w:val="22"/>
          <w:lang w:val="fr-FR"/>
        </w:rPr>
        <w:t>avec les coprésidents et les auteur</w:t>
      </w:r>
      <w:r w:rsidRPr="001724BB">
        <w:rPr>
          <w:iCs/>
          <w:snapToGrid w:val="0"/>
          <w:spacing w:val="-2"/>
          <w:kern w:val="22"/>
          <w:szCs w:val="22"/>
          <w:lang w:val="fr-FR"/>
        </w:rPr>
        <w:t>s</w:t>
      </w:r>
      <w:r>
        <w:rPr>
          <w:iCs/>
          <w:snapToGrid w:val="0"/>
          <w:spacing w:val="-2"/>
          <w:kern w:val="22"/>
          <w:szCs w:val="22"/>
          <w:lang w:val="fr-FR"/>
        </w:rPr>
        <w:t xml:space="preserve"> des</w:t>
      </w:r>
      <w:r w:rsidRPr="001724BB">
        <w:rPr>
          <w:iCs/>
          <w:snapToGrid w:val="0"/>
          <w:spacing w:val="-2"/>
          <w:kern w:val="22"/>
          <w:szCs w:val="22"/>
          <w:lang w:val="fr-FR"/>
        </w:rPr>
        <w:t xml:space="preserve"> évaluations</w:t>
      </w:r>
      <w:r>
        <w:rPr>
          <w:iCs/>
          <w:snapToGrid w:val="0"/>
          <w:spacing w:val="-2"/>
          <w:kern w:val="22"/>
          <w:szCs w:val="22"/>
          <w:lang w:val="fr-FR"/>
        </w:rPr>
        <w:t xml:space="preserve"> régionales</w:t>
      </w:r>
      <w:r w:rsidRPr="001724BB">
        <w:rPr>
          <w:iCs/>
          <w:snapToGrid w:val="0"/>
          <w:spacing w:val="-2"/>
          <w:kern w:val="22"/>
          <w:szCs w:val="22"/>
          <w:lang w:val="fr-FR"/>
        </w:rPr>
        <w:t>, selon qu’il convient</w:t>
      </w:r>
      <w:r>
        <w:rPr>
          <w:iCs/>
          <w:snapToGrid w:val="0"/>
          <w:spacing w:val="-2"/>
          <w:kern w:val="22"/>
          <w:szCs w:val="22"/>
          <w:lang w:val="fr-FR"/>
        </w:rPr>
        <w:t>, à mettre à la disposition de la</w:t>
      </w:r>
      <w:r w:rsidRPr="001724BB">
        <w:rPr>
          <w:iCs/>
          <w:snapToGrid w:val="0"/>
          <w:spacing w:val="-2"/>
          <w:kern w:val="22"/>
          <w:szCs w:val="22"/>
          <w:lang w:val="fr-FR"/>
        </w:rPr>
        <w:t xml:space="preserve"> </w:t>
      </w:r>
      <w:r>
        <w:rPr>
          <w:iCs/>
          <w:snapToGrid w:val="0"/>
          <w:spacing w:val="-2"/>
          <w:kern w:val="22"/>
          <w:szCs w:val="22"/>
          <w:lang w:val="fr-FR"/>
        </w:rPr>
        <w:t>Conférence des</w:t>
      </w:r>
      <w:r w:rsidRPr="001724BB">
        <w:rPr>
          <w:iCs/>
          <w:snapToGrid w:val="0"/>
          <w:spacing w:val="-2"/>
          <w:kern w:val="22"/>
          <w:szCs w:val="22"/>
          <w:lang w:val="fr-FR"/>
        </w:rPr>
        <w:t xml:space="preserve"> Parties</w:t>
      </w:r>
      <w:r>
        <w:rPr>
          <w:iCs/>
          <w:snapToGrid w:val="0"/>
          <w:spacing w:val="-2"/>
          <w:kern w:val="22"/>
          <w:szCs w:val="22"/>
          <w:lang w:val="fr-FR"/>
        </w:rPr>
        <w:t>,</w:t>
      </w:r>
      <w:r w:rsidRPr="001724BB">
        <w:rPr>
          <w:iCs/>
          <w:snapToGrid w:val="0"/>
          <w:spacing w:val="-2"/>
          <w:kern w:val="22"/>
          <w:szCs w:val="22"/>
          <w:lang w:val="fr-FR"/>
        </w:rPr>
        <w:t xml:space="preserve"> </w:t>
      </w:r>
      <w:r>
        <w:rPr>
          <w:iCs/>
          <w:snapToGrid w:val="0"/>
          <w:spacing w:val="-2"/>
          <w:kern w:val="22"/>
          <w:szCs w:val="22"/>
          <w:lang w:val="fr-FR"/>
        </w:rPr>
        <w:t>à sa</w:t>
      </w:r>
      <w:r w:rsidRPr="001724BB">
        <w:rPr>
          <w:iCs/>
          <w:snapToGrid w:val="0"/>
          <w:spacing w:val="-2"/>
          <w:kern w:val="22"/>
          <w:szCs w:val="22"/>
          <w:lang w:val="fr-FR"/>
        </w:rPr>
        <w:t xml:space="preserve"> </w:t>
      </w:r>
      <w:r>
        <w:rPr>
          <w:iCs/>
          <w:snapToGrid w:val="0"/>
          <w:spacing w:val="-2"/>
          <w:kern w:val="22"/>
          <w:szCs w:val="22"/>
          <w:lang w:val="fr-FR"/>
        </w:rPr>
        <w:t>quatorzième</w:t>
      </w:r>
      <w:r w:rsidRPr="001724BB">
        <w:rPr>
          <w:iCs/>
          <w:snapToGrid w:val="0"/>
          <w:spacing w:val="-2"/>
          <w:kern w:val="22"/>
          <w:szCs w:val="22"/>
          <w:lang w:val="fr-FR"/>
        </w:rPr>
        <w:t xml:space="preserve"> réunion</w:t>
      </w:r>
      <w:r>
        <w:rPr>
          <w:iCs/>
          <w:snapToGrid w:val="0"/>
          <w:spacing w:val="-2"/>
          <w:kern w:val="22"/>
          <w:szCs w:val="22"/>
          <w:lang w:val="fr-FR"/>
        </w:rPr>
        <w:t xml:space="preserve">, des </w:t>
      </w:r>
      <w:r w:rsidRPr="001724BB">
        <w:rPr>
          <w:iCs/>
          <w:snapToGrid w:val="0"/>
          <w:spacing w:val="-2"/>
          <w:kern w:val="22"/>
          <w:szCs w:val="22"/>
          <w:lang w:val="fr-FR"/>
        </w:rPr>
        <w:t>information</w:t>
      </w:r>
      <w:r>
        <w:rPr>
          <w:iCs/>
          <w:snapToGrid w:val="0"/>
          <w:spacing w:val="-2"/>
          <w:kern w:val="22"/>
          <w:szCs w:val="22"/>
          <w:lang w:val="fr-FR"/>
        </w:rPr>
        <w:t>s</w:t>
      </w:r>
      <w:r w:rsidRPr="001724BB">
        <w:rPr>
          <w:iCs/>
          <w:snapToGrid w:val="0"/>
          <w:spacing w:val="-2"/>
          <w:kern w:val="22"/>
          <w:szCs w:val="22"/>
          <w:lang w:val="fr-FR"/>
        </w:rPr>
        <w:t xml:space="preserve"> </w:t>
      </w:r>
      <w:r>
        <w:rPr>
          <w:iCs/>
          <w:snapToGrid w:val="0"/>
          <w:spacing w:val="-2"/>
          <w:kern w:val="22"/>
          <w:szCs w:val="22"/>
          <w:lang w:val="fr-FR"/>
        </w:rPr>
        <w:t>concernant l’analyse interrégionale</w:t>
      </w:r>
      <w:r w:rsidRPr="001724BB">
        <w:rPr>
          <w:iCs/>
          <w:snapToGrid w:val="0"/>
          <w:spacing w:val="-2"/>
          <w:kern w:val="22"/>
          <w:szCs w:val="22"/>
          <w:lang w:val="fr-FR"/>
        </w:rPr>
        <w:t xml:space="preserve"> </w:t>
      </w:r>
      <w:r>
        <w:rPr>
          <w:iCs/>
          <w:snapToGrid w:val="0"/>
          <w:spacing w:val="-2"/>
          <w:kern w:val="22"/>
          <w:szCs w:val="22"/>
          <w:lang w:val="fr-FR"/>
        </w:rPr>
        <w:t>des</w:t>
      </w:r>
      <w:r w:rsidRPr="001724BB">
        <w:rPr>
          <w:iCs/>
          <w:snapToGrid w:val="0"/>
          <w:spacing w:val="-2"/>
          <w:kern w:val="22"/>
          <w:szCs w:val="22"/>
          <w:lang w:val="fr-FR"/>
        </w:rPr>
        <w:t xml:space="preserve"> </w:t>
      </w:r>
      <w:r>
        <w:rPr>
          <w:iCs/>
          <w:snapToGrid w:val="0"/>
          <w:spacing w:val="-2"/>
          <w:kern w:val="22"/>
          <w:szCs w:val="22"/>
          <w:lang w:val="fr-FR"/>
        </w:rPr>
        <w:t>évaluations régionales</w:t>
      </w:r>
      <w:r w:rsidRPr="001724BB">
        <w:rPr>
          <w:iCs/>
          <w:snapToGrid w:val="0"/>
          <w:spacing w:val="-2"/>
          <w:kern w:val="22"/>
          <w:szCs w:val="22"/>
          <w:lang w:val="fr-FR"/>
        </w:rPr>
        <w:t xml:space="preserve"> sur la biodiversité et les services écosystémiques;</w:t>
      </w:r>
    </w:p>
    <w:p w:rsidR="009F6935" w:rsidRPr="001724BB" w:rsidRDefault="009F6935" w:rsidP="009F6935">
      <w:pPr>
        <w:pStyle w:val="ListParagraph"/>
        <w:suppressLineNumbers/>
        <w:suppressAutoHyphens/>
        <w:kinsoku w:val="0"/>
        <w:overflowPunct w:val="0"/>
        <w:autoSpaceDE w:val="0"/>
        <w:autoSpaceDN w:val="0"/>
        <w:spacing w:before="120" w:after="120"/>
        <w:ind w:left="0" w:firstLine="720"/>
        <w:contextualSpacing w:val="0"/>
        <w:rPr>
          <w:iCs/>
          <w:snapToGrid w:val="0"/>
          <w:spacing w:val="-2"/>
          <w:kern w:val="22"/>
          <w:szCs w:val="22"/>
          <w:lang w:val="fr-FR"/>
        </w:rPr>
      </w:pPr>
      <w:r>
        <w:rPr>
          <w:iCs/>
          <w:snapToGrid w:val="0"/>
          <w:spacing w:val="-2"/>
          <w:kern w:val="22"/>
          <w:szCs w:val="22"/>
          <w:lang w:val="fr-FR"/>
        </w:rPr>
        <w:lastRenderedPageBreak/>
        <w:t>8.</w:t>
      </w:r>
      <w:r>
        <w:rPr>
          <w:iCs/>
          <w:snapToGrid w:val="0"/>
          <w:spacing w:val="-2"/>
          <w:kern w:val="22"/>
          <w:szCs w:val="22"/>
          <w:lang w:val="fr-FR"/>
        </w:rPr>
        <w:tab/>
      </w:r>
      <w:r>
        <w:rPr>
          <w:i/>
          <w:kern w:val="22"/>
          <w:lang w:val="fr-FR"/>
        </w:rPr>
        <w:t>Demande</w:t>
      </w:r>
      <w:r w:rsidRPr="0018026F">
        <w:rPr>
          <w:i/>
          <w:kern w:val="22"/>
          <w:lang w:val="fr-FR"/>
        </w:rPr>
        <w:t xml:space="preserve"> </w:t>
      </w:r>
      <w:r>
        <w:rPr>
          <w:iCs/>
          <w:kern w:val="22"/>
          <w:lang w:val="fr-FR"/>
        </w:rPr>
        <w:t>à la</w:t>
      </w:r>
      <w:r w:rsidRPr="0018026F">
        <w:rPr>
          <w:iCs/>
          <w:kern w:val="22"/>
          <w:lang w:val="fr-FR"/>
        </w:rPr>
        <w:t xml:space="preserve"> Secrétaire exécutive</w:t>
      </w:r>
      <w:r>
        <w:rPr>
          <w:iCs/>
          <w:kern w:val="22"/>
          <w:lang w:val="fr-FR"/>
        </w:rPr>
        <w:t xml:space="preserve"> d’examiner les</w:t>
      </w:r>
      <w:r w:rsidRPr="0018026F">
        <w:rPr>
          <w:iCs/>
          <w:kern w:val="22"/>
          <w:lang w:val="fr-FR"/>
        </w:rPr>
        <w:t xml:space="preserve"> évaluations régionales</w:t>
      </w:r>
      <w:r>
        <w:rPr>
          <w:iCs/>
          <w:kern w:val="22"/>
          <w:lang w:val="fr-FR"/>
        </w:rPr>
        <w:t xml:space="preserve"> sur la</w:t>
      </w:r>
      <w:r w:rsidRPr="0018026F">
        <w:rPr>
          <w:iCs/>
          <w:kern w:val="22"/>
          <w:lang w:val="fr-FR"/>
        </w:rPr>
        <w:t xml:space="preserve"> diversité biologique et </w:t>
      </w:r>
      <w:r>
        <w:rPr>
          <w:iCs/>
          <w:kern w:val="22"/>
          <w:lang w:val="fr-FR"/>
        </w:rPr>
        <w:t xml:space="preserve">les </w:t>
      </w:r>
      <w:r w:rsidRPr="0018026F">
        <w:rPr>
          <w:iCs/>
          <w:kern w:val="22"/>
          <w:lang w:val="fr-FR"/>
        </w:rPr>
        <w:t xml:space="preserve">services écosystémiques </w:t>
      </w:r>
      <w:r>
        <w:rPr>
          <w:iCs/>
          <w:kern w:val="22"/>
          <w:lang w:val="fr-FR"/>
        </w:rPr>
        <w:t>pour l’Afrique, les Amériques, l’Asie et Pacifique, et l’Europe et Asie centrale</w:t>
      </w:r>
      <w:r w:rsidRPr="0018026F">
        <w:rPr>
          <w:iCs/>
          <w:kern w:val="22"/>
          <w:lang w:val="fr-FR"/>
        </w:rPr>
        <w:t xml:space="preserve"> et </w:t>
      </w:r>
      <w:r>
        <w:rPr>
          <w:iCs/>
          <w:kern w:val="22"/>
          <w:lang w:val="fr-FR"/>
        </w:rPr>
        <w:t>l’Évaluation thématique sur</w:t>
      </w:r>
      <w:r w:rsidRPr="0018026F">
        <w:rPr>
          <w:iCs/>
          <w:kern w:val="22"/>
          <w:lang w:val="fr-FR"/>
        </w:rPr>
        <w:t xml:space="preserve"> </w:t>
      </w:r>
      <w:r>
        <w:rPr>
          <w:iCs/>
          <w:kern w:val="22"/>
          <w:lang w:val="fr-FR"/>
        </w:rPr>
        <w:t>la dégradation et la restauration des terres</w:t>
      </w:r>
      <w:r w:rsidRPr="0018026F">
        <w:rPr>
          <w:iCs/>
          <w:kern w:val="22"/>
          <w:lang w:val="fr-FR"/>
        </w:rPr>
        <w:t xml:space="preserve"> </w:t>
      </w:r>
      <w:r>
        <w:rPr>
          <w:iCs/>
          <w:kern w:val="22"/>
          <w:lang w:val="fr-FR"/>
        </w:rPr>
        <w:t>de la</w:t>
      </w:r>
      <w:r w:rsidRPr="0018026F">
        <w:rPr>
          <w:iCs/>
          <w:kern w:val="22"/>
          <w:lang w:val="fr-FR"/>
        </w:rPr>
        <w:t xml:space="preserve"> </w:t>
      </w:r>
      <w:r>
        <w:rPr>
          <w:rFonts w:asciiTheme="majorBidi" w:hAnsiTheme="majorBidi" w:cstheme="majorBidi"/>
          <w:kern w:val="22"/>
          <w:szCs w:val="22"/>
          <w:lang w:val="fr-FR"/>
        </w:rPr>
        <w:t xml:space="preserve">Plateforme intergouvernementale scientifique et politique sur la biodiversité </w:t>
      </w:r>
      <w:r w:rsidRPr="0018026F">
        <w:rPr>
          <w:rFonts w:asciiTheme="majorBidi" w:hAnsiTheme="majorBidi" w:cstheme="majorBidi"/>
          <w:kern w:val="22"/>
          <w:szCs w:val="22"/>
          <w:lang w:val="fr-FR"/>
        </w:rPr>
        <w:t xml:space="preserve">et </w:t>
      </w:r>
      <w:r>
        <w:rPr>
          <w:rFonts w:asciiTheme="majorBidi" w:hAnsiTheme="majorBidi" w:cstheme="majorBidi"/>
          <w:kern w:val="22"/>
          <w:szCs w:val="22"/>
          <w:lang w:val="fr-FR"/>
        </w:rPr>
        <w:t>les s</w:t>
      </w:r>
      <w:r w:rsidRPr="0018026F">
        <w:rPr>
          <w:rFonts w:asciiTheme="majorBidi" w:hAnsiTheme="majorBidi" w:cstheme="majorBidi"/>
          <w:kern w:val="22"/>
          <w:szCs w:val="22"/>
          <w:lang w:val="fr-FR"/>
        </w:rPr>
        <w:t>ervices écosystémiques</w:t>
      </w:r>
      <w:r>
        <w:rPr>
          <w:rFonts w:asciiTheme="majorBidi" w:hAnsiTheme="majorBidi" w:cstheme="majorBidi"/>
          <w:kern w:val="22"/>
          <w:szCs w:val="22"/>
          <w:lang w:val="fr-FR"/>
        </w:rPr>
        <w:t xml:space="preserve"> et d’autres informations pertinentes,</w:t>
      </w:r>
      <w:r w:rsidRPr="0018026F">
        <w:rPr>
          <w:iCs/>
          <w:kern w:val="22"/>
          <w:lang w:val="fr-FR"/>
        </w:rPr>
        <w:t xml:space="preserve"> </w:t>
      </w:r>
      <w:r>
        <w:rPr>
          <w:iCs/>
          <w:kern w:val="22"/>
          <w:lang w:val="fr-FR"/>
        </w:rPr>
        <w:t>telles que l’</w:t>
      </w:r>
      <w:r w:rsidRPr="0018026F">
        <w:rPr>
          <w:iCs/>
          <w:kern w:val="22"/>
          <w:lang w:val="fr-FR"/>
        </w:rPr>
        <w:t>évaluation scientifique actualisée</w:t>
      </w:r>
      <w:r>
        <w:rPr>
          <w:iCs/>
          <w:kern w:val="22"/>
          <w:lang w:val="fr-FR"/>
        </w:rPr>
        <w:t xml:space="preserve"> sur l</w:t>
      </w:r>
      <w:r w:rsidRPr="0018026F">
        <w:rPr>
          <w:iCs/>
          <w:kern w:val="22"/>
          <w:lang w:val="fr-FR"/>
        </w:rPr>
        <w:t xml:space="preserve">es progrès </w:t>
      </w:r>
      <w:r>
        <w:rPr>
          <w:iCs/>
          <w:kern w:val="22"/>
          <w:lang w:val="fr-FR"/>
        </w:rPr>
        <w:t>accomplis dans la réalisation des</w:t>
      </w:r>
      <w:r w:rsidRPr="0018026F">
        <w:rPr>
          <w:iCs/>
          <w:kern w:val="22"/>
          <w:lang w:val="fr-FR"/>
        </w:rPr>
        <w:t xml:space="preserve"> Objectifs d’Aichi </w:t>
      </w:r>
      <w:r>
        <w:rPr>
          <w:snapToGrid w:val="0"/>
          <w:kern w:val="22"/>
          <w:szCs w:val="22"/>
          <w:lang w:val="fr-FR"/>
        </w:rPr>
        <w:t>pour la biodiversité</w:t>
      </w:r>
      <w:r>
        <w:rPr>
          <w:iCs/>
          <w:kern w:val="22"/>
          <w:lang w:val="fr-FR"/>
        </w:rPr>
        <w:t>, lors de la préparation de la documentation concernant le</w:t>
      </w:r>
      <w:r w:rsidRPr="0018026F">
        <w:rPr>
          <w:iCs/>
          <w:kern w:val="22"/>
          <w:lang w:val="fr-FR"/>
        </w:rPr>
        <w:t xml:space="preserve"> </w:t>
      </w:r>
      <w:r>
        <w:rPr>
          <w:iCs/>
          <w:kern w:val="22"/>
          <w:lang w:val="fr-FR"/>
        </w:rPr>
        <w:t>cadre mondial de la biodiversité pour l’après-2020 et la cinquième édition</w:t>
      </w:r>
      <w:r w:rsidRPr="0018026F">
        <w:rPr>
          <w:iCs/>
          <w:kern w:val="22"/>
          <w:lang w:val="fr-FR"/>
        </w:rPr>
        <w:t xml:space="preserve"> </w:t>
      </w:r>
      <w:r>
        <w:rPr>
          <w:iCs/>
          <w:kern w:val="22"/>
          <w:lang w:val="fr-FR"/>
        </w:rPr>
        <w:t>des Per</w:t>
      </w:r>
      <w:r w:rsidRPr="0018026F">
        <w:rPr>
          <w:i/>
          <w:iCs/>
          <w:kern w:val="22"/>
          <w:lang w:val="fr-FR"/>
        </w:rPr>
        <w:t>spectives mondiales de la diversité biologique</w:t>
      </w:r>
      <w:r w:rsidRPr="0018026F">
        <w:rPr>
          <w:iCs/>
          <w:kern w:val="22"/>
          <w:lang w:val="fr-FR"/>
        </w:rPr>
        <w:t>;</w:t>
      </w:r>
    </w:p>
    <w:p w:rsidR="009F6935" w:rsidRPr="00152698" w:rsidRDefault="009F6935" w:rsidP="009F6935">
      <w:pPr>
        <w:pStyle w:val="ListParagraph"/>
        <w:suppressLineNumbers/>
        <w:suppressAutoHyphens/>
        <w:kinsoku w:val="0"/>
        <w:overflowPunct w:val="0"/>
        <w:autoSpaceDE w:val="0"/>
        <w:autoSpaceDN w:val="0"/>
        <w:spacing w:before="120" w:after="120"/>
        <w:ind w:left="0" w:firstLine="720"/>
        <w:contextualSpacing w:val="0"/>
        <w:rPr>
          <w:i/>
          <w:snapToGrid w:val="0"/>
          <w:kern w:val="22"/>
          <w:szCs w:val="22"/>
          <w:lang w:val="fr-FR"/>
        </w:rPr>
      </w:pPr>
      <w:r>
        <w:rPr>
          <w:iCs/>
          <w:snapToGrid w:val="0"/>
          <w:kern w:val="22"/>
          <w:szCs w:val="22"/>
          <w:lang w:val="fr-FR"/>
        </w:rPr>
        <w:t>9</w:t>
      </w:r>
      <w:r w:rsidRPr="00152698">
        <w:rPr>
          <w:iCs/>
          <w:snapToGrid w:val="0"/>
          <w:kern w:val="22"/>
          <w:szCs w:val="22"/>
          <w:lang w:val="fr-FR"/>
        </w:rPr>
        <w:t>.</w:t>
      </w:r>
      <w:r w:rsidRPr="00152698">
        <w:rPr>
          <w:i/>
          <w:iCs/>
          <w:snapToGrid w:val="0"/>
          <w:kern w:val="22"/>
          <w:szCs w:val="22"/>
          <w:lang w:val="fr-FR"/>
        </w:rPr>
        <w:tab/>
        <w:t>Recommande</w:t>
      </w:r>
      <w:r w:rsidRPr="00152698">
        <w:rPr>
          <w:snapToGrid w:val="0"/>
          <w:kern w:val="22"/>
          <w:szCs w:val="22"/>
          <w:lang w:val="fr-FR"/>
        </w:rPr>
        <w:t xml:space="preserve"> que la Conférence des Parties, à sa</w:t>
      </w:r>
      <w:r>
        <w:rPr>
          <w:snapToGrid w:val="0"/>
          <w:kern w:val="22"/>
          <w:szCs w:val="22"/>
          <w:lang w:val="fr-FR"/>
        </w:rPr>
        <w:t xml:space="preserve"> </w:t>
      </w:r>
      <w:r w:rsidRPr="00152698">
        <w:rPr>
          <w:snapToGrid w:val="0"/>
          <w:kern w:val="22"/>
          <w:szCs w:val="22"/>
          <w:lang w:val="fr-FR"/>
        </w:rPr>
        <w:t>quatorzième réunion</w:t>
      </w:r>
      <w:r>
        <w:rPr>
          <w:snapToGrid w:val="0"/>
          <w:kern w:val="22"/>
          <w:szCs w:val="22"/>
          <w:lang w:val="fr-FR"/>
        </w:rPr>
        <w:t>,</w:t>
      </w:r>
      <w:r w:rsidRPr="00152698">
        <w:rPr>
          <w:snapToGrid w:val="0"/>
          <w:kern w:val="22"/>
          <w:szCs w:val="22"/>
          <w:lang w:val="fr-FR"/>
        </w:rPr>
        <w:t xml:space="preserve"> adopt</w:t>
      </w:r>
      <w:r>
        <w:rPr>
          <w:snapToGrid w:val="0"/>
          <w:kern w:val="22"/>
          <w:szCs w:val="22"/>
          <w:lang w:val="fr-FR"/>
        </w:rPr>
        <w:t>e une dé</w:t>
      </w:r>
      <w:r w:rsidRPr="00152698">
        <w:rPr>
          <w:snapToGrid w:val="0"/>
          <w:kern w:val="22"/>
          <w:szCs w:val="22"/>
          <w:lang w:val="fr-FR"/>
        </w:rPr>
        <w:t xml:space="preserve">cision </w:t>
      </w:r>
      <w:r>
        <w:rPr>
          <w:snapToGrid w:val="0"/>
          <w:kern w:val="22"/>
          <w:szCs w:val="22"/>
          <w:lang w:val="fr-FR"/>
        </w:rPr>
        <w:t xml:space="preserve">libellée comme suit </w:t>
      </w:r>
      <w:r w:rsidRPr="00152698">
        <w:rPr>
          <w:snapToGrid w:val="0"/>
          <w:kern w:val="22"/>
          <w:szCs w:val="22"/>
          <w:lang w:val="fr-FR"/>
        </w:rPr>
        <w:t>:</w:t>
      </w:r>
    </w:p>
    <w:p w:rsidR="009F6935" w:rsidRPr="00AD3F2C" w:rsidRDefault="009F6935" w:rsidP="009F6935">
      <w:pPr>
        <w:suppressLineNumbers/>
        <w:suppressAutoHyphens/>
        <w:kinsoku w:val="0"/>
        <w:overflowPunct w:val="0"/>
        <w:autoSpaceDE w:val="0"/>
        <w:autoSpaceDN w:val="0"/>
        <w:spacing w:before="120" w:after="120"/>
        <w:ind w:left="720" w:firstLine="720"/>
        <w:rPr>
          <w:i/>
          <w:iCs/>
          <w:snapToGrid w:val="0"/>
          <w:kern w:val="22"/>
          <w:szCs w:val="22"/>
          <w:lang w:val="fr-CA"/>
        </w:rPr>
      </w:pPr>
      <w:r w:rsidRPr="00AD3F2C">
        <w:rPr>
          <w:i/>
          <w:iCs/>
          <w:snapToGrid w:val="0"/>
          <w:kern w:val="22"/>
          <w:szCs w:val="22"/>
          <w:lang w:val="fr-CA"/>
        </w:rPr>
        <w:t>La Conférence des Parties,</w:t>
      </w:r>
    </w:p>
    <w:p w:rsidR="009F6935" w:rsidRPr="00C075B8"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CA"/>
        </w:rPr>
      </w:pPr>
      <w:r w:rsidRPr="00152698">
        <w:rPr>
          <w:i/>
          <w:iCs/>
          <w:snapToGrid w:val="0"/>
          <w:kern w:val="22"/>
          <w:szCs w:val="22"/>
          <w:lang w:val="fr-FR"/>
        </w:rPr>
        <w:t>Profondément préoccupée</w:t>
      </w:r>
      <w:r w:rsidRPr="00152698">
        <w:rPr>
          <w:iCs/>
          <w:snapToGrid w:val="0"/>
          <w:kern w:val="22"/>
          <w:szCs w:val="22"/>
          <w:lang w:val="fr-FR"/>
        </w:rPr>
        <w:t xml:space="preserve"> par le fait qu</w:t>
      </w:r>
      <w:r>
        <w:rPr>
          <w:iCs/>
          <w:snapToGrid w:val="0"/>
          <w:kern w:val="22"/>
          <w:szCs w:val="22"/>
          <w:lang w:val="fr-FR"/>
        </w:rPr>
        <w:t>e, malgré les nombreuses actions</w:t>
      </w:r>
      <w:r w:rsidRPr="00152698">
        <w:rPr>
          <w:iCs/>
          <w:snapToGrid w:val="0"/>
          <w:kern w:val="22"/>
          <w:szCs w:val="22"/>
          <w:lang w:val="fr-FR"/>
        </w:rPr>
        <w:t xml:space="preserve"> positives </w:t>
      </w:r>
      <w:r>
        <w:rPr>
          <w:iCs/>
          <w:snapToGrid w:val="0"/>
          <w:kern w:val="22"/>
          <w:szCs w:val="22"/>
          <w:lang w:val="fr-FR"/>
        </w:rPr>
        <w:t>entre</w:t>
      </w:r>
      <w:r w:rsidRPr="00152698">
        <w:rPr>
          <w:iCs/>
          <w:snapToGrid w:val="0"/>
          <w:kern w:val="22"/>
          <w:szCs w:val="22"/>
          <w:lang w:val="fr-FR"/>
        </w:rPr>
        <w:t xml:space="preserve">prises par les Parties et </w:t>
      </w:r>
      <w:r>
        <w:rPr>
          <w:iCs/>
          <w:snapToGrid w:val="0"/>
          <w:kern w:val="22"/>
          <w:szCs w:val="22"/>
          <w:lang w:val="fr-FR"/>
        </w:rPr>
        <w:t xml:space="preserve">d’autres entités, la plupart des </w:t>
      </w:r>
      <w:r w:rsidRPr="00152698">
        <w:rPr>
          <w:iCs/>
          <w:snapToGrid w:val="0"/>
          <w:kern w:val="22"/>
          <w:szCs w:val="22"/>
          <w:lang w:val="fr-FR"/>
        </w:rPr>
        <w:t xml:space="preserve">Objectifs d’Aichi </w:t>
      </w:r>
      <w:r>
        <w:rPr>
          <w:snapToGrid w:val="0"/>
          <w:kern w:val="22"/>
          <w:szCs w:val="22"/>
          <w:lang w:val="fr-FR"/>
        </w:rPr>
        <w:t xml:space="preserve">pour la biodiversité </w:t>
      </w:r>
      <w:r>
        <w:rPr>
          <w:iCs/>
          <w:snapToGrid w:val="0"/>
          <w:kern w:val="22"/>
          <w:szCs w:val="22"/>
          <w:lang w:val="fr-FR"/>
        </w:rPr>
        <w:t xml:space="preserve">ne sont pas en voie d’être réalisés d’ici à 2020 et, à moins que des progrès supplémentaires substantiels soient accomplis, ceci empêchera la réalisation de la </w:t>
      </w:r>
      <w:r w:rsidRPr="00152698">
        <w:rPr>
          <w:iCs/>
          <w:snapToGrid w:val="0"/>
          <w:kern w:val="22"/>
          <w:szCs w:val="22"/>
          <w:lang w:val="fr-FR"/>
        </w:rPr>
        <w:t xml:space="preserve">mission et </w:t>
      </w:r>
      <w:r>
        <w:rPr>
          <w:iCs/>
          <w:snapToGrid w:val="0"/>
          <w:kern w:val="22"/>
          <w:szCs w:val="22"/>
          <w:lang w:val="fr-FR"/>
        </w:rPr>
        <w:t>de la vision du</w:t>
      </w:r>
      <w:r w:rsidRPr="00152698">
        <w:rPr>
          <w:iCs/>
          <w:snapToGrid w:val="0"/>
          <w:kern w:val="22"/>
          <w:szCs w:val="22"/>
          <w:lang w:val="fr-FR"/>
        </w:rPr>
        <w:t xml:space="preserve"> </w:t>
      </w:r>
      <w:r>
        <w:rPr>
          <w:iCs/>
          <w:snapToGrid w:val="0"/>
          <w:kern w:val="22"/>
          <w:szCs w:val="22"/>
          <w:lang w:val="fr-FR"/>
        </w:rPr>
        <w:t>Plan stratégique pour la diversité biologique 2011-2020</w:t>
      </w:r>
      <w:bookmarkStart w:id="16" w:name="_Ref521414078"/>
      <w:r w:rsidRPr="004E0B00">
        <w:rPr>
          <w:rStyle w:val="FootnoteReference"/>
          <w:iCs/>
          <w:snapToGrid w:val="0"/>
          <w:kern w:val="22"/>
          <w:sz w:val="20"/>
          <w:szCs w:val="20"/>
          <w:u w:val="none"/>
          <w:vertAlign w:val="superscript"/>
        </w:rPr>
        <w:footnoteReference w:id="21"/>
      </w:r>
      <w:bookmarkEnd w:id="16"/>
      <w:r w:rsidRPr="00152698">
        <w:rPr>
          <w:iCs/>
          <w:snapToGrid w:val="0"/>
          <w:kern w:val="22"/>
          <w:szCs w:val="22"/>
          <w:lang w:val="fr-FR"/>
        </w:rPr>
        <w:t xml:space="preserve"> et </w:t>
      </w:r>
      <w:r>
        <w:rPr>
          <w:iCs/>
          <w:snapToGrid w:val="0"/>
          <w:kern w:val="22"/>
          <w:szCs w:val="22"/>
          <w:lang w:val="fr-FR"/>
        </w:rPr>
        <w:t xml:space="preserve">des </w:t>
      </w:r>
      <w:r w:rsidRPr="00152698">
        <w:rPr>
          <w:iCs/>
          <w:snapToGrid w:val="0"/>
          <w:kern w:val="22"/>
          <w:szCs w:val="22"/>
          <w:lang w:val="fr-FR"/>
        </w:rPr>
        <w:t>Objectifs de développement durable</w:t>
      </w:r>
      <w:r w:rsidRPr="004E0B00">
        <w:rPr>
          <w:rStyle w:val="FootnoteReference"/>
          <w:iCs/>
          <w:snapToGrid w:val="0"/>
          <w:spacing w:val="-2"/>
          <w:kern w:val="22"/>
          <w:sz w:val="20"/>
          <w:szCs w:val="20"/>
          <w:u w:val="none"/>
          <w:vertAlign w:val="superscript"/>
        </w:rPr>
        <w:footnoteReference w:id="22"/>
      </w:r>
      <w:r>
        <w:rPr>
          <w:iCs/>
          <w:snapToGrid w:val="0"/>
          <w:kern w:val="22"/>
          <w:szCs w:val="22"/>
          <w:lang w:val="fr-CA"/>
        </w:rPr>
        <w:t>,</w:t>
      </w:r>
    </w:p>
    <w:p w:rsidR="009F6935" w:rsidRPr="009A291F"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FR"/>
        </w:rPr>
      </w:pPr>
      <w:r w:rsidRPr="003E38C8">
        <w:rPr>
          <w:i/>
          <w:iCs/>
          <w:snapToGrid w:val="0"/>
          <w:kern w:val="22"/>
          <w:szCs w:val="22"/>
          <w:lang w:val="fr-FR"/>
        </w:rPr>
        <w:t xml:space="preserve">Rappelant </w:t>
      </w:r>
      <w:r w:rsidRPr="003E38C8">
        <w:rPr>
          <w:iCs/>
          <w:snapToGrid w:val="0"/>
          <w:kern w:val="22"/>
          <w:szCs w:val="22"/>
          <w:lang w:val="fr-FR"/>
        </w:rPr>
        <w:t>les décisions XIII/5, XIII/28 et XIII/29,</w:t>
      </w:r>
    </w:p>
    <w:p w:rsidR="009F6935" w:rsidRPr="001724BB" w:rsidRDefault="009F6935" w:rsidP="009F6935">
      <w:pPr>
        <w:pStyle w:val="ListParagraph"/>
        <w:suppressLineNumbers/>
        <w:suppressAutoHyphens/>
        <w:kinsoku w:val="0"/>
        <w:overflowPunct w:val="0"/>
        <w:autoSpaceDE w:val="0"/>
        <w:autoSpaceDN w:val="0"/>
        <w:spacing w:before="120" w:after="120"/>
        <w:ind w:firstLine="720"/>
        <w:contextualSpacing w:val="0"/>
        <w:rPr>
          <w:szCs w:val="22"/>
          <w:lang w:val="fr-FR"/>
        </w:rPr>
      </w:pPr>
      <w:r w:rsidRPr="001724BB">
        <w:rPr>
          <w:snapToGrid w:val="0"/>
          <w:kern w:val="22"/>
          <w:szCs w:val="22"/>
          <w:lang w:val="fr-FR"/>
        </w:rPr>
        <w:t>1.</w:t>
      </w:r>
      <w:r w:rsidRPr="001724BB">
        <w:rPr>
          <w:i/>
          <w:snapToGrid w:val="0"/>
          <w:kern w:val="22"/>
          <w:szCs w:val="22"/>
          <w:lang w:val="fr-FR"/>
        </w:rPr>
        <w:tab/>
      </w:r>
      <w:r>
        <w:rPr>
          <w:i/>
          <w:snapToGrid w:val="0"/>
          <w:kern w:val="22"/>
          <w:szCs w:val="22"/>
          <w:lang w:val="fr-FR"/>
        </w:rPr>
        <w:t>Accueille avec satisfactio</w:t>
      </w:r>
      <w:r w:rsidRPr="001724BB">
        <w:rPr>
          <w:i/>
          <w:snapToGrid w:val="0"/>
          <w:kern w:val="22"/>
          <w:szCs w:val="22"/>
          <w:lang w:val="fr-FR"/>
        </w:rPr>
        <w:t>n</w:t>
      </w:r>
      <w:r w:rsidRPr="001724BB">
        <w:rPr>
          <w:iCs/>
          <w:snapToGrid w:val="0"/>
          <w:kern w:val="22"/>
          <w:szCs w:val="22"/>
          <w:lang w:val="fr-FR"/>
        </w:rPr>
        <w:t xml:space="preserve"> </w:t>
      </w:r>
      <w:r>
        <w:rPr>
          <w:iCs/>
          <w:kern w:val="22"/>
          <w:lang w:val="fr-FR"/>
        </w:rPr>
        <w:t>l</w:t>
      </w:r>
      <w:r w:rsidRPr="0018026F">
        <w:rPr>
          <w:iCs/>
          <w:kern w:val="22"/>
          <w:lang w:val="fr-FR"/>
        </w:rPr>
        <w:t>e</w:t>
      </w:r>
      <w:r>
        <w:rPr>
          <w:iCs/>
          <w:kern w:val="22"/>
          <w:lang w:val="fr-FR"/>
        </w:rPr>
        <w:t>s</w:t>
      </w:r>
      <w:r w:rsidRPr="0018026F">
        <w:rPr>
          <w:iCs/>
          <w:kern w:val="22"/>
          <w:lang w:val="fr-FR"/>
        </w:rPr>
        <w:t xml:space="preserve"> évaluations régionales</w:t>
      </w:r>
      <w:r>
        <w:rPr>
          <w:iCs/>
          <w:kern w:val="22"/>
          <w:lang w:val="fr-FR"/>
        </w:rPr>
        <w:t xml:space="preserve"> de la</w:t>
      </w:r>
      <w:r w:rsidRPr="0018026F">
        <w:rPr>
          <w:iCs/>
          <w:kern w:val="22"/>
          <w:lang w:val="fr-FR"/>
        </w:rPr>
        <w:t xml:space="preserve"> </w:t>
      </w:r>
      <w:r>
        <w:rPr>
          <w:iCs/>
          <w:kern w:val="22"/>
          <w:lang w:val="fr-FR"/>
        </w:rPr>
        <w:t>biodiversité</w:t>
      </w:r>
      <w:r w:rsidRPr="0018026F">
        <w:rPr>
          <w:iCs/>
          <w:kern w:val="22"/>
          <w:lang w:val="fr-FR"/>
        </w:rPr>
        <w:t xml:space="preserve"> et </w:t>
      </w:r>
      <w:r>
        <w:rPr>
          <w:iCs/>
          <w:kern w:val="22"/>
          <w:lang w:val="fr-FR"/>
        </w:rPr>
        <w:t xml:space="preserve">des </w:t>
      </w:r>
      <w:r w:rsidRPr="0018026F">
        <w:rPr>
          <w:iCs/>
          <w:kern w:val="22"/>
          <w:lang w:val="fr-FR"/>
        </w:rPr>
        <w:t xml:space="preserve">services écosystémiques </w:t>
      </w:r>
      <w:r>
        <w:rPr>
          <w:iCs/>
          <w:kern w:val="22"/>
          <w:lang w:val="fr-FR"/>
        </w:rPr>
        <w:t>pour l’Afrique, les Amériques, l’Asie et Pacifique, et l’Europe et Asie centrale,</w:t>
      </w:r>
      <w:r w:rsidRPr="0018026F">
        <w:rPr>
          <w:iCs/>
          <w:kern w:val="22"/>
          <w:lang w:val="fr-FR"/>
        </w:rPr>
        <w:t xml:space="preserve"> et </w:t>
      </w:r>
      <w:r>
        <w:rPr>
          <w:iCs/>
          <w:kern w:val="22"/>
          <w:lang w:val="fr-FR"/>
        </w:rPr>
        <w:t>l’Évaluation thématique sur la dégradation et la restauration des terres de la</w:t>
      </w:r>
      <w:r w:rsidRPr="0018026F">
        <w:rPr>
          <w:iCs/>
          <w:kern w:val="22"/>
          <w:lang w:val="fr-FR"/>
        </w:rPr>
        <w:t xml:space="preserve"> </w:t>
      </w:r>
      <w:r>
        <w:rPr>
          <w:rFonts w:asciiTheme="majorBidi" w:hAnsiTheme="majorBidi" w:cstheme="majorBidi"/>
          <w:kern w:val="22"/>
          <w:szCs w:val="22"/>
          <w:lang w:val="fr-FR"/>
        </w:rPr>
        <w:t xml:space="preserve">Plateforme intergouvernementale scientifique et politique sur la biodiversité </w:t>
      </w:r>
      <w:r w:rsidRPr="0018026F">
        <w:rPr>
          <w:rFonts w:asciiTheme="majorBidi" w:hAnsiTheme="majorBidi" w:cstheme="majorBidi"/>
          <w:kern w:val="22"/>
          <w:szCs w:val="22"/>
          <w:lang w:val="fr-FR"/>
        </w:rPr>
        <w:t xml:space="preserve">et </w:t>
      </w:r>
      <w:r>
        <w:rPr>
          <w:rFonts w:asciiTheme="majorBidi" w:hAnsiTheme="majorBidi" w:cstheme="majorBidi"/>
          <w:kern w:val="22"/>
          <w:szCs w:val="22"/>
          <w:lang w:val="fr-FR"/>
        </w:rPr>
        <w:t>les s</w:t>
      </w:r>
      <w:r w:rsidRPr="0018026F">
        <w:rPr>
          <w:rFonts w:asciiTheme="majorBidi" w:hAnsiTheme="majorBidi" w:cstheme="majorBidi"/>
          <w:kern w:val="22"/>
          <w:szCs w:val="22"/>
          <w:lang w:val="fr-FR"/>
        </w:rPr>
        <w:t>ervices écosystémiques</w:t>
      </w:r>
      <w:r w:rsidRPr="001724BB">
        <w:rPr>
          <w:iCs/>
          <w:snapToGrid w:val="0"/>
          <w:kern w:val="22"/>
          <w:szCs w:val="22"/>
          <w:lang w:val="fr-FR"/>
        </w:rPr>
        <w:t>;</w:t>
      </w:r>
    </w:p>
    <w:p w:rsidR="009F6935" w:rsidRPr="009A291F"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fr-FR"/>
        </w:rPr>
      </w:pPr>
      <w:r w:rsidRPr="001724BB">
        <w:rPr>
          <w:snapToGrid w:val="0"/>
          <w:kern w:val="22"/>
          <w:szCs w:val="22"/>
          <w:lang w:val="fr-FR"/>
        </w:rPr>
        <w:t>2.</w:t>
      </w:r>
      <w:r w:rsidRPr="001724BB">
        <w:rPr>
          <w:i/>
          <w:snapToGrid w:val="0"/>
          <w:kern w:val="22"/>
          <w:szCs w:val="22"/>
          <w:lang w:val="fr-FR"/>
        </w:rPr>
        <w:tab/>
      </w:r>
      <w:r>
        <w:rPr>
          <w:i/>
          <w:snapToGrid w:val="0"/>
          <w:kern w:val="22"/>
          <w:szCs w:val="22"/>
          <w:lang w:val="fr-FR"/>
        </w:rPr>
        <w:t>Se félicite</w:t>
      </w:r>
      <w:r w:rsidRPr="001724BB">
        <w:rPr>
          <w:i/>
          <w:snapToGrid w:val="0"/>
          <w:kern w:val="22"/>
          <w:szCs w:val="22"/>
          <w:lang w:val="fr-FR"/>
        </w:rPr>
        <w:t xml:space="preserve"> </w:t>
      </w:r>
      <w:r>
        <w:rPr>
          <w:iCs/>
          <w:snapToGrid w:val="0"/>
          <w:kern w:val="22"/>
          <w:szCs w:val="22"/>
          <w:lang w:val="fr-FR"/>
        </w:rPr>
        <w:t>de l’analyse des</w:t>
      </w:r>
      <w:r w:rsidRPr="001724BB">
        <w:rPr>
          <w:iCs/>
          <w:snapToGrid w:val="0"/>
          <w:kern w:val="22"/>
          <w:szCs w:val="22"/>
          <w:lang w:val="fr-FR"/>
        </w:rPr>
        <w:t xml:space="preserve"> informations scientifiques actualisées, y compris</w:t>
      </w:r>
      <w:r>
        <w:rPr>
          <w:iCs/>
          <w:snapToGrid w:val="0"/>
          <w:kern w:val="22"/>
          <w:szCs w:val="22"/>
          <w:lang w:val="fr-FR"/>
        </w:rPr>
        <w:t xml:space="preserve"> ses conclusions et lacunes dans les informations, et des options éventuelles</w:t>
      </w:r>
      <w:r w:rsidRPr="001724BB">
        <w:rPr>
          <w:iCs/>
          <w:snapToGrid w:val="0"/>
          <w:kern w:val="22"/>
          <w:szCs w:val="22"/>
          <w:lang w:val="fr-FR"/>
        </w:rPr>
        <w:t xml:space="preserve"> pour accélérer les progrès accomplis dans la réalisation des</w:t>
      </w:r>
      <w:r>
        <w:rPr>
          <w:iCs/>
          <w:snapToGrid w:val="0"/>
          <w:kern w:val="22"/>
          <w:szCs w:val="22"/>
          <w:lang w:val="fr-FR"/>
        </w:rPr>
        <w:t xml:space="preserve"> </w:t>
      </w:r>
      <w:r w:rsidRPr="001724BB">
        <w:rPr>
          <w:iCs/>
          <w:snapToGrid w:val="0"/>
          <w:kern w:val="22"/>
          <w:szCs w:val="22"/>
          <w:lang w:val="fr-FR"/>
        </w:rPr>
        <w:t xml:space="preserve">Objectifs d’Aichi </w:t>
      </w:r>
      <w:r>
        <w:rPr>
          <w:snapToGrid w:val="0"/>
          <w:kern w:val="22"/>
          <w:szCs w:val="22"/>
          <w:lang w:val="fr-FR"/>
        </w:rPr>
        <w:t>pour la biodiversité</w:t>
      </w:r>
      <w:r w:rsidRPr="004E0B00">
        <w:rPr>
          <w:rStyle w:val="FootnoteReference"/>
          <w:iCs/>
          <w:snapToGrid w:val="0"/>
          <w:kern w:val="22"/>
          <w:sz w:val="20"/>
          <w:szCs w:val="20"/>
          <w:u w:val="none"/>
          <w:vertAlign w:val="superscript"/>
        </w:rPr>
        <w:footnoteReference w:id="23"/>
      </w:r>
      <w:r w:rsidRPr="009A291F">
        <w:rPr>
          <w:iCs/>
          <w:snapToGrid w:val="0"/>
          <w:kern w:val="22"/>
          <w:szCs w:val="22"/>
          <w:lang w:val="fr-FR"/>
        </w:rPr>
        <w:t>;</w:t>
      </w:r>
    </w:p>
    <w:p w:rsidR="009F6935" w:rsidRPr="003E38C8"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fr-FR"/>
        </w:rPr>
      </w:pPr>
      <w:r w:rsidRPr="003E38C8">
        <w:rPr>
          <w:iCs/>
          <w:snapToGrid w:val="0"/>
          <w:kern w:val="22"/>
          <w:szCs w:val="22"/>
          <w:lang w:val="fr-FR"/>
        </w:rPr>
        <w:t>3.</w:t>
      </w:r>
      <w:r w:rsidRPr="003E38C8">
        <w:rPr>
          <w:iCs/>
          <w:snapToGrid w:val="0"/>
          <w:kern w:val="22"/>
          <w:szCs w:val="22"/>
          <w:lang w:val="fr-FR"/>
        </w:rPr>
        <w:tab/>
      </w:r>
      <w:r>
        <w:rPr>
          <w:i/>
          <w:iCs/>
          <w:snapToGrid w:val="0"/>
          <w:kern w:val="22"/>
          <w:szCs w:val="22"/>
          <w:lang w:val="fr-FR"/>
        </w:rPr>
        <w:t xml:space="preserve">Se félicite </w:t>
      </w:r>
      <w:r w:rsidRPr="001724BB">
        <w:rPr>
          <w:i/>
          <w:snapToGrid w:val="0"/>
          <w:spacing w:val="-2"/>
          <w:kern w:val="22"/>
          <w:szCs w:val="22"/>
          <w:lang w:val="fr-FR"/>
        </w:rPr>
        <w:t>également</w:t>
      </w:r>
      <w:r>
        <w:rPr>
          <w:iCs/>
          <w:snapToGrid w:val="0"/>
          <w:spacing w:val="-2"/>
          <w:kern w:val="22"/>
          <w:szCs w:val="22"/>
          <w:lang w:val="fr-FR"/>
        </w:rPr>
        <w:t xml:space="preserve"> des</w:t>
      </w:r>
      <w:r w:rsidRPr="001724BB">
        <w:rPr>
          <w:iCs/>
          <w:snapToGrid w:val="0"/>
          <w:spacing w:val="-2"/>
          <w:kern w:val="22"/>
          <w:szCs w:val="22"/>
          <w:lang w:val="fr-FR"/>
        </w:rPr>
        <w:t xml:space="preserve"> indicateurs supplémentaires qui ont été identifiés et </w:t>
      </w:r>
      <w:r>
        <w:rPr>
          <w:iCs/>
          <w:snapToGrid w:val="0"/>
          <w:spacing w:val="-2"/>
          <w:kern w:val="22"/>
          <w:szCs w:val="22"/>
          <w:lang w:val="fr-FR"/>
        </w:rPr>
        <w:t xml:space="preserve">de </w:t>
      </w:r>
      <w:r w:rsidRPr="001724BB">
        <w:rPr>
          <w:iCs/>
          <w:snapToGrid w:val="0"/>
          <w:spacing w:val="-2"/>
          <w:kern w:val="22"/>
          <w:szCs w:val="22"/>
          <w:lang w:val="fr-FR"/>
        </w:rPr>
        <w:t>ceux pour lesquels on dispose de données actualisées</w:t>
      </w:r>
      <w:r w:rsidRPr="004E0B00">
        <w:rPr>
          <w:rStyle w:val="FootnoteReference"/>
          <w:iCs/>
          <w:snapToGrid w:val="0"/>
          <w:kern w:val="22"/>
          <w:sz w:val="20"/>
          <w:szCs w:val="20"/>
          <w:u w:val="none"/>
          <w:vertAlign w:val="superscript"/>
        </w:rPr>
        <w:footnoteReference w:id="24"/>
      </w:r>
      <w:r>
        <w:rPr>
          <w:iCs/>
          <w:snapToGrid w:val="0"/>
          <w:spacing w:val="-2"/>
          <w:kern w:val="22"/>
          <w:szCs w:val="22"/>
          <w:lang w:val="fr-FR"/>
        </w:rPr>
        <w:t>,</w:t>
      </w:r>
      <w:r w:rsidRPr="003E38C8">
        <w:rPr>
          <w:iCs/>
          <w:snapToGrid w:val="0"/>
          <w:kern w:val="22"/>
          <w:szCs w:val="22"/>
          <w:lang w:val="fr-FR"/>
        </w:rPr>
        <w:t xml:space="preserve"> et</w:t>
      </w:r>
      <w:r w:rsidRPr="003E38C8">
        <w:rPr>
          <w:iCs/>
          <w:snapToGrid w:val="0"/>
          <w:spacing w:val="-2"/>
          <w:kern w:val="22"/>
          <w:szCs w:val="22"/>
          <w:lang w:val="fr-FR"/>
        </w:rPr>
        <w:t xml:space="preserve"> </w:t>
      </w:r>
      <w:r>
        <w:rPr>
          <w:i/>
          <w:snapToGrid w:val="0"/>
          <w:spacing w:val="-2"/>
          <w:kern w:val="22"/>
          <w:szCs w:val="22"/>
          <w:lang w:val="fr-FR"/>
        </w:rPr>
        <w:t>prend acte</w:t>
      </w:r>
      <w:r w:rsidRPr="001724BB">
        <w:rPr>
          <w:iCs/>
          <w:snapToGrid w:val="0"/>
          <w:spacing w:val="-2"/>
          <w:kern w:val="22"/>
          <w:szCs w:val="22"/>
          <w:lang w:val="fr-FR"/>
        </w:rPr>
        <w:t xml:space="preserve"> </w:t>
      </w:r>
      <w:r>
        <w:rPr>
          <w:iCs/>
          <w:snapToGrid w:val="0"/>
          <w:spacing w:val="-2"/>
          <w:kern w:val="22"/>
          <w:szCs w:val="22"/>
          <w:lang w:val="fr-FR"/>
        </w:rPr>
        <w:t xml:space="preserve">de la contribution du Partenariat sur les </w:t>
      </w:r>
      <w:r w:rsidRPr="001724BB">
        <w:rPr>
          <w:iCs/>
          <w:snapToGrid w:val="0"/>
          <w:spacing w:val="-2"/>
          <w:kern w:val="22"/>
          <w:szCs w:val="22"/>
          <w:lang w:val="fr-FR"/>
        </w:rPr>
        <w:t>indicateurs</w:t>
      </w:r>
      <w:r>
        <w:rPr>
          <w:iCs/>
          <w:snapToGrid w:val="0"/>
          <w:spacing w:val="-2"/>
          <w:kern w:val="22"/>
          <w:szCs w:val="22"/>
          <w:lang w:val="fr-FR"/>
        </w:rPr>
        <w:t xml:space="preserve"> de biodiversité à l’avancement des travaux sur les indicateurs qui intéressent le Plan stratégique pour la diversité biologique 2011-2020</w:t>
      </w:r>
      <w:r w:rsidR="00E2241E" w:rsidRPr="00E2241E">
        <w:rPr>
          <w:iCs/>
          <w:snapToGrid w:val="0"/>
          <w:kern w:val="22"/>
          <w:szCs w:val="22"/>
          <w:vertAlign w:val="superscript"/>
          <w:lang w:val="fr-FR"/>
        </w:rPr>
        <w:t>21</w:t>
      </w:r>
      <w:r w:rsidRPr="003E38C8">
        <w:rPr>
          <w:iCs/>
          <w:snapToGrid w:val="0"/>
          <w:kern w:val="22"/>
          <w:szCs w:val="22"/>
          <w:lang w:val="fr-FR"/>
        </w:rPr>
        <w:t>;</w:t>
      </w:r>
    </w:p>
    <w:p w:rsidR="009F6935" w:rsidRPr="003E38C8"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fr-FR"/>
        </w:rPr>
      </w:pPr>
      <w:r w:rsidRPr="003E38C8">
        <w:rPr>
          <w:iCs/>
          <w:snapToGrid w:val="0"/>
          <w:kern w:val="22"/>
          <w:szCs w:val="22"/>
          <w:lang w:val="fr-FR"/>
        </w:rPr>
        <w:t>4.</w:t>
      </w:r>
      <w:r w:rsidRPr="003E38C8">
        <w:rPr>
          <w:iCs/>
          <w:snapToGrid w:val="0"/>
          <w:kern w:val="22"/>
          <w:szCs w:val="22"/>
          <w:lang w:val="fr-FR"/>
        </w:rPr>
        <w:tab/>
      </w:r>
      <w:r w:rsidRPr="003E38C8">
        <w:rPr>
          <w:i/>
          <w:iCs/>
          <w:snapToGrid w:val="0"/>
          <w:kern w:val="22"/>
          <w:szCs w:val="22"/>
          <w:lang w:val="fr-FR"/>
        </w:rPr>
        <w:t>Encourage</w:t>
      </w:r>
      <w:r w:rsidRPr="003E38C8">
        <w:rPr>
          <w:iCs/>
          <w:snapToGrid w:val="0"/>
          <w:kern w:val="22"/>
          <w:szCs w:val="22"/>
          <w:lang w:val="fr-FR"/>
        </w:rPr>
        <w:t xml:space="preserve"> les Parties et </w:t>
      </w:r>
      <w:r w:rsidRPr="003E38C8">
        <w:rPr>
          <w:i/>
          <w:iCs/>
          <w:snapToGrid w:val="0"/>
          <w:kern w:val="22"/>
          <w:szCs w:val="22"/>
          <w:lang w:val="fr-FR"/>
        </w:rPr>
        <w:t>invite</w:t>
      </w:r>
      <w:r w:rsidRPr="003E38C8">
        <w:rPr>
          <w:iCs/>
          <w:snapToGrid w:val="0"/>
          <w:kern w:val="22"/>
          <w:szCs w:val="22"/>
          <w:lang w:val="fr-FR"/>
        </w:rPr>
        <w:t xml:space="preserve"> les autres gouvernements </w:t>
      </w:r>
      <w:r>
        <w:rPr>
          <w:iCs/>
          <w:snapToGrid w:val="0"/>
          <w:kern w:val="22"/>
          <w:szCs w:val="22"/>
          <w:lang w:val="fr-FR"/>
        </w:rPr>
        <w:t>à utiliser</w:t>
      </w:r>
      <w:r w:rsidRPr="003E38C8">
        <w:rPr>
          <w:iCs/>
          <w:snapToGrid w:val="0"/>
          <w:kern w:val="22"/>
          <w:szCs w:val="22"/>
          <w:lang w:val="fr-FR"/>
        </w:rPr>
        <w:t>, selon qu’il convient</w:t>
      </w:r>
      <w:r>
        <w:rPr>
          <w:iCs/>
          <w:snapToGrid w:val="0"/>
          <w:kern w:val="22"/>
          <w:szCs w:val="22"/>
          <w:lang w:val="fr-FR"/>
        </w:rPr>
        <w:t xml:space="preserve"> et afin </w:t>
      </w:r>
      <w:r w:rsidRPr="003E38C8">
        <w:rPr>
          <w:iCs/>
          <w:snapToGrid w:val="0"/>
          <w:kern w:val="22"/>
          <w:szCs w:val="22"/>
          <w:lang w:val="fr-FR"/>
        </w:rPr>
        <w:t xml:space="preserve">d’éclairer les mesures prises au niveau </w:t>
      </w:r>
      <w:r>
        <w:rPr>
          <w:iCs/>
          <w:snapToGrid w:val="0"/>
          <w:kern w:val="22"/>
          <w:szCs w:val="22"/>
          <w:lang w:val="fr-FR"/>
        </w:rPr>
        <w:t xml:space="preserve">national </w:t>
      </w:r>
      <w:r w:rsidRPr="003E38C8">
        <w:rPr>
          <w:iCs/>
          <w:snapToGrid w:val="0"/>
          <w:kern w:val="22"/>
          <w:szCs w:val="22"/>
          <w:lang w:val="fr-FR"/>
        </w:rPr>
        <w:t>:</w:t>
      </w:r>
    </w:p>
    <w:p w:rsidR="009F6935" w:rsidRPr="001724BB" w:rsidRDefault="009F6935" w:rsidP="009F6935">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fr-FR"/>
        </w:rPr>
      </w:pPr>
      <w:r w:rsidRPr="001724BB">
        <w:rPr>
          <w:snapToGrid w:val="0"/>
          <w:kern w:val="22"/>
          <w:szCs w:val="22"/>
          <w:lang w:val="fr-FR"/>
        </w:rPr>
        <w:t>a)</w:t>
      </w:r>
      <w:r w:rsidRPr="001724BB">
        <w:rPr>
          <w:snapToGrid w:val="0"/>
          <w:kern w:val="22"/>
          <w:szCs w:val="22"/>
          <w:lang w:val="fr-FR"/>
        </w:rPr>
        <w:tab/>
      </w:r>
      <w:r>
        <w:rPr>
          <w:iCs/>
          <w:snapToGrid w:val="0"/>
          <w:kern w:val="22"/>
          <w:szCs w:val="22"/>
          <w:lang w:val="fr-FR"/>
        </w:rPr>
        <w:t>L</w:t>
      </w:r>
      <w:r w:rsidRPr="001724BB">
        <w:rPr>
          <w:iCs/>
          <w:snapToGrid w:val="0"/>
          <w:kern w:val="22"/>
          <w:szCs w:val="22"/>
          <w:lang w:val="fr-FR"/>
        </w:rPr>
        <w:t>e</w:t>
      </w:r>
      <w:r>
        <w:rPr>
          <w:iCs/>
          <w:snapToGrid w:val="0"/>
          <w:kern w:val="22"/>
          <w:szCs w:val="22"/>
          <w:lang w:val="fr-FR"/>
        </w:rPr>
        <w:t>s</w:t>
      </w:r>
      <w:r w:rsidRPr="001724BB">
        <w:rPr>
          <w:iCs/>
          <w:snapToGrid w:val="0"/>
          <w:kern w:val="22"/>
          <w:szCs w:val="22"/>
          <w:lang w:val="fr-FR"/>
        </w:rPr>
        <w:t xml:space="preserve"> </w:t>
      </w:r>
      <w:r>
        <w:rPr>
          <w:iCs/>
          <w:snapToGrid w:val="0"/>
          <w:kern w:val="22"/>
          <w:szCs w:val="22"/>
          <w:lang w:val="fr-FR"/>
        </w:rPr>
        <w:t>évaluations régionales de la biodiversité et d</w:t>
      </w:r>
      <w:r w:rsidRPr="001724BB">
        <w:rPr>
          <w:iCs/>
          <w:snapToGrid w:val="0"/>
          <w:kern w:val="22"/>
          <w:szCs w:val="22"/>
          <w:lang w:val="fr-FR"/>
        </w:rPr>
        <w:t xml:space="preserve">es services écosystémiques </w:t>
      </w:r>
      <w:r>
        <w:rPr>
          <w:iCs/>
          <w:kern w:val="22"/>
          <w:lang w:val="fr-FR"/>
        </w:rPr>
        <w:t>pour l’Afrique, les Amériques, l’Asie et Pacifique, et l’Europe et Asie centrale,</w:t>
      </w:r>
      <w:r w:rsidRPr="0018026F">
        <w:rPr>
          <w:iCs/>
          <w:kern w:val="22"/>
          <w:lang w:val="fr-FR"/>
        </w:rPr>
        <w:t xml:space="preserve"> et </w:t>
      </w:r>
      <w:r>
        <w:rPr>
          <w:iCs/>
          <w:kern w:val="22"/>
          <w:lang w:val="fr-FR"/>
        </w:rPr>
        <w:t>l’Évaluation thématique sur la dégradation et la restauration des terres de la</w:t>
      </w:r>
      <w:r w:rsidRPr="0018026F">
        <w:rPr>
          <w:iCs/>
          <w:kern w:val="22"/>
          <w:lang w:val="fr-FR"/>
        </w:rPr>
        <w:t xml:space="preserve"> </w:t>
      </w:r>
      <w:r>
        <w:rPr>
          <w:rFonts w:asciiTheme="majorBidi" w:hAnsiTheme="majorBidi" w:cstheme="majorBidi"/>
          <w:kern w:val="22"/>
          <w:szCs w:val="22"/>
          <w:lang w:val="fr-FR"/>
        </w:rPr>
        <w:t xml:space="preserve">Plateforme intergouvernementale scientifique et politique sur la biodiversité </w:t>
      </w:r>
      <w:r w:rsidRPr="0018026F">
        <w:rPr>
          <w:rFonts w:asciiTheme="majorBidi" w:hAnsiTheme="majorBidi" w:cstheme="majorBidi"/>
          <w:kern w:val="22"/>
          <w:szCs w:val="22"/>
          <w:lang w:val="fr-FR"/>
        </w:rPr>
        <w:t xml:space="preserve">et </w:t>
      </w:r>
      <w:r>
        <w:rPr>
          <w:rFonts w:asciiTheme="majorBidi" w:hAnsiTheme="majorBidi" w:cstheme="majorBidi"/>
          <w:kern w:val="22"/>
          <w:szCs w:val="22"/>
          <w:lang w:val="fr-FR"/>
        </w:rPr>
        <w:t>les s</w:t>
      </w:r>
      <w:r w:rsidRPr="0018026F">
        <w:rPr>
          <w:rFonts w:asciiTheme="majorBidi" w:hAnsiTheme="majorBidi" w:cstheme="majorBidi"/>
          <w:kern w:val="22"/>
          <w:szCs w:val="22"/>
          <w:lang w:val="fr-FR"/>
        </w:rPr>
        <w:t>ervices écosystémiques</w:t>
      </w:r>
      <w:r w:rsidRPr="001724BB">
        <w:rPr>
          <w:snapToGrid w:val="0"/>
          <w:kern w:val="22"/>
          <w:szCs w:val="22"/>
          <w:lang w:val="fr-FR"/>
        </w:rPr>
        <w:t>;</w:t>
      </w:r>
    </w:p>
    <w:p w:rsidR="009F6935" w:rsidRPr="000001DC"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szCs w:val="22"/>
          <w:lang w:val="fr-FR"/>
        </w:rPr>
      </w:pPr>
      <w:r w:rsidRPr="001724BB">
        <w:rPr>
          <w:snapToGrid w:val="0"/>
          <w:kern w:val="22"/>
          <w:szCs w:val="22"/>
          <w:lang w:val="fr-FR"/>
        </w:rPr>
        <w:t>b)</w:t>
      </w:r>
      <w:r w:rsidRPr="001724BB">
        <w:rPr>
          <w:snapToGrid w:val="0"/>
          <w:kern w:val="22"/>
          <w:szCs w:val="22"/>
          <w:lang w:val="fr-FR"/>
        </w:rPr>
        <w:tab/>
      </w:r>
      <w:r>
        <w:rPr>
          <w:iCs/>
          <w:snapToGrid w:val="0"/>
          <w:kern w:val="22"/>
          <w:szCs w:val="22"/>
          <w:lang w:val="fr-FR"/>
        </w:rPr>
        <w:t>L’analyse des</w:t>
      </w:r>
      <w:r w:rsidRPr="001724BB">
        <w:rPr>
          <w:iCs/>
          <w:snapToGrid w:val="0"/>
          <w:kern w:val="22"/>
          <w:szCs w:val="22"/>
          <w:lang w:val="fr-FR"/>
        </w:rPr>
        <w:t xml:space="preserve"> informations scientifiques actualisées, y compris</w:t>
      </w:r>
      <w:r>
        <w:rPr>
          <w:iCs/>
          <w:snapToGrid w:val="0"/>
          <w:kern w:val="22"/>
          <w:szCs w:val="22"/>
          <w:lang w:val="fr-FR"/>
        </w:rPr>
        <w:t xml:space="preserve"> ses conclusions et lacunes dans les informations, et les options éventuelles</w:t>
      </w:r>
      <w:r w:rsidRPr="001724BB">
        <w:rPr>
          <w:iCs/>
          <w:snapToGrid w:val="0"/>
          <w:kern w:val="22"/>
          <w:szCs w:val="22"/>
          <w:lang w:val="fr-FR"/>
        </w:rPr>
        <w:t xml:space="preserve"> pour accélérer les progrès accomp</w:t>
      </w:r>
      <w:r>
        <w:rPr>
          <w:iCs/>
          <w:snapToGrid w:val="0"/>
          <w:kern w:val="22"/>
          <w:szCs w:val="22"/>
          <w:lang w:val="fr-FR"/>
        </w:rPr>
        <w:t xml:space="preserve">lis dans la réalisation des </w:t>
      </w:r>
      <w:r w:rsidRPr="001724BB">
        <w:rPr>
          <w:iCs/>
          <w:snapToGrid w:val="0"/>
          <w:kern w:val="22"/>
          <w:szCs w:val="22"/>
          <w:lang w:val="fr-FR"/>
        </w:rPr>
        <w:t>Objecti</w:t>
      </w:r>
      <w:r>
        <w:rPr>
          <w:iCs/>
          <w:snapToGrid w:val="0"/>
          <w:kern w:val="22"/>
          <w:szCs w:val="22"/>
          <w:lang w:val="fr-FR"/>
        </w:rPr>
        <w:t xml:space="preserve">fs d’Aichi </w:t>
      </w:r>
      <w:r>
        <w:rPr>
          <w:snapToGrid w:val="0"/>
          <w:kern w:val="22"/>
          <w:szCs w:val="22"/>
          <w:lang w:val="fr-FR"/>
        </w:rPr>
        <w:t>pour la biodiversité</w:t>
      </w:r>
      <w:r w:rsidRPr="004E0B00">
        <w:rPr>
          <w:rStyle w:val="FootnoteReference"/>
          <w:iCs/>
          <w:snapToGrid w:val="0"/>
          <w:kern w:val="22"/>
          <w:sz w:val="20"/>
          <w:szCs w:val="20"/>
          <w:u w:val="none"/>
          <w:vertAlign w:val="superscript"/>
        </w:rPr>
        <w:footnoteReference w:id="25"/>
      </w:r>
      <w:r w:rsidRPr="000001DC">
        <w:rPr>
          <w:iCs/>
          <w:snapToGrid w:val="0"/>
          <w:kern w:val="22"/>
          <w:szCs w:val="22"/>
          <w:lang w:val="fr-FR"/>
        </w:rPr>
        <w:t>;</w:t>
      </w:r>
      <w:r>
        <w:rPr>
          <w:iCs/>
          <w:snapToGrid w:val="0"/>
          <w:kern w:val="22"/>
          <w:szCs w:val="22"/>
          <w:lang w:val="fr-FR"/>
        </w:rPr>
        <w:t xml:space="preserve">    </w:t>
      </w:r>
    </w:p>
    <w:p w:rsidR="009F6935" w:rsidRPr="00E8492E" w:rsidRDefault="009F6935" w:rsidP="009F6935">
      <w:pPr>
        <w:pStyle w:val="ListParagraph"/>
        <w:suppressLineNumbers/>
        <w:suppressAutoHyphens/>
        <w:kinsoku w:val="0"/>
        <w:overflowPunct w:val="0"/>
        <w:autoSpaceDE w:val="0"/>
        <w:autoSpaceDN w:val="0"/>
        <w:spacing w:before="120" w:after="240"/>
        <w:ind w:firstLine="720"/>
        <w:contextualSpacing w:val="0"/>
        <w:rPr>
          <w:iCs/>
          <w:snapToGrid w:val="0"/>
          <w:kern w:val="22"/>
          <w:szCs w:val="22"/>
          <w:lang w:val="fr-FR"/>
        </w:rPr>
      </w:pPr>
      <w:r>
        <w:rPr>
          <w:iCs/>
          <w:snapToGrid w:val="0"/>
          <w:kern w:val="22"/>
          <w:lang w:val="fr-FR"/>
        </w:rPr>
        <w:t>c)</w:t>
      </w:r>
      <w:r>
        <w:rPr>
          <w:iCs/>
          <w:snapToGrid w:val="0"/>
          <w:kern w:val="22"/>
          <w:lang w:val="fr-FR"/>
        </w:rPr>
        <w:tab/>
      </w:r>
      <w:r w:rsidRPr="00E8492E">
        <w:rPr>
          <w:iCs/>
          <w:snapToGrid w:val="0"/>
          <w:kern w:val="22"/>
          <w:lang w:val="fr-FR"/>
        </w:rPr>
        <w:t xml:space="preserve">Les </w:t>
      </w:r>
      <w:r w:rsidRPr="00E8492E">
        <w:rPr>
          <w:iCs/>
          <w:snapToGrid w:val="0"/>
          <w:kern w:val="22"/>
          <w:szCs w:val="22"/>
          <w:lang w:val="fr-FR"/>
        </w:rPr>
        <w:t>indicateurs</w:t>
      </w:r>
      <w:r>
        <w:rPr>
          <w:iCs/>
          <w:snapToGrid w:val="0"/>
          <w:kern w:val="22"/>
          <w:szCs w:val="22"/>
          <w:lang w:val="fr-FR"/>
        </w:rPr>
        <w:t xml:space="preserve"> supplémentaires pertinents pour</w:t>
      </w:r>
      <w:r w:rsidRPr="00E8492E">
        <w:rPr>
          <w:iCs/>
          <w:snapToGrid w:val="0"/>
          <w:kern w:val="22"/>
          <w:szCs w:val="22"/>
          <w:lang w:val="fr-FR"/>
        </w:rPr>
        <w:t xml:space="preserve"> le </w:t>
      </w:r>
      <w:r>
        <w:rPr>
          <w:iCs/>
          <w:snapToGrid w:val="0"/>
          <w:kern w:val="22"/>
          <w:szCs w:val="22"/>
          <w:lang w:val="fr-FR"/>
        </w:rPr>
        <w:t>Plan stratégique pour la diversité biologique 2011-2020</w:t>
      </w:r>
      <w:r w:rsidRPr="00E8492E">
        <w:rPr>
          <w:iCs/>
          <w:snapToGrid w:val="0"/>
          <w:kern w:val="22"/>
          <w:szCs w:val="22"/>
          <w:lang w:val="fr-FR"/>
        </w:rPr>
        <w:t>, qui ont été identifiés et pour lesquels on dispose de données</w:t>
      </w:r>
      <w:r w:rsidRPr="004E0B00">
        <w:rPr>
          <w:rStyle w:val="FootnoteReference"/>
          <w:iCs/>
          <w:snapToGrid w:val="0"/>
          <w:kern w:val="22"/>
          <w:sz w:val="20"/>
          <w:szCs w:val="20"/>
          <w:u w:val="none"/>
          <w:vertAlign w:val="superscript"/>
        </w:rPr>
        <w:footnoteReference w:id="26"/>
      </w:r>
      <w:r w:rsidRPr="00E8492E">
        <w:rPr>
          <w:iCs/>
          <w:snapToGrid w:val="0"/>
          <w:kern w:val="22"/>
          <w:szCs w:val="22"/>
          <w:lang w:val="fr-FR"/>
        </w:rPr>
        <w:t>;</w:t>
      </w:r>
    </w:p>
    <w:p w:rsidR="009F6935" w:rsidRPr="00E8492E"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lang w:val="fr-FR"/>
        </w:rPr>
      </w:pPr>
      <w:r w:rsidRPr="00E8492E">
        <w:rPr>
          <w:iCs/>
          <w:snapToGrid w:val="0"/>
          <w:kern w:val="22"/>
          <w:lang w:val="fr-FR"/>
        </w:rPr>
        <w:lastRenderedPageBreak/>
        <w:t>5.</w:t>
      </w:r>
      <w:r w:rsidRPr="00E8492E">
        <w:rPr>
          <w:iCs/>
          <w:snapToGrid w:val="0"/>
          <w:kern w:val="22"/>
          <w:lang w:val="fr-FR"/>
        </w:rPr>
        <w:tab/>
      </w:r>
      <w:r w:rsidRPr="00E8492E">
        <w:rPr>
          <w:i/>
          <w:iCs/>
          <w:snapToGrid w:val="0"/>
          <w:kern w:val="22"/>
          <w:lang w:val="fr-FR"/>
        </w:rPr>
        <w:t xml:space="preserve">Prie instamment </w:t>
      </w:r>
      <w:r w:rsidRPr="00E8492E">
        <w:rPr>
          <w:iCs/>
          <w:snapToGrid w:val="0"/>
          <w:kern w:val="22"/>
          <w:lang w:val="fr-FR"/>
        </w:rPr>
        <w:t xml:space="preserve">les Parties et </w:t>
      </w:r>
      <w:r w:rsidRPr="00E8492E">
        <w:rPr>
          <w:i/>
          <w:iCs/>
          <w:snapToGrid w:val="0"/>
          <w:kern w:val="22"/>
          <w:lang w:val="fr-FR"/>
        </w:rPr>
        <w:t>invite</w:t>
      </w:r>
      <w:r w:rsidRPr="00E8492E">
        <w:rPr>
          <w:iCs/>
          <w:snapToGrid w:val="0"/>
          <w:kern w:val="22"/>
          <w:lang w:val="fr-FR"/>
        </w:rPr>
        <w:t xml:space="preserve"> les autres gouvernements, selon qu’il convient, à envisager d’entreprendre des évaluations nationales de la biodiversité et</w:t>
      </w:r>
      <w:r>
        <w:rPr>
          <w:iCs/>
          <w:snapToGrid w:val="0"/>
          <w:kern w:val="22"/>
          <w:lang w:val="fr-FR"/>
        </w:rPr>
        <w:t xml:space="preserve"> des</w:t>
      </w:r>
      <w:r w:rsidRPr="00E8492E">
        <w:rPr>
          <w:iCs/>
          <w:snapToGrid w:val="0"/>
          <w:kern w:val="22"/>
          <w:lang w:val="fr-FR"/>
        </w:rPr>
        <w:t xml:space="preserve"> </w:t>
      </w:r>
      <w:r>
        <w:rPr>
          <w:iCs/>
          <w:snapToGrid w:val="0"/>
          <w:kern w:val="22"/>
          <w:lang w:val="fr-FR"/>
        </w:rPr>
        <w:t>fonctions et services écosystémiques</w:t>
      </w:r>
      <w:r w:rsidRPr="00E8492E">
        <w:rPr>
          <w:iCs/>
          <w:snapToGrid w:val="0"/>
          <w:kern w:val="22"/>
          <w:lang w:val="fr-FR"/>
        </w:rPr>
        <w:t>;</w:t>
      </w:r>
    </w:p>
    <w:p w:rsidR="009F6935" w:rsidRPr="00E8492E"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lang w:val="fr-FR"/>
        </w:rPr>
      </w:pPr>
      <w:r w:rsidRPr="00E8492E">
        <w:rPr>
          <w:iCs/>
          <w:snapToGrid w:val="0"/>
          <w:kern w:val="22"/>
          <w:lang w:val="fr-FR"/>
        </w:rPr>
        <w:t>6.</w:t>
      </w:r>
      <w:r w:rsidRPr="00E8492E">
        <w:rPr>
          <w:iCs/>
          <w:snapToGrid w:val="0"/>
          <w:kern w:val="22"/>
          <w:lang w:val="fr-FR"/>
        </w:rPr>
        <w:tab/>
      </w:r>
      <w:r w:rsidRPr="00E8492E">
        <w:rPr>
          <w:i/>
          <w:iCs/>
          <w:snapToGrid w:val="0"/>
          <w:kern w:val="22"/>
          <w:lang w:val="fr-FR"/>
        </w:rPr>
        <w:t>Invite</w:t>
      </w:r>
      <w:r w:rsidRPr="00E8492E">
        <w:rPr>
          <w:iCs/>
          <w:snapToGrid w:val="0"/>
          <w:kern w:val="22"/>
          <w:lang w:val="fr-FR"/>
        </w:rPr>
        <w:t xml:space="preserve"> les organisations et les partenaires de dévelop</w:t>
      </w:r>
      <w:r>
        <w:rPr>
          <w:iCs/>
          <w:snapToGrid w:val="0"/>
          <w:kern w:val="22"/>
          <w:lang w:val="fr-FR"/>
        </w:rPr>
        <w:t xml:space="preserve">pement pertinents à aider les Parties à entreprendre des </w:t>
      </w:r>
      <w:r w:rsidRPr="00E8492E">
        <w:rPr>
          <w:iCs/>
          <w:snapToGrid w:val="0"/>
          <w:kern w:val="22"/>
          <w:lang w:val="fr-FR"/>
        </w:rPr>
        <w:t xml:space="preserve">évaluations nationales de la diversité biologique et des </w:t>
      </w:r>
      <w:r>
        <w:rPr>
          <w:iCs/>
          <w:snapToGrid w:val="0"/>
          <w:kern w:val="22"/>
          <w:lang w:val="fr-FR"/>
        </w:rPr>
        <w:t xml:space="preserve">fonctions et </w:t>
      </w:r>
      <w:r w:rsidRPr="00E8492E">
        <w:rPr>
          <w:iCs/>
          <w:snapToGrid w:val="0"/>
          <w:kern w:val="22"/>
          <w:lang w:val="fr-FR"/>
        </w:rPr>
        <w:t>services écosystémiques, en prenant note des travaux en cours à ce sujet effectués dans le cadre de BES-Net, avec l’appui technique du Centre mondial de surveillance de la conservation de la nature au sein du Programme des Nations Unies pour l’environnement</w:t>
      </w:r>
      <w:r w:rsidRPr="00E8492E">
        <w:rPr>
          <w:vertAlign w:val="superscript"/>
        </w:rPr>
        <w:footnoteReference w:id="27"/>
      </w:r>
      <w:r w:rsidRPr="00E8492E">
        <w:rPr>
          <w:iCs/>
          <w:snapToGrid w:val="0"/>
          <w:kern w:val="22"/>
          <w:lang w:val="fr-FR"/>
        </w:rPr>
        <w:t>;</w:t>
      </w:r>
    </w:p>
    <w:p w:rsidR="009F6935" w:rsidRPr="00E8492E"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lang w:val="fr-FR"/>
        </w:rPr>
      </w:pPr>
      <w:r w:rsidRPr="00E8492E">
        <w:rPr>
          <w:iCs/>
          <w:snapToGrid w:val="0"/>
          <w:kern w:val="22"/>
          <w:lang w:val="fr-FR"/>
        </w:rPr>
        <w:t>7.</w:t>
      </w:r>
      <w:r w:rsidRPr="00E8492E">
        <w:rPr>
          <w:iCs/>
          <w:snapToGrid w:val="0"/>
          <w:kern w:val="22"/>
          <w:lang w:val="fr-FR"/>
        </w:rPr>
        <w:tab/>
      </w:r>
      <w:r w:rsidRPr="00E8492E">
        <w:rPr>
          <w:i/>
          <w:iCs/>
          <w:snapToGrid w:val="0"/>
          <w:kern w:val="22"/>
          <w:lang w:val="fr-FR"/>
        </w:rPr>
        <w:t>Prie instamment</w:t>
      </w:r>
      <w:r w:rsidRPr="00E8492E">
        <w:rPr>
          <w:iCs/>
          <w:snapToGrid w:val="0"/>
          <w:kern w:val="22"/>
          <w:lang w:val="fr-FR"/>
        </w:rPr>
        <w:t xml:space="preserve"> les Parties et </w:t>
      </w:r>
      <w:r w:rsidRPr="00E8492E">
        <w:rPr>
          <w:i/>
          <w:iCs/>
          <w:snapToGrid w:val="0"/>
          <w:kern w:val="22"/>
          <w:lang w:val="fr-FR"/>
        </w:rPr>
        <w:t>invite</w:t>
      </w:r>
      <w:r w:rsidRPr="00E8492E">
        <w:rPr>
          <w:iCs/>
          <w:snapToGrid w:val="0"/>
          <w:kern w:val="22"/>
          <w:lang w:val="fr-FR"/>
        </w:rPr>
        <w:t xml:space="preserve"> les autres gouvernements, </w:t>
      </w:r>
      <w:r>
        <w:rPr>
          <w:iCs/>
          <w:snapToGrid w:val="0"/>
          <w:kern w:val="22"/>
          <w:lang w:val="fr-FR"/>
        </w:rPr>
        <w:t>selon les</w:t>
      </w:r>
      <w:r w:rsidRPr="00E8492E">
        <w:rPr>
          <w:iCs/>
          <w:snapToGrid w:val="0"/>
          <w:kern w:val="22"/>
          <w:lang w:val="fr-FR"/>
        </w:rPr>
        <w:t xml:space="preserve"> circonstances qui prévalent dans les pays, et </w:t>
      </w:r>
      <w:r w:rsidRPr="00E8492E">
        <w:rPr>
          <w:i/>
          <w:iCs/>
          <w:snapToGrid w:val="0"/>
          <w:kern w:val="22"/>
          <w:lang w:val="fr-FR"/>
        </w:rPr>
        <w:t>invite</w:t>
      </w:r>
      <w:r w:rsidRPr="00E8492E">
        <w:rPr>
          <w:iCs/>
          <w:snapToGrid w:val="0"/>
          <w:kern w:val="22"/>
          <w:lang w:val="fr-FR"/>
        </w:rPr>
        <w:t xml:space="preserve"> les organisations compétentes, les peuples autochtones et communautés locales et les parties prenantes concernés à prendre des mesures urgentes d’ici à 2020 pour les Objectifs d’Aichi </w:t>
      </w:r>
      <w:r>
        <w:rPr>
          <w:snapToGrid w:val="0"/>
          <w:kern w:val="22"/>
          <w:szCs w:val="22"/>
          <w:lang w:val="fr-FR"/>
        </w:rPr>
        <w:t xml:space="preserve">pour </w:t>
      </w:r>
      <w:r w:rsidRPr="00E8492E">
        <w:rPr>
          <w:snapToGrid w:val="0"/>
          <w:kern w:val="22"/>
          <w:szCs w:val="22"/>
          <w:lang w:val="fr-FR"/>
        </w:rPr>
        <w:t xml:space="preserve">la </w:t>
      </w:r>
      <w:r>
        <w:rPr>
          <w:snapToGrid w:val="0"/>
          <w:kern w:val="22"/>
          <w:szCs w:val="22"/>
          <w:lang w:val="fr-FR"/>
        </w:rPr>
        <w:t>bio</w:t>
      </w:r>
      <w:r w:rsidRPr="00E8492E">
        <w:rPr>
          <w:snapToGrid w:val="0"/>
          <w:kern w:val="22"/>
          <w:szCs w:val="22"/>
          <w:lang w:val="fr-FR"/>
        </w:rPr>
        <w:t>dive</w:t>
      </w:r>
      <w:r>
        <w:rPr>
          <w:snapToGrid w:val="0"/>
          <w:kern w:val="22"/>
          <w:szCs w:val="22"/>
          <w:lang w:val="fr-FR"/>
        </w:rPr>
        <w:t>rsité</w:t>
      </w:r>
      <w:r w:rsidRPr="00E8492E">
        <w:rPr>
          <w:iCs/>
          <w:snapToGrid w:val="0"/>
          <w:kern w:val="22"/>
          <w:lang w:val="fr-FR"/>
        </w:rPr>
        <w:t xml:space="preserve">, ou certains éléments de ces objectifs, pour lesquels il convient d’accélérer les progrès accomplis, en </w:t>
      </w:r>
      <w:r>
        <w:rPr>
          <w:iCs/>
          <w:snapToGrid w:val="0"/>
          <w:kern w:val="22"/>
          <w:lang w:val="fr-FR"/>
        </w:rPr>
        <w:t>entre</w:t>
      </w:r>
      <w:r w:rsidRPr="00E8492E">
        <w:rPr>
          <w:iCs/>
          <w:snapToGrid w:val="0"/>
          <w:kern w:val="22"/>
          <w:lang w:val="fr-FR"/>
        </w:rPr>
        <w:t>prenant</w:t>
      </w:r>
      <w:r>
        <w:rPr>
          <w:iCs/>
          <w:snapToGrid w:val="0"/>
          <w:kern w:val="22"/>
          <w:lang w:val="fr-FR"/>
        </w:rPr>
        <w:t xml:space="preserve"> les action</w:t>
      </w:r>
      <w:r w:rsidRPr="00E8492E">
        <w:rPr>
          <w:iCs/>
          <w:snapToGrid w:val="0"/>
          <w:kern w:val="22"/>
          <w:lang w:val="fr-FR"/>
        </w:rPr>
        <w:t xml:space="preserve">s ci-après, </w:t>
      </w:r>
      <w:r>
        <w:rPr>
          <w:iCs/>
          <w:snapToGrid w:val="0"/>
          <w:kern w:val="22"/>
          <w:lang w:val="fr-FR"/>
        </w:rPr>
        <w:t>entre autres</w:t>
      </w:r>
      <w:r w:rsidRPr="00E8492E">
        <w:rPr>
          <w:iCs/>
          <w:snapToGrid w:val="0"/>
          <w:kern w:val="22"/>
          <w:lang w:val="fr-FR"/>
        </w:rPr>
        <w:t xml:space="preserve"> et selon qu’il convient :</w:t>
      </w:r>
    </w:p>
    <w:p w:rsidR="009F6935" w:rsidRPr="00E8492E" w:rsidRDefault="009F6935" w:rsidP="009F6935">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fr-FR"/>
        </w:rPr>
      </w:pPr>
      <w:r w:rsidRPr="00E8492E">
        <w:rPr>
          <w:snapToGrid w:val="0"/>
          <w:kern w:val="22"/>
          <w:szCs w:val="22"/>
          <w:lang w:val="fr-FR"/>
        </w:rPr>
        <w:t>a)</w:t>
      </w:r>
      <w:r w:rsidRPr="00E8492E">
        <w:rPr>
          <w:snapToGrid w:val="0"/>
          <w:kern w:val="22"/>
          <w:szCs w:val="22"/>
          <w:lang w:val="fr-FR"/>
        </w:rPr>
        <w:tab/>
        <w:t xml:space="preserve">En ce qui concerne l’Objectif </w:t>
      </w:r>
      <w:r>
        <w:rPr>
          <w:snapToGrid w:val="0"/>
          <w:kern w:val="22"/>
          <w:szCs w:val="22"/>
          <w:lang w:val="fr-FR"/>
        </w:rPr>
        <w:t>1</w:t>
      </w:r>
      <w:r w:rsidRPr="00E8492E">
        <w:rPr>
          <w:snapToGrid w:val="0"/>
          <w:kern w:val="22"/>
          <w:szCs w:val="22"/>
          <w:lang w:val="fr-FR"/>
        </w:rPr>
        <w:t>, avancer l’élaboration des stratégies et outils de communication pour l’éducation et la sensibilisation au sujet de la diversité biologique, comme moyen de promouvoir des changements de comportement en faveur de modes de consommation durables</w:t>
      </w:r>
      <w:r>
        <w:rPr>
          <w:snapToGrid w:val="0"/>
          <w:kern w:val="22"/>
          <w:szCs w:val="22"/>
          <w:lang w:val="fr-FR"/>
        </w:rPr>
        <w:t xml:space="preserve">, tout en notant </w:t>
      </w:r>
      <w:r w:rsidRPr="00E8492E">
        <w:rPr>
          <w:snapToGrid w:val="0"/>
          <w:kern w:val="22"/>
          <w:szCs w:val="22"/>
          <w:lang w:val="fr-FR"/>
        </w:rPr>
        <w:t xml:space="preserve">que malgré la disponibilité </w:t>
      </w:r>
      <w:r>
        <w:rPr>
          <w:snapToGrid w:val="0"/>
          <w:kern w:val="22"/>
          <w:szCs w:val="22"/>
          <w:lang w:val="fr-FR"/>
        </w:rPr>
        <w:t xml:space="preserve">accrue </w:t>
      </w:r>
      <w:r w:rsidRPr="00E8492E">
        <w:rPr>
          <w:snapToGrid w:val="0"/>
          <w:kern w:val="22"/>
          <w:szCs w:val="22"/>
          <w:lang w:val="fr-FR"/>
        </w:rPr>
        <w:t>d</w:t>
      </w:r>
      <w:r>
        <w:rPr>
          <w:snapToGrid w:val="0"/>
          <w:kern w:val="22"/>
          <w:szCs w:val="22"/>
          <w:lang w:val="fr-FR"/>
        </w:rPr>
        <w:t>’</w:t>
      </w:r>
      <w:r w:rsidRPr="00E8492E">
        <w:rPr>
          <w:snapToGrid w:val="0"/>
          <w:kern w:val="22"/>
          <w:szCs w:val="22"/>
          <w:lang w:val="fr-FR"/>
        </w:rPr>
        <w:t>information sur la diversité biologique, celle-ci n’atteint pas le grand public;</w:t>
      </w:r>
    </w:p>
    <w:p w:rsidR="009F6935" w:rsidRPr="00E8492E" w:rsidRDefault="009F6935" w:rsidP="009F6935">
      <w:pPr>
        <w:suppressLineNumbers/>
        <w:suppressAutoHyphens/>
        <w:kinsoku w:val="0"/>
        <w:overflowPunct w:val="0"/>
        <w:autoSpaceDE w:val="0"/>
        <w:autoSpaceDN w:val="0"/>
        <w:spacing w:before="120" w:after="120"/>
        <w:ind w:left="720" w:firstLine="720"/>
        <w:rPr>
          <w:kern w:val="22"/>
          <w:szCs w:val="22"/>
          <w:lang w:val="fr-FR"/>
        </w:rPr>
      </w:pPr>
      <w:r w:rsidRPr="00E8492E">
        <w:rPr>
          <w:iCs/>
          <w:snapToGrid w:val="0"/>
          <w:kern w:val="22"/>
          <w:szCs w:val="22"/>
          <w:lang w:val="fr-FR"/>
        </w:rPr>
        <w:t>b)</w:t>
      </w:r>
      <w:r w:rsidRPr="00E8492E">
        <w:rPr>
          <w:iCs/>
          <w:snapToGrid w:val="0"/>
          <w:kern w:val="22"/>
          <w:szCs w:val="22"/>
          <w:lang w:val="fr-FR"/>
        </w:rPr>
        <w:tab/>
      </w:r>
      <w:r w:rsidRPr="00E8492E">
        <w:rPr>
          <w:snapToGrid w:val="0"/>
          <w:kern w:val="22"/>
          <w:szCs w:val="22"/>
          <w:lang w:val="fr-FR"/>
        </w:rPr>
        <w:t xml:space="preserve">En ce qui concerne l’Objectif </w:t>
      </w:r>
      <w:r>
        <w:rPr>
          <w:snapToGrid w:val="0"/>
          <w:kern w:val="22"/>
          <w:szCs w:val="22"/>
          <w:lang w:val="fr-FR"/>
        </w:rPr>
        <w:t>3</w:t>
      </w:r>
      <w:r w:rsidRPr="00E8492E">
        <w:rPr>
          <w:snapToGrid w:val="0"/>
          <w:kern w:val="22"/>
          <w:szCs w:val="22"/>
          <w:lang w:val="fr-FR"/>
        </w:rPr>
        <w:t>, éliminer, réduire progressivement ou réformer</w:t>
      </w:r>
      <w:r w:rsidRPr="00E8492E">
        <w:rPr>
          <w:kern w:val="22"/>
          <w:szCs w:val="22"/>
          <w:lang w:val="fr-FR"/>
        </w:rPr>
        <w:t xml:space="preserve"> les mesures d’incitation à effets pervers qui contribuent à la dégradation de la diversité biologique, et concevoir des mesures d’incitation positive qui récompensent l’adoption de pratiques durables;</w:t>
      </w:r>
    </w:p>
    <w:p w:rsidR="009F6935" w:rsidRPr="00E8492E" w:rsidRDefault="009F6935" w:rsidP="009F6935">
      <w:pPr>
        <w:suppressLineNumbers/>
        <w:suppressAutoHyphens/>
        <w:kinsoku w:val="0"/>
        <w:overflowPunct w:val="0"/>
        <w:autoSpaceDE w:val="0"/>
        <w:autoSpaceDN w:val="0"/>
        <w:spacing w:before="120" w:after="120"/>
        <w:ind w:left="720" w:firstLine="720"/>
        <w:rPr>
          <w:kern w:val="22"/>
          <w:szCs w:val="22"/>
          <w:lang w:val="fr-FR"/>
        </w:rPr>
      </w:pPr>
      <w:r w:rsidRPr="00E8492E">
        <w:rPr>
          <w:kern w:val="22"/>
          <w:szCs w:val="22"/>
          <w:lang w:val="fr-FR"/>
        </w:rPr>
        <w:t>c)</w:t>
      </w:r>
      <w:r w:rsidRPr="00E8492E">
        <w:rPr>
          <w:kern w:val="22"/>
          <w:szCs w:val="22"/>
          <w:lang w:val="fr-FR"/>
        </w:rPr>
        <w:tab/>
        <w:t xml:space="preserve">En ce qui concerne l’Objectif 5, prendre note </w:t>
      </w:r>
      <w:r>
        <w:rPr>
          <w:kern w:val="22"/>
          <w:szCs w:val="22"/>
          <w:lang w:val="fr-FR"/>
        </w:rPr>
        <w:t xml:space="preserve">du fait </w:t>
      </w:r>
      <w:r w:rsidRPr="00E8492E">
        <w:rPr>
          <w:kern w:val="22"/>
          <w:szCs w:val="22"/>
          <w:lang w:val="fr-FR"/>
        </w:rPr>
        <w:t>que bien que la perte nette annuelle de</w:t>
      </w:r>
      <w:r>
        <w:rPr>
          <w:kern w:val="22"/>
          <w:szCs w:val="22"/>
          <w:lang w:val="fr-FR"/>
        </w:rPr>
        <w:t>s forêts ai</w:t>
      </w:r>
      <w:r w:rsidRPr="00E8492E">
        <w:rPr>
          <w:kern w:val="22"/>
          <w:szCs w:val="22"/>
          <w:lang w:val="fr-FR"/>
        </w:rPr>
        <w:t>t</w:t>
      </w:r>
      <w:r>
        <w:rPr>
          <w:kern w:val="22"/>
          <w:szCs w:val="22"/>
          <w:lang w:val="fr-FR"/>
        </w:rPr>
        <w:t xml:space="preserve"> été</w:t>
      </w:r>
      <w:r w:rsidRPr="00E8492E">
        <w:rPr>
          <w:kern w:val="22"/>
          <w:szCs w:val="22"/>
          <w:lang w:val="fr-FR"/>
        </w:rPr>
        <w:t xml:space="preserve"> réduite de moitié, des efforts supplémentaires sont nécessaires afin de </w:t>
      </w:r>
      <w:r>
        <w:rPr>
          <w:kern w:val="22"/>
          <w:szCs w:val="22"/>
          <w:lang w:val="fr-FR"/>
        </w:rPr>
        <w:t>lutter contre</w:t>
      </w:r>
      <w:r w:rsidRPr="00E8492E">
        <w:rPr>
          <w:kern w:val="22"/>
          <w:szCs w:val="22"/>
          <w:lang w:val="fr-FR"/>
        </w:rPr>
        <w:t xml:space="preserve"> la dégradation des forêts et le dé</w:t>
      </w:r>
      <w:r>
        <w:rPr>
          <w:kern w:val="22"/>
          <w:szCs w:val="22"/>
          <w:lang w:val="fr-FR"/>
        </w:rPr>
        <w:t>boisement à l’échelle régionale</w:t>
      </w:r>
      <w:r w:rsidRPr="00E8492E">
        <w:rPr>
          <w:kern w:val="22"/>
          <w:szCs w:val="22"/>
          <w:lang w:val="fr-FR"/>
        </w:rPr>
        <w:t>;</w:t>
      </w:r>
    </w:p>
    <w:p w:rsidR="009F6935" w:rsidRPr="00935E02"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FR"/>
        </w:rPr>
      </w:pPr>
      <w:r w:rsidRPr="00E8492E">
        <w:rPr>
          <w:kern w:val="22"/>
          <w:szCs w:val="22"/>
          <w:lang w:val="fr-FR"/>
        </w:rPr>
        <w:t>d)</w:t>
      </w:r>
      <w:r w:rsidRPr="00E8492E">
        <w:rPr>
          <w:kern w:val="22"/>
          <w:szCs w:val="22"/>
          <w:lang w:val="fr-FR"/>
        </w:rPr>
        <w:tab/>
        <w:t xml:space="preserve">En ce qui concerne l’Objectif 6, </w:t>
      </w:r>
      <w:r>
        <w:rPr>
          <w:kern w:val="22"/>
          <w:szCs w:val="22"/>
          <w:lang w:val="fr-FR"/>
        </w:rPr>
        <w:t>accroître les efforts pour inverser la tendance au</w:t>
      </w:r>
      <w:r w:rsidRPr="00E8492E">
        <w:rPr>
          <w:kern w:val="22"/>
          <w:szCs w:val="22"/>
          <w:lang w:val="fr-FR"/>
        </w:rPr>
        <w:t xml:space="preserve"> déclin de la durabilité de la pêche mondia</w:t>
      </w:r>
      <w:r>
        <w:rPr>
          <w:kern w:val="22"/>
          <w:szCs w:val="22"/>
          <w:lang w:val="fr-FR"/>
        </w:rPr>
        <w:t>le;</w:t>
      </w:r>
    </w:p>
    <w:p w:rsidR="009F6935"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FR"/>
        </w:rPr>
      </w:pPr>
      <w:r>
        <w:rPr>
          <w:snapToGrid w:val="0"/>
          <w:kern w:val="22"/>
          <w:szCs w:val="22"/>
          <w:lang w:val="fr-FR"/>
        </w:rPr>
        <w:t>e</w:t>
      </w:r>
      <w:r w:rsidRPr="00390EBC">
        <w:rPr>
          <w:snapToGrid w:val="0"/>
          <w:kern w:val="22"/>
          <w:szCs w:val="22"/>
          <w:lang w:val="fr-FR"/>
        </w:rPr>
        <w:t>)</w:t>
      </w:r>
      <w:r w:rsidRPr="00390EBC">
        <w:rPr>
          <w:snapToGrid w:val="0"/>
          <w:kern w:val="22"/>
          <w:szCs w:val="22"/>
          <w:lang w:val="fr-FR"/>
        </w:rPr>
        <w:tab/>
      </w:r>
      <w:r>
        <w:rPr>
          <w:snapToGrid w:val="0"/>
          <w:kern w:val="22"/>
          <w:szCs w:val="22"/>
          <w:lang w:val="fr-FR"/>
        </w:rPr>
        <w:t>En ce qui concerne</w:t>
      </w:r>
      <w:r w:rsidRPr="00390EBC">
        <w:rPr>
          <w:snapToGrid w:val="0"/>
          <w:kern w:val="22"/>
          <w:szCs w:val="22"/>
          <w:lang w:val="fr-FR"/>
        </w:rPr>
        <w:t xml:space="preserve"> l’Objectif </w:t>
      </w:r>
      <w:r>
        <w:rPr>
          <w:snapToGrid w:val="0"/>
          <w:kern w:val="22"/>
          <w:szCs w:val="22"/>
          <w:lang w:val="fr-FR"/>
        </w:rPr>
        <w:t>7</w:t>
      </w:r>
      <w:r w:rsidRPr="00390EBC">
        <w:rPr>
          <w:snapToGrid w:val="0"/>
          <w:kern w:val="22"/>
          <w:szCs w:val="22"/>
          <w:lang w:val="fr-FR"/>
        </w:rPr>
        <w:t xml:space="preserve">, </w:t>
      </w:r>
      <w:r>
        <w:rPr>
          <w:snapToGrid w:val="0"/>
          <w:kern w:val="22"/>
          <w:szCs w:val="22"/>
          <w:lang w:val="fr-FR"/>
        </w:rPr>
        <w:t>favoriser</w:t>
      </w:r>
      <w:r w:rsidRPr="00390EBC">
        <w:rPr>
          <w:snapToGrid w:val="0"/>
          <w:kern w:val="22"/>
          <w:szCs w:val="22"/>
          <w:lang w:val="fr-FR"/>
        </w:rPr>
        <w:t xml:space="preserve"> la</w:t>
      </w:r>
      <w:r>
        <w:rPr>
          <w:snapToGrid w:val="0"/>
          <w:kern w:val="22"/>
          <w:szCs w:val="22"/>
          <w:lang w:val="fr-FR"/>
        </w:rPr>
        <w:t xml:space="preserve"> </w:t>
      </w:r>
      <w:r w:rsidRPr="00390EBC">
        <w:rPr>
          <w:iCs/>
          <w:snapToGrid w:val="0"/>
          <w:kern w:val="22"/>
          <w:szCs w:val="22"/>
          <w:lang w:val="fr-FR"/>
        </w:rPr>
        <w:t xml:space="preserve">conservation et </w:t>
      </w:r>
      <w:r>
        <w:rPr>
          <w:iCs/>
          <w:snapToGrid w:val="0"/>
          <w:kern w:val="22"/>
          <w:szCs w:val="22"/>
          <w:lang w:val="fr-FR"/>
        </w:rPr>
        <w:t>l’utilisation durable de la diversité biologique des sols</w:t>
      </w:r>
      <w:r w:rsidRPr="00390EBC">
        <w:rPr>
          <w:iCs/>
          <w:snapToGrid w:val="0"/>
          <w:kern w:val="22"/>
          <w:szCs w:val="22"/>
          <w:lang w:val="fr-FR"/>
        </w:rPr>
        <w:t>,</w:t>
      </w:r>
      <w:r>
        <w:rPr>
          <w:iCs/>
          <w:snapToGrid w:val="0"/>
          <w:kern w:val="22"/>
          <w:szCs w:val="22"/>
          <w:lang w:val="fr-FR"/>
        </w:rPr>
        <w:t xml:space="preserve"> notamment en contribuant à l’Initiative i</w:t>
      </w:r>
      <w:r w:rsidRPr="00390EBC">
        <w:rPr>
          <w:iCs/>
          <w:snapToGrid w:val="0"/>
          <w:kern w:val="22"/>
          <w:szCs w:val="22"/>
          <w:lang w:val="fr-FR"/>
        </w:rPr>
        <w:t>n</w:t>
      </w:r>
      <w:r>
        <w:rPr>
          <w:iCs/>
          <w:snapToGrid w:val="0"/>
          <w:kern w:val="22"/>
          <w:szCs w:val="22"/>
          <w:lang w:val="fr-FR"/>
        </w:rPr>
        <w:t>ternationale pour la c</w:t>
      </w:r>
      <w:r w:rsidRPr="00390EBC">
        <w:rPr>
          <w:iCs/>
          <w:snapToGrid w:val="0"/>
          <w:kern w:val="22"/>
          <w:szCs w:val="22"/>
          <w:lang w:val="fr-FR"/>
        </w:rPr>
        <w:t xml:space="preserve">onservation et </w:t>
      </w:r>
      <w:r>
        <w:rPr>
          <w:iCs/>
          <w:snapToGrid w:val="0"/>
          <w:kern w:val="22"/>
          <w:szCs w:val="22"/>
          <w:lang w:val="fr-FR"/>
        </w:rPr>
        <w:t>l’utilisation durable de la diversité biologique des sols, coordonnée par l’Organisation des Nations Unies pour l’alimentation et l’agriculture</w:t>
      </w:r>
      <w:r w:rsidRPr="00E2241E">
        <w:rPr>
          <w:rStyle w:val="FootnoteReference"/>
          <w:iCs/>
          <w:snapToGrid w:val="0"/>
          <w:kern w:val="22"/>
          <w:sz w:val="20"/>
          <w:szCs w:val="20"/>
          <w:u w:val="none"/>
          <w:vertAlign w:val="superscript"/>
        </w:rPr>
        <w:footnoteReference w:id="28"/>
      </w:r>
      <w:r>
        <w:rPr>
          <w:iCs/>
          <w:snapToGrid w:val="0"/>
          <w:kern w:val="22"/>
          <w:szCs w:val="22"/>
          <w:lang w:val="fr-FR"/>
        </w:rPr>
        <w:t>, et améliorer la mise en œuvre et le suivi de la gestion durable des forêts, surtout dans les pays en développement et dans les régions tropicales</w:t>
      </w:r>
      <w:r w:rsidRPr="000001DC">
        <w:rPr>
          <w:iCs/>
          <w:snapToGrid w:val="0"/>
          <w:kern w:val="22"/>
          <w:szCs w:val="22"/>
          <w:lang w:val="fr-FR"/>
        </w:rPr>
        <w:t>;</w:t>
      </w:r>
    </w:p>
    <w:p w:rsidR="009F6935"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FR"/>
        </w:rPr>
      </w:pPr>
      <w:r>
        <w:rPr>
          <w:iCs/>
          <w:snapToGrid w:val="0"/>
          <w:kern w:val="22"/>
          <w:szCs w:val="22"/>
          <w:lang w:val="fr-FR"/>
        </w:rPr>
        <w:t>f)</w:t>
      </w:r>
      <w:r>
        <w:rPr>
          <w:iCs/>
          <w:snapToGrid w:val="0"/>
          <w:kern w:val="22"/>
          <w:szCs w:val="22"/>
          <w:lang w:val="fr-FR"/>
        </w:rPr>
        <w:tab/>
        <w:t>En ce qui concerne l’Objectif 8, accroître les mesures prises pour réduire la pollution, y compris celle provenant d’un excès de nutriments;</w:t>
      </w:r>
    </w:p>
    <w:p w:rsidR="009F6935"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FR"/>
        </w:rPr>
      </w:pPr>
      <w:r>
        <w:rPr>
          <w:iCs/>
          <w:snapToGrid w:val="0"/>
          <w:kern w:val="22"/>
          <w:szCs w:val="22"/>
          <w:lang w:val="fr-FR"/>
        </w:rPr>
        <w:t>g)</w:t>
      </w:r>
      <w:r>
        <w:rPr>
          <w:iCs/>
          <w:snapToGrid w:val="0"/>
          <w:kern w:val="22"/>
          <w:szCs w:val="22"/>
          <w:lang w:val="fr-FR"/>
        </w:rPr>
        <w:tab/>
        <w:t>En ce qui concerne l’Objectif 9, mettre davantage l’accent sur la prévention de la propagation des espèces exotiques envahissantes et l’éradication de celles déjà présentes;</w:t>
      </w:r>
    </w:p>
    <w:p w:rsidR="009F6935" w:rsidRPr="000001DC" w:rsidRDefault="009F6935" w:rsidP="009F6935">
      <w:pPr>
        <w:suppressLineNumbers/>
        <w:suppressAutoHyphens/>
        <w:kinsoku w:val="0"/>
        <w:overflowPunct w:val="0"/>
        <w:autoSpaceDE w:val="0"/>
        <w:autoSpaceDN w:val="0"/>
        <w:spacing w:before="120" w:after="120"/>
        <w:ind w:left="720" w:firstLine="720"/>
        <w:rPr>
          <w:iCs/>
          <w:snapToGrid w:val="0"/>
          <w:kern w:val="22"/>
          <w:szCs w:val="22"/>
          <w:lang w:val="fr-FR"/>
        </w:rPr>
      </w:pPr>
      <w:r>
        <w:rPr>
          <w:iCs/>
          <w:snapToGrid w:val="0"/>
          <w:kern w:val="22"/>
          <w:szCs w:val="22"/>
          <w:lang w:val="fr-FR"/>
        </w:rPr>
        <w:t>h)</w:t>
      </w:r>
      <w:r>
        <w:rPr>
          <w:iCs/>
          <w:snapToGrid w:val="0"/>
          <w:kern w:val="22"/>
          <w:szCs w:val="22"/>
          <w:lang w:val="fr-FR"/>
        </w:rPr>
        <w:tab/>
        <w:t>En ce qui concerne l’Objectif 10, accroître les efforts déployés pour empêcher le déclin continu de l’étendue des coraux vivants à l’échelle mondiale;</w:t>
      </w:r>
    </w:p>
    <w:p w:rsidR="009F6935" w:rsidRDefault="009F6935" w:rsidP="009F6935">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fr-FR"/>
        </w:rPr>
      </w:pPr>
      <w:r>
        <w:rPr>
          <w:snapToGrid w:val="0"/>
          <w:kern w:val="22"/>
          <w:szCs w:val="22"/>
          <w:lang w:val="fr-FR"/>
        </w:rPr>
        <w:lastRenderedPageBreak/>
        <w:t>i</w:t>
      </w:r>
      <w:r w:rsidRPr="00390EBC">
        <w:rPr>
          <w:snapToGrid w:val="0"/>
          <w:kern w:val="22"/>
          <w:szCs w:val="22"/>
          <w:lang w:val="fr-FR"/>
        </w:rPr>
        <w:t>)</w:t>
      </w:r>
      <w:r w:rsidRPr="00390EBC">
        <w:rPr>
          <w:snapToGrid w:val="0"/>
          <w:kern w:val="22"/>
          <w:szCs w:val="22"/>
          <w:lang w:val="fr-FR"/>
        </w:rPr>
        <w:tab/>
      </w:r>
      <w:r>
        <w:rPr>
          <w:snapToGrid w:val="0"/>
          <w:kern w:val="22"/>
          <w:szCs w:val="22"/>
          <w:lang w:val="fr-FR"/>
        </w:rPr>
        <w:t>En ce qui concerne le</w:t>
      </w:r>
      <w:r w:rsidRPr="00390EBC">
        <w:rPr>
          <w:snapToGrid w:val="0"/>
          <w:kern w:val="22"/>
          <w:szCs w:val="22"/>
          <w:lang w:val="fr-FR"/>
        </w:rPr>
        <w:t xml:space="preserve">s Objectifs </w:t>
      </w:r>
      <w:r>
        <w:rPr>
          <w:snapToGrid w:val="0"/>
          <w:kern w:val="22"/>
          <w:szCs w:val="22"/>
          <w:lang w:val="fr-FR"/>
        </w:rPr>
        <w:t xml:space="preserve">11 et 12, prenant note du fait que toutes les écorégions du monde ne possèdent pas la même étendue d’aires protégées, que la plupart des aires ne sont pas bien reliées entre elles et que la plupart des Parties n’ont pas évalué l’efficacité de la gestion de la majorité de leurs aires protégées, et que la prévention de la perte des espèces à l’échelle mondiale doit cibler des régions précises du monde où la diversité des espèces est élevée et/ou où les espèces sont les plus menacées, mettre l’accent sur la </w:t>
      </w:r>
      <w:r w:rsidRPr="00390EBC">
        <w:rPr>
          <w:snapToGrid w:val="0"/>
          <w:kern w:val="22"/>
          <w:szCs w:val="22"/>
          <w:lang w:val="fr-FR"/>
        </w:rPr>
        <w:t xml:space="preserve">protection et </w:t>
      </w:r>
      <w:r>
        <w:rPr>
          <w:snapToGrid w:val="0"/>
          <w:kern w:val="22"/>
          <w:szCs w:val="22"/>
          <w:lang w:val="fr-FR"/>
        </w:rPr>
        <w:t xml:space="preserve">la </w:t>
      </w:r>
      <w:r w:rsidRPr="00390EBC">
        <w:rPr>
          <w:snapToGrid w:val="0"/>
          <w:kern w:val="22"/>
          <w:szCs w:val="22"/>
          <w:lang w:val="fr-FR"/>
        </w:rPr>
        <w:t xml:space="preserve">conservation </w:t>
      </w:r>
      <w:r>
        <w:rPr>
          <w:snapToGrid w:val="0"/>
          <w:kern w:val="22"/>
          <w:szCs w:val="22"/>
          <w:lang w:val="fr-FR"/>
        </w:rPr>
        <w:t>des zones les plus importantes pour la diversité biologique</w:t>
      </w:r>
      <w:r w:rsidRPr="00390EBC">
        <w:rPr>
          <w:snapToGrid w:val="0"/>
          <w:kern w:val="22"/>
          <w:szCs w:val="22"/>
          <w:lang w:val="fr-FR"/>
        </w:rPr>
        <w:t xml:space="preserve">, </w:t>
      </w:r>
      <w:r>
        <w:rPr>
          <w:snapToGrid w:val="0"/>
          <w:kern w:val="22"/>
          <w:szCs w:val="22"/>
          <w:lang w:val="fr-FR"/>
        </w:rPr>
        <w:t>notamment au moyen des initiatives de l’Alliance for Zero Extinction et autres</w:t>
      </w:r>
      <w:r w:rsidRPr="00E2241E">
        <w:rPr>
          <w:rStyle w:val="FootnoteReference"/>
          <w:snapToGrid w:val="0"/>
          <w:kern w:val="22"/>
          <w:sz w:val="20"/>
          <w:szCs w:val="20"/>
          <w:u w:val="none"/>
          <w:vertAlign w:val="superscript"/>
        </w:rPr>
        <w:footnoteReference w:id="29"/>
      </w:r>
      <w:r>
        <w:rPr>
          <w:snapToGrid w:val="0"/>
          <w:kern w:val="22"/>
          <w:szCs w:val="22"/>
          <w:lang w:val="fr-FR"/>
        </w:rPr>
        <w:t>, et au moyen d’aires protégées, et d’autres mesures de conservation fondées sur les aires et des mesures précises de conservation des espèces</w:t>
      </w:r>
      <w:r w:rsidRPr="000001DC">
        <w:rPr>
          <w:snapToGrid w:val="0"/>
          <w:kern w:val="22"/>
          <w:szCs w:val="22"/>
          <w:lang w:val="fr-FR"/>
        </w:rPr>
        <w:t>;</w:t>
      </w:r>
    </w:p>
    <w:p w:rsidR="009F6935" w:rsidRPr="000001DC" w:rsidRDefault="009F6935" w:rsidP="009F6935">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fr-FR"/>
        </w:rPr>
      </w:pPr>
      <w:r>
        <w:rPr>
          <w:snapToGrid w:val="0"/>
          <w:kern w:val="22"/>
          <w:szCs w:val="22"/>
          <w:lang w:val="fr-FR"/>
        </w:rPr>
        <w:t>j)</w:t>
      </w:r>
      <w:r>
        <w:rPr>
          <w:snapToGrid w:val="0"/>
          <w:kern w:val="22"/>
          <w:szCs w:val="22"/>
          <w:lang w:val="fr-FR"/>
        </w:rPr>
        <w:tab/>
        <w:t>En ce qui concerne l’Objectif 13, en prenant note du fait que le nombre de ressources phytogénétiques pour l’alimentation et l’agriculture protégées dans des installations de conservation est en hausse, accroître les mesures prises pour éviter toute réduction supplémentaire de la variation génétique des espèces d’animaux d’élevage et domestiquées;</w:t>
      </w:r>
    </w:p>
    <w:p w:rsidR="009F6935" w:rsidRDefault="009F6935" w:rsidP="009F6935">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fr-FR"/>
        </w:rPr>
      </w:pPr>
      <w:r>
        <w:rPr>
          <w:snapToGrid w:val="0"/>
          <w:kern w:val="22"/>
          <w:szCs w:val="22"/>
          <w:lang w:val="fr-FR"/>
        </w:rPr>
        <w:t>k</w:t>
      </w:r>
      <w:r w:rsidRPr="00390EBC">
        <w:rPr>
          <w:snapToGrid w:val="0"/>
          <w:kern w:val="22"/>
          <w:szCs w:val="22"/>
          <w:lang w:val="fr-FR"/>
        </w:rPr>
        <w:t>)</w:t>
      </w:r>
      <w:r w:rsidRPr="00390EBC">
        <w:rPr>
          <w:snapToGrid w:val="0"/>
          <w:kern w:val="22"/>
          <w:szCs w:val="22"/>
          <w:lang w:val="fr-FR"/>
        </w:rPr>
        <w:tab/>
      </w:r>
      <w:r>
        <w:rPr>
          <w:snapToGrid w:val="0"/>
          <w:kern w:val="22"/>
          <w:szCs w:val="22"/>
          <w:lang w:val="fr-FR"/>
        </w:rPr>
        <w:t>En ce qui concerne les</w:t>
      </w:r>
      <w:r w:rsidRPr="00390EBC">
        <w:rPr>
          <w:snapToGrid w:val="0"/>
          <w:kern w:val="22"/>
          <w:szCs w:val="22"/>
          <w:lang w:val="fr-FR"/>
        </w:rPr>
        <w:t xml:space="preserve"> Objectifs </w:t>
      </w:r>
      <w:r>
        <w:rPr>
          <w:snapToGrid w:val="0"/>
          <w:kern w:val="22"/>
          <w:szCs w:val="22"/>
          <w:lang w:val="fr-FR"/>
        </w:rPr>
        <w:t>14 et 15</w:t>
      </w:r>
      <w:r w:rsidRPr="00390EBC">
        <w:rPr>
          <w:snapToGrid w:val="0"/>
          <w:kern w:val="22"/>
          <w:szCs w:val="22"/>
          <w:lang w:val="fr-FR"/>
        </w:rPr>
        <w:t xml:space="preserve">, </w:t>
      </w:r>
      <w:r>
        <w:rPr>
          <w:snapToGrid w:val="0"/>
          <w:kern w:val="22"/>
          <w:szCs w:val="22"/>
          <w:lang w:val="fr-FR"/>
        </w:rPr>
        <w:t xml:space="preserve">renforcer la mise en œuvre </w:t>
      </w:r>
      <w:r w:rsidRPr="00390EBC">
        <w:rPr>
          <w:snapToGrid w:val="0"/>
          <w:kern w:val="22"/>
          <w:szCs w:val="22"/>
          <w:lang w:val="fr-FR"/>
        </w:rPr>
        <w:t>du plan d’action à court terme sur la restauration des é</w:t>
      </w:r>
      <w:r>
        <w:rPr>
          <w:snapToGrid w:val="0"/>
          <w:kern w:val="22"/>
          <w:szCs w:val="22"/>
          <w:lang w:val="fr-FR"/>
        </w:rPr>
        <w:t>cosystèmes</w:t>
      </w:r>
      <w:r w:rsidRPr="00E2241E">
        <w:rPr>
          <w:rStyle w:val="FootnoteReference"/>
          <w:snapToGrid w:val="0"/>
          <w:kern w:val="22"/>
          <w:sz w:val="20"/>
          <w:szCs w:val="20"/>
          <w:u w:val="none"/>
          <w:vertAlign w:val="superscript"/>
        </w:rPr>
        <w:footnoteReference w:id="30"/>
      </w:r>
      <w:r w:rsidRPr="000001DC">
        <w:rPr>
          <w:snapToGrid w:val="0"/>
          <w:kern w:val="22"/>
          <w:szCs w:val="22"/>
          <w:lang w:val="fr-FR"/>
        </w:rPr>
        <w:t>,</w:t>
      </w:r>
      <w:r w:rsidRPr="00390EBC">
        <w:rPr>
          <w:snapToGrid w:val="0"/>
          <w:kern w:val="22"/>
          <w:szCs w:val="22"/>
          <w:lang w:val="fr-FR"/>
        </w:rPr>
        <w:t xml:space="preserve"> </w:t>
      </w:r>
      <w:r>
        <w:rPr>
          <w:snapToGrid w:val="0"/>
          <w:kern w:val="22"/>
          <w:szCs w:val="22"/>
          <w:lang w:val="fr-FR"/>
        </w:rPr>
        <w:t xml:space="preserve">en s’appuyant sur les conclusions de </w:t>
      </w:r>
      <w:r>
        <w:rPr>
          <w:iCs/>
          <w:kern w:val="22"/>
          <w:lang w:val="fr-FR"/>
        </w:rPr>
        <w:t>l’Évaluation thématique sur la dégradation et la restauration des terres</w:t>
      </w:r>
      <w:r>
        <w:rPr>
          <w:snapToGrid w:val="0"/>
          <w:kern w:val="22"/>
          <w:szCs w:val="22"/>
          <w:lang w:val="fr-FR"/>
        </w:rPr>
        <w:t xml:space="preserve"> de la </w:t>
      </w:r>
      <w:r w:rsidRPr="00390EBC">
        <w:rPr>
          <w:snapToGrid w:val="0"/>
          <w:kern w:val="22"/>
          <w:szCs w:val="22"/>
          <w:lang w:val="fr-FR"/>
        </w:rPr>
        <w:t xml:space="preserve">Plateforme intergouvernementale scientifique et politique sur la biodiversité et les services </w:t>
      </w:r>
      <w:r w:rsidRPr="00E53090">
        <w:rPr>
          <w:snapToGrid w:val="0"/>
          <w:kern w:val="22"/>
          <w:szCs w:val="22"/>
          <w:lang w:val="fr-FR"/>
        </w:rPr>
        <w:t>écosystémiques;</w:t>
      </w:r>
    </w:p>
    <w:p w:rsidR="009F6935" w:rsidRPr="00E53090" w:rsidRDefault="009F6935" w:rsidP="009F6935">
      <w:pPr>
        <w:pStyle w:val="ListParagraph"/>
        <w:suppressLineNumbers/>
        <w:suppressAutoHyphens/>
        <w:kinsoku w:val="0"/>
        <w:overflowPunct w:val="0"/>
        <w:autoSpaceDE w:val="0"/>
        <w:autoSpaceDN w:val="0"/>
        <w:spacing w:before="120" w:after="240"/>
        <w:ind w:firstLine="720"/>
        <w:contextualSpacing w:val="0"/>
        <w:rPr>
          <w:snapToGrid w:val="0"/>
          <w:kern w:val="22"/>
          <w:szCs w:val="22"/>
          <w:lang w:val="fr-FR"/>
        </w:rPr>
      </w:pPr>
      <w:r>
        <w:rPr>
          <w:snapToGrid w:val="0"/>
          <w:kern w:val="22"/>
          <w:szCs w:val="22"/>
          <w:lang w:val="fr-FR"/>
        </w:rPr>
        <w:t>l)</w:t>
      </w:r>
      <w:r>
        <w:rPr>
          <w:snapToGrid w:val="0"/>
          <w:kern w:val="22"/>
          <w:szCs w:val="22"/>
          <w:lang w:val="fr-FR"/>
        </w:rPr>
        <w:tab/>
        <w:t xml:space="preserve">En ce qui concerne l’Objectif 18, accroître les initiatives visant à respecter et à protéger les connaissances traditionnelles et utiliser les informations contenues dans les </w:t>
      </w:r>
      <w:r w:rsidRPr="00A97976">
        <w:rPr>
          <w:i/>
          <w:snapToGrid w:val="0"/>
          <w:kern w:val="22"/>
          <w:szCs w:val="22"/>
          <w:lang w:val="fr-FR"/>
        </w:rPr>
        <w:t>Perspectives de la diversité biologique locale</w:t>
      </w:r>
      <w:r w:rsidRPr="00E2241E">
        <w:rPr>
          <w:rStyle w:val="FootnoteReference"/>
          <w:snapToGrid w:val="0"/>
          <w:kern w:val="22"/>
          <w:sz w:val="20"/>
          <w:szCs w:val="20"/>
          <w:u w:val="none"/>
          <w:vertAlign w:val="superscript"/>
        </w:rPr>
        <w:footnoteReference w:id="31"/>
      </w:r>
      <w:r>
        <w:rPr>
          <w:snapToGrid w:val="0"/>
          <w:kern w:val="22"/>
          <w:szCs w:val="22"/>
          <w:lang w:val="fr-FR"/>
        </w:rPr>
        <w:t>, entre autres, concernant l’utilisation coutumière durable par les peuples autochtones et les communautés locales, pour contribuer aux rapports actualisés sur les progrès accomplis dans la réalisation des Objectifs d’Aichi pour la biodiversité;</w:t>
      </w:r>
    </w:p>
    <w:p w:rsidR="009F6935" w:rsidRPr="00E53090" w:rsidRDefault="009F6935" w:rsidP="009F6935">
      <w:pPr>
        <w:pStyle w:val="ListParagraph"/>
        <w:suppressLineNumbers/>
        <w:suppressAutoHyphens/>
        <w:kinsoku w:val="0"/>
        <w:overflowPunct w:val="0"/>
        <w:autoSpaceDE w:val="0"/>
        <w:autoSpaceDN w:val="0"/>
        <w:spacing w:before="120" w:after="120"/>
        <w:ind w:firstLine="720"/>
        <w:contextualSpacing w:val="0"/>
        <w:rPr>
          <w:snapToGrid w:val="0"/>
          <w:kern w:val="22"/>
          <w:szCs w:val="22"/>
          <w:lang w:val="fr-FR"/>
        </w:rPr>
      </w:pPr>
      <w:r w:rsidRPr="00E53090">
        <w:rPr>
          <w:snapToGrid w:val="0"/>
          <w:kern w:val="22"/>
          <w:szCs w:val="22"/>
          <w:lang w:val="fr-FR"/>
        </w:rPr>
        <w:t>8.</w:t>
      </w:r>
      <w:r w:rsidRPr="00E53090">
        <w:rPr>
          <w:snapToGrid w:val="0"/>
          <w:kern w:val="22"/>
          <w:szCs w:val="22"/>
          <w:lang w:val="fr-FR"/>
        </w:rPr>
        <w:tab/>
      </w:r>
      <w:r w:rsidRPr="00E53090">
        <w:rPr>
          <w:i/>
          <w:snapToGrid w:val="0"/>
          <w:kern w:val="22"/>
          <w:szCs w:val="22"/>
          <w:lang w:val="fr-FR"/>
        </w:rPr>
        <w:t>Exhorte</w:t>
      </w:r>
      <w:r w:rsidRPr="00E53090">
        <w:rPr>
          <w:snapToGrid w:val="0"/>
          <w:kern w:val="22"/>
          <w:szCs w:val="22"/>
          <w:lang w:val="fr-FR"/>
        </w:rPr>
        <w:t xml:space="preserve"> les Parties et </w:t>
      </w:r>
      <w:r w:rsidRPr="00E53090">
        <w:rPr>
          <w:i/>
          <w:snapToGrid w:val="0"/>
          <w:kern w:val="22"/>
          <w:szCs w:val="22"/>
          <w:lang w:val="fr-FR"/>
        </w:rPr>
        <w:t>invite</w:t>
      </w:r>
      <w:r w:rsidRPr="00E53090">
        <w:rPr>
          <w:snapToGrid w:val="0"/>
          <w:kern w:val="22"/>
          <w:szCs w:val="22"/>
          <w:lang w:val="fr-FR"/>
        </w:rPr>
        <w:t xml:space="preserve"> les autres gouvernements </w:t>
      </w:r>
      <w:r>
        <w:rPr>
          <w:snapToGrid w:val="0"/>
          <w:kern w:val="22"/>
          <w:szCs w:val="22"/>
          <w:lang w:val="fr-FR"/>
        </w:rPr>
        <w:t>et les organisations compéten</w:t>
      </w:r>
      <w:r w:rsidRPr="00E53090">
        <w:rPr>
          <w:snapToGrid w:val="0"/>
          <w:kern w:val="22"/>
          <w:szCs w:val="22"/>
          <w:lang w:val="fr-FR"/>
        </w:rPr>
        <w:t>tes à :</w:t>
      </w:r>
    </w:p>
    <w:p w:rsidR="009F6935" w:rsidRPr="00E53090" w:rsidRDefault="009F6935" w:rsidP="009F6935">
      <w:pPr>
        <w:pStyle w:val="ListParagraph"/>
        <w:suppressLineNumbers/>
        <w:suppressAutoHyphens/>
        <w:kinsoku w:val="0"/>
        <w:overflowPunct w:val="0"/>
        <w:autoSpaceDE w:val="0"/>
        <w:autoSpaceDN w:val="0"/>
        <w:spacing w:before="120" w:after="120"/>
        <w:ind w:firstLine="720"/>
        <w:contextualSpacing w:val="0"/>
        <w:rPr>
          <w:color w:val="000000"/>
          <w:szCs w:val="28"/>
          <w:lang w:val="fr-FR"/>
        </w:rPr>
      </w:pPr>
      <w:r w:rsidRPr="00E53090">
        <w:rPr>
          <w:iCs/>
          <w:snapToGrid w:val="0"/>
          <w:kern w:val="22"/>
          <w:szCs w:val="22"/>
          <w:lang w:val="fr-FR"/>
        </w:rPr>
        <w:t>a)</w:t>
      </w:r>
      <w:r w:rsidRPr="00E53090">
        <w:rPr>
          <w:iCs/>
          <w:snapToGrid w:val="0"/>
          <w:kern w:val="22"/>
          <w:szCs w:val="22"/>
          <w:lang w:val="fr-FR"/>
        </w:rPr>
        <w:tab/>
      </w:r>
      <w:r w:rsidRPr="00E53090">
        <w:rPr>
          <w:color w:val="000000"/>
          <w:szCs w:val="28"/>
          <w:lang w:val="fr-FR"/>
        </w:rPr>
        <w:t xml:space="preserve">Renforcer les capacités des correspondants nationaux de la Convention sur la diversité biologique et des décideurs, afin d’utiliser efficacement les conclusions des évaluations de la </w:t>
      </w:r>
      <w:r w:rsidRPr="00E53090">
        <w:rPr>
          <w:snapToGrid w:val="0"/>
          <w:kern w:val="22"/>
          <w:szCs w:val="22"/>
          <w:lang w:val="fr-FR"/>
        </w:rPr>
        <w:t>Plateforme intergouvernementale scientifique et politique sur la biodiversité et les services écosystémiques</w:t>
      </w:r>
      <w:r w:rsidRPr="00E53090">
        <w:rPr>
          <w:color w:val="000000"/>
          <w:szCs w:val="28"/>
          <w:lang w:val="fr-FR"/>
        </w:rPr>
        <w:t>;</w:t>
      </w:r>
    </w:p>
    <w:p w:rsidR="009F6935" w:rsidRPr="00390EBC" w:rsidRDefault="009F6935" w:rsidP="009F6935">
      <w:pPr>
        <w:pStyle w:val="ListParagraph"/>
        <w:suppressLineNumbers/>
        <w:suppressAutoHyphens/>
        <w:kinsoku w:val="0"/>
        <w:overflowPunct w:val="0"/>
        <w:autoSpaceDE w:val="0"/>
        <w:autoSpaceDN w:val="0"/>
        <w:spacing w:before="120" w:after="240"/>
        <w:ind w:firstLine="720"/>
        <w:contextualSpacing w:val="0"/>
        <w:rPr>
          <w:color w:val="000000"/>
          <w:szCs w:val="28"/>
          <w:lang w:val="fr-FR"/>
        </w:rPr>
      </w:pPr>
      <w:r w:rsidRPr="00E53090">
        <w:rPr>
          <w:color w:val="000000"/>
          <w:szCs w:val="28"/>
          <w:lang w:val="fr-FR"/>
        </w:rPr>
        <w:t>b)</w:t>
      </w:r>
      <w:r w:rsidRPr="00E53090">
        <w:rPr>
          <w:color w:val="000000"/>
          <w:szCs w:val="28"/>
          <w:lang w:val="fr-FR"/>
        </w:rPr>
        <w:tab/>
        <w:t>Faciliter des approches intégrées dans les recherches</w:t>
      </w:r>
      <w:r>
        <w:rPr>
          <w:color w:val="000000"/>
          <w:szCs w:val="28"/>
          <w:lang w:val="fr-FR"/>
        </w:rPr>
        <w:t xml:space="preserve"> sur la diversité biologique</w:t>
      </w:r>
      <w:r w:rsidRPr="00390EBC">
        <w:rPr>
          <w:color w:val="000000"/>
          <w:szCs w:val="28"/>
          <w:lang w:val="fr-FR"/>
        </w:rPr>
        <w:t>, y compris</w:t>
      </w:r>
      <w:r>
        <w:rPr>
          <w:color w:val="000000"/>
          <w:szCs w:val="28"/>
          <w:lang w:val="fr-FR"/>
        </w:rPr>
        <w:t xml:space="preserve"> sur les interactions entre les facteurs</w:t>
      </w:r>
      <w:r w:rsidRPr="00390EBC">
        <w:rPr>
          <w:color w:val="000000"/>
          <w:szCs w:val="28"/>
          <w:lang w:val="fr-FR"/>
        </w:rPr>
        <w:t xml:space="preserve"> indirect</w:t>
      </w:r>
      <w:r>
        <w:rPr>
          <w:color w:val="000000"/>
          <w:szCs w:val="28"/>
          <w:lang w:val="fr-FR"/>
        </w:rPr>
        <w:t>s</w:t>
      </w:r>
      <w:r w:rsidRPr="00390EBC">
        <w:rPr>
          <w:color w:val="000000"/>
          <w:szCs w:val="28"/>
          <w:lang w:val="fr-FR"/>
        </w:rPr>
        <w:t xml:space="preserve"> et direct</w:t>
      </w:r>
      <w:r>
        <w:rPr>
          <w:color w:val="000000"/>
          <w:szCs w:val="28"/>
          <w:lang w:val="fr-FR"/>
        </w:rPr>
        <w:t>s de l’appauvrissement de la</w:t>
      </w:r>
      <w:r w:rsidRPr="00390EBC">
        <w:rPr>
          <w:color w:val="000000"/>
          <w:szCs w:val="28"/>
          <w:lang w:val="fr-FR"/>
        </w:rPr>
        <w:t xml:space="preserve"> </w:t>
      </w:r>
      <w:r>
        <w:rPr>
          <w:color w:val="000000"/>
          <w:szCs w:val="28"/>
          <w:lang w:val="fr-FR"/>
        </w:rPr>
        <w:t>diversité biologique</w:t>
      </w:r>
      <w:r w:rsidRPr="00390EBC">
        <w:rPr>
          <w:color w:val="000000"/>
          <w:szCs w:val="28"/>
          <w:lang w:val="fr-FR"/>
        </w:rPr>
        <w:t xml:space="preserve"> </w:t>
      </w:r>
      <w:r>
        <w:rPr>
          <w:color w:val="000000"/>
          <w:szCs w:val="28"/>
          <w:lang w:val="fr-FR"/>
        </w:rPr>
        <w:t>et leur impact sur la diversité biologique, les fo</w:t>
      </w:r>
      <w:r w:rsidRPr="00390EBC">
        <w:rPr>
          <w:color w:val="000000"/>
          <w:szCs w:val="28"/>
          <w:lang w:val="fr-FR"/>
        </w:rPr>
        <w:t xml:space="preserve">nctions et services </w:t>
      </w:r>
      <w:r>
        <w:rPr>
          <w:color w:val="000000"/>
          <w:szCs w:val="28"/>
          <w:lang w:val="fr-FR"/>
        </w:rPr>
        <w:t xml:space="preserve">écosystémiques, </w:t>
      </w:r>
      <w:r w:rsidRPr="00390EBC">
        <w:rPr>
          <w:color w:val="000000"/>
          <w:szCs w:val="28"/>
          <w:lang w:val="fr-FR"/>
        </w:rPr>
        <w:t xml:space="preserve">et </w:t>
      </w:r>
      <w:r>
        <w:rPr>
          <w:color w:val="000000"/>
          <w:szCs w:val="28"/>
          <w:lang w:val="fr-FR"/>
        </w:rPr>
        <w:t>le bien-être humain</w:t>
      </w:r>
      <w:r w:rsidRPr="00390EBC">
        <w:rPr>
          <w:color w:val="000000"/>
          <w:szCs w:val="28"/>
          <w:lang w:val="fr-FR"/>
        </w:rPr>
        <w:t>;</w:t>
      </w:r>
    </w:p>
    <w:p w:rsidR="009F6935" w:rsidRPr="00AD3F2C" w:rsidRDefault="009F6935" w:rsidP="009F6935">
      <w:pPr>
        <w:pStyle w:val="ListParagraph"/>
        <w:suppressLineNumbers/>
        <w:suppressAutoHyphens/>
        <w:kinsoku w:val="0"/>
        <w:overflowPunct w:val="0"/>
        <w:autoSpaceDE w:val="0"/>
        <w:autoSpaceDN w:val="0"/>
        <w:spacing w:before="120" w:after="240"/>
        <w:ind w:firstLine="720"/>
        <w:contextualSpacing w:val="0"/>
        <w:rPr>
          <w:iCs/>
          <w:snapToGrid w:val="0"/>
          <w:kern w:val="22"/>
          <w:szCs w:val="22"/>
          <w:lang w:val="fr-FR"/>
        </w:rPr>
      </w:pPr>
      <w:r>
        <w:rPr>
          <w:iCs/>
          <w:snapToGrid w:val="0"/>
          <w:kern w:val="22"/>
          <w:lang w:val="fr-FR"/>
        </w:rPr>
        <w:t>9</w:t>
      </w:r>
      <w:r w:rsidRPr="00390EBC">
        <w:rPr>
          <w:iCs/>
          <w:snapToGrid w:val="0"/>
          <w:kern w:val="22"/>
          <w:lang w:val="fr-FR"/>
        </w:rPr>
        <w:t>.</w:t>
      </w:r>
      <w:r w:rsidRPr="00390EBC">
        <w:rPr>
          <w:iCs/>
          <w:snapToGrid w:val="0"/>
          <w:kern w:val="22"/>
          <w:lang w:val="fr-FR"/>
        </w:rPr>
        <w:tab/>
      </w:r>
      <w:r>
        <w:rPr>
          <w:i/>
          <w:iCs/>
          <w:snapToGrid w:val="0"/>
          <w:kern w:val="22"/>
          <w:szCs w:val="22"/>
          <w:lang w:val="fr-FR"/>
        </w:rPr>
        <w:t>Reconnaît</w:t>
      </w:r>
      <w:r w:rsidRPr="003E38C8">
        <w:rPr>
          <w:iCs/>
          <w:snapToGrid w:val="0"/>
          <w:kern w:val="22"/>
          <w:szCs w:val="22"/>
          <w:lang w:val="fr-FR"/>
        </w:rPr>
        <w:t xml:space="preserve"> qu’</w:t>
      </w:r>
      <w:r>
        <w:rPr>
          <w:iCs/>
          <w:snapToGrid w:val="0"/>
          <w:kern w:val="22"/>
          <w:szCs w:val="22"/>
          <w:lang w:val="fr-FR"/>
        </w:rPr>
        <w:t>il convient</w:t>
      </w:r>
      <w:r w:rsidRPr="003E38C8">
        <w:rPr>
          <w:iCs/>
          <w:snapToGrid w:val="0"/>
          <w:kern w:val="22"/>
          <w:szCs w:val="22"/>
          <w:lang w:val="fr-FR"/>
        </w:rPr>
        <w:t xml:space="preserve"> d’utili</w:t>
      </w:r>
      <w:r>
        <w:rPr>
          <w:iCs/>
          <w:snapToGrid w:val="0"/>
          <w:kern w:val="22"/>
          <w:szCs w:val="22"/>
          <w:lang w:val="fr-FR"/>
        </w:rPr>
        <w:t>ser plus efficacement et</w:t>
      </w:r>
      <w:r w:rsidRPr="003E38C8">
        <w:rPr>
          <w:iCs/>
          <w:snapToGrid w:val="0"/>
          <w:kern w:val="22"/>
          <w:szCs w:val="22"/>
          <w:lang w:val="fr-FR"/>
        </w:rPr>
        <w:t xml:space="preserve"> </w:t>
      </w:r>
      <w:r>
        <w:rPr>
          <w:iCs/>
          <w:snapToGrid w:val="0"/>
          <w:kern w:val="22"/>
          <w:szCs w:val="22"/>
          <w:lang w:val="fr-FR"/>
        </w:rPr>
        <w:t>systématiquement les</w:t>
      </w:r>
      <w:r w:rsidRPr="003E38C8">
        <w:rPr>
          <w:iCs/>
          <w:snapToGrid w:val="0"/>
          <w:kern w:val="22"/>
          <w:szCs w:val="22"/>
          <w:lang w:val="fr-FR"/>
        </w:rPr>
        <w:t xml:space="preserve"> </w:t>
      </w:r>
      <w:r>
        <w:rPr>
          <w:iCs/>
          <w:snapToGrid w:val="0"/>
          <w:kern w:val="22"/>
          <w:szCs w:val="22"/>
          <w:lang w:val="fr-FR"/>
        </w:rPr>
        <w:t>mécanismes de soutien</w:t>
      </w:r>
      <w:r w:rsidRPr="003E38C8">
        <w:rPr>
          <w:iCs/>
          <w:snapToGrid w:val="0"/>
          <w:kern w:val="22"/>
          <w:szCs w:val="22"/>
          <w:lang w:val="fr-FR"/>
        </w:rPr>
        <w:t xml:space="preserve"> </w:t>
      </w:r>
      <w:r>
        <w:rPr>
          <w:iCs/>
          <w:snapToGrid w:val="0"/>
          <w:kern w:val="22"/>
          <w:szCs w:val="22"/>
          <w:lang w:val="fr-FR"/>
        </w:rPr>
        <w:t>identifiés dans le</w:t>
      </w:r>
      <w:r w:rsidRPr="003E38C8">
        <w:rPr>
          <w:iCs/>
          <w:snapToGrid w:val="0"/>
          <w:kern w:val="22"/>
          <w:szCs w:val="22"/>
          <w:lang w:val="fr-FR"/>
        </w:rPr>
        <w:t xml:space="preserve"> </w:t>
      </w:r>
      <w:r>
        <w:rPr>
          <w:iCs/>
          <w:snapToGrid w:val="0"/>
          <w:kern w:val="22"/>
          <w:szCs w:val="22"/>
          <w:lang w:val="fr-FR"/>
        </w:rPr>
        <w:t>Plan stratégique pour la diversité biologique 2011-2020</w:t>
      </w:r>
      <w:r w:rsidRPr="00E2241E">
        <w:rPr>
          <w:rStyle w:val="FootnoteReference"/>
          <w:iCs/>
          <w:snapToGrid w:val="0"/>
          <w:kern w:val="22"/>
          <w:sz w:val="20"/>
          <w:szCs w:val="20"/>
          <w:u w:val="none"/>
          <w:vertAlign w:val="superscript"/>
        </w:rPr>
        <w:footnoteReference w:id="32"/>
      </w:r>
      <w:r w:rsidRPr="009A291F">
        <w:rPr>
          <w:iCs/>
          <w:snapToGrid w:val="0"/>
          <w:kern w:val="22"/>
          <w:szCs w:val="22"/>
          <w:lang w:val="fr-FR"/>
        </w:rPr>
        <w:t>,</w:t>
      </w:r>
      <w:r>
        <w:rPr>
          <w:iCs/>
          <w:snapToGrid w:val="0"/>
          <w:kern w:val="22"/>
          <w:szCs w:val="22"/>
          <w:lang w:val="fr-FR"/>
        </w:rPr>
        <w:t xml:space="preserve"> afin de faciliter les mesures prises pour les problèmes identifiés aux paragraphes 4 et 5;</w:t>
      </w:r>
    </w:p>
    <w:p w:rsidR="009F6935" w:rsidRDefault="009F6935" w:rsidP="00004EAF">
      <w:pPr>
        <w:pStyle w:val="ListParagraph"/>
        <w:numPr>
          <w:ilvl w:val="0"/>
          <w:numId w:val="11"/>
        </w:numPr>
        <w:suppressLineNumbers/>
        <w:suppressAutoHyphens/>
        <w:kinsoku w:val="0"/>
        <w:overflowPunct w:val="0"/>
        <w:autoSpaceDE w:val="0"/>
        <w:autoSpaceDN w:val="0"/>
        <w:spacing w:before="240" w:after="360"/>
        <w:ind w:left="720" w:firstLine="720"/>
        <w:rPr>
          <w:iCs/>
          <w:snapToGrid w:val="0"/>
          <w:kern w:val="22"/>
          <w:lang w:val="fr-FR"/>
        </w:rPr>
      </w:pPr>
      <w:r w:rsidRPr="0056544C">
        <w:rPr>
          <w:i/>
          <w:iCs/>
          <w:snapToGrid w:val="0"/>
          <w:kern w:val="22"/>
          <w:lang w:val="fr-FR"/>
        </w:rPr>
        <w:t>Demande</w:t>
      </w:r>
      <w:r w:rsidRPr="0056544C">
        <w:rPr>
          <w:iCs/>
          <w:snapToGrid w:val="0"/>
          <w:kern w:val="22"/>
          <w:lang w:val="fr-FR"/>
        </w:rPr>
        <w:t xml:space="preserve"> à la Secrétaire exécutive de communiquer, par le biais du système des Nations Unies, y compris du Forum politique de haut niveau </w:t>
      </w:r>
      <w:r>
        <w:rPr>
          <w:iCs/>
          <w:snapToGrid w:val="0"/>
          <w:kern w:val="22"/>
          <w:lang w:val="fr-FR"/>
        </w:rPr>
        <w:t>sur</w:t>
      </w:r>
      <w:r w:rsidRPr="0056544C">
        <w:rPr>
          <w:iCs/>
          <w:snapToGrid w:val="0"/>
          <w:kern w:val="22"/>
          <w:lang w:val="fr-FR"/>
        </w:rPr>
        <w:t xml:space="preserve"> le développement durable et des accords multilatéraux sur l’environnement pertinents, le message selon lequel </w:t>
      </w:r>
      <w:r>
        <w:rPr>
          <w:iCs/>
          <w:snapToGrid w:val="0"/>
          <w:kern w:val="22"/>
          <w:lang w:val="fr-FR"/>
        </w:rPr>
        <w:t>la non-</w:t>
      </w:r>
      <w:r w:rsidRPr="0056544C">
        <w:rPr>
          <w:iCs/>
          <w:snapToGrid w:val="0"/>
          <w:kern w:val="22"/>
          <w:lang w:val="fr-FR"/>
        </w:rPr>
        <w:t xml:space="preserve">réalisation du </w:t>
      </w:r>
      <w:r>
        <w:rPr>
          <w:iCs/>
          <w:snapToGrid w:val="0"/>
          <w:kern w:val="22"/>
          <w:szCs w:val="22"/>
          <w:lang w:val="fr-FR"/>
        </w:rPr>
        <w:t xml:space="preserve">Plan stratégique pour la diversité biologique 2011-2020 </w:t>
      </w:r>
      <w:r w:rsidRPr="0056544C">
        <w:rPr>
          <w:iCs/>
          <w:snapToGrid w:val="0"/>
          <w:kern w:val="22"/>
          <w:lang w:val="fr-FR"/>
        </w:rPr>
        <w:t xml:space="preserve">constitue une menace pour la réalisation du Programme de développement durable à l’horizon 2030 et, par conséquent, que des mesures urgentes sont requises pour atteindre les Objectifs d’Aichi </w:t>
      </w:r>
      <w:r>
        <w:rPr>
          <w:snapToGrid w:val="0"/>
          <w:kern w:val="22"/>
          <w:szCs w:val="22"/>
          <w:lang w:val="fr-FR"/>
        </w:rPr>
        <w:t xml:space="preserve">pour </w:t>
      </w:r>
      <w:r w:rsidRPr="0056544C">
        <w:rPr>
          <w:snapToGrid w:val="0"/>
          <w:kern w:val="22"/>
          <w:szCs w:val="22"/>
          <w:lang w:val="fr-FR"/>
        </w:rPr>
        <w:t xml:space="preserve">la </w:t>
      </w:r>
      <w:r>
        <w:rPr>
          <w:snapToGrid w:val="0"/>
          <w:kern w:val="22"/>
          <w:szCs w:val="22"/>
          <w:lang w:val="fr-FR"/>
        </w:rPr>
        <w:t>biodiversité;</w:t>
      </w:r>
    </w:p>
    <w:p w:rsidR="009F6935" w:rsidRDefault="009F6935" w:rsidP="009F6935">
      <w:pPr>
        <w:pStyle w:val="ListParagraph"/>
        <w:suppressLineNumbers/>
        <w:suppressAutoHyphens/>
        <w:kinsoku w:val="0"/>
        <w:overflowPunct w:val="0"/>
        <w:autoSpaceDE w:val="0"/>
        <w:autoSpaceDN w:val="0"/>
        <w:spacing w:before="240" w:after="360"/>
        <w:ind w:left="1440"/>
        <w:rPr>
          <w:iCs/>
          <w:snapToGrid w:val="0"/>
          <w:kern w:val="22"/>
          <w:lang w:val="fr-FR"/>
        </w:rPr>
      </w:pPr>
    </w:p>
    <w:p w:rsidR="009F6935" w:rsidRPr="00DC1095" w:rsidRDefault="009F6935" w:rsidP="00004EAF">
      <w:pPr>
        <w:pStyle w:val="ListParagraph"/>
        <w:numPr>
          <w:ilvl w:val="0"/>
          <w:numId w:val="11"/>
        </w:numPr>
        <w:suppressLineNumbers/>
        <w:suppressAutoHyphens/>
        <w:kinsoku w:val="0"/>
        <w:overflowPunct w:val="0"/>
        <w:autoSpaceDE w:val="0"/>
        <w:autoSpaceDN w:val="0"/>
        <w:spacing w:before="240" w:after="360"/>
        <w:ind w:left="720" w:firstLine="720"/>
        <w:rPr>
          <w:iCs/>
          <w:snapToGrid w:val="0"/>
          <w:kern w:val="22"/>
          <w:lang w:val="fr-FR"/>
        </w:rPr>
      </w:pPr>
      <w:r w:rsidRPr="00251ED4">
        <w:rPr>
          <w:i/>
          <w:iCs/>
          <w:snapToGrid w:val="0"/>
          <w:kern w:val="22"/>
          <w:lang w:val="fr-FR"/>
        </w:rPr>
        <w:lastRenderedPageBreak/>
        <w:t>Prie</w:t>
      </w:r>
      <w:r>
        <w:rPr>
          <w:iCs/>
          <w:snapToGrid w:val="0"/>
          <w:kern w:val="22"/>
          <w:lang w:val="fr-FR"/>
        </w:rPr>
        <w:t xml:space="preserve"> la Secrétaire exécutive d’utiliser et d’analyser, dans la limite des ressources disponibles, l’examen de </w:t>
      </w:r>
      <w:r w:rsidRPr="00DC1095">
        <w:rPr>
          <w:iCs/>
          <w:snapToGrid w:val="0"/>
          <w:kern w:val="22"/>
          <w:lang w:val="fr-FR"/>
        </w:rPr>
        <w:t>l’information scientifique et des conclusions de tous les produits de la Plateforme intergouvernementale scientifique et politique sur la biodiversité et les services écosystémiques, y compris les évaluations régionales de la diversité biologique et des services écosystémiques</w:t>
      </w:r>
      <w:r>
        <w:rPr>
          <w:iCs/>
          <w:snapToGrid w:val="0"/>
          <w:kern w:val="22"/>
          <w:lang w:val="fr-FR"/>
        </w:rPr>
        <w:t xml:space="preserve"> et </w:t>
      </w:r>
      <w:r>
        <w:rPr>
          <w:iCs/>
          <w:kern w:val="22"/>
          <w:lang w:val="fr-FR"/>
        </w:rPr>
        <w:t>l’Évaluation thématique sur la dégradation et la restauration des terres</w:t>
      </w:r>
      <w:r>
        <w:rPr>
          <w:iCs/>
          <w:snapToGrid w:val="0"/>
          <w:kern w:val="22"/>
          <w:lang w:val="fr-FR"/>
        </w:rPr>
        <w:t xml:space="preserve"> dans le cadre de la préparation du cadre mondial de </w:t>
      </w:r>
      <w:r w:rsidRPr="00DC1095">
        <w:rPr>
          <w:iCs/>
          <w:snapToGrid w:val="0"/>
          <w:kern w:val="22"/>
          <w:lang w:val="fr-FR"/>
        </w:rPr>
        <w:t xml:space="preserve">la </w:t>
      </w:r>
      <w:r>
        <w:rPr>
          <w:iCs/>
          <w:snapToGrid w:val="0"/>
          <w:kern w:val="22"/>
          <w:lang w:val="fr-FR"/>
        </w:rPr>
        <w:t>bio</w:t>
      </w:r>
      <w:r w:rsidRPr="00DC1095">
        <w:rPr>
          <w:iCs/>
          <w:snapToGrid w:val="0"/>
          <w:kern w:val="22"/>
          <w:lang w:val="fr-FR"/>
        </w:rPr>
        <w:t>diver</w:t>
      </w:r>
      <w:r>
        <w:rPr>
          <w:iCs/>
          <w:snapToGrid w:val="0"/>
          <w:kern w:val="22"/>
          <w:lang w:val="fr-FR"/>
        </w:rPr>
        <w:t>sité pour l’après-</w:t>
      </w:r>
      <w:r w:rsidRPr="00DC1095">
        <w:rPr>
          <w:iCs/>
          <w:snapToGrid w:val="0"/>
          <w:kern w:val="22"/>
          <w:lang w:val="fr-FR"/>
        </w:rPr>
        <w:t xml:space="preserve">2020 au titre de la Convention, et </w:t>
      </w:r>
      <w:r>
        <w:rPr>
          <w:iCs/>
          <w:snapToGrid w:val="0"/>
          <w:kern w:val="22"/>
          <w:lang w:val="fr-FR"/>
        </w:rPr>
        <w:t>de transme</w:t>
      </w:r>
      <w:r w:rsidRPr="00DC1095">
        <w:rPr>
          <w:iCs/>
          <w:snapToGrid w:val="0"/>
          <w:kern w:val="22"/>
          <w:lang w:val="fr-FR"/>
        </w:rPr>
        <w:t>ttre les résultat</w:t>
      </w:r>
      <w:r>
        <w:rPr>
          <w:iCs/>
          <w:snapToGrid w:val="0"/>
          <w:kern w:val="22"/>
          <w:lang w:val="fr-FR"/>
        </w:rPr>
        <w:t>s de cet examen à</w:t>
      </w:r>
      <w:r w:rsidRPr="00DC1095">
        <w:rPr>
          <w:iCs/>
          <w:snapToGrid w:val="0"/>
          <w:kern w:val="22"/>
          <w:lang w:val="fr-FR"/>
        </w:rPr>
        <w:t xml:space="preserve"> l’Organe subsidiaire chargé de fournir des avis scientifiques, te</w:t>
      </w:r>
      <w:r>
        <w:rPr>
          <w:iCs/>
          <w:snapToGrid w:val="0"/>
          <w:kern w:val="22"/>
          <w:lang w:val="fr-FR"/>
        </w:rPr>
        <w:t>chniques et technologiques, à une réunion qui se tiendra</w:t>
      </w:r>
      <w:r w:rsidRPr="00DC1095">
        <w:rPr>
          <w:iCs/>
          <w:snapToGrid w:val="0"/>
          <w:kern w:val="22"/>
          <w:lang w:val="fr-FR"/>
        </w:rPr>
        <w:t xml:space="preserve"> avant la quinzième réunion de la Conférence des Parties. </w:t>
      </w:r>
    </w:p>
    <w:p w:rsidR="009F6935" w:rsidRPr="00390EBC" w:rsidRDefault="009F6935" w:rsidP="009F6935">
      <w:pPr>
        <w:pStyle w:val="ListParagraph"/>
        <w:suppressLineNumbers/>
        <w:suppressAutoHyphens/>
        <w:kinsoku w:val="0"/>
        <w:overflowPunct w:val="0"/>
        <w:autoSpaceDE w:val="0"/>
        <w:autoSpaceDN w:val="0"/>
        <w:spacing w:before="120" w:after="120"/>
        <w:ind w:firstLine="720"/>
        <w:contextualSpacing w:val="0"/>
        <w:rPr>
          <w:iCs/>
          <w:snapToGrid w:val="0"/>
          <w:kern w:val="22"/>
          <w:lang w:val="fr-FR"/>
        </w:rPr>
      </w:pPr>
    </w:p>
    <w:p w:rsidR="009F6935" w:rsidRPr="00F37589" w:rsidRDefault="009F6935" w:rsidP="009F6935">
      <w:pPr>
        <w:suppressLineNumbers/>
        <w:suppressAutoHyphens/>
        <w:kinsoku w:val="0"/>
        <w:overflowPunct w:val="0"/>
        <w:autoSpaceDE w:val="0"/>
        <w:autoSpaceDN w:val="0"/>
        <w:spacing w:before="120" w:after="240"/>
        <w:ind w:left="720"/>
        <w:jc w:val="center"/>
        <w:rPr>
          <w:i/>
          <w:iCs/>
          <w:snapToGrid w:val="0"/>
          <w:kern w:val="22"/>
          <w:szCs w:val="22"/>
          <w:lang w:val="fr-CA"/>
        </w:rPr>
      </w:pPr>
      <w:r w:rsidRPr="00F37589">
        <w:rPr>
          <w:i/>
          <w:iCs/>
          <w:snapToGrid w:val="0"/>
          <w:kern w:val="22"/>
          <w:szCs w:val="22"/>
          <w:lang w:val="fr-CA"/>
        </w:rPr>
        <w:t xml:space="preserve">Annexe </w:t>
      </w:r>
    </w:p>
    <w:p w:rsidR="009F6935" w:rsidRPr="001724BB" w:rsidRDefault="009F6935" w:rsidP="009F6935">
      <w:pPr>
        <w:pStyle w:val="HEADING"/>
        <w:suppressLineNumbers/>
        <w:suppressAutoHyphens/>
        <w:kinsoku w:val="0"/>
        <w:overflowPunct w:val="0"/>
        <w:autoSpaceDE w:val="0"/>
        <w:autoSpaceDN w:val="0"/>
        <w:spacing w:before="120" w:after="360"/>
        <w:ind w:left="720"/>
        <w:rPr>
          <w:snapToGrid w:val="0"/>
          <w:kern w:val="22"/>
          <w:szCs w:val="22"/>
          <w:lang w:val="fr-FR"/>
        </w:rPr>
      </w:pPr>
      <w:r>
        <w:rPr>
          <w:snapToGrid w:val="0"/>
          <w:kern w:val="22"/>
          <w:szCs w:val="22"/>
          <w:lang w:val="fr-FR"/>
        </w:rPr>
        <w:t>options É</w:t>
      </w:r>
      <w:r w:rsidRPr="000F4C87">
        <w:rPr>
          <w:snapToGrid w:val="0"/>
          <w:kern w:val="22"/>
          <w:szCs w:val="22"/>
          <w:lang w:val="fr-FR"/>
        </w:rPr>
        <w:t>ventuelles pour ac</w:t>
      </w:r>
      <w:r>
        <w:rPr>
          <w:snapToGrid w:val="0"/>
          <w:kern w:val="22"/>
          <w:szCs w:val="22"/>
          <w:lang w:val="fr-FR"/>
        </w:rPr>
        <w:t>cÉlÉrer les progrÈ</w:t>
      </w:r>
      <w:r w:rsidRPr="000F4C87">
        <w:rPr>
          <w:snapToGrid w:val="0"/>
          <w:kern w:val="22"/>
          <w:szCs w:val="22"/>
          <w:lang w:val="fr-FR"/>
        </w:rPr>
        <w:t xml:space="preserve">s accomplis </w:t>
      </w:r>
      <w:r>
        <w:rPr>
          <w:snapToGrid w:val="0"/>
          <w:kern w:val="22"/>
          <w:szCs w:val="22"/>
          <w:lang w:val="fr-FR"/>
        </w:rPr>
        <w:t>dans la rÉ</w:t>
      </w:r>
      <w:r w:rsidRPr="000F4C87">
        <w:rPr>
          <w:snapToGrid w:val="0"/>
          <w:kern w:val="22"/>
          <w:szCs w:val="22"/>
          <w:lang w:val="fr-FR"/>
        </w:rPr>
        <w:t xml:space="preserve">alisation des Objectifs d’Aichi </w:t>
      </w:r>
      <w:r>
        <w:rPr>
          <w:snapToGrid w:val="0"/>
          <w:kern w:val="22"/>
          <w:szCs w:val="22"/>
          <w:lang w:val="fr-FR"/>
        </w:rPr>
        <w:t>pour la biodiversitÉ</w:t>
      </w:r>
    </w:p>
    <w:p w:rsidR="009F6935" w:rsidRPr="0082172B" w:rsidRDefault="009F6935" w:rsidP="009F6935">
      <w:pPr>
        <w:pStyle w:val="Para1"/>
        <w:numPr>
          <w:ilvl w:val="0"/>
          <w:numId w:val="0"/>
        </w:numPr>
        <w:suppressLineNumbers/>
        <w:suppressAutoHyphens/>
        <w:kinsoku w:val="0"/>
        <w:overflowPunct w:val="0"/>
        <w:autoSpaceDE w:val="0"/>
        <w:autoSpaceDN w:val="0"/>
        <w:ind w:left="720"/>
        <w:rPr>
          <w:kern w:val="22"/>
          <w:szCs w:val="22"/>
          <w:lang w:val="fr-FR"/>
        </w:rPr>
      </w:pPr>
      <w:r w:rsidRPr="0082172B">
        <w:rPr>
          <w:kern w:val="22"/>
          <w:szCs w:val="22"/>
          <w:lang w:val="fr-FR"/>
        </w:rPr>
        <w:t>1.</w:t>
      </w:r>
      <w:r w:rsidRPr="0082172B">
        <w:rPr>
          <w:kern w:val="22"/>
          <w:szCs w:val="22"/>
          <w:lang w:val="fr-FR"/>
        </w:rPr>
        <w:tab/>
      </w:r>
      <w:r>
        <w:rPr>
          <w:kern w:val="22"/>
          <w:lang w:val="fr-FR"/>
        </w:rPr>
        <w:t>La pré</w:t>
      </w:r>
      <w:r w:rsidRPr="0018026F">
        <w:rPr>
          <w:kern w:val="22"/>
          <w:lang w:val="fr-FR"/>
        </w:rPr>
        <w:t>sent</w:t>
      </w:r>
      <w:r>
        <w:rPr>
          <w:kern w:val="22"/>
          <w:lang w:val="fr-FR"/>
        </w:rPr>
        <w:t>e</w:t>
      </w:r>
      <w:r w:rsidRPr="0018026F">
        <w:rPr>
          <w:kern w:val="22"/>
          <w:lang w:val="fr-FR"/>
        </w:rPr>
        <w:t xml:space="preserve"> annex</w:t>
      </w:r>
      <w:r>
        <w:rPr>
          <w:kern w:val="22"/>
          <w:lang w:val="fr-FR"/>
        </w:rPr>
        <w:t>e contient des</w:t>
      </w:r>
      <w:r w:rsidRPr="0018026F">
        <w:rPr>
          <w:kern w:val="22"/>
          <w:lang w:val="fr-FR"/>
        </w:rPr>
        <w:t xml:space="preserve"> information</w:t>
      </w:r>
      <w:r>
        <w:rPr>
          <w:kern w:val="22"/>
          <w:lang w:val="fr-FR"/>
        </w:rPr>
        <w:t>s sur des</w:t>
      </w:r>
      <w:r w:rsidRPr="0018026F">
        <w:rPr>
          <w:kern w:val="22"/>
          <w:lang w:val="fr-FR"/>
        </w:rPr>
        <w:t xml:space="preserve"> </w:t>
      </w:r>
      <w:r>
        <w:rPr>
          <w:kern w:val="22"/>
          <w:lang w:val="fr-FR"/>
        </w:rPr>
        <w:t>mesures</w:t>
      </w:r>
      <w:r w:rsidRPr="0018026F">
        <w:rPr>
          <w:kern w:val="22"/>
          <w:lang w:val="fr-FR"/>
        </w:rPr>
        <w:t xml:space="preserve"> </w:t>
      </w:r>
      <w:r>
        <w:rPr>
          <w:kern w:val="22"/>
          <w:lang w:val="fr-FR"/>
        </w:rPr>
        <w:t>éventuelles qui pourraient être prises, selon les circonstances et les priorités nationales, pour faciliter la</w:t>
      </w:r>
      <w:r w:rsidRPr="0018026F">
        <w:rPr>
          <w:kern w:val="22"/>
          <w:lang w:val="fr-FR"/>
        </w:rPr>
        <w:t xml:space="preserve"> réalisation </w:t>
      </w:r>
      <w:r>
        <w:rPr>
          <w:kern w:val="22"/>
          <w:lang w:val="fr-FR"/>
        </w:rPr>
        <w:t>des Ob</w:t>
      </w:r>
      <w:r w:rsidRPr="0018026F">
        <w:rPr>
          <w:kern w:val="22"/>
          <w:lang w:val="fr-FR"/>
        </w:rPr>
        <w:t xml:space="preserve">jectifs d’Aichi </w:t>
      </w:r>
      <w:r>
        <w:rPr>
          <w:kern w:val="22"/>
          <w:szCs w:val="22"/>
          <w:lang w:val="fr-FR"/>
        </w:rPr>
        <w:t>pour la biodiversité</w:t>
      </w:r>
      <w:r w:rsidRPr="0082172B">
        <w:rPr>
          <w:kern w:val="22"/>
          <w:szCs w:val="22"/>
          <w:lang w:val="fr-FR"/>
        </w:rPr>
        <w:t>.</w:t>
      </w:r>
    </w:p>
    <w:p w:rsidR="009F6935" w:rsidRPr="0013577A" w:rsidRDefault="009F6935" w:rsidP="009F6935">
      <w:pPr>
        <w:pStyle w:val="StylePara1HeadingsCSTimesNewRoman"/>
        <w:suppressLineNumbers/>
        <w:suppressAutoHyphens/>
        <w:kinsoku w:val="0"/>
        <w:overflowPunct w:val="0"/>
        <w:autoSpaceDE w:val="0"/>
        <w:autoSpaceDN w:val="0"/>
        <w:ind w:left="720"/>
        <w:rPr>
          <w:rFonts w:ascii="Times New Roman" w:hAnsi="Times New Roman"/>
          <w:kern w:val="22"/>
          <w:szCs w:val="22"/>
          <w:lang w:val="fr-FR"/>
        </w:rPr>
      </w:pPr>
      <w:r w:rsidRPr="0013577A">
        <w:rPr>
          <w:rFonts w:ascii="Times New Roman" w:hAnsi="Times New Roman"/>
          <w:kern w:val="22"/>
          <w:szCs w:val="22"/>
          <w:lang w:val="fr-FR"/>
        </w:rPr>
        <w:t>2.</w:t>
      </w:r>
      <w:r w:rsidRPr="0013577A">
        <w:rPr>
          <w:rFonts w:ascii="Times New Roman" w:hAnsi="Times New Roman"/>
          <w:kern w:val="22"/>
          <w:szCs w:val="22"/>
          <w:lang w:val="fr-FR"/>
        </w:rPr>
        <w:tab/>
      </w:r>
      <w:r>
        <w:rPr>
          <w:kern w:val="22"/>
          <w:lang w:val="fr-FR"/>
        </w:rPr>
        <w:t>Ces</w:t>
      </w:r>
      <w:r w:rsidRPr="00985204">
        <w:rPr>
          <w:kern w:val="22"/>
          <w:lang w:val="fr-FR"/>
        </w:rPr>
        <w:t xml:space="preserve"> </w:t>
      </w:r>
      <w:r>
        <w:rPr>
          <w:kern w:val="22"/>
          <w:lang w:val="fr-FR"/>
        </w:rPr>
        <w:t>mesures éventuelles</w:t>
      </w:r>
      <w:r w:rsidRPr="00985204">
        <w:rPr>
          <w:kern w:val="22"/>
          <w:lang w:val="fr-FR"/>
        </w:rPr>
        <w:t>, bas</w:t>
      </w:r>
      <w:r>
        <w:rPr>
          <w:kern w:val="22"/>
          <w:lang w:val="fr-FR"/>
        </w:rPr>
        <w:t>ées sur les conclusions des évaluations région</w:t>
      </w:r>
      <w:r w:rsidRPr="00985204">
        <w:rPr>
          <w:kern w:val="22"/>
          <w:lang w:val="fr-FR"/>
        </w:rPr>
        <w:t>al</w:t>
      </w:r>
      <w:r>
        <w:rPr>
          <w:kern w:val="22"/>
          <w:lang w:val="fr-FR"/>
        </w:rPr>
        <w:t>es et</w:t>
      </w:r>
      <w:r w:rsidRPr="00985204">
        <w:rPr>
          <w:kern w:val="22"/>
          <w:lang w:val="fr-FR"/>
        </w:rPr>
        <w:t xml:space="preserve"> thématiques </w:t>
      </w:r>
      <w:r>
        <w:rPr>
          <w:kern w:val="22"/>
          <w:lang w:val="fr-FR"/>
        </w:rPr>
        <w:t>de l’IPBES et les conclusions identifiées dans les</w:t>
      </w:r>
      <w:r w:rsidRPr="00985204">
        <w:rPr>
          <w:kern w:val="22"/>
          <w:lang w:val="fr-FR"/>
        </w:rPr>
        <w:t xml:space="preserve"> publications scientifiques</w:t>
      </w:r>
      <w:r w:rsidRPr="00FB311A">
        <w:rPr>
          <w:rFonts w:ascii="Times New Roman" w:hAnsi="Times New Roman"/>
          <w:kern w:val="22"/>
          <w:szCs w:val="22"/>
          <w:vertAlign w:val="superscript"/>
        </w:rPr>
        <w:footnoteReference w:id="33"/>
      </w:r>
      <w:r w:rsidRPr="000F4C87">
        <w:rPr>
          <w:kern w:val="22"/>
          <w:lang w:val="fr-FR"/>
        </w:rPr>
        <w:t>,</w:t>
      </w:r>
      <w:r w:rsidRPr="0013577A">
        <w:rPr>
          <w:rFonts w:ascii="Times New Roman" w:hAnsi="Times New Roman"/>
          <w:kern w:val="22"/>
          <w:szCs w:val="22"/>
          <w:lang w:val="fr-FR"/>
        </w:rPr>
        <w:t xml:space="preserve"> </w:t>
      </w:r>
      <w:r>
        <w:rPr>
          <w:kern w:val="22"/>
          <w:lang w:val="fr-FR"/>
        </w:rPr>
        <w:t>inclu</w:t>
      </w:r>
      <w:r w:rsidRPr="00985204">
        <w:rPr>
          <w:kern w:val="22"/>
          <w:lang w:val="fr-FR"/>
        </w:rPr>
        <w:t>e</w:t>
      </w:r>
      <w:r>
        <w:rPr>
          <w:kern w:val="22"/>
          <w:lang w:val="fr-FR"/>
        </w:rPr>
        <w:t xml:space="preserve">nt les suivantes </w:t>
      </w:r>
      <w:r w:rsidRPr="0013577A">
        <w:rPr>
          <w:rFonts w:ascii="Times New Roman" w:hAnsi="Times New Roman"/>
          <w:kern w:val="22"/>
          <w:szCs w:val="22"/>
          <w:lang w:val="fr-FR"/>
        </w:rPr>
        <w:t>:</w:t>
      </w:r>
    </w:p>
    <w:p w:rsidR="009F6935"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a)</w:t>
      </w:r>
      <w:r>
        <w:rPr>
          <w:rFonts w:ascii="Times New Roman" w:hAnsi="Times New Roman"/>
          <w:kern w:val="22"/>
          <w:szCs w:val="22"/>
          <w:lang w:val="fr-FR"/>
        </w:rPr>
        <w:tab/>
        <w:t>U</w:t>
      </w:r>
      <w:r>
        <w:rPr>
          <w:kern w:val="22"/>
          <w:lang w:val="fr-FR"/>
        </w:rPr>
        <w:t>tiliser davantage les sciences sociales</w:t>
      </w:r>
      <w:r w:rsidRPr="006A3326">
        <w:rPr>
          <w:rFonts w:ascii="Times New Roman" w:hAnsi="Times New Roman"/>
          <w:kern w:val="22"/>
          <w:szCs w:val="22"/>
          <w:lang w:val="fr-FR"/>
        </w:rPr>
        <w:t xml:space="preserve">, </w:t>
      </w:r>
      <w:r>
        <w:rPr>
          <w:kern w:val="22"/>
          <w:lang w:val="fr-FR"/>
        </w:rPr>
        <w:t xml:space="preserve">favoriser des </w:t>
      </w:r>
      <w:r w:rsidRPr="00B54D68">
        <w:rPr>
          <w:kern w:val="22"/>
          <w:lang w:val="fr-FR"/>
        </w:rPr>
        <w:t>recherche</w:t>
      </w:r>
      <w:r>
        <w:rPr>
          <w:kern w:val="22"/>
          <w:lang w:val="fr-FR"/>
        </w:rPr>
        <w:t>s sur les</w:t>
      </w:r>
      <w:r w:rsidRPr="00B54D68">
        <w:rPr>
          <w:kern w:val="22"/>
          <w:lang w:val="fr-FR"/>
        </w:rPr>
        <w:t xml:space="preserve"> questions </w:t>
      </w:r>
      <w:r>
        <w:rPr>
          <w:kern w:val="22"/>
          <w:lang w:val="fr-FR"/>
        </w:rPr>
        <w:t xml:space="preserve">culturelles </w:t>
      </w:r>
      <w:r>
        <w:rPr>
          <w:rFonts w:ascii="Times New Roman" w:hAnsi="Times New Roman"/>
          <w:kern w:val="22"/>
          <w:szCs w:val="22"/>
          <w:lang w:val="fr-FR"/>
        </w:rPr>
        <w:t>et les questions liées à la qualité de vie des gens</w:t>
      </w:r>
      <w:r w:rsidRPr="006A3326">
        <w:rPr>
          <w:rFonts w:ascii="Times New Roman" w:hAnsi="Times New Roman"/>
          <w:kern w:val="22"/>
          <w:szCs w:val="22"/>
          <w:lang w:val="fr-FR"/>
        </w:rPr>
        <w:t xml:space="preserve">, </w:t>
      </w:r>
      <w:r>
        <w:rPr>
          <w:rFonts w:ascii="Times New Roman" w:hAnsi="Times New Roman"/>
          <w:kern w:val="22"/>
          <w:szCs w:val="22"/>
          <w:lang w:val="fr-FR"/>
        </w:rPr>
        <w:t xml:space="preserve">les valeurs immatérielles de la diversité biologique, les </w:t>
      </w:r>
      <w:r>
        <w:rPr>
          <w:kern w:val="22"/>
          <w:lang w:val="fr-FR"/>
        </w:rPr>
        <w:t>besoins des femmes et des populations pauvres et vulnérables</w:t>
      </w:r>
      <w:r>
        <w:rPr>
          <w:rFonts w:ascii="Times New Roman" w:hAnsi="Times New Roman"/>
          <w:kern w:val="22"/>
          <w:szCs w:val="22"/>
          <w:lang w:val="fr-FR"/>
        </w:rPr>
        <w:t>;</w:t>
      </w:r>
    </w:p>
    <w:p w:rsidR="009F6935" w:rsidRPr="006A3326"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b)</w:t>
      </w:r>
      <w:r>
        <w:rPr>
          <w:rFonts w:ascii="Times New Roman" w:hAnsi="Times New Roman"/>
          <w:kern w:val="22"/>
          <w:szCs w:val="22"/>
          <w:lang w:val="fr-FR"/>
        </w:rPr>
        <w:tab/>
        <w:t>Augmenter la production d’information et l’accès à l’information sur la diversité biologique</w:t>
      </w:r>
      <w:r w:rsidRPr="006A3326">
        <w:rPr>
          <w:rFonts w:ascii="Times New Roman" w:hAnsi="Times New Roman"/>
          <w:kern w:val="22"/>
          <w:szCs w:val="22"/>
          <w:lang w:val="fr-FR"/>
        </w:rPr>
        <w:t>, y compris</w:t>
      </w:r>
      <w:r>
        <w:rPr>
          <w:rFonts w:ascii="Times New Roman" w:hAnsi="Times New Roman"/>
          <w:kern w:val="22"/>
          <w:szCs w:val="22"/>
          <w:lang w:val="fr-FR"/>
        </w:rPr>
        <w:t xml:space="preserve"> en favorisant des recherches sur la diversité biologique et sur les fonctions et services écosystémiques</w:t>
      </w:r>
      <w:r w:rsidRPr="006A3326">
        <w:rPr>
          <w:rFonts w:ascii="Times New Roman" w:hAnsi="Times New Roman"/>
          <w:kern w:val="22"/>
          <w:szCs w:val="22"/>
          <w:lang w:val="fr-FR"/>
        </w:rPr>
        <w:t xml:space="preserve">, </w:t>
      </w:r>
      <w:r>
        <w:rPr>
          <w:rFonts w:ascii="Times New Roman" w:hAnsi="Times New Roman"/>
          <w:kern w:val="22"/>
          <w:szCs w:val="22"/>
          <w:lang w:val="fr-FR"/>
        </w:rPr>
        <w:t xml:space="preserve">en </w:t>
      </w:r>
      <w:r>
        <w:rPr>
          <w:kern w:val="22"/>
          <w:lang w:val="fr-FR"/>
        </w:rPr>
        <w:t xml:space="preserve">développant des séries de </w:t>
      </w:r>
      <w:r w:rsidRPr="00B54D68">
        <w:rPr>
          <w:kern w:val="22"/>
          <w:lang w:val="fr-FR"/>
        </w:rPr>
        <w:t xml:space="preserve">données </w:t>
      </w:r>
      <w:r>
        <w:rPr>
          <w:kern w:val="22"/>
          <w:lang w:val="fr-FR"/>
        </w:rPr>
        <w:t>qui peuvent être désagrégées pour différents</w:t>
      </w:r>
      <w:r w:rsidRPr="00B54D68">
        <w:rPr>
          <w:kern w:val="22"/>
          <w:lang w:val="fr-FR"/>
        </w:rPr>
        <w:t xml:space="preserve"> écosystèmes et </w:t>
      </w:r>
      <w:r>
        <w:rPr>
          <w:kern w:val="22"/>
          <w:lang w:val="fr-FR"/>
        </w:rPr>
        <w:t>à</w:t>
      </w:r>
      <w:r w:rsidRPr="00B54D68">
        <w:rPr>
          <w:kern w:val="22"/>
          <w:lang w:val="fr-FR"/>
        </w:rPr>
        <w:t xml:space="preserve"> </w:t>
      </w:r>
      <w:r>
        <w:rPr>
          <w:kern w:val="22"/>
          <w:lang w:val="fr-FR"/>
        </w:rPr>
        <w:t>différentes échelles géographiques</w:t>
      </w:r>
      <w:r w:rsidRPr="006A3326">
        <w:rPr>
          <w:rFonts w:ascii="Times New Roman" w:hAnsi="Times New Roman"/>
          <w:kern w:val="22"/>
          <w:szCs w:val="22"/>
          <w:lang w:val="fr-FR"/>
        </w:rPr>
        <w:t>,</w:t>
      </w:r>
      <w:r>
        <w:rPr>
          <w:rFonts w:ascii="Times New Roman" w:hAnsi="Times New Roman"/>
          <w:kern w:val="22"/>
          <w:szCs w:val="22"/>
          <w:lang w:val="fr-FR"/>
        </w:rPr>
        <w:t xml:space="preserve"> et en </w:t>
      </w:r>
      <w:r>
        <w:rPr>
          <w:kern w:val="22"/>
          <w:lang w:val="fr-FR"/>
        </w:rPr>
        <w:t>concevant et favorisant</w:t>
      </w:r>
      <w:r w:rsidRPr="006A3326">
        <w:rPr>
          <w:kern w:val="22"/>
          <w:lang w:val="fr-FR"/>
        </w:rPr>
        <w:t xml:space="preserve"> des </w:t>
      </w:r>
      <w:r w:rsidRPr="006A3326">
        <w:rPr>
          <w:rFonts w:cstheme="majorBidi"/>
          <w:kern w:val="22"/>
          <w:szCs w:val="22"/>
          <w:lang w:val="fr-FR"/>
        </w:rPr>
        <w:t>mécanismes qui permettent de partager plus efficacement les informations sur la diversité biologique</w:t>
      </w:r>
      <w:r w:rsidRPr="006A3326">
        <w:rPr>
          <w:rFonts w:ascii="Times New Roman" w:hAnsi="Times New Roman"/>
          <w:kern w:val="22"/>
          <w:szCs w:val="22"/>
          <w:lang w:val="fr-FR"/>
        </w:rPr>
        <w:t>;</w:t>
      </w:r>
    </w:p>
    <w:p w:rsidR="009F6935" w:rsidRPr="006D37DD"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c</w:t>
      </w:r>
      <w:r w:rsidRPr="006D37DD">
        <w:rPr>
          <w:rFonts w:ascii="Times New Roman" w:hAnsi="Times New Roman"/>
          <w:kern w:val="22"/>
          <w:szCs w:val="22"/>
          <w:lang w:val="fr-FR"/>
        </w:rPr>
        <w:t>)</w:t>
      </w:r>
      <w:r w:rsidRPr="006D37DD">
        <w:rPr>
          <w:rFonts w:ascii="Times New Roman" w:hAnsi="Times New Roman"/>
          <w:kern w:val="22"/>
          <w:szCs w:val="22"/>
          <w:lang w:val="fr-FR"/>
        </w:rPr>
        <w:tab/>
        <w:t xml:space="preserve">Renforcer la surveillance de tous les </w:t>
      </w:r>
      <w:r>
        <w:rPr>
          <w:rFonts w:ascii="Times New Roman" w:hAnsi="Times New Roman"/>
          <w:kern w:val="22"/>
          <w:szCs w:val="22"/>
          <w:lang w:val="fr-FR"/>
        </w:rPr>
        <w:t>aspects de la</w:t>
      </w:r>
      <w:r w:rsidRPr="006D37DD">
        <w:rPr>
          <w:rFonts w:ascii="Times New Roman" w:hAnsi="Times New Roman"/>
          <w:kern w:val="22"/>
          <w:szCs w:val="22"/>
          <w:lang w:val="fr-FR"/>
        </w:rPr>
        <w:t xml:space="preserve"> </w:t>
      </w:r>
      <w:r>
        <w:rPr>
          <w:rFonts w:ascii="Times New Roman" w:hAnsi="Times New Roman"/>
          <w:kern w:val="22"/>
          <w:szCs w:val="22"/>
          <w:lang w:val="fr-FR"/>
        </w:rPr>
        <w:t>diversité biologique et des fonctions et services écosystémiques</w:t>
      </w:r>
      <w:r w:rsidRPr="006D37DD">
        <w:rPr>
          <w:rFonts w:ascii="Times New Roman" w:hAnsi="Times New Roman"/>
          <w:kern w:val="22"/>
          <w:szCs w:val="22"/>
          <w:lang w:val="fr-FR"/>
        </w:rPr>
        <w:t>, y compris</w:t>
      </w:r>
      <w:r>
        <w:rPr>
          <w:rFonts w:ascii="Times New Roman" w:hAnsi="Times New Roman"/>
          <w:kern w:val="22"/>
          <w:szCs w:val="22"/>
          <w:lang w:val="fr-FR"/>
        </w:rPr>
        <w:t xml:space="preserve"> en utilisant davantage les systèmes d’observation</w:t>
      </w:r>
      <w:r w:rsidRPr="006D37DD">
        <w:rPr>
          <w:rFonts w:ascii="Times New Roman" w:hAnsi="Times New Roman"/>
          <w:kern w:val="22"/>
          <w:szCs w:val="22"/>
          <w:lang w:val="fr-FR"/>
        </w:rPr>
        <w:t xml:space="preserve"> </w:t>
      </w:r>
      <w:r>
        <w:rPr>
          <w:rFonts w:ascii="Times New Roman" w:hAnsi="Times New Roman"/>
          <w:kern w:val="22"/>
          <w:szCs w:val="22"/>
          <w:lang w:val="fr-FR"/>
        </w:rPr>
        <w:t xml:space="preserve">à distance </w:t>
      </w:r>
      <w:r w:rsidRPr="006D37DD">
        <w:rPr>
          <w:rFonts w:ascii="Times New Roman" w:hAnsi="Times New Roman"/>
          <w:kern w:val="22"/>
          <w:szCs w:val="22"/>
          <w:lang w:val="fr-FR"/>
        </w:rPr>
        <w:t xml:space="preserve">et </w:t>
      </w:r>
      <w:r>
        <w:rPr>
          <w:rFonts w:ascii="Times New Roman" w:hAnsi="Times New Roman"/>
          <w:kern w:val="22"/>
          <w:szCs w:val="22"/>
          <w:lang w:val="fr-FR"/>
        </w:rPr>
        <w:t>les systèmes d’information géographique et en utilisant la technologie pour identifier les espèces et produire des informations sur la diversité biologique</w:t>
      </w:r>
      <w:r w:rsidRPr="006D37DD">
        <w:rPr>
          <w:rFonts w:ascii="Times New Roman" w:hAnsi="Times New Roman"/>
          <w:kern w:val="22"/>
          <w:szCs w:val="22"/>
          <w:lang w:val="fr-FR"/>
        </w:rPr>
        <w:t>;</w:t>
      </w:r>
    </w:p>
    <w:p w:rsidR="009F6935" w:rsidRPr="006D37DD"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d)</w:t>
      </w:r>
      <w:r>
        <w:rPr>
          <w:rFonts w:ascii="Times New Roman" w:hAnsi="Times New Roman"/>
          <w:kern w:val="22"/>
          <w:szCs w:val="22"/>
          <w:lang w:val="fr-FR"/>
        </w:rPr>
        <w:tab/>
        <w:t>Promouvoir l’utilisation et l’élaboration de scénarios qui intègrent les considérations liées à la</w:t>
      </w:r>
      <w:r w:rsidRPr="006D37DD">
        <w:rPr>
          <w:rFonts w:ascii="Times New Roman" w:hAnsi="Times New Roman"/>
          <w:kern w:val="22"/>
          <w:szCs w:val="22"/>
          <w:lang w:val="fr-FR"/>
        </w:rPr>
        <w:t xml:space="preserve"> diversité biologique </w:t>
      </w:r>
      <w:r>
        <w:rPr>
          <w:rFonts w:ascii="Times New Roman" w:hAnsi="Times New Roman"/>
          <w:kern w:val="22"/>
          <w:szCs w:val="22"/>
          <w:lang w:val="fr-FR"/>
        </w:rPr>
        <w:t xml:space="preserve">dans </w:t>
      </w:r>
      <w:r w:rsidRPr="006D37DD">
        <w:rPr>
          <w:rFonts w:ascii="Times New Roman" w:hAnsi="Times New Roman"/>
          <w:kern w:val="22"/>
          <w:szCs w:val="22"/>
          <w:lang w:val="fr-FR"/>
        </w:rPr>
        <w:t xml:space="preserve">d’autres </w:t>
      </w:r>
      <w:r>
        <w:rPr>
          <w:rFonts w:ascii="Times New Roman" w:hAnsi="Times New Roman"/>
          <w:kern w:val="22"/>
          <w:szCs w:val="22"/>
          <w:lang w:val="fr-FR"/>
        </w:rPr>
        <w:t>objectifs sociétaux</w:t>
      </w:r>
      <w:r w:rsidRPr="006D37DD">
        <w:rPr>
          <w:rFonts w:ascii="Times New Roman" w:hAnsi="Times New Roman"/>
          <w:kern w:val="22"/>
          <w:szCs w:val="22"/>
          <w:lang w:val="fr-FR"/>
        </w:rPr>
        <w:t xml:space="preserve"> et </w:t>
      </w:r>
      <w:r>
        <w:rPr>
          <w:rFonts w:ascii="Times New Roman" w:hAnsi="Times New Roman"/>
          <w:kern w:val="22"/>
          <w:szCs w:val="22"/>
          <w:lang w:val="fr-FR"/>
        </w:rPr>
        <w:t>culturels</w:t>
      </w:r>
      <w:r w:rsidRPr="006D37DD">
        <w:rPr>
          <w:rFonts w:ascii="Times New Roman" w:hAnsi="Times New Roman"/>
          <w:kern w:val="22"/>
          <w:szCs w:val="22"/>
          <w:lang w:val="fr-FR"/>
        </w:rPr>
        <w:t xml:space="preserve">, y compris </w:t>
      </w:r>
      <w:r>
        <w:rPr>
          <w:rFonts w:ascii="Times New Roman" w:hAnsi="Times New Roman"/>
          <w:kern w:val="22"/>
          <w:szCs w:val="22"/>
          <w:lang w:val="fr-FR"/>
        </w:rPr>
        <w:t xml:space="preserve">l’élimination de la pauvreté et de la faim, et l’adaptation aux changements climatiques et leur atténuation, et qui tiennent compte des multiples facteurs </w:t>
      </w:r>
      <w:r w:rsidRPr="006D37DD">
        <w:rPr>
          <w:rFonts w:ascii="Times New Roman" w:hAnsi="Times New Roman"/>
          <w:kern w:val="22"/>
          <w:szCs w:val="22"/>
          <w:lang w:val="fr-FR"/>
        </w:rPr>
        <w:t>direct</w:t>
      </w:r>
      <w:r>
        <w:rPr>
          <w:rFonts w:ascii="Times New Roman" w:hAnsi="Times New Roman"/>
          <w:kern w:val="22"/>
          <w:szCs w:val="22"/>
          <w:lang w:val="fr-FR"/>
        </w:rPr>
        <w:t>s</w:t>
      </w:r>
      <w:r w:rsidRPr="006D37DD">
        <w:rPr>
          <w:rFonts w:ascii="Times New Roman" w:hAnsi="Times New Roman"/>
          <w:kern w:val="22"/>
          <w:szCs w:val="22"/>
          <w:lang w:val="fr-FR"/>
        </w:rPr>
        <w:t xml:space="preserve"> et </w:t>
      </w:r>
      <w:r>
        <w:rPr>
          <w:rFonts w:ascii="Times New Roman" w:hAnsi="Times New Roman"/>
          <w:kern w:val="22"/>
          <w:szCs w:val="22"/>
          <w:lang w:val="fr-FR"/>
        </w:rPr>
        <w:t>indirects d’appauvrissement de la</w:t>
      </w:r>
      <w:r w:rsidRPr="006D37DD">
        <w:rPr>
          <w:rFonts w:ascii="Times New Roman" w:hAnsi="Times New Roman"/>
          <w:kern w:val="22"/>
          <w:szCs w:val="22"/>
          <w:lang w:val="fr-FR"/>
        </w:rPr>
        <w:t xml:space="preserve"> </w:t>
      </w:r>
      <w:r>
        <w:rPr>
          <w:rFonts w:ascii="Times New Roman" w:hAnsi="Times New Roman"/>
          <w:kern w:val="22"/>
          <w:szCs w:val="22"/>
          <w:lang w:val="fr-FR"/>
        </w:rPr>
        <w:t xml:space="preserve">diversité biologique et intègrent davantage les fonctions </w:t>
      </w:r>
      <w:r w:rsidRPr="006D37DD">
        <w:rPr>
          <w:rFonts w:ascii="Times New Roman" w:hAnsi="Times New Roman"/>
          <w:kern w:val="22"/>
          <w:szCs w:val="22"/>
          <w:lang w:val="fr-FR"/>
        </w:rPr>
        <w:t>et services</w:t>
      </w:r>
      <w:r>
        <w:rPr>
          <w:rFonts w:ascii="Times New Roman" w:hAnsi="Times New Roman"/>
          <w:kern w:val="22"/>
          <w:szCs w:val="22"/>
          <w:lang w:val="fr-FR"/>
        </w:rPr>
        <w:t xml:space="preserve"> écosystémiques</w:t>
      </w:r>
      <w:r w:rsidRPr="006D37DD">
        <w:rPr>
          <w:rFonts w:ascii="Times New Roman" w:hAnsi="Times New Roman"/>
          <w:kern w:val="22"/>
          <w:szCs w:val="22"/>
          <w:lang w:val="fr-FR"/>
        </w:rPr>
        <w:t>;</w:t>
      </w:r>
    </w:p>
    <w:p w:rsidR="009F6935" w:rsidRPr="0013577A" w:rsidRDefault="009F6935" w:rsidP="009F6935">
      <w:pPr>
        <w:pStyle w:val="StylePara1HeadingsCSTimesNewRoman"/>
        <w:suppressLineNumbers/>
        <w:suppressAutoHyphens/>
        <w:kinsoku w:val="0"/>
        <w:overflowPunct w:val="0"/>
        <w:autoSpaceDE w:val="0"/>
        <w:autoSpaceDN w:val="0"/>
        <w:ind w:left="720" w:firstLine="720"/>
        <w:rPr>
          <w:lang w:val="fr-FR"/>
        </w:rPr>
      </w:pPr>
      <w:r>
        <w:rPr>
          <w:rFonts w:ascii="Times New Roman" w:hAnsi="Times New Roman"/>
          <w:kern w:val="22"/>
          <w:szCs w:val="22"/>
          <w:lang w:val="fr-FR"/>
        </w:rPr>
        <w:t>e</w:t>
      </w:r>
      <w:r w:rsidRPr="0013577A">
        <w:rPr>
          <w:rFonts w:ascii="Times New Roman" w:hAnsi="Times New Roman"/>
          <w:kern w:val="22"/>
          <w:szCs w:val="22"/>
          <w:lang w:val="fr-FR"/>
        </w:rPr>
        <w:t>)</w:t>
      </w:r>
      <w:r w:rsidRPr="0013577A">
        <w:rPr>
          <w:rFonts w:ascii="Times New Roman" w:hAnsi="Times New Roman"/>
          <w:kern w:val="22"/>
          <w:szCs w:val="22"/>
          <w:lang w:val="fr-FR"/>
        </w:rPr>
        <w:tab/>
      </w:r>
      <w:r>
        <w:rPr>
          <w:kern w:val="22"/>
          <w:lang w:val="fr-FR"/>
        </w:rPr>
        <w:t>Mieux intégrer les questions liées à la diversité biologique dans tous les secteurs de la société, y compris dans les processus nationaux de planification et de développement et l’élaboration de politiques générales, afin de mieux prendre en compte les effets dits de « ruissellement » des politiques générales dans les processus décisionnels ainsi que</w:t>
      </w:r>
      <w:r w:rsidRPr="00012669">
        <w:rPr>
          <w:kern w:val="22"/>
          <w:lang w:val="fr-FR"/>
        </w:rPr>
        <w:t xml:space="preserve"> </w:t>
      </w:r>
      <w:r>
        <w:rPr>
          <w:kern w:val="22"/>
          <w:lang w:val="fr-FR"/>
        </w:rPr>
        <w:t>les répercussions plus larges des</w:t>
      </w:r>
      <w:r w:rsidRPr="00012669">
        <w:rPr>
          <w:kern w:val="22"/>
          <w:lang w:val="fr-FR"/>
        </w:rPr>
        <w:t xml:space="preserve"> décisions</w:t>
      </w:r>
      <w:r>
        <w:rPr>
          <w:kern w:val="22"/>
          <w:lang w:val="fr-FR"/>
        </w:rPr>
        <w:t xml:space="preserve"> politiques</w:t>
      </w:r>
      <w:r w:rsidRPr="0013577A">
        <w:rPr>
          <w:rFonts w:ascii="Times New Roman" w:hAnsi="Times New Roman"/>
          <w:kern w:val="22"/>
          <w:szCs w:val="22"/>
          <w:lang w:val="fr-FR"/>
        </w:rPr>
        <w:t>;</w:t>
      </w:r>
    </w:p>
    <w:p w:rsidR="009F6935" w:rsidRPr="006D37DD"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lang w:val="fr-FR"/>
        </w:rPr>
        <w:lastRenderedPageBreak/>
        <w:t>f</w:t>
      </w:r>
      <w:r w:rsidRPr="006D37DD">
        <w:rPr>
          <w:lang w:val="fr-FR"/>
        </w:rPr>
        <w:t xml:space="preserve">) </w:t>
      </w:r>
      <w:r w:rsidRPr="006D37DD">
        <w:rPr>
          <w:lang w:val="fr-FR"/>
        </w:rPr>
        <w:tab/>
      </w:r>
      <w:r w:rsidRPr="006D37DD">
        <w:rPr>
          <w:rFonts w:ascii="Times New Roman" w:hAnsi="Times New Roman"/>
          <w:kern w:val="22"/>
          <w:szCs w:val="22"/>
          <w:lang w:val="fr-FR"/>
        </w:rPr>
        <w:t>M</w:t>
      </w:r>
      <w:r>
        <w:rPr>
          <w:rFonts w:ascii="Times New Roman" w:hAnsi="Times New Roman"/>
          <w:kern w:val="22"/>
          <w:szCs w:val="22"/>
          <w:lang w:val="fr-FR"/>
        </w:rPr>
        <w:t>ieux prendre en considération les impact</w:t>
      </w:r>
      <w:r w:rsidRPr="006D37DD">
        <w:rPr>
          <w:rFonts w:ascii="Times New Roman" w:hAnsi="Times New Roman"/>
          <w:kern w:val="22"/>
          <w:szCs w:val="22"/>
          <w:lang w:val="fr-FR"/>
        </w:rPr>
        <w:t>s direct</w:t>
      </w:r>
      <w:r>
        <w:rPr>
          <w:rFonts w:ascii="Times New Roman" w:hAnsi="Times New Roman"/>
          <w:kern w:val="22"/>
          <w:szCs w:val="22"/>
          <w:lang w:val="fr-FR"/>
        </w:rPr>
        <w:t>s</w:t>
      </w:r>
      <w:r w:rsidRPr="006D37DD">
        <w:rPr>
          <w:rFonts w:ascii="Times New Roman" w:hAnsi="Times New Roman"/>
          <w:kern w:val="22"/>
          <w:szCs w:val="22"/>
          <w:lang w:val="fr-FR"/>
        </w:rPr>
        <w:t xml:space="preserve"> et indirect</w:t>
      </w:r>
      <w:r>
        <w:rPr>
          <w:rFonts w:ascii="Times New Roman" w:hAnsi="Times New Roman"/>
          <w:kern w:val="22"/>
          <w:szCs w:val="22"/>
          <w:lang w:val="fr-FR"/>
        </w:rPr>
        <w:t>s des politique</w:t>
      </w:r>
      <w:r w:rsidRPr="006D37DD">
        <w:rPr>
          <w:rFonts w:ascii="Times New Roman" w:hAnsi="Times New Roman"/>
          <w:kern w:val="22"/>
          <w:szCs w:val="22"/>
          <w:lang w:val="fr-FR"/>
        </w:rPr>
        <w:t>s</w:t>
      </w:r>
      <w:r>
        <w:rPr>
          <w:rFonts w:ascii="Times New Roman" w:hAnsi="Times New Roman"/>
          <w:kern w:val="22"/>
          <w:szCs w:val="22"/>
          <w:lang w:val="fr-FR"/>
        </w:rPr>
        <w:t xml:space="preserve"> générales et des modèles de production et de consommation</w:t>
      </w:r>
      <w:r w:rsidRPr="006D37DD">
        <w:rPr>
          <w:rFonts w:ascii="Times New Roman" w:hAnsi="Times New Roman"/>
          <w:kern w:val="22"/>
          <w:szCs w:val="22"/>
          <w:lang w:val="fr-FR"/>
        </w:rPr>
        <w:t xml:space="preserve">, </w:t>
      </w:r>
      <w:r>
        <w:rPr>
          <w:rFonts w:ascii="Times New Roman" w:hAnsi="Times New Roman"/>
          <w:kern w:val="22"/>
          <w:szCs w:val="22"/>
          <w:lang w:val="fr-FR"/>
        </w:rPr>
        <w:t xml:space="preserve">les liens de causalité entre des lieux et des écosystèmes éloignés, et les effets sur ceux-ci, et mieux gérer les conséquences des </w:t>
      </w:r>
      <w:r w:rsidRPr="006D37DD">
        <w:rPr>
          <w:rFonts w:ascii="Times New Roman" w:hAnsi="Times New Roman"/>
          <w:kern w:val="22"/>
          <w:szCs w:val="22"/>
          <w:lang w:val="fr-FR"/>
        </w:rPr>
        <w:t>décisions</w:t>
      </w:r>
      <w:r>
        <w:rPr>
          <w:rFonts w:ascii="Times New Roman" w:hAnsi="Times New Roman"/>
          <w:kern w:val="22"/>
          <w:szCs w:val="22"/>
          <w:lang w:val="fr-FR"/>
        </w:rPr>
        <w:t xml:space="preserve"> politiques et de la production et la consommation sur la diversité biologique</w:t>
      </w:r>
      <w:r w:rsidRPr="006D37DD">
        <w:rPr>
          <w:rFonts w:ascii="Times New Roman" w:hAnsi="Times New Roman"/>
          <w:kern w:val="22"/>
          <w:szCs w:val="22"/>
          <w:lang w:val="fr-FR"/>
        </w:rPr>
        <w:t xml:space="preserve">, </w:t>
      </w:r>
      <w:r>
        <w:rPr>
          <w:rFonts w:ascii="Times New Roman" w:hAnsi="Times New Roman"/>
          <w:kern w:val="22"/>
          <w:szCs w:val="22"/>
          <w:lang w:val="fr-FR"/>
        </w:rPr>
        <w:t>tant à l’intérieur qu’à l’extérieur des frontières nationale</w:t>
      </w:r>
      <w:r w:rsidRPr="006D37DD">
        <w:rPr>
          <w:rFonts w:ascii="Times New Roman" w:hAnsi="Times New Roman"/>
          <w:kern w:val="22"/>
          <w:szCs w:val="22"/>
          <w:lang w:val="fr-FR"/>
        </w:rPr>
        <w:t>s;</w:t>
      </w:r>
    </w:p>
    <w:p w:rsidR="009F6935" w:rsidRPr="006D37DD"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g</w:t>
      </w:r>
      <w:r w:rsidRPr="006D37DD">
        <w:rPr>
          <w:rFonts w:ascii="Times New Roman" w:hAnsi="Times New Roman"/>
          <w:kern w:val="22"/>
          <w:szCs w:val="22"/>
          <w:lang w:val="fr-FR"/>
        </w:rPr>
        <w:t>)</w:t>
      </w:r>
      <w:r w:rsidRPr="006D37DD">
        <w:rPr>
          <w:rFonts w:ascii="Times New Roman" w:hAnsi="Times New Roman"/>
          <w:kern w:val="22"/>
          <w:szCs w:val="22"/>
          <w:lang w:val="fr-FR"/>
        </w:rPr>
        <w:tab/>
        <w:t>Promouvoir une plus grande utilisation des techniques d’am</w:t>
      </w:r>
      <w:r>
        <w:rPr>
          <w:rFonts w:ascii="Times New Roman" w:hAnsi="Times New Roman"/>
          <w:kern w:val="22"/>
          <w:szCs w:val="22"/>
          <w:lang w:val="fr-FR"/>
        </w:rPr>
        <w:t xml:space="preserve">énagement du territoire dans la </w:t>
      </w:r>
      <w:r w:rsidRPr="006D37DD">
        <w:rPr>
          <w:rFonts w:ascii="Times New Roman" w:hAnsi="Times New Roman"/>
          <w:kern w:val="22"/>
          <w:szCs w:val="22"/>
          <w:lang w:val="fr-FR"/>
        </w:rPr>
        <w:t xml:space="preserve">conservation et </w:t>
      </w:r>
      <w:r>
        <w:rPr>
          <w:rFonts w:ascii="Times New Roman" w:hAnsi="Times New Roman"/>
          <w:kern w:val="22"/>
          <w:szCs w:val="22"/>
          <w:lang w:val="fr-FR"/>
        </w:rPr>
        <w:t xml:space="preserve">la gestion de la </w:t>
      </w:r>
      <w:r w:rsidRPr="006D37DD">
        <w:rPr>
          <w:rFonts w:ascii="Times New Roman" w:hAnsi="Times New Roman"/>
          <w:kern w:val="22"/>
          <w:szCs w:val="22"/>
          <w:lang w:val="fr-FR"/>
        </w:rPr>
        <w:t>diversité biologique;</w:t>
      </w:r>
    </w:p>
    <w:p w:rsidR="009F6935" w:rsidRPr="0013577A"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h</w:t>
      </w:r>
      <w:r w:rsidRPr="0013577A">
        <w:rPr>
          <w:rFonts w:ascii="Times New Roman" w:hAnsi="Times New Roman"/>
          <w:kern w:val="22"/>
          <w:szCs w:val="22"/>
          <w:lang w:val="fr-FR"/>
        </w:rPr>
        <w:t>)</w:t>
      </w:r>
      <w:r w:rsidRPr="0013577A">
        <w:rPr>
          <w:rFonts w:ascii="Times New Roman" w:hAnsi="Times New Roman"/>
          <w:kern w:val="22"/>
          <w:szCs w:val="22"/>
          <w:lang w:val="fr-FR"/>
        </w:rPr>
        <w:tab/>
      </w:r>
      <w:r w:rsidRPr="00C35D1C">
        <w:rPr>
          <w:kern w:val="22"/>
          <w:lang w:val="fr-FR"/>
        </w:rPr>
        <w:t>Promouvoir et mettre en place des systèmes de</w:t>
      </w:r>
      <w:r>
        <w:rPr>
          <w:kern w:val="22"/>
          <w:lang w:val="fr-FR"/>
        </w:rPr>
        <w:t xml:space="preserve"> </w:t>
      </w:r>
      <w:r w:rsidRPr="00C35D1C">
        <w:rPr>
          <w:kern w:val="22"/>
          <w:lang w:val="fr-FR"/>
        </w:rPr>
        <w:t xml:space="preserve">gouvernance </w:t>
      </w:r>
      <w:r>
        <w:rPr>
          <w:kern w:val="22"/>
          <w:lang w:val="fr-FR"/>
        </w:rPr>
        <w:t xml:space="preserve">qui abordent les questions liées à la </w:t>
      </w:r>
      <w:r w:rsidRPr="00C35D1C">
        <w:rPr>
          <w:kern w:val="22"/>
          <w:lang w:val="fr-FR"/>
        </w:rPr>
        <w:t xml:space="preserve">diversité biologique </w:t>
      </w:r>
      <w:r>
        <w:rPr>
          <w:kern w:val="22"/>
          <w:lang w:val="fr-FR"/>
        </w:rPr>
        <w:t xml:space="preserve">d’une manière plus cohérente et qui internalisent davantage les engagements mondiaux en faveur de la </w:t>
      </w:r>
      <w:r w:rsidRPr="00C35D1C">
        <w:rPr>
          <w:kern w:val="22"/>
          <w:lang w:val="fr-FR"/>
        </w:rPr>
        <w:t>diversité biologique</w:t>
      </w:r>
      <w:r>
        <w:rPr>
          <w:kern w:val="22"/>
          <w:lang w:val="fr-FR"/>
        </w:rPr>
        <w:t>,</w:t>
      </w:r>
      <w:r w:rsidRPr="00C35D1C">
        <w:rPr>
          <w:kern w:val="22"/>
          <w:lang w:val="fr-FR"/>
        </w:rPr>
        <w:t xml:space="preserve"> </w:t>
      </w:r>
      <w:r>
        <w:rPr>
          <w:kern w:val="22"/>
          <w:lang w:val="fr-FR"/>
        </w:rPr>
        <w:t xml:space="preserve">notamment en renforçant l’intégration des </w:t>
      </w:r>
      <w:r w:rsidRPr="00C35D1C">
        <w:rPr>
          <w:kern w:val="22"/>
          <w:lang w:val="fr-FR"/>
        </w:rPr>
        <w:t xml:space="preserve">connaissances </w:t>
      </w:r>
      <w:r>
        <w:rPr>
          <w:kern w:val="22"/>
          <w:lang w:val="fr-FR"/>
        </w:rPr>
        <w:t>autochtones et locales et la pluralité des valeurs dans les processus de</w:t>
      </w:r>
      <w:r w:rsidRPr="00C35D1C">
        <w:rPr>
          <w:kern w:val="22"/>
          <w:lang w:val="fr-FR"/>
        </w:rPr>
        <w:t xml:space="preserve"> gouvern</w:t>
      </w:r>
      <w:r>
        <w:rPr>
          <w:kern w:val="22"/>
          <w:lang w:val="fr-FR"/>
        </w:rPr>
        <w:t>ance</w:t>
      </w:r>
      <w:r w:rsidRPr="00C35D1C">
        <w:rPr>
          <w:kern w:val="22"/>
          <w:lang w:val="fr-FR"/>
        </w:rPr>
        <w:t xml:space="preserve">, et </w:t>
      </w:r>
      <w:r>
        <w:rPr>
          <w:kern w:val="22"/>
          <w:lang w:val="fr-FR"/>
        </w:rPr>
        <w:t>en prenant en compte davantage les</w:t>
      </w:r>
      <w:r w:rsidRPr="00C35D1C">
        <w:rPr>
          <w:kern w:val="22"/>
          <w:lang w:val="fr-FR"/>
        </w:rPr>
        <w:t xml:space="preserve"> synergies </w:t>
      </w:r>
      <w:r>
        <w:rPr>
          <w:kern w:val="22"/>
          <w:lang w:val="fr-FR"/>
        </w:rPr>
        <w:t xml:space="preserve">éventuelles </w:t>
      </w:r>
      <w:r w:rsidRPr="00C35D1C">
        <w:rPr>
          <w:kern w:val="22"/>
          <w:lang w:val="fr-FR"/>
        </w:rPr>
        <w:t>dans</w:t>
      </w:r>
      <w:r>
        <w:rPr>
          <w:kern w:val="22"/>
          <w:lang w:val="fr-FR"/>
        </w:rPr>
        <w:t xml:space="preserve"> l’application des accords bilatéraux </w:t>
      </w:r>
      <w:r w:rsidRPr="00C35D1C">
        <w:rPr>
          <w:kern w:val="22"/>
          <w:lang w:val="fr-FR"/>
        </w:rPr>
        <w:t xml:space="preserve">et </w:t>
      </w:r>
      <w:r>
        <w:rPr>
          <w:kern w:val="22"/>
          <w:lang w:val="fr-FR"/>
        </w:rPr>
        <w:t>multilatéraux, des</w:t>
      </w:r>
      <w:r w:rsidRPr="00C35D1C">
        <w:rPr>
          <w:kern w:val="22"/>
          <w:lang w:val="fr-FR"/>
        </w:rPr>
        <w:t xml:space="preserve"> Objectifs de développement durable et d’autres </w:t>
      </w:r>
      <w:r>
        <w:rPr>
          <w:kern w:val="22"/>
          <w:lang w:val="fr-FR"/>
        </w:rPr>
        <w:t xml:space="preserve">initiatives </w:t>
      </w:r>
      <w:r w:rsidRPr="00C35D1C">
        <w:rPr>
          <w:kern w:val="22"/>
          <w:lang w:val="fr-FR"/>
        </w:rPr>
        <w:t>international</w:t>
      </w:r>
      <w:r>
        <w:rPr>
          <w:kern w:val="22"/>
          <w:lang w:val="fr-FR"/>
        </w:rPr>
        <w:t xml:space="preserve">es </w:t>
      </w:r>
      <w:r w:rsidRPr="00C35D1C">
        <w:rPr>
          <w:kern w:val="22"/>
          <w:lang w:val="fr-FR"/>
        </w:rPr>
        <w:t>et région</w:t>
      </w:r>
      <w:r>
        <w:rPr>
          <w:kern w:val="22"/>
          <w:lang w:val="fr-FR"/>
        </w:rPr>
        <w:t>ales au</w:t>
      </w:r>
      <w:r w:rsidRPr="00C35D1C">
        <w:rPr>
          <w:kern w:val="22"/>
          <w:lang w:val="fr-FR"/>
        </w:rPr>
        <w:t xml:space="preserve"> niveau national</w:t>
      </w:r>
      <w:r w:rsidRPr="0013577A">
        <w:rPr>
          <w:rFonts w:ascii="Times New Roman" w:hAnsi="Times New Roman"/>
          <w:kern w:val="22"/>
          <w:szCs w:val="22"/>
          <w:lang w:val="fr-FR"/>
        </w:rPr>
        <w:t>;</w:t>
      </w:r>
    </w:p>
    <w:p w:rsidR="009F6935" w:rsidRDefault="009F6935" w:rsidP="009F6935">
      <w:pPr>
        <w:pStyle w:val="StylePara1HeadingsCSTimesNewRoman"/>
        <w:suppressLineNumbers/>
        <w:suppressAutoHyphens/>
        <w:kinsoku w:val="0"/>
        <w:overflowPunct w:val="0"/>
        <w:autoSpaceDE w:val="0"/>
        <w:autoSpaceDN w:val="0"/>
        <w:ind w:left="720" w:firstLine="720"/>
        <w:rPr>
          <w:kern w:val="22"/>
          <w:lang w:val="fr-FR"/>
        </w:rPr>
      </w:pPr>
      <w:r>
        <w:rPr>
          <w:rFonts w:ascii="Times New Roman" w:hAnsi="Times New Roman"/>
          <w:kern w:val="22"/>
          <w:szCs w:val="22"/>
          <w:lang w:val="fr-FR"/>
        </w:rPr>
        <w:t>i</w:t>
      </w:r>
      <w:r w:rsidRPr="0013577A">
        <w:rPr>
          <w:rFonts w:ascii="Times New Roman" w:hAnsi="Times New Roman"/>
          <w:kern w:val="22"/>
          <w:szCs w:val="22"/>
          <w:lang w:val="fr-FR"/>
        </w:rPr>
        <w:t>)</w:t>
      </w:r>
      <w:r w:rsidRPr="0013577A">
        <w:rPr>
          <w:rFonts w:ascii="Times New Roman" w:hAnsi="Times New Roman"/>
          <w:kern w:val="22"/>
          <w:szCs w:val="22"/>
          <w:lang w:val="fr-FR"/>
        </w:rPr>
        <w:tab/>
      </w:r>
      <w:r w:rsidRPr="00C35D1C">
        <w:rPr>
          <w:kern w:val="22"/>
          <w:lang w:val="fr-FR"/>
        </w:rPr>
        <w:t>Promouvoir l’utilisation d’approches</w:t>
      </w:r>
      <w:r>
        <w:rPr>
          <w:kern w:val="22"/>
          <w:lang w:val="fr-FR"/>
        </w:rPr>
        <w:t xml:space="preserve"> participatives dans la gestion de la</w:t>
      </w:r>
      <w:r w:rsidRPr="00C35D1C">
        <w:rPr>
          <w:kern w:val="22"/>
          <w:lang w:val="fr-FR"/>
        </w:rPr>
        <w:t xml:space="preserve"> diversité biologique</w:t>
      </w:r>
      <w:r>
        <w:rPr>
          <w:kern w:val="22"/>
          <w:lang w:val="fr-FR"/>
        </w:rPr>
        <w:t>,</w:t>
      </w:r>
      <w:r w:rsidRPr="00C35D1C">
        <w:rPr>
          <w:kern w:val="22"/>
          <w:lang w:val="fr-FR"/>
        </w:rPr>
        <w:t xml:space="preserve"> </w:t>
      </w:r>
      <w:r>
        <w:rPr>
          <w:kern w:val="22"/>
          <w:lang w:val="fr-FR"/>
        </w:rPr>
        <w:t xml:space="preserve">notamment en assurant une participation effective des peuples autochtones et des communautés locales et en renforçant les capacités des </w:t>
      </w:r>
      <w:r w:rsidRPr="00C35D1C">
        <w:rPr>
          <w:kern w:val="22"/>
          <w:lang w:val="fr-FR"/>
        </w:rPr>
        <w:t>parties prenantes</w:t>
      </w:r>
      <w:r>
        <w:rPr>
          <w:kern w:val="22"/>
          <w:lang w:val="fr-FR"/>
        </w:rPr>
        <w:t>,</w:t>
      </w:r>
      <w:r w:rsidRPr="00C35D1C">
        <w:rPr>
          <w:kern w:val="22"/>
          <w:lang w:val="fr-FR"/>
        </w:rPr>
        <w:t xml:space="preserve"> </w:t>
      </w:r>
      <w:r>
        <w:rPr>
          <w:kern w:val="22"/>
          <w:lang w:val="fr-FR"/>
        </w:rPr>
        <w:t>pour qu’elles puissent contribuer efficacement aux processus décisionnels;</w:t>
      </w:r>
    </w:p>
    <w:p w:rsidR="009F6935" w:rsidRPr="0013577A"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kern w:val="22"/>
          <w:lang w:val="fr-FR"/>
        </w:rPr>
        <w:t>j)</w:t>
      </w:r>
      <w:r>
        <w:rPr>
          <w:kern w:val="22"/>
          <w:lang w:val="fr-FR"/>
        </w:rPr>
        <w:tab/>
        <w:t xml:space="preserve">Travailler plus étroitement avec les petits propriétaires fonciers afin d’adopter des pratiques efficaces et respectueuses de la </w:t>
      </w:r>
      <w:r w:rsidRPr="00C35D1C">
        <w:rPr>
          <w:kern w:val="22"/>
          <w:lang w:val="fr-FR"/>
        </w:rPr>
        <w:t>diversité biologique</w:t>
      </w:r>
      <w:r>
        <w:rPr>
          <w:kern w:val="22"/>
          <w:lang w:val="fr-FR"/>
        </w:rPr>
        <w:t>,</w:t>
      </w:r>
      <w:r w:rsidRPr="00C35D1C">
        <w:rPr>
          <w:kern w:val="22"/>
          <w:lang w:val="fr-FR"/>
        </w:rPr>
        <w:t xml:space="preserve"> et </w:t>
      </w:r>
      <w:r>
        <w:rPr>
          <w:kern w:val="22"/>
          <w:lang w:val="fr-FR"/>
        </w:rPr>
        <w:t xml:space="preserve">renforcer la </w:t>
      </w:r>
      <w:r w:rsidRPr="00C35D1C">
        <w:rPr>
          <w:kern w:val="22"/>
          <w:lang w:val="fr-FR"/>
        </w:rPr>
        <w:t xml:space="preserve">coopération et </w:t>
      </w:r>
      <w:r>
        <w:rPr>
          <w:kern w:val="22"/>
          <w:lang w:val="fr-FR"/>
        </w:rPr>
        <w:t xml:space="preserve">les </w:t>
      </w:r>
      <w:r w:rsidRPr="00C35D1C">
        <w:rPr>
          <w:kern w:val="22"/>
          <w:lang w:val="fr-FR"/>
        </w:rPr>
        <w:t>partenariat</w:t>
      </w:r>
      <w:r>
        <w:rPr>
          <w:kern w:val="22"/>
          <w:lang w:val="fr-FR"/>
        </w:rPr>
        <w:t>s avec</w:t>
      </w:r>
      <w:r w:rsidRPr="00C35D1C">
        <w:rPr>
          <w:kern w:val="22"/>
          <w:lang w:val="fr-FR"/>
        </w:rPr>
        <w:t xml:space="preserve"> les peuples autochtones et communautés locales</w:t>
      </w:r>
      <w:r>
        <w:rPr>
          <w:kern w:val="22"/>
          <w:lang w:val="fr-FR"/>
        </w:rPr>
        <w:t>, les</w:t>
      </w:r>
      <w:r w:rsidRPr="00C35D1C">
        <w:rPr>
          <w:kern w:val="22"/>
          <w:lang w:val="fr-FR"/>
        </w:rPr>
        <w:t xml:space="preserve"> organisations</w:t>
      </w:r>
      <w:r>
        <w:rPr>
          <w:kern w:val="22"/>
          <w:lang w:val="fr-FR"/>
        </w:rPr>
        <w:t xml:space="preserve"> non gouvernementales, </w:t>
      </w:r>
      <w:r w:rsidRPr="00C35D1C">
        <w:rPr>
          <w:kern w:val="22"/>
          <w:lang w:val="fr-FR"/>
        </w:rPr>
        <w:t xml:space="preserve">le secteur privé et </w:t>
      </w:r>
      <w:r>
        <w:rPr>
          <w:kern w:val="22"/>
          <w:lang w:val="fr-FR"/>
        </w:rPr>
        <w:t xml:space="preserve">les </w:t>
      </w:r>
      <w:r w:rsidRPr="00C35D1C">
        <w:rPr>
          <w:kern w:val="22"/>
          <w:lang w:val="fr-FR"/>
        </w:rPr>
        <w:t>individus</w:t>
      </w:r>
      <w:r w:rsidRPr="0013577A">
        <w:rPr>
          <w:rFonts w:ascii="Times New Roman" w:hAnsi="Times New Roman"/>
          <w:kern w:val="22"/>
          <w:szCs w:val="22"/>
          <w:lang w:val="fr-FR"/>
        </w:rPr>
        <w:t>;</w:t>
      </w:r>
    </w:p>
    <w:p w:rsidR="009F6935" w:rsidRPr="00924264"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k</w:t>
      </w:r>
      <w:r w:rsidRPr="00924264">
        <w:rPr>
          <w:rFonts w:ascii="Times New Roman" w:hAnsi="Times New Roman"/>
          <w:kern w:val="22"/>
          <w:szCs w:val="22"/>
          <w:lang w:val="fr-FR"/>
        </w:rPr>
        <w:t>)</w:t>
      </w:r>
      <w:r w:rsidRPr="00924264">
        <w:rPr>
          <w:rFonts w:ascii="Times New Roman" w:hAnsi="Times New Roman"/>
          <w:kern w:val="22"/>
          <w:szCs w:val="22"/>
          <w:lang w:val="fr-FR"/>
        </w:rPr>
        <w:tab/>
        <w:t>Accroître la sensibilisation au sujet de la</w:t>
      </w:r>
      <w:r>
        <w:rPr>
          <w:rFonts w:ascii="Times New Roman" w:hAnsi="Times New Roman"/>
          <w:kern w:val="22"/>
          <w:szCs w:val="22"/>
          <w:lang w:val="fr-FR"/>
        </w:rPr>
        <w:t xml:space="preserve"> </w:t>
      </w:r>
      <w:r w:rsidRPr="00924264">
        <w:rPr>
          <w:rFonts w:ascii="Times New Roman" w:hAnsi="Times New Roman"/>
          <w:kern w:val="22"/>
          <w:szCs w:val="22"/>
          <w:lang w:val="fr-FR"/>
        </w:rPr>
        <w:t xml:space="preserve">diversité biologique et </w:t>
      </w:r>
      <w:r>
        <w:rPr>
          <w:rFonts w:ascii="Times New Roman" w:hAnsi="Times New Roman"/>
          <w:kern w:val="22"/>
          <w:szCs w:val="22"/>
          <w:lang w:val="fr-FR"/>
        </w:rPr>
        <w:t>des</w:t>
      </w:r>
      <w:r w:rsidRPr="00924264">
        <w:rPr>
          <w:rFonts w:ascii="Times New Roman" w:hAnsi="Times New Roman"/>
          <w:kern w:val="22"/>
          <w:szCs w:val="22"/>
          <w:lang w:val="fr-FR"/>
        </w:rPr>
        <w:t xml:space="preserve"> </w:t>
      </w:r>
      <w:r w:rsidRPr="00924264">
        <w:rPr>
          <w:color w:val="000000"/>
          <w:szCs w:val="28"/>
          <w:lang w:val="fr-FR"/>
        </w:rPr>
        <w:t>interactions</w:t>
      </w:r>
      <w:r>
        <w:rPr>
          <w:color w:val="000000"/>
          <w:szCs w:val="28"/>
          <w:lang w:val="fr-FR"/>
        </w:rPr>
        <w:t xml:space="preserve"> entre les facteurs </w:t>
      </w:r>
      <w:r w:rsidRPr="00924264">
        <w:rPr>
          <w:color w:val="000000"/>
          <w:szCs w:val="28"/>
          <w:lang w:val="fr-FR"/>
        </w:rPr>
        <w:t>indirect</w:t>
      </w:r>
      <w:r>
        <w:rPr>
          <w:color w:val="000000"/>
          <w:szCs w:val="28"/>
          <w:lang w:val="fr-FR"/>
        </w:rPr>
        <w:t>s</w:t>
      </w:r>
      <w:r w:rsidRPr="00924264">
        <w:rPr>
          <w:color w:val="000000"/>
          <w:szCs w:val="28"/>
          <w:lang w:val="fr-FR"/>
        </w:rPr>
        <w:t xml:space="preserve"> et direct</w:t>
      </w:r>
      <w:r>
        <w:rPr>
          <w:color w:val="000000"/>
          <w:szCs w:val="28"/>
          <w:lang w:val="fr-FR"/>
        </w:rPr>
        <w:t xml:space="preserve">s d’appauvrissement de la </w:t>
      </w:r>
      <w:r w:rsidRPr="00924264">
        <w:rPr>
          <w:color w:val="000000"/>
          <w:szCs w:val="28"/>
          <w:lang w:val="fr-FR"/>
        </w:rPr>
        <w:t xml:space="preserve">diversité biologique </w:t>
      </w:r>
      <w:r>
        <w:rPr>
          <w:color w:val="000000"/>
          <w:szCs w:val="28"/>
          <w:lang w:val="fr-FR"/>
        </w:rPr>
        <w:t xml:space="preserve">et leur impact sur la </w:t>
      </w:r>
      <w:r w:rsidRPr="00924264">
        <w:rPr>
          <w:color w:val="000000"/>
          <w:szCs w:val="28"/>
          <w:lang w:val="fr-FR"/>
        </w:rPr>
        <w:t>diversité biologique</w:t>
      </w:r>
      <w:r>
        <w:rPr>
          <w:color w:val="000000"/>
          <w:szCs w:val="28"/>
          <w:lang w:val="fr-FR"/>
        </w:rPr>
        <w:t>, les fo</w:t>
      </w:r>
      <w:r w:rsidRPr="00924264">
        <w:rPr>
          <w:color w:val="000000"/>
          <w:szCs w:val="28"/>
          <w:lang w:val="fr-FR"/>
        </w:rPr>
        <w:t xml:space="preserve">nctions et services </w:t>
      </w:r>
      <w:r>
        <w:rPr>
          <w:color w:val="000000"/>
          <w:szCs w:val="28"/>
          <w:lang w:val="fr-FR"/>
        </w:rPr>
        <w:t xml:space="preserve">écosystémiques </w:t>
      </w:r>
      <w:r w:rsidRPr="00924264">
        <w:rPr>
          <w:color w:val="000000"/>
          <w:szCs w:val="28"/>
          <w:lang w:val="fr-FR"/>
        </w:rPr>
        <w:t xml:space="preserve">et </w:t>
      </w:r>
      <w:r>
        <w:rPr>
          <w:color w:val="000000"/>
          <w:szCs w:val="28"/>
          <w:lang w:val="fr-FR"/>
        </w:rPr>
        <w:t xml:space="preserve">le bien-être </w:t>
      </w:r>
      <w:r w:rsidRPr="00924264">
        <w:rPr>
          <w:color w:val="000000"/>
          <w:szCs w:val="28"/>
          <w:lang w:val="fr-FR"/>
        </w:rPr>
        <w:t>huma</w:t>
      </w:r>
      <w:r>
        <w:rPr>
          <w:color w:val="000000"/>
          <w:szCs w:val="28"/>
          <w:lang w:val="fr-FR"/>
        </w:rPr>
        <w:t>i</w:t>
      </w:r>
      <w:r w:rsidRPr="00924264">
        <w:rPr>
          <w:color w:val="000000"/>
          <w:szCs w:val="28"/>
          <w:lang w:val="fr-FR"/>
        </w:rPr>
        <w:t>n</w:t>
      </w:r>
      <w:r>
        <w:rPr>
          <w:color w:val="000000"/>
          <w:szCs w:val="28"/>
          <w:lang w:val="fr-FR"/>
        </w:rPr>
        <w:t xml:space="preserve">, en renforçant la </w:t>
      </w:r>
      <w:r w:rsidRPr="00924264">
        <w:rPr>
          <w:rFonts w:ascii="Times New Roman" w:hAnsi="Times New Roman"/>
          <w:kern w:val="22"/>
          <w:szCs w:val="22"/>
          <w:lang w:val="fr-FR"/>
        </w:rPr>
        <w:t>communication</w:t>
      </w:r>
      <w:r>
        <w:rPr>
          <w:rFonts w:ascii="Times New Roman" w:hAnsi="Times New Roman"/>
          <w:kern w:val="22"/>
          <w:szCs w:val="22"/>
          <w:lang w:val="fr-FR"/>
        </w:rPr>
        <w:t>,</w:t>
      </w:r>
      <w:r w:rsidRPr="00924264">
        <w:rPr>
          <w:rFonts w:ascii="Times New Roman" w:hAnsi="Times New Roman"/>
          <w:kern w:val="22"/>
          <w:szCs w:val="22"/>
          <w:lang w:val="fr-FR"/>
        </w:rPr>
        <w:t xml:space="preserve"> </w:t>
      </w:r>
      <w:r>
        <w:rPr>
          <w:rFonts w:ascii="Times New Roman" w:hAnsi="Times New Roman"/>
          <w:kern w:val="22"/>
          <w:szCs w:val="22"/>
          <w:lang w:val="fr-FR"/>
        </w:rPr>
        <w:t>l’é</w:t>
      </w:r>
      <w:r w:rsidRPr="00924264">
        <w:rPr>
          <w:rFonts w:ascii="Times New Roman" w:hAnsi="Times New Roman"/>
          <w:kern w:val="22"/>
          <w:szCs w:val="22"/>
          <w:lang w:val="fr-FR"/>
        </w:rPr>
        <w:t>ducation</w:t>
      </w:r>
      <w:r>
        <w:rPr>
          <w:rFonts w:ascii="Times New Roman" w:hAnsi="Times New Roman"/>
          <w:kern w:val="22"/>
          <w:szCs w:val="22"/>
          <w:lang w:val="fr-FR"/>
        </w:rPr>
        <w:t xml:space="preserve"> et la sensibilisation du public,</w:t>
      </w:r>
      <w:r w:rsidRPr="00924264">
        <w:rPr>
          <w:rFonts w:ascii="Times New Roman" w:hAnsi="Times New Roman"/>
          <w:kern w:val="22"/>
          <w:szCs w:val="22"/>
          <w:lang w:val="fr-FR"/>
        </w:rPr>
        <w:t xml:space="preserve"> et </w:t>
      </w:r>
      <w:r>
        <w:rPr>
          <w:rFonts w:ascii="Times New Roman" w:hAnsi="Times New Roman"/>
          <w:kern w:val="22"/>
          <w:szCs w:val="22"/>
          <w:lang w:val="fr-FR"/>
        </w:rPr>
        <w:t>en prenant des mesures pour aboutir à des changements de comportement et des changements de politique générale</w:t>
      </w:r>
      <w:r w:rsidRPr="00924264">
        <w:rPr>
          <w:rFonts w:ascii="Times New Roman" w:hAnsi="Times New Roman"/>
          <w:kern w:val="22"/>
          <w:szCs w:val="22"/>
          <w:lang w:val="fr-FR"/>
        </w:rPr>
        <w:t>;</w:t>
      </w:r>
    </w:p>
    <w:p w:rsidR="009F6935" w:rsidRPr="0013577A"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l</w:t>
      </w:r>
      <w:r w:rsidRPr="0013577A">
        <w:rPr>
          <w:rFonts w:ascii="Times New Roman" w:hAnsi="Times New Roman"/>
          <w:kern w:val="22"/>
          <w:szCs w:val="22"/>
          <w:lang w:val="fr-FR"/>
        </w:rPr>
        <w:t>)</w:t>
      </w:r>
      <w:r w:rsidRPr="0013577A">
        <w:rPr>
          <w:rFonts w:ascii="Times New Roman" w:hAnsi="Times New Roman"/>
          <w:kern w:val="22"/>
          <w:szCs w:val="22"/>
          <w:lang w:val="fr-FR"/>
        </w:rPr>
        <w:tab/>
      </w:r>
      <w:r>
        <w:rPr>
          <w:kern w:val="22"/>
          <w:lang w:val="fr-FR"/>
        </w:rPr>
        <w:t>Améliorer l’apport de financement et l’</w:t>
      </w:r>
      <w:r w:rsidRPr="00F6401B">
        <w:rPr>
          <w:kern w:val="22"/>
          <w:lang w:val="fr-FR"/>
        </w:rPr>
        <w:t>accè</w:t>
      </w:r>
      <w:r>
        <w:rPr>
          <w:kern w:val="22"/>
          <w:lang w:val="fr-FR"/>
        </w:rPr>
        <w:t>s aux ressources financières</w:t>
      </w:r>
      <w:r w:rsidRPr="00F6401B">
        <w:rPr>
          <w:kern w:val="22"/>
          <w:lang w:val="fr-FR"/>
        </w:rPr>
        <w:t xml:space="preserve"> et technologi</w:t>
      </w:r>
      <w:r>
        <w:rPr>
          <w:kern w:val="22"/>
          <w:lang w:val="fr-FR"/>
        </w:rPr>
        <w:t>ques pour assurer la</w:t>
      </w:r>
      <w:r w:rsidRPr="00F6401B">
        <w:rPr>
          <w:kern w:val="22"/>
          <w:lang w:val="fr-FR"/>
        </w:rPr>
        <w:t xml:space="preserve"> conservation et l’utilisation durable</w:t>
      </w:r>
      <w:r>
        <w:rPr>
          <w:kern w:val="22"/>
          <w:lang w:val="fr-FR"/>
        </w:rPr>
        <w:t xml:space="preserve"> de la </w:t>
      </w:r>
      <w:r w:rsidRPr="00F6401B">
        <w:rPr>
          <w:kern w:val="22"/>
          <w:lang w:val="fr-FR"/>
        </w:rPr>
        <w:t>diversité biologique</w:t>
      </w:r>
      <w:r w:rsidRPr="0013577A">
        <w:rPr>
          <w:rFonts w:ascii="Times New Roman" w:hAnsi="Times New Roman"/>
          <w:kern w:val="22"/>
          <w:szCs w:val="22"/>
          <w:lang w:val="fr-FR"/>
        </w:rPr>
        <w:t>;</w:t>
      </w:r>
    </w:p>
    <w:p w:rsidR="009F6935" w:rsidRPr="0013577A"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m</w:t>
      </w:r>
      <w:r w:rsidRPr="0013577A">
        <w:rPr>
          <w:rFonts w:ascii="Times New Roman" w:hAnsi="Times New Roman"/>
          <w:kern w:val="22"/>
          <w:szCs w:val="22"/>
          <w:lang w:val="fr-FR"/>
        </w:rPr>
        <w:t>)</w:t>
      </w:r>
      <w:r w:rsidRPr="0013577A">
        <w:rPr>
          <w:rFonts w:ascii="Times New Roman" w:hAnsi="Times New Roman"/>
          <w:kern w:val="22"/>
          <w:szCs w:val="22"/>
          <w:lang w:val="fr-FR"/>
        </w:rPr>
        <w:tab/>
      </w:r>
      <w:r>
        <w:rPr>
          <w:kern w:val="22"/>
          <w:lang w:val="fr-FR"/>
        </w:rPr>
        <w:t xml:space="preserve">Promouvoir des </w:t>
      </w:r>
      <w:r w:rsidRPr="00F6401B">
        <w:rPr>
          <w:kern w:val="22"/>
          <w:lang w:val="fr-FR"/>
        </w:rPr>
        <w:t>mesures</w:t>
      </w:r>
      <w:r>
        <w:rPr>
          <w:kern w:val="22"/>
          <w:lang w:val="fr-FR"/>
        </w:rPr>
        <w:t xml:space="preserve"> qui abordent les causes sous-jacentes de </w:t>
      </w:r>
      <w:r w:rsidRPr="00F6401B">
        <w:rPr>
          <w:kern w:val="22"/>
          <w:lang w:val="fr-FR"/>
        </w:rPr>
        <w:t xml:space="preserve">l’appauvrissement de la diversité biologique et </w:t>
      </w:r>
      <w:r>
        <w:rPr>
          <w:kern w:val="22"/>
          <w:lang w:val="fr-FR"/>
        </w:rPr>
        <w:t>qui contribueront à la</w:t>
      </w:r>
      <w:r w:rsidRPr="00F6401B">
        <w:rPr>
          <w:kern w:val="22"/>
          <w:lang w:val="fr-FR"/>
        </w:rPr>
        <w:t xml:space="preserve"> réalisation</w:t>
      </w:r>
      <w:r>
        <w:rPr>
          <w:kern w:val="22"/>
          <w:lang w:val="fr-FR"/>
        </w:rPr>
        <w:t xml:space="preserve"> de multiples</w:t>
      </w:r>
      <w:r w:rsidRPr="00F6401B">
        <w:rPr>
          <w:kern w:val="22"/>
          <w:lang w:val="fr-FR"/>
        </w:rPr>
        <w:t xml:space="preserve"> Objectifs d’Aichi </w:t>
      </w:r>
      <w:r>
        <w:rPr>
          <w:kern w:val="22"/>
          <w:szCs w:val="22"/>
          <w:lang w:val="fr-FR"/>
        </w:rPr>
        <w:t>pour la biodiversité</w:t>
      </w:r>
      <w:r w:rsidRPr="0013577A">
        <w:rPr>
          <w:rFonts w:ascii="Times New Roman" w:hAnsi="Times New Roman"/>
          <w:kern w:val="22"/>
          <w:szCs w:val="22"/>
          <w:lang w:val="fr-FR"/>
        </w:rPr>
        <w:t>;</w:t>
      </w:r>
    </w:p>
    <w:p w:rsidR="009F6935" w:rsidRPr="00924264"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n</w:t>
      </w:r>
      <w:r w:rsidRPr="00924264">
        <w:rPr>
          <w:rFonts w:ascii="Times New Roman" w:hAnsi="Times New Roman"/>
          <w:kern w:val="22"/>
          <w:szCs w:val="22"/>
          <w:lang w:val="fr-FR"/>
        </w:rPr>
        <w:t>)</w:t>
      </w:r>
      <w:r w:rsidRPr="00924264">
        <w:rPr>
          <w:rFonts w:ascii="Times New Roman" w:hAnsi="Times New Roman"/>
          <w:kern w:val="22"/>
          <w:szCs w:val="22"/>
          <w:lang w:val="fr-FR"/>
        </w:rPr>
        <w:tab/>
      </w:r>
      <w:r>
        <w:rPr>
          <w:rFonts w:ascii="Times New Roman" w:hAnsi="Times New Roman"/>
          <w:kern w:val="22"/>
          <w:szCs w:val="22"/>
          <w:lang w:val="fr-FR"/>
        </w:rPr>
        <w:t xml:space="preserve">Favoriser des </w:t>
      </w:r>
      <w:r w:rsidRPr="00924264">
        <w:rPr>
          <w:rFonts w:ascii="Times New Roman" w:hAnsi="Times New Roman"/>
          <w:kern w:val="22"/>
          <w:szCs w:val="22"/>
          <w:lang w:val="fr-FR"/>
        </w:rPr>
        <w:t>approches</w:t>
      </w:r>
      <w:r>
        <w:rPr>
          <w:rFonts w:ascii="Times New Roman" w:hAnsi="Times New Roman"/>
          <w:kern w:val="22"/>
          <w:szCs w:val="22"/>
          <w:lang w:val="fr-FR"/>
        </w:rPr>
        <w:t xml:space="preserve"> multiples</w:t>
      </w:r>
      <w:r w:rsidRPr="00924264">
        <w:rPr>
          <w:rFonts w:ascii="Times New Roman" w:hAnsi="Times New Roman"/>
          <w:kern w:val="22"/>
          <w:szCs w:val="22"/>
          <w:lang w:val="fr-FR"/>
        </w:rPr>
        <w:t xml:space="preserve">, y compris des </w:t>
      </w:r>
      <w:r>
        <w:rPr>
          <w:rFonts w:ascii="Times New Roman" w:hAnsi="Times New Roman"/>
          <w:kern w:val="22"/>
          <w:szCs w:val="22"/>
          <w:lang w:val="fr-FR"/>
        </w:rPr>
        <w:t>appro</w:t>
      </w:r>
      <w:r w:rsidRPr="00924264">
        <w:rPr>
          <w:rFonts w:ascii="Times New Roman" w:hAnsi="Times New Roman"/>
          <w:kern w:val="22"/>
          <w:szCs w:val="22"/>
          <w:lang w:val="fr-FR"/>
        </w:rPr>
        <w:t xml:space="preserve">ches non monétaires, </w:t>
      </w:r>
      <w:r>
        <w:rPr>
          <w:rFonts w:ascii="Times New Roman" w:hAnsi="Times New Roman"/>
          <w:kern w:val="22"/>
          <w:szCs w:val="22"/>
          <w:lang w:val="fr-FR"/>
        </w:rPr>
        <w:t>pour estimer la valeur de la diversité biologique et des fonctions et services écosystémiques</w:t>
      </w:r>
      <w:r w:rsidRPr="00924264">
        <w:rPr>
          <w:rFonts w:ascii="Times New Roman" w:hAnsi="Times New Roman"/>
          <w:color w:val="333333"/>
          <w:kern w:val="22"/>
          <w:szCs w:val="22"/>
          <w:shd w:val="clear" w:color="auto" w:fill="FFFFFF"/>
          <w:lang w:val="fr-FR"/>
        </w:rPr>
        <w:t>;</w:t>
      </w:r>
    </w:p>
    <w:p w:rsidR="009F6935" w:rsidRPr="00924264"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o</w:t>
      </w:r>
      <w:r w:rsidRPr="00924264">
        <w:rPr>
          <w:rFonts w:ascii="Times New Roman" w:hAnsi="Times New Roman"/>
          <w:kern w:val="22"/>
          <w:szCs w:val="22"/>
          <w:lang w:val="fr-FR"/>
        </w:rPr>
        <w:t>)</w:t>
      </w:r>
      <w:r w:rsidRPr="00924264">
        <w:rPr>
          <w:rFonts w:ascii="Times New Roman" w:hAnsi="Times New Roman"/>
          <w:kern w:val="22"/>
          <w:szCs w:val="22"/>
          <w:lang w:val="fr-FR"/>
        </w:rPr>
        <w:tab/>
      </w:r>
      <w:r>
        <w:rPr>
          <w:rFonts w:ascii="Times New Roman" w:hAnsi="Times New Roman"/>
          <w:kern w:val="22"/>
          <w:szCs w:val="22"/>
          <w:lang w:val="fr-FR"/>
        </w:rPr>
        <w:t>Mieux prendre en considération le</w:t>
      </w:r>
      <w:r w:rsidRPr="00924264">
        <w:rPr>
          <w:rFonts w:ascii="Times New Roman" w:hAnsi="Times New Roman"/>
          <w:kern w:val="22"/>
          <w:szCs w:val="22"/>
          <w:lang w:val="fr-FR"/>
        </w:rPr>
        <w:t xml:space="preserve"> plein </w:t>
      </w:r>
      <w:r>
        <w:rPr>
          <w:kern w:val="22"/>
          <w:szCs w:val="22"/>
          <w:lang w:val="fr-FR"/>
        </w:rPr>
        <w:t>impact des processus de</w:t>
      </w:r>
      <w:r w:rsidRPr="00924264">
        <w:rPr>
          <w:kern w:val="22"/>
          <w:szCs w:val="22"/>
          <w:lang w:val="fr-FR"/>
        </w:rPr>
        <w:t xml:space="preserve"> </w:t>
      </w:r>
      <w:r w:rsidRPr="00924264">
        <w:rPr>
          <w:rFonts w:ascii="Times New Roman" w:hAnsi="Times New Roman"/>
          <w:kern w:val="22"/>
          <w:szCs w:val="22"/>
          <w:lang w:val="fr-FR"/>
        </w:rPr>
        <w:t xml:space="preserve">production et </w:t>
      </w:r>
      <w:r>
        <w:rPr>
          <w:rFonts w:ascii="Times New Roman" w:hAnsi="Times New Roman"/>
          <w:kern w:val="22"/>
          <w:szCs w:val="22"/>
          <w:lang w:val="fr-FR"/>
        </w:rPr>
        <w:t>de consomma</w:t>
      </w:r>
      <w:r w:rsidRPr="00924264">
        <w:rPr>
          <w:rFonts w:ascii="Times New Roman" w:hAnsi="Times New Roman"/>
          <w:kern w:val="22"/>
          <w:szCs w:val="22"/>
          <w:lang w:val="fr-FR"/>
        </w:rPr>
        <w:t xml:space="preserve">tion </w:t>
      </w:r>
      <w:r>
        <w:rPr>
          <w:rFonts w:ascii="Times New Roman" w:hAnsi="Times New Roman"/>
          <w:kern w:val="22"/>
          <w:szCs w:val="22"/>
          <w:lang w:val="fr-FR"/>
        </w:rPr>
        <w:t xml:space="preserve">tout au long de la chaîne d’approvisionnement et du cycle de vie des produits sur la </w:t>
      </w:r>
      <w:r w:rsidRPr="00924264">
        <w:rPr>
          <w:kern w:val="22"/>
          <w:szCs w:val="22"/>
          <w:lang w:val="fr-FR"/>
        </w:rPr>
        <w:t>diversité biologique</w:t>
      </w:r>
      <w:r w:rsidRPr="00924264">
        <w:rPr>
          <w:rFonts w:ascii="Times New Roman" w:hAnsi="Times New Roman"/>
          <w:kern w:val="22"/>
          <w:szCs w:val="22"/>
          <w:lang w:val="fr-FR"/>
        </w:rPr>
        <w:t>;</w:t>
      </w:r>
    </w:p>
    <w:p w:rsidR="009F6935" w:rsidRPr="0013577A"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p</w:t>
      </w:r>
      <w:r w:rsidRPr="0013577A">
        <w:rPr>
          <w:rFonts w:ascii="Times New Roman" w:hAnsi="Times New Roman"/>
          <w:kern w:val="22"/>
          <w:szCs w:val="22"/>
          <w:lang w:val="fr-FR"/>
        </w:rPr>
        <w:t>)</w:t>
      </w:r>
      <w:r w:rsidRPr="0013577A">
        <w:rPr>
          <w:rFonts w:ascii="Times New Roman" w:hAnsi="Times New Roman"/>
          <w:kern w:val="22"/>
          <w:szCs w:val="22"/>
          <w:lang w:val="fr-FR"/>
        </w:rPr>
        <w:tab/>
      </w:r>
      <w:r>
        <w:rPr>
          <w:rFonts w:ascii="Times New Roman" w:hAnsi="Times New Roman"/>
          <w:kern w:val="22"/>
          <w:szCs w:val="22"/>
          <w:lang w:val="fr-FR"/>
        </w:rPr>
        <w:t>É</w:t>
      </w:r>
      <w:r w:rsidRPr="00012669">
        <w:rPr>
          <w:kern w:val="22"/>
          <w:lang w:val="fr-FR"/>
        </w:rPr>
        <w:t>liminer les</w:t>
      </w:r>
      <w:r>
        <w:rPr>
          <w:kern w:val="22"/>
          <w:lang w:val="fr-FR"/>
        </w:rPr>
        <w:t xml:space="preserve"> mesures</w:t>
      </w:r>
      <w:r w:rsidRPr="00012669">
        <w:rPr>
          <w:kern w:val="22"/>
          <w:lang w:val="fr-FR"/>
        </w:rPr>
        <w:t xml:space="preserve"> </w:t>
      </w:r>
      <w:r>
        <w:rPr>
          <w:kern w:val="22"/>
          <w:lang w:val="fr-FR"/>
        </w:rPr>
        <w:t>d’incitation</w:t>
      </w:r>
      <w:r w:rsidRPr="00012669">
        <w:rPr>
          <w:kern w:val="22"/>
          <w:lang w:val="fr-FR"/>
        </w:rPr>
        <w:t xml:space="preserve"> à effets</w:t>
      </w:r>
      <w:r>
        <w:rPr>
          <w:kern w:val="22"/>
          <w:lang w:val="fr-FR"/>
        </w:rPr>
        <w:t xml:space="preserve"> pervers qui contribuent à la dégradation de la </w:t>
      </w:r>
      <w:r w:rsidRPr="00012669">
        <w:rPr>
          <w:kern w:val="22"/>
          <w:lang w:val="fr-FR"/>
        </w:rPr>
        <w:t xml:space="preserve">diversité biologique </w:t>
      </w:r>
      <w:r>
        <w:rPr>
          <w:kern w:val="22"/>
          <w:lang w:val="fr-FR"/>
        </w:rPr>
        <w:t>et concevoir des mesures d’incitation positive qui récompensent l’adoption de pratiqu</w:t>
      </w:r>
      <w:r w:rsidRPr="00012669">
        <w:rPr>
          <w:kern w:val="22"/>
          <w:lang w:val="fr-FR"/>
        </w:rPr>
        <w:t>es</w:t>
      </w:r>
      <w:r>
        <w:rPr>
          <w:kern w:val="22"/>
          <w:lang w:val="fr-FR"/>
        </w:rPr>
        <w:t xml:space="preserve"> durables</w:t>
      </w:r>
      <w:r w:rsidRPr="0013577A">
        <w:rPr>
          <w:rFonts w:ascii="Times New Roman" w:hAnsi="Times New Roman"/>
          <w:kern w:val="22"/>
          <w:szCs w:val="22"/>
          <w:lang w:val="fr-FR"/>
        </w:rPr>
        <w:t>;</w:t>
      </w:r>
    </w:p>
    <w:p w:rsidR="009F6935" w:rsidRPr="00924264"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q</w:t>
      </w:r>
      <w:r w:rsidRPr="00924264">
        <w:rPr>
          <w:rFonts w:ascii="Times New Roman" w:hAnsi="Times New Roman"/>
          <w:kern w:val="22"/>
          <w:szCs w:val="22"/>
          <w:lang w:val="fr-FR"/>
        </w:rPr>
        <w:t>)</w:t>
      </w:r>
      <w:r w:rsidRPr="00924264">
        <w:rPr>
          <w:rFonts w:ascii="Times New Roman" w:hAnsi="Times New Roman"/>
          <w:kern w:val="22"/>
          <w:szCs w:val="22"/>
          <w:lang w:val="fr-FR"/>
        </w:rPr>
        <w:tab/>
      </w:r>
      <w:r>
        <w:rPr>
          <w:rFonts w:ascii="Times New Roman" w:hAnsi="Times New Roman"/>
          <w:kern w:val="22"/>
          <w:szCs w:val="22"/>
          <w:lang w:val="fr-FR"/>
        </w:rPr>
        <w:t>Promouvoir l</w:t>
      </w:r>
      <w:r w:rsidRPr="00924264">
        <w:rPr>
          <w:rFonts w:ascii="Times New Roman" w:hAnsi="Times New Roman"/>
          <w:kern w:val="22"/>
          <w:szCs w:val="22"/>
          <w:lang w:val="fr-FR"/>
        </w:rPr>
        <w:t>es investissement</w:t>
      </w:r>
      <w:r>
        <w:rPr>
          <w:rFonts w:ascii="Times New Roman" w:hAnsi="Times New Roman"/>
          <w:kern w:val="22"/>
          <w:szCs w:val="22"/>
          <w:lang w:val="fr-FR"/>
        </w:rPr>
        <w:t xml:space="preserve">s effectués dans l’élaboration et l’application de </w:t>
      </w:r>
      <w:r w:rsidRPr="00924264">
        <w:rPr>
          <w:rFonts w:ascii="Times New Roman" w:hAnsi="Times New Roman"/>
          <w:kern w:val="22"/>
          <w:szCs w:val="22"/>
          <w:lang w:val="fr-FR"/>
        </w:rPr>
        <w:t>solutions fondées sur la nature,</w:t>
      </w:r>
      <w:r>
        <w:rPr>
          <w:rFonts w:ascii="Times New Roman" w:hAnsi="Times New Roman"/>
          <w:kern w:val="22"/>
          <w:szCs w:val="22"/>
          <w:lang w:val="fr-FR"/>
        </w:rPr>
        <w:t xml:space="preserve"> afin de relever les défis sociétaux, notamment par la restau</w:t>
      </w:r>
      <w:r w:rsidRPr="00924264">
        <w:rPr>
          <w:rFonts w:ascii="Times New Roman" w:hAnsi="Times New Roman"/>
          <w:kern w:val="22"/>
          <w:szCs w:val="22"/>
          <w:lang w:val="fr-FR"/>
        </w:rPr>
        <w:t>ration</w:t>
      </w:r>
      <w:r>
        <w:rPr>
          <w:rFonts w:ascii="Times New Roman" w:hAnsi="Times New Roman"/>
          <w:kern w:val="22"/>
          <w:szCs w:val="22"/>
          <w:lang w:val="fr-FR"/>
        </w:rPr>
        <w:t xml:space="preserve"> des écosystèmes et la réhabilitation des systèmes agricoles, et</w:t>
      </w:r>
      <w:r w:rsidRPr="00924264">
        <w:rPr>
          <w:rFonts w:ascii="Times New Roman" w:hAnsi="Times New Roman"/>
          <w:kern w:val="22"/>
          <w:szCs w:val="22"/>
          <w:lang w:val="fr-FR"/>
        </w:rPr>
        <w:t xml:space="preserve"> </w:t>
      </w:r>
      <w:r>
        <w:rPr>
          <w:rFonts w:ascii="Times New Roman" w:hAnsi="Times New Roman"/>
          <w:kern w:val="22"/>
          <w:szCs w:val="22"/>
          <w:lang w:val="fr-FR"/>
        </w:rPr>
        <w:t>des mesures d’</w:t>
      </w:r>
      <w:r w:rsidRPr="00924264">
        <w:rPr>
          <w:rFonts w:ascii="Times New Roman" w:hAnsi="Times New Roman"/>
          <w:kern w:val="22"/>
          <w:szCs w:val="22"/>
          <w:lang w:val="fr-FR"/>
        </w:rPr>
        <w:t xml:space="preserve">adaptation et </w:t>
      </w:r>
      <w:r>
        <w:rPr>
          <w:rFonts w:ascii="Times New Roman" w:hAnsi="Times New Roman"/>
          <w:kern w:val="22"/>
          <w:szCs w:val="22"/>
          <w:lang w:val="fr-FR"/>
        </w:rPr>
        <w:t>d’atténuation fondées sur les écosystèmes et les appro</w:t>
      </w:r>
      <w:r w:rsidRPr="00924264">
        <w:rPr>
          <w:rFonts w:ascii="Times New Roman" w:hAnsi="Times New Roman"/>
          <w:kern w:val="22"/>
          <w:szCs w:val="22"/>
          <w:lang w:val="fr-FR"/>
        </w:rPr>
        <w:t>ches</w:t>
      </w:r>
      <w:r>
        <w:rPr>
          <w:rFonts w:ascii="Times New Roman" w:hAnsi="Times New Roman"/>
          <w:kern w:val="22"/>
          <w:szCs w:val="22"/>
          <w:lang w:val="fr-FR"/>
        </w:rPr>
        <w:t xml:space="preserve"> par écosystème pour la réduction des risques de catastrophe naturelle</w:t>
      </w:r>
      <w:r w:rsidRPr="00924264">
        <w:rPr>
          <w:rFonts w:ascii="Times New Roman" w:hAnsi="Times New Roman"/>
          <w:kern w:val="22"/>
          <w:szCs w:val="22"/>
          <w:lang w:val="fr-FR"/>
        </w:rPr>
        <w:t>;</w:t>
      </w:r>
    </w:p>
    <w:p w:rsidR="009F6935" w:rsidRPr="00924264"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r</w:t>
      </w:r>
      <w:r w:rsidRPr="00924264">
        <w:rPr>
          <w:rFonts w:ascii="Times New Roman" w:hAnsi="Times New Roman"/>
          <w:kern w:val="22"/>
          <w:szCs w:val="22"/>
          <w:lang w:val="fr-FR"/>
        </w:rPr>
        <w:t>)</w:t>
      </w:r>
      <w:r w:rsidRPr="00924264">
        <w:rPr>
          <w:rFonts w:ascii="Times New Roman" w:hAnsi="Times New Roman"/>
          <w:kern w:val="22"/>
          <w:szCs w:val="22"/>
          <w:lang w:val="fr-FR"/>
        </w:rPr>
        <w:tab/>
        <w:t>Prendre des mesures appropriées pour</w:t>
      </w:r>
      <w:r>
        <w:rPr>
          <w:rFonts w:ascii="Times New Roman" w:hAnsi="Times New Roman"/>
          <w:kern w:val="22"/>
          <w:szCs w:val="22"/>
          <w:lang w:val="fr-FR"/>
        </w:rPr>
        <w:t xml:space="preserve"> </w:t>
      </w:r>
      <w:r w:rsidRPr="00924264">
        <w:rPr>
          <w:rFonts w:ascii="Times New Roman" w:hAnsi="Times New Roman"/>
          <w:kern w:val="22"/>
          <w:szCs w:val="22"/>
          <w:lang w:val="fr-FR"/>
        </w:rPr>
        <w:t>pro</w:t>
      </w:r>
      <w:r>
        <w:rPr>
          <w:rFonts w:ascii="Times New Roman" w:hAnsi="Times New Roman"/>
          <w:kern w:val="22"/>
          <w:szCs w:val="22"/>
          <w:lang w:val="fr-FR"/>
        </w:rPr>
        <w:t>téger</w:t>
      </w:r>
      <w:r w:rsidRPr="00924264">
        <w:rPr>
          <w:rFonts w:ascii="Times New Roman" w:hAnsi="Times New Roman"/>
          <w:kern w:val="22"/>
          <w:szCs w:val="22"/>
          <w:lang w:val="fr-FR"/>
        </w:rPr>
        <w:t xml:space="preserve"> et </w:t>
      </w:r>
      <w:r>
        <w:rPr>
          <w:rFonts w:ascii="Times New Roman" w:hAnsi="Times New Roman"/>
          <w:kern w:val="22"/>
          <w:szCs w:val="22"/>
          <w:lang w:val="fr-FR"/>
        </w:rPr>
        <w:t>restau</w:t>
      </w:r>
      <w:r w:rsidRPr="00924264">
        <w:rPr>
          <w:rFonts w:ascii="Times New Roman" w:hAnsi="Times New Roman"/>
          <w:kern w:val="22"/>
          <w:szCs w:val="22"/>
          <w:lang w:val="fr-FR"/>
        </w:rPr>
        <w:t>re</w:t>
      </w:r>
      <w:r>
        <w:rPr>
          <w:rFonts w:ascii="Times New Roman" w:hAnsi="Times New Roman"/>
          <w:kern w:val="22"/>
          <w:szCs w:val="22"/>
          <w:lang w:val="fr-FR"/>
        </w:rPr>
        <w:t>r la diversité, l’abondance et la santé des pollinisateu</w:t>
      </w:r>
      <w:r w:rsidRPr="00924264">
        <w:rPr>
          <w:rFonts w:ascii="Times New Roman" w:hAnsi="Times New Roman"/>
          <w:kern w:val="22"/>
          <w:szCs w:val="22"/>
          <w:lang w:val="fr-FR"/>
        </w:rPr>
        <w:t>r</w:t>
      </w:r>
      <w:r>
        <w:rPr>
          <w:rFonts w:ascii="Times New Roman" w:hAnsi="Times New Roman"/>
          <w:kern w:val="22"/>
          <w:szCs w:val="22"/>
          <w:lang w:val="fr-FR"/>
        </w:rPr>
        <w:t>s</w:t>
      </w:r>
      <w:r w:rsidRPr="00924264">
        <w:rPr>
          <w:rFonts w:ascii="Times New Roman" w:hAnsi="Times New Roman"/>
          <w:kern w:val="22"/>
          <w:szCs w:val="22"/>
          <w:lang w:val="fr-FR"/>
        </w:rPr>
        <w:t>;</w:t>
      </w:r>
    </w:p>
    <w:p w:rsidR="009F6935" w:rsidRPr="00924264"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lastRenderedPageBreak/>
        <w:t>s)</w:t>
      </w:r>
      <w:r>
        <w:rPr>
          <w:rFonts w:ascii="Times New Roman" w:hAnsi="Times New Roman"/>
          <w:kern w:val="22"/>
          <w:szCs w:val="22"/>
          <w:lang w:val="fr-FR"/>
        </w:rPr>
        <w:tab/>
        <w:t xml:space="preserve">Réduire </w:t>
      </w:r>
      <w:r w:rsidRPr="00924264">
        <w:rPr>
          <w:rFonts w:ascii="Times New Roman" w:hAnsi="Times New Roman"/>
          <w:kern w:val="22"/>
          <w:szCs w:val="22"/>
          <w:lang w:val="fr-FR"/>
        </w:rPr>
        <w:t>les coûts de certification des pra</w:t>
      </w:r>
      <w:r>
        <w:rPr>
          <w:rFonts w:ascii="Times New Roman" w:hAnsi="Times New Roman"/>
          <w:kern w:val="22"/>
          <w:szCs w:val="22"/>
          <w:lang w:val="fr-FR"/>
        </w:rPr>
        <w:t>tiqu</w:t>
      </w:r>
      <w:r w:rsidRPr="00924264">
        <w:rPr>
          <w:rFonts w:ascii="Times New Roman" w:hAnsi="Times New Roman"/>
          <w:kern w:val="22"/>
          <w:szCs w:val="22"/>
          <w:lang w:val="fr-FR"/>
        </w:rPr>
        <w:t>es</w:t>
      </w:r>
      <w:r>
        <w:rPr>
          <w:rFonts w:ascii="Times New Roman" w:hAnsi="Times New Roman"/>
          <w:kern w:val="22"/>
          <w:szCs w:val="22"/>
          <w:lang w:val="fr-FR"/>
        </w:rPr>
        <w:t xml:space="preserve"> durables et </w:t>
      </w:r>
      <w:r w:rsidRPr="00924264">
        <w:rPr>
          <w:rFonts w:ascii="Times New Roman" w:hAnsi="Times New Roman"/>
          <w:kern w:val="22"/>
          <w:szCs w:val="22"/>
          <w:lang w:val="fr-FR"/>
        </w:rPr>
        <w:t>d’autres</w:t>
      </w:r>
      <w:r>
        <w:rPr>
          <w:rFonts w:ascii="Times New Roman" w:hAnsi="Times New Roman"/>
          <w:kern w:val="22"/>
          <w:szCs w:val="22"/>
          <w:lang w:val="fr-FR"/>
        </w:rPr>
        <w:t xml:space="preserve"> obstacles à la commercialisation de</w:t>
      </w:r>
      <w:r w:rsidRPr="00924264">
        <w:rPr>
          <w:rFonts w:ascii="Times New Roman" w:hAnsi="Times New Roman"/>
          <w:kern w:val="22"/>
          <w:szCs w:val="22"/>
          <w:lang w:val="fr-FR"/>
        </w:rPr>
        <w:t xml:space="preserve"> </w:t>
      </w:r>
      <w:r>
        <w:rPr>
          <w:rFonts w:ascii="Times New Roman" w:hAnsi="Times New Roman"/>
          <w:kern w:val="22"/>
          <w:szCs w:val="22"/>
          <w:lang w:val="fr-FR"/>
        </w:rPr>
        <w:t>produi</w:t>
      </w:r>
      <w:r w:rsidRPr="00924264">
        <w:rPr>
          <w:rFonts w:ascii="Times New Roman" w:hAnsi="Times New Roman"/>
          <w:kern w:val="22"/>
          <w:szCs w:val="22"/>
          <w:lang w:val="fr-FR"/>
        </w:rPr>
        <w:t xml:space="preserve">ts </w:t>
      </w:r>
      <w:r>
        <w:rPr>
          <w:rFonts w:ascii="Times New Roman" w:hAnsi="Times New Roman"/>
          <w:kern w:val="22"/>
          <w:szCs w:val="22"/>
          <w:lang w:val="fr-FR"/>
        </w:rPr>
        <w:t xml:space="preserve">issus d’une </w:t>
      </w:r>
      <w:r w:rsidRPr="00924264">
        <w:rPr>
          <w:rFonts w:ascii="Times New Roman" w:hAnsi="Times New Roman"/>
          <w:kern w:val="22"/>
          <w:szCs w:val="22"/>
          <w:lang w:val="fr-FR"/>
        </w:rPr>
        <w:t>production</w:t>
      </w:r>
      <w:r>
        <w:rPr>
          <w:rFonts w:ascii="Times New Roman" w:hAnsi="Times New Roman"/>
          <w:kern w:val="22"/>
          <w:szCs w:val="22"/>
          <w:lang w:val="fr-FR"/>
        </w:rPr>
        <w:t xml:space="preserve"> durable</w:t>
      </w:r>
      <w:r w:rsidRPr="00924264">
        <w:rPr>
          <w:rFonts w:ascii="Times New Roman" w:hAnsi="Times New Roman"/>
          <w:kern w:val="22"/>
          <w:szCs w:val="22"/>
          <w:lang w:val="fr-FR"/>
        </w:rPr>
        <w:t>;</w:t>
      </w:r>
    </w:p>
    <w:p w:rsidR="009F6935" w:rsidRPr="00A1089E"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t</w:t>
      </w:r>
      <w:r w:rsidRPr="00A1089E">
        <w:rPr>
          <w:rFonts w:ascii="Times New Roman" w:hAnsi="Times New Roman"/>
          <w:kern w:val="22"/>
          <w:szCs w:val="22"/>
          <w:lang w:val="fr-FR"/>
        </w:rPr>
        <w:t>)</w:t>
      </w:r>
      <w:r w:rsidRPr="00A1089E">
        <w:rPr>
          <w:rFonts w:ascii="Times New Roman" w:hAnsi="Times New Roman"/>
          <w:kern w:val="22"/>
          <w:szCs w:val="22"/>
          <w:lang w:val="fr-FR"/>
        </w:rPr>
        <w:tab/>
        <w:t>Am</w:t>
      </w:r>
      <w:r>
        <w:rPr>
          <w:rFonts w:ascii="Times New Roman" w:hAnsi="Times New Roman"/>
          <w:kern w:val="22"/>
          <w:szCs w:val="22"/>
          <w:lang w:val="fr-FR"/>
        </w:rPr>
        <w:t>éliorer les efforts déployés pour</w:t>
      </w:r>
      <w:r w:rsidRPr="00A1089E">
        <w:rPr>
          <w:rFonts w:ascii="Times New Roman" w:hAnsi="Times New Roman"/>
          <w:kern w:val="22"/>
          <w:szCs w:val="22"/>
          <w:lang w:val="fr-FR"/>
        </w:rPr>
        <w:t xml:space="preserve"> empêcher la</w:t>
      </w:r>
      <w:r>
        <w:rPr>
          <w:rFonts w:ascii="Times New Roman" w:hAnsi="Times New Roman"/>
          <w:kern w:val="22"/>
          <w:szCs w:val="22"/>
          <w:lang w:val="fr-FR"/>
        </w:rPr>
        <w:t xml:space="preserve"> dé</w:t>
      </w:r>
      <w:r w:rsidRPr="00A1089E">
        <w:rPr>
          <w:rFonts w:ascii="Times New Roman" w:hAnsi="Times New Roman"/>
          <w:kern w:val="22"/>
          <w:szCs w:val="22"/>
          <w:lang w:val="fr-FR"/>
        </w:rPr>
        <w:t>gradation</w:t>
      </w:r>
      <w:r>
        <w:rPr>
          <w:rFonts w:ascii="Times New Roman" w:hAnsi="Times New Roman"/>
          <w:kern w:val="22"/>
          <w:szCs w:val="22"/>
          <w:lang w:val="fr-FR"/>
        </w:rPr>
        <w:t xml:space="preserve"> des terres</w:t>
      </w:r>
      <w:r w:rsidRPr="00A1089E">
        <w:rPr>
          <w:rFonts w:ascii="Times New Roman" w:hAnsi="Times New Roman"/>
          <w:kern w:val="22"/>
          <w:szCs w:val="22"/>
          <w:lang w:val="fr-FR"/>
        </w:rPr>
        <w:t xml:space="preserve"> et re</w:t>
      </w:r>
      <w:r>
        <w:rPr>
          <w:rFonts w:ascii="Times New Roman" w:hAnsi="Times New Roman"/>
          <w:kern w:val="22"/>
          <w:szCs w:val="22"/>
          <w:lang w:val="fr-FR"/>
        </w:rPr>
        <w:t>stau</w:t>
      </w:r>
      <w:r w:rsidRPr="00A1089E">
        <w:rPr>
          <w:rFonts w:ascii="Times New Roman" w:hAnsi="Times New Roman"/>
          <w:kern w:val="22"/>
          <w:szCs w:val="22"/>
          <w:lang w:val="fr-FR"/>
        </w:rPr>
        <w:t>re</w:t>
      </w:r>
      <w:r>
        <w:rPr>
          <w:rFonts w:ascii="Times New Roman" w:hAnsi="Times New Roman"/>
          <w:kern w:val="22"/>
          <w:szCs w:val="22"/>
          <w:lang w:val="fr-FR"/>
        </w:rPr>
        <w:t>r les terres dé</w:t>
      </w:r>
      <w:r w:rsidRPr="00A1089E">
        <w:rPr>
          <w:rFonts w:ascii="Times New Roman" w:hAnsi="Times New Roman"/>
          <w:kern w:val="22"/>
          <w:szCs w:val="22"/>
          <w:lang w:val="fr-FR"/>
        </w:rPr>
        <w:t>grad</w:t>
      </w:r>
      <w:r>
        <w:rPr>
          <w:rFonts w:ascii="Times New Roman" w:hAnsi="Times New Roman"/>
          <w:kern w:val="22"/>
          <w:szCs w:val="22"/>
          <w:lang w:val="fr-FR"/>
        </w:rPr>
        <w:t>ées</w:t>
      </w:r>
      <w:r w:rsidRPr="00A1089E">
        <w:rPr>
          <w:rFonts w:ascii="Times New Roman" w:hAnsi="Times New Roman"/>
          <w:kern w:val="22"/>
          <w:szCs w:val="22"/>
          <w:lang w:val="fr-FR"/>
        </w:rPr>
        <w:t>;</w:t>
      </w:r>
    </w:p>
    <w:p w:rsidR="009F6935" w:rsidRPr="00A1089E" w:rsidRDefault="009F6935" w:rsidP="009F6935">
      <w:pPr>
        <w:pStyle w:val="StylePara1HeadingsCSTimesNewRoman"/>
        <w:suppressLineNumbers/>
        <w:suppressAutoHyphens/>
        <w:kinsoku w:val="0"/>
        <w:overflowPunct w:val="0"/>
        <w:autoSpaceDE w:val="0"/>
        <w:autoSpaceDN w:val="0"/>
        <w:ind w:left="720" w:firstLine="720"/>
        <w:rPr>
          <w:rFonts w:ascii="Times New Roman" w:hAnsi="Times New Roman"/>
          <w:kern w:val="22"/>
          <w:szCs w:val="22"/>
          <w:lang w:val="fr-FR"/>
        </w:rPr>
      </w:pPr>
      <w:r>
        <w:rPr>
          <w:rFonts w:ascii="Times New Roman" w:hAnsi="Times New Roman"/>
          <w:kern w:val="22"/>
          <w:szCs w:val="22"/>
          <w:lang w:val="fr-FR"/>
        </w:rPr>
        <w:t>u</w:t>
      </w:r>
      <w:r w:rsidRPr="00A1089E">
        <w:rPr>
          <w:rFonts w:ascii="Times New Roman" w:hAnsi="Times New Roman"/>
          <w:kern w:val="22"/>
          <w:szCs w:val="22"/>
          <w:lang w:val="fr-FR"/>
        </w:rPr>
        <w:t>)</w:t>
      </w:r>
      <w:r w:rsidRPr="00A1089E">
        <w:rPr>
          <w:rFonts w:ascii="Times New Roman" w:hAnsi="Times New Roman"/>
          <w:kern w:val="22"/>
          <w:szCs w:val="22"/>
          <w:lang w:val="fr-FR"/>
        </w:rPr>
        <w:tab/>
        <w:t>Au</w:t>
      </w:r>
      <w:r>
        <w:rPr>
          <w:rFonts w:ascii="Times New Roman" w:hAnsi="Times New Roman"/>
          <w:kern w:val="22"/>
          <w:szCs w:val="22"/>
          <w:lang w:val="fr-FR"/>
        </w:rPr>
        <w:t>gmenter les efforts prodigués pour</w:t>
      </w:r>
      <w:r w:rsidRPr="00A1089E">
        <w:rPr>
          <w:rFonts w:ascii="Times New Roman" w:hAnsi="Times New Roman"/>
          <w:kern w:val="22"/>
          <w:szCs w:val="22"/>
          <w:lang w:val="fr-FR"/>
        </w:rPr>
        <w:t xml:space="preserve"> parvenir à des changements transformateurs dans la relation entre la société et la diversité biologique.</w:t>
      </w:r>
    </w:p>
    <w:p w:rsidR="009F6935" w:rsidRDefault="009F6935">
      <w:pPr>
        <w:jc w:val="left"/>
        <w:rPr>
          <w:snapToGrid w:val="0"/>
          <w:kern w:val="22"/>
          <w:szCs w:val="22"/>
          <w:lang w:val="fr-FR"/>
        </w:rPr>
      </w:pPr>
      <w:r>
        <w:rPr>
          <w:kern w:val="22"/>
          <w:szCs w:val="22"/>
          <w:lang w:val="fr-FR"/>
        </w:rPr>
        <w:br w:type="page"/>
      </w:r>
    </w:p>
    <w:p w:rsidR="009F6935" w:rsidRPr="009E3119" w:rsidRDefault="00E2241E" w:rsidP="00E2241E">
      <w:pPr>
        <w:pStyle w:val="Heading2"/>
        <w:spacing w:after="240"/>
        <w:rPr>
          <w:snapToGrid w:val="0"/>
          <w:kern w:val="22"/>
          <w:szCs w:val="22"/>
          <w:lang w:val="fr-CA"/>
        </w:rPr>
      </w:pPr>
      <w:bookmarkStart w:id="17" w:name="_Toc525904152"/>
      <w:bookmarkStart w:id="18" w:name="_Toc525904555"/>
      <w:r>
        <w:rPr>
          <w:bCs w:val="0"/>
          <w:snapToGrid w:val="0"/>
          <w:kern w:val="22"/>
          <w:szCs w:val="22"/>
          <w:lang w:val="fr-FR"/>
        </w:rPr>
        <w:lastRenderedPageBreak/>
        <w:t>22/5.     Aire</w:t>
      </w:r>
      <w:r w:rsidRPr="00BC4B45">
        <w:rPr>
          <w:bCs w:val="0"/>
          <w:snapToGrid w:val="0"/>
          <w:kern w:val="22"/>
          <w:szCs w:val="22"/>
          <w:lang w:val="fr-CA"/>
        </w:rPr>
        <w:t>s protégées et autres mesures de conservation efficaces</w:t>
      </w:r>
      <w:r>
        <w:rPr>
          <w:bCs w:val="0"/>
          <w:snapToGrid w:val="0"/>
          <w:kern w:val="22"/>
          <w:szCs w:val="22"/>
          <w:lang w:val="fr-CA"/>
        </w:rPr>
        <w:t xml:space="preserve"> par zone</w:t>
      </w:r>
      <w:bookmarkEnd w:id="17"/>
      <w:bookmarkEnd w:id="18"/>
      <w:r w:rsidRPr="00BC4B45">
        <w:rPr>
          <w:bCs w:val="0"/>
          <w:snapToGrid w:val="0"/>
          <w:kern w:val="22"/>
          <w:szCs w:val="22"/>
          <w:lang w:val="fr-CA"/>
        </w:rPr>
        <w:t xml:space="preserve"> </w:t>
      </w:r>
    </w:p>
    <w:p w:rsidR="009F6935" w:rsidRPr="00AF5B6D" w:rsidRDefault="009F6935" w:rsidP="009F6935">
      <w:pPr>
        <w:pStyle w:val="Para1"/>
        <w:keepNext/>
        <w:numPr>
          <w:ilvl w:val="0"/>
          <w:numId w:val="0"/>
        </w:numPr>
        <w:suppressLineNumbers/>
        <w:suppressAutoHyphens/>
        <w:kinsoku w:val="0"/>
        <w:overflowPunct w:val="0"/>
        <w:autoSpaceDE w:val="0"/>
        <w:autoSpaceDN w:val="0"/>
        <w:spacing w:after="240"/>
        <w:ind w:firstLine="810"/>
        <w:rPr>
          <w:i/>
          <w:kern w:val="22"/>
          <w:szCs w:val="22"/>
          <w:lang w:val="fr-CA"/>
        </w:rPr>
      </w:pPr>
      <w:r w:rsidRPr="00AF5B6D">
        <w:rPr>
          <w:i/>
          <w:kern w:val="22"/>
          <w:szCs w:val="22"/>
          <w:lang w:val="fr-CA"/>
        </w:rPr>
        <w:t xml:space="preserve">L’Organe subsidiaire chargé de fournir des avis scientifiques, techniques et technologiques  </w:t>
      </w:r>
    </w:p>
    <w:p w:rsidR="009F6935" w:rsidRDefault="009F6935" w:rsidP="00004EAF">
      <w:pPr>
        <w:pStyle w:val="Para1"/>
        <w:numPr>
          <w:ilvl w:val="3"/>
          <w:numId w:val="13"/>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Se félicite</w:t>
      </w:r>
      <w:r w:rsidRPr="00AF5B6D">
        <w:rPr>
          <w:i/>
          <w:kern w:val="22"/>
          <w:szCs w:val="22"/>
          <w:lang w:val="fr-CA"/>
        </w:rPr>
        <w:t xml:space="preserve"> </w:t>
      </w:r>
      <w:r w:rsidRPr="00AF5B6D">
        <w:rPr>
          <w:kern w:val="22"/>
          <w:szCs w:val="22"/>
          <w:lang w:val="fr-CA"/>
        </w:rPr>
        <w:t xml:space="preserve">des orientations facultatives sur l’intégration des aires protégées et autres mesures de conservation </w:t>
      </w:r>
      <w:r>
        <w:rPr>
          <w:kern w:val="22"/>
          <w:szCs w:val="22"/>
          <w:lang w:val="fr-CA"/>
        </w:rPr>
        <w:t>efficaces par zo</w:t>
      </w:r>
      <w:r w:rsidRPr="00AF5B6D">
        <w:rPr>
          <w:kern w:val="22"/>
          <w:szCs w:val="22"/>
          <w:lang w:val="fr-CA"/>
        </w:rPr>
        <w:t>ne dans les paysages terrestres et marins plus vastes et l’intégration dan</w:t>
      </w:r>
      <w:r>
        <w:rPr>
          <w:kern w:val="22"/>
          <w:szCs w:val="22"/>
          <w:lang w:val="fr-CA"/>
        </w:rPr>
        <w:t>s tous les secteurs, ainsi que de</w:t>
      </w:r>
      <w:r w:rsidRPr="00AF5B6D">
        <w:rPr>
          <w:kern w:val="22"/>
          <w:szCs w:val="22"/>
          <w:lang w:val="fr-CA"/>
        </w:rPr>
        <w:t>s orientations facultatives sur la gouvernance et l’équité</w:t>
      </w:r>
      <w:r>
        <w:rPr>
          <w:kern w:val="22"/>
          <w:szCs w:val="22"/>
          <w:lang w:val="fr-CA"/>
        </w:rPr>
        <w:t>, figurant</w:t>
      </w:r>
      <w:r w:rsidRPr="00AF5B6D">
        <w:rPr>
          <w:kern w:val="22"/>
          <w:szCs w:val="22"/>
          <w:lang w:val="fr-CA"/>
        </w:rPr>
        <w:t xml:space="preserve"> respectivement </w:t>
      </w:r>
      <w:r>
        <w:rPr>
          <w:kern w:val="22"/>
          <w:szCs w:val="22"/>
          <w:lang w:val="fr-CA"/>
        </w:rPr>
        <w:t>aux annexes I et II de</w:t>
      </w:r>
      <w:r w:rsidRPr="00AF5B6D">
        <w:rPr>
          <w:kern w:val="22"/>
          <w:szCs w:val="22"/>
          <w:lang w:val="fr-CA"/>
        </w:rPr>
        <w:t xml:space="preserve"> la présente recommandation</w:t>
      </w:r>
      <w:r>
        <w:rPr>
          <w:kern w:val="22"/>
          <w:szCs w:val="22"/>
          <w:lang w:val="fr-CA"/>
        </w:rPr>
        <w:t>;</w:t>
      </w:r>
    </w:p>
    <w:p w:rsidR="009F6935" w:rsidRDefault="009F6935" w:rsidP="00004EAF">
      <w:pPr>
        <w:pStyle w:val="Para1"/>
        <w:numPr>
          <w:ilvl w:val="3"/>
          <w:numId w:val="13"/>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 xml:space="preserve">Adopte </w:t>
      </w:r>
      <w:r w:rsidRPr="009E3119">
        <w:rPr>
          <w:kern w:val="22"/>
          <w:szCs w:val="22"/>
          <w:lang w:val="fr-CA"/>
        </w:rPr>
        <w:t>la définition ci-après des</w:t>
      </w:r>
      <w:r>
        <w:rPr>
          <w:kern w:val="22"/>
          <w:szCs w:val="22"/>
          <w:lang w:val="fr-CA"/>
        </w:rPr>
        <w:t xml:space="preserve"> « autres mesures de conservation efficaces par zone » :</w:t>
      </w:r>
    </w:p>
    <w:p w:rsidR="009F6935" w:rsidRPr="00E5596D" w:rsidRDefault="009F6935" w:rsidP="009F6935">
      <w:pPr>
        <w:pStyle w:val="Para1"/>
        <w:numPr>
          <w:ilvl w:val="0"/>
          <w:numId w:val="0"/>
        </w:numPr>
        <w:suppressLineNumbers/>
        <w:suppressAutoHyphens/>
        <w:kinsoku w:val="0"/>
        <w:overflowPunct w:val="0"/>
        <w:autoSpaceDE w:val="0"/>
        <w:autoSpaceDN w:val="0"/>
        <w:spacing w:before="0"/>
        <w:ind w:left="810"/>
        <w:rPr>
          <w:i/>
          <w:kern w:val="22"/>
          <w:szCs w:val="22"/>
          <w:lang w:val="fr-CA"/>
        </w:rPr>
      </w:pPr>
      <w:r>
        <w:rPr>
          <w:kern w:val="22"/>
          <w:szCs w:val="22"/>
          <w:lang w:val="fr-CA"/>
        </w:rPr>
        <w:t xml:space="preserve">« Autre mesure de conservation efficace par zone » signifie « une zone géographiquement délimitée, autre qu’une aire protégée, qui est réglementée et gérée de façon à obtenir des résultats positifs et durables à long terme pour la conservation </w:t>
      </w:r>
      <w:r w:rsidRPr="00FF70A4">
        <w:rPr>
          <w:i/>
          <w:kern w:val="22"/>
          <w:szCs w:val="22"/>
          <w:lang w:val="fr-CA"/>
        </w:rPr>
        <w:t>in situ</w:t>
      </w:r>
      <w:r>
        <w:rPr>
          <w:kern w:val="22"/>
          <w:szCs w:val="22"/>
          <w:lang w:val="fr-CA"/>
        </w:rPr>
        <w:t xml:space="preserve"> de la diversité biologique</w:t>
      </w:r>
      <w:r w:rsidRPr="0005076E">
        <w:rPr>
          <w:rStyle w:val="FootnoteReference"/>
          <w:kern w:val="22"/>
          <w:sz w:val="20"/>
          <w:szCs w:val="20"/>
          <w:u w:val="none"/>
          <w:vertAlign w:val="superscript"/>
          <w:lang w:val="fr-CA"/>
        </w:rPr>
        <w:footnoteReference w:id="34"/>
      </w:r>
      <w:r w:rsidRPr="00E5596D">
        <w:rPr>
          <w:kern w:val="22"/>
          <w:szCs w:val="22"/>
          <w:lang w:val="fr-CA"/>
        </w:rPr>
        <w:t>,</w:t>
      </w:r>
      <w:r>
        <w:rPr>
          <w:kern w:val="22"/>
          <w:szCs w:val="22"/>
          <w:lang w:val="fr-CA"/>
        </w:rPr>
        <w:t xml:space="preserve"> y compris des fonctions et services écosystémiques connexes et, le cas échéant, des valeurs culturelles, spirituelles, socioéconomiques et d’autres valeurs pertinentes localement »; </w:t>
      </w:r>
      <w:r w:rsidRPr="00E5596D">
        <w:rPr>
          <w:i/>
          <w:kern w:val="22"/>
          <w:szCs w:val="22"/>
          <w:lang w:val="fr-CA"/>
        </w:rPr>
        <w:t xml:space="preserve">      </w:t>
      </w:r>
    </w:p>
    <w:p w:rsidR="009F6935" w:rsidRDefault="009F6935" w:rsidP="00004EAF">
      <w:pPr>
        <w:pStyle w:val="Para1"/>
        <w:numPr>
          <w:ilvl w:val="3"/>
          <w:numId w:val="13"/>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Se félicite</w:t>
      </w:r>
      <w:r w:rsidRPr="00AF5B6D">
        <w:rPr>
          <w:i/>
          <w:kern w:val="22"/>
          <w:szCs w:val="22"/>
          <w:lang w:val="fr-CA"/>
        </w:rPr>
        <w:t xml:space="preserve"> </w:t>
      </w:r>
      <w:r>
        <w:rPr>
          <w:kern w:val="22"/>
          <w:szCs w:val="22"/>
          <w:lang w:val="fr-CA"/>
        </w:rPr>
        <w:t xml:space="preserve">de l’avis scientifique et technique sur </w:t>
      </w:r>
      <w:r w:rsidRPr="00AF5B6D">
        <w:rPr>
          <w:kern w:val="22"/>
          <w:szCs w:val="22"/>
          <w:lang w:val="fr-CA"/>
        </w:rPr>
        <w:t>d’autres mesures de conservation efficaces par zone</w:t>
      </w:r>
      <w:r>
        <w:rPr>
          <w:kern w:val="22"/>
          <w:szCs w:val="22"/>
          <w:lang w:val="fr-CA"/>
        </w:rPr>
        <w:t>, figurant à l’annexe III de la présente</w:t>
      </w:r>
      <w:r w:rsidRPr="00AF5B6D">
        <w:rPr>
          <w:kern w:val="22"/>
          <w:szCs w:val="22"/>
          <w:lang w:val="fr-CA"/>
        </w:rPr>
        <w:t xml:space="preserve"> </w:t>
      </w:r>
      <w:r>
        <w:rPr>
          <w:kern w:val="22"/>
          <w:szCs w:val="22"/>
          <w:lang w:val="fr-CA"/>
        </w:rPr>
        <w:t>recommandation, qu’il convient d’appliquer d’une manière souple et au cas par cas;</w:t>
      </w:r>
    </w:p>
    <w:p w:rsidR="009F6935" w:rsidRDefault="009F6935" w:rsidP="00004EAF">
      <w:pPr>
        <w:pStyle w:val="Para1"/>
        <w:numPr>
          <w:ilvl w:val="3"/>
          <w:numId w:val="13"/>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 xml:space="preserve">Se félicite également </w:t>
      </w:r>
      <w:r>
        <w:rPr>
          <w:kern w:val="22"/>
          <w:szCs w:val="22"/>
          <w:lang w:val="fr-CA"/>
        </w:rPr>
        <w:t>des travaux menés par</w:t>
      </w:r>
      <w:r w:rsidRPr="00E5596D">
        <w:rPr>
          <w:kern w:val="22"/>
          <w:szCs w:val="22"/>
          <w:lang w:val="fr-CA"/>
        </w:rPr>
        <w:t xml:space="preserve"> l’Union internationale pour la conservation de la nature et </w:t>
      </w:r>
      <w:r>
        <w:rPr>
          <w:kern w:val="22"/>
          <w:szCs w:val="22"/>
          <w:lang w:val="fr-CA"/>
        </w:rPr>
        <w:t xml:space="preserve">par </w:t>
      </w:r>
      <w:r w:rsidRPr="00E5596D">
        <w:rPr>
          <w:kern w:val="22"/>
          <w:szCs w:val="22"/>
          <w:lang w:val="fr-CA"/>
        </w:rPr>
        <w:t>d’autres organismes spécialisés</w:t>
      </w:r>
      <w:r>
        <w:rPr>
          <w:kern w:val="22"/>
          <w:szCs w:val="22"/>
          <w:lang w:val="fr-CA"/>
        </w:rPr>
        <w:t xml:space="preserve"> pour contribuer à rendre opérationnel le concept d’autres mesures de conservation efficaces par zone;</w:t>
      </w:r>
    </w:p>
    <w:p w:rsidR="009F6935" w:rsidRDefault="009F6935" w:rsidP="00004EAF">
      <w:pPr>
        <w:pStyle w:val="Para1"/>
        <w:numPr>
          <w:ilvl w:val="3"/>
          <w:numId w:val="13"/>
        </w:numPr>
        <w:suppressLineNumbers/>
        <w:suppressAutoHyphens/>
        <w:kinsoku w:val="0"/>
        <w:overflowPunct w:val="0"/>
        <w:autoSpaceDE w:val="0"/>
        <w:autoSpaceDN w:val="0"/>
        <w:spacing w:before="0"/>
        <w:ind w:left="0" w:firstLine="810"/>
        <w:rPr>
          <w:kern w:val="22"/>
          <w:szCs w:val="22"/>
          <w:lang w:val="fr-CA"/>
        </w:rPr>
      </w:pPr>
      <w:r>
        <w:rPr>
          <w:i/>
          <w:kern w:val="22"/>
          <w:szCs w:val="22"/>
          <w:lang w:val="fr-CA"/>
        </w:rPr>
        <w:t xml:space="preserve">Prend note </w:t>
      </w:r>
      <w:r>
        <w:rPr>
          <w:kern w:val="22"/>
          <w:szCs w:val="22"/>
          <w:lang w:val="fr-CA"/>
        </w:rPr>
        <w:t>des considérations à prendre en compte pour atteindre l’Objectif 11 d’Aichi pour la biodiversité dans les aires marines et côtières, figurant à l’annexe IV de la présente recommandation;</w:t>
      </w:r>
      <w:r>
        <w:rPr>
          <w:i/>
          <w:kern w:val="22"/>
          <w:szCs w:val="22"/>
          <w:lang w:val="fr-CA"/>
        </w:rPr>
        <w:t xml:space="preserve"> </w:t>
      </w:r>
    </w:p>
    <w:p w:rsidR="009F6935" w:rsidRPr="008C0900" w:rsidRDefault="009F6935" w:rsidP="00004EAF">
      <w:pPr>
        <w:pStyle w:val="Para1"/>
        <w:numPr>
          <w:ilvl w:val="3"/>
          <w:numId w:val="13"/>
        </w:numPr>
        <w:suppressLineNumbers/>
        <w:suppressAutoHyphens/>
        <w:kinsoku w:val="0"/>
        <w:overflowPunct w:val="0"/>
        <w:autoSpaceDE w:val="0"/>
        <w:autoSpaceDN w:val="0"/>
        <w:spacing w:before="0" w:after="240"/>
        <w:ind w:left="0" w:firstLine="810"/>
        <w:rPr>
          <w:kern w:val="22"/>
          <w:szCs w:val="22"/>
          <w:lang w:val="fr-CA"/>
        </w:rPr>
      </w:pPr>
      <w:r w:rsidRPr="008C0900">
        <w:rPr>
          <w:i/>
          <w:kern w:val="22"/>
          <w:szCs w:val="22"/>
          <w:lang w:val="fr-CA"/>
        </w:rPr>
        <w:t>Recommande</w:t>
      </w:r>
      <w:r w:rsidRPr="008C0900">
        <w:rPr>
          <w:kern w:val="22"/>
          <w:szCs w:val="22"/>
          <w:lang w:val="fr-CA"/>
        </w:rPr>
        <w:t xml:space="preserve"> que la Conférence des Parties</w:t>
      </w:r>
      <w:r>
        <w:rPr>
          <w:kern w:val="22"/>
          <w:szCs w:val="22"/>
          <w:lang w:val="fr-CA"/>
        </w:rPr>
        <w:t xml:space="preserve"> adopte</w:t>
      </w:r>
      <w:r w:rsidRPr="008C0900">
        <w:rPr>
          <w:kern w:val="22"/>
          <w:szCs w:val="22"/>
          <w:lang w:val="fr-CA"/>
        </w:rPr>
        <w:t xml:space="preserve">, </w:t>
      </w:r>
      <w:r>
        <w:rPr>
          <w:kern w:val="22"/>
          <w:szCs w:val="22"/>
          <w:lang w:val="fr-CA"/>
        </w:rPr>
        <w:t>à sa quatorzième réunion,</w:t>
      </w:r>
      <w:r w:rsidRPr="008C0900">
        <w:rPr>
          <w:kern w:val="22"/>
          <w:szCs w:val="22"/>
          <w:lang w:val="fr-CA"/>
        </w:rPr>
        <w:t xml:space="preserve"> une </w:t>
      </w:r>
      <w:r>
        <w:rPr>
          <w:kern w:val="22"/>
          <w:szCs w:val="22"/>
          <w:lang w:val="fr-CA"/>
        </w:rPr>
        <w:t xml:space="preserve">décision libellée comme </w:t>
      </w:r>
      <w:r w:rsidRPr="008C0900">
        <w:rPr>
          <w:kern w:val="22"/>
          <w:szCs w:val="22"/>
          <w:lang w:val="fr-CA"/>
        </w:rPr>
        <w:t>suit :</w:t>
      </w:r>
    </w:p>
    <w:p w:rsidR="009F6935" w:rsidRPr="00AF5B6D" w:rsidRDefault="009F6935" w:rsidP="009F6935">
      <w:pPr>
        <w:pStyle w:val="Para1"/>
        <w:keepNext/>
        <w:numPr>
          <w:ilvl w:val="0"/>
          <w:numId w:val="0"/>
        </w:numPr>
        <w:suppressLineNumbers/>
        <w:suppressAutoHyphens/>
        <w:kinsoku w:val="0"/>
        <w:overflowPunct w:val="0"/>
        <w:autoSpaceDE w:val="0"/>
        <w:autoSpaceDN w:val="0"/>
        <w:spacing w:before="0"/>
        <w:ind w:left="720" w:firstLine="720"/>
        <w:rPr>
          <w:i/>
          <w:kern w:val="22"/>
          <w:szCs w:val="22"/>
          <w:lang w:val="fr-CA"/>
        </w:rPr>
      </w:pPr>
      <w:r w:rsidRPr="00AF5B6D">
        <w:rPr>
          <w:i/>
          <w:kern w:val="22"/>
          <w:szCs w:val="22"/>
          <w:lang w:val="fr-CA"/>
        </w:rPr>
        <w:t xml:space="preserve">La Conférence des Parties </w:t>
      </w:r>
    </w:p>
    <w:p w:rsidR="009F6935" w:rsidRPr="00AF5B6D"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1.</w:t>
      </w:r>
      <w:r w:rsidRPr="00AF5B6D">
        <w:rPr>
          <w:kern w:val="22"/>
          <w:szCs w:val="22"/>
          <w:lang w:val="fr-CA"/>
        </w:rPr>
        <w:tab/>
      </w:r>
      <w:r>
        <w:rPr>
          <w:i/>
          <w:kern w:val="22"/>
          <w:szCs w:val="22"/>
          <w:lang w:val="fr-CA"/>
        </w:rPr>
        <w:t>Se félicite</w:t>
      </w:r>
      <w:r w:rsidRPr="00AF5B6D">
        <w:rPr>
          <w:i/>
          <w:kern w:val="22"/>
          <w:szCs w:val="22"/>
          <w:lang w:val="fr-CA"/>
        </w:rPr>
        <w:t xml:space="preserve"> </w:t>
      </w:r>
      <w:r w:rsidRPr="00AF5B6D">
        <w:rPr>
          <w:kern w:val="22"/>
          <w:szCs w:val="22"/>
          <w:lang w:val="fr-CA"/>
        </w:rPr>
        <w:t xml:space="preserve">des orientations facultatives sur l’intégration des aires protégées et autres mesures de conservation </w:t>
      </w:r>
      <w:r>
        <w:rPr>
          <w:kern w:val="22"/>
          <w:szCs w:val="22"/>
          <w:lang w:val="fr-CA"/>
        </w:rPr>
        <w:t>efficaces</w:t>
      </w:r>
      <w:r w:rsidRPr="00AF5B6D">
        <w:rPr>
          <w:kern w:val="22"/>
          <w:szCs w:val="22"/>
          <w:lang w:val="fr-CA"/>
        </w:rPr>
        <w:t xml:space="preserve"> par zone dans les paysages terrestres et marins plus vastes et l’intégration dan</w:t>
      </w:r>
      <w:r>
        <w:rPr>
          <w:kern w:val="22"/>
          <w:szCs w:val="22"/>
          <w:lang w:val="fr-CA"/>
        </w:rPr>
        <w:t>s tous les secteurs, ainsi que d</w:t>
      </w:r>
      <w:r w:rsidRPr="00AF5B6D">
        <w:rPr>
          <w:kern w:val="22"/>
          <w:szCs w:val="22"/>
          <w:lang w:val="fr-CA"/>
        </w:rPr>
        <w:t>es o</w:t>
      </w:r>
      <w:r>
        <w:rPr>
          <w:kern w:val="22"/>
          <w:szCs w:val="22"/>
          <w:lang w:val="fr-CA"/>
        </w:rPr>
        <w:t xml:space="preserve">rientations facultatives sur la </w:t>
      </w:r>
      <w:r w:rsidRPr="00AF5B6D">
        <w:rPr>
          <w:kern w:val="22"/>
          <w:szCs w:val="22"/>
          <w:lang w:val="fr-CA"/>
        </w:rPr>
        <w:t>go</w:t>
      </w:r>
      <w:r>
        <w:rPr>
          <w:kern w:val="22"/>
          <w:szCs w:val="22"/>
          <w:lang w:val="fr-CA"/>
        </w:rPr>
        <w:t>uvernance et l’équité, figurant respectivement aux</w:t>
      </w:r>
      <w:r w:rsidRPr="00AF5B6D">
        <w:rPr>
          <w:kern w:val="22"/>
          <w:szCs w:val="22"/>
          <w:lang w:val="fr-CA"/>
        </w:rPr>
        <w:t xml:space="preserve"> annexes I et II </w:t>
      </w:r>
      <w:r>
        <w:rPr>
          <w:kern w:val="22"/>
          <w:szCs w:val="22"/>
          <w:lang w:val="fr-CA"/>
        </w:rPr>
        <w:t>du présent projet de décision</w:t>
      </w:r>
      <w:r w:rsidRPr="00AF5B6D">
        <w:rPr>
          <w:kern w:val="22"/>
          <w:szCs w:val="22"/>
          <w:lang w:val="fr-CA"/>
        </w:rPr>
        <w:t xml:space="preserve">; </w:t>
      </w:r>
    </w:p>
    <w:p w:rsidR="009F6935"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sidRPr="00AF5B6D">
        <w:rPr>
          <w:kern w:val="22"/>
          <w:szCs w:val="22"/>
          <w:lang w:val="fr-CA"/>
        </w:rPr>
        <w:t>2.</w:t>
      </w:r>
      <w:r w:rsidRPr="00AF5B6D">
        <w:rPr>
          <w:kern w:val="22"/>
          <w:szCs w:val="22"/>
          <w:lang w:val="fr-CA"/>
        </w:rPr>
        <w:tab/>
      </w:r>
      <w:r w:rsidRPr="00AF5B6D">
        <w:rPr>
          <w:i/>
          <w:kern w:val="22"/>
          <w:szCs w:val="22"/>
          <w:lang w:val="fr-CA"/>
        </w:rPr>
        <w:t xml:space="preserve">Adopte </w:t>
      </w:r>
      <w:r w:rsidRPr="00AF5B6D">
        <w:rPr>
          <w:kern w:val="22"/>
          <w:szCs w:val="22"/>
          <w:lang w:val="fr-CA"/>
        </w:rPr>
        <w:t>l</w:t>
      </w:r>
      <w:r>
        <w:rPr>
          <w:kern w:val="22"/>
          <w:szCs w:val="22"/>
          <w:lang w:val="fr-CA"/>
        </w:rPr>
        <w:t>a définition ci-après des « autres mesures de conservation efficaces par zone » :</w:t>
      </w:r>
    </w:p>
    <w:p w:rsidR="009F6935" w:rsidRPr="00320E40" w:rsidRDefault="009F6935" w:rsidP="009F6935">
      <w:pPr>
        <w:pStyle w:val="Para1"/>
        <w:numPr>
          <w:ilvl w:val="0"/>
          <w:numId w:val="0"/>
        </w:numPr>
        <w:suppressLineNumbers/>
        <w:suppressAutoHyphens/>
        <w:kinsoku w:val="0"/>
        <w:overflowPunct w:val="0"/>
        <w:autoSpaceDE w:val="0"/>
        <w:autoSpaceDN w:val="0"/>
        <w:spacing w:before="0"/>
        <w:ind w:left="810" w:firstLine="608"/>
        <w:rPr>
          <w:i/>
          <w:kern w:val="22"/>
          <w:szCs w:val="22"/>
          <w:lang w:val="fr-CA"/>
        </w:rPr>
      </w:pPr>
      <w:r>
        <w:rPr>
          <w:kern w:val="22"/>
          <w:szCs w:val="22"/>
          <w:lang w:val="fr-CA"/>
        </w:rPr>
        <w:t xml:space="preserve">« Autre mesure de conservation efficace par zone » signifie « une zone géographiquement délimitée, autre qu’une aire protégée, qui est réglementée et gérée de façon à obtenir des résultats positifs et durables à long terme pour la conservation </w:t>
      </w:r>
      <w:r w:rsidRPr="00FF70A4">
        <w:rPr>
          <w:i/>
          <w:kern w:val="22"/>
          <w:szCs w:val="22"/>
          <w:lang w:val="fr-CA"/>
        </w:rPr>
        <w:t>in situ</w:t>
      </w:r>
      <w:r>
        <w:rPr>
          <w:kern w:val="22"/>
          <w:szCs w:val="22"/>
          <w:lang w:val="fr-CA"/>
        </w:rPr>
        <w:t xml:space="preserve"> de la diversité biologique</w:t>
      </w:r>
      <w:r w:rsidRPr="0005076E">
        <w:rPr>
          <w:rStyle w:val="FootnoteReference"/>
          <w:kern w:val="22"/>
          <w:sz w:val="20"/>
          <w:szCs w:val="20"/>
          <w:u w:val="none"/>
          <w:vertAlign w:val="superscript"/>
          <w:lang w:val="fr-CA"/>
        </w:rPr>
        <w:footnoteReference w:id="35"/>
      </w:r>
      <w:r w:rsidRPr="00E5596D">
        <w:rPr>
          <w:kern w:val="22"/>
          <w:szCs w:val="22"/>
          <w:lang w:val="fr-CA"/>
        </w:rPr>
        <w:t>,</w:t>
      </w:r>
      <w:r>
        <w:rPr>
          <w:kern w:val="22"/>
          <w:szCs w:val="22"/>
          <w:lang w:val="fr-CA"/>
        </w:rPr>
        <w:t xml:space="preserve"> y compris des fonctions et services écosystémiques connexes et, le cas échéant, des valeurs culturelles, spirituelles, socioéconomiques et d’autres valeurs pertinentes localement »; </w:t>
      </w:r>
      <w:r w:rsidRPr="00E5596D">
        <w:rPr>
          <w:i/>
          <w:kern w:val="22"/>
          <w:szCs w:val="22"/>
          <w:lang w:val="fr-CA"/>
        </w:rPr>
        <w:t xml:space="preserve">      </w:t>
      </w:r>
    </w:p>
    <w:p w:rsidR="009F6935" w:rsidRPr="008C0900"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3.</w:t>
      </w:r>
      <w:r>
        <w:rPr>
          <w:kern w:val="22"/>
          <w:szCs w:val="22"/>
          <w:lang w:val="fr-CA"/>
        </w:rPr>
        <w:tab/>
      </w:r>
      <w:r>
        <w:rPr>
          <w:i/>
          <w:kern w:val="22"/>
          <w:szCs w:val="22"/>
          <w:lang w:val="fr-CA"/>
        </w:rPr>
        <w:t>Se félicite</w:t>
      </w:r>
      <w:r>
        <w:rPr>
          <w:kern w:val="22"/>
          <w:szCs w:val="22"/>
          <w:lang w:val="fr-CA"/>
        </w:rPr>
        <w:t xml:space="preserve"> de l’avis scientifique et technique sur </w:t>
      </w:r>
      <w:r w:rsidRPr="00AF5B6D">
        <w:rPr>
          <w:kern w:val="22"/>
          <w:szCs w:val="22"/>
          <w:lang w:val="fr-CA"/>
        </w:rPr>
        <w:t>d’autres mesures de conservation efficaces par zone</w:t>
      </w:r>
      <w:r>
        <w:rPr>
          <w:kern w:val="22"/>
          <w:szCs w:val="22"/>
          <w:lang w:val="fr-CA"/>
        </w:rPr>
        <w:t>, figurant à l’annexe III du présent projet de</w:t>
      </w:r>
      <w:r w:rsidRPr="00AF5B6D">
        <w:rPr>
          <w:kern w:val="22"/>
          <w:szCs w:val="22"/>
          <w:lang w:val="fr-CA"/>
        </w:rPr>
        <w:t xml:space="preserve"> décision</w:t>
      </w:r>
      <w:r>
        <w:rPr>
          <w:kern w:val="22"/>
          <w:szCs w:val="22"/>
          <w:lang w:val="fr-CA"/>
        </w:rPr>
        <w:t>, qu’il convient d’appliquer d’une manière souple et au cas par cas</w:t>
      </w:r>
      <w:r w:rsidRPr="00AF5B6D">
        <w:rPr>
          <w:kern w:val="22"/>
          <w:szCs w:val="22"/>
          <w:lang w:val="fr-CA"/>
        </w:rPr>
        <w:t>;</w:t>
      </w:r>
      <w:r w:rsidRPr="00AF5B6D">
        <w:rPr>
          <w:kern w:val="22"/>
          <w:szCs w:val="22"/>
          <w:vertAlign w:val="superscript"/>
          <w:lang w:val="fr-CA"/>
        </w:rPr>
        <w:t xml:space="preserve"> </w:t>
      </w:r>
      <w:r w:rsidRPr="00AF5B6D">
        <w:rPr>
          <w:kern w:val="22"/>
          <w:szCs w:val="22"/>
          <w:vertAlign w:val="superscript"/>
          <w:lang w:val="fr-CA"/>
        </w:rPr>
        <w:fldChar w:fldCharType="begin"/>
      </w:r>
      <w:r w:rsidRPr="00AF5B6D">
        <w:rPr>
          <w:kern w:val="22"/>
          <w:szCs w:val="22"/>
          <w:vertAlign w:val="superscript"/>
          <w:lang w:val="fr-CA"/>
        </w:rPr>
        <w:instrText xml:space="preserve"> NOTEREF _GoBack \h  \* MERGEFORMAT </w:instrText>
      </w:r>
      <w:r w:rsidRPr="00AF5B6D">
        <w:rPr>
          <w:kern w:val="22"/>
          <w:szCs w:val="22"/>
          <w:vertAlign w:val="superscript"/>
          <w:lang w:val="fr-CA"/>
        </w:rPr>
      </w:r>
      <w:r w:rsidRPr="00AF5B6D">
        <w:rPr>
          <w:kern w:val="22"/>
          <w:szCs w:val="22"/>
          <w:vertAlign w:val="superscript"/>
          <w:lang w:val="fr-CA"/>
        </w:rPr>
        <w:fldChar w:fldCharType="end"/>
      </w:r>
    </w:p>
    <w:p w:rsidR="009F6935" w:rsidRPr="00AF5B6D"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4</w:t>
      </w:r>
      <w:r w:rsidRPr="00AF5B6D">
        <w:rPr>
          <w:kern w:val="22"/>
          <w:szCs w:val="22"/>
          <w:lang w:val="fr-CA"/>
        </w:rPr>
        <w:t>.</w:t>
      </w:r>
      <w:r w:rsidRPr="00AF5B6D">
        <w:rPr>
          <w:kern w:val="22"/>
          <w:szCs w:val="22"/>
          <w:lang w:val="fr-CA"/>
        </w:rPr>
        <w:tab/>
      </w:r>
      <w:r>
        <w:rPr>
          <w:i/>
          <w:kern w:val="22"/>
          <w:szCs w:val="22"/>
          <w:lang w:val="fr-CA"/>
        </w:rPr>
        <w:t>Encourag</w:t>
      </w:r>
      <w:r w:rsidRPr="00AF5B6D">
        <w:rPr>
          <w:i/>
          <w:kern w:val="22"/>
          <w:szCs w:val="22"/>
          <w:lang w:val="fr-CA"/>
        </w:rPr>
        <w:t xml:space="preserve">e </w:t>
      </w:r>
      <w:r w:rsidRPr="00AF5B6D">
        <w:rPr>
          <w:kern w:val="22"/>
          <w:szCs w:val="22"/>
          <w:lang w:val="fr-CA"/>
        </w:rPr>
        <w:t>les Parties</w:t>
      </w:r>
      <w:r>
        <w:rPr>
          <w:kern w:val="22"/>
          <w:szCs w:val="22"/>
          <w:lang w:val="fr-CA"/>
        </w:rPr>
        <w:t xml:space="preserve"> et </w:t>
      </w:r>
      <w:r w:rsidRPr="00320E40">
        <w:rPr>
          <w:i/>
          <w:kern w:val="22"/>
          <w:szCs w:val="22"/>
          <w:lang w:val="fr-CA"/>
        </w:rPr>
        <w:t>invite</w:t>
      </w:r>
      <w:r>
        <w:rPr>
          <w:kern w:val="22"/>
          <w:szCs w:val="22"/>
          <w:lang w:val="fr-CA"/>
        </w:rPr>
        <w:t xml:space="preserve"> les autres gouvernements et les organisations compétentes, en collaboration avec les peuples autochtones et les communautés locales, à </w:t>
      </w:r>
      <w:r w:rsidRPr="00AF5B6D">
        <w:rPr>
          <w:kern w:val="22"/>
          <w:szCs w:val="22"/>
          <w:lang w:val="fr-CA"/>
        </w:rPr>
        <w:t>appliquer les orientations facultatives</w:t>
      </w:r>
      <w:r>
        <w:rPr>
          <w:kern w:val="22"/>
          <w:szCs w:val="22"/>
          <w:lang w:val="fr-CA"/>
        </w:rPr>
        <w:t xml:space="preserve"> contenues aux annexes I et II, portant</w:t>
      </w:r>
      <w:r w:rsidRPr="00AF5B6D">
        <w:rPr>
          <w:kern w:val="22"/>
          <w:szCs w:val="22"/>
          <w:lang w:val="fr-CA"/>
        </w:rPr>
        <w:t xml:space="preserve"> sur l’intégration, la </w:t>
      </w:r>
      <w:r w:rsidRPr="00AF5B6D">
        <w:rPr>
          <w:kern w:val="22"/>
          <w:szCs w:val="22"/>
          <w:lang w:val="fr-CA"/>
        </w:rPr>
        <w:lastRenderedPageBreak/>
        <w:t xml:space="preserve">gouvernance et l’équité des aires protégées et autres mesures de conservation </w:t>
      </w:r>
      <w:r>
        <w:rPr>
          <w:kern w:val="22"/>
          <w:szCs w:val="22"/>
          <w:lang w:val="fr-CA"/>
        </w:rPr>
        <w:t>efficaces</w:t>
      </w:r>
      <w:r w:rsidRPr="00AF5B6D">
        <w:rPr>
          <w:kern w:val="22"/>
          <w:szCs w:val="22"/>
          <w:lang w:val="fr-CA"/>
        </w:rPr>
        <w:t xml:space="preserve"> par zone, selon qu’il convient, </w:t>
      </w:r>
      <w:r>
        <w:rPr>
          <w:kern w:val="22"/>
          <w:szCs w:val="22"/>
          <w:lang w:val="fr-CA"/>
        </w:rPr>
        <w:t>en fonction des</w:t>
      </w:r>
      <w:r w:rsidRPr="00AF5B6D">
        <w:rPr>
          <w:kern w:val="22"/>
          <w:szCs w:val="22"/>
          <w:lang w:val="fr-CA"/>
        </w:rPr>
        <w:t xml:space="preserve"> circonstances</w:t>
      </w:r>
      <w:r>
        <w:rPr>
          <w:kern w:val="22"/>
          <w:szCs w:val="22"/>
          <w:lang w:val="fr-CA"/>
        </w:rPr>
        <w:t xml:space="preserve"> et de la législation</w:t>
      </w:r>
      <w:r w:rsidRPr="00AF5B6D">
        <w:rPr>
          <w:kern w:val="22"/>
          <w:szCs w:val="22"/>
          <w:lang w:val="fr-CA"/>
        </w:rPr>
        <w:t xml:space="preserve"> nationales, </w:t>
      </w:r>
      <w:r>
        <w:rPr>
          <w:kern w:val="22"/>
          <w:szCs w:val="22"/>
          <w:lang w:val="fr-CA"/>
        </w:rPr>
        <w:t>et de manière compatible et en harmonie avec les dispositions de la Convention et d’autres obligations internationales en vigueur</w:t>
      </w:r>
      <w:r w:rsidRPr="00AF5B6D">
        <w:rPr>
          <w:kern w:val="22"/>
          <w:szCs w:val="22"/>
          <w:lang w:val="fr-CA"/>
        </w:rPr>
        <w:t>;</w:t>
      </w:r>
    </w:p>
    <w:p w:rsidR="009F6935" w:rsidRPr="00AF5B6D"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5</w:t>
      </w:r>
      <w:r w:rsidRPr="00AF5B6D">
        <w:rPr>
          <w:kern w:val="22"/>
          <w:szCs w:val="22"/>
          <w:lang w:val="fr-CA"/>
        </w:rPr>
        <w:t>.</w:t>
      </w:r>
      <w:r w:rsidRPr="00AF5B6D">
        <w:rPr>
          <w:kern w:val="22"/>
          <w:szCs w:val="22"/>
          <w:lang w:val="fr-CA"/>
        </w:rPr>
        <w:tab/>
      </w:r>
      <w:r>
        <w:rPr>
          <w:i/>
          <w:kern w:val="22"/>
          <w:szCs w:val="22"/>
          <w:lang w:val="fr-CA"/>
        </w:rPr>
        <w:t>Encourag</w:t>
      </w:r>
      <w:r w:rsidRPr="00AF5B6D">
        <w:rPr>
          <w:i/>
          <w:kern w:val="22"/>
          <w:szCs w:val="22"/>
          <w:lang w:val="fr-CA"/>
        </w:rPr>
        <w:t xml:space="preserve">e </w:t>
      </w:r>
      <w:r w:rsidRPr="00AF5B6D">
        <w:rPr>
          <w:kern w:val="22"/>
          <w:szCs w:val="22"/>
          <w:lang w:val="fr-CA"/>
        </w:rPr>
        <w:t>les Parties</w:t>
      </w:r>
      <w:r>
        <w:rPr>
          <w:kern w:val="22"/>
          <w:szCs w:val="22"/>
          <w:lang w:val="fr-CA"/>
        </w:rPr>
        <w:t xml:space="preserve"> et</w:t>
      </w:r>
      <w:r w:rsidRPr="00320E40">
        <w:rPr>
          <w:kern w:val="22"/>
          <w:szCs w:val="22"/>
          <w:lang w:val="fr-CA"/>
        </w:rPr>
        <w:t xml:space="preserve"> </w:t>
      </w:r>
      <w:r w:rsidRPr="00320E40">
        <w:rPr>
          <w:i/>
          <w:kern w:val="22"/>
          <w:szCs w:val="22"/>
          <w:lang w:val="fr-CA"/>
        </w:rPr>
        <w:t>invite</w:t>
      </w:r>
      <w:r>
        <w:rPr>
          <w:kern w:val="22"/>
          <w:szCs w:val="22"/>
          <w:lang w:val="fr-CA"/>
        </w:rPr>
        <w:t xml:space="preserve"> les autres gouvernements et les organisations compétentes, en collaboration avec les peuples autochtones et les communautés locales, à appliquer l’avis scientifique et technique</w:t>
      </w:r>
      <w:r w:rsidRPr="00AF5B6D">
        <w:rPr>
          <w:kern w:val="22"/>
          <w:szCs w:val="22"/>
          <w:lang w:val="fr-CA"/>
        </w:rPr>
        <w:t xml:space="preserve"> </w:t>
      </w:r>
      <w:r>
        <w:rPr>
          <w:kern w:val="22"/>
          <w:szCs w:val="22"/>
          <w:lang w:val="fr-CA"/>
        </w:rPr>
        <w:t xml:space="preserve">sur </w:t>
      </w:r>
      <w:r w:rsidRPr="00AF5B6D">
        <w:rPr>
          <w:kern w:val="22"/>
          <w:szCs w:val="22"/>
          <w:lang w:val="fr-CA"/>
        </w:rPr>
        <w:t xml:space="preserve">d’autres mesures de conservation </w:t>
      </w:r>
      <w:r>
        <w:rPr>
          <w:kern w:val="22"/>
          <w:szCs w:val="22"/>
          <w:lang w:val="fr-CA"/>
        </w:rPr>
        <w:t>efficaces</w:t>
      </w:r>
      <w:r w:rsidRPr="00AF5B6D">
        <w:rPr>
          <w:kern w:val="22"/>
          <w:szCs w:val="22"/>
          <w:lang w:val="fr-CA"/>
        </w:rPr>
        <w:t xml:space="preserve"> par zone</w:t>
      </w:r>
      <w:r>
        <w:rPr>
          <w:kern w:val="22"/>
          <w:szCs w:val="22"/>
          <w:lang w:val="fr-CA"/>
        </w:rPr>
        <w:t xml:space="preserve"> figurant à l’annexe III</w:t>
      </w:r>
      <w:r w:rsidRPr="00AF5B6D">
        <w:rPr>
          <w:kern w:val="22"/>
          <w:szCs w:val="22"/>
          <w:lang w:val="fr-CA"/>
        </w:rPr>
        <w:t>,</w:t>
      </w:r>
      <w:r>
        <w:rPr>
          <w:kern w:val="22"/>
          <w:szCs w:val="22"/>
          <w:lang w:val="fr-CA"/>
        </w:rPr>
        <w:t xml:space="preserve"> compte tenu également, selon qu’il convient, du rapport de 2016 établi par le Rapporteur spécial sur les droits des peuples autochtones</w:t>
      </w:r>
      <w:r w:rsidRPr="0062227D">
        <w:rPr>
          <w:kern w:val="22"/>
          <w:szCs w:val="22"/>
          <w:lang w:val="fr-CA"/>
        </w:rPr>
        <w:t xml:space="preserve"> </w:t>
      </w:r>
      <w:r>
        <w:rPr>
          <w:kern w:val="22"/>
          <w:szCs w:val="22"/>
          <w:lang w:val="fr-CA"/>
        </w:rPr>
        <w:t>de l’Organisation des Nations Unies concernant « les peuples autochtones et la conservation »</w:t>
      </w:r>
      <w:r w:rsidRPr="00FA2BE7">
        <w:rPr>
          <w:rStyle w:val="FootnoteReference"/>
          <w:kern w:val="22"/>
          <w:sz w:val="20"/>
          <w:szCs w:val="20"/>
          <w:vertAlign w:val="superscript"/>
          <w:lang w:val="fr-CA"/>
        </w:rPr>
        <w:footnoteReference w:id="36"/>
      </w:r>
      <w:r w:rsidRPr="00FA2BE7">
        <w:rPr>
          <w:kern w:val="22"/>
          <w:sz w:val="20"/>
          <w:szCs w:val="20"/>
          <w:lang w:val="fr-CA"/>
        </w:rPr>
        <w:t xml:space="preserve"> </w:t>
      </w:r>
      <w:r>
        <w:rPr>
          <w:kern w:val="22"/>
          <w:szCs w:val="22"/>
          <w:lang w:val="fr-CA"/>
        </w:rPr>
        <w:t>et du rapport de 2017 établi par le Rapporteur spécial sur les droits de l’homme et l’environnement</w:t>
      </w:r>
      <w:r w:rsidRPr="0062227D">
        <w:rPr>
          <w:kern w:val="22"/>
          <w:szCs w:val="22"/>
          <w:lang w:val="fr-CA"/>
        </w:rPr>
        <w:t xml:space="preserve"> </w:t>
      </w:r>
      <w:r>
        <w:rPr>
          <w:kern w:val="22"/>
          <w:szCs w:val="22"/>
          <w:lang w:val="fr-CA"/>
        </w:rPr>
        <w:t>de l’Organisation des Nations Unies</w:t>
      </w:r>
      <w:r w:rsidRPr="0005076E">
        <w:rPr>
          <w:rStyle w:val="FootnoteReference"/>
          <w:kern w:val="22"/>
          <w:sz w:val="20"/>
          <w:szCs w:val="20"/>
          <w:u w:val="none"/>
          <w:vertAlign w:val="superscript"/>
          <w:lang w:val="fr-CA"/>
        </w:rPr>
        <w:footnoteReference w:id="37"/>
      </w:r>
      <w:r>
        <w:rPr>
          <w:kern w:val="22"/>
          <w:szCs w:val="22"/>
          <w:lang w:val="fr-CA"/>
        </w:rPr>
        <w:t>, notamment</w:t>
      </w:r>
      <w:r w:rsidRPr="00AF5B6D">
        <w:rPr>
          <w:kern w:val="22"/>
          <w:szCs w:val="22"/>
          <w:lang w:val="fr-CA"/>
        </w:rPr>
        <w:t xml:space="preserve"> :</w:t>
      </w:r>
    </w:p>
    <w:p w:rsidR="009F6935" w:rsidRPr="00AF5B6D" w:rsidRDefault="009F6935" w:rsidP="00004EAF">
      <w:pPr>
        <w:pStyle w:val="Para1"/>
        <w:numPr>
          <w:ilvl w:val="6"/>
          <w:numId w:val="18"/>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En r</w:t>
      </w:r>
      <w:r w:rsidRPr="00AF5B6D">
        <w:rPr>
          <w:kern w:val="22"/>
          <w:szCs w:val="22"/>
          <w:lang w:val="fr-CA"/>
        </w:rPr>
        <w:t xml:space="preserve">ecensant d’autres mesures de conservation </w:t>
      </w:r>
      <w:r>
        <w:rPr>
          <w:kern w:val="22"/>
          <w:szCs w:val="22"/>
          <w:lang w:val="fr-CA"/>
        </w:rPr>
        <w:t>efficaces</w:t>
      </w:r>
      <w:r w:rsidRPr="00AF5B6D">
        <w:rPr>
          <w:kern w:val="22"/>
          <w:szCs w:val="22"/>
          <w:lang w:val="fr-CA"/>
        </w:rPr>
        <w:t xml:space="preserve"> </w:t>
      </w:r>
      <w:r>
        <w:rPr>
          <w:kern w:val="22"/>
          <w:szCs w:val="22"/>
          <w:lang w:val="fr-CA"/>
        </w:rPr>
        <w:t xml:space="preserve">par zone </w:t>
      </w:r>
      <w:r w:rsidRPr="00AF5B6D">
        <w:rPr>
          <w:kern w:val="22"/>
          <w:szCs w:val="22"/>
          <w:lang w:val="fr-CA"/>
        </w:rPr>
        <w:t xml:space="preserve">et les choix qu’elles </w:t>
      </w:r>
      <w:r>
        <w:rPr>
          <w:kern w:val="22"/>
          <w:szCs w:val="22"/>
          <w:lang w:val="fr-CA"/>
        </w:rPr>
        <w:t>offrent à l’intérieur de leur juridiction</w:t>
      </w:r>
      <w:r w:rsidRPr="00AF5B6D">
        <w:rPr>
          <w:kern w:val="22"/>
          <w:szCs w:val="22"/>
          <w:lang w:val="fr-CA"/>
        </w:rPr>
        <w:t>;</w:t>
      </w:r>
    </w:p>
    <w:p w:rsidR="009F6935" w:rsidRPr="00AF5B6D" w:rsidRDefault="009F6935" w:rsidP="00004EAF">
      <w:pPr>
        <w:pStyle w:val="Para1"/>
        <w:numPr>
          <w:ilvl w:val="6"/>
          <w:numId w:val="18"/>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En transmettant</w:t>
      </w:r>
      <w:r w:rsidRPr="00AF5B6D">
        <w:rPr>
          <w:kern w:val="22"/>
          <w:szCs w:val="22"/>
          <w:lang w:val="fr-CA"/>
        </w:rPr>
        <w:t xml:space="preserve"> des données </w:t>
      </w:r>
      <w:r>
        <w:rPr>
          <w:kern w:val="22"/>
          <w:szCs w:val="22"/>
          <w:lang w:val="fr-CA"/>
        </w:rPr>
        <w:t xml:space="preserve">sur d’autres mesures </w:t>
      </w:r>
      <w:r w:rsidRPr="00AF5B6D">
        <w:rPr>
          <w:kern w:val="22"/>
          <w:szCs w:val="22"/>
          <w:lang w:val="fr-CA"/>
        </w:rPr>
        <w:t xml:space="preserve">de conservation </w:t>
      </w:r>
      <w:r>
        <w:rPr>
          <w:kern w:val="22"/>
          <w:szCs w:val="22"/>
          <w:lang w:val="fr-CA"/>
        </w:rPr>
        <w:t>efficaces</w:t>
      </w:r>
      <w:r w:rsidRPr="00AF5B6D">
        <w:rPr>
          <w:kern w:val="22"/>
          <w:szCs w:val="22"/>
          <w:lang w:val="fr-CA"/>
        </w:rPr>
        <w:t xml:space="preserve"> par zone au Centre</w:t>
      </w:r>
      <w:r>
        <w:rPr>
          <w:kern w:val="22"/>
          <w:szCs w:val="22"/>
          <w:lang w:val="fr-CA"/>
        </w:rPr>
        <w:t xml:space="preserve"> mondial</w:t>
      </w:r>
      <w:r w:rsidRPr="00AF5B6D">
        <w:rPr>
          <w:kern w:val="22"/>
          <w:szCs w:val="22"/>
          <w:lang w:val="fr-CA"/>
        </w:rPr>
        <w:t xml:space="preserve"> de surveilla</w:t>
      </w:r>
      <w:r>
        <w:rPr>
          <w:kern w:val="22"/>
          <w:szCs w:val="22"/>
          <w:lang w:val="fr-CA"/>
        </w:rPr>
        <w:t xml:space="preserve">nce de la conservation </w:t>
      </w:r>
      <w:r w:rsidRPr="00AF5B6D">
        <w:rPr>
          <w:kern w:val="22"/>
          <w:szCs w:val="22"/>
          <w:lang w:val="fr-CA"/>
        </w:rPr>
        <w:t xml:space="preserve">de la nature </w:t>
      </w:r>
      <w:r>
        <w:rPr>
          <w:kern w:val="22"/>
          <w:szCs w:val="22"/>
          <w:lang w:val="fr-CA"/>
        </w:rPr>
        <w:t xml:space="preserve">au sein </w:t>
      </w:r>
      <w:r w:rsidRPr="00AF5B6D">
        <w:rPr>
          <w:kern w:val="22"/>
          <w:szCs w:val="22"/>
          <w:lang w:val="fr-CA"/>
        </w:rPr>
        <w:t>du Programme de</w:t>
      </w:r>
      <w:r>
        <w:rPr>
          <w:kern w:val="22"/>
          <w:szCs w:val="22"/>
          <w:lang w:val="fr-CA"/>
        </w:rPr>
        <w:t>s Nations Unies pour l’environn</w:t>
      </w:r>
      <w:r w:rsidRPr="00AF5B6D">
        <w:rPr>
          <w:kern w:val="22"/>
          <w:szCs w:val="22"/>
          <w:lang w:val="fr-CA"/>
        </w:rPr>
        <w:t>ement</w:t>
      </w:r>
      <w:r>
        <w:rPr>
          <w:kern w:val="22"/>
          <w:szCs w:val="22"/>
          <w:lang w:val="fr-CA"/>
        </w:rPr>
        <w:t>, en vue de les inclure dans la Base de données mondiale sur les aires protégées</w:t>
      </w:r>
      <w:r w:rsidRPr="00AF5B6D">
        <w:rPr>
          <w:kern w:val="22"/>
          <w:szCs w:val="22"/>
          <w:lang w:val="fr-CA"/>
        </w:rPr>
        <w:t>;</w:t>
      </w:r>
    </w:p>
    <w:p w:rsidR="009F6935"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6</w:t>
      </w:r>
      <w:r w:rsidRPr="00AF5B6D">
        <w:rPr>
          <w:kern w:val="22"/>
          <w:szCs w:val="22"/>
          <w:lang w:val="fr-CA"/>
        </w:rPr>
        <w:t>.</w:t>
      </w:r>
      <w:r w:rsidRPr="00AF5B6D">
        <w:rPr>
          <w:kern w:val="22"/>
          <w:szCs w:val="22"/>
          <w:lang w:val="fr-CA"/>
        </w:rPr>
        <w:tab/>
      </w:r>
      <w:r w:rsidRPr="00AF5B6D">
        <w:rPr>
          <w:i/>
          <w:iCs/>
          <w:kern w:val="22"/>
          <w:szCs w:val="22"/>
          <w:lang w:val="fr-CA"/>
        </w:rPr>
        <w:t xml:space="preserve">Encourage </w:t>
      </w:r>
      <w:r>
        <w:rPr>
          <w:iCs/>
          <w:kern w:val="22"/>
          <w:szCs w:val="22"/>
          <w:lang w:val="fr-CA"/>
        </w:rPr>
        <w:t xml:space="preserve">les Parties et </w:t>
      </w:r>
      <w:r w:rsidRPr="00FF70A4">
        <w:rPr>
          <w:i/>
          <w:iCs/>
          <w:kern w:val="22"/>
          <w:szCs w:val="22"/>
          <w:lang w:val="fr-CA"/>
        </w:rPr>
        <w:t>invite</w:t>
      </w:r>
      <w:r w:rsidRPr="00AF5B6D">
        <w:rPr>
          <w:iCs/>
          <w:kern w:val="22"/>
          <w:szCs w:val="22"/>
          <w:lang w:val="fr-CA"/>
        </w:rPr>
        <w:t xml:space="preserve"> les autres gouvernements,</w:t>
      </w:r>
      <w:r>
        <w:rPr>
          <w:iCs/>
          <w:kern w:val="22"/>
          <w:szCs w:val="22"/>
          <w:lang w:val="fr-CA"/>
        </w:rPr>
        <w:t xml:space="preserve"> les organisations compétentes et les peuples autochtones et </w:t>
      </w:r>
      <w:r w:rsidRPr="00AF5B6D">
        <w:rPr>
          <w:iCs/>
          <w:kern w:val="22"/>
          <w:szCs w:val="22"/>
          <w:lang w:val="fr-CA"/>
        </w:rPr>
        <w:t xml:space="preserve">communautés locales à tenir compte des </w:t>
      </w:r>
      <w:r>
        <w:rPr>
          <w:iCs/>
          <w:kern w:val="22"/>
          <w:szCs w:val="22"/>
          <w:lang w:val="fr-CA"/>
        </w:rPr>
        <w:t>considérations requises pour atteindre</w:t>
      </w:r>
      <w:r>
        <w:rPr>
          <w:kern w:val="22"/>
          <w:szCs w:val="22"/>
          <w:lang w:val="fr-CA"/>
        </w:rPr>
        <w:t xml:space="preserve"> </w:t>
      </w:r>
      <w:r w:rsidRPr="00AF5B6D">
        <w:rPr>
          <w:kern w:val="22"/>
          <w:szCs w:val="22"/>
          <w:lang w:val="fr-CA"/>
        </w:rPr>
        <w:t>l’Objectif 11 d’</w:t>
      </w:r>
      <w:r>
        <w:rPr>
          <w:kern w:val="22"/>
          <w:szCs w:val="22"/>
          <w:lang w:val="fr-CA"/>
        </w:rPr>
        <w:t>Aichi pour la biodiversité</w:t>
      </w:r>
      <w:r w:rsidRPr="00AF5B6D">
        <w:rPr>
          <w:kern w:val="22"/>
          <w:szCs w:val="22"/>
          <w:lang w:val="fr-CA"/>
        </w:rPr>
        <w:t xml:space="preserve"> dans les aires marines et côtières</w:t>
      </w:r>
      <w:r>
        <w:rPr>
          <w:kern w:val="22"/>
          <w:szCs w:val="22"/>
          <w:lang w:val="fr-CA"/>
        </w:rPr>
        <w:t>, telles qu’indiquées à l’annexe IV du présent projet de décision,</w:t>
      </w:r>
      <w:r w:rsidRPr="00AF5B6D">
        <w:rPr>
          <w:kern w:val="22"/>
          <w:szCs w:val="22"/>
          <w:lang w:val="fr-CA"/>
        </w:rPr>
        <w:t xml:space="preserve"> dans leurs efforts </w:t>
      </w:r>
      <w:r>
        <w:rPr>
          <w:kern w:val="22"/>
          <w:szCs w:val="22"/>
          <w:lang w:val="fr-CA"/>
        </w:rPr>
        <w:t>prodigués pour atteindre</w:t>
      </w:r>
      <w:r w:rsidRPr="00AF5B6D">
        <w:rPr>
          <w:kern w:val="22"/>
          <w:szCs w:val="22"/>
          <w:lang w:val="fr-CA"/>
        </w:rPr>
        <w:t xml:space="preserve"> tous les éléments de l’Objectif 11 d’</w:t>
      </w:r>
      <w:r>
        <w:rPr>
          <w:kern w:val="22"/>
          <w:szCs w:val="22"/>
          <w:lang w:val="fr-CA"/>
        </w:rPr>
        <w:t>Aichi pour la biodiversité</w:t>
      </w:r>
      <w:r w:rsidRPr="00AF5B6D">
        <w:rPr>
          <w:kern w:val="22"/>
          <w:szCs w:val="22"/>
          <w:lang w:val="fr-CA"/>
        </w:rPr>
        <w:t xml:space="preserve"> dans les aires marines et côtières;</w:t>
      </w:r>
    </w:p>
    <w:p w:rsidR="009F6935" w:rsidRPr="00AF5B6D"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7.</w:t>
      </w:r>
      <w:r>
        <w:rPr>
          <w:kern w:val="22"/>
          <w:szCs w:val="22"/>
          <w:lang w:val="fr-CA"/>
        </w:rPr>
        <w:tab/>
      </w:r>
      <w:r w:rsidRPr="00AF5B6D">
        <w:rPr>
          <w:i/>
          <w:iCs/>
          <w:kern w:val="22"/>
          <w:szCs w:val="22"/>
          <w:lang w:val="fr-CA"/>
        </w:rPr>
        <w:t>Encourage</w:t>
      </w:r>
      <w:r>
        <w:rPr>
          <w:i/>
          <w:iCs/>
          <w:kern w:val="22"/>
          <w:szCs w:val="22"/>
          <w:lang w:val="fr-CA"/>
        </w:rPr>
        <w:t xml:space="preserve"> également</w:t>
      </w:r>
      <w:r w:rsidRPr="00AF5B6D">
        <w:rPr>
          <w:i/>
          <w:iCs/>
          <w:kern w:val="22"/>
          <w:szCs w:val="22"/>
          <w:lang w:val="fr-CA"/>
        </w:rPr>
        <w:t xml:space="preserve"> </w:t>
      </w:r>
      <w:r>
        <w:rPr>
          <w:iCs/>
          <w:kern w:val="22"/>
          <w:szCs w:val="22"/>
          <w:lang w:val="fr-CA"/>
        </w:rPr>
        <w:t xml:space="preserve">les Parties et </w:t>
      </w:r>
      <w:r w:rsidRPr="0047138E">
        <w:rPr>
          <w:i/>
          <w:iCs/>
          <w:kern w:val="22"/>
          <w:szCs w:val="22"/>
          <w:lang w:val="fr-CA"/>
        </w:rPr>
        <w:t>invite</w:t>
      </w:r>
      <w:r w:rsidRPr="00AF5B6D">
        <w:rPr>
          <w:iCs/>
          <w:kern w:val="22"/>
          <w:szCs w:val="22"/>
          <w:lang w:val="fr-CA"/>
        </w:rPr>
        <w:t xml:space="preserve"> les autres gouvernements,</w:t>
      </w:r>
      <w:r>
        <w:rPr>
          <w:iCs/>
          <w:kern w:val="22"/>
          <w:szCs w:val="22"/>
          <w:lang w:val="fr-CA"/>
        </w:rPr>
        <w:t xml:space="preserve"> les organisations compétentes et les peuples autochtones et </w:t>
      </w:r>
      <w:r w:rsidRPr="00AF5B6D">
        <w:rPr>
          <w:iCs/>
          <w:kern w:val="22"/>
          <w:szCs w:val="22"/>
          <w:lang w:val="fr-CA"/>
        </w:rPr>
        <w:t>communautés locales à</w:t>
      </w:r>
      <w:r>
        <w:rPr>
          <w:iCs/>
          <w:kern w:val="22"/>
          <w:szCs w:val="22"/>
          <w:lang w:val="fr-CA"/>
        </w:rPr>
        <w:t xml:space="preserve"> partager des études de cas ou bonnes pratiques et des exemples d’approches de gestion, de type de gouvernance et de réussites concernant d’autres mesures de conservation efficaces par zone, y compris des expériences d’application des orientations, par le biais du Centre d’échange de la Convention et par d’autres moyens;</w:t>
      </w:r>
    </w:p>
    <w:p w:rsidR="009F6935" w:rsidRDefault="009F6935" w:rsidP="009F6935">
      <w:pPr>
        <w:pStyle w:val="Para1"/>
        <w:numPr>
          <w:ilvl w:val="0"/>
          <w:numId w:val="0"/>
        </w:numPr>
        <w:suppressLineNumbers/>
        <w:suppressAutoHyphens/>
        <w:kinsoku w:val="0"/>
        <w:overflowPunct w:val="0"/>
        <w:autoSpaceDE w:val="0"/>
        <w:autoSpaceDN w:val="0"/>
        <w:spacing w:before="0"/>
        <w:ind w:left="720" w:firstLine="720"/>
        <w:rPr>
          <w:bCs/>
          <w:iCs/>
          <w:kern w:val="22"/>
          <w:szCs w:val="22"/>
          <w:lang w:val="fr-CA"/>
        </w:rPr>
      </w:pPr>
      <w:r>
        <w:rPr>
          <w:bCs/>
          <w:kern w:val="22"/>
          <w:szCs w:val="22"/>
          <w:lang w:val="fr-CA"/>
        </w:rPr>
        <w:t>8</w:t>
      </w:r>
      <w:r w:rsidRPr="00AF5B6D">
        <w:rPr>
          <w:bCs/>
          <w:kern w:val="22"/>
          <w:szCs w:val="22"/>
          <w:lang w:val="fr-CA"/>
        </w:rPr>
        <w:t>.</w:t>
      </w:r>
      <w:r w:rsidRPr="00AF5B6D">
        <w:rPr>
          <w:bCs/>
          <w:kern w:val="22"/>
          <w:szCs w:val="22"/>
          <w:lang w:val="fr-CA"/>
        </w:rPr>
        <w:tab/>
      </w:r>
      <w:r w:rsidRPr="00AF5B6D">
        <w:rPr>
          <w:bCs/>
          <w:i/>
          <w:iCs/>
          <w:kern w:val="22"/>
          <w:szCs w:val="22"/>
          <w:lang w:val="fr-CA"/>
        </w:rPr>
        <w:t>Invite</w:t>
      </w:r>
      <w:r>
        <w:rPr>
          <w:bCs/>
          <w:i/>
          <w:iCs/>
          <w:kern w:val="22"/>
          <w:szCs w:val="22"/>
          <w:lang w:val="fr-CA"/>
        </w:rPr>
        <w:t xml:space="preserve"> </w:t>
      </w:r>
      <w:r w:rsidRPr="00AF5B6D">
        <w:rPr>
          <w:bCs/>
          <w:iCs/>
          <w:kern w:val="22"/>
          <w:szCs w:val="22"/>
          <w:lang w:val="fr-CA"/>
        </w:rPr>
        <w:t>l’Union internationale pour la conservation de la nature et le Centre</w:t>
      </w:r>
      <w:r>
        <w:rPr>
          <w:bCs/>
          <w:iCs/>
          <w:kern w:val="22"/>
          <w:szCs w:val="22"/>
          <w:lang w:val="fr-CA"/>
        </w:rPr>
        <w:t xml:space="preserve"> mondial</w:t>
      </w:r>
      <w:r w:rsidRPr="00AF5B6D">
        <w:rPr>
          <w:bCs/>
          <w:iCs/>
          <w:kern w:val="22"/>
          <w:szCs w:val="22"/>
          <w:lang w:val="fr-CA"/>
        </w:rPr>
        <w:t xml:space="preserve"> de surveill</w:t>
      </w:r>
      <w:r>
        <w:rPr>
          <w:bCs/>
          <w:iCs/>
          <w:kern w:val="22"/>
          <w:szCs w:val="22"/>
          <w:lang w:val="fr-CA"/>
        </w:rPr>
        <w:t>ance de la conservation de la nature à élargir la B</w:t>
      </w:r>
      <w:r w:rsidRPr="00AF5B6D">
        <w:rPr>
          <w:bCs/>
          <w:iCs/>
          <w:kern w:val="22"/>
          <w:szCs w:val="22"/>
          <w:lang w:val="fr-CA"/>
        </w:rPr>
        <w:t>ase</w:t>
      </w:r>
      <w:r>
        <w:rPr>
          <w:bCs/>
          <w:iCs/>
          <w:kern w:val="22"/>
          <w:szCs w:val="22"/>
          <w:lang w:val="fr-CA"/>
        </w:rPr>
        <w:t xml:space="preserve"> de données mondiale sur les aires protégées en créant une partie</w:t>
      </w:r>
      <w:r w:rsidRPr="00AF5B6D">
        <w:rPr>
          <w:bCs/>
          <w:iCs/>
          <w:kern w:val="22"/>
          <w:szCs w:val="22"/>
          <w:lang w:val="fr-CA"/>
        </w:rPr>
        <w:t xml:space="preserve"> sur d’autres mesures de conservation </w:t>
      </w:r>
      <w:r>
        <w:rPr>
          <w:bCs/>
          <w:iCs/>
          <w:kern w:val="22"/>
          <w:szCs w:val="22"/>
          <w:lang w:val="fr-CA"/>
        </w:rPr>
        <w:t>efficaces par zone;</w:t>
      </w:r>
    </w:p>
    <w:p w:rsidR="009F6935" w:rsidRPr="00AF5B6D"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bCs/>
          <w:iCs/>
          <w:kern w:val="22"/>
          <w:szCs w:val="22"/>
          <w:lang w:val="fr-CA"/>
        </w:rPr>
        <w:t>9.</w:t>
      </w:r>
      <w:r>
        <w:rPr>
          <w:bCs/>
          <w:iCs/>
          <w:kern w:val="22"/>
          <w:szCs w:val="22"/>
          <w:lang w:val="fr-CA"/>
        </w:rPr>
        <w:tab/>
      </w:r>
      <w:r>
        <w:rPr>
          <w:bCs/>
          <w:i/>
          <w:iCs/>
          <w:kern w:val="22"/>
          <w:szCs w:val="22"/>
          <w:lang w:val="fr-CA"/>
        </w:rPr>
        <w:t>Invite</w:t>
      </w:r>
      <w:r>
        <w:rPr>
          <w:bCs/>
          <w:iCs/>
          <w:kern w:val="22"/>
          <w:szCs w:val="22"/>
          <w:lang w:val="fr-CA"/>
        </w:rPr>
        <w:t xml:space="preserve"> </w:t>
      </w:r>
      <w:r w:rsidRPr="00AF5B6D">
        <w:rPr>
          <w:bCs/>
          <w:iCs/>
          <w:kern w:val="22"/>
          <w:szCs w:val="22"/>
          <w:lang w:val="fr-CA"/>
        </w:rPr>
        <w:t>l’Union internationale pour la conservation de la nature</w:t>
      </w:r>
      <w:r>
        <w:rPr>
          <w:bCs/>
          <w:iCs/>
          <w:kern w:val="22"/>
          <w:szCs w:val="22"/>
          <w:lang w:val="fr-CA"/>
        </w:rPr>
        <w:t xml:space="preserve">, l’Organisation des Nations Unies pour l’alimentation et l’agriculture et d’autres organismes spécialisés à continuer d’aider les Parties à identifier d’autres mesures </w:t>
      </w:r>
      <w:r w:rsidRPr="00AF5B6D">
        <w:rPr>
          <w:bCs/>
          <w:iCs/>
          <w:kern w:val="22"/>
          <w:szCs w:val="22"/>
          <w:lang w:val="fr-CA"/>
        </w:rPr>
        <w:t xml:space="preserve">de conservation </w:t>
      </w:r>
      <w:r>
        <w:rPr>
          <w:bCs/>
          <w:iCs/>
          <w:kern w:val="22"/>
          <w:szCs w:val="22"/>
          <w:lang w:val="fr-CA"/>
        </w:rPr>
        <w:t>efficaces</w:t>
      </w:r>
      <w:r w:rsidRPr="00AF5B6D">
        <w:rPr>
          <w:bCs/>
          <w:iCs/>
          <w:kern w:val="22"/>
          <w:szCs w:val="22"/>
          <w:lang w:val="fr-CA"/>
        </w:rPr>
        <w:t xml:space="preserve"> par zone</w:t>
      </w:r>
      <w:r>
        <w:rPr>
          <w:bCs/>
          <w:iCs/>
          <w:kern w:val="22"/>
          <w:szCs w:val="22"/>
          <w:lang w:val="fr-CA"/>
        </w:rPr>
        <w:t xml:space="preserve"> et à appliquer l’avis scientifique et technique</w:t>
      </w:r>
      <w:r w:rsidRPr="00AF5B6D">
        <w:rPr>
          <w:bCs/>
          <w:kern w:val="22"/>
          <w:szCs w:val="22"/>
          <w:lang w:val="fr-CA"/>
        </w:rPr>
        <w:t>;</w:t>
      </w:r>
    </w:p>
    <w:p w:rsidR="009F6935" w:rsidRPr="00AF5B6D"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iCs/>
          <w:kern w:val="22"/>
          <w:szCs w:val="22"/>
          <w:lang w:val="fr-CA"/>
        </w:rPr>
        <w:t>10</w:t>
      </w:r>
      <w:r w:rsidRPr="00AF5B6D">
        <w:rPr>
          <w:iCs/>
          <w:kern w:val="22"/>
          <w:szCs w:val="22"/>
          <w:lang w:val="fr-CA"/>
        </w:rPr>
        <w:t>.</w:t>
      </w:r>
      <w:r w:rsidRPr="00AF5B6D">
        <w:rPr>
          <w:iCs/>
          <w:kern w:val="22"/>
          <w:szCs w:val="22"/>
          <w:lang w:val="fr-CA"/>
        </w:rPr>
        <w:tab/>
      </w:r>
      <w:r w:rsidRPr="00AF5B6D">
        <w:rPr>
          <w:i/>
          <w:kern w:val="22"/>
          <w:szCs w:val="22"/>
          <w:lang w:val="fr-CA"/>
        </w:rPr>
        <w:t xml:space="preserve">Prie </w:t>
      </w:r>
      <w:r w:rsidRPr="00AF5B6D">
        <w:rPr>
          <w:kern w:val="22"/>
          <w:szCs w:val="22"/>
          <w:lang w:val="fr-CA"/>
        </w:rPr>
        <w:t xml:space="preserve">la Secrétaire exécutive, </w:t>
      </w:r>
      <w:r>
        <w:rPr>
          <w:kern w:val="22"/>
          <w:szCs w:val="22"/>
          <w:lang w:val="fr-CA"/>
        </w:rPr>
        <w:t xml:space="preserve">dans la limite des ressources disponibles et </w:t>
      </w:r>
      <w:r w:rsidRPr="00AF5B6D">
        <w:rPr>
          <w:kern w:val="22"/>
          <w:szCs w:val="22"/>
          <w:lang w:val="fr-CA"/>
        </w:rPr>
        <w:t>en collaboration avec les partenaires, les Part</w:t>
      </w:r>
      <w:r>
        <w:rPr>
          <w:kern w:val="22"/>
          <w:szCs w:val="22"/>
          <w:lang w:val="fr-CA"/>
        </w:rPr>
        <w:t>ies, les autres gouvernements,</w:t>
      </w:r>
      <w:r w:rsidRPr="00AF5B6D">
        <w:rPr>
          <w:kern w:val="22"/>
          <w:szCs w:val="22"/>
          <w:lang w:val="fr-CA"/>
        </w:rPr>
        <w:t xml:space="preserve"> les organisations compétentes</w:t>
      </w:r>
      <w:r>
        <w:rPr>
          <w:kern w:val="22"/>
          <w:szCs w:val="22"/>
          <w:lang w:val="fr-CA"/>
        </w:rPr>
        <w:t xml:space="preserve"> et les peuples autochtones et communautés locales, d’entreprendre des activités de renforcement des capacités, y compris des ateliers de formation, afin de permettre l’application de l’avis scientifique et technique et des orientations figurant aux annexes du présent projet de décision</w:t>
      </w:r>
      <w:r w:rsidRPr="00AF5B6D">
        <w:rPr>
          <w:kern w:val="22"/>
          <w:szCs w:val="22"/>
          <w:lang w:val="fr-CA"/>
        </w:rPr>
        <w:t>;</w:t>
      </w:r>
    </w:p>
    <w:p w:rsidR="009F6935"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lastRenderedPageBreak/>
        <w:t>11</w:t>
      </w:r>
      <w:r w:rsidRPr="00AF5B6D">
        <w:rPr>
          <w:kern w:val="22"/>
          <w:szCs w:val="22"/>
          <w:lang w:val="fr-CA"/>
        </w:rPr>
        <w:t>.</w:t>
      </w:r>
      <w:r w:rsidRPr="00AF5B6D">
        <w:rPr>
          <w:kern w:val="22"/>
          <w:szCs w:val="22"/>
          <w:lang w:val="fr-CA"/>
        </w:rPr>
        <w:tab/>
      </w:r>
      <w:r>
        <w:rPr>
          <w:i/>
          <w:kern w:val="22"/>
          <w:szCs w:val="22"/>
          <w:lang w:val="fr-CA"/>
        </w:rPr>
        <w:t xml:space="preserve">Prie instamment </w:t>
      </w:r>
      <w:r>
        <w:rPr>
          <w:kern w:val="22"/>
          <w:szCs w:val="22"/>
          <w:lang w:val="fr-CA"/>
        </w:rPr>
        <w:t>les Parties</w:t>
      </w:r>
      <w:r w:rsidRPr="002F6DF2">
        <w:rPr>
          <w:kern w:val="22"/>
          <w:szCs w:val="22"/>
          <w:lang w:val="fr-CA"/>
        </w:rPr>
        <w:t xml:space="preserve"> et </w:t>
      </w:r>
      <w:r w:rsidRPr="002F6DF2">
        <w:rPr>
          <w:i/>
          <w:kern w:val="22"/>
          <w:szCs w:val="22"/>
          <w:lang w:val="fr-CA"/>
        </w:rPr>
        <w:t>invite</w:t>
      </w:r>
      <w:r w:rsidRPr="002F6DF2">
        <w:rPr>
          <w:kern w:val="22"/>
          <w:szCs w:val="22"/>
          <w:lang w:val="fr-CA"/>
        </w:rPr>
        <w:t xml:space="preserve"> les</w:t>
      </w:r>
      <w:r>
        <w:rPr>
          <w:kern w:val="22"/>
          <w:szCs w:val="22"/>
          <w:lang w:val="fr-CA"/>
        </w:rPr>
        <w:t xml:space="preserve"> autres gouvernements, les organisations compétentes et les organismes donateurs qui sont en mesure de le faire à fournir des ressources pour des activités de renforcement des capacités, et à aider les Parties et les peuples autochtones et les communautés locales à identifier d’autres mesures de conservation efficaces par zone et à appliquer l’avis scientifique et technique et les orientations;</w:t>
      </w:r>
    </w:p>
    <w:p w:rsidR="009F6935" w:rsidRPr="002F6DF2"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CA"/>
        </w:rPr>
      </w:pPr>
      <w:r>
        <w:rPr>
          <w:kern w:val="22"/>
          <w:szCs w:val="22"/>
          <w:lang w:val="fr-CA"/>
        </w:rPr>
        <w:t>12.</w:t>
      </w:r>
      <w:r>
        <w:rPr>
          <w:kern w:val="22"/>
          <w:szCs w:val="22"/>
          <w:lang w:val="fr-CA"/>
        </w:rPr>
        <w:tab/>
      </w:r>
      <w:r w:rsidRPr="00E21145">
        <w:rPr>
          <w:i/>
          <w:kern w:val="22"/>
          <w:szCs w:val="22"/>
          <w:lang w:val="fr-CA"/>
        </w:rPr>
        <w:t>Prie instamment</w:t>
      </w:r>
      <w:r>
        <w:rPr>
          <w:kern w:val="22"/>
          <w:szCs w:val="22"/>
          <w:lang w:val="fr-CA"/>
        </w:rPr>
        <w:t xml:space="preserve"> les Parties de faciliter l’intégration des aires protégées et d’autres mesures de conservation efficaces par zone dans des secteurs clés, tels que, entre autres, l’agriculture, la pêche, l’exploitation forestière, l’exploitation minière, l’énergie, le tourisme et le transport, et conformément aux dispositions de l’annexe I.</w:t>
      </w:r>
      <w:r w:rsidRPr="002F6DF2">
        <w:rPr>
          <w:kern w:val="22"/>
          <w:szCs w:val="22"/>
          <w:lang w:val="fr-CA"/>
        </w:rPr>
        <w:t xml:space="preserve"> </w:t>
      </w:r>
    </w:p>
    <w:p w:rsidR="009F6935" w:rsidRDefault="009F6935" w:rsidP="009F6935">
      <w:pPr>
        <w:pStyle w:val="Para1"/>
        <w:numPr>
          <w:ilvl w:val="0"/>
          <w:numId w:val="0"/>
        </w:numPr>
        <w:suppressLineNumbers/>
        <w:suppressAutoHyphens/>
        <w:kinsoku w:val="0"/>
        <w:overflowPunct w:val="0"/>
        <w:autoSpaceDE w:val="0"/>
        <w:autoSpaceDN w:val="0"/>
        <w:rPr>
          <w:kern w:val="22"/>
          <w:szCs w:val="22"/>
          <w:lang w:val="fr-CA"/>
        </w:rPr>
      </w:pPr>
    </w:p>
    <w:p w:rsidR="009F6935" w:rsidRPr="00E21145" w:rsidRDefault="009F6935" w:rsidP="009F6935">
      <w:pPr>
        <w:pStyle w:val="Para1"/>
        <w:numPr>
          <w:ilvl w:val="0"/>
          <w:numId w:val="0"/>
        </w:numPr>
        <w:suppressLineNumbers/>
        <w:suppressAutoHyphens/>
        <w:kinsoku w:val="0"/>
        <w:overflowPunct w:val="0"/>
        <w:autoSpaceDE w:val="0"/>
        <w:autoSpaceDN w:val="0"/>
        <w:jc w:val="center"/>
        <w:rPr>
          <w:i/>
          <w:kern w:val="22"/>
          <w:szCs w:val="22"/>
          <w:lang w:val="fr-CA"/>
        </w:rPr>
      </w:pPr>
      <w:r w:rsidRPr="00E21145">
        <w:rPr>
          <w:i/>
          <w:kern w:val="22"/>
          <w:szCs w:val="22"/>
          <w:lang w:val="fr-CA"/>
        </w:rPr>
        <w:t>Annexe I</w:t>
      </w:r>
    </w:p>
    <w:p w:rsidR="009F6935" w:rsidRPr="00AF5B6D" w:rsidRDefault="009F6935" w:rsidP="009F6935">
      <w:pPr>
        <w:pStyle w:val="Heading1"/>
        <w:suppressLineNumbers/>
        <w:tabs>
          <w:tab w:val="clear" w:pos="720"/>
        </w:tabs>
        <w:suppressAutoHyphens/>
        <w:kinsoku w:val="0"/>
        <w:overflowPunct w:val="0"/>
        <w:autoSpaceDE w:val="0"/>
        <w:autoSpaceDN w:val="0"/>
        <w:spacing w:after="360"/>
        <w:rPr>
          <w:rFonts w:eastAsia="Calibri"/>
          <w:snapToGrid w:val="0"/>
          <w:kern w:val="22"/>
          <w:szCs w:val="22"/>
          <w:lang w:val="fr-CA"/>
        </w:rPr>
      </w:pPr>
      <w:bookmarkStart w:id="19" w:name="_Toc525904153"/>
      <w:bookmarkStart w:id="20" w:name="_Toc525904312"/>
      <w:bookmarkStart w:id="21" w:name="_Toc525904556"/>
      <w:r w:rsidRPr="00AF5B6D">
        <w:rPr>
          <w:kern w:val="22"/>
          <w:szCs w:val="22"/>
          <w:lang w:val="fr-CA"/>
        </w:rPr>
        <w:t xml:space="preserve">ORIENTATIONS FACULTATIVES SUR L’INTÉGRATION DES AIRES PROTÉGÉES ET AUTRES MESURES DE CONSERVATION </w:t>
      </w:r>
      <w:r>
        <w:rPr>
          <w:kern w:val="22"/>
          <w:szCs w:val="22"/>
          <w:lang w:val="fr-CA"/>
        </w:rPr>
        <w:t>EFFICACES PAR ZONE DANS l</w:t>
      </w:r>
      <w:r w:rsidRPr="00AF5B6D">
        <w:rPr>
          <w:kern w:val="22"/>
          <w:szCs w:val="22"/>
          <w:lang w:val="fr-CA"/>
        </w:rPr>
        <w:t>ES PAYSAGES TERRESTRES ET MARINS P</w:t>
      </w:r>
      <w:r>
        <w:rPr>
          <w:kern w:val="22"/>
          <w:szCs w:val="22"/>
          <w:lang w:val="fr-CA"/>
        </w:rPr>
        <w:t>L</w:t>
      </w:r>
      <w:r w:rsidRPr="00AF5B6D">
        <w:rPr>
          <w:kern w:val="22"/>
          <w:szCs w:val="22"/>
          <w:lang w:val="fr-CA"/>
        </w:rPr>
        <w:t>US VASTES ET</w:t>
      </w:r>
      <w:r>
        <w:rPr>
          <w:kern w:val="22"/>
          <w:szCs w:val="22"/>
          <w:lang w:val="fr-CA"/>
        </w:rPr>
        <w:t xml:space="preserve"> sur</w:t>
      </w:r>
      <w:r w:rsidRPr="00AF5B6D">
        <w:rPr>
          <w:kern w:val="22"/>
          <w:szCs w:val="22"/>
          <w:lang w:val="fr-CA"/>
        </w:rPr>
        <w:t xml:space="preserve"> L’INTÉGRATION DANS LES SECTEURS AFIN</w:t>
      </w:r>
      <w:r>
        <w:rPr>
          <w:kern w:val="22"/>
          <w:szCs w:val="22"/>
          <w:lang w:val="fr-CA"/>
        </w:rPr>
        <w:t xml:space="preserve"> de contribuer</w:t>
      </w:r>
      <w:r w:rsidRPr="00AF5B6D">
        <w:rPr>
          <w:kern w:val="22"/>
          <w:szCs w:val="22"/>
          <w:lang w:val="fr-CA"/>
        </w:rPr>
        <w:t xml:space="preserve"> </w:t>
      </w:r>
      <w:r>
        <w:rPr>
          <w:kern w:val="22"/>
          <w:szCs w:val="22"/>
          <w:lang w:val="fr-CA"/>
        </w:rPr>
        <w:t>NOTAMMENT aux</w:t>
      </w:r>
      <w:r w:rsidRPr="00AF5B6D">
        <w:rPr>
          <w:kern w:val="22"/>
          <w:szCs w:val="22"/>
          <w:lang w:val="fr-CA"/>
        </w:rPr>
        <w:t xml:space="preserve"> OBJECTIFS DE DÉVELOPPEMENT DURABLE</w:t>
      </w:r>
      <w:bookmarkEnd w:id="19"/>
      <w:bookmarkEnd w:id="20"/>
      <w:bookmarkEnd w:id="21"/>
    </w:p>
    <w:p w:rsidR="009F6935" w:rsidRPr="00AF5B6D" w:rsidRDefault="009F6935" w:rsidP="00004EAF">
      <w:pPr>
        <w:pStyle w:val="Para1"/>
        <w:keepNext/>
        <w:numPr>
          <w:ilvl w:val="0"/>
          <w:numId w:val="20"/>
        </w:numPr>
        <w:suppressLineNumbers/>
        <w:tabs>
          <w:tab w:val="left" w:pos="360"/>
        </w:tabs>
        <w:suppressAutoHyphens/>
        <w:kinsoku w:val="0"/>
        <w:overflowPunct w:val="0"/>
        <w:autoSpaceDE w:val="0"/>
        <w:autoSpaceDN w:val="0"/>
        <w:ind w:left="0" w:firstLine="0"/>
        <w:jc w:val="center"/>
        <w:rPr>
          <w:b/>
          <w:kern w:val="22"/>
          <w:szCs w:val="22"/>
          <w:lang w:val="fr-CA"/>
        </w:rPr>
      </w:pPr>
      <w:r w:rsidRPr="00AF5B6D">
        <w:rPr>
          <w:b/>
          <w:kern w:val="22"/>
          <w:szCs w:val="22"/>
          <w:lang w:val="fr-CA"/>
        </w:rPr>
        <w:t>CONTEXTE</w:t>
      </w:r>
    </w:p>
    <w:p w:rsidR="009F6935" w:rsidRPr="00BE78F9" w:rsidRDefault="009F6935" w:rsidP="009F6935">
      <w:pPr>
        <w:pStyle w:val="Para1"/>
        <w:numPr>
          <w:ilvl w:val="6"/>
          <w:numId w:val="3"/>
        </w:numPr>
        <w:suppressLineNumbers/>
        <w:tabs>
          <w:tab w:val="clear" w:pos="2520"/>
        </w:tabs>
        <w:suppressAutoHyphens/>
        <w:kinsoku w:val="0"/>
        <w:overflowPunct w:val="0"/>
        <w:autoSpaceDE w:val="0"/>
        <w:autoSpaceDN w:val="0"/>
        <w:ind w:left="0" w:firstLine="0"/>
        <w:rPr>
          <w:kern w:val="22"/>
          <w:szCs w:val="22"/>
          <w:lang w:val="fr-CA"/>
        </w:rPr>
      </w:pPr>
      <w:r w:rsidRPr="00AF5B6D">
        <w:rPr>
          <w:kern w:val="22"/>
          <w:szCs w:val="22"/>
          <w:lang w:val="fr-CA"/>
        </w:rPr>
        <w:t>L’int</w:t>
      </w:r>
      <w:r>
        <w:rPr>
          <w:kern w:val="22"/>
          <w:szCs w:val="22"/>
          <w:lang w:val="fr-CA"/>
        </w:rPr>
        <w:t>égration des aires protégées dans les</w:t>
      </w:r>
      <w:r w:rsidRPr="00AF5B6D">
        <w:rPr>
          <w:kern w:val="22"/>
          <w:szCs w:val="22"/>
          <w:lang w:val="fr-CA"/>
        </w:rPr>
        <w:t xml:space="preserve"> paysages terrest</w:t>
      </w:r>
      <w:r>
        <w:rPr>
          <w:kern w:val="22"/>
          <w:szCs w:val="22"/>
          <w:lang w:val="fr-CA"/>
        </w:rPr>
        <w:t>res et marins plus vastes et dans les</w:t>
      </w:r>
      <w:r w:rsidRPr="00AF5B6D">
        <w:rPr>
          <w:kern w:val="22"/>
          <w:szCs w:val="22"/>
          <w:lang w:val="fr-CA"/>
        </w:rPr>
        <w:t xml:space="preserve"> secteu</w:t>
      </w:r>
      <w:r>
        <w:rPr>
          <w:kern w:val="22"/>
          <w:szCs w:val="22"/>
          <w:lang w:val="fr-CA"/>
        </w:rPr>
        <w:t xml:space="preserve">rs comprend plusieurs éléments. Le morcellement des habitats </w:t>
      </w:r>
      <w:r w:rsidRPr="00AF5B6D">
        <w:rPr>
          <w:kern w:val="22"/>
          <w:szCs w:val="22"/>
          <w:lang w:val="fr-CA"/>
        </w:rPr>
        <w:t>peut av</w:t>
      </w:r>
      <w:r>
        <w:rPr>
          <w:kern w:val="22"/>
          <w:szCs w:val="22"/>
          <w:lang w:val="fr-CA"/>
        </w:rPr>
        <w:t>oir des conséquences profondes po</w:t>
      </w:r>
      <w:r w:rsidRPr="00AF5B6D">
        <w:rPr>
          <w:kern w:val="22"/>
          <w:szCs w:val="22"/>
          <w:lang w:val="fr-CA"/>
        </w:rPr>
        <w:t>ur le fonctionnement et l’intégrité des systèmes écol</w:t>
      </w:r>
      <w:r>
        <w:rPr>
          <w:kern w:val="22"/>
          <w:szCs w:val="22"/>
          <w:lang w:val="fr-CA"/>
        </w:rPr>
        <w:t>ogiques complexes. La rapidité</w:t>
      </w:r>
      <w:r w:rsidRPr="00AF5B6D">
        <w:rPr>
          <w:kern w:val="22"/>
          <w:szCs w:val="22"/>
          <w:lang w:val="fr-CA"/>
        </w:rPr>
        <w:t xml:space="preserve"> </w:t>
      </w:r>
      <w:r>
        <w:rPr>
          <w:kern w:val="22"/>
          <w:szCs w:val="22"/>
          <w:lang w:val="fr-CA"/>
        </w:rPr>
        <w:t>et l’étendue du morcellement</w:t>
      </w:r>
      <w:r w:rsidRPr="00AF5B6D">
        <w:rPr>
          <w:kern w:val="22"/>
          <w:szCs w:val="22"/>
          <w:lang w:val="fr-CA"/>
        </w:rPr>
        <w:t>, surtout des fo</w:t>
      </w:r>
      <w:r>
        <w:rPr>
          <w:kern w:val="22"/>
          <w:szCs w:val="22"/>
          <w:lang w:val="fr-CA"/>
        </w:rPr>
        <w:t>rêts, sont considérables. Une</w:t>
      </w:r>
      <w:r w:rsidRPr="00AF5B6D">
        <w:rPr>
          <w:kern w:val="22"/>
          <w:szCs w:val="22"/>
          <w:lang w:val="fr-CA"/>
        </w:rPr>
        <w:t xml:space="preserve"> étude </w:t>
      </w:r>
      <w:r>
        <w:rPr>
          <w:kern w:val="22"/>
          <w:szCs w:val="22"/>
          <w:lang w:val="fr-CA"/>
        </w:rPr>
        <w:t>de 2018 a révélé que 70 pour cent du couvert forestier de la planète</w:t>
      </w:r>
      <w:r w:rsidRPr="00AF5B6D">
        <w:rPr>
          <w:kern w:val="22"/>
          <w:szCs w:val="22"/>
          <w:lang w:val="fr-CA"/>
        </w:rPr>
        <w:t xml:space="preserve"> se situe à mo</w:t>
      </w:r>
      <w:r>
        <w:rPr>
          <w:kern w:val="22"/>
          <w:szCs w:val="22"/>
          <w:lang w:val="fr-CA"/>
        </w:rPr>
        <w:t>ins d’un kilomètre du périmètre fores</w:t>
      </w:r>
      <w:r w:rsidRPr="00AF5B6D">
        <w:rPr>
          <w:kern w:val="22"/>
          <w:szCs w:val="22"/>
          <w:lang w:val="fr-CA"/>
        </w:rPr>
        <w:t>t</w:t>
      </w:r>
      <w:r>
        <w:rPr>
          <w:kern w:val="22"/>
          <w:szCs w:val="22"/>
          <w:lang w:val="fr-CA"/>
        </w:rPr>
        <w:t>ier</w:t>
      </w:r>
      <w:r w:rsidRPr="00AF5B6D">
        <w:rPr>
          <w:kern w:val="22"/>
          <w:szCs w:val="22"/>
          <w:lang w:val="fr-CA"/>
        </w:rPr>
        <w:t xml:space="preserve"> (par exemple</w:t>
      </w:r>
      <w:r>
        <w:rPr>
          <w:kern w:val="22"/>
          <w:szCs w:val="22"/>
          <w:lang w:val="fr-CA"/>
        </w:rPr>
        <w:t xml:space="preserve">, une route ou des terres </w:t>
      </w:r>
      <w:r w:rsidRPr="00AF5B6D">
        <w:rPr>
          <w:kern w:val="22"/>
          <w:szCs w:val="22"/>
          <w:lang w:val="fr-CA"/>
        </w:rPr>
        <w:t>converties à une autre utilisation</w:t>
      </w:r>
      <w:r>
        <w:rPr>
          <w:kern w:val="22"/>
          <w:szCs w:val="22"/>
          <w:lang w:val="fr-CA"/>
        </w:rPr>
        <w:t>,</w:t>
      </w:r>
      <w:r w:rsidRPr="00AF5B6D">
        <w:rPr>
          <w:kern w:val="22"/>
          <w:szCs w:val="22"/>
          <w:lang w:val="fr-CA"/>
        </w:rPr>
        <w:t xml:space="preserve"> telle que l’agriculture), ce qui </w:t>
      </w:r>
      <w:r>
        <w:rPr>
          <w:kern w:val="22"/>
          <w:szCs w:val="22"/>
          <w:lang w:val="fr-CA"/>
        </w:rPr>
        <w:t xml:space="preserve">réduit la biodiversité </w:t>
      </w:r>
      <w:r w:rsidRPr="00AF5B6D">
        <w:rPr>
          <w:kern w:val="22"/>
          <w:szCs w:val="22"/>
          <w:lang w:val="fr-CA"/>
        </w:rPr>
        <w:t>jusqu’à 7</w:t>
      </w:r>
      <w:r>
        <w:rPr>
          <w:kern w:val="22"/>
          <w:szCs w:val="22"/>
          <w:lang w:val="fr-CA"/>
        </w:rPr>
        <w:t>5</w:t>
      </w:r>
      <w:r w:rsidRPr="00AF5B6D">
        <w:rPr>
          <w:kern w:val="22"/>
          <w:szCs w:val="22"/>
          <w:lang w:val="fr-CA"/>
        </w:rPr>
        <w:t xml:space="preserve"> pour cent, mettant en péril le fonctionnement des écosystèmes.</w:t>
      </w:r>
      <w:r w:rsidRPr="00F17422">
        <w:rPr>
          <w:rStyle w:val="FootnoteReference"/>
          <w:kern w:val="22"/>
          <w:sz w:val="20"/>
          <w:szCs w:val="20"/>
          <w:u w:val="none"/>
          <w:vertAlign w:val="superscript"/>
          <w:lang w:val="fr-CA"/>
        </w:rPr>
        <w:footnoteReference w:id="38"/>
      </w:r>
      <w:r w:rsidRPr="00AF5B6D">
        <w:rPr>
          <w:kern w:val="22"/>
          <w:szCs w:val="22"/>
          <w:vertAlign w:val="superscript"/>
          <w:lang w:val="fr-CA"/>
        </w:rPr>
        <w:t xml:space="preserve"> </w:t>
      </w:r>
      <w:r>
        <w:rPr>
          <w:kern w:val="22"/>
          <w:szCs w:val="22"/>
          <w:lang w:val="fr-CA"/>
        </w:rPr>
        <w:t>L’intégrité</w:t>
      </w:r>
      <w:r w:rsidRPr="00AF5B6D">
        <w:rPr>
          <w:kern w:val="22"/>
          <w:szCs w:val="22"/>
          <w:lang w:val="fr-CA"/>
        </w:rPr>
        <w:t xml:space="preserve"> de l’habitat est de plus en plus </w:t>
      </w:r>
      <w:r>
        <w:rPr>
          <w:kern w:val="22"/>
          <w:szCs w:val="22"/>
          <w:lang w:val="fr-CA"/>
        </w:rPr>
        <w:t>re</w:t>
      </w:r>
      <w:r w:rsidRPr="00AF5B6D">
        <w:rPr>
          <w:kern w:val="22"/>
          <w:szCs w:val="22"/>
          <w:lang w:val="fr-CA"/>
        </w:rPr>
        <w:t xml:space="preserve">connue comme étant essentielle au fonctionnement des systèmes écologiques </w:t>
      </w:r>
      <w:r>
        <w:rPr>
          <w:kern w:val="22"/>
          <w:szCs w:val="22"/>
          <w:lang w:val="fr-CA"/>
        </w:rPr>
        <w:t>plus vastes</w:t>
      </w:r>
      <w:r w:rsidRPr="00AF5B6D">
        <w:rPr>
          <w:kern w:val="22"/>
          <w:szCs w:val="22"/>
          <w:lang w:val="fr-CA"/>
        </w:rPr>
        <w:t xml:space="preserve">, ainsi que pour les </w:t>
      </w:r>
      <w:r>
        <w:rPr>
          <w:kern w:val="22"/>
          <w:szCs w:val="22"/>
          <w:lang w:val="fr-CA"/>
        </w:rPr>
        <w:t xml:space="preserve">fonctions et </w:t>
      </w:r>
      <w:r w:rsidRPr="00AF5B6D">
        <w:rPr>
          <w:kern w:val="22"/>
          <w:szCs w:val="22"/>
          <w:lang w:val="fr-CA"/>
        </w:rPr>
        <w:t>services écosystémiques</w:t>
      </w:r>
      <w:r>
        <w:rPr>
          <w:kern w:val="22"/>
          <w:szCs w:val="22"/>
          <w:lang w:val="fr-CA"/>
        </w:rPr>
        <w:t>, y compris le cycle de</w:t>
      </w:r>
      <w:r w:rsidRPr="00AF5B6D">
        <w:rPr>
          <w:kern w:val="22"/>
          <w:szCs w:val="22"/>
          <w:lang w:val="fr-CA"/>
        </w:rPr>
        <w:t xml:space="preserve"> l’eau</w:t>
      </w:r>
      <w:r>
        <w:rPr>
          <w:kern w:val="22"/>
          <w:szCs w:val="22"/>
          <w:lang w:val="fr-CA"/>
        </w:rPr>
        <w:t xml:space="preserve"> et du carbone, </w:t>
      </w:r>
      <w:r w:rsidRPr="00AF5B6D">
        <w:rPr>
          <w:kern w:val="22"/>
          <w:szCs w:val="22"/>
          <w:lang w:val="fr-CA"/>
        </w:rPr>
        <w:t>et la santé humaine</w:t>
      </w:r>
      <w:r w:rsidRPr="00BE78F9">
        <w:rPr>
          <w:kern w:val="22"/>
          <w:szCs w:val="22"/>
          <w:lang w:val="fr-CA"/>
        </w:rPr>
        <w:t>.</w:t>
      </w:r>
      <w:r w:rsidRPr="00F17422">
        <w:rPr>
          <w:rStyle w:val="FootnoteReference"/>
          <w:kern w:val="22"/>
          <w:sz w:val="20"/>
          <w:szCs w:val="20"/>
          <w:u w:val="none"/>
          <w:vertAlign w:val="superscript"/>
          <w:lang w:val="fr-CA"/>
        </w:rPr>
        <w:footnoteReference w:id="39"/>
      </w:r>
    </w:p>
    <w:p w:rsidR="009F6935" w:rsidRPr="00AF5B6D" w:rsidRDefault="009F6935" w:rsidP="009F6935">
      <w:pPr>
        <w:pStyle w:val="Para1"/>
        <w:numPr>
          <w:ilvl w:val="6"/>
          <w:numId w:val="3"/>
        </w:numPr>
        <w:suppressLineNumbers/>
        <w:tabs>
          <w:tab w:val="clear" w:pos="2520"/>
        </w:tabs>
        <w:suppressAutoHyphens/>
        <w:kinsoku w:val="0"/>
        <w:overflowPunct w:val="0"/>
        <w:autoSpaceDE w:val="0"/>
        <w:autoSpaceDN w:val="0"/>
        <w:ind w:left="0" w:firstLine="0"/>
        <w:rPr>
          <w:kern w:val="22"/>
          <w:szCs w:val="22"/>
          <w:lang w:val="fr-CA"/>
        </w:rPr>
      </w:pPr>
      <w:r w:rsidRPr="00AF5B6D">
        <w:rPr>
          <w:kern w:val="22"/>
          <w:szCs w:val="22"/>
          <w:lang w:val="fr-CA"/>
        </w:rPr>
        <w:t xml:space="preserve">Le but 1.2 du programme de travail sur les aires protégées consiste à « Intégrer d’ici 2015, toutes les aires protégées dans les systèmes de paysages terrestres et marins plus vastes et dans les secteurs pertinents, en appliquant l’approche par écosystème et en tenant compte de la connectivité écologique et, s’il y a lieu, du concept des réseaux écologiques. » Dans sa décision </w:t>
      </w:r>
      <w:hyperlink r:id="rId13" w:history="1">
        <w:r w:rsidRPr="00AF5B6D">
          <w:rPr>
            <w:rStyle w:val="Hyperlink"/>
            <w:kern w:val="22"/>
            <w:szCs w:val="22"/>
            <w:lang w:val="fr-CA"/>
          </w:rPr>
          <w:t>X/6</w:t>
        </w:r>
      </w:hyperlink>
      <w:r w:rsidRPr="00AF5B6D">
        <w:rPr>
          <w:kern w:val="22"/>
          <w:szCs w:val="22"/>
          <w:lang w:val="fr-CA"/>
        </w:rPr>
        <w:t>, la Conférence d</w:t>
      </w:r>
      <w:r>
        <w:rPr>
          <w:kern w:val="22"/>
          <w:szCs w:val="22"/>
          <w:lang w:val="fr-CA"/>
        </w:rPr>
        <w:t>es Parties a souligné</w:t>
      </w:r>
      <w:r w:rsidRPr="00AF5B6D">
        <w:rPr>
          <w:kern w:val="22"/>
          <w:szCs w:val="22"/>
          <w:lang w:val="fr-CA"/>
        </w:rPr>
        <w:t xml:space="preserve"> notamment aux Parties l’importance d’intégrer la diversi</w:t>
      </w:r>
      <w:r>
        <w:rPr>
          <w:kern w:val="22"/>
          <w:szCs w:val="22"/>
          <w:lang w:val="fr-CA"/>
        </w:rPr>
        <w:t>té biologique dans les politiques d’élimination de la pauvreté et d</w:t>
      </w:r>
      <w:r w:rsidRPr="00AF5B6D">
        <w:rPr>
          <w:kern w:val="22"/>
          <w:szCs w:val="22"/>
          <w:lang w:val="fr-CA"/>
        </w:rPr>
        <w:t xml:space="preserve">e développement, et dans sa décision </w:t>
      </w:r>
      <w:hyperlink r:id="rId14" w:history="1">
        <w:r w:rsidRPr="00AF5B6D">
          <w:rPr>
            <w:rStyle w:val="Hyperlink"/>
            <w:kern w:val="22"/>
            <w:szCs w:val="22"/>
            <w:lang w:val="fr-CA"/>
          </w:rPr>
          <w:t>XIII/3</w:t>
        </w:r>
      </w:hyperlink>
      <w:r w:rsidRPr="00AF5B6D">
        <w:rPr>
          <w:kern w:val="22"/>
          <w:szCs w:val="22"/>
          <w:lang w:val="fr-CA"/>
        </w:rPr>
        <w:t xml:space="preserve">, </w:t>
      </w:r>
      <w:r>
        <w:rPr>
          <w:kern w:val="22"/>
          <w:szCs w:val="22"/>
          <w:lang w:val="fr-CA"/>
        </w:rPr>
        <w:t xml:space="preserve">elle a </w:t>
      </w:r>
      <w:r w:rsidRPr="00AF5B6D">
        <w:rPr>
          <w:kern w:val="22"/>
          <w:szCs w:val="22"/>
          <w:lang w:val="fr-CA"/>
        </w:rPr>
        <w:t>soul</w:t>
      </w:r>
      <w:r>
        <w:rPr>
          <w:kern w:val="22"/>
          <w:szCs w:val="22"/>
          <w:lang w:val="fr-CA"/>
        </w:rPr>
        <w:t>igné,</w:t>
      </w:r>
      <w:r w:rsidRPr="00AF5B6D">
        <w:rPr>
          <w:kern w:val="22"/>
          <w:szCs w:val="22"/>
          <w:lang w:val="fr-CA"/>
        </w:rPr>
        <w:t xml:space="preserve"> entre autres</w:t>
      </w:r>
      <w:r>
        <w:rPr>
          <w:kern w:val="22"/>
          <w:szCs w:val="22"/>
          <w:lang w:val="fr-CA"/>
        </w:rPr>
        <w:t>,</w:t>
      </w:r>
      <w:r w:rsidRPr="00AF5B6D">
        <w:rPr>
          <w:kern w:val="22"/>
          <w:szCs w:val="22"/>
          <w:lang w:val="fr-CA"/>
        </w:rPr>
        <w:t xml:space="preserve"> l’importance d’intégrer la diversité biologique dans les secteurs</w:t>
      </w:r>
      <w:r>
        <w:rPr>
          <w:kern w:val="22"/>
          <w:szCs w:val="22"/>
          <w:lang w:val="fr-CA"/>
        </w:rPr>
        <w:t xml:space="preserve"> pertinents</w:t>
      </w:r>
      <w:r w:rsidRPr="00AF5B6D">
        <w:rPr>
          <w:kern w:val="22"/>
          <w:szCs w:val="22"/>
          <w:lang w:val="fr-CA"/>
        </w:rPr>
        <w:t xml:space="preserve">. Dans sa décision </w:t>
      </w:r>
      <w:hyperlink r:id="rId15" w:history="1">
        <w:r w:rsidRPr="00AF5B6D">
          <w:rPr>
            <w:rStyle w:val="Hyperlink"/>
            <w:kern w:val="22"/>
            <w:szCs w:val="22"/>
            <w:lang w:val="fr-CA"/>
          </w:rPr>
          <w:t>X/31</w:t>
        </w:r>
      </w:hyperlink>
      <w:r w:rsidRPr="00AF5B6D">
        <w:rPr>
          <w:kern w:val="22"/>
          <w:szCs w:val="22"/>
          <w:lang w:val="fr-CA"/>
        </w:rPr>
        <w:t xml:space="preserve">, la Conférence des Parties </w:t>
      </w:r>
      <w:r>
        <w:rPr>
          <w:kern w:val="22"/>
          <w:szCs w:val="22"/>
          <w:lang w:val="fr-CA"/>
        </w:rPr>
        <w:t>a invité</w:t>
      </w:r>
      <w:r w:rsidRPr="00AF5B6D">
        <w:rPr>
          <w:kern w:val="22"/>
          <w:szCs w:val="22"/>
          <w:lang w:val="fr-CA"/>
        </w:rPr>
        <w:t xml:space="preserve"> notamment les Parties à faciliter l’intégration de</w:t>
      </w:r>
      <w:r>
        <w:rPr>
          <w:kern w:val="22"/>
          <w:szCs w:val="22"/>
          <w:lang w:val="fr-CA"/>
        </w:rPr>
        <w:t>s aires protégées dans les programmes de développement national</w:t>
      </w:r>
      <w:r w:rsidRPr="00AF5B6D">
        <w:rPr>
          <w:kern w:val="22"/>
          <w:szCs w:val="22"/>
          <w:lang w:val="fr-CA"/>
        </w:rPr>
        <w:t xml:space="preserve"> et de développement</w:t>
      </w:r>
      <w:r>
        <w:rPr>
          <w:kern w:val="22"/>
          <w:szCs w:val="22"/>
          <w:lang w:val="fr-CA"/>
        </w:rPr>
        <w:t xml:space="preserve"> économique, lorsqu’</w:t>
      </w:r>
      <w:r w:rsidRPr="00AF5B6D">
        <w:rPr>
          <w:kern w:val="22"/>
          <w:szCs w:val="22"/>
          <w:lang w:val="fr-CA"/>
        </w:rPr>
        <w:t>ils existent.</w:t>
      </w:r>
    </w:p>
    <w:p w:rsidR="009F6935" w:rsidRPr="00AF5B6D" w:rsidRDefault="009F6935" w:rsidP="009F6935">
      <w:pPr>
        <w:pStyle w:val="Para1"/>
        <w:numPr>
          <w:ilvl w:val="6"/>
          <w:numId w:val="3"/>
        </w:numPr>
        <w:suppressLineNumbers/>
        <w:tabs>
          <w:tab w:val="clear" w:pos="2520"/>
        </w:tabs>
        <w:suppressAutoHyphens/>
        <w:kinsoku w:val="0"/>
        <w:overflowPunct w:val="0"/>
        <w:autoSpaceDE w:val="0"/>
        <w:autoSpaceDN w:val="0"/>
        <w:ind w:left="0" w:firstLine="0"/>
        <w:rPr>
          <w:kern w:val="22"/>
          <w:szCs w:val="22"/>
          <w:lang w:val="fr-CA"/>
        </w:rPr>
      </w:pPr>
      <w:r w:rsidRPr="00AF5B6D">
        <w:rPr>
          <w:kern w:val="22"/>
          <w:szCs w:val="22"/>
          <w:lang w:val="fr-CA"/>
        </w:rPr>
        <w:t xml:space="preserve">L’intégration des aires protégées </w:t>
      </w:r>
      <w:r>
        <w:rPr>
          <w:kern w:val="22"/>
          <w:szCs w:val="22"/>
          <w:lang w:val="fr-CA"/>
        </w:rPr>
        <w:t>peut être définie comme « un</w:t>
      </w:r>
      <w:r w:rsidRPr="00AF5B6D">
        <w:rPr>
          <w:kern w:val="22"/>
          <w:szCs w:val="22"/>
          <w:lang w:val="fr-CA"/>
        </w:rPr>
        <w:t xml:space="preserve"> processus </w:t>
      </w:r>
      <w:r>
        <w:rPr>
          <w:kern w:val="22"/>
          <w:szCs w:val="22"/>
          <w:lang w:val="fr-CA"/>
        </w:rPr>
        <w:t xml:space="preserve">visant à faire en sorte </w:t>
      </w:r>
      <w:r w:rsidRPr="00AF5B6D">
        <w:rPr>
          <w:kern w:val="22"/>
          <w:szCs w:val="22"/>
          <w:lang w:val="fr-CA"/>
        </w:rPr>
        <w:t>que les aires protégés, les corridor</w:t>
      </w:r>
      <w:r>
        <w:rPr>
          <w:kern w:val="22"/>
          <w:szCs w:val="22"/>
          <w:lang w:val="fr-CA"/>
        </w:rPr>
        <w:t>s et le support avoisinant so</w:t>
      </w:r>
      <w:r w:rsidRPr="00AF5B6D">
        <w:rPr>
          <w:kern w:val="22"/>
          <w:szCs w:val="22"/>
          <w:lang w:val="fr-CA"/>
        </w:rPr>
        <w:t>nt conçus et gérés de manière à favoriser la connectivité et le bon fonctionnement du réseau écologique</w:t>
      </w:r>
      <w:r>
        <w:rPr>
          <w:kern w:val="22"/>
          <w:szCs w:val="22"/>
          <w:lang w:val="fr-CA"/>
        </w:rPr>
        <w:t> »</w:t>
      </w:r>
      <w:r w:rsidRPr="00AF5B6D">
        <w:rPr>
          <w:kern w:val="22"/>
          <w:szCs w:val="22"/>
          <w:lang w:val="fr-CA"/>
        </w:rPr>
        <w:t>.</w:t>
      </w:r>
      <w:r w:rsidRPr="00F17422">
        <w:rPr>
          <w:rStyle w:val="FootnoteReference"/>
          <w:kern w:val="22"/>
          <w:sz w:val="20"/>
          <w:szCs w:val="20"/>
          <w:u w:val="none"/>
          <w:vertAlign w:val="superscript"/>
          <w:lang w:val="fr-CA"/>
        </w:rPr>
        <w:footnoteReference w:id="40"/>
      </w:r>
      <w:r>
        <w:rPr>
          <w:kern w:val="22"/>
          <w:szCs w:val="22"/>
          <w:lang w:val="fr-CA"/>
        </w:rPr>
        <w:t xml:space="preserve"> L’intégration des aires protégées peut être définie également comme</w:t>
      </w:r>
      <w:r w:rsidRPr="00AF5B6D">
        <w:rPr>
          <w:kern w:val="22"/>
          <w:szCs w:val="22"/>
          <w:lang w:val="fr-CA"/>
        </w:rPr>
        <w:t xml:space="preserve"> l’intégration des valeurs, des impacts et des dépendances de la diversité biologique et des </w:t>
      </w:r>
      <w:r>
        <w:rPr>
          <w:kern w:val="22"/>
          <w:szCs w:val="22"/>
          <w:lang w:val="fr-CA"/>
        </w:rPr>
        <w:t xml:space="preserve">fonctions et </w:t>
      </w:r>
      <w:r w:rsidRPr="00AF5B6D">
        <w:rPr>
          <w:kern w:val="22"/>
          <w:szCs w:val="22"/>
          <w:lang w:val="fr-CA"/>
        </w:rPr>
        <w:t>services éc</w:t>
      </w:r>
      <w:r>
        <w:rPr>
          <w:kern w:val="22"/>
          <w:szCs w:val="22"/>
          <w:lang w:val="fr-CA"/>
        </w:rPr>
        <w:t>osystémiques fournis par les air</w:t>
      </w:r>
      <w:r w:rsidRPr="00AF5B6D">
        <w:rPr>
          <w:kern w:val="22"/>
          <w:szCs w:val="22"/>
          <w:lang w:val="fr-CA"/>
        </w:rPr>
        <w:t xml:space="preserve">es protégées dans des secteurs </w:t>
      </w:r>
      <w:r w:rsidRPr="00AF5B6D">
        <w:rPr>
          <w:kern w:val="22"/>
          <w:szCs w:val="22"/>
          <w:lang w:val="fr-CA"/>
        </w:rPr>
        <w:lastRenderedPageBreak/>
        <w:t>déterminants tels qu</w:t>
      </w:r>
      <w:r>
        <w:rPr>
          <w:kern w:val="22"/>
          <w:szCs w:val="22"/>
          <w:lang w:val="fr-CA"/>
        </w:rPr>
        <w:t>e l’agriculture, la pêche, l’exploitation fore</w:t>
      </w:r>
      <w:r w:rsidRPr="00AF5B6D">
        <w:rPr>
          <w:kern w:val="22"/>
          <w:szCs w:val="22"/>
          <w:lang w:val="fr-CA"/>
        </w:rPr>
        <w:t>s</w:t>
      </w:r>
      <w:r>
        <w:rPr>
          <w:kern w:val="22"/>
          <w:szCs w:val="22"/>
          <w:lang w:val="fr-CA"/>
        </w:rPr>
        <w:t>tière</w:t>
      </w:r>
      <w:r w:rsidRPr="00AF5B6D">
        <w:rPr>
          <w:kern w:val="22"/>
          <w:szCs w:val="22"/>
          <w:lang w:val="fr-CA"/>
        </w:rPr>
        <w:t>, l’exploitation miniè</w:t>
      </w:r>
      <w:r>
        <w:rPr>
          <w:kern w:val="22"/>
          <w:szCs w:val="22"/>
          <w:lang w:val="fr-CA"/>
        </w:rPr>
        <w:t>re, l’énergie, le tourisme, le transport, l’éducation et la santé</w:t>
      </w:r>
      <w:r w:rsidRPr="00AF5B6D">
        <w:rPr>
          <w:kern w:val="22"/>
          <w:szCs w:val="22"/>
          <w:lang w:val="fr-CA"/>
        </w:rPr>
        <w:t>.</w:t>
      </w:r>
    </w:p>
    <w:p w:rsidR="009F6935" w:rsidRPr="00AF5B6D" w:rsidRDefault="009F6935" w:rsidP="009F6935">
      <w:pPr>
        <w:pStyle w:val="Para1"/>
        <w:numPr>
          <w:ilvl w:val="6"/>
          <w:numId w:val="3"/>
        </w:numPr>
        <w:suppressLineNumbers/>
        <w:tabs>
          <w:tab w:val="clear" w:pos="2520"/>
        </w:tabs>
        <w:suppressAutoHyphens/>
        <w:kinsoku w:val="0"/>
        <w:overflowPunct w:val="0"/>
        <w:autoSpaceDE w:val="0"/>
        <w:autoSpaceDN w:val="0"/>
        <w:ind w:left="0" w:firstLine="0"/>
        <w:rPr>
          <w:kern w:val="22"/>
          <w:szCs w:val="22"/>
          <w:lang w:val="fr-CA"/>
        </w:rPr>
      </w:pPr>
      <w:r>
        <w:rPr>
          <w:kern w:val="22"/>
          <w:szCs w:val="22"/>
          <w:lang w:val="fr-CA"/>
        </w:rPr>
        <w:t xml:space="preserve">Les aires protégées sauvegardent </w:t>
      </w:r>
      <w:r w:rsidRPr="00AF5B6D">
        <w:rPr>
          <w:kern w:val="22"/>
          <w:szCs w:val="22"/>
          <w:lang w:val="fr-CA"/>
        </w:rPr>
        <w:t>la diversité biologique et les éc</w:t>
      </w:r>
      <w:r>
        <w:rPr>
          <w:kern w:val="22"/>
          <w:szCs w:val="22"/>
          <w:lang w:val="fr-CA"/>
        </w:rPr>
        <w:t>osystèmes qui sous-tendent les O</w:t>
      </w:r>
      <w:r w:rsidRPr="00AF5B6D">
        <w:rPr>
          <w:kern w:val="22"/>
          <w:szCs w:val="22"/>
          <w:lang w:val="fr-CA"/>
        </w:rPr>
        <w:t>bjectifs de développement durable.</w:t>
      </w:r>
      <w:r w:rsidRPr="00F17422">
        <w:rPr>
          <w:rStyle w:val="FootnoteReference"/>
          <w:kern w:val="22"/>
          <w:sz w:val="20"/>
          <w:szCs w:val="20"/>
          <w:u w:val="none"/>
          <w:vertAlign w:val="superscript"/>
          <w:lang w:val="fr-CA"/>
        </w:rPr>
        <w:footnoteReference w:id="41"/>
      </w:r>
      <w:r w:rsidRPr="00AF5B6D">
        <w:rPr>
          <w:kern w:val="22"/>
          <w:szCs w:val="22"/>
          <w:lang w:val="fr-CA"/>
        </w:rPr>
        <w:t xml:space="preserve"> Les aires protégées son</w:t>
      </w:r>
      <w:r>
        <w:rPr>
          <w:kern w:val="22"/>
          <w:szCs w:val="22"/>
          <w:lang w:val="fr-CA"/>
        </w:rPr>
        <w:t>t particulièrement importantes pour</w:t>
      </w:r>
      <w:r w:rsidRPr="00AF5B6D">
        <w:rPr>
          <w:kern w:val="22"/>
          <w:szCs w:val="22"/>
          <w:lang w:val="fr-CA"/>
        </w:rPr>
        <w:t xml:space="preserve"> la réalis</w:t>
      </w:r>
      <w:r>
        <w:rPr>
          <w:kern w:val="22"/>
          <w:szCs w:val="22"/>
          <w:lang w:val="fr-CA"/>
        </w:rPr>
        <w:t>ation des objectifs liés à</w:t>
      </w:r>
      <w:r w:rsidRPr="00AF5B6D">
        <w:rPr>
          <w:kern w:val="22"/>
          <w:szCs w:val="22"/>
          <w:lang w:val="fr-CA"/>
        </w:rPr>
        <w:t xml:space="preserve"> l’</w:t>
      </w:r>
      <w:r>
        <w:rPr>
          <w:kern w:val="22"/>
          <w:szCs w:val="22"/>
          <w:lang w:val="fr-CA"/>
        </w:rPr>
        <w:t>élimination</w:t>
      </w:r>
      <w:r w:rsidRPr="00AF5B6D">
        <w:rPr>
          <w:kern w:val="22"/>
          <w:szCs w:val="22"/>
          <w:lang w:val="fr-CA"/>
        </w:rPr>
        <w:t xml:space="preserve"> de l</w:t>
      </w:r>
      <w:r>
        <w:rPr>
          <w:kern w:val="22"/>
          <w:szCs w:val="22"/>
          <w:lang w:val="fr-CA"/>
        </w:rPr>
        <w:t>a pauvreté, la sécurité hydrique</w:t>
      </w:r>
      <w:r w:rsidRPr="00AF5B6D">
        <w:rPr>
          <w:kern w:val="22"/>
          <w:szCs w:val="22"/>
          <w:lang w:val="fr-CA"/>
        </w:rPr>
        <w:t xml:space="preserve">, la séquestration du carbone, l’adaptation aux changements climatiques, le développement économique et la réduction des risques de </w:t>
      </w:r>
      <w:r>
        <w:rPr>
          <w:kern w:val="22"/>
          <w:szCs w:val="22"/>
          <w:lang w:val="fr-CA"/>
        </w:rPr>
        <w:t>catastrophe naturelle</w:t>
      </w:r>
      <w:r w:rsidRPr="00AF5B6D">
        <w:rPr>
          <w:kern w:val="22"/>
          <w:szCs w:val="22"/>
          <w:lang w:val="fr-CA"/>
        </w:rPr>
        <w:t>. Les aires protégées sont une stratégie es</w:t>
      </w:r>
      <w:r>
        <w:rPr>
          <w:kern w:val="22"/>
          <w:szCs w:val="22"/>
          <w:lang w:val="fr-CA"/>
        </w:rPr>
        <w:t>sentielle du domaine émergent</w:t>
      </w:r>
      <w:r w:rsidRPr="00AF5B6D">
        <w:rPr>
          <w:kern w:val="22"/>
          <w:szCs w:val="22"/>
          <w:lang w:val="fr-CA"/>
        </w:rPr>
        <w:t xml:space="preserve"> des sol</w:t>
      </w:r>
      <w:r>
        <w:rPr>
          <w:kern w:val="22"/>
          <w:szCs w:val="22"/>
          <w:lang w:val="fr-CA"/>
        </w:rPr>
        <w:t>utions fondées sur la nature pour relever divers défis</w:t>
      </w:r>
      <w:r w:rsidRPr="00AF5B6D">
        <w:rPr>
          <w:kern w:val="22"/>
          <w:szCs w:val="22"/>
          <w:lang w:val="fr-CA"/>
        </w:rPr>
        <w:t xml:space="preserve"> mondia</w:t>
      </w:r>
      <w:r>
        <w:rPr>
          <w:kern w:val="22"/>
          <w:szCs w:val="22"/>
          <w:lang w:val="fr-CA"/>
        </w:rPr>
        <w:t>ux tels que la sécurité hydrique</w:t>
      </w:r>
      <w:r w:rsidRPr="00FF06BD">
        <w:rPr>
          <w:kern w:val="22"/>
          <w:szCs w:val="22"/>
          <w:lang w:val="fr-CA"/>
        </w:rPr>
        <w:t>.</w:t>
      </w:r>
      <w:r w:rsidRPr="00F17422">
        <w:rPr>
          <w:rStyle w:val="FootnoteReference"/>
          <w:kern w:val="22"/>
          <w:sz w:val="20"/>
          <w:szCs w:val="20"/>
          <w:u w:val="none"/>
          <w:vertAlign w:val="superscript"/>
          <w:lang w:val="fr-CA"/>
        </w:rPr>
        <w:footnoteReference w:id="42"/>
      </w:r>
      <w:r w:rsidRPr="00F17422">
        <w:rPr>
          <w:kern w:val="22"/>
          <w:sz w:val="20"/>
          <w:szCs w:val="20"/>
          <w:lang w:val="fr-CA"/>
        </w:rPr>
        <w:t xml:space="preserve"> </w:t>
      </w:r>
      <w:r>
        <w:rPr>
          <w:kern w:val="22"/>
          <w:szCs w:val="22"/>
          <w:lang w:val="fr-CA"/>
        </w:rPr>
        <w:t>Elles revêtent</w:t>
      </w:r>
      <w:r w:rsidRPr="00AF5B6D">
        <w:rPr>
          <w:kern w:val="22"/>
          <w:szCs w:val="22"/>
          <w:lang w:val="fr-CA"/>
        </w:rPr>
        <w:t xml:space="preserve"> une importance </w:t>
      </w:r>
      <w:r>
        <w:rPr>
          <w:kern w:val="22"/>
          <w:szCs w:val="22"/>
          <w:lang w:val="fr-CA"/>
        </w:rPr>
        <w:t>particulière en tant que</w:t>
      </w:r>
      <w:r w:rsidRPr="00AF5B6D">
        <w:rPr>
          <w:kern w:val="22"/>
          <w:szCs w:val="22"/>
          <w:lang w:val="fr-CA"/>
        </w:rPr>
        <w:t xml:space="preserve"> solution fo</w:t>
      </w:r>
      <w:r>
        <w:rPr>
          <w:kern w:val="22"/>
          <w:szCs w:val="22"/>
          <w:lang w:val="fr-CA"/>
        </w:rPr>
        <w:t xml:space="preserve">ndée sur la nature pour l’atténuation des </w:t>
      </w:r>
      <w:r w:rsidRPr="00AF5B6D">
        <w:rPr>
          <w:kern w:val="22"/>
          <w:szCs w:val="22"/>
          <w:lang w:val="fr-CA"/>
        </w:rPr>
        <w:t>changements climatiques</w:t>
      </w:r>
      <w:r w:rsidRPr="00F17422">
        <w:rPr>
          <w:rStyle w:val="FootnoteReference"/>
          <w:kern w:val="22"/>
          <w:sz w:val="20"/>
          <w:szCs w:val="20"/>
          <w:u w:val="none"/>
          <w:vertAlign w:val="superscript"/>
          <w:lang w:val="fr-CA"/>
        </w:rPr>
        <w:footnoteReference w:id="43"/>
      </w:r>
      <w:r w:rsidRPr="00BE78F9">
        <w:rPr>
          <w:kern w:val="22"/>
          <w:szCs w:val="22"/>
          <w:lang w:val="fr-CA"/>
        </w:rPr>
        <w:t xml:space="preserve"> </w:t>
      </w:r>
      <w:r>
        <w:rPr>
          <w:kern w:val="22"/>
          <w:szCs w:val="22"/>
          <w:lang w:val="fr-CA"/>
        </w:rPr>
        <w:t>et l’adaptation à ceux-ci</w:t>
      </w:r>
      <w:r w:rsidRPr="00AF5B6D">
        <w:rPr>
          <w:kern w:val="22"/>
          <w:szCs w:val="22"/>
          <w:lang w:val="fr-CA"/>
        </w:rPr>
        <w:t>.</w:t>
      </w:r>
      <w:r w:rsidRPr="00F17422">
        <w:rPr>
          <w:rStyle w:val="FootnoteReference"/>
          <w:kern w:val="22"/>
          <w:sz w:val="20"/>
          <w:szCs w:val="20"/>
          <w:u w:val="none"/>
          <w:vertAlign w:val="superscript"/>
          <w:lang w:val="fr-CA"/>
        </w:rPr>
        <w:footnoteReference w:id="44"/>
      </w:r>
      <w:r w:rsidRPr="00BE78F9">
        <w:rPr>
          <w:kern w:val="22"/>
          <w:szCs w:val="22"/>
          <w:lang w:val="fr-CA"/>
        </w:rPr>
        <w:t xml:space="preserve"> </w:t>
      </w:r>
      <w:r w:rsidRPr="00AF5B6D">
        <w:rPr>
          <w:kern w:val="22"/>
          <w:szCs w:val="22"/>
          <w:lang w:val="fr-CA"/>
        </w:rPr>
        <w:t xml:space="preserve">La nature </w:t>
      </w:r>
      <w:r>
        <w:rPr>
          <w:kern w:val="22"/>
          <w:szCs w:val="22"/>
          <w:lang w:val="fr-CA"/>
        </w:rPr>
        <w:t>pourrait fournir</w:t>
      </w:r>
      <w:r w:rsidRPr="00AF5B6D">
        <w:rPr>
          <w:kern w:val="22"/>
          <w:szCs w:val="22"/>
          <w:lang w:val="fr-CA"/>
        </w:rPr>
        <w:t xml:space="preserve"> au moins un tiers des solutions </w:t>
      </w:r>
      <w:r>
        <w:rPr>
          <w:kern w:val="22"/>
          <w:szCs w:val="22"/>
          <w:lang w:val="fr-CA"/>
        </w:rPr>
        <w:t>aux effets des changements climatiques pour maintenir le réchauffement de la planète en-dessous de</w:t>
      </w:r>
      <w:r w:rsidRPr="00AF5B6D">
        <w:rPr>
          <w:kern w:val="22"/>
          <w:szCs w:val="22"/>
          <w:lang w:val="fr-CA"/>
        </w:rPr>
        <w:t xml:space="preserve"> 1,5°C, et les aires protégées représentent une stratégie essentielle pour atteindre cet objectif.</w:t>
      </w:r>
    </w:p>
    <w:p w:rsidR="009F6935" w:rsidRPr="00AF5B6D" w:rsidRDefault="009F6935" w:rsidP="009F6935">
      <w:pPr>
        <w:pStyle w:val="Para1"/>
        <w:numPr>
          <w:ilvl w:val="6"/>
          <w:numId w:val="3"/>
        </w:numPr>
        <w:suppressLineNumbers/>
        <w:tabs>
          <w:tab w:val="clear" w:pos="2520"/>
        </w:tabs>
        <w:suppressAutoHyphens/>
        <w:kinsoku w:val="0"/>
        <w:overflowPunct w:val="0"/>
        <w:autoSpaceDE w:val="0"/>
        <w:autoSpaceDN w:val="0"/>
        <w:spacing w:after="240"/>
        <w:ind w:left="0" w:firstLine="0"/>
        <w:rPr>
          <w:kern w:val="22"/>
          <w:szCs w:val="22"/>
          <w:lang w:val="fr-CA"/>
        </w:rPr>
      </w:pPr>
      <w:r>
        <w:rPr>
          <w:kern w:val="22"/>
          <w:szCs w:val="22"/>
          <w:lang w:val="fr-CA"/>
        </w:rPr>
        <w:t>Malgré cela</w:t>
      </w:r>
      <w:r w:rsidRPr="00AF5B6D">
        <w:rPr>
          <w:kern w:val="22"/>
          <w:szCs w:val="22"/>
          <w:lang w:val="fr-CA"/>
        </w:rPr>
        <w:t xml:space="preserve">, les progrès </w:t>
      </w:r>
      <w:r>
        <w:rPr>
          <w:kern w:val="22"/>
          <w:szCs w:val="22"/>
          <w:lang w:val="fr-CA"/>
        </w:rPr>
        <w:t>réalisés dans l’</w:t>
      </w:r>
      <w:r w:rsidRPr="00AF5B6D">
        <w:rPr>
          <w:kern w:val="22"/>
          <w:szCs w:val="22"/>
          <w:lang w:val="fr-CA"/>
        </w:rPr>
        <w:t xml:space="preserve">intégration des aires protégées </w:t>
      </w:r>
      <w:r>
        <w:rPr>
          <w:kern w:val="22"/>
          <w:szCs w:val="22"/>
          <w:lang w:val="fr-CA"/>
        </w:rPr>
        <w:t>avancent lentement</w:t>
      </w:r>
      <w:r w:rsidRPr="00AF5B6D">
        <w:rPr>
          <w:kern w:val="22"/>
          <w:szCs w:val="22"/>
          <w:lang w:val="fr-CA"/>
        </w:rPr>
        <w:t xml:space="preserve"> et peu de pays font état de stratégies précises</w:t>
      </w:r>
      <w:r>
        <w:rPr>
          <w:kern w:val="22"/>
          <w:szCs w:val="22"/>
          <w:lang w:val="fr-CA"/>
        </w:rPr>
        <w:t xml:space="preserve"> pour la diversité biologique</w:t>
      </w:r>
      <w:r w:rsidRPr="00AF5B6D">
        <w:rPr>
          <w:kern w:val="22"/>
          <w:szCs w:val="22"/>
          <w:lang w:val="fr-CA"/>
        </w:rPr>
        <w:t xml:space="preserve"> dans leurs stratégies et plans d’action nationaux</w:t>
      </w:r>
      <w:r w:rsidRPr="00F17422">
        <w:rPr>
          <w:rStyle w:val="FootnoteReference"/>
          <w:kern w:val="22"/>
          <w:sz w:val="20"/>
          <w:szCs w:val="20"/>
          <w:u w:val="none"/>
          <w:vertAlign w:val="superscript"/>
          <w:lang w:val="fr-CA"/>
        </w:rPr>
        <w:footnoteReference w:id="45"/>
      </w:r>
      <w:r w:rsidRPr="00BE78F9">
        <w:rPr>
          <w:kern w:val="22"/>
          <w:szCs w:val="22"/>
          <w:lang w:val="fr-CA"/>
        </w:rPr>
        <w:t>.</w:t>
      </w:r>
      <w:r w:rsidRPr="00AF5B6D">
        <w:rPr>
          <w:kern w:val="22"/>
          <w:szCs w:val="22"/>
          <w:lang w:val="fr-CA"/>
        </w:rPr>
        <w:t xml:space="preserve"> Les Parties doivent agir en toute </w:t>
      </w:r>
      <w:r>
        <w:rPr>
          <w:kern w:val="22"/>
          <w:szCs w:val="22"/>
          <w:lang w:val="fr-CA"/>
        </w:rPr>
        <w:t>urgence afin de faire avancer</w:t>
      </w:r>
      <w:r w:rsidRPr="00AF5B6D">
        <w:rPr>
          <w:kern w:val="22"/>
          <w:szCs w:val="22"/>
          <w:lang w:val="fr-CA"/>
        </w:rPr>
        <w:t xml:space="preserve"> ces deux objectifs.</w:t>
      </w:r>
    </w:p>
    <w:p w:rsidR="009F6935" w:rsidRPr="00AF5B6D" w:rsidRDefault="009F6935" w:rsidP="00004EAF">
      <w:pPr>
        <w:pStyle w:val="Para1"/>
        <w:keepNext/>
        <w:numPr>
          <w:ilvl w:val="0"/>
          <w:numId w:val="20"/>
        </w:numPr>
        <w:suppressLineNumbers/>
        <w:tabs>
          <w:tab w:val="left" w:pos="360"/>
        </w:tabs>
        <w:suppressAutoHyphens/>
        <w:kinsoku w:val="0"/>
        <w:overflowPunct w:val="0"/>
        <w:autoSpaceDE w:val="0"/>
        <w:autoSpaceDN w:val="0"/>
        <w:spacing w:after="240"/>
        <w:ind w:left="0" w:firstLine="0"/>
        <w:jc w:val="center"/>
        <w:rPr>
          <w:b/>
          <w:kern w:val="22"/>
          <w:szCs w:val="22"/>
          <w:lang w:val="fr-CA"/>
        </w:rPr>
      </w:pPr>
      <w:r w:rsidRPr="00AF5B6D">
        <w:rPr>
          <w:b/>
          <w:kern w:val="22"/>
          <w:szCs w:val="22"/>
          <w:lang w:val="fr-CA"/>
        </w:rPr>
        <w:t>ORIENTATIONS FACULTATIVES</w:t>
      </w:r>
    </w:p>
    <w:p w:rsidR="009F6935" w:rsidRPr="00AF5B6D" w:rsidRDefault="009F6935" w:rsidP="009F6935">
      <w:pPr>
        <w:pStyle w:val="Para10"/>
        <w:keepNext/>
        <w:suppressLineNumbers/>
        <w:suppressAutoHyphens/>
        <w:kinsoku w:val="0"/>
        <w:overflowPunct w:val="0"/>
        <w:autoSpaceDE w:val="0"/>
        <w:autoSpaceDN w:val="0"/>
        <w:ind w:left="1440" w:hanging="720"/>
        <w:jc w:val="left"/>
        <w:rPr>
          <w:rFonts w:cs="Times New Roman"/>
          <w:b/>
          <w:bCs w:val="0"/>
          <w:iCs/>
          <w:kern w:val="22"/>
          <w:lang w:val="fr-CA" w:eastAsia="ja-JP" w:bidi="th-TH"/>
        </w:rPr>
      </w:pPr>
      <w:r>
        <w:rPr>
          <w:rFonts w:cs="Times New Roman"/>
          <w:b/>
          <w:bCs w:val="0"/>
          <w:iCs/>
          <w:kern w:val="22"/>
          <w:lang w:val="fr-CA" w:eastAsia="ja-JP" w:bidi="th-TH"/>
        </w:rPr>
        <w:t>A.</w:t>
      </w:r>
      <w:r>
        <w:rPr>
          <w:rFonts w:cs="Times New Roman"/>
          <w:b/>
          <w:bCs w:val="0"/>
          <w:iCs/>
          <w:kern w:val="22"/>
          <w:lang w:val="fr-CA" w:eastAsia="ja-JP" w:bidi="th-TH"/>
        </w:rPr>
        <w:tab/>
        <w:t>Mesures proposées pour améliorer et appuyer</w:t>
      </w:r>
      <w:r w:rsidRPr="00AF5B6D">
        <w:rPr>
          <w:rFonts w:cs="Times New Roman"/>
          <w:b/>
          <w:bCs w:val="0"/>
          <w:iCs/>
          <w:kern w:val="22"/>
          <w:lang w:val="fr-CA" w:eastAsia="ja-JP" w:bidi="th-TH"/>
        </w:rPr>
        <w:t xml:space="preserve"> l’intégration dans les paysages terrestres et marins, et dans les secteurs</w:t>
      </w:r>
      <w:r>
        <w:rPr>
          <w:rFonts w:cs="Times New Roman"/>
          <w:b/>
          <w:bCs w:val="0"/>
          <w:iCs/>
          <w:kern w:val="22"/>
          <w:lang w:val="fr-CA" w:eastAsia="ja-JP" w:bidi="th-TH"/>
        </w:rPr>
        <w:t xml:space="preserve"> pertinents</w:t>
      </w:r>
    </w:p>
    <w:p w:rsidR="009F6935" w:rsidRPr="00AF5B6D" w:rsidRDefault="009F6935" w:rsidP="00004EAF">
      <w:pPr>
        <w:pStyle w:val="Para1"/>
        <w:numPr>
          <w:ilvl w:val="0"/>
          <w:numId w:val="15"/>
        </w:numPr>
        <w:suppressLineNumbers/>
        <w:suppressAutoHyphens/>
        <w:kinsoku w:val="0"/>
        <w:overflowPunct w:val="0"/>
        <w:autoSpaceDE w:val="0"/>
        <w:autoSpaceDN w:val="0"/>
        <w:ind w:left="0" w:firstLine="720"/>
        <w:rPr>
          <w:kern w:val="22"/>
          <w:szCs w:val="22"/>
          <w:lang w:val="fr-CA"/>
        </w:rPr>
      </w:pPr>
      <w:r>
        <w:rPr>
          <w:bCs/>
          <w:i/>
          <w:iCs/>
          <w:kern w:val="22"/>
          <w:szCs w:val="22"/>
          <w:lang w:val="fr-CA" w:eastAsia="ja-JP" w:bidi="th-TH"/>
        </w:rPr>
        <w:t>Examiner</w:t>
      </w:r>
      <w:r w:rsidRPr="00AF5B6D">
        <w:rPr>
          <w:bCs/>
          <w:i/>
          <w:iCs/>
          <w:kern w:val="22"/>
          <w:szCs w:val="22"/>
          <w:lang w:val="fr-CA" w:eastAsia="ja-JP" w:bidi="th-TH"/>
        </w:rPr>
        <w:t xml:space="preserve"> </w:t>
      </w:r>
      <w:r>
        <w:rPr>
          <w:bCs/>
          <w:i/>
          <w:iCs/>
          <w:kern w:val="22"/>
          <w:szCs w:val="22"/>
          <w:lang w:val="fr-CA" w:eastAsia="ja-JP" w:bidi="th-TH"/>
        </w:rPr>
        <w:t>la vision, les buts et les objectif</w:t>
      </w:r>
      <w:r w:rsidRPr="00AF5B6D">
        <w:rPr>
          <w:bCs/>
          <w:i/>
          <w:iCs/>
          <w:kern w:val="22"/>
          <w:szCs w:val="22"/>
          <w:lang w:val="fr-CA" w:eastAsia="ja-JP" w:bidi="th-TH"/>
        </w:rPr>
        <w:t xml:space="preserve">s nationaux </w:t>
      </w:r>
      <w:r>
        <w:rPr>
          <w:bCs/>
          <w:iCs/>
          <w:kern w:val="22"/>
          <w:szCs w:val="22"/>
          <w:lang w:val="fr-CA" w:eastAsia="ja-JP" w:bidi="th-TH"/>
        </w:rPr>
        <w:t>pour faire en sorte qu’ils inclu</w:t>
      </w:r>
      <w:r w:rsidRPr="00AF5B6D">
        <w:rPr>
          <w:bCs/>
          <w:iCs/>
          <w:kern w:val="22"/>
          <w:szCs w:val="22"/>
          <w:lang w:val="fr-CA" w:eastAsia="ja-JP" w:bidi="th-TH"/>
        </w:rPr>
        <w:t>ent des éléments d’intég</w:t>
      </w:r>
      <w:r>
        <w:rPr>
          <w:bCs/>
          <w:iCs/>
          <w:kern w:val="22"/>
          <w:szCs w:val="22"/>
          <w:lang w:val="fr-CA" w:eastAsia="ja-JP" w:bidi="th-TH"/>
        </w:rPr>
        <w:t>ration des aires protégées et d’autres mesures de conservation efficaces par zone, afin d’augmenter la connectivité des habitats et de réduire le morcellement</w:t>
      </w:r>
      <w:r w:rsidRPr="00AF5B6D">
        <w:rPr>
          <w:bCs/>
          <w:iCs/>
          <w:kern w:val="22"/>
          <w:szCs w:val="22"/>
          <w:lang w:val="fr-CA" w:eastAsia="ja-JP" w:bidi="th-TH"/>
        </w:rPr>
        <w:t xml:space="preserve"> des habitats dans les paysages terrestres et marins</w:t>
      </w:r>
      <w:r w:rsidRPr="00AF5B6D">
        <w:rPr>
          <w:kern w:val="22"/>
          <w:szCs w:val="22"/>
          <w:lang w:val="fr-CA" w:eastAsia="ja-JP" w:bidi="th-TH"/>
        </w:rPr>
        <w:t>;</w:t>
      </w:r>
    </w:p>
    <w:p w:rsidR="009F6935" w:rsidRPr="00AF5B6D" w:rsidRDefault="009F6935" w:rsidP="00004EAF">
      <w:pPr>
        <w:pStyle w:val="Para1"/>
        <w:numPr>
          <w:ilvl w:val="0"/>
          <w:numId w:val="15"/>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Recenser les </w:t>
      </w:r>
      <w:r>
        <w:rPr>
          <w:bCs/>
          <w:i/>
          <w:iCs/>
          <w:kern w:val="22"/>
          <w:szCs w:val="22"/>
          <w:lang w:val="fr-CA"/>
        </w:rPr>
        <w:t xml:space="preserve">principaux </w:t>
      </w:r>
      <w:r w:rsidRPr="00AF5B6D">
        <w:rPr>
          <w:bCs/>
          <w:i/>
          <w:iCs/>
          <w:kern w:val="22"/>
          <w:szCs w:val="22"/>
          <w:lang w:val="fr-CA"/>
        </w:rPr>
        <w:t>écosystèmes</w:t>
      </w:r>
      <w:r>
        <w:rPr>
          <w:bCs/>
          <w:i/>
          <w:iCs/>
          <w:kern w:val="22"/>
          <w:szCs w:val="22"/>
          <w:lang w:val="fr-CA"/>
        </w:rPr>
        <w:t>, espèces</w:t>
      </w:r>
      <w:r w:rsidRPr="00AF5B6D">
        <w:rPr>
          <w:bCs/>
          <w:i/>
          <w:iCs/>
          <w:kern w:val="22"/>
          <w:szCs w:val="22"/>
          <w:lang w:val="fr-CA"/>
        </w:rPr>
        <w:t xml:space="preserve"> et processus écologiques </w:t>
      </w:r>
      <w:r w:rsidRPr="00AF5B6D">
        <w:rPr>
          <w:bCs/>
          <w:iCs/>
          <w:kern w:val="22"/>
          <w:szCs w:val="22"/>
          <w:lang w:val="fr-CA"/>
        </w:rPr>
        <w:t xml:space="preserve">pour lesquels </w:t>
      </w:r>
      <w:r>
        <w:rPr>
          <w:bCs/>
          <w:iCs/>
          <w:kern w:val="22"/>
          <w:szCs w:val="22"/>
          <w:lang w:val="fr-CA"/>
        </w:rPr>
        <w:t>le morcellement</w:t>
      </w:r>
      <w:r w:rsidRPr="00AF5B6D">
        <w:rPr>
          <w:bCs/>
          <w:iCs/>
          <w:kern w:val="22"/>
          <w:szCs w:val="22"/>
          <w:lang w:val="fr-CA"/>
        </w:rPr>
        <w:t xml:space="preserve"> représente u</w:t>
      </w:r>
      <w:r>
        <w:rPr>
          <w:bCs/>
          <w:iCs/>
          <w:kern w:val="22"/>
          <w:szCs w:val="22"/>
          <w:lang w:val="fr-CA"/>
        </w:rPr>
        <w:t xml:space="preserve">n enjeu important et qui retireraient des avantages grâce </w:t>
      </w:r>
      <w:r w:rsidRPr="00AF5B6D">
        <w:rPr>
          <w:bCs/>
          <w:iCs/>
          <w:kern w:val="22"/>
          <w:szCs w:val="22"/>
          <w:lang w:val="fr-CA"/>
        </w:rPr>
        <w:t xml:space="preserve">une </w:t>
      </w:r>
      <w:r>
        <w:rPr>
          <w:bCs/>
          <w:iCs/>
          <w:kern w:val="22"/>
          <w:szCs w:val="22"/>
          <w:lang w:val="fr-CA"/>
        </w:rPr>
        <w:t>plus grande connectivité</w:t>
      </w:r>
      <w:r w:rsidRPr="00AF5B6D">
        <w:rPr>
          <w:bCs/>
          <w:iCs/>
          <w:kern w:val="22"/>
          <w:szCs w:val="22"/>
          <w:lang w:val="fr-CA"/>
        </w:rPr>
        <w:t xml:space="preserve">, </w:t>
      </w:r>
      <w:r>
        <w:rPr>
          <w:bCs/>
          <w:iCs/>
          <w:kern w:val="22"/>
          <w:szCs w:val="22"/>
          <w:lang w:val="fr-CA"/>
        </w:rPr>
        <w:t>y compris</w:t>
      </w:r>
      <w:r w:rsidRPr="00AF5B6D">
        <w:rPr>
          <w:bCs/>
          <w:iCs/>
          <w:kern w:val="22"/>
          <w:szCs w:val="22"/>
          <w:lang w:val="fr-CA"/>
        </w:rPr>
        <w:t xml:space="preserve"> les espèces, les écosystèmes et les processus écologiques vulnérables </w:t>
      </w:r>
      <w:r>
        <w:rPr>
          <w:bCs/>
          <w:iCs/>
          <w:kern w:val="22"/>
          <w:szCs w:val="22"/>
          <w:lang w:val="fr-CA"/>
        </w:rPr>
        <w:t xml:space="preserve">face </w:t>
      </w:r>
      <w:r w:rsidRPr="00AF5B6D">
        <w:rPr>
          <w:bCs/>
          <w:iCs/>
          <w:kern w:val="22"/>
          <w:szCs w:val="22"/>
          <w:lang w:val="fr-CA"/>
        </w:rPr>
        <w:t>aux conséquences des changements climatiques</w:t>
      </w:r>
      <w:r w:rsidRPr="00AF5B6D">
        <w:rPr>
          <w:kern w:val="22"/>
          <w:szCs w:val="22"/>
          <w:lang w:val="fr-CA"/>
        </w:rPr>
        <w:t>;</w:t>
      </w:r>
    </w:p>
    <w:p w:rsidR="009F6935" w:rsidRPr="00AF5B6D" w:rsidRDefault="009F6935" w:rsidP="00004EAF">
      <w:pPr>
        <w:pStyle w:val="Para1"/>
        <w:numPr>
          <w:ilvl w:val="0"/>
          <w:numId w:val="15"/>
        </w:numPr>
        <w:suppressLineNumbers/>
        <w:suppressAutoHyphens/>
        <w:kinsoku w:val="0"/>
        <w:overflowPunct w:val="0"/>
        <w:autoSpaceDE w:val="0"/>
        <w:autoSpaceDN w:val="0"/>
        <w:ind w:left="0" w:firstLine="720"/>
        <w:rPr>
          <w:kern w:val="22"/>
          <w:szCs w:val="22"/>
          <w:lang w:val="fr-CA"/>
        </w:rPr>
      </w:pPr>
      <w:r>
        <w:rPr>
          <w:bCs/>
          <w:i/>
          <w:iCs/>
          <w:kern w:val="22"/>
          <w:szCs w:val="22"/>
          <w:lang w:val="fr-CA"/>
        </w:rPr>
        <w:t>Recenser et hiérarch</w:t>
      </w:r>
      <w:r w:rsidRPr="00AF5B6D">
        <w:rPr>
          <w:bCs/>
          <w:i/>
          <w:iCs/>
          <w:kern w:val="22"/>
          <w:szCs w:val="22"/>
          <w:lang w:val="fr-CA"/>
        </w:rPr>
        <w:t xml:space="preserve">iser les aires </w:t>
      </w:r>
      <w:r>
        <w:rPr>
          <w:bCs/>
          <w:i/>
          <w:iCs/>
          <w:kern w:val="22"/>
          <w:szCs w:val="22"/>
          <w:lang w:val="fr-CA"/>
        </w:rPr>
        <w:t>importantes</w:t>
      </w:r>
      <w:r w:rsidRPr="00AF5B6D">
        <w:rPr>
          <w:bCs/>
          <w:i/>
          <w:iCs/>
          <w:kern w:val="22"/>
          <w:szCs w:val="22"/>
          <w:lang w:val="fr-CA"/>
        </w:rPr>
        <w:t xml:space="preserve"> pour améliorer la connectivité </w:t>
      </w:r>
      <w:r>
        <w:rPr>
          <w:bCs/>
          <w:iCs/>
          <w:kern w:val="22"/>
          <w:szCs w:val="22"/>
          <w:lang w:val="fr-CA"/>
        </w:rPr>
        <w:t>et atténuer les conséquences du morcellement</w:t>
      </w:r>
      <w:r w:rsidRPr="00AF5B6D">
        <w:rPr>
          <w:bCs/>
          <w:iCs/>
          <w:kern w:val="22"/>
          <w:szCs w:val="22"/>
          <w:lang w:val="fr-CA"/>
        </w:rPr>
        <w:t xml:space="preserve"> des paysages terrestres et marins, </w:t>
      </w:r>
      <w:r>
        <w:rPr>
          <w:bCs/>
          <w:iCs/>
          <w:kern w:val="22"/>
          <w:szCs w:val="22"/>
          <w:lang w:val="fr-CA"/>
        </w:rPr>
        <w:t>y compris</w:t>
      </w:r>
      <w:r w:rsidRPr="00AF5B6D">
        <w:rPr>
          <w:bCs/>
          <w:iCs/>
          <w:kern w:val="22"/>
          <w:szCs w:val="22"/>
          <w:lang w:val="fr-CA"/>
        </w:rPr>
        <w:t xml:space="preserve"> les</w:t>
      </w:r>
      <w:r>
        <w:rPr>
          <w:bCs/>
          <w:iCs/>
          <w:kern w:val="22"/>
          <w:szCs w:val="22"/>
          <w:lang w:val="fr-CA"/>
        </w:rPr>
        <w:t xml:space="preserve"> zones qui créent des obstacles et d</w:t>
      </w:r>
      <w:r w:rsidRPr="00AF5B6D">
        <w:rPr>
          <w:bCs/>
          <w:iCs/>
          <w:kern w:val="22"/>
          <w:szCs w:val="22"/>
          <w:lang w:val="fr-CA"/>
        </w:rPr>
        <w:t xml:space="preserve">es goulots d’étranglements lors des déplacements saisonniers et annuels des </w:t>
      </w:r>
      <w:r>
        <w:rPr>
          <w:bCs/>
          <w:iCs/>
          <w:kern w:val="22"/>
          <w:szCs w:val="22"/>
          <w:lang w:val="fr-CA"/>
        </w:rPr>
        <w:t>espèces, à différentes stades de leur cycle de</w:t>
      </w:r>
      <w:r w:rsidRPr="00AF5B6D">
        <w:rPr>
          <w:bCs/>
          <w:iCs/>
          <w:kern w:val="22"/>
          <w:szCs w:val="22"/>
          <w:lang w:val="fr-CA"/>
        </w:rPr>
        <w:t xml:space="preserve"> vie, et pour l’adaptation aux changements climatiques, et </w:t>
      </w:r>
      <w:r>
        <w:rPr>
          <w:bCs/>
          <w:iCs/>
          <w:kern w:val="22"/>
          <w:szCs w:val="22"/>
          <w:lang w:val="fr-CA"/>
        </w:rPr>
        <w:t>l</w:t>
      </w:r>
      <w:r w:rsidRPr="00AF5B6D">
        <w:rPr>
          <w:bCs/>
          <w:iCs/>
          <w:kern w:val="22"/>
          <w:szCs w:val="22"/>
          <w:lang w:val="fr-CA"/>
        </w:rPr>
        <w:t>es aires importantes au maintien du bon fonctionnement des écosystèmes (p. ex., plaines d’inondations fluviales)</w:t>
      </w:r>
      <w:r w:rsidRPr="00AF5B6D">
        <w:rPr>
          <w:kern w:val="22"/>
          <w:szCs w:val="22"/>
          <w:lang w:val="fr-CA"/>
        </w:rPr>
        <w:t>;</w:t>
      </w:r>
    </w:p>
    <w:p w:rsidR="009F6935" w:rsidRPr="00AF5B6D" w:rsidRDefault="009F6935" w:rsidP="00004EAF">
      <w:pPr>
        <w:pStyle w:val="Para1"/>
        <w:numPr>
          <w:ilvl w:val="0"/>
          <w:numId w:val="15"/>
        </w:numPr>
        <w:suppressLineNumbers/>
        <w:suppressAutoHyphens/>
        <w:kinsoku w:val="0"/>
        <w:overflowPunct w:val="0"/>
        <w:autoSpaceDE w:val="0"/>
        <w:autoSpaceDN w:val="0"/>
        <w:ind w:left="0" w:firstLine="720"/>
        <w:rPr>
          <w:kern w:val="22"/>
          <w:szCs w:val="22"/>
          <w:lang w:val="fr-CA"/>
        </w:rPr>
      </w:pPr>
      <w:r>
        <w:rPr>
          <w:bCs/>
          <w:i/>
          <w:iCs/>
          <w:kern w:val="22"/>
          <w:szCs w:val="22"/>
          <w:lang w:val="fr-CA"/>
        </w:rPr>
        <w:t>Entreprendre une évaluation</w:t>
      </w:r>
      <w:r w:rsidRPr="00AF5B6D">
        <w:rPr>
          <w:bCs/>
          <w:i/>
          <w:iCs/>
          <w:kern w:val="22"/>
          <w:szCs w:val="22"/>
          <w:lang w:val="fr-CA"/>
        </w:rPr>
        <w:t xml:space="preserve"> national</w:t>
      </w:r>
      <w:r>
        <w:rPr>
          <w:bCs/>
          <w:i/>
          <w:iCs/>
          <w:kern w:val="22"/>
          <w:szCs w:val="22"/>
          <w:lang w:val="fr-CA"/>
        </w:rPr>
        <w:t>e</w:t>
      </w:r>
      <w:r w:rsidRPr="00AF5B6D">
        <w:rPr>
          <w:bCs/>
          <w:i/>
          <w:iCs/>
          <w:kern w:val="22"/>
          <w:szCs w:val="22"/>
          <w:lang w:val="fr-CA"/>
        </w:rPr>
        <w:t xml:space="preserve"> </w:t>
      </w:r>
      <w:r w:rsidRPr="00AF5B6D">
        <w:rPr>
          <w:bCs/>
          <w:iCs/>
          <w:kern w:val="22"/>
          <w:szCs w:val="22"/>
          <w:lang w:val="fr-CA"/>
        </w:rPr>
        <w:t xml:space="preserve">de l’état et des tendances </w:t>
      </w:r>
      <w:r>
        <w:rPr>
          <w:bCs/>
          <w:iCs/>
          <w:kern w:val="22"/>
          <w:szCs w:val="22"/>
          <w:lang w:val="fr-CA"/>
        </w:rPr>
        <w:t>concernant</w:t>
      </w:r>
      <w:r w:rsidRPr="00AF5B6D">
        <w:rPr>
          <w:bCs/>
          <w:iCs/>
          <w:kern w:val="22"/>
          <w:szCs w:val="22"/>
          <w:lang w:val="fr-CA"/>
        </w:rPr>
        <w:t xml:space="preserve"> </w:t>
      </w:r>
      <w:r>
        <w:rPr>
          <w:bCs/>
          <w:iCs/>
          <w:kern w:val="22"/>
          <w:szCs w:val="22"/>
          <w:lang w:val="fr-CA"/>
        </w:rPr>
        <w:t>le morcellement</w:t>
      </w:r>
      <w:r w:rsidRPr="00AF5B6D">
        <w:rPr>
          <w:bCs/>
          <w:iCs/>
          <w:kern w:val="22"/>
          <w:szCs w:val="22"/>
          <w:lang w:val="fr-CA"/>
        </w:rPr>
        <w:t xml:space="preserve"> et la connectivité des habitats des paysages terrestres et marins</w:t>
      </w:r>
      <w:r>
        <w:rPr>
          <w:bCs/>
          <w:iCs/>
          <w:kern w:val="22"/>
          <w:szCs w:val="22"/>
          <w:lang w:val="fr-CA"/>
        </w:rPr>
        <w:t>,</w:t>
      </w:r>
      <w:r w:rsidRPr="00AF5B6D">
        <w:rPr>
          <w:bCs/>
          <w:iCs/>
          <w:kern w:val="22"/>
          <w:szCs w:val="22"/>
          <w:lang w:val="fr-CA"/>
        </w:rPr>
        <w:t xml:space="preserve"> des écosystèmes et des processus écologiques, </w:t>
      </w:r>
      <w:r>
        <w:rPr>
          <w:bCs/>
          <w:iCs/>
          <w:kern w:val="22"/>
          <w:szCs w:val="22"/>
          <w:lang w:val="fr-CA"/>
        </w:rPr>
        <w:t xml:space="preserve">y compris </w:t>
      </w:r>
      <w:r w:rsidRPr="00AF5B6D">
        <w:rPr>
          <w:bCs/>
          <w:iCs/>
          <w:kern w:val="22"/>
          <w:szCs w:val="22"/>
          <w:lang w:val="fr-CA"/>
        </w:rPr>
        <w:t xml:space="preserve">l’examen du rôle des aires protégées </w:t>
      </w:r>
      <w:r>
        <w:rPr>
          <w:bCs/>
          <w:iCs/>
          <w:kern w:val="22"/>
          <w:szCs w:val="22"/>
          <w:lang w:val="fr-CA"/>
        </w:rPr>
        <w:t>et d’autres mesures de conservation efficaces par zone dans le</w:t>
      </w:r>
      <w:r w:rsidRPr="00AF5B6D">
        <w:rPr>
          <w:bCs/>
          <w:iCs/>
          <w:kern w:val="22"/>
          <w:szCs w:val="22"/>
          <w:lang w:val="fr-CA"/>
        </w:rPr>
        <w:t xml:space="preserve"> maintien de la connectivité des paysages terrestres et marins, et les </w:t>
      </w:r>
      <w:r>
        <w:rPr>
          <w:bCs/>
          <w:iCs/>
          <w:kern w:val="22"/>
          <w:szCs w:val="22"/>
          <w:lang w:val="fr-CA"/>
        </w:rPr>
        <w:t xml:space="preserve">principales </w:t>
      </w:r>
      <w:r w:rsidRPr="00AF5B6D">
        <w:rPr>
          <w:bCs/>
          <w:iCs/>
          <w:kern w:val="22"/>
          <w:szCs w:val="22"/>
          <w:lang w:val="fr-CA"/>
        </w:rPr>
        <w:t>lacunes</w:t>
      </w:r>
      <w:r>
        <w:rPr>
          <w:bCs/>
          <w:iCs/>
          <w:kern w:val="22"/>
          <w:szCs w:val="22"/>
          <w:lang w:val="fr-CA"/>
        </w:rPr>
        <w:t xml:space="preserve"> subsistantes, le cas échéant</w:t>
      </w:r>
      <w:r w:rsidRPr="00AF5B6D">
        <w:rPr>
          <w:kern w:val="22"/>
          <w:szCs w:val="22"/>
          <w:lang w:val="fr-CA"/>
        </w:rPr>
        <w:t>;</w:t>
      </w:r>
    </w:p>
    <w:p w:rsidR="009F6935" w:rsidRPr="00AF5B6D" w:rsidRDefault="009F6935" w:rsidP="00004EAF">
      <w:pPr>
        <w:pStyle w:val="Para1"/>
        <w:numPr>
          <w:ilvl w:val="0"/>
          <w:numId w:val="15"/>
        </w:numPr>
        <w:suppressLineNumbers/>
        <w:suppressAutoHyphens/>
        <w:kinsoku w:val="0"/>
        <w:overflowPunct w:val="0"/>
        <w:autoSpaceDE w:val="0"/>
        <w:autoSpaceDN w:val="0"/>
        <w:ind w:left="0" w:firstLine="720"/>
        <w:rPr>
          <w:kern w:val="22"/>
          <w:szCs w:val="22"/>
          <w:lang w:val="fr-CA"/>
        </w:rPr>
      </w:pPr>
      <w:r>
        <w:rPr>
          <w:bCs/>
          <w:i/>
          <w:iCs/>
          <w:kern w:val="22"/>
          <w:szCs w:val="22"/>
          <w:lang w:val="fr-CA"/>
        </w:rPr>
        <w:lastRenderedPageBreak/>
        <w:t>Recenser et hiérarchi</w:t>
      </w:r>
      <w:r w:rsidRPr="00AF5B6D">
        <w:rPr>
          <w:bCs/>
          <w:i/>
          <w:iCs/>
          <w:kern w:val="22"/>
          <w:szCs w:val="22"/>
          <w:lang w:val="fr-CA"/>
        </w:rPr>
        <w:t xml:space="preserve">ser les secteurs </w:t>
      </w:r>
      <w:r>
        <w:rPr>
          <w:bCs/>
          <w:iCs/>
          <w:kern w:val="22"/>
          <w:szCs w:val="22"/>
          <w:lang w:val="fr-CA"/>
        </w:rPr>
        <w:t>qui contribuent le plus au morcellement</w:t>
      </w:r>
      <w:r w:rsidRPr="00AF5B6D">
        <w:rPr>
          <w:bCs/>
          <w:iCs/>
          <w:kern w:val="22"/>
          <w:szCs w:val="22"/>
          <w:lang w:val="fr-CA"/>
        </w:rPr>
        <w:t xml:space="preserve"> des habitats, à savoir les transports, l’agriculture, l’énergie, les infrastructures et le développement urbain, et é</w:t>
      </w:r>
      <w:r>
        <w:rPr>
          <w:bCs/>
          <w:iCs/>
          <w:kern w:val="22"/>
          <w:szCs w:val="22"/>
          <w:lang w:val="fr-CA"/>
        </w:rPr>
        <w:t xml:space="preserve">laborer des stratégies pour </w:t>
      </w:r>
      <w:r w:rsidRPr="00AF5B6D">
        <w:rPr>
          <w:bCs/>
          <w:iCs/>
          <w:kern w:val="22"/>
          <w:szCs w:val="22"/>
          <w:lang w:val="fr-CA"/>
        </w:rPr>
        <w:t xml:space="preserve">encourager </w:t>
      </w:r>
      <w:r>
        <w:rPr>
          <w:bCs/>
          <w:iCs/>
          <w:kern w:val="22"/>
          <w:szCs w:val="22"/>
          <w:lang w:val="fr-CA"/>
        </w:rPr>
        <w:t xml:space="preserve">ces secteurs </w:t>
      </w:r>
      <w:r w:rsidRPr="00AF5B6D">
        <w:rPr>
          <w:bCs/>
          <w:iCs/>
          <w:kern w:val="22"/>
          <w:szCs w:val="22"/>
          <w:lang w:val="fr-CA"/>
        </w:rPr>
        <w:t xml:space="preserve">à </w:t>
      </w:r>
      <w:r>
        <w:rPr>
          <w:bCs/>
          <w:iCs/>
          <w:kern w:val="22"/>
          <w:szCs w:val="22"/>
          <w:lang w:val="fr-CA"/>
        </w:rPr>
        <w:t>développer</w:t>
      </w:r>
      <w:r w:rsidRPr="00AF5B6D">
        <w:rPr>
          <w:bCs/>
          <w:iCs/>
          <w:kern w:val="22"/>
          <w:szCs w:val="22"/>
          <w:lang w:val="fr-CA"/>
        </w:rPr>
        <w:t xml:space="preserve"> des stratégie</w:t>
      </w:r>
      <w:r>
        <w:rPr>
          <w:bCs/>
          <w:iCs/>
          <w:kern w:val="22"/>
          <w:szCs w:val="22"/>
          <w:lang w:val="fr-CA"/>
        </w:rPr>
        <w:t>s pour atténuer les incidences</w:t>
      </w:r>
      <w:r w:rsidRPr="00AF5B6D">
        <w:rPr>
          <w:bCs/>
          <w:iCs/>
          <w:kern w:val="22"/>
          <w:szCs w:val="22"/>
          <w:lang w:val="fr-CA"/>
        </w:rPr>
        <w:t xml:space="preserve"> sur les aires protégées</w:t>
      </w:r>
      <w:r>
        <w:rPr>
          <w:bCs/>
          <w:iCs/>
          <w:kern w:val="22"/>
          <w:szCs w:val="22"/>
          <w:lang w:val="fr-CA"/>
        </w:rPr>
        <w:t xml:space="preserve"> et les réseaux d’aires protégées, y compris d’autres mesures de conservation efficaces par zone, et des zones qui bénéficient de programmes de restauration active</w:t>
      </w:r>
      <w:r w:rsidRPr="00AF5B6D">
        <w:rPr>
          <w:kern w:val="22"/>
          <w:szCs w:val="22"/>
          <w:lang w:val="fr-CA"/>
        </w:rPr>
        <w:t>;</w:t>
      </w:r>
    </w:p>
    <w:p w:rsidR="009F6935" w:rsidRPr="00AF5B6D" w:rsidRDefault="009F6935" w:rsidP="00004EAF">
      <w:pPr>
        <w:pStyle w:val="Para1"/>
        <w:numPr>
          <w:ilvl w:val="0"/>
          <w:numId w:val="15"/>
        </w:numPr>
        <w:suppressLineNumbers/>
        <w:suppressAutoHyphens/>
        <w:kinsoku w:val="0"/>
        <w:overflowPunct w:val="0"/>
        <w:autoSpaceDE w:val="0"/>
        <w:autoSpaceDN w:val="0"/>
        <w:ind w:left="0" w:firstLine="720"/>
        <w:rPr>
          <w:kern w:val="22"/>
          <w:szCs w:val="22"/>
          <w:lang w:val="fr-CA"/>
        </w:rPr>
      </w:pPr>
      <w:r>
        <w:rPr>
          <w:bCs/>
          <w:i/>
          <w:iCs/>
          <w:kern w:val="22"/>
          <w:szCs w:val="22"/>
          <w:lang w:val="fr-CA"/>
        </w:rPr>
        <w:t>Examiner et adapter les programmes et cadres de travail s</w:t>
      </w:r>
      <w:r w:rsidRPr="00AF5B6D">
        <w:rPr>
          <w:bCs/>
          <w:i/>
          <w:iCs/>
          <w:kern w:val="22"/>
          <w:szCs w:val="22"/>
          <w:lang w:val="fr-CA"/>
        </w:rPr>
        <w:t>ur les paysages terrestres et marins (à l’intérieur des secteurs et</w:t>
      </w:r>
      <w:r>
        <w:rPr>
          <w:bCs/>
          <w:i/>
          <w:iCs/>
          <w:kern w:val="22"/>
          <w:szCs w:val="22"/>
          <w:lang w:val="fr-CA"/>
        </w:rPr>
        <w:t xml:space="preserve"> entre les secteurs), tels que </w:t>
      </w:r>
      <w:r w:rsidRPr="00AF5B6D">
        <w:rPr>
          <w:bCs/>
          <w:i/>
          <w:iCs/>
          <w:kern w:val="22"/>
          <w:szCs w:val="22"/>
          <w:lang w:val="fr-CA"/>
        </w:rPr>
        <w:t>les plans</w:t>
      </w:r>
      <w:r>
        <w:rPr>
          <w:bCs/>
          <w:i/>
          <w:iCs/>
          <w:kern w:val="22"/>
          <w:szCs w:val="22"/>
          <w:lang w:val="fr-CA"/>
        </w:rPr>
        <w:t xml:space="preserve"> d’utilisation des terres et la planification de l’espace marin</w:t>
      </w:r>
      <w:r w:rsidRPr="00AF5B6D">
        <w:rPr>
          <w:bCs/>
          <w:i/>
          <w:iCs/>
          <w:kern w:val="22"/>
          <w:szCs w:val="22"/>
          <w:lang w:val="fr-CA"/>
        </w:rPr>
        <w:t xml:space="preserve">, et les plans sectoriels, </w:t>
      </w:r>
      <w:r w:rsidRPr="00AF5B6D">
        <w:rPr>
          <w:bCs/>
          <w:iCs/>
          <w:kern w:val="22"/>
          <w:szCs w:val="22"/>
          <w:lang w:val="fr-CA"/>
        </w:rPr>
        <w:t>tels que les plans infranationaux d’utilisation des terres, les plans intégrés de</w:t>
      </w:r>
      <w:r>
        <w:rPr>
          <w:bCs/>
          <w:iCs/>
          <w:kern w:val="22"/>
          <w:szCs w:val="22"/>
          <w:lang w:val="fr-CA"/>
        </w:rPr>
        <w:t>s</w:t>
      </w:r>
      <w:r w:rsidRPr="00AF5B6D">
        <w:rPr>
          <w:bCs/>
          <w:iCs/>
          <w:kern w:val="22"/>
          <w:szCs w:val="22"/>
          <w:lang w:val="fr-CA"/>
        </w:rPr>
        <w:t xml:space="preserve"> bassins versants, les plans intégrés de gestion des aires marines et côtière</w:t>
      </w:r>
      <w:r>
        <w:rPr>
          <w:bCs/>
          <w:iCs/>
          <w:kern w:val="22"/>
          <w:szCs w:val="22"/>
          <w:lang w:val="fr-CA"/>
        </w:rPr>
        <w:t>, les plans de transport et les plans liés à</w:t>
      </w:r>
      <w:r w:rsidRPr="00AF5B6D">
        <w:rPr>
          <w:bCs/>
          <w:iCs/>
          <w:kern w:val="22"/>
          <w:szCs w:val="22"/>
          <w:lang w:val="fr-CA"/>
        </w:rPr>
        <w:t xml:space="preserve"> l’eau, afin d’améliorer la connectivité et la complémentarité, et de réduire </w:t>
      </w:r>
      <w:r>
        <w:rPr>
          <w:bCs/>
          <w:iCs/>
          <w:kern w:val="22"/>
          <w:szCs w:val="22"/>
          <w:lang w:val="fr-CA"/>
        </w:rPr>
        <w:t>le morcellement</w:t>
      </w:r>
      <w:r w:rsidRPr="00AF5B6D">
        <w:rPr>
          <w:bCs/>
          <w:iCs/>
          <w:kern w:val="22"/>
          <w:szCs w:val="22"/>
          <w:lang w:val="fr-CA"/>
        </w:rPr>
        <w:t xml:space="preserve"> et ses conséquences</w:t>
      </w:r>
      <w:r w:rsidRPr="00AF5B6D">
        <w:rPr>
          <w:kern w:val="22"/>
          <w:szCs w:val="22"/>
          <w:lang w:val="fr-CA"/>
        </w:rPr>
        <w:t>;</w:t>
      </w:r>
    </w:p>
    <w:p w:rsidR="009F6935" w:rsidRPr="00AF5B6D" w:rsidRDefault="009F6935" w:rsidP="00004EAF">
      <w:pPr>
        <w:pStyle w:val="Para1"/>
        <w:numPr>
          <w:ilvl w:val="0"/>
          <w:numId w:val="15"/>
        </w:numPr>
        <w:suppressLineNumbers/>
        <w:suppressAutoHyphens/>
        <w:kinsoku w:val="0"/>
        <w:overflowPunct w:val="0"/>
        <w:autoSpaceDE w:val="0"/>
        <w:autoSpaceDN w:val="0"/>
        <w:spacing w:after="240"/>
        <w:ind w:left="0" w:firstLine="720"/>
        <w:rPr>
          <w:kern w:val="22"/>
          <w:szCs w:val="22"/>
          <w:lang w:val="fr-CA"/>
        </w:rPr>
      </w:pPr>
      <w:r>
        <w:rPr>
          <w:bCs/>
          <w:i/>
          <w:iCs/>
          <w:kern w:val="22"/>
          <w:szCs w:val="22"/>
          <w:lang w:val="fr-CA"/>
        </w:rPr>
        <w:t>Hiérarchiser et appliquer</w:t>
      </w:r>
      <w:r w:rsidRPr="00AF5B6D">
        <w:rPr>
          <w:bCs/>
          <w:i/>
          <w:iCs/>
          <w:kern w:val="22"/>
          <w:szCs w:val="22"/>
          <w:lang w:val="fr-CA"/>
        </w:rPr>
        <w:t xml:space="preserve"> </w:t>
      </w:r>
      <w:r>
        <w:rPr>
          <w:bCs/>
          <w:iCs/>
          <w:kern w:val="22"/>
          <w:szCs w:val="22"/>
          <w:lang w:val="fr-CA"/>
        </w:rPr>
        <w:t>des mesures propres à</w:t>
      </w:r>
      <w:r w:rsidRPr="00AF5B6D">
        <w:rPr>
          <w:bCs/>
          <w:iCs/>
          <w:kern w:val="22"/>
          <w:szCs w:val="22"/>
          <w:lang w:val="fr-CA"/>
        </w:rPr>
        <w:t xml:space="preserve"> réduire </w:t>
      </w:r>
      <w:r>
        <w:rPr>
          <w:bCs/>
          <w:iCs/>
          <w:kern w:val="22"/>
          <w:szCs w:val="22"/>
          <w:lang w:val="fr-CA"/>
        </w:rPr>
        <w:t>le morcellement</w:t>
      </w:r>
      <w:r w:rsidRPr="00AF5B6D">
        <w:rPr>
          <w:bCs/>
          <w:iCs/>
          <w:kern w:val="22"/>
          <w:szCs w:val="22"/>
          <w:lang w:val="fr-CA"/>
        </w:rPr>
        <w:t xml:space="preserve"> des habitats dans les paysages terrestres et marins </w:t>
      </w:r>
      <w:r>
        <w:rPr>
          <w:bCs/>
          <w:iCs/>
          <w:kern w:val="22"/>
          <w:szCs w:val="22"/>
          <w:lang w:val="fr-CA"/>
        </w:rPr>
        <w:t xml:space="preserve">et à </w:t>
      </w:r>
      <w:r w:rsidRPr="00AF5B6D">
        <w:rPr>
          <w:bCs/>
          <w:iCs/>
          <w:kern w:val="22"/>
          <w:szCs w:val="22"/>
          <w:lang w:val="fr-CA"/>
        </w:rPr>
        <w:t xml:space="preserve">améliorer la connectivité, notamment en </w:t>
      </w:r>
      <w:r>
        <w:rPr>
          <w:bCs/>
          <w:iCs/>
          <w:kern w:val="22"/>
          <w:szCs w:val="22"/>
          <w:lang w:val="fr-CA"/>
        </w:rPr>
        <w:t>créant</w:t>
      </w:r>
      <w:r w:rsidRPr="00AF5B6D">
        <w:rPr>
          <w:bCs/>
          <w:iCs/>
          <w:kern w:val="22"/>
          <w:szCs w:val="22"/>
          <w:lang w:val="fr-CA"/>
        </w:rPr>
        <w:t xml:space="preserve"> de nouvelles a</w:t>
      </w:r>
      <w:r>
        <w:rPr>
          <w:bCs/>
          <w:iCs/>
          <w:kern w:val="22"/>
          <w:szCs w:val="22"/>
          <w:lang w:val="fr-CA"/>
        </w:rPr>
        <w:t>ires protégées et en identifiant</w:t>
      </w:r>
      <w:r w:rsidRPr="00AF5B6D">
        <w:rPr>
          <w:bCs/>
          <w:iCs/>
          <w:kern w:val="22"/>
          <w:szCs w:val="22"/>
          <w:lang w:val="fr-CA"/>
        </w:rPr>
        <w:t xml:space="preserve"> d’autres mesures de conservation </w:t>
      </w:r>
      <w:r>
        <w:rPr>
          <w:bCs/>
          <w:iCs/>
          <w:kern w:val="22"/>
          <w:szCs w:val="22"/>
          <w:lang w:val="fr-CA"/>
        </w:rPr>
        <w:t xml:space="preserve">efficaces par zone, ainsi que des </w:t>
      </w:r>
      <w:r w:rsidRPr="00AF5B6D">
        <w:rPr>
          <w:bCs/>
          <w:iCs/>
          <w:kern w:val="22"/>
          <w:szCs w:val="22"/>
          <w:lang w:val="fr-CA"/>
        </w:rPr>
        <w:t>aires protégée</w:t>
      </w:r>
      <w:r>
        <w:rPr>
          <w:bCs/>
          <w:iCs/>
          <w:kern w:val="22"/>
          <w:szCs w:val="22"/>
          <w:lang w:val="fr-CA"/>
        </w:rPr>
        <w:t>s autochtones et communautaires,</w:t>
      </w:r>
      <w:r w:rsidRPr="00AF5B6D">
        <w:rPr>
          <w:bCs/>
          <w:iCs/>
          <w:kern w:val="22"/>
          <w:szCs w:val="22"/>
          <w:lang w:val="fr-CA"/>
        </w:rPr>
        <w:t xml:space="preserve"> qui pourraient servir de </w:t>
      </w:r>
      <w:r>
        <w:rPr>
          <w:bCs/>
          <w:iCs/>
          <w:kern w:val="22"/>
          <w:szCs w:val="22"/>
          <w:lang w:val="fr-CA"/>
        </w:rPr>
        <w:t>« </w:t>
      </w:r>
      <w:r w:rsidRPr="00AF5B6D">
        <w:rPr>
          <w:bCs/>
          <w:iCs/>
          <w:kern w:val="22"/>
          <w:szCs w:val="22"/>
          <w:lang w:val="fr-CA"/>
        </w:rPr>
        <w:t>tremplin</w:t>
      </w:r>
      <w:r>
        <w:rPr>
          <w:bCs/>
          <w:iCs/>
          <w:kern w:val="22"/>
          <w:szCs w:val="22"/>
          <w:lang w:val="fr-CA"/>
        </w:rPr>
        <w:t> »</w:t>
      </w:r>
      <w:r w:rsidRPr="00AF5B6D">
        <w:rPr>
          <w:bCs/>
          <w:iCs/>
          <w:kern w:val="22"/>
          <w:szCs w:val="22"/>
          <w:lang w:val="fr-CA"/>
        </w:rPr>
        <w:t xml:space="preserve"> po</w:t>
      </w:r>
      <w:r>
        <w:rPr>
          <w:bCs/>
          <w:iCs/>
          <w:kern w:val="22"/>
          <w:szCs w:val="22"/>
          <w:lang w:val="fr-CA"/>
        </w:rPr>
        <w:t xml:space="preserve">ur passer d’un habitat à un </w:t>
      </w:r>
      <w:r w:rsidRPr="00AF5B6D">
        <w:rPr>
          <w:bCs/>
          <w:iCs/>
          <w:kern w:val="22"/>
          <w:szCs w:val="22"/>
          <w:lang w:val="fr-CA"/>
        </w:rPr>
        <w:t xml:space="preserve">autre, </w:t>
      </w:r>
      <w:r>
        <w:rPr>
          <w:bCs/>
          <w:iCs/>
          <w:kern w:val="22"/>
          <w:szCs w:val="22"/>
          <w:lang w:val="fr-CA"/>
        </w:rPr>
        <w:t>des</w:t>
      </w:r>
      <w:r w:rsidRPr="00AF5B6D">
        <w:rPr>
          <w:bCs/>
          <w:iCs/>
          <w:kern w:val="22"/>
          <w:szCs w:val="22"/>
          <w:lang w:val="fr-CA"/>
        </w:rPr>
        <w:t xml:space="preserve"> corridors de conservation pour relier les habitats et </w:t>
      </w:r>
      <w:r>
        <w:rPr>
          <w:bCs/>
          <w:iCs/>
          <w:kern w:val="22"/>
          <w:szCs w:val="22"/>
          <w:lang w:val="fr-CA"/>
        </w:rPr>
        <w:t>des</w:t>
      </w:r>
      <w:r w:rsidRPr="00AF5B6D">
        <w:rPr>
          <w:bCs/>
          <w:iCs/>
          <w:kern w:val="22"/>
          <w:szCs w:val="22"/>
          <w:lang w:val="fr-CA"/>
        </w:rPr>
        <w:t xml:space="preserve"> zones tampons pour atténuer les </w:t>
      </w:r>
      <w:r>
        <w:rPr>
          <w:bCs/>
          <w:iCs/>
          <w:kern w:val="22"/>
          <w:szCs w:val="22"/>
          <w:lang w:val="fr-CA"/>
        </w:rPr>
        <w:t>impacts</w:t>
      </w:r>
      <w:r w:rsidRPr="00AF5B6D">
        <w:rPr>
          <w:bCs/>
          <w:iCs/>
          <w:kern w:val="22"/>
          <w:szCs w:val="22"/>
          <w:lang w:val="fr-CA"/>
        </w:rPr>
        <w:t xml:space="preserve"> des différents secteurs, afin d’améliorer l’ensemble des aires protégées, et la promotion de pratiques sectorielles qui réduisent et atténuent les </w:t>
      </w:r>
      <w:r>
        <w:rPr>
          <w:bCs/>
          <w:iCs/>
          <w:kern w:val="22"/>
          <w:szCs w:val="22"/>
          <w:lang w:val="fr-CA"/>
        </w:rPr>
        <w:t>répercussions sur la diversité biologique,</w:t>
      </w:r>
      <w:r w:rsidRPr="00AF5B6D">
        <w:rPr>
          <w:bCs/>
          <w:iCs/>
          <w:kern w:val="22"/>
          <w:szCs w:val="22"/>
          <w:lang w:val="fr-CA"/>
        </w:rPr>
        <w:t xml:space="preserve"> telles que l’agriculture biologique et l’exploitation forestière à longue durée de rotation</w:t>
      </w:r>
      <w:r w:rsidRPr="00AF5B6D">
        <w:rPr>
          <w:kern w:val="22"/>
          <w:szCs w:val="22"/>
          <w:lang w:val="fr-CA"/>
        </w:rPr>
        <w:t>.</w:t>
      </w:r>
    </w:p>
    <w:p w:rsidR="009F6935" w:rsidRPr="00AF5B6D" w:rsidRDefault="009F6935" w:rsidP="009F6935">
      <w:pPr>
        <w:pStyle w:val="Para10"/>
        <w:keepNext/>
        <w:suppressLineNumbers/>
        <w:suppressAutoHyphens/>
        <w:kinsoku w:val="0"/>
        <w:overflowPunct w:val="0"/>
        <w:autoSpaceDE w:val="0"/>
        <w:autoSpaceDN w:val="0"/>
        <w:ind w:left="1440" w:hanging="720"/>
        <w:jc w:val="left"/>
        <w:rPr>
          <w:rFonts w:cs="Times New Roman"/>
          <w:b/>
          <w:bCs w:val="0"/>
          <w:iCs/>
          <w:kern w:val="22"/>
          <w:lang w:val="fr-CA" w:eastAsia="ja-JP" w:bidi="th-TH"/>
        </w:rPr>
      </w:pPr>
      <w:r>
        <w:rPr>
          <w:rFonts w:cs="Times New Roman"/>
          <w:b/>
          <w:bCs w:val="0"/>
          <w:iCs/>
          <w:kern w:val="22"/>
          <w:lang w:val="fr-CA" w:eastAsia="ja-JP" w:bidi="th-TH"/>
        </w:rPr>
        <w:t>B.</w:t>
      </w:r>
      <w:r>
        <w:rPr>
          <w:rFonts w:cs="Times New Roman"/>
          <w:b/>
          <w:bCs w:val="0"/>
          <w:iCs/>
          <w:kern w:val="22"/>
          <w:lang w:val="fr-CA" w:eastAsia="ja-JP" w:bidi="th-TH"/>
        </w:rPr>
        <w:tab/>
        <w:t>Mesure</w:t>
      </w:r>
      <w:r w:rsidRPr="00AF5B6D">
        <w:rPr>
          <w:rFonts w:cs="Times New Roman"/>
          <w:b/>
          <w:bCs w:val="0"/>
          <w:iCs/>
          <w:kern w:val="22"/>
          <w:lang w:val="fr-CA" w:eastAsia="ja-JP" w:bidi="th-TH"/>
        </w:rPr>
        <w:t xml:space="preserve">s proposées pour améliorer et </w:t>
      </w:r>
      <w:r>
        <w:rPr>
          <w:rFonts w:cs="Times New Roman"/>
          <w:b/>
          <w:bCs w:val="0"/>
          <w:iCs/>
          <w:kern w:val="22"/>
          <w:lang w:val="fr-CA" w:eastAsia="ja-JP" w:bidi="th-TH"/>
        </w:rPr>
        <w:t>appuyer</w:t>
      </w:r>
      <w:r w:rsidRPr="00AF5B6D">
        <w:rPr>
          <w:rFonts w:cs="Times New Roman"/>
          <w:b/>
          <w:bCs w:val="0"/>
          <w:iCs/>
          <w:kern w:val="22"/>
          <w:lang w:val="fr-CA" w:eastAsia="ja-JP" w:bidi="th-TH"/>
        </w:rPr>
        <w:t xml:space="preserve"> l’intégration des aires protégées et </w:t>
      </w:r>
      <w:r>
        <w:rPr>
          <w:rFonts w:cs="Times New Roman"/>
          <w:b/>
          <w:bCs w:val="0"/>
          <w:iCs/>
          <w:kern w:val="22"/>
          <w:lang w:val="fr-CA" w:eastAsia="ja-JP" w:bidi="th-TH"/>
        </w:rPr>
        <w:t>d’</w:t>
      </w:r>
      <w:r w:rsidRPr="00AF5B6D">
        <w:rPr>
          <w:rFonts w:cs="Times New Roman"/>
          <w:b/>
          <w:bCs w:val="0"/>
          <w:iCs/>
          <w:kern w:val="22"/>
          <w:lang w:val="fr-CA" w:eastAsia="ja-JP" w:bidi="th-TH"/>
        </w:rPr>
        <w:t xml:space="preserve">autres mesures de conservation </w:t>
      </w:r>
      <w:r>
        <w:rPr>
          <w:rFonts w:cs="Times New Roman"/>
          <w:b/>
          <w:bCs w:val="0"/>
          <w:iCs/>
          <w:kern w:val="22"/>
          <w:lang w:val="fr-CA" w:eastAsia="ja-JP" w:bidi="th-TH"/>
        </w:rPr>
        <w:t>efficaces</w:t>
      </w:r>
      <w:r w:rsidRPr="00AF5B6D">
        <w:rPr>
          <w:rFonts w:cs="Times New Roman"/>
          <w:b/>
          <w:bCs w:val="0"/>
          <w:iCs/>
          <w:kern w:val="22"/>
          <w:lang w:val="fr-CA" w:eastAsia="ja-JP" w:bidi="th-TH"/>
        </w:rPr>
        <w:t xml:space="preserve"> dans les secteurs</w:t>
      </w:r>
      <w:r>
        <w:rPr>
          <w:rFonts w:cs="Times New Roman"/>
          <w:b/>
          <w:bCs w:val="0"/>
          <w:iCs/>
          <w:kern w:val="22"/>
          <w:lang w:val="fr-CA" w:eastAsia="ja-JP" w:bidi="th-TH"/>
        </w:rPr>
        <w:t xml:space="preserve"> pertinents</w:t>
      </w:r>
    </w:p>
    <w:p w:rsidR="009F6935" w:rsidRPr="00AF5B6D" w:rsidRDefault="009F6935" w:rsidP="00004EAF">
      <w:pPr>
        <w:pStyle w:val="Para1"/>
        <w:numPr>
          <w:ilvl w:val="0"/>
          <w:numId w:val="16"/>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eastAsia="ja-JP" w:bidi="th-TH"/>
        </w:rPr>
        <w:t xml:space="preserve">Recenser, cartographier et </w:t>
      </w:r>
      <w:r>
        <w:rPr>
          <w:bCs/>
          <w:i/>
          <w:iCs/>
          <w:kern w:val="22"/>
          <w:szCs w:val="22"/>
          <w:lang w:val="fr-CA" w:eastAsia="ja-JP" w:bidi="th-TH"/>
        </w:rPr>
        <w:t>hiérarchiser</w:t>
      </w:r>
      <w:r w:rsidRPr="00AF5B6D">
        <w:rPr>
          <w:bCs/>
          <w:i/>
          <w:iCs/>
          <w:kern w:val="22"/>
          <w:szCs w:val="22"/>
          <w:lang w:val="fr-CA" w:eastAsia="ja-JP" w:bidi="th-TH"/>
        </w:rPr>
        <w:t xml:space="preserve"> les aires </w:t>
      </w:r>
      <w:r>
        <w:rPr>
          <w:bCs/>
          <w:i/>
          <w:iCs/>
          <w:kern w:val="22"/>
          <w:szCs w:val="22"/>
          <w:lang w:val="fr-CA" w:eastAsia="ja-JP" w:bidi="th-TH"/>
        </w:rPr>
        <w:t>importantes pour les</w:t>
      </w:r>
      <w:r w:rsidRPr="00AF5B6D">
        <w:rPr>
          <w:bCs/>
          <w:i/>
          <w:iCs/>
          <w:kern w:val="22"/>
          <w:szCs w:val="22"/>
          <w:lang w:val="fr-CA" w:eastAsia="ja-JP" w:bidi="th-TH"/>
        </w:rPr>
        <w:t xml:space="preserve"> </w:t>
      </w:r>
      <w:r>
        <w:rPr>
          <w:bCs/>
          <w:i/>
          <w:iCs/>
          <w:kern w:val="22"/>
          <w:szCs w:val="22"/>
          <w:lang w:val="fr-CA" w:eastAsia="ja-JP" w:bidi="th-TH"/>
        </w:rPr>
        <w:t xml:space="preserve">fonctions et </w:t>
      </w:r>
      <w:r w:rsidRPr="00AF5B6D">
        <w:rPr>
          <w:bCs/>
          <w:i/>
          <w:iCs/>
          <w:kern w:val="22"/>
          <w:szCs w:val="22"/>
          <w:lang w:val="fr-CA" w:eastAsia="ja-JP" w:bidi="th-TH"/>
        </w:rPr>
        <w:t>services écosystémiques essentiels</w:t>
      </w:r>
      <w:r>
        <w:rPr>
          <w:bCs/>
          <w:iCs/>
          <w:kern w:val="22"/>
          <w:szCs w:val="22"/>
          <w:lang w:val="fr-CA" w:eastAsia="ja-JP" w:bidi="th-TH"/>
        </w:rPr>
        <w:t>, y compris</w:t>
      </w:r>
      <w:r w:rsidRPr="00AF5B6D">
        <w:rPr>
          <w:bCs/>
          <w:iCs/>
          <w:kern w:val="22"/>
          <w:szCs w:val="22"/>
          <w:lang w:val="fr-CA" w:eastAsia="ja-JP" w:bidi="th-TH"/>
        </w:rPr>
        <w:t xml:space="preserve"> les écosystèmes </w:t>
      </w:r>
      <w:r>
        <w:rPr>
          <w:bCs/>
          <w:iCs/>
          <w:kern w:val="22"/>
          <w:szCs w:val="22"/>
          <w:lang w:val="fr-CA" w:eastAsia="ja-JP" w:bidi="th-TH"/>
        </w:rPr>
        <w:t>importants</w:t>
      </w:r>
      <w:r w:rsidRPr="00AF5B6D">
        <w:rPr>
          <w:bCs/>
          <w:iCs/>
          <w:kern w:val="22"/>
          <w:szCs w:val="22"/>
          <w:lang w:val="fr-CA" w:eastAsia="ja-JP" w:bidi="th-TH"/>
        </w:rPr>
        <w:t xml:space="preserve"> pour l’alimentation (p. ex., mangroves pour la pêche), pour l’atténuation des changements climatiques (p. ex., écosystèmes à forte densité en carbone tels que les forêts, les tourbières et les mangr</w:t>
      </w:r>
      <w:r>
        <w:rPr>
          <w:bCs/>
          <w:iCs/>
          <w:kern w:val="22"/>
          <w:szCs w:val="22"/>
          <w:lang w:val="fr-CA" w:eastAsia="ja-JP" w:bidi="th-TH"/>
        </w:rPr>
        <w:t>oves), pour la sécurité hydrique (p. </w:t>
      </w:r>
      <w:r w:rsidRPr="00AF5B6D">
        <w:rPr>
          <w:bCs/>
          <w:iCs/>
          <w:kern w:val="22"/>
          <w:szCs w:val="22"/>
          <w:lang w:val="fr-CA" w:eastAsia="ja-JP" w:bidi="th-TH"/>
        </w:rPr>
        <w:t xml:space="preserve">ex., les montagnes, les forêts, les terres humides et les herbiers </w:t>
      </w:r>
      <w:r>
        <w:rPr>
          <w:bCs/>
          <w:iCs/>
          <w:kern w:val="22"/>
          <w:szCs w:val="22"/>
          <w:lang w:val="fr-CA" w:eastAsia="ja-JP" w:bidi="th-TH"/>
        </w:rPr>
        <w:t xml:space="preserve">marins </w:t>
      </w:r>
      <w:r w:rsidRPr="00AF5B6D">
        <w:rPr>
          <w:bCs/>
          <w:iCs/>
          <w:kern w:val="22"/>
          <w:szCs w:val="22"/>
          <w:lang w:val="fr-CA" w:eastAsia="ja-JP" w:bidi="th-TH"/>
        </w:rPr>
        <w:t>qui pro</w:t>
      </w:r>
      <w:r>
        <w:rPr>
          <w:bCs/>
          <w:iCs/>
          <w:kern w:val="22"/>
          <w:szCs w:val="22"/>
          <w:lang w:val="fr-CA" w:eastAsia="ja-JP" w:bidi="th-TH"/>
        </w:rPr>
        <w:t>curent l’eau de surface et sou</w:t>
      </w:r>
      <w:r w:rsidRPr="00AF5B6D">
        <w:rPr>
          <w:bCs/>
          <w:iCs/>
          <w:kern w:val="22"/>
          <w:szCs w:val="22"/>
          <w:lang w:val="fr-CA" w:eastAsia="ja-JP" w:bidi="th-TH"/>
        </w:rPr>
        <w:t>terraine), pour l’atténuation de la pauvreté (p. ex., écosystèmes qui assurent</w:t>
      </w:r>
      <w:r>
        <w:rPr>
          <w:bCs/>
          <w:iCs/>
          <w:kern w:val="22"/>
          <w:szCs w:val="22"/>
          <w:lang w:val="fr-CA" w:eastAsia="ja-JP" w:bidi="th-TH"/>
        </w:rPr>
        <w:t xml:space="preserve"> des moyens de subsistance, des revenus </w:t>
      </w:r>
      <w:r w:rsidRPr="00AF5B6D">
        <w:rPr>
          <w:bCs/>
          <w:iCs/>
          <w:kern w:val="22"/>
          <w:szCs w:val="22"/>
          <w:lang w:val="fr-CA" w:eastAsia="ja-JP" w:bidi="th-TH"/>
        </w:rPr>
        <w:t>et de</w:t>
      </w:r>
      <w:r>
        <w:rPr>
          <w:bCs/>
          <w:iCs/>
          <w:kern w:val="22"/>
          <w:szCs w:val="22"/>
          <w:lang w:val="fr-CA" w:eastAsia="ja-JP" w:bidi="th-TH"/>
        </w:rPr>
        <w:t xml:space="preserve">s </w:t>
      </w:r>
      <w:r w:rsidRPr="00AF5B6D">
        <w:rPr>
          <w:bCs/>
          <w:iCs/>
          <w:kern w:val="22"/>
          <w:szCs w:val="22"/>
          <w:lang w:val="fr-CA" w:eastAsia="ja-JP" w:bidi="th-TH"/>
        </w:rPr>
        <w:t>emploi</w:t>
      </w:r>
      <w:r>
        <w:rPr>
          <w:bCs/>
          <w:iCs/>
          <w:kern w:val="22"/>
          <w:szCs w:val="22"/>
          <w:lang w:val="fr-CA" w:eastAsia="ja-JP" w:bidi="th-TH"/>
        </w:rPr>
        <w:t>s</w:t>
      </w:r>
      <w:r w:rsidRPr="00AF5B6D">
        <w:rPr>
          <w:bCs/>
          <w:iCs/>
          <w:kern w:val="22"/>
          <w:szCs w:val="22"/>
          <w:lang w:val="fr-CA" w:eastAsia="ja-JP" w:bidi="th-TH"/>
        </w:rPr>
        <w:t>)</w:t>
      </w:r>
      <w:r>
        <w:rPr>
          <w:bCs/>
          <w:iCs/>
          <w:kern w:val="22"/>
          <w:szCs w:val="22"/>
          <w:lang w:val="fr-CA" w:eastAsia="ja-JP" w:bidi="th-TH"/>
        </w:rPr>
        <w:t>,</w:t>
      </w:r>
      <w:r w:rsidRPr="00AF5B6D">
        <w:rPr>
          <w:bCs/>
          <w:iCs/>
          <w:kern w:val="22"/>
          <w:szCs w:val="22"/>
          <w:lang w:val="fr-CA" w:eastAsia="ja-JP" w:bidi="th-TH"/>
        </w:rPr>
        <w:t xml:space="preserve"> et pour la réduction des risques de catastrophe </w:t>
      </w:r>
      <w:r>
        <w:rPr>
          <w:bCs/>
          <w:iCs/>
          <w:kern w:val="22"/>
          <w:szCs w:val="22"/>
          <w:lang w:val="fr-CA" w:eastAsia="ja-JP" w:bidi="th-TH"/>
        </w:rPr>
        <w:t>naturelle (p. </w:t>
      </w:r>
      <w:r w:rsidRPr="00AF5B6D">
        <w:rPr>
          <w:bCs/>
          <w:iCs/>
          <w:kern w:val="22"/>
          <w:szCs w:val="22"/>
          <w:lang w:val="fr-CA" w:eastAsia="ja-JP" w:bidi="th-TH"/>
        </w:rPr>
        <w:t>ex., écosystèmes qui atténuent les conséquences des tempêtes côtières</w:t>
      </w:r>
      <w:r>
        <w:rPr>
          <w:bCs/>
          <w:iCs/>
          <w:kern w:val="22"/>
          <w:szCs w:val="22"/>
          <w:lang w:val="fr-CA" w:eastAsia="ja-JP" w:bidi="th-TH"/>
        </w:rPr>
        <w:t>,</w:t>
      </w:r>
      <w:r w:rsidRPr="00AF5B6D">
        <w:rPr>
          <w:bCs/>
          <w:iCs/>
          <w:kern w:val="22"/>
          <w:szCs w:val="22"/>
          <w:lang w:val="fr-CA" w:eastAsia="ja-JP" w:bidi="th-TH"/>
        </w:rPr>
        <w:t xml:space="preserve"> tels que les récifs, les h</w:t>
      </w:r>
      <w:r>
        <w:rPr>
          <w:bCs/>
          <w:iCs/>
          <w:kern w:val="22"/>
          <w:szCs w:val="22"/>
          <w:lang w:val="fr-CA" w:eastAsia="ja-JP" w:bidi="th-TH"/>
        </w:rPr>
        <w:t>erbiers marins et les plaines inondables</w:t>
      </w:r>
      <w:r w:rsidRPr="00AF5B6D">
        <w:rPr>
          <w:bCs/>
          <w:iCs/>
          <w:kern w:val="22"/>
          <w:szCs w:val="22"/>
          <w:lang w:val="fr-CA" w:eastAsia="ja-JP" w:bidi="th-TH"/>
        </w:rPr>
        <w:t>);</w:t>
      </w:r>
    </w:p>
    <w:p w:rsidR="009F6935" w:rsidRPr="00AF5B6D" w:rsidRDefault="009F6935" w:rsidP="00004EAF">
      <w:pPr>
        <w:pStyle w:val="Para1"/>
        <w:numPr>
          <w:ilvl w:val="0"/>
          <w:numId w:val="16"/>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Examiner et actualiser les plans sectoriels </w:t>
      </w:r>
      <w:r w:rsidRPr="00AF5B6D">
        <w:rPr>
          <w:bCs/>
          <w:iCs/>
          <w:kern w:val="22"/>
          <w:szCs w:val="22"/>
          <w:lang w:val="fr-CA"/>
        </w:rPr>
        <w:t xml:space="preserve">afin </w:t>
      </w:r>
      <w:r>
        <w:rPr>
          <w:bCs/>
          <w:iCs/>
          <w:kern w:val="22"/>
          <w:szCs w:val="22"/>
          <w:lang w:val="fr-CA"/>
        </w:rPr>
        <w:t>d’assurer la reconnaissance des</w:t>
      </w:r>
      <w:r w:rsidRPr="00AF5B6D">
        <w:rPr>
          <w:bCs/>
          <w:iCs/>
          <w:kern w:val="22"/>
          <w:szCs w:val="22"/>
          <w:lang w:val="fr-CA"/>
        </w:rPr>
        <w:t xml:space="preserve"> nombreuses valeurs offertes par les aires protégées</w:t>
      </w:r>
      <w:r w:rsidRPr="00F43A15">
        <w:rPr>
          <w:bCs/>
          <w:iCs/>
          <w:kern w:val="22"/>
          <w:szCs w:val="22"/>
          <w:lang w:val="fr-CA"/>
        </w:rPr>
        <w:t xml:space="preserve"> </w:t>
      </w:r>
      <w:r>
        <w:rPr>
          <w:bCs/>
          <w:iCs/>
          <w:kern w:val="22"/>
          <w:szCs w:val="22"/>
          <w:lang w:val="fr-CA"/>
        </w:rPr>
        <w:t>et d’autres mesures de conservation efficaces par zone, ainsi que</w:t>
      </w:r>
      <w:r w:rsidRPr="00AF5B6D">
        <w:rPr>
          <w:bCs/>
          <w:iCs/>
          <w:kern w:val="22"/>
          <w:szCs w:val="22"/>
          <w:lang w:val="fr-CA"/>
        </w:rPr>
        <w:t xml:space="preserve"> </w:t>
      </w:r>
      <w:r>
        <w:rPr>
          <w:bCs/>
          <w:iCs/>
          <w:kern w:val="22"/>
          <w:szCs w:val="22"/>
          <w:lang w:val="fr-CA"/>
        </w:rPr>
        <w:t>leur intégration</w:t>
      </w:r>
      <w:r w:rsidRPr="00AF5B6D">
        <w:rPr>
          <w:bCs/>
          <w:iCs/>
          <w:kern w:val="22"/>
          <w:szCs w:val="22"/>
          <w:lang w:val="fr-CA"/>
        </w:rPr>
        <w:t xml:space="preserve"> dans les plans sectoriels</w:t>
      </w:r>
      <w:r w:rsidRPr="00AF5B6D">
        <w:rPr>
          <w:kern w:val="22"/>
          <w:szCs w:val="22"/>
          <w:lang w:val="fr-CA"/>
        </w:rPr>
        <w:t>;</w:t>
      </w:r>
    </w:p>
    <w:p w:rsidR="009F6935" w:rsidRPr="00AF5B6D" w:rsidRDefault="009F6935" w:rsidP="00004EAF">
      <w:pPr>
        <w:pStyle w:val="Para1"/>
        <w:numPr>
          <w:ilvl w:val="0"/>
          <w:numId w:val="16"/>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Élaborer des campagnes de communication ciblées </w:t>
      </w:r>
      <w:r>
        <w:rPr>
          <w:bCs/>
          <w:iCs/>
          <w:kern w:val="22"/>
          <w:szCs w:val="22"/>
          <w:lang w:val="fr-CA"/>
        </w:rPr>
        <w:t>visant différent</w:t>
      </w:r>
      <w:r w:rsidRPr="00AF5B6D">
        <w:rPr>
          <w:bCs/>
          <w:iCs/>
          <w:kern w:val="22"/>
          <w:szCs w:val="22"/>
          <w:lang w:val="fr-CA"/>
        </w:rPr>
        <w:t xml:space="preserve">s secteurs, publics et privés, qui dépendent de la diversité biologique et des </w:t>
      </w:r>
      <w:r>
        <w:rPr>
          <w:bCs/>
          <w:iCs/>
          <w:kern w:val="22"/>
          <w:szCs w:val="22"/>
          <w:lang w:val="fr-CA"/>
        </w:rPr>
        <w:t>fonctions et services écosystémiques procuré</w:t>
      </w:r>
      <w:r w:rsidRPr="00AF5B6D">
        <w:rPr>
          <w:bCs/>
          <w:iCs/>
          <w:kern w:val="22"/>
          <w:szCs w:val="22"/>
          <w:lang w:val="fr-CA"/>
        </w:rPr>
        <w:t>s par les aires protégées</w:t>
      </w:r>
      <w:r w:rsidRPr="005B3F8D">
        <w:rPr>
          <w:bCs/>
          <w:iCs/>
          <w:kern w:val="22"/>
          <w:szCs w:val="22"/>
          <w:lang w:val="fr-CA"/>
        </w:rPr>
        <w:t xml:space="preserve"> </w:t>
      </w:r>
      <w:r>
        <w:rPr>
          <w:bCs/>
          <w:iCs/>
          <w:kern w:val="22"/>
          <w:szCs w:val="22"/>
          <w:lang w:val="fr-CA"/>
        </w:rPr>
        <w:t>et d’autres mesures de conservation efficaces par zone</w:t>
      </w:r>
      <w:r w:rsidRPr="00AF5B6D">
        <w:rPr>
          <w:bCs/>
          <w:iCs/>
          <w:kern w:val="22"/>
          <w:szCs w:val="22"/>
          <w:lang w:val="fr-CA"/>
        </w:rPr>
        <w:t xml:space="preserve">, dont l’agriculture, la pêche, les forêts, l’eau, le tourisme, la sécurité nationale et infranationale, le développement et les changements climatiques, afin de </w:t>
      </w:r>
      <w:r>
        <w:rPr>
          <w:bCs/>
          <w:iCs/>
          <w:kern w:val="22"/>
          <w:szCs w:val="22"/>
          <w:lang w:val="fr-CA"/>
        </w:rPr>
        <w:t>les sensibiliser davantage à la valeur que représente</w:t>
      </w:r>
      <w:r w:rsidRPr="00AF5B6D">
        <w:rPr>
          <w:bCs/>
          <w:iCs/>
          <w:kern w:val="22"/>
          <w:szCs w:val="22"/>
          <w:lang w:val="fr-CA"/>
        </w:rPr>
        <w:t xml:space="preserve"> la nature pour leurs secteurs</w:t>
      </w:r>
      <w:r w:rsidRPr="00AF5B6D">
        <w:rPr>
          <w:kern w:val="22"/>
          <w:szCs w:val="22"/>
          <w:lang w:val="fr-CA"/>
        </w:rPr>
        <w:t>;</w:t>
      </w:r>
    </w:p>
    <w:p w:rsidR="009F6935" w:rsidRPr="00AF5B6D" w:rsidRDefault="009F6935" w:rsidP="00004EAF">
      <w:pPr>
        <w:pStyle w:val="Para1"/>
        <w:numPr>
          <w:ilvl w:val="0"/>
          <w:numId w:val="16"/>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 xml:space="preserve">Examiner et réviser les cadres de politique </w:t>
      </w:r>
      <w:r>
        <w:rPr>
          <w:bCs/>
          <w:i/>
          <w:iCs/>
          <w:kern w:val="22"/>
          <w:szCs w:val="22"/>
          <w:lang w:val="fr-CA"/>
        </w:rPr>
        <w:t xml:space="preserve">générale </w:t>
      </w:r>
      <w:r w:rsidRPr="00AF5B6D">
        <w:rPr>
          <w:bCs/>
          <w:i/>
          <w:iCs/>
          <w:kern w:val="22"/>
          <w:szCs w:val="22"/>
          <w:lang w:val="fr-CA"/>
        </w:rPr>
        <w:t xml:space="preserve">et financiers </w:t>
      </w:r>
      <w:r w:rsidRPr="00AF5B6D">
        <w:rPr>
          <w:bCs/>
          <w:iCs/>
          <w:kern w:val="22"/>
          <w:szCs w:val="22"/>
          <w:lang w:val="fr-CA"/>
        </w:rPr>
        <w:t>en place</w:t>
      </w:r>
      <w:r>
        <w:rPr>
          <w:bCs/>
          <w:iCs/>
          <w:kern w:val="22"/>
          <w:szCs w:val="22"/>
          <w:lang w:val="fr-CA"/>
        </w:rPr>
        <w:t>, afin d’identifi</w:t>
      </w:r>
      <w:r w:rsidRPr="00AF5B6D">
        <w:rPr>
          <w:bCs/>
          <w:iCs/>
          <w:kern w:val="22"/>
          <w:szCs w:val="22"/>
          <w:lang w:val="fr-CA"/>
        </w:rPr>
        <w:t>er les possibilités d’améliorer les politiques habilitantes et l’environnement financier de l’intégration sectorielle</w:t>
      </w:r>
      <w:r w:rsidRPr="00AF5B6D">
        <w:rPr>
          <w:kern w:val="22"/>
          <w:szCs w:val="22"/>
          <w:lang w:val="fr-CA"/>
        </w:rPr>
        <w:t>;</w:t>
      </w:r>
    </w:p>
    <w:p w:rsidR="009F6935" w:rsidRPr="00AF5B6D" w:rsidRDefault="009F6935" w:rsidP="00004EAF">
      <w:pPr>
        <w:pStyle w:val="Para1"/>
        <w:numPr>
          <w:ilvl w:val="0"/>
          <w:numId w:val="16"/>
        </w:numPr>
        <w:suppressLineNumbers/>
        <w:suppressAutoHyphens/>
        <w:kinsoku w:val="0"/>
        <w:overflowPunct w:val="0"/>
        <w:autoSpaceDE w:val="0"/>
        <w:autoSpaceDN w:val="0"/>
        <w:ind w:left="0" w:firstLine="720"/>
        <w:rPr>
          <w:kern w:val="22"/>
          <w:szCs w:val="22"/>
          <w:lang w:val="fr-CA"/>
        </w:rPr>
      </w:pPr>
      <w:r w:rsidRPr="00AF5B6D">
        <w:rPr>
          <w:bCs/>
          <w:i/>
          <w:iCs/>
          <w:kern w:val="22"/>
          <w:szCs w:val="22"/>
          <w:lang w:val="fr-CA"/>
        </w:rPr>
        <w:t>Encourager le</w:t>
      </w:r>
      <w:r>
        <w:rPr>
          <w:bCs/>
          <w:i/>
          <w:iCs/>
          <w:kern w:val="22"/>
          <w:szCs w:val="22"/>
          <w:lang w:val="fr-CA"/>
        </w:rPr>
        <w:t>s</w:t>
      </w:r>
      <w:r w:rsidRPr="00AF5B6D">
        <w:rPr>
          <w:bCs/>
          <w:i/>
          <w:iCs/>
          <w:kern w:val="22"/>
          <w:szCs w:val="22"/>
          <w:lang w:val="fr-CA"/>
        </w:rPr>
        <w:t xml:space="preserve"> financement</w:t>
      </w:r>
      <w:r>
        <w:rPr>
          <w:bCs/>
          <w:i/>
          <w:iCs/>
          <w:kern w:val="22"/>
          <w:szCs w:val="22"/>
          <w:lang w:val="fr-CA"/>
        </w:rPr>
        <w:t>s innovants</w:t>
      </w:r>
      <w:r w:rsidRPr="00AF5B6D">
        <w:rPr>
          <w:bCs/>
          <w:i/>
          <w:iCs/>
          <w:kern w:val="22"/>
          <w:szCs w:val="22"/>
          <w:lang w:val="fr-CA"/>
        </w:rPr>
        <w:t xml:space="preserve">, </w:t>
      </w:r>
      <w:r>
        <w:rPr>
          <w:bCs/>
          <w:iCs/>
          <w:kern w:val="22"/>
          <w:szCs w:val="22"/>
          <w:lang w:val="fr-CA"/>
        </w:rPr>
        <w:t>à savoir,</w:t>
      </w:r>
      <w:r w:rsidRPr="00AF5B6D">
        <w:rPr>
          <w:bCs/>
          <w:iCs/>
          <w:kern w:val="22"/>
          <w:szCs w:val="22"/>
          <w:lang w:val="fr-CA"/>
        </w:rPr>
        <w:t xml:space="preserve"> les investisseurs d’impact, les compagnies d’assurance et autre</w:t>
      </w:r>
      <w:r>
        <w:rPr>
          <w:bCs/>
          <w:iCs/>
          <w:kern w:val="22"/>
          <w:szCs w:val="22"/>
          <w:lang w:val="fr-CA"/>
        </w:rPr>
        <w:t>s, afin de définir et de financ</w:t>
      </w:r>
      <w:r w:rsidRPr="00AF5B6D">
        <w:rPr>
          <w:bCs/>
          <w:iCs/>
          <w:kern w:val="22"/>
          <w:szCs w:val="22"/>
          <w:lang w:val="fr-CA"/>
        </w:rPr>
        <w:t>er de</w:t>
      </w:r>
      <w:r>
        <w:rPr>
          <w:bCs/>
          <w:iCs/>
          <w:kern w:val="22"/>
          <w:szCs w:val="22"/>
          <w:lang w:val="fr-CA"/>
        </w:rPr>
        <w:t>s</w:t>
      </w:r>
      <w:r w:rsidRPr="00AF5B6D">
        <w:rPr>
          <w:bCs/>
          <w:iCs/>
          <w:kern w:val="22"/>
          <w:szCs w:val="22"/>
          <w:lang w:val="fr-CA"/>
        </w:rPr>
        <w:t xml:space="preserve"> nouvelles aires protégées et la restauration d’aires protégées importantes</w:t>
      </w:r>
      <w:r>
        <w:rPr>
          <w:bCs/>
          <w:iCs/>
          <w:kern w:val="22"/>
          <w:szCs w:val="22"/>
          <w:lang w:val="fr-CA"/>
        </w:rPr>
        <w:t>,</w:t>
      </w:r>
      <w:r w:rsidRPr="00AF5B6D">
        <w:rPr>
          <w:bCs/>
          <w:iCs/>
          <w:kern w:val="22"/>
          <w:szCs w:val="22"/>
          <w:lang w:val="fr-CA"/>
        </w:rPr>
        <w:t xml:space="preserve"> </w:t>
      </w:r>
      <w:r>
        <w:rPr>
          <w:bCs/>
          <w:iCs/>
          <w:kern w:val="22"/>
          <w:szCs w:val="22"/>
          <w:lang w:val="fr-CA"/>
        </w:rPr>
        <w:t>pour qu’elles procurent</w:t>
      </w:r>
      <w:r w:rsidRPr="00AF5B6D">
        <w:rPr>
          <w:bCs/>
          <w:iCs/>
          <w:kern w:val="22"/>
          <w:szCs w:val="22"/>
          <w:lang w:val="fr-CA"/>
        </w:rPr>
        <w:t xml:space="preserve"> des </w:t>
      </w:r>
      <w:r>
        <w:rPr>
          <w:bCs/>
          <w:iCs/>
          <w:kern w:val="22"/>
          <w:szCs w:val="22"/>
          <w:lang w:val="fr-CA"/>
        </w:rPr>
        <w:t xml:space="preserve">fonctions et </w:t>
      </w:r>
      <w:r w:rsidRPr="00AF5B6D">
        <w:rPr>
          <w:bCs/>
          <w:iCs/>
          <w:kern w:val="22"/>
          <w:szCs w:val="22"/>
          <w:lang w:val="fr-CA"/>
        </w:rPr>
        <w:t>services écosystémiques essentiels</w:t>
      </w:r>
      <w:r w:rsidRPr="00AF5B6D">
        <w:rPr>
          <w:kern w:val="22"/>
          <w:szCs w:val="22"/>
          <w:lang w:val="fr-CA"/>
        </w:rPr>
        <w:t>;</w:t>
      </w:r>
    </w:p>
    <w:p w:rsidR="009F6935" w:rsidRPr="00AF5B6D" w:rsidRDefault="009F6935" w:rsidP="00004EAF">
      <w:pPr>
        <w:pStyle w:val="Para1"/>
        <w:numPr>
          <w:ilvl w:val="0"/>
          <w:numId w:val="16"/>
        </w:numPr>
        <w:suppressLineNumbers/>
        <w:suppressAutoHyphens/>
        <w:kinsoku w:val="0"/>
        <w:overflowPunct w:val="0"/>
        <w:autoSpaceDE w:val="0"/>
        <w:autoSpaceDN w:val="0"/>
        <w:spacing w:after="240"/>
        <w:ind w:left="0" w:firstLine="720"/>
        <w:rPr>
          <w:kern w:val="22"/>
          <w:szCs w:val="22"/>
          <w:lang w:val="fr-CA"/>
        </w:rPr>
      </w:pPr>
      <w:r w:rsidRPr="00AF5B6D">
        <w:rPr>
          <w:bCs/>
          <w:i/>
          <w:iCs/>
          <w:kern w:val="22"/>
          <w:szCs w:val="22"/>
          <w:lang w:val="fr-CA"/>
        </w:rPr>
        <w:t xml:space="preserve">Évaluer et actualiser les capacités requises </w:t>
      </w:r>
      <w:r w:rsidRPr="00AF5B6D">
        <w:rPr>
          <w:bCs/>
          <w:iCs/>
          <w:kern w:val="22"/>
          <w:szCs w:val="22"/>
          <w:lang w:val="fr-CA"/>
        </w:rPr>
        <w:t>pour améliorer l’intégration des aires protégées, y compris les capacités liées à la création</w:t>
      </w:r>
      <w:r>
        <w:rPr>
          <w:bCs/>
          <w:iCs/>
          <w:kern w:val="22"/>
          <w:szCs w:val="22"/>
          <w:lang w:val="fr-CA"/>
        </w:rPr>
        <w:t xml:space="preserve"> de conditions habilitantes en matière de politique </w:t>
      </w:r>
      <w:r>
        <w:rPr>
          <w:bCs/>
          <w:iCs/>
          <w:kern w:val="22"/>
          <w:szCs w:val="22"/>
          <w:lang w:val="fr-CA"/>
        </w:rPr>
        <w:lastRenderedPageBreak/>
        <w:t xml:space="preserve">générale, à </w:t>
      </w:r>
      <w:r w:rsidRPr="00AF5B6D">
        <w:rPr>
          <w:bCs/>
          <w:iCs/>
          <w:kern w:val="22"/>
          <w:szCs w:val="22"/>
          <w:lang w:val="fr-CA"/>
        </w:rPr>
        <w:t xml:space="preserve">la cartographie spatiale des </w:t>
      </w:r>
      <w:r>
        <w:rPr>
          <w:bCs/>
          <w:iCs/>
          <w:kern w:val="22"/>
          <w:szCs w:val="22"/>
          <w:lang w:val="fr-CA"/>
        </w:rPr>
        <w:t xml:space="preserve">fonctions et </w:t>
      </w:r>
      <w:r w:rsidRPr="00AF5B6D">
        <w:rPr>
          <w:bCs/>
          <w:iCs/>
          <w:kern w:val="22"/>
          <w:szCs w:val="22"/>
          <w:lang w:val="fr-CA"/>
        </w:rPr>
        <w:t>service</w:t>
      </w:r>
      <w:r>
        <w:rPr>
          <w:bCs/>
          <w:iCs/>
          <w:kern w:val="22"/>
          <w:szCs w:val="22"/>
          <w:lang w:val="fr-CA"/>
        </w:rPr>
        <w:t>s écosystémiques essentiels et à</w:t>
      </w:r>
      <w:r w:rsidRPr="00AF5B6D">
        <w:rPr>
          <w:bCs/>
          <w:iCs/>
          <w:kern w:val="22"/>
          <w:szCs w:val="22"/>
          <w:lang w:val="fr-CA"/>
        </w:rPr>
        <w:t xml:space="preserve"> l’évaluation de la valeur économique des </w:t>
      </w:r>
      <w:r>
        <w:rPr>
          <w:bCs/>
          <w:iCs/>
          <w:kern w:val="22"/>
          <w:szCs w:val="22"/>
          <w:lang w:val="fr-CA"/>
        </w:rPr>
        <w:t xml:space="preserve">fonctions et </w:t>
      </w:r>
      <w:r w:rsidRPr="00AF5B6D">
        <w:rPr>
          <w:bCs/>
          <w:iCs/>
          <w:kern w:val="22"/>
          <w:szCs w:val="22"/>
          <w:lang w:val="fr-CA"/>
        </w:rPr>
        <w:t>services écosystémiques</w:t>
      </w:r>
      <w:r w:rsidRPr="00AF5B6D">
        <w:rPr>
          <w:kern w:val="22"/>
          <w:szCs w:val="22"/>
          <w:lang w:val="fr-CA"/>
        </w:rPr>
        <w:t>.</w:t>
      </w:r>
    </w:p>
    <w:p w:rsidR="009F6935" w:rsidRDefault="009F6935" w:rsidP="009F6935">
      <w:pPr>
        <w:suppressLineNumbers/>
        <w:suppressAutoHyphens/>
        <w:kinsoku w:val="0"/>
        <w:overflowPunct w:val="0"/>
        <w:autoSpaceDE w:val="0"/>
        <w:autoSpaceDN w:val="0"/>
        <w:jc w:val="left"/>
        <w:rPr>
          <w:kern w:val="22"/>
          <w:szCs w:val="22"/>
          <w:lang w:val="fr-CA"/>
        </w:rPr>
      </w:pPr>
    </w:p>
    <w:p w:rsidR="009F6935" w:rsidRPr="00FF06BD" w:rsidRDefault="009F6935" w:rsidP="009F6935">
      <w:pPr>
        <w:suppressLineNumbers/>
        <w:suppressAutoHyphens/>
        <w:kinsoku w:val="0"/>
        <w:overflowPunct w:val="0"/>
        <w:autoSpaceDE w:val="0"/>
        <w:autoSpaceDN w:val="0"/>
        <w:jc w:val="center"/>
        <w:rPr>
          <w:b/>
          <w:caps/>
          <w:kern w:val="22"/>
          <w:szCs w:val="22"/>
          <w:lang w:val="fr-CA"/>
        </w:rPr>
      </w:pPr>
      <w:r w:rsidRPr="00AF5B6D">
        <w:rPr>
          <w:i/>
          <w:kern w:val="22"/>
          <w:szCs w:val="22"/>
          <w:lang w:val="fr-CA"/>
        </w:rPr>
        <w:t>Annexe II</w:t>
      </w:r>
    </w:p>
    <w:p w:rsidR="009F6935" w:rsidRPr="00AF5B6D" w:rsidRDefault="009F6935" w:rsidP="009F6935">
      <w:pPr>
        <w:pStyle w:val="Heading1"/>
        <w:suppressLineNumbers/>
        <w:tabs>
          <w:tab w:val="clear" w:pos="720"/>
        </w:tabs>
        <w:suppressAutoHyphens/>
        <w:kinsoku w:val="0"/>
        <w:overflowPunct w:val="0"/>
        <w:autoSpaceDE w:val="0"/>
        <w:autoSpaceDN w:val="0"/>
        <w:spacing w:before="120" w:after="360"/>
        <w:rPr>
          <w:rFonts w:eastAsia="Calibri"/>
          <w:snapToGrid w:val="0"/>
          <w:kern w:val="22"/>
          <w:szCs w:val="22"/>
          <w:lang w:val="fr-CA"/>
        </w:rPr>
      </w:pPr>
      <w:bookmarkStart w:id="22" w:name="_Toc525904154"/>
      <w:bookmarkStart w:id="23" w:name="_Toc525904313"/>
      <w:bookmarkStart w:id="24" w:name="_Toc525904557"/>
      <w:r w:rsidRPr="00AF5B6D">
        <w:rPr>
          <w:kern w:val="22"/>
          <w:szCs w:val="22"/>
          <w:lang w:val="fr-CA"/>
        </w:rPr>
        <w:t>orientations facultatives sur les modèles de gouvernance efficace</w:t>
      </w:r>
      <w:r>
        <w:rPr>
          <w:kern w:val="22"/>
          <w:szCs w:val="22"/>
          <w:lang w:val="fr-CA"/>
        </w:rPr>
        <w:t>s</w:t>
      </w:r>
      <w:r w:rsidRPr="00AF5B6D">
        <w:rPr>
          <w:kern w:val="22"/>
          <w:szCs w:val="22"/>
          <w:lang w:val="fr-CA"/>
        </w:rPr>
        <w:t xml:space="preserve"> pour la gestion des aires protÉgées, y compris l’Équité, compte tenu des travaux </w:t>
      </w:r>
      <w:r>
        <w:rPr>
          <w:kern w:val="22"/>
          <w:szCs w:val="22"/>
          <w:lang w:val="fr-CA"/>
        </w:rPr>
        <w:t>effectuÉs au titre de</w:t>
      </w:r>
      <w:r w:rsidRPr="00AF5B6D">
        <w:rPr>
          <w:kern w:val="22"/>
          <w:szCs w:val="22"/>
          <w:lang w:val="fr-CA"/>
        </w:rPr>
        <w:t xml:space="preserve"> l’article 8 j)</w:t>
      </w:r>
      <w:r>
        <w:rPr>
          <w:kern w:val="22"/>
          <w:szCs w:val="22"/>
          <w:lang w:val="fr-CA"/>
        </w:rPr>
        <w:t xml:space="preserve"> et des dispositions connexes de la convention</w:t>
      </w:r>
      <w:bookmarkEnd w:id="22"/>
      <w:bookmarkEnd w:id="23"/>
      <w:bookmarkEnd w:id="24"/>
    </w:p>
    <w:p w:rsidR="009F6935" w:rsidRPr="00AF5B6D" w:rsidRDefault="009F6935" w:rsidP="00004EAF">
      <w:pPr>
        <w:pStyle w:val="Heading1"/>
        <w:keepNext w:val="0"/>
        <w:numPr>
          <w:ilvl w:val="0"/>
          <w:numId w:val="21"/>
        </w:numPr>
        <w:suppressLineNumbers/>
        <w:suppressAutoHyphens/>
        <w:kinsoku w:val="0"/>
        <w:overflowPunct w:val="0"/>
        <w:autoSpaceDE w:val="0"/>
        <w:autoSpaceDN w:val="0"/>
        <w:spacing w:before="120"/>
        <w:rPr>
          <w:kern w:val="22"/>
          <w:szCs w:val="22"/>
          <w:lang w:val="fr-CA"/>
        </w:rPr>
      </w:pPr>
      <w:bookmarkStart w:id="25" w:name="_Toc525904155"/>
      <w:bookmarkStart w:id="26" w:name="_Toc525904314"/>
      <w:bookmarkStart w:id="27" w:name="_Toc525904558"/>
      <w:r w:rsidRPr="00AF5B6D">
        <w:rPr>
          <w:kern w:val="22"/>
          <w:szCs w:val="22"/>
          <w:lang w:val="fr-CA"/>
        </w:rPr>
        <w:t>ContextE</w:t>
      </w:r>
      <w:bookmarkEnd w:id="25"/>
      <w:bookmarkEnd w:id="26"/>
      <w:bookmarkEnd w:id="27"/>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rPr>
      </w:pPr>
      <w:r w:rsidRPr="00AF5B6D">
        <w:rPr>
          <w:kern w:val="22"/>
          <w:szCs w:val="22"/>
          <w:lang w:val="fr-CA" w:eastAsia="ja-JP" w:bidi="th-TH"/>
        </w:rPr>
        <w:t>La gouvern</w:t>
      </w:r>
      <w:r>
        <w:rPr>
          <w:kern w:val="22"/>
          <w:szCs w:val="22"/>
          <w:lang w:val="fr-CA" w:eastAsia="ja-JP" w:bidi="th-TH"/>
        </w:rPr>
        <w:t>ance est un facteur important pour assurer le</w:t>
      </w:r>
      <w:r w:rsidRPr="00AF5B6D">
        <w:rPr>
          <w:kern w:val="22"/>
          <w:szCs w:val="22"/>
          <w:lang w:val="fr-CA" w:eastAsia="ja-JP" w:bidi="th-TH"/>
        </w:rPr>
        <w:t xml:space="preserve"> succès des aires protégées à conserver la diversité biologiqu</w:t>
      </w:r>
      <w:r>
        <w:rPr>
          <w:kern w:val="22"/>
          <w:szCs w:val="22"/>
          <w:lang w:val="fr-CA" w:eastAsia="ja-JP" w:bidi="th-TH"/>
        </w:rPr>
        <w:t>e et à soutenir des moyen</w:t>
      </w:r>
      <w:r w:rsidRPr="00AF5B6D">
        <w:rPr>
          <w:kern w:val="22"/>
          <w:szCs w:val="22"/>
          <w:lang w:val="fr-CA" w:eastAsia="ja-JP" w:bidi="th-TH"/>
        </w:rPr>
        <w:t xml:space="preserve">s de subsistance durables. Améliorer la diversité, la qualité, l’efficacité et l’équité de la gouvernance </w:t>
      </w:r>
      <w:r>
        <w:rPr>
          <w:kern w:val="22"/>
          <w:szCs w:val="22"/>
          <w:lang w:val="fr-CA" w:eastAsia="ja-JP" w:bidi="th-TH"/>
        </w:rPr>
        <w:t>des aires protégées peut contribuer à la réalisation de l’Objectif </w:t>
      </w:r>
      <w:r w:rsidRPr="00AF5B6D">
        <w:rPr>
          <w:kern w:val="22"/>
          <w:szCs w:val="22"/>
          <w:lang w:val="fr-CA" w:eastAsia="ja-JP" w:bidi="th-TH"/>
        </w:rPr>
        <w:t>11 d’</w:t>
      </w:r>
      <w:r>
        <w:rPr>
          <w:kern w:val="22"/>
          <w:szCs w:val="22"/>
          <w:lang w:val="fr-CA" w:eastAsia="ja-JP" w:bidi="th-TH"/>
        </w:rPr>
        <w:t>Aichi pour la biodiversité</w:t>
      </w:r>
      <w:r w:rsidRPr="00AF5B6D">
        <w:rPr>
          <w:kern w:val="22"/>
          <w:szCs w:val="22"/>
          <w:lang w:val="fr-CA" w:eastAsia="ja-JP" w:bidi="th-TH"/>
        </w:rPr>
        <w:t xml:space="preserve"> et aider à faire face aux enjeux locaux et mondiaux.</w:t>
      </w:r>
      <w:r w:rsidRPr="00F17422">
        <w:rPr>
          <w:rStyle w:val="FootnoteReference"/>
          <w:rFonts w:eastAsia="Batang"/>
          <w:iCs/>
          <w:kern w:val="22"/>
          <w:sz w:val="20"/>
          <w:szCs w:val="20"/>
          <w:u w:val="none"/>
          <w:vertAlign w:val="superscript"/>
          <w:lang w:val="fr-CA" w:eastAsia="ja-JP" w:bidi="th-TH"/>
        </w:rPr>
        <w:footnoteReference w:id="46"/>
      </w:r>
      <w:r w:rsidRPr="00F17422">
        <w:rPr>
          <w:kern w:val="22"/>
          <w:sz w:val="20"/>
          <w:szCs w:val="20"/>
          <w:lang w:val="fr-CA" w:eastAsia="ja-JP" w:bidi="th-TH"/>
        </w:rPr>
        <w:t xml:space="preserve"> </w:t>
      </w:r>
      <w:r w:rsidRPr="00AF5B6D">
        <w:rPr>
          <w:rFonts w:eastAsia="Batang"/>
          <w:bCs/>
          <w:iCs/>
          <w:kern w:val="22"/>
          <w:szCs w:val="22"/>
          <w:lang w:val="fr-CA" w:eastAsia="ja-JP" w:bidi="th-TH"/>
        </w:rPr>
        <w:t>La reconnaissance du rôle et de</w:t>
      </w:r>
      <w:r>
        <w:rPr>
          <w:rFonts w:eastAsia="Batang"/>
          <w:bCs/>
          <w:iCs/>
          <w:kern w:val="22"/>
          <w:szCs w:val="22"/>
          <w:lang w:val="fr-CA" w:eastAsia="ja-JP" w:bidi="th-TH"/>
        </w:rPr>
        <w:t xml:space="preserve"> la contribution de différents acteurs et </w:t>
      </w:r>
      <w:r w:rsidRPr="00AF5B6D">
        <w:rPr>
          <w:rFonts w:eastAsia="Batang"/>
          <w:bCs/>
          <w:iCs/>
          <w:kern w:val="22"/>
          <w:szCs w:val="22"/>
          <w:lang w:val="fr-CA" w:eastAsia="ja-JP" w:bidi="th-TH"/>
        </w:rPr>
        <w:t>approches à la conservation par zone peut facilite</w:t>
      </w:r>
      <w:r>
        <w:rPr>
          <w:rFonts w:eastAsia="Batang"/>
          <w:bCs/>
          <w:iCs/>
          <w:kern w:val="22"/>
          <w:szCs w:val="22"/>
          <w:lang w:val="fr-CA" w:eastAsia="ja-JP" w:bidi="th-TH"/>
        </w:rPr>
        <w:t>r la réalisation des éléments concernant la couverture, la représentativité et la</w:t>
      </w:r>
      <w:r w:rsidRPr="00AF5B6D">
        <w:rPr>
          <w:rFonts w:eastAsia="Batang"/>
          <w:bCs/>
          <w:iCs/>
          <w:kern w:val="22"/>
          <w:szCs w:val="22"/>
          <w:lang w:val="fr-CA" w:eastAsia="ja-JP" w:bidi="th-TH"/>
        </w:rPr>
        <w:t xml:space="preserve"> connectivi</w:t>
      </w:r>
      <w:r>
        <w:rPr>
          <w:rFonts w:eastAsia="Batang"/>
          <w:bCs/>
          <w:iCs/>
          <w:kern w:val="22"/>
          <w:szCs w:val="22"/>
          <w:lang w:val="fr-CA" w:eastAsia="ja-JP" w:bidi="th-TH"/>
        </w:rPr>
        <w:t>té et les éléments qualitatifs de l’Objectif </w:t>
      </w:r>
      <w:r w:rsidRPr="00AF5B6D">
        <w:rPr>
          <w:rFonts w:eastAsia="Batang"/>
          <w:bCs/>
          <w:iCs/>
          <w:kern w:val="22"/>
          <w:szCs w:val="22"/>
          <w:lang w:val="fr-CA" w:eastAsia="ja-JP" w:bidi="th-TH"/>
        </w:rPr>
        <w:t xml:space="preserve">11. Cette </w:t>
      </w:r>
      <w:r>
        <w:rPr>
          <w:rFonts w:eastAsia="Batang"/>
          <w:bCs/>
          <w:iCs/>
          <w:kern w:val="22"/>
          <w:szCs w:val="22"/>
          <w:lang w:val="fr-CA" w:eastAsia="ja-JP" w:bidi="th-TH"/>
        </w:rPr>
        <w:t>diversité augmente la responsabilisation</w:t>
      </w:r>
      <w:r w:rsidRPr="00AF5B6D">
        <w:rPr>
          <w:rFonts w:eastAsia="Batang"/>
          <w:bCs/>
          <w:iCs/>
          <w:kern w:val="22"/>
          <w:szCs w:val="22"/>
          <w:lang w:val="fr-CA" w:eastAsia="ja-JP" w:bidi="th-TH"/>
        </w:rPr>
        <w:t xml:space="preserve">, ce qui favorise potentiellement la collaboration et réduit les conflits, tout en améliorant la </w:t>
      </w:r>
      <w:r>
        <w:rPr>
          <w:rFonts w:eastAsia="Batang"/>
          <w:bCs/>
          <w:iCs/>
          <w:kern w:val="22"/>
          <w:szCs w:val="22"/>
          <w:lang w:val="fr-CA" w:eastAsia="ja-JP" w:bidi="th-TH"/>
        </w:rPr>
        <w:t>résilience face aux</w:t>
      </w:r>
      <w:r w:rsidRPr="00AF5B6D">
        <w:rPr>
          <w:rFonts w:eastAsia="Batang"/>
          <w:bCs/>
          <w:iCs/>
          <w:kern w:val="22"/>
          <w:szCs w:val="22"/>
          <w:lang w:val="fr-CA" w:eastAsia="ja-JP" w:bidi="th-TH"/>
        </w:rPr>
        <w:t xml:space="preserve"> changement</w:t>
      </w:r>
      <w:r>
        <w:rPr>
          <w:rFonts w:eastAsia="Batang"/>
          <w:bCs/>
          <w:iCs/>
          <w:kern w:val="22"/>
          <w:szCs w:val="22"/>
          <w:lang w:val="fr-CA" w:eastAsia="ja-JP" w:bidi="th-TH"/>
        </w:rPr>
        <w:t>s</w:t>
      </w:r>
      <w:r w:rsidRPr="00AF5B6D">
        <w:rPr>
          <w:rFonts w:eastAsia="Batang"/>
          <w:bCs/>
          <w:iCs/>
          <w:kern w:val="22"/>
          <w:szCs w:val="22"/>
          <w:lang w:val="fr-CA" w:eastAsia="ja-JP" w:bidi="th-TH"/>
        </w:rPr>
        <w:t>.</w:t>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rPr>
      </w:pPr>
      <w:r w:rsidRPr="00AF5B6D">
        <w:rPr>
          <w:rFonts w:eastAsia="Batang"/>
          <w:bCs/>
          <w:iCs/>
          <w:kern w:val="22"/>
          <w:szCs w:val="22"/>
          <w:lang w:val="fr-CA" w:eastAsia="ja-JP" w:bidi="th-TH"/>
        </w:rPr>
        <w:t>Les mesures de go</w:t>
      </w:r>
      <w:r>
        <w:rPr>
          <w:rFonts w:eastAsia="Batang"/>
          <w:bCs/>
          <w:iCs/>
          <w:kern w:val="22"/>
          <w:szCs w:val="22"/>
          <w:lang w:val="fr-CA" w:eastAsia="ja-JP" w:bidi="th-TH"/>
        </w:rPr>
        <w:t>uvernance des aires protégées ou conserv</w:t>
      </w:r>
      <w:r w:rsidRPr="00AF5B6D">
        <w:rPr>
          <w:rFonts w:eastAsia="Batang"/>
          <w:bCs/>
          <w:iCs/>
          <w:kern w:val="22"/>
          <w:szCs w:val="22"/>
          <w:lang w:val="fr-CA" w:eastAsia="ja-JP" w:bidi="th-TH"/>
        </w:rPr>
        <w:t xml:space="preserve">ées </w:t>
      </w:r>
      <w:r>
        <w:rPr>
          <w:rFonts w:eastAsia="Batang"/>
          <w:bCs/>
          <w:iCs/>
          <w:kern w:val="22"/>
          <w:szCs w:val="22"/>
          <w:lang w:val="fr-CA" w:eastAsia="ja-JP" w:bidi="th-TH"/>
        </w:rPr>
        <w:t>adaptées à leur</w:t>
      </w:r>
      <w:r w:rsidRPr="00AF5B6D">
        <w:rPr>
          <w:rFonts w:eastAsia="Batang"/>
          <w:bCs/>
          <w:iCs/>
          <w:kern w:val="22"/>
          <w:szCs w:val="22"/>
          <w:lang w:val="fr-CA" w:eastAsia="ja-JP" w:bidi="th-TH"/>
        </w:rPr>
        <w:t xml:space="preserve"> contexte </w:t>
      </w:r>
      <w:r>
        <w:rPr>
          <w:rFonts w:eastAsia="Batang"/>
          <w:bCs/>
          <w:iCs/>
          <w:kern w:val="22"/>
          <w:szCs w:val="22"/>
          <w:lang w:val="fr-CA" w:eastAsia="ja-JP" w:bidi="th-TH"/>
        </w:rPr>
        <w:t>particulier</w:t>
      </w:r>
      <w:r w:rsidRPr="00AF5B6D">
        <w:rPr>
          <w:rFonts w:eastAsia="Batang"/>
          <w:bCs/>
          <w:iCs/>
          <w:kern w:val="22"/>
          <w:szCs w:val="22"/>
          <w:lang w:val="fr-CA" w:eastAsia="ja-JP" w:bidi="th-TH"/>
        </w:rPr>
        <w:t xml:space="preserve">, socialement intégrées, respectueuses des droits et offrant efficacement des résultats </w:t>
      </w:r>
      <w:r>
        <w:rPr>
          <w:rFonts w:eastAsia="Batang"/>
          <w:bCs/>
          <w:iCs/>
          <w:kern w:val="22"/>
          <w:szCs w:val="22"/>
          <w:lang w:val="fr-CA" w:eastAsia="ja-JP" w:bidi="th-TH"/>
        </w:rPr>
        <w:t xml:space="preserve">en termes </w:t>
      </w:r>
      <w:r w:rsidRPr="00AF5B6D">
        <w:rPr>
          <w:rFonts w:eastAsia="Batang"/>
          <w:bCs/>
          <w:iCs/>
          <w:kern w:val="22"/>
          <w:szCs w:val="22"/>
          <w:lang w:val="fr-CA" w:eastAsia="ja-JP" w:bidi="th-TH"/>
        </w:rPr>
        <w:t>de conservation et de subsistance accroissent la légitimité des aires prot</w:t>
      </w:r>
      <w:r>
        <w:rPr>
          <w:rFonts w:eastAsia="Batang"/>
          <w:bCs/>
          <w:iCs/>
          <w:kern w:val="22"/>
          <w:szCs w:val="22"/>
          <w:lang w:val="fr-CA" w:eastAsia="ja-JP" w:bidi="th-TH"/>
        </w:rPr>
        <w:t>égées et conservées pour les peu</w:t>
      </w:r>
      <w:r w:rsidRPr="00AF5B6D">
        <w:rPr>
          <w:rFonts w:eastAsia="Batang"/>
          <w:bCs/>
          <w:iCs/>
          <w:kern w:val="22"/>
          <w:szCs w:val="22"/>
          <w:lang w:val="fr-CA" w:eastAsia="ja-JP" w:bidi="th-TH"/>
        </w:rPr>
        <w:t>ples autochtones et les communautés locales, et la société en général.</w:t>
      </w:r>
    </w:p>
    <w:p w:rsidR="009F6935" w:rsidRPr="00AF5B6D" w:rsidRDefault="009F6935" w:rsidP="00004EAF">
      <w:pPr>
        <w:pStyle w:val="Para1"/>
        <w:numPr>
          <w:ilvl w:val="0"/>
          <w:numId w:val="17"/>
        </w:numPr>
        <w:suppressLineNumbers/>
        <w:suppressAutoHyphens/>
        <w:kinsoku w:val="0"/>
        <w:overflowPunct w:val="0"/>
        <w:autoSpaceDE w:val="0"/>
        <w:autoSpaceDN w:val="0"/>
        <w:spacing w:after="240"/>
        <w:ind w:left="0" w:firstLine="0"/>
        <w:rPr>
          <w:kern w:val="22"/>
          <w:szCs w:val="22"/>
          <w:lang w:val="fr-CA"/>
        </w:rPr>
      </w:pPr>
      <w:r w:rsidRPr="00AF5B6D">
        <w:rPr>
          <w:kern w:val="22"/>
          <w:szCs w:val="22"/>
          <w:lang w:val="fr-CA" w:eastAsia="ja-JP" w:bidi="th-TH"/>
        </w:rPr>
        <w:t xml:space="preserve">Dans sa décision </w:t>
      </w:r>
      <w:hyperlink r:id="rId16" w:history="1">
        <w:r w:rsidRPr="00F43A15">
          <w:rPr>
            <w:rStyle w:val="Hyperlink"/>
            <w:kern w:val="22"/>
            <w:szCs w:val="22"/>
            <w:lang w:val="fr-CA" w:eastAsia="ja-JP" w:bidi="th-TH"/>
          </w:rPr>
          <w:t>X/31</w:t>
        </w:r>
      </w:hyperlink>
      <w:r w:rsidRPr="00AF5B6D">
        <w:rPr>
          <w:kern w:val="22"/>
          <w:szCs w:val="22"/>
          <w:lang w:val="fr-CA" w:eastAsia="ja-JP" w:bidi="th-TH"/>
        </w:rPr>
        <w:t>, la Conféren</w:t>
      </w:r>
      <w:r>
        <w:rPr>
          <w:kern w:val="22"/>
          <w:szCs w:val="22"/>
          <w:lang w:val="fr-CA" w:eastAsia="ja-JP" w:bidi="th-TH"/>
        </w:rPr>
        <w:t>ce des Parties a mis en exergue l’élément 2 sur la gouvernance, la participation, l’équité et le</w:t>
      </w:r>
      <w:r w:rsidRPr="00AF5B6D">
        <w:rPr>
          <w:kern w:val="22"/>
          <w:szCs w:val="22"/>
          <w:lang w:val="fr-CA" w:eastAsia="ja-JP" w:bidi="th-TH"/>
        </w:rPr>
        <w:t xml:space="preserve"> partage des avantages du programme de travail sur</w:t>
      </w:r>
      <w:r>
        <w:rPr>
          <w:kern w:val="22"/>
          <w:szCs w:val="22"/>
          <w:lang w:val="fr-CA" w:eastAsia="ja-JP" w:bidi="th-TH"/>
        </w:rPr>
        <w:t xml:space="preserve"> les aires protégées comme</w:t>
      </w:r>
      <w:r w:rsidRPr="00AF5B6D">
        <w:rPr>
          <w:kern w:val="22"/>
          <w:szCs w:val="22"/>
          <w:lang w:val="fr-CA" w:eastAsia="ja-JP" w:bidi="th-TH"/>
        </w:rPr>
        <w:t xml:space="preserve"> priorité nécessitant plus d’attention.</w:t>
      </w:r>
      <w:r w:rsidRPr="00F17422">
        <w:rPr>
          <w:rStyle w:val="FootnoteReference"/>
          <w:rFonts w:eastAsia="Batang"/>
          <w:iCs/>
          <w:kern w:val="22"/>
          <w:szCs w:val="22"/>
          <w:u w:val="none"/>
          <w:vertAlign w:val="superscript"/>
          <w:lang w:val="fr-CA" w:eastAsia="ja-JP" w:bidi="th-TH"/>
        </w:rPr>
        <w:footnoteReference w:id="47"/>
      </w:r>
      <w:r w:rsidRPr="00F17422">
        <w:rPr>
          <w:kern w:val="22"/>
          <w:szCs w:val="22"/>
          <w:lang w:val="fr-CA" w:eastAsia="ja-JP" w:bidi="th-TH"/>
        </w:rPr>
        <w:t xml:space="preserve"> </w:t>
      </w:r>
      <w:r>
        <w:rPr>
          <w:kern w:val="22"/>
          <w:szCs w:val="22"/>
          <w:lang w:val="fr-CA" w:eastAsia="ja-JP" w:bidi="th-TH"/>
        </w:rPr>
        <w:t>Par la suite, les Parties ont acquis</w:t>
      </w:r>
      <w:r w:rsidRPr="00AF5B6D">
        <w:rPr>
          <w:kern w:val="22"/>
          <w:szCs w:val="22"/>
          <w:lang w:val="fr-CA" w:eastAsia="ja-JP" w:bidi="th-TH"/>
        </w:rPr>
        <w:t xml:space="preserve"> de</w:t>
      </w:r>
      <w:r>
        <w:rPr>
          <w:kern w:val="22"/>
          <w:szCs w:val="22"/>
          <w:lang w:val="fr-CA" w:eastAsia="ja-JP" w:bidi="th-TH"/>
        </w:rPr>
        <w:t>s données d’expérience</w:t>
      </w:r>
      <w:r w:rsidRPr="00AF5B6D">
        <w:rPr>
          <w:kern w:val="22"/>
          <w:szCs w:val="22"/>
          <w:lang w:val="fr-CA" w:eastAsia="ja-JP" w:bidi="th-TH"/>
        </w:rPr>
        <w:t xml:space="preserve"> et </w:t>
      </w:r>
      <w:r>
        <w:rPr>
          <w:kern w:val="22"/>
          <w:szCs w:val="22"/>
          <w:lang w:val="fr-CA" w:eastAsia="ja-JP" w:bidi="th-TH"/>
        </w:rPr>
        <w:t xml:space="preserve">ont élaboré </w:t>
      </w:r>
      <w:r w:rsidRPr="00AF5B6D">
        <w:rPr>
          <w:kern w:val="22"/>
          <w:szCs w:val="22"/>
          <w:lang w:val="fr-CA" w:eastAsia="ja-JP" w:bidi="th-TH"/>
        </w:rPr>
        <w:t xml:space="preserve">des méthodes </w:t>
      </w:r>
      <w:r>
        <w:rPr>
          <w:kern w:val="22"/>
          <w:szCs w:val="22"/>
          <w:lang w:val="fr-CA" w:eastAsia="ja-JP" w:bidi="th-TH"/>
        </w:rPr>
        <w:t>et des outils,</w:t>
      </w:r>
      <w:r w:rsidRPr="00AF5B6D">
        <w:rPr>
          <w:kern w:val="22"/>
          <w:szCs w:val="22"/>
          <w:lang w:val="fr-CA" w:eastAsia="ja-JP" w:bidi="th-TH"/>
        </w:rPr>
        <w:t xml:space="preserve"> afin d’évaluer la gouvernance et </w:t>
      </w:r>
      <w:r>
        <w:rPr>
          <w:kern w:val="22"/>
          <w:szCs w:val="22"/>
          <w:lang w:val="fr-CA" w:eastAsia="ja-JP" w:bidi="th-TH"/>
        </w:rPr>
        <w:t>d’</w:t>
      </w:r>
      <w:r w:rsidRPr="00AF5B6D">
        <w:rPr>
          <w:kern w:val="22"/>
          <w:szCs w:val="22"/>
          <w:lang w:val="fr-CA" w:eastAsia="ja-JP" w:bidi="th-TH"/>
        </w:rPr>
        <w:t>élaborer des</w:t>
      </w:r>
      <w:r>
        <w:rPr>
          <w:kern w:val="22"/>
          <w:szCs w:val="22"/>
          <w:lang w:val="fr-CA" w:eastAsia="ja-JP" w:bidi="th-TH"/>
        </w:rPr>
        <w:t xml:space="preserve"> plans d’action, ce qui a favorisé</w:t>
      </w:r>
      <w:r w:rsidRPr="00AF5B6D">
        <w:rPr>
          <w:kern w:val="22"/>
          <w:szCs w:val="22"/>
          <w:lang w:val="fr-CA" w:eastAsia="ja-JP" w:bidi="th-TH"/>
        </w:rPr>
        <w:t xml:space="preserve"> une meilleure compréhension d</w:t>
      </w:r>
      <w:r>
        <w:rPr>
          <w:kern w:val="22"/>
          <w:szCs w:val="22"/>
          <w:lang w:val="fr-CA" w:eastAsia="ja-JP" w:bidi="th-TH"/>
        </w:rPr>
        <w:t xml:space="preserve">es concepts essentiels, en particulier </w:t>
      </w:r>
      <w:r w:rsidRPr="00AF5B6D">
        <w:rPr>
          <w:kern w:val="22"/>
          <w:szCs w:val="22"/>
          <w:lang w:val="fr-CA" w:eastAsia="ja-JP" w:bidi="th-TH"/>
        </w:rPr>
        <w:t>l’équité.</w:t>
      </w:r>
      <w:r w:rsidRPr="00F17422">
        <w:rPr>
          <w:rStyle w:val="FootnoteReference"/>
          <w:kern w:val="22"/>
          <w:szCs w:val="22"/>
          <w:u w:val="none"/>
          <w:vertAlign w:val="superscript"/>
          <w:lang w:val="fr-CA" w:eastAsia="ja-JP" w:bidi="th-TH"/>
        </w:rPr>
        <w:footnoteReference w:id="48"/>
      </w:r>
    </w:p>
    <w:p w:rsidR="009F6935" w:rsidRPr="00AF5B6D" w:rsidRDefault="009F6935" w:rsidP="009F6935">
      <w:pPr>
        <w:pStyle w:val="Heading2"/>
        <w:suppressLineNumbers/>
        <w:pBdr>
          <w:top w:val="nil"/>
          <w:left w:val="nil"/>
          <w:bottom w:val="nil"/>
          <w:right w:val="nil"/>
          <w:between w:val="nil"/>
          <w:bar w:val="nil"/>
        </w:pBdr>
        <w:tabs>
          <w:tab w:val="clear" w:pos="720"/>
        </w:tabs>
        <w:suppressAutoHyphens/>
        <w:kinsoku w:val="0"/>
        <w:overflowPunct w:val="0"/>
        <w:autoSpaceDE w:val="0"/>
        <w:autoSpaceDN w:val="0"/>
        <w:rPr>
          <w:kern w:val="22"/>
          <w:szCs w:val="22"/>
          <w:lang w:val="fr-CA"/>
        </w:rPr>
      </w:pPr>
      <w:bookmarkStart w:id="28" w:name="_Toc525904156"/>
      <w:bookmarkStart w:id="29" w:name="_Toc525904315"/>
      <w:bookmarkStart w:id="30" w:name="_Toc525904559"/>
      <w:r w:rsidRPr="00AF5B6D">
        <w:rPr>
          <w:kern w:val="22"/>
          <w:szCs w:val="22"/>
          <w:lang w:val="fr-CA"/>
        </w:rPr>
        <w:t>A.</w:t>
      </w:r>
      <w:r w:rsidRPr="00AF5B6D">
        <w:rPr>
          <w:kern w:val="22"/>
          <w:szCs w:val="22"/>
          <w:lang w:val="fr-CA"/>
        </w:rPr>
        <w:tab/>
        <w:t>Orientations facultatives sur la diversité de la gouvernance</w:t>
      </w:r>
      <w:bookmarkEnd w:id="28"/>
      <w:bookmarkEnd w:id="29"/>
      <w:bookmarkEnd w:id="30"/>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Convention sur la diversité biologique et l’Union international</w:t>
      </w:r>
      <w:r>
        <w:rPr>
          <w:kern w:val="22"/>
          <w:szCs w:val="22"/>
          <w:lang w:val="fr-CA" w:eastAsia="ja-JP" w:bidi="th-TH"/>
        </w:rPr>
        <w:t>e</w:t>
      </w:r>
      <w:r w:rsidRPr="00AF5B6D">
        <w:rPr>
          <w:kern w:val="22"/>
          <w:szCs w:val="22"/>
          <w:lang w:val="fr-CA" w:eastAsia="ja-JP" w:bidi="th-TH"/>
        </w:rPr>
        <w:t xml:space="preserve"> pour la conservation de la nature (UICN) reconnaissent quatre grandes catégories de gouvernance des aires</w:t>
      </w:r>
      <w:r>
        <w:rPr>
          <w:kern w:val="22"/>
          <w:szCs w:val="22"/>
          <w:lang w:val="fr-CA" w:eastAsia="ja-JP" w:bidi="th-TH"/>
        </w:rPr>
        <w:t xml:space="preserve"> protégées et conservées, en fonction d</w:t>
      </w:r>
      <w:r w:rsidRPr="00AF5B6D">
        <w:rPr>
          <w:kern w:val="22"/>
          <w:szCs w:val="22"/>
          <w:lang w:val="fr-CA" w:eastAsia="ja-JP" w:bidi="th-TH"/>
        </w:rPr>
        <w:t xml:space="preserve">es acteurs ayant l’autorité </w:t>
      </w:r>
      <w:r>
        <w:rPr>
          <w:kern w:val="22"/>
          <w:szCs w:val="22"/>
          <w:lang w:val="fr-CA" w:eastAsia="ja-JP" w:bidi="th-TH"/>
        </w:rPr>
        <w:t xml:space="preserve">et la responsabilité </w:t>
      </w:r>
      <w:r w:rsidRPr="00AF5B6D">
        <w:rPr>
          <w:kern w:val="22"/>
          <w:szCs w:val="22"/>
          <w:lang w:val="fr-CA" w:eastAsia="ja-JP" w:bidi="th-TH"/>
        </w:rPr>
        <w:t>de prendre des décisions et de les appliquer : a) la gouvernance par les gouvernements, b) la gouvernance partagée (par différents acteurs travaillant ensemble</w:t>
      </w:r>
      <w:r w:rsidRPr="00F17422">
        <w:rPr>
          <w:rStyle w:val="FootnoteReference"/>
          <w:rFonts w:eastAsia="Batang"/>
          <w:iCs/>
          <w:kern w:val="22"/>
          <w:sz w:val="20"/>
          <w:szCs w:val="20"/>
          <w:u w:val="none"/>
          <w:vertAlign w:val="superscript"/>
          <w:lang w:val="fr-CA" w:eastAsia="ja-JP" w:bidi="th-TH"/>
        </w:rPr>
        <w:footnoteReference w:id="49"/>
      </w:r>
      <w:r w:rsidRPr="00F17422">
        <w:rPr>
          <w:kern w:val="22"/>
          <w:sz w:val="20"/>
          <w:szCs w:val="20"/>
          <w:lang w:val="fr-CA" w:eastAsia="ja-JP" w:bidi="th-TH"/>
        </w:rPr>
        <w:t>)</w:t>
      </w:r>
      <w:r w:rsidRPr="00AF5B6D">
        <w:rPr>
          <w:kern w:val="22"/>
          <w:szCs w:val="22"/>
          <w:lang w:val="fr-CA" w:eastAsia="ja-JP" w:bidi="th-TH"/>
        </w:rPr>
        <w:t>; c) la gouvernance par des particuliers ou des organisations (souvent des propriétaires fonciers et sous forme d’aires protégées privées)</w:t>
      </w:r>
      <w:r>
        <w:rPr>
          <w:kern w:val="22"/>
          <w:szCs w:val="22"/>
          <w:lang w:val="fr-CA" w:eastAsia="ja-JP" w:bidi="th-TH"/>
        </w:rPr>
        <w:t xml:space="preserve">; </w:t>
      </w:r>
      <w:r w:rsidRPr="00AF5B6D">
        <w:rPr>
          <w:kern w:val="22"/>
          <w:szCs w:val="22"/>
          <w:lang w:val="fr-CA" w:eastAsia="ja-JP" w:bidi="th-TH"/>
        </w:rPr>
        <w:t xml:space="preserve">d) la gouvernance par </w:t>
      </w:r>
      <w:r>
        <w:rPr>
          <w:kern w:val="22"/>
          <w:szCs w:val="22"/>
          <w:lang w:val="fr-CA" w:eastAsia="ja-JP" w:bidi="th-TH"/>
        </w:rPr>
        <w:t>l</w:t>
      </w:r>
      <w:r w:rsidRPr="00AF5B6D">
        <w:rPr>
          <w:kern w:val="22"/>
          <w:szCs w:val="22"/>
          <w:lang w:val="fr-CA" w:eastAsia="ja-JP" w:bidi="th-TH"/>
        </w:rPr>
        <w:t>es peuples autocht</w:t>
      </w:r>
      <w:r>
        <w:rPr>
          <w:kern w:val="22"/>
          <w:szCs w:val="22"/>
          <w:lang w:val="fr-CA" w:eastAsia="ja-JP" w:bidi="th-TH"/>
        </w:rPr>
        <w:t xml:space="preserve">ones et les </w:t>
      </w:r>
      <w:r>
        <w:rPr>
          <w:kern w:val="22"/>
          <w:szCs w:val="22"/>
          <w:lang w:val="fr-CA" w:eastAsia="ja-JP" w:bidi="th-TH"/>
        </w:rPr>
        <w:lastRenderedPageBreak/>
        <w:t>communautés locales</w:t>
      </w:r>
      <w:r w:rsidRPr="00F43A15">
        <w:rPr>
          <w:kern w:val="22"/>
          <w:szCs w:val="22"/>
          <w:lang w:val="fr-CA" w:eastAsia="ja-JP" w:bidi="th-TH"/>
        </w:rPr>
        <w:t xml:space="preserve"> </w:t>
      </w:r>
      <w:r w:rsidRPr="00AF5B6D">
        <w:rPr>
          <w:kern w:val="22"/>
          <w:szCs w:val="22"/>
          <w:lang w:val="fr-CA" w:eastAsia="ja-JP" w:bidi="th-TH"/>
        </w:rPr>
        <w:t xml:space="preserve">(souvent appelées </w:t>
      </w:r>
      <w:r>
        <w:rPr>
          <w:kern w:val="22"/>
          <w:szCs w:val="22"/>
          <w:lang w:val="fr-CA" w:eastAsia="ja-JP" w:bidi="th-TH"/>
        </w:rPr>
        <w:t xml:space="preserve">territoires et aires conservés par les peuples autochtones et communautés locales (ICCA), ou </w:t>
      </w:r>
      <w:r w:rsidRPr="00AF5B6D">
        <w:rPr>
          <w:kern w:val="22"/>
          <w:szCs w:val="22"/>
          <w:lang w:val="fr-CA" w:eastAsia="ja-JP" w:bidi="th-TH"/>
        </w:rPr>
        <w:t>aires autochtones protégées</w:t>
      </w:r>
      <w:r>
        <w:rPr>
          <w:kern w:val="22"/>
          <w:szCs w:val="22"/>
          <w:lang w:val="fr-CA" w:eastAsia="ja-JP" w:bidi="th-TH"/>
        </w:rPr>
        <w:t xml:space="preserve"> (IPA)</w:t>
      </w:r>
      <w:r w:rsidRPr="00AF5B6D">
        <w:rPr>
          <w:kern w:val="22"/>
          <w:szCs w:val="22"/>
          <w:lang w:val="fr-CA" w:eastAsia="ja-JP" w:bidi="th-TH"/>
        </w:rPr>
        <w:t>).</w:t>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 xml:space="preserve">La diversité de la gouvernance fait surtout référence à l’existence de différents modes de gouvernance primaires et secondaires, tant au niveau des dispositions </w:t>
      </w:r>
      <w:r>
        <w:rPr>
          <w:kern w:val="22"/>
          <w:szCs w:val="22"/>
          <w:lang w:val="fr-CA" w:eastAsia="ja-JP" w:bidi="th-TH"/>
        </w:rPr>
        <w:t>que des pratiques, et leur</w:t>
      </w:r>
      <w:r w:rsidRPr="00AF5B6D">
        <w:rPr>
          <w:kern w:val="22"/>
          <w:szCs w:val="22"/>
          <w:lang w:val="fr-CA" w:eastAsia="ja-JP" w:bidi="th-TH"/>
        </w:rPr>
        <w:t xml:space="preserve"> complémentarité à assurer la conservation in situ. Le concept </w:t>
      </w:r>
      <w:r>
        <w:rPr>
          <w:kern w:val="22"/>
          <w:szCs w:val="22"/>
          <w:lang w:val="fr-CA" w:eastAsia="ja-JP" w:bidi="th-TH"/>
        </w:rPr>
        <w:t>de mode de gouvernance est</w:t>
      </w:r>
      <w:r w:rsidRPr="00AF5B6D">
        <w:rPr>
          <w:kern w:val="22"/>
          <w:szCs w:val="22"/>
          <w:lang w:val="fr-CA" w:eastAsia="ja-JP" w:bidi="th-TH"/>
        </w:rPr>
        <w:t xml:space="preserve"> pertinent</w:t>
      </w:r>
      <w:r>
        <w:rPr>
          <w:kern w:val="22"/>
          <w:szCs w:val="22"/>
          <w:lang w:val="fr-CA" w:eastAsia="ja-JP" w:bidi="th-TH"/>
        </w:rPr>
        <w:t xml:space="preserve"> également</w:t>
      </w:r>
      <w:r w:rsidRPr="00AF5B6D">
        <w:rPr>
          <w:kern w:val="22"/>
          <w:szCs w:val="22"/>
          <w:lang w:val="fr-CA" w:eastAsia="ja-JP" w:bidi="th-TH"/>
        </w:rPr>
        <w:t xml:space="preserve"> lorsqu’il s’agit de déterminer s</w:t>
      </w:r>
      <w:r>
        <w:rPr>
          <w:kern w:val="22"/>
          <w:szCs w:val="22"/>
          <w:lang w:val="fr-CA" w:eastAsia="ja-JP" w:bidi="th-TH"/>
        </w:rPr>
        <w:t>i</w:t>
      </w:r>
      <w:r w:rsidRPr="00AF5B6D">
        <w:rPr>
          <w:kern w:val="22"/>
          <w:szCs w:val="22"/>
          <w:lang w:val="fr-CA" w:eastAsia="ja-JP" w:bidi="th-TH"/>
        </w:rPr>
        <w:t xml:space="preserve"> une forme </w:t>
      </w:r>
      <w:r>
        <w:rPr>
          <w:kern w:val="22"/>
          <w:szCs w:val="22"/>
          <w:lang w:val="fr-CA" w:eastAsia="ja-JP" w:bidi="th-TH"/>
        </w:rPr>
        <w:t>particulière</w:t>
      </w:r>
      <w:r w:rsidRPr="00AF5B6D">
        <w:rPr>
          <w:kern w:val="22"/>
          <w:szCs w:val="22"/>
          <w:lang w:val="fr-CA" w:eastAsia="ja-JP" w:bidi="th-TH"/>
        </w:rPr>
        <w:t xml:space="preserve"> convient à un contexte donné</w:t>
      </w:r>
      <w:r w:rsidR="00F17422" w:rsidRPr="00F17422">
        <w:rPr>
          <w:rStyle w:val="FootnoteReference"/>
          <w:rFonts w:eastAsia="Batang"/>
          <w:iCs/>
          <w:kern w:val="22"/>
          <w:sz w:val="20"/>
          <w:szCs w:val="20"/>
          <w:u w:val="none"/>
          <w:vertAlign w:val="superscript"/>
          <w:lang w:val="fr-CA" w:eastAsia="ja-JP" w:bidi="th-TH"/>
        </w:rPr>
        <w:footnoteReference w:id="50"/>
      </w:r>
      <w:r w:rsidRPr="00F17422">
        <w:rPr>
          <w:rStyle w:val="FootnoteReference"/>
          <w:rFonts w:eastAsia="Batang"/>
          <w:iCs/>
          <w:szCs w:val="22"/>
          <w:u w:val="none"/>
          <w:lang w:val="fr-CA"/>
        </w:rPr>
        <w:t>.</w:t>
      </w:r>
    </w:p>
    <w:p w:rsidR="009F6935" w:rsidRPr="00F17422"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eastAsia="ja-JP" w:bidi="th-TH"/>
        </w:rPr>
      </w:pPr>
      <w:r w:rsidRPr="00F43A15">
        <w:rPr>
          <w:kern w:val="22"/>
          <w:szCs w:val="22"/>
          <w:lang w:val="fr-CA" w:eastAsia="ja-JP" w:bidi="th-TH"/>
        </w:rPr>
        <w:t xml:space="preserve">Conformément aux décisions </w:t>
      </w:r>
      <w:hyperlink r:id="rId17" w:history="1">
        <w:r w:rsidRPr="00F43A15">
          <w:rPr>
            <w:rStyle w:val="Hyperlink"/>
            <w:kern w:val="22"/>
            <w:szCs w:val="22"/>
            <w:lang w:val="fr-CA" w:eastAsia="ja-JP" w:bidi="th-TH"/>
          </w:rPr>
          <w:t>VII/28</w:t>
        </w:r>
      </w:hyperlink>
      <w:r w:rsidRPr="00F43A15">
        <w:rPr>
          <w:kern w:val="22"/>
          <w:szCs w:val="22"/>
          <w:lang w:val="fr-CA" w:eastAsia="ja-JP" w:bidi="th-TH"/>
        </w:rPr>
        <w:t xml:space="preserve"> et </w:t>
      </w:r>
      <w:hyperlink r:id="rId18" w:history="1">
        <w:r w:rsidRPr="00FF06BD">
          <w:rPr>
            <w:rStyle w:val="Hyperlink"/>
            <w:kern w:val="22"/>
            <w:szCs w:val="22"/>
            <w:lang w:val="fr-CA" w:eastAsia="ja-JP" w:bidi="th-TH"/>
          </w:rPr>
          <w:t>X/31</w:t>
        </w:r>
      </w:hyperlink>
      <w:r w:rsidRPr="00F43A15">
        <w:rPr>
          <w:kern w:val="22"/>
          <w:szCs w:val="22"/>
          <w:lang w:val="fr-CA" w:eastAsia="ja-JP" w:bidi="th-TH"/>
        </w:rPr>
        <w:t xml:space="preserve">, </w:t>
      </w:r>
      <w:r w:rsidRPr="00F17422">
        <w:rPr>
          <w:kern w:val="22"/>
          <w:szCs w:val="22"/>
          <w:lang w:val="fr-CA" w:eastAsia="ja-JP" w:bidi="th-TH"/>
        </w:rPr>
        <w:t>les orientations facultatives</w:t>
      </w:r>
      <w:r w:rsidRPr="00F17422">
        <w:rPr>
          <w:rStyle w:val="FootnoteReference"/>
          <w:rFonts w:eastAsia="Batang"/>
          <w:iCs/>
          <w:sz w:val="22"/>
          <w:szCs w:val="22"/>
          <w:u w:val="none"/>
          <w:lang w:val="fr-CA"/>
        </w:rPr>
        <w:t xml:space="preserve"> p</w:t>
      </w:r>
      <w:r w:rsidRPr="00F17422">
        <w:rPr>
          <w:rFonts w:eastAsia="Batang"/>
          <w:iCs/>
          <w:szCs w:val="22"/>
          <w:lang w:val="fr-CA"/>
        </w:rPr>
        <w:t>roposent</w:t>
      </w:r>
      <w:r w:rsidRPr="00F17422">
        <w:rPr>
          <w:rStyle w:val="FootnoteReference"/>
          <w:rFonts w:eastAsia="Batang"/>
          <w:iCs/>
          <w:sz w:val="22"/>
          <w:szCs w:val="22"/>
          <w:u w:val="none"/>
          <w:lang w:val="fr-CA"/>
        </w:rPr>
        <w:t xml:space="preserve"> des mesures à prendre e</w:t>
      </w:r>
      <w:r w:rsidRPr="00F17422">
        <w:rPr>
          <w:rFonts w:eastAsia="Batang"/>
          <w:iCs/>
          <w:szCs w:val="22"/>
          <w:lang w:val="fr-CA"/>
        </w:rPr>
        <w:t>n lien avec</w:t>
      </w:r>
      <w:r w:rsidRPr="00F17422">
        <w:rPr>
          <w:rStyle w:val="FootnoteReference"/>
          <w:rFonts w:eastAsia="Batang"/>
          <w:iCs/>
          <w:sz w:val="22"/>
          <w:szCs w:val="22"/>
          <w:u w:val="none"/>
          <w:lang w:val="fr-CA"/>
        </w:rPr>
        <w:t xml:space="preserve"> la reconnaissance, le soutien, la vérification et la coordination, le repérage, le suivi et l’établissement des rapports sur des aires conservées volontairement par les peuples autochtones et les communautés locales, les propriétaires fonciers et d’autres acteurs. En ce qui concerne les territoires et les aires dont la gouvernance relève des peuples autochtones et des communautés </w:t>
      </w:r>
      <w:r w:rsidRPr="00F17422">
        <w:rPr>
          <w:rFonts w:eastAsia="Batang"/>
          <w:iCs/>
          <w:szCs w:val="22"/>
          <w:lang w:val="fr-CA"/>
        </w:rPr>
        <w:t>locales</w:t>
      </w:r>
      <w:r w:rsidRPr="00F17422">
        <w:rPr>
          <w:rStyle w:val="FootnoteReference"/>
          <w:rFonts w:eastAsia="Batang"/>
          <w:iCs/>
          <w:sz w:val="22"/>
          <w:szCs w:val="22"/>
          <w:u w:val="none"/>
          <w:lang w:val="fr-CA"/>
        </w:rPr>
        <w:t xml:space="preserve">, ces </w:t>
      </w:r>
      <w:r w:rsidRPr="00F17422">
        <w:rPr>
          <w:rFonts w:eastAsia="Batang"/>
          <w:iCs/>
          <w:szCs w:val="22"/>
          <w:lang w:val="fr-CA"/>
        </w:rPr>
        <w:t xml:space="preserve">mesures devraient être subordonnées au </w:t>
      </w:r>
      <w:r w:rsidRPr="00F17422">
        <w:rPr>
          <w:rStyle w:val="FootnoteReference"/>
          <w:rFonts w:eastAsia="Batang"/>
          <w:iCs/>
          <w:sz w:val="22"/>
          <w:szCs w:val="22"/>
          <w:u w:val="none"/>
          <w:lang w:val="fr-CA"/>
        </w:rPr>
        <w:t>consentement préalable, donné librement et en connaissance de ca</w:t>
      </w:r>
      <w:r w:rsidRPr="00F17422">
        <w:rPr>
          <w:rFonts w:eastAsia="Batang"/>
          <w:iCs/>
          <w:szCs w:val="22"/>
          <w:lang w:val="fr-CA"/>
        </w:rPr>
        <w:t>u</w:t>
      </w:r>
      <w:r w:rsidRPr="00F17422">
        <w:rPr>
          <w:rStyle w:val="FootnoteReference"/>
          <w:rFonts w:eastAsia="Batang"/>
          <w:iCs/>
          <w:sz w:val="22"/>
          <w:szCs w:val="22"/>
          <w:u w:val="none"/>
          <w:lang w:val="fr-CA"/>
        </w:rPr>
        <w:t>se, conformément aux politiques</w:t>
      </w:r>
      <w:r w:rsidRPr="00F17422">
        <w:rPr>
          <w:rFonts w:eastAsia="Batang"/>
          <w:iCs/>
          <w:szCs w:val="22"/>
          <w:lang w:val="fr-CA"/>
        </w:rPr>
        <w:t xml:space="preserve"> générales</w:t>
      </w:r>
      <w:r w:rsidRPr="00F17422">
        <w:rPr>
          <w:rStyle w:val="FootnoteReference"/>
          <w:rFonts w:eastAsia="Batang"/>
          <w:iCs/>
          <w:sz w:val="22"/>
          <w:szCs w:val="22"/>
          <w:u w:val="none"/>
          <w:lang w:val="fr-CA"/>
        </w:rPr>
        <w:t xml:space="preserve">, </w:t>
      </w:r>
      <w:r w:rsidRPr="00F17422">
        <w:rPr>
          <w:rFonts w:eastAsia="Batang"/>
          <w:iCs/>
          <w:szCs w:val="22"/>
          <w:lang w:val="fr-CA"/>
        </w:rPr>
        <w:t xml:space="preserve">aux </w:t>
      </w:r>
      <w:r w:rsidRPr="00F17422">
        <w:rPr>
          <w:rStyle w:val="FootnoteReference"/>
          <w:rFonts w:eastAsia="Batang"/>
          <w:iCs/>
          <w:sz w:val="22"/>
          <w:szCs w:val="22"/>
          <w:u w:val="none"/>
          <w:lang w:val="fr-CA"/>
        </w:rPr>
        <w:t xml:space="preserve">réglementations et </w:t>
      </w:r>
      <w:r w:rsidRPr="00F17422">
        <w:rPr>
          <w:rFonts w:eastAsia="Batang"/>
          <w:iCs/>
          <w:szCs w:val="22"/>
          <w:lang w:val="fr-CA"/>
        </w:rPr>
        <w:t xml:space="preserve">aux </w:t>
      </w:r>
      <w:r w:rsidRPr="00F17422">
        <w:rPr>
          <w:rStyle w:val="FootnoteReference"/>
          <w:rFonts w:eastAsia="Batang"/>
          <w:iCs/>
          <w:sz w:val="22"/>
          <w:szCs w:val="22"/>
          <w:u w:val="none"/>
          <w:lang w:val="fr-CA"/>
        </w:rPr>
        <w:t>circonstances nationales, et d</w:t>
      </w:r>
      <w:r w:rsidRPr="00F17422">
        <w:rPr>
          <w:rFonts w:eastAsia="Batang"/>
          <w:iCs/>
          <w:szCs w:val="22"/>
          <w:lang w:val="fr-CA"/>
        </w:rPr>
        <w:t>ans le respect de</w:t>
      </w:r>
      <w:r w:rsidRPr="00F17422">
        <w:rPr>
          <w:rStyle w:val="FootnoteReference"/>
          <w:rFonts w:eastAsia="Batang"/>
          <w:iCs/>
          <w:sz w:val="22"/>
          <w:szCs w:val="22"/>
          <w:u w:val="none"/>
          <w:lang w:val="fr-CA"/>
        </w:rPr>
        <w:t xml:space="preserve">s droits, </w:t>
      </w:r>
      <w:r w:rsidRPr="00F17422">
        <w:rPr>
          <w:rFonts w:eastAsia="Batang"/>
          <w:iCs/>
          <w:szCs w:val="22"/>
          <w:lang w:val="fr-CA"/>
        </w:rPr>
        <w:t>de</w:t>
      </w:r>
      <w:r w:rsidRPr="00F17422">
        <w:rPr>
          <w:rStyle w:val="FootnoteReference"/>
          <w:rFonts w:eastAsia="Batang"/>
          <w:iCs/>
          <w:sz w:val="22"/>
          <w:szCs w:val="22"/>
          <w:u w:val="none"/>
          <w:lang w:val="fr-CA"/>
        </w:rPr>
        <w:t xml:space="preserve">s connaissances et </w:t>
      </w:r>
      <w:r w:rsidRPr="00F17422">
        <w:rPr>
          <w:rFonts w:eastAsia="Batang"/>
          <w:iCs/>
          <w:szCs w:val="22"/>
          <w:lang w:val="fr-CA"/>
        </w:rPr>
        <w:t>de</w:t>
      </w:r>
      <w:r w:rsidRPr="00F17422">
        <w:rPr>
          <w:rStyle w:val="FootnoteReference"/>
          <w:rFonts w:eastAsia="Batang"/>
          <w:iCs/>
          <w:sz w:val="22"/>
          <w:szCs w:val="22"/>
          <w:u w:val="none"/>
          <w:lang w:val="fr-CA"/>
        </w:rPr>
        <w:t xml:space="preserve">s institutions des peuples autochtones et communautés locales. </w:t>
      </w:r>
      <w:r w:rsidRPr="00F17422">
        <w:rPr>
          <w:rFonts w:eastAsia="Batang"/>
          <w:iCs/>
          <w:szCs w:val="22"/>
          <w:lang w:val="fr-CA"/>
        </w:rPr>
        <w:t>Quant aux</w:t>
      </w:r>
      <w:r w:rsidRPr="00F17422">
        <w:rPr>
          <w:rStyle w:val="FootnoteReference"/>
          <w:rFonts w:eastAsia="Batang"/>
          <w:iCs/>
          <w:sz w:val="22"/>
          <w:szCs w:val="22"/>
          <w:u w:val="none"/>
          <w:lang w:val="fr-CA"/>
        </w:rPr>
        <w:t xml:space="preserve"> aires protégées par les propriétaires fonciers</w:t>
      </w:r>
      <w:r w:rsidRPr="00F17422">
        <w:rPr>
          <w:rFonts w:eastAsia="Batang"/>
          <w:iCs/>
          <w:szCs w:val="22"/>
          <w:lang w:val="fr-CA"/>
        </w:rPr>
        <w:t xml:space="preserve"> privés</w:t>
      </w:r>
      <w:r w:rsidRPr="00F17422">
        <w:rPr>
          <w:rStyle w:val="FootnoteReference"/>
          <w:rFonts w:eastAsia="Batang"/>
          <w:iCs/>
          <w:sz w:val="22"/>
          <w:szCs w:val="22"/>
          <w:u w:val="none"/>
          <w:lang w:val="fr-CA"/>
        </w:rPr>
        <w:t xml:space="preserve">, </w:t>
      </w:r>
      <w:r w:rsidRPr="00F17422">
        <w:rPr>
          <w:rFonts w:eastAsia="Batang"/>
          <w:iCs/>
          <w:szCs w:val="22"/>
          <w:lang w:val="fr-CA"/>
        </w:rPr>
        <w:t xml:space="preserve">ces mesures devraient être subordonnées à </w:t>
      </w:r>
      <w:r w:rsidRPr="00F17422">
        <w:rPr>
          <w:rStyle w:val="FootnoteReference"/>
          <w:rFonts w:eastAsia="Batang"/>
          <w:iCs/>
          <w:sz w:val="22"/>
          <w:szCs w:val="22"/>
          <w:u w:val="none"/>
          <w:lang w:val="fr-CA"/>
        </w:rPr>
        <w:t>leur approbation, dans le respect des droits et des connaissances des propriétaires fonciers</w:t>
      </w:r>
      <w:r w:rsidRPr="00F17422">
        <w:rPr>
          <w:rStyle w:val="FootnoteReference"/>
          <w:rFonts w:eastAsia="Batang"/>
          <w:iCs/>
          <w:sz w:val="20"/>
          <w:szCs w:val="20"/>
          <w:u w:val="none"/>
          <w:lang w:val="fr-CA"/>
        </w:rPr>
        <w:t>.</w:t>
      </w:r>
      <w:r w:rsidRPr="00F17422">
        <w:rPr>
          <w:rStyle w:val="FootnoteReference"/>
          <w:rFonts w:eastAsia="Batang"/>
          <w:iCs/>
          <w:kern w:val="22"/>
          <w:sz w:val="20"/>
          <w:szCs w:val="20"/>
          <w:u w:val="none"/>
          <w:vertAlign w:val="superscript"/>
          <w:lang w:val="fr-CA" w:eastAsia="ja-JP" w:bidi="th-TH"/>
        </w:rPr>
        <w:footnoteReference w:id="51"/>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lang w:val="fr-CA" w:eastAsia="ja-JP" w:bidi="th-TH"/>
        </w:rPr>
      </w:pPr>
      <w:r>
        <w:rPr>
          <w:kern w:val="22"/>
          <w:szCs w:val="22"/>
          <w:lang w:val="fr-CA" w:eastAsia="ja-JP" w:bidi="th-TH"/>
        </w:rPr>
        <w:t>Les mesures ci-aprè</w:t>
      </w:r>
      <w:r w:rsidRPr="00AF5B6D">
        <w:rPr>
          <w:kern w:val="22"/>
          <w:szCs w:val="22"/>
          <w:lang w:val="fr-CA" w:eastAsia="ja-JP" w:bidi="th-TH"/>
        </w:rPr>
        <w:t>s sont proposées pour améliore</w:t>
      </w:r>
      <w:r>
        <w:rPr>
          <w:kern w:val="22"/>
          <w:szCs w:val="22"/>
          <w:lang w:val="fr-CA" w:eastAsia="ja-JP" w:bidi="th-TH"/>
        </w:rPr>
        <w:t>r et appuye</w:t>
      </w:r>
      <w:r w:rsidRPr="00AF5B6D">
        <w:rPr>
          <w:kern w:val="22"/>
          <w:szCs w:val="22"/>
          <w:lang w:val="fr-CA" w:eastAsia="ja-JP" w:bidi="th-TH"/>
        </w:rPr>
        <w:t>r la diversité de la gouvernance dans les réseaux nationaux et infranationaux d’aires protégées et conservées :</w:t>
      </w:r>
    </w:p>
    <w:p w:rsidR="009F6935" w:rsidRPr="00AF5B6D" w:rsidRDefault="00670C0C"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Pr>
          <w:rFonts w:cs="Times New Roman"/>
          <w:bCs w:val="0"/>
          <w:i/>
          <w:iCs/>
          <w:kern w:val="22"/>
          <w:lang w:val="fr-CA" w:eastAsia="ja-JP" w:bidi="th-TH"/>
        </w:rPr>
        <w:t>Élaborer</w:t>
      </w:r>
      <w:r w:rsidR="009F6935">
        <w:rPr>
          <w:rFonts w:cs="Times New Roman"/>
          <w:bCs w:val="0"/>
          <w:i/>
          <w:iCs/>
          <w:kern w:val="22"/>
          <w:lang w:val="fr-CA" w:eastAsia="ja-JP" w:bidi="th-TH"/>
        </w:rPr>
        <w:t xml:space="preserve"> une déclaration </w:t>
      </w:r>
      <w:r w:rsidR="009F6935" w:rsidRPr="00AF5B6D">
        <w:rPr>
          <w:rFonts w:cs="Times New Roman"/>
          <w:bCs w:val="0"/>
          <w:i/>
          <w:iCs/>
          <w:kern w:val="22"/>
          <w:lang w:val="fr-CA" w:eastAsia="ja-JP" w:bidi="th-TH"/>
        </w:rPr>
        <w:t xml:space="preserve">de politique </w:t>
      </w:r>
      <w:r w:rsidR="009F6935">
        <w:rPr>
          <w:rFonts w:cs="Times New Roman"/>
          <w:bCs w:val="0"/>
          <w:i/>
          <w:iCs/>
          <w:kern w:val="22"/>
          <w:lang w:val="fr-CA" w:eastAsia="ja-JP" w:bidi="th-TH"/>
        </w:rPr>
        <w:t xml:space="preserve">générale </w:t>
      </w:r>
      <w:r w:rsidR="009F6935" w:rsidRPr="00AF5B6D">
        <w:rPr>
          <w:rFonts w:cs="Times New Roman"/>
          <w:bCs w:val="0"/>
          <w:i/>
          <w:iCs/>
          <w:kern w:val="22"/>
          <w:lang w:val="fr-CA" w:eastAsia="ja-JP" w:bidi="th-TH"/>
        </w:rPr>
        <w:t>ou de vision de haut niveau en consultation avec les parties prenantes</w:t>
      </w:r>
      <w:r w:rsidR="009F6935">
        <w:rPr>
          <w:rFonts w:cs="Times New Roman"/>
          <w:bCs w:val="0"/>
          <w:i/>
          <w:iCs/>
          <w:kern w:val="22"/>
          <w:lang w:val="fr-CA" w:eastAsia="ja-JP" w:bidi="th-TH"/>
        </w:rPr>
        <w:t>,</w:t>
      </w:r>
      <w:r w:rsidR="009F6935" w:rsidRPr="00AF5B6D">
        <w:rPr>
          <w:rFonts w:cs="Times New Roman"/>
          <w:bCs w:val="0"/>
          <w:i/>
          <w:iCs/>
          <w:kern w:val="22"/>
          <w:lang w:val="fr-CA" w:eastAsia="ja-JP" w:bidi="th-TH"/>
        </w:rPr>
        <w:t xml:space="preserve"> </w:t>
      </w:r>
      <w:r w:rsidR="009F6935" w:rsidRPr="00AF5B6D">
        <w:rPr>
          <w:rFonts w:cs="Times New Roman"/>
          <w:bCs w:val="0"/>
          <w:iCs/>
          <w:kern w:val="22"/>
          <w:lang w:val="fr-CA" w:eastAsia="ja-JP" w:bidi="th-TH"/>
        </w:rPr>
        <w:t xml:space="preserve">qui reconnaît la diversité des </w:t>
      </w:r>
      <w:r w:rsidR="009F6935">
        <w:rPr>
          <w:rFonts w:cs="Times New Roman"/>
          <w:bCs w:val="0"/>
          <w:iCs/>
          <w:kern w:val="22"/>
          <w:lang w:val="fr-CA" w:eastAsia="ja-JP" w:bidi="th-TH"/>
        </w:rPr>
        <w:t>acteurs</w:t>
      </w:r>
      <w:r w:rsidR="009F6935" w:rsidRPr="00AF5B6D">
        <w:rPr>
          <w:rFonts w:cs="Times New Roman"/>
          <w:bCs w:val="0"/>
          <w:iCs/>
          <w:kern w:val="22"/>
          <w:lang w:val="fr-CA" w:eastAsia="ja-JP" w:bidi="th-TH"/>
        </w:rPr>
        <w:t xml:space="preserve"> de la conservation et leur contribution aux réseaux nationaux et infranationaux d’aires pro</w:t>
      </w:r>
      <w:r w:rsidR="009F6935">
        <w:rPr>
          <w:rFonts w:cs="Times New Roman"/>
          <w:bCs w:val="0"/>
          <w:iCs/>
          <w:kern w:val="22"/>
          <w:lang w:val="fr-CA" w:eastAsia="ja-JP" w:bidi="th-TH"/>
        </w:rPr>
        <w:t>tégées et conservées. Cette déclaration faciliterait la mise en place d’un</w:t>
      </w:r>
      <w:r w:rsidR="009F6935" w:rsidRPr="00AF5B6D">
        <w:rPr>
          <w:rFonts w:cs="Times New Roman"/>
          <w:bCs w:val="0"/>
          <w:iCs/>
          <w:kern w:val="22"/>
          <w:lang w:val="fr-CA" w:eastAsia="ja-JP" w:bidi="th-TH"/>
        </w:rPr>
        <w:t xml:space="preserve"> cadre </w:t>
      </w:r>
      <w:r w:rsidR="009F6935">
        <w:rPr>
          <w:rFonts w:cs="Times New Roman"/>
          <w:bCs w:val="0"/>
          <w:iCs/>
          <w:kern w:val="22"/>
          <w:lang w:val="fr-CA" w:eastAsia="ja-JP" w:bidi="th-TH"/>
        </w:rPr>
        <w:t>de travail pour les adaptations législatives ultérieures. Elle</w:t>
      </w:r>
      <w:r w:rsidR="009F6935" w:rsidRPr="00AF5B6D">
        <w:rPr>
          <w:rFonts w:cs="Times New Roman"/>
          <w:bCs w:val="0"/>
          <w:iCs/>
          <w:kern w:val="22"/>
          <w:lang w:val="fr-CA" w:eastAsia="ja-JP" w:bidi="th-TH"/>
        </w:rPr>
        <w:t xml:space="preserve"> pourrait aussi contribuer à favorise</w:t>
      </w:r>
      <w:r w:rsidR="009F6935">
        <w:rPr>
          <w:rFonts w:cs="Times New Roman"/>
          <w:bCs w:val="0"/>
          <w:iCs/>
          <w:kern w:val="22"/>
          <w:lang w:val="fr-CA" w:eastAsia="ja-JP" w:bidi="th-TH"/>
        </w:rPr>
        <w:t>r des initiatives de conservation in situ menées par l</w:t>
      </w:r>
      <w:r w:rsidR="009F6935" w:rsidRPr="00AF5B6D">
        <w:rPr>
          <w:rFonts w:cs="Times New Roman"/>
          <w:bCs w:val="0"/>
          <w:iCs/>
          <w:kern w:val="22"/>
          <w:lang w:val="fr-CA" w:eastAsia="ja-JP" w:bidi="th-TH"/>
        </w:rPr>
        <w:t>es acteurs</w:t>
      </w:r>
      <w:r w:rsidR="009F6935">
        <w:rPr>
          <w:rFonts w:cs="Times New Roman"/>
          <w:bCs w:val="0"/>
          <w:iCs/>
          <w:kern w:val="22"/>
          <w:lang w:val="fr-CA" w:eastAsia="ja-JP" w:bidi="th-TH"/>
        </w:rPr>
        <w:t xml:space="preserve"> concernés</w:t>
      </w:r>
      <w:r w:rsidR="009F6935" w:rsidRPr="00AF5B6D">
        <w:rPr>
          <w:rFonts w:cs="Times New Roman"/>
          <w:kern w:val="22"/>
          <w:lang w:val="fr-CA" w:eastAsia="ja-JP" w:bidi="th-TH"/>
        </w:rPr>
        <w:t>;</w:t>
      </w:r>
      <w:r w:rsidR="009F6935" w:rsidRPr="00F17422">
        <w:rPr>
          <w:rStyle w:val="FootnoteReference"/>
          <w:rFonts w:eastAsia="Batang" w:cs="Times New Roman"/>
          <w:bCs w:val="0"/>
          <w:iCs/>
          <w:snapToGrid w:val="0"/>
          <w:kern w:val="22"/>
          <w:sz w:val="20"/>
          <w:szCs w:val="20"/>
          <w:u w:val="none"/>
          <w:vertAlign w:val="superscript"/>
          <w:lang w:val="fr-CA" w:eastAsia="ja-JP" w:bidi="th-TH"/>
        </w:rPr>
        <w:footnoteReference w:id="52"/>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Faciliter la gestion coordonnée de plusieurs sites </w:t>
      </w:r>
      <w:r w:rsidRPr="00AF5B6D">
        <w:rPr>
          <w:rFonts w:cs="Times New Roman"/>
          <w:bCs w:val="0"/>
          <w:iCs/>
          <w:kern w:val="22"/>
          <w:lang w:val="fr-CA" w:eastAsia="ja-JP" w:bidi="th-TH"/>
        </w:rPr>
        <w:t>faisant l’objet de modes de gouvernance différents</w:t>
      </w:r>
      <w:r>
        <w:rPr>
          <w:rFonts w:cs="Times New Roman"/>
          <w:bCs w:val="0"/>
          <w:iCs/>
          <w:kern w:val="22"/>
          <w:lang w:val="fr-CA" w:eastAsia="ja-JP" w:bidi="th-TH"/>
        </w:rPr>
        <w:t>,</w:t>
      </w:r>
      <w:r w:rsidRPr="00AF5B6D">
        <w:rPr>
          <w:rFonts w:cs="Times New Roman"/>
          <w:bCs w:val="0"/>
          <w:iCs/>
          <w:kern w:val="22"/>
          <w:lang w:val="fr-CA" w:eastAsia="ja-JP" w:bidi="th-TH"/>
        </w:rPr>
        <w:t xml:space="preserve"> afin de réaliser les objectifs de conservation dans les paysages terrestres et marins </w:t>
      </w:r>
      <w:r>
        <w:rPr>
          <w:rFonts w:cs="Times New Roman"/>
          <w:bCs w:val="0"/>
          <w:iCs/>
          <w:kern w:val="22"/>
          <w:lang w:val="fr-CA" w:eastAsia="ja-JP" w:bidi="th-TH"/>
        </w:rPr>
        <w:t>plus vastes</w:t>
      </w:r>
      <w:r w:rsidRPr="00AF5B6D">
        <w:rPr>
          <w:rFonts w:cs="Times New Roman"/>
          <w:bCs w:val="0"/>
          <w:iCs/>
          <w:kern w:val="22"/>
          <w:lang w:val="fr-CA" w:eastAsia="ja-JP" w:bidi="th-TH"/>
        </w:rPr>
        <w:t xml:space="preserve"> en utilisant des moyens </w:t>
      </w:r>
      <w:r>
        <w:rPr>
          <w:rFonts w:cs="Times New Roman"/>
          <w:bCs w:val="0"/>
          <w:iCs/>
          <w:kern w:val="22"/>
          <w:lang w:val="fr-CA" w:eastAsia="ja-JP" w:bidi="th-TH"/>
        </w:rPr>
        <w:t>pertinents</w:t>
      </w:r>
      <w:r w:rsidRPr="00AF5B6D">
        <w:rPr>
          <w:rFonts w:cs="Times New Roman"/>
          <w:kern w:val="22"/>
          <w:lang w:val="fr-CA" w:eastAsia="ja-JP" w:bidi="th-TH"/>
        </w:rPr>
        <w:t>;</w:t>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Préciser et </w:t>
      </w:r>
      <w:r>
        <w:rPr>
          <w:rFonts w:cs="Times New Roman"/>
          <w:bCs w:val="0"/>
          <w:i/>
          <w:iCs/>
          <w:kern w:val="22"/>
          <w:lang w:val="fr-CA" w:eastAsia="ja-JP" w:bidi="th-TH"/>
        </w:rPr>
        <w:t>définir</w:t>
      </w:r>
      <w:r w:rsidRPr="00AF5B6D">
        <w:rPr>
          <w:rFonts w:cs="Times New Roman"/>
          <w:bCs w:val="0"/>
          <w:i/>
          <w:iCs/>
          <w:kern w:val="22"/>
          <w:lang w:val="fr-CA" w:eastAsia="ja-JP" w:bidi="th-TH"/>
        </w:rPr>
        <w:t xml:space="preserve"> les mandats, les r</w:t>
      </w:r>
      <w:r>
        <w:rPr>
          <w:rFonts w:cs="Times New Roman"/>
          <w:bCs w:val="0"/>
          <w:i/>
          <w:iCs/>
          <w:kern w:val="22"/>
          <w:lang w:val="fr-CA" w:eastAsia="ja-JP" w:bidi="th-TH"/>
        </w:rPr>
        <w:t xml:space="preserve">ôles et les responsabilités </w:t>
      </w:r>
      <w:r w:rsidRPr="00AF5B6D">
        <w:rPr>
          <w:rFonts w:cs="Times New Roman"/>
          <w:bCs w:val="0"/>
          <w:i/>
          <w:iCs/>
          <w:kern w:val="22"/>
          <w:lang w:val="fr-CA" w:eastAsia="ja-JP" w:bidi="th-TH"/>
        </w:rPr>
        <w:t>institution</w:t>
      </w:r>
      <w:r>
        <w:rPr>
          <w:rFonts w:cs="Times New Roman"/>
          <w:bCs w:val="0"/>
          <w:i/>
          <w:iCs/>
          <w:kern w:val="22"/>
          <w:lang w:val="fr-CA" w:eastAsia="ja-JP" w:bidi="th-TH"/>
        </w:rPr>
        <w:t>nel</w:t>
      </w:r>
      <w:r w:rsidRPr="00AF5B6D">
        <w:rPr>
          <w:rFonts w:cs="Times New Roman"/>
          <w:bCs w:val="0"/>
          <w:i/>
          <w:iCs/>
          <w:kern w:val="22"/>
          <w:lang w:val="fr-CA" w:eastAsia="ja-JP" w:bidi="th-TH"/>
        </w:rPr>
        <w:t xml:space="preserve">s </w:t>
      </w:r>
      <w:r w:rsidRPr="00AF5B6D">
        <w:rPr>
          <w:rFonts w:cs="Times New Roman"/>
          <w:bCs w:val="0"/>
          <w:iCs/>
          <w:kern w:val="22"/>
          <w:lang w:val="fr-CA" w:eastAsia="ja-JP" w:bidi="th-TH"/>
        </w:rPr>
        <w:t>de tous les acteurs gouvernementaux et non gouvern</w:t>
      </w:r>
      <w:r>
        <w:rPr>
          <w:rFonts w:cs="Times New Roman"/>
          <w:bCs w:val="0"/>
          <w:iCs/>
          <w:kern w:val="22"/>
          <w:lang w:val="fr-CA" w:eastAsia="ja-JP" w:bidi="th-TH"/>
        </w:rPr>
        <w:t>ementaux reconnus dans le système</w:t>
      </w:r>
      <w:r w:rsidRPr="00AF5B6D">
        <w:rPr>
          <w:rFonts w:cs="Times New Roman"/>
          <w:bCs w:val="0"/>
          <w:iCs/>
          <w:kern w:val="22"/>
          <w:lang w:val="fr-CA" w:eastAsia="ja-JP" w:bidi="th-TH"/>
        </w:rPr>
        <w:t xml:space="preserve"> national et infranational d’aires protégées et conservées, en coordination avec d’autres territoires (infranationaux</w:t>
      </w:r>
      <w:r>
        <w:rPr>
          <w:rFonts w:cs="Times New Roman"/>
          <w:bCs w:val="0"/>
          <w:iCs/>
          <w:kern w:val="22"/>
          <w:lang w:val="fr-CA" w:eastAsia="ja-JP" w:bidi="th-TH"/>
        </w:rPr>
        <w:t>, sectoriels), s’il y a lieu</w:t>
      </w:r>
      <w:r w:rsidRPr="00AF5B6D">
        <w:rPr>
          <w:rFonts w:cs="Times New Roman"/>
          <w:kern w:val="22"/>
          <w:lang w:val="fr-CA" w:eastAsia="ja-JP" w:bidi="th-TH"/>
        </w:rPr>
        <w:t>;</w:t>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Pr>
          <w:rFonts w:cs="Times New Roman"/>
          <w:bCs w:val="0"/>
          <w:i/>
          <w:iCs/>
          <w:kern w:val="22"/>
          <w:lang w:val="fr-CA" w:eastAsia="ja-JP" w:bidi="th-TH"/>
        </w:rPr>
        <w:t>Entreprendre</w:t>
      </w:r>
      <w:r w:rsidRPr="00AF5B6D">
        <w:rPr>
          <w:rFonts w:cs="Times New Roman"/>
          <w:bCs w:val="0"/>
          <w:i/>
          <w:iCs/>
          <w:kern w:val="22"/>
          <w:lang w:val="fr-CA" w:eastAsia="ja-JP" w:bidi="th-TH"/>
        </w:rPr>
        <w:t xml:space="preserve"> une évaluation de la g</w:t>
      </w:r>
      <w:r>
        <w:rPr>
          <w:rFonts w:cs="Times New Roman"/>
          <w:bCs w:val="0"/>
          <w:i/>
          <w:iCs/>
          <w:kern w:val="22"/>
          <w:lang w:val="fr-CA" w:eastAsia="ja-JP" w:bidi="th-TH"/>
        </w:rPr>
        <w:t>ouvernance à l’échelle du système,</w:t>
      </w:r>
      <w:r w:rsidRPr="00AF5B6D">
        <w:rPr>
          <w:rFonts w:cs="Times New Roman"/>
          <w:bCs w:val="0"/>
          <w:i/>
          <w:iCs/>
          <w:kern w:val="22"/>
          <w:lang w:val="fr-CA" w:eastAsia="ja-JP" w:bidi="th-TH"/>
        </w:rPr>
        <w:t xml:space="preserve"> en tant que processus collaboratif réunissant plusieurs parties prenantes. </w:t>
      </w:r>
      <w:r w:rsidRPr="00AF5B6D">
        <w:rPr>
          <w:rFonts w:cs="Times New Roman"/>
          <w:bCs w:val="0"/>
          <w:iCs/>
          <w:kern w:val="22"/>
          <w:lang w:val="fr-CA" w:eastAsia="ja-JP" w:bidi="th-TH"/>
        </w:rPr>
        <w:t>Cette évaluation servirait en grande partie à ana</w:t>
      </w:r>
      <w:r>
        <w:rPr>
          <w:rFonts w:cs="Times New Roman"/>
          <w:bCs w:val="0"/>
          <w:iCs/>
          <w:kern w:val="22"/>
          <w:lang w:val="fr-CA" w:eastAsia="ja-JP" w:bidi="th-TH"/>
        </w:rPr>
        <w:t>lyser les écarts entre un système</w:t>
      </w:r>
      <w:r w:rsidRPr="00AF5B6D">
        <w:rPr>
          <w:rFonts w:cs="Times New Roman"/>
          <w:bCs w:val="0"/>
          <w:iCs/>
          <w:kern w:val="22"/>
          <w:lang w:val="fr-CA" w:eastAsia="ja-JP" w:bidi="th-TH"/>
        </w:rPr>
        <w:t xml:space="preserve"> national ou infranational d’aires protégées existant et la</w:t>
      </w:r>
      <w:r>
        <w:rPr>
          <w:rFonts w:cs="Times New Roman"/>
          <w:bCs w:val="0"/>
          <w:iCs/>
          <w:kern w:val="22"/>
          <w:lang w:val="fr-CA" w:eastAsia="ja-JP" w:bidi="th-TH"/>
        </w:rPr>
        <w:t xml:space="preserve"> mesure de</w:t>
      </w:r>
      <w:r w:rsidRPr="00AF5B6D">
        <w:rPr>
          <w:rFonts w:cs="Times New Roman"/>
          <w:bCs w:val="0"/>
          <w:iCs/>
          <w:kern w:val="22"/>
          <w:lang w:val="fr-CA" w:eastAsia="ja-JP" w:bidi="th-TH"/>
        </w:rPr>
        <w:t xml:space="preserve"> conservation par zone potentiellement réalisable, dans l’éventualité où les aires protégées et c</w:t>
      </w:r>
      <w:r>
        <w:rPr>
          <w:rFonts w:cs="Times New Roman"/>
          <w:bCs w:val="0"/>
          <w:iCs/>
          <w:kern w:val="22"/>
          <w:lang w:val="fr-CA" w:eastAsia="ja-JP" w:bidi="th-TH"/>
        </w:rPr>
        <w:t>onservées de facto actuellement par différent</w:t>
      </w:r>
      <w:r w:rsidRPr="00AF5B6D">
        <w:rPr>
          <w:rFonts w:cs="Times New Roman"/>
          <w:bCs w:val="0"/>
          <w:iCs/>
          <w:kern w:val="22"/>
          <w:lang w:val="fr-CA" w:eastAsia="ja-JP" w:bidi="th-TH"/>
        </w:rPr>
        <w:t>s acteurs et selon différe</w:t>
      </w:r>
      <w:r>
        <w:rPr>
          <w:rFonts w:cs="Times New Roman"/>
          <w:bCs w:val="0"/>
          <w:iCs/>
          <w:kern w:val="22"/>
          <w:lang w:val="fr-CA" w:eastAsia="ja-JP" w:bidi="th-TH"/>
        </w:rPr>
        <w:t>ntes méthodes</w:t>
      </w:r>
      <w:r w:rsidRPr="00AF5B6D">
        <w:rPr>
          <w:rFonts w:cs="Times New Roman"/>
          <w:bCs w:val="0"/>
          <w:iCs/>
          <w:kern w:val="22"/>
          <w:lang w:val="fr-CA" w:eastAsia="ja-JP" w:bidi="th-TH"/>
        </w:rPr>
        <w:t xml:space="preserve"> étaient reconnues, appuyées et encour</w:t>
      </w:r>
      <w:r>
        <w:rPr>
          <w:rFonts w:cs="Times New Roman"/>
          <w:bCs w:val="0"/>
          <w:iCs/>
          <w:kern w:val="22"/>
          <w:lang w:val="fr-CA" w:eastAsia="ja-JP" w:bidi="th-TH"/>
        </w:rPr>
        <w:t>agées à prendre ou à partager des</w:t>
      </w:r>
      <w:r w:rsidRPr="00AF5B6D">
        <w:rPr>
          <w:rFonts w:cs="Times New Roman"/>
          <w:bCs w:val="0"/>
          <w:iCs/>
          <w:kern w:val="22"/>
          <w:lang w:val="fr-CA" w:eastAsia="ja-JP" w:bidi="th-TH"/>
        </w:rPr>
        <w:t xml:space="preserve"> responsabilité</w:t>
      </w:r>
      <w:r>
        <w:rPr>
          <w:rFonts w:cs="Times New Roman"/>
          <w:bCs w:val="0"/>
          <w:iCs/>
          <w:kern w:val="22"/>
          <w:lang w:val="fr-CA" w:eastAsia="ja-JP" w:bidi="th-TH"/>
        </w:rPr>
        <w:t>s</w:t>
      </w:r>
      <w:r w:rsidRPr="00AF5B6D">
        <w:rPr>
          <w:rFonts w:cs="Times New Roman"/>
          <w:kern w:val="22"/>
          <w:lang w:val="fr-CA" w:eastAsia="ja-JP" w:bidi="th-TH"/>
        </w:rPr>
        <w:t>;</w:t>
      </w:r>
      <w:r w:rsidRPr="00F17422">
        <w:rPr>
          <w:rStyle w:val="FootnoteReference"/>
          <w:rFonts w:eastAsia="Batang" w:cs="Times New Roman"/>
          <w:bCs w:val="0"/>
          <w:iCs/>
          <w:snapToGrid w:val="0"/>
          <w:kern w:val="22"/>
          <w:sz w:val="20"/>
          <w:szCs w:val="20"/>
          <w:u w:val="none"/>
          <w:vertAlign w:val="superscript"/>
          <w:lang w:val="fr-CA" w:eastAsia="ja-JP" w:bidi="th-TH"/>
        </w:rPr>
        <w:footnoteReference w:id="53"/>
      </w:r>
      <w:r w:rsidRPr="00F17422">
        <w:rPr>
          <w:rStyle w:val="FootnoteReference"/>
          <w:rFonts w:eastAsia="Batang" w:cs="Times New Roman"/>
          <w:bCs w:val="0"/>
          <w:iCs/>
          <w:snapToGrid w:val="0"/>
          <w:sz w:val="20"/>
          <w:szCs w:val="20"/>
          <w:u w:val="none"/>
          <w:vertAlign w:val="superscript"/>
          <w:lang w:val="fr-CA"/>
        </w:rPr>
        <w:t>,</w:t>
      </w:r>
      <w:r w:rsidRPr="00F17422">
        <w:rPr>
          <w:rStyle w:val="FootnoteReference"/>
          <w:rFonts w:eastAsia="Batang" w:cs="Times New Roman"/>
          <w:bCs w:val="0"/>
          <w:iCs/>
          <w:snapToGrid w:val="0"/>
          <w:kern w:val="22"/>
          <w:sz w:val="20"/>
          <w:szCs w:val="20"/>
          <w:u w:val="none"/>
          <w:vertAlign w:val="superscript"/>
          <w:lang w:val="fr-CA" w:eastAsia="ja-JP" w:bidi="th-TH"/>
        </w:rPr>
        <w:footnoteReference w:id="54"/>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lastRenderedPageBreak/>
        <w:t xml:space="preserve">Faciliter le suivi et </w:t>
      </w:r>
      <w:r>
        <w:rPr>
          <w:rFonts w:cs="Times New Roman"/>
          <w:bCs w:val="0"/>
          <w:i/>
          <w:iCs/>
          <w:kern w:val="22"/>
          <w:lang w:val="fr-CA" w:eastAsia="ja-JP" w:bidi="th-TH"/>
        </w:rPr>
        <w:t>l’établissement de rapports</w:t>
      </w:r>
      <w:r w:rsidRPr="00AF5B6D">
        <w:rPr>
          <w:rFonts w:cs="Times New Roman"/>
          <w:bCs w:val="0"/>
          <w:i/>
          <w:iCs/>
          <w:kern w:val="22"/>
          <w:lang w:val="fr-CA" w:eastAsia="ja-JP" w:bidi="th-TH"/>
        </w:rPr>
        <w:t xml:space="preserve"> coordonnés </w:t>
      </w:r>
      <w:r w:rsidRPr="00AF5B6D">
        <w:rPr>
          <w:rFonts w:cs="Times New Roman"/>
          <w:bCs w:val="0"/>
          <w:iCs/>
          <w:kern w:val="22"/>
          <w:lang w:val="fr-CA" w:eastAsia="ja-JP" w:bidi="th-TH"/>
        </w:rPr>
        <w:t xml:space="preserve">sur les aires protégées et conservées faisant l’objet de différents modes de gouvernance par des moyens </w:t>
      </w:r>
      <w:r>
        <w:rPr>
          <w:rFonts w:cs="Times New Roman"/>
          <w:bCs w:val="0"/>
          <w:iCs/>
          <w:kern w:val="22"/>
          <w:lang w:val="fr-CA" w:eastAsia="ja-JP" w:bidi="th-TH"/>
        </w:rPr>
        <w:t>pertinents</w:t>
      </w:r>
      <w:r w:rsidRPr="00AF5B6D">
        <w:rPr>
          <w:rFonts w:cs="Times New Roman"/>
          <w:bCs w:val="0"/>
          <w:iCs/>
          <w:kern w:val="22"/>
          <w:lang w:val="fr-CA" w:eastAsia="ja-JP" w:bidi="th-TH"/>
        </w:rPr>
        <w:t>, confor</w:t>
      </w:r>
      <w:r>
        <w:rPr>
          <w:rFonts w:cs="Times New Roman"/>
          <w:bCs w:val="0"/>
          <w:iCs/>
          <w:kern w:val="22"/>
          <w:lang w:val="fr-CA" w:eastAsia="ja-JP" w:bidi="th-TH"/>
        </w:rPr>
        <w:t>mément aux lois nationales, y compris</w:t>
      </w:r>
      <w:r w:rsidRPr="00AF5B6D">
        <w:rPr>
          <w:rFonts w:cs="Times New Roman"/>
          <w:bCs w:val="0"/>
          <w:iCs/>
          <w:kern w:val="22"/>
          <w:lang w:val="fr-CA" w:eastAsia="ja-JP" w:bidi="th-TH"/>
        </w:rPr>
        <w:t xml:space="preserve"> la base de données mondiale sur les </w:t>
      </w:r>
      <w:r>
        <w:rPr>
          <w:rFonts w:cs="Times New Roman"/>
          <w:bCs w:val="0"/>
          <w:iCs/>
          <w:kern w:val="22"/>
          <w:lang w:val="fr-CA" w:eastAsia="ja-JP" w:bidi="th-TH"/>
        </w:rPr>
        <w:t>zones</w:t>
      </w:r>
      <w:r w:rsidRPr="00AF5B6D">
        <w:rPr>
          <w:rFonts w:cs="Times New Roman"/>
          <w:bCs w:val="0"/>
          <w:iCs/>
          <w:kern w:val="22"/>
          <w:lang w:val="fr-CA" w:eastAsia="ja-JP" w:bidi="th-TH"/>
        </w:rPr>
        <w:t xml:space="preserve"> protégées, en tenant compte </w:t>
      </w:r>
      <w:r>
        <w:rPr>
          <w:rFonts w:cs="Times New Roman"/>
          <w:bCs w:val="0"/>
          <w:iCs/>
          <w:kern w:val="22"/>
          <w:lang w:val="fr-CA" w:eastAsia="ja-JP" w:bidi="th-TH"/>
        </w:rPr>
        <w:t>de manière adéquate</w:t>
      </w:r>
      <w:r w:rsidRPr="00AF5B6D">
        <w:rPr>
          <w:rFonts w:cs="Times New Roman"/>
          <w:bCs w:val="0"/>
          <w:iCs/>
          <w:kern w:val="22"/>
          <w:lang w:val="fr-CA" w:eastAsia="ja-JP" w:bidi="th-TH"/>
        </w:rPr>
        <w:t xml:space="preserve"> de leurs contributions aux éléments de l’Objectif 11</w:t>
      </w:r>
      <w:r w:rsidRPr="00AF5B6D">
        <w:rPr>
          <w:rFonts w:cs="Times New Roman"/>
          <w:kern w:val="22"/>
          <w:lang w:val="fr-CA" w:eastAsia="ja-JP" w:bidi="th-TH"/>
        </w:rPr>
        <w:t>;</w:t>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Réviser et adapter le cadre de politique</w:t>
      </w:r>
      <w:r>
        <w:rPr>
          <w:rFonts w:cs="Times New Roman"/>
          <w:bCs w:val="0"/>
          <w:i/>
          <w:iCs/>
          <w:kern w:val="22"/>
          <w:lang w:val="fr-CA" w:eastAsia="ja-JP" w:bidi="th-TH"/>
        </w:rPr>
        <w:t xml:space="preserve"> général, législatif</w:t>
      </w:r>
      <w:r w:rsidRPr="00AF5B6D">
        <w:rPr>
          <w:rFonts w:cs="Times New Roman"/>
          <w:bCs w:val="0"/>
          <w:i/>
          <w:iCs/>
          <w:kern w:val="22"/>
          <w:lang w:val="fr-CA" w:eastAsia="ja-JP" w:bidi="th-TH"/>
        </w:rPr>
        <w:t xml:space="preserve"> et réglementaire des aires protégées et conservées </w:t>
      </w:r>
      <w:r>
        <w:rPr>
          <w:rFonts w:cs="Times New Roman"/>
          <w:bCs w:val="0"/>
          <w:iCs/>
          <w:kern w:val="22"/>
          <w:lang w:val="fr-CA" w:eastAsia="ja-JP" w:bidi="th-TH"/>
        </w:rPr>
        <w:t>en fonction des possibilité</w:t>
      </w:r>
      <w:r w:rsidRPr="00AF5B6D">
        <w:rPr>
          <w:rFonts w:cs="Times New Roman"/>
          <w:bCs w:val="0"/>
          <w:iCs/>
          <w:kern w:val="22"/>
          <w:lang w:val="fr-CA" w:eastAsia="ja-JP" w:bidi="th-TH"/>
        </w:rPr>
        <w:t>s recensées dans l’évaluation</w:t>
      </w:r>
      <w:r>
        <w:rPr>
          <w:rFonts w:cs="Times New Roman"/>
          <w:bCs w:val="0"/>
          <w:iCs/>
          <w:kern w:val="22"/>
          <w:lang w:val="fr-CA" w:eastAsia="ja-JP" w:bidi="th-TH"/>
        </w:rPr>
        <w:t>,</w:t>
      </w:r>
      <w:r w:rsidRPr="00AF5B6D">
        <w:rPr>
          <w:rFonts w:cs="Times New Roman"/>
          <w:bCs w:val="0"/>
          <w:iCs/>
          <w:kern w:val="22"/>
          <w:lang w:val="fr-CA" w:eastAsia="ja-JP" w:bidi="th-TH"/>
        </w:rPr>
        <w:t xml:space="preserve"> et conformément à la décision X/31</w:t>
      </w:r>
      <w:r>
        <w:rPr>
          <w:rFonts w:cs="Times New Roman"/>
          <w:bCs w:val="0"/>
          <w:iCs/>
          <w:kern w:val="22"/>
          <w:lang w:val="fr-CA" w:eastAsia="ja-JP" w:bidi="th-TH"/>
        </w:rPr>
        <w:t>,</w:t>
      </w:r>
      <w:r w:rsidRPr="00AF5B6D">
        <w:rPr>
          <w:rFonts w:cs="Times New Roman"/>
          <w:bCs w:val="0"/>
          <w:iCs/>
          <w:kern w:val="22"/>
          <w:lang w:val="fr-CA" w:eastAsia="ja-JP" w:bidi="th-TH"/>
        </w:rPr>
        <w:t xml:space="preserve"> afin </w:t>
      </w:r>
      <w:r>
        <w:rPr>
          <w:rFonts w:cs="Times New Roman"/>
          <w:bCs w:val="0"/>
          <w:iCs/>
          <w:kern w:val="22"/>
          <w:lang w:val="fr-CA" w:eastAsia="ja-JP" w:bidi="th-TH"/>
        </w:rPr>
        <w:t>de favoriser et de reconnaître sur le plan juridique</w:t>
      </w:r>
      <w:r w:rsidRPr="00AF5B6D">
        <w:rPr>
          <w:rFonts w:cs="Times New Roman"/>
          <w:bCs w:val="0"/>
          <w:iCs/>
          <w:kern w:val="22"/>
          <w:lang w:val="fr-CA" w:eastAsia="ja-JP" w:bidi="th-TH"/>
        </w:rPr>
        <w:t xml:space="preserve"> différents modes de gouvernance</w:t>
      </w:r>
      <w:r w:rsidRPr="00AF5B6D">
        <w:rPr>
          <w:rFonts w:cs="Times New Roman"/>
          <w:kern w:val="22"/>
          <w:lang w:val="fr-CA" w:eastAsia="ja-JP" w:bidi="th-TH"/>
        </w:rPr>
        <w:t>;</w:t>
      </w:r>
      <w:r w:rsidRPr="00F17422">
        <w:rPr>
          <w:rStyle w:val="FootnoteReference"/>
          <w:rFonts w:eastAsia="Batang" w:cs="Times New Roman"/>
          <w:bCs w:val="0"/>
          <w:iCs/>
          <w:snapToGrid w:val="0"/>
          <w:kern w:val="22"/>
          <w:sz w:val="20"/>
          <w:szCs w:val="20"/>
          <w:u w:val="none"/>
          <w:vertAlign w:val="superscript"/>
          <w:lang w:val="fr-CA" w:eastAsia="ja-JP" w:bidi="th-TH"/>
        </w:rPr>
        <w:footnoteReference w:id="55"/>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Pr>
          <w:rFonts w:cs="Times New Roman"/>
          <w:bCs w:val="0"/>
          <w:i/>
          <w:iCs/>
          <w:kern w:val="22"/>
          <w:lang w:val="fr-CA" w:eastAsia="ja-JP" w:bidi="th-TH"/>
        </w:rPr>
        <w:t xml:space="preserve">Appuyer et sécuriser le statut juridique de </w:t>
      </w:r>
      <w:r w:rsidRPr="00AF5B6D">
        <w:rPr>
          <w:rFonts w:cs="Times New Roman"/>
          <w:bCs w:val="0"/>
          <w:i/>
          <w:iCs/>
          <w:kern w:val="22"/>
          <w:lang w:val="fr-CA" w:eastAsia="ja-JP" w:bidi="th-TH"/>
        </w:rPr>
        <w:t xml:space="preserve">protection </w:t>
      </w:r>
      <w:r w:rsidRPr="00AF5B6D">
        <w:rPr>
          <w:rFonts w:cs="Times New Roman"/>
          <w:bCs w:val="0"/>
          <w:iCs/>
          <w:kern w:val="22"/>
          <w:lang w:val="fr-CA" w:eastAsia="ja-JP" w:bidi="th-TH"/>
        </w:rPr>
        <w:t>des aires protégées et conser</w:t>
      </w:r>
      <w:r>
        <w:rPr>
          <w:rFonts w:cs="Times New Roman"/>
          <w:bCs w:val="0"/>
          <w:iCs/>
          <w:kern w:val="22"/>
          <w:lang w:val="fr-CA" w:eastAsia="ja-JP" w:bidi="th-TH"/>
        </w:rPr>
        <w:t>vées au moyen de divers modes</w:t>
      </w:r>
      <w:r w:rsidRPr="00AF5B6D">
        <w:rPr>
          <w:rFonts w:cs="Times New Roman"/>
          <w:bCs w:val="0"/>
          <w:iCs/>
          <w:kern w:val="22"/>
          <w:lang w:val="fr-CA" w:eastAsia="ja-JP" w:bidi="th-TH"/>
        </w:rPr>
        <w:t xml:space="preserve"> de gouvernance</w:t>
      </w:r>
      <w:r>
        <w:rPr>
          <w:rFonts w:cs="Times New Roman"/>
          <w:bCs w:val="0"/>
          <w:iCs/>
          <w:kern w:val="22"/>
          <w:lang w:val="fr-CA" w:eastAsia="ja-JP" w:bidi="th-TH"/>
        </w:rPr>
        <w:t>,</w:t>
      </w:r>
      <w:r w:rsidRPr="00AF5B6D">
        <w:rPr>
          <w:rFonts w:cs="Times New Roman"/>
          <w:bCs w:val="0"/>
          <w:iCs/>
          <w:kern w:val="22"/>
          <w:lang w:val="fr-CA" w:eastAsia="ja-JP" w:bidi="th-TH"/>
        </w:rPr>
        <w:t xml:space="preserve"> par des moyens pertinents</w:t>
      </w:r>
      <w:r w:rsidRPr="00AF5B6D">
        <w:rPr>
          <w:rFonts w:cs="Times New Roman"/>
          <w:kern w:val="22"/>
          <w:lang w:val="fr-CA" w:eastAsia="ja-JP" w:bidi="th-TH"/>
        </w:rPr>
        <w:t>;</w:t>
      </w:r>
    </w:p>
    <w:p w:rsidR="009F6935" w:rsidRPr="00AF5B6D" w:rsidRDefault="009F6935" w:rsidP="00004EAF">
      <w:pPr>
        <w:pStyle w:val="Para10"/>
        <w:numPr>
          <w:ilvl w:val="0"/>
          <w:numId w:val="22"/>
        </w:numPr>
        <w:suppressLineNumbers/>
        <w:suppressAutoHyphens/>
        <w:kinsoku w:val="0"/>
        <w:overflowPunct w:val="0"/>
        <w:autoSpaceDE w:val="0"/>
        <w:autoSpaceDN w:val="0"/>
        <w:spacing w:before="0" w:line="228" w:lineRule="auto"/>
        <w:ind w:left="0" w:firstLine="720"/>
        <w:rPr>
          <w:rFonts w:cs="Times New Roman"/>
          <w:kern w:val="22"/>
          <w:lang w:val="fr-CA" w:eastAsia="ja-JP" w:bidi="th-TH"/>
        </w:rPr>
      </w:pPr>
      <w:r w:rsidRPr="00AF5B6D">
        <w:rPr>
          <w:rFonts w:cs="Times New Roman"/>
          <w:bCs w:val="0"/>
          <w:i/>
          <w:iCs/>
          <w:kern w:val="22"/>
          <w:lang w:val="fr-CA" w:eastAsia="ja-JP" w:bidi="th-TH"/>
        </w:rPr>
        <w:t>Soutenir les ass</w:t>
      </w:r>
      <w:r>
        <w:rPr>
          <w:rFonts w:cs="Times New Roman"/>
          <w:bCs w:val="0"/>
          <w:i/>
          <w:iCs/>
          <w:kern w:val="22"/>
          <w:lang w:val="fr-CA" w:eastAsia="ja-JP" w:bidi="th-TH"/>
        </w:rPr>
        <w:t>ociations ou alliances nationales</w:t>
      </w:r>
      <w:r w:rsidRPr="00AF5B6D">
        <w:rPr>
          <w:rFonts w:cs="Times New Roman"/>
          <w:bCs w:val="0"/>
          <w:i/>
          <w:iCs/>
          <w:kern w:val="22"/>
          <w:lang w:val="fr-CA" w:eastAsia="ja-JP" w:bidi="th-TH"/>
        </w:rPr>
        <w:t xml:space="preserve"> </w:t>
      </w:r>
      <w:r w:rsidRPr="00AF5B6D">
        <w:rPr>
          <w:rFonts w:cs="Times New Roman"/>
          <w:bCs w:val="0"/>
          <w:iCs/>
          <w:kern w:val="22"/>
          <w:lang w:val="fr-CA" w:eastAsia="ja-JP" w:bidi="th-TH"/>
        </w:rPr>
        <w:t>d’air</w:t>
      </w:r>
      <w:r>
        <w:rPr>
          <w:rFonts w:cs="Times New Roman"/>
          <w:bCs w:val="0"/>
          <w:iCs/>
          <w:kern w:val="22"/>
          <w:lang w:val="fr-CA" w:eastAsia="ja-JP" w:bidi="th-TH"/>
        </w:rPr>
        <w:t xml:space="preserve">es protégées et conservées au moyen de divers </w:t>
      </w:r>
      <w:r w:rsidRPr="00AF5B6D">
        <w:rPr>
          <w:rFonts w:cs="Times New Roman"/>
          <w:bCs w:val="0"/>
          <w:iCs/>
          <w:kern w:val="22"/>
          <w:lang w:val="fr-CA" w:eastAsia="ja-JP" w:bidi="th-TH"/>
        </w:rPr>
        <w:t>modes de gouvernance (</w:t>
      </w:r>
      <w:r>
        <w:rPr>
          <w:rFonts w:cs="Times New Roman"/>
          <w:bCs w:val="0"/>
          <w:iCs/>
          <w:kern w:val="22"/>
          <w:lang w:val="fr-CA" w:eastAsia="ja-JP" w:bidi="th-TH"/>
        </w:rPr>
        <w:t xml:space="preserve">p. ex., </w:t>
      </w:r>
      <w:r w:rsidRPr="00AF5B6D">
        <w:rPr>
          <w:rFonts w:cs="Times New Roman"/>
          <w:bCs w:val="0"/>
          <w:iCs/>
          <w:kern w:val="22"/>
          <w:lang w:val="fr-CA" w:eastAsia="ja-JP" w:bidi="th-TH"/>
        </w:rPr>
        <w:t>Alliance des territoires et aires conservés par les peuples autochtones et les communautés locales, et Association des aires protégées privées)</w:t>
      </w:r>
      <w:r>
        <w:rPr>
          <w:rFonts w:cs="Times New Roman"/>
          <w:bCs w:val="0"/>
          <w:iCs/>
          <w:kern w:val="22"/>
          <w:lang w:val="fr-CA" w:eastAsia="ja-JP" w:bidi="th-TH"/>
        </w:rPr>
        <w:t>, afin de fournir des mécanismes de soutien par d</w:t>
      </w:r>
      <w:r w:rsidRPr="00AF5B6D">
        <w:rPr>
          <w:rFonts w:cs="Times New Roman"/>
          <w:bCs w:val="0"/>
          <w:iCs/>
          <w:kern w:val="22"/>
          <w:lang w:val="fr-CA" w:eastAsia="ja-JP" w:bidi="th-TH"/>
        </w:rPr>
        <w:t>es pairs</w:t>
      </w:r>
      <w:r w:rsidRPr="00AF5B6D">
        <w:rPr>
          <w:rFonts w:cs="Times New Roman"/>
          <w:kern w:val="22"/>
          <w:lang w:val="fr-CA" w:eastAsia="ja-JP" w:bidi="th-TH"/>
        </w:rPr>
        <w:t>;</w:t>
      </w:r>
    </w:p>
    <w:p w:rsidR="009F6935" w:rsidRPr="00AF5B6D" w:rsidRDefault="009F6935" w:rsidP="00004EAF">
      <w:pPr>
        <w:pStyle w:val="Para10"/>
        <w:numPr>
          <w:ilvl w:val="0"/>
          <w:numId w:val="22"/>
        </w:numPr>
        <w:suppressLineNumbers/>
        <w:suppressAutoHyphens/>
        <w:kinsoku w:val="0"/>
        <w:overflowPunct w:val="0"/>
        <w:autoSpaceDE w:val="0"/>
        <w:autoSpaceDN w:val="0"/>
        <w:spacing w:before="0" w:after="240" w:line="228" w:lineRule="auto"/>
        <w:ind w:left="0" w:firstLine="720"/>
        <w:rPr>
          <w:rFonts w:cs="Times New Roman"/>
          <w:kern w:val="22"/>
          <w:lang w:val="fr-CA" w:eastAsia="ja-JP" w:bidi="th-TH"/>
        </w:rPr>
      </w:pPr>
      <w:r w:rsidRPr="00AF5B6D">
        <w:rPr>
          <w:rFonts w:cs="Times New Roman"/>
          <w:bCs w:val="0"/>
          <w:i/>
          <w:iCs/>
          <w:kern w:val="22"/>
          <w:lang w:val="fr-CA" w:eastAsia="ja-JP" w:bidi="th-TH"/>
        </w:rPr>
        <w:t xml:space="preserve">Vérifier la contribution de ces aires </w:t>
      </w:r>
      <w:r>
        <w:rPr>
          <w:rFonts w:cs="Times New Roman"/>
          <w:bCs w:val="0"/>
          <w:iCs/>
          <w:kern w:val="22"/>
          <w:lang w:val="fr-CA" w:eastAsia="ja-JP" w:bidi="th-TH"/>
        </w:rPr>
        <w:t xml:space="preserve">aux réalisations globales </w:t>
      </w:r>
      <w:r w:rsidRPr="00AF5B6D">
        <w:rPr>
          <w:rFonts w:cs="Times New Roman"/>
          <w:bCs w:val="0"/>
          <w:iCs/>
          <w:kern w:val="22"/>
          <w:lang w:val="fr-CA" w:eastAsia="ja-JP" w:bidi="th-TH"/>
        </w:rPr>
        <w:t>du réseau d’aires protégées du pays</w:t>
      </w:r>
      <w:r>
        <w:rPr>
          <w:rFonts w:cs="Times New Roman"/>
          <w:bCs w:val="0"/>
          <w:iCs/>
          <w:kern w:val="22"/>
          <w:lang w:val="fr-CA" w:eastAsia="ja-JP" w:bidi="th-TH"/>
        </w:rPr>
        <w:t xml:space="preserve">, en ce qui concerne l’état de la couverture et de </w:t>
      </w:r>
      <w:r w:rsidRPr="00AF5B6D">
        <w:rPr>
          <w:rFonts w:cs="Times New Roman"/>
          <w:bCs w:val="0"/>
          <w:iCs/>
          <w:kern w:val="22"/>
          <w:lang w:val="fr-CA" w:eastAsia="ja-JP" w:bidi="th-TH"/>
        </w:rPr>
        <w:t>la conservation</w:t>
      </w:r>
      <w:r>
        <w:rPr>
          <w:rFonts w:cs="Times New Roman"/>
          <w:bCs w:val="0"/>
          <w:iCs/>
          <w:kern w:val="22"/>
          <w:lang w:val="fr-CA" w:eastAsia="ja-JP" w:bidi="th-TH"/>
        </w:rPr>
        <w:t>, au moyen d’une</w:t>
      </w:r>
      <w:r w:rsidRPr="00AF5B6D">
        <w:rPr>
          <w:rFonts w:cs="Times New Roman"/>
          <w:bCs w:val="0"/>
          <w:iCs/>
          <w:kern w:val="22"/>
          <w:lang w:val="fr-CA" w:eastAsia="ja-JP" w:bidi="th-TH"/>
        </w:rPr>
        <w:t xml:space="preserve"> cartographie et </w:t>
      </w:r>
      <w:r>
        <w:rPr>
          <w:rFonts w:cs="Times New Roman"/>
          <w:bCs w:val="0"/>
          <w:iCs/>
          <w:kern w:val="22"/>
          <w:lang w:val="fr-CA" w:eastAsia="ja-JP" w:bidi="th-TH"/>
        </w:rPr>
        <w:t>d’</w:t>
      </w:r>
      <w:r w:rsidRPr="00AF5B6D">
        <w:rPr>
          <w:rFonts w:cs="Times New Roman"/>
          <w:bCs w:val="0"/>
          <w:iCs/>
          <w:kern w:val="22"/>
          <w:lang w:val="fr-CA" w:eastAsia="ja-JP" w:bidi="th-TH"/>
        </w:rPr>
        <w:t>autres moyens pertinents</w:t>
      </w:r>
      <w:r w:rsidRPr="00AF5B6D">
        <w:rPr>
          <w:rFonts w:cs="Times New Roman"/>
          <w:kern w:val="22"/>
          <w:lang w:val="fr-CA" w:eastAsia="ja-JP" w:bidi="th-TH"/>
        </w:rPr>
        <w:t>.</w:t>
      </w:r>
    </w:p>
    <w:p w:rsidR="009F6935" w:rsidRPr="00AF5B6D" w:rsidRDefault="009F6935" w:rsidP="009F6935">
      <w:pPr>
        <w:pStyle w:val="Heading2"/>
        <w:suppressLineNumbers/>
        <w:pBdr>
          <w:top w:val="nil"/>
          <w:left w:val="nil"/>
          <w:bottom w:val="nil"/>
          <w:right w:val="nil"/>
          <w:between w:val="nil"/>
          <w:bar w:val="nil"/>
        </w:pBdr>
        <w:tabs>
          <w:tab w:val="clear" w:pos="720"/>
          <w:tab w:val="left" w:pos="450"/>
        </w:tabs>
        <w:suppressAutoHyphens/>
        <w:kinsoku w:val="0"/>
        <w:overflowPunct w:val="0"/>
        <w:autoSpaceDE w:val="0"/>
        <w:autoSpaceDN w:val="0"/>
        <w:rPr>
          <w:kern w:val="22"/>
          <w:szCs w:val="22"/>
          <w:lang w:val="fr-CA"/>
        </w:rPr>
      </w:pPr>
      <w:bookmarkStart w:id="31" w:name="_Toc525904157"/>
      <w:bookmarkStart w:id="32" w:name="_Toc525904316"/>
      <w:bookmarkStart w:id="33" w:name="_Toc525904560"/>
      <w:r w:rsidRPr="00AF5B6D">
        <w:rPr>
          <w:kern w:val="22"/>
          <w:szCs w:val="22"/>
          <w:lang w:val="fr-CA"/>
        </w:rPr>
        <w:t>B.</w:t>
      </w:r>
      <w:r w:rsidRPr="00AF5B6D">
        <w:rPr>
          <w:kern w:val="22"/>
          <w:szCs w:val="22"/>
          <w:lang w:val="fr-CA"/>
        </w:rPr>
        <w:tab/>
        <w:t>Orientations facultatives sur les modèles de gouvernance efficaces et équitables</w:t>
      </w:r>
      <w:bookmarkEnd w:id="31"/>
      <w:bookmarkEnd w:id="32"/>
      <w:bookmarkEnd w:id="33"/>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Les modèles de gouvernance efficaces et équitables des aires protégées et conservées consistent en des arrangements concernant la prise de décisions dan</w:t>
      </w:r>
      <w:r>
        <w:rPr>
          <w:kern w:val="22"/>
          <w:szCs w:val="22"/>
          <w:lang w:val="fr-CA" w:eastAsia="ja-JP" w:bidi="th-TH"/>
        </w:rPr>
        <w:t>s lesquelles des principes de « </w:t>
      </w:r>
      <w:r w:rsidRPr="00AF5B6D">
        <w:rPr>
          <w:kern w:val="22"/>
          <w:szCs w:val="22"/>
          <w:lang w:val="fr-CA" w:eastAsia="ja-JP" w:bidi="th-TH"/>
        </w:rPr>
        <w:t>bonne gouvernance » sont adoptés et appliqués. Les principes de bonne gouvernance doivent être appliqués indépendamment du mode de gouvernance. Se fondant sur les principes de bonne gou</w:t>
      </w:r>
      <w:r>
        <w:rPr>
          <w:kern w:val="22"/>
          <w:szCs w:val="22"/>
          <w:lang w:val="fr-CA" w:eastAsia="ja-JP" w:bidi="th-TH"/>
        </w:rPr>
        <w:t>vernance élaborés par les institution</w:t>
      </w:r>
      <w:r w:rsidRPr="00AF5B6D">
        <w:rPr>
          <w:kern w:val="22"/>
          <w:szCs w:val="22"/>
          <w:lang w:val="fr-CA" w:eastAsia="ja-JP" w:bidi="th-TH"/>
        </w:rPr>
        <w:t>s des Nations Unies et autres organisation</w:t>
      </w:r>
      <w:r>
        <w:rPr>
          <w:kern w:val="22"/>
          <w:szCs w:val="22"/>
          <w:lang w:val="fr-CA" w:eastAsia="ja-JP" w:bidi="th-TH"/>
        </w:rPr>
        <w:t xml:space="preserve">s, l’UICN propose des principes </w:t>
      </w:r>
      <w:r w:rsidRPr="00AF5B6D">
        <w:rPr>
          <w:kern w:val="22"/>
          <w:szCs w:val="22"/>
          <w:lang w:val="fr-CA" w:eastAsia="ja-JP" w:bidi="th-TH"/>
        </w:rPr>
        <w:t xml:space="preserve">de gouvernance </w:t>
      </w:r>
      <w:r>
        <w:rPr>
          <w:kern w:val="22"/>
          <w:szCs w:val="22"/>
          <w:lang w:val="fr-CA" w:eastAsia="ja-JP" w:bidi="th-TH"/>
        </w:rPr>
        <w:t xml:space="preserve">et des considérations à prendre en compte </w:t>
      </w:r>
      <w:r w:rsidRPr="00AF5B6D">
        <w:rPr>
          <w:kern w:val="22"/>
          <w:szCs w:val="22"/>
          <w:lang w:val="fr-CA" w:eastAsia="ja-JP" w:bidi="th-TH"/>
        </w:rPr>
        <w:t>pour le contexte des aires protégées et conservées, en tant qu’orientations pour les décisions à prendre et à mettre en œuvre en toute légitimité, et de manière compétente, inté</w:t>
      </w:r>
      <w:r>
        <w:rPr>
          <w:kern w:val="22"/>
          <w:szCs w:val="22"/>
          <w:lang w:val="fr-CA" w:eastAsia="ja-JP" w:bidi="th-TH"/>
        </w:rPr>
        <w:t>grée et juste, dans une perspective incluant une vision et une</w:t>
      </w:r>
      <w:r w:rsidRPr="00AF5B6D">
        <w:rPr>
          <w:kern w:val="22"/>
          <w:szCs w:val="22"/>
          <w:lang w:val="fr-CA" w:eastAsia="ja-JP" w:bidi="th-TH"/>
        </w:rPr>
        <w:t xml:space="preserve"> responsabilité, tout en respectant les droits.</w:t>
      </w:r>
      <w:r w:rsidRPr="00AF5B6D">
        <w:rPr>
          <w:szCs w:val="22"/>
          <w:vertAlign w:val="superscript"/>
          <w:lang w:val="fr-CA"/>
        </w:rPr>
        <w:footnoteReference w:id="56"/>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eastAsia="ja-JP" w:bidi="th-TH"/>
        </w:rPr>
      </w:pPr>
      <w:r>
        <w:rPr>
          <w:kern w:val="22"/>
          <w:szCs w:val="22"/>
          <w:lang w:val="fr-CA" w:eastAsia="ja-JP" w:bidi="th-TH"/>
        </w:rPr>
        <w:t>Le concept d</w:t>
      </w:r>
      <w:r w:rsidRPr="00AF5B6D">
        <w:rPr>
          <w:kern w:val="22"/>
          <w:szCs w:val="22"/>
          <w:lang w:val="fr-CA" w:eastAsia="ja-JP" w:bidi="th-TH"/>
        </w:rPr>
        <w:t xml:space="preserve">’équité est un </w:t>
      </w:r>
      <w:r>
        <w:rPr>
          <w:kern w:val="22"/>
          <w:szCs w:val="22"/>
          <w:lang w:val="fr-CA" w:eastAsia="ja-JP" w:bidi="th-TH"/>
        </w:rPr>
        <w:t>élément de la bonne gouvernance</w:t>
      </w:r>
      <w:r w:rsidRPr="00AF5B6D">
        <w:rPr>
          <w:kern w:val="22"/>
          <w:szCs w:val="22"/>
          <w:lang w:val="fr-CA" w:eastAsia="ja-JP" w:bidi="th-TH"/>
        </w:rPr>
        <w:t xml:space="preserve">. L’équité peut </w:t>
      </w:r>
      <w:r>
        <w:rPr>
          <w:kern w:val="22"/>
          <w:szCs w:val="22"/>
          <w:lang w:val="fr-CA" w:eastAsia="ja-JP" w:bidi="th-TH"/>
        </w:rPr>
        <w:t>être classée dans trois aspect</w:t>
      </w:r>
      <w:r w:rsidRPr="00AF5B6D">
        <w:rPr>
          <w:kern w:val="22"/>
          <w:szCs w:val="22"/>
          <w:lang w:val="fr-CA" w:eastAsia="ja-JP" w:bidi="th-TH"/>
        </w:rPr>
        <w:t>s : reconnaissa</w:t>
      </w:r>
      <w:r>
        <w:rPr>
          <w:kern w:val="22"/>
          <w:szCs w:val="22"/>
          <w:lang w:val="fr-CA" w:eastAsia="ja-JP" w:bidi="th-TH"/>
        </w:rPr>
        <w:t>nce, procédure et répartition. L</w:t>
      </w:r>
      <w:r w:rsidRPr="00AF5B6D">
        <w:rPr>
          <w:kern w:val="22"/>
          <w:szCs w:val="22"/>
          <w:lang w:val="fr-CA" w:eastAsia="ja-JP" w:bidi="th-TH"/>
        </w:rPr>
        <w:t xml:space="preserve">a « reconnaissance » est la reconnaissance et le respect des droits et de la diversité des identités, des valeurs, des systèmes </w:t>
      </w:r>
      <w:r>
        <w:rPr>
          <w:kern w:val="22"/>
          <w:szCs w:val="22"/>
          <w:lang w:val="fr-CA" w:eastAsia="ja-JP" w:bidi="th-TH"/>
        </w:rPr>
        <w:t>d</w:t>
      </w:r>
      <w:r w:rsidRPr="00AF5B6D">
        <w:rPr>
          <w:kern w:val="22"/>
          <w:szCs w:val="22"/>
          <w:lang w:val="fr-CA" w:eastAsia="ja-JP" w:bidi="th-TH"/>
        </w:rPr>
        <w:t>e connaissance</w:t>
      </w:r>
      <w:r>
        <w:rPr>
          <w:kern w:val="22"/>
          <w:szCs w:val="22"/>
          <w:lang w:val="fr-CA" w:eastAsia="ja-JP" w:bidi="th-TH"/>
        </w:rPr>
        <w:t>s</w:t>
      </w:r>
      <w:r w:rsidRPr="00AF5B6D">
        <w:rPr>
          <w:kern w:val="22"/>
          <w:szCs w:val="22"/>
          <w:lang w:val="fr-CA" w:eastAsia="ja-JP" w:bidi="th-TH"/>
        </w:rPr>
        <w:t xml:space="preserve"> et des institutions de</w:t>
      </w:r>
      <w:r>
        <w:rPr>
          <w:kern w:val="22"/>
          <w:szCs w:val="22"/>
          <w:lang w:val="fr-CA" w:eastAsia="ja-JP" w:bidi="th-TH"/>
        </w:rPr>
        <w:t>s</w:t>
      </w:r>
      <w:r w:rsidRPr="00AF5B6D">
        <w:rPr>
          <w:kern w:val="22"/>
          <w:szCs w:val="22"/>
          <w:lang w:val="fr-CA" w:eastAsia="ja-JP" w:bidi="th-TH"/>
        </w:rPr>
        <w:t xml:space="preserve"> </w:t>
      </w:r>
      <w:r>
        <w:rPr>
          <w:kern w:val="22"/>
          <w:szCs w:val="22"/>
          <w:lang w:val="fr-CA" w:eastAsia="ja-JP" w:bidi="th-TH"/>
        </w:rPr>
        <w:t>détenteurs de</w:t>
      </w:r>
      <w:r w:rsidRPr="00AF5B6D">
        <w:rPr>
          <w:kern w:val="22"/>
          <w:szCs w:val="22"/>
          <w:lang w:val="fr-CA" w:eastAsia="ja-JP" w:bidi="th-TH"/>
        </w:rPr>
        <w:t xml:space="preserve"> droits</w:t>
      </w:r>
      <w:r w:rsidRPr="00F17422">
        <w:rPr>
          <w:rStyle w:val="FootnoteReference"/>
          <w:kern w:val="22"/>
          <w:sz w:val="20"/>
          <w:szCs w:val="20"/>
          <w:u w:val="none"/>
          <w:vertAlign w:val="superscript"/>
          <w:lang w:val="fr-CA" w:eastAsia="ja-JP" w:bidi="th-TH"/>
        </w:rPr>
        <w:footnoteReference w:id="57"/>
      </w:r>
      <w:r w:rsidRPr="00AF5B6D">
        <w:rPr>
          <w:kern w:val="22"/>
          <w:szCs w:val="22"/>
          <w:lang w:val="fr-CA" w:eastAsia="ja-JP" w:bidi="th-TH"/>
        </w:rPr>
        <w:t xml:space="preserve"> et des parties prenantes. La « procédure » fait référence </w:t>
      </w:r>
      <w:r>
        <w:rPr>
          <w:kern w:val="22"/>
          <w:szCs w:val="22"/>
          <w:lang w:val="fr-CA" w:eastAsia="ja-JP" w:bidi="th-TH"/>
        </w:rPr>
        <w:t>au caractère intégré</w:t>
      </w:r>
      <w:r w:rsidRPr="00AF5B6D">
        <w:rPr>
          <w:kern w:val="22"/>
          <w:szCs w:val="22"/>
          <w:lang w:val="fr-CA" w:eastAsia="ja-JP" w:bidi="th-TH"/>
        </w:rPr>
        <w:t xml:space="preserve"> de l’établissement des règles et de la prise d</w:t>
      </w:r>
      <w:r>
        <w:rPr>
          <w:kern w:val="22"/>
          <w:szCs w:val="22"/>
          <w:lang w:val="fr-CA" w:eastAsia="ja-JP" w:bidi="th-TH"/>
        </w:rPr>
        <w:t>e décisions, et la « réparti</w:t>
      </w:r>
      <w:r w:rsidRPr="00AF5B6D">
        <w:rPr>
          <w:kern w:val="22"/>
          <w:szCs w:val="22"/>
          <w:lang w:val="fr-CA" w:eastAsia="ja-JP" w:bidi="th-TH"/>
        </w:rPr>
        <w:t xml:space="preserve">tion » signifie que les coûts et les bienfaits associés à la gestion des aires protégées doivent être </w:t>
      </w:r>
      <w:r>
        <w:rPr>
          <w:kern w:val="22"/>
          <w:szCs w:val="22"/>
          <w:lang w:val="fr-CA" w:eastAsia="ja-JP" w:bidi="th-TH"/>
        </w:rPr>
        <w:t>répartis</w:t>
      </w:r>
      <w:r w:rsidRPr="00AF5B6D">
        <w:rPr>
          <w:kern w:val="22"/>
          <w:szCs w:val="22"/>
          <w:lang w:val="fr-CA" w:eastAsia="ja-JP" w:bidi="th-TH"/>
        </w:rPr>
        <w:t xml:space="preserve"> équitablement </w:t>
      </w:r>
      <w:r>
        <w:rPr>
          <w:kern w:val="22"/>
          <w:szCs w:val="22"/>
          <w:lang w:val="fr-CA" w:eastAsia="ja-JP" w:bidi="th-TH"/>
        </w:rPr>
        <w:t>entre</w:t>
      </w:r>
      <w:r w:rsidRPr="00AF5B6D">
        <w:rPr>
          <w:kern w:val="22"/>
          <w:szCs w:val="22"/>
          <w:lang w:val="fr-CA" w:eastAsia="ja-JP" w:bidi="th-TH"/>
        </w:rPr>
        <w:t xml:space="preserve"> les différents acteurs. La figure ci-de</w:t>
      </w:r>
      <w:r>
        <w:rPr>
          <w:kern w:val="22"/>
          <w:szCs w:val="22"/>
          <w:lang w:val="fr-CA" w:eastAsia="ja-JP" w:bidi="th-TH"/>
        </w:rPr>
        <w:t>ssous montre les trois aspect</w:t>
      </w:r>
      <w:r w:rsidRPr="00AF5B6D">
        <w:rPr>
          <w:kern w:val="22"/>
          <w:szCs w:val="22"/>
          <w:lang w:val="fr-CA" w:eastAsia="ja-JP" w:bidi="th-TH"/>
        </w:rPr>
        <w:t xml:space="preserve">s. Un récent cadre de travail pour l’avancement de l’équité dans </w:t>
      </w:r>
      <w:r>
        <w:rPr>
          <w:kern w:val="22"/>
          <w:szCs w:val="22"/>
          <w:lang w:val="fr-CA" w:eastAsia="ja-JP" w:bidi="th-TH"/>
        </w:rPr>
        <w:t>le contexte des aires protégées</w:t>
      </w:r>
      <w:r w:rsidRPr="00F17422">
        <w:rPr>
          <w:rStyle w:val="FootnoteReference"/>
          <w:rFonts w:eastAsia="Batang"/>
          <w:iCs/>
          <w:kern w:val="22"/>
          <w:sz w:val="20"/>
          <w:szCs w:val="20"/>
          <w:u w:val="none"/>
          <w:vertAlign w:val="superscript"/>
          <w:lang w:val="fr-CA" w:eastAsia="ja-JP" w:bidi="th-TH"/>
        </w:rPr>
        <w:footnoteReference w:id="58"/>
      </w:r>
      <w:r w:rsidRPr="00F17422">
        <w:rPr>
          <w:kern w:val="22"/>
          <w:sz w:val="20"/>
          <w:szCs w:val="20"/>
          <w:vertAlign w:val="superscript"/>
          <w:lang w:val="fr-CA" w:eastAsia="ja-JP" w:bidi="th-TH"/>
        </w:rPr>
        <w:t>,</w:t>
      </w:r>
      <w:r w:rsidRPr="00F17422">
        <w:rPr>
          <w:rStyle w:val="FootnoteReference"/>
          <w:rFonts w:eastAsia="Batang"/>
          <w:iCs/>
          <w:kern w:val="22"/>
          <w:sz w:val="20"/>
          <w:szCs w:val="20"/>
          <w:u w:val="none"/>
          <w:vertAlign w:val="superscript"/>
          <w:lang w:val="fr-CA" w:eastAsia="ja-JP" w:bidi="th-TH"/>
        </w:rPr>
        <w:footnoteReference w:id="59"/>
      </w:r>
      <w:r w:rsidRPr="00F17422">
        <w:rPr>
          <w:kern w:val="22"/>
          <w:sz w:val="20"/>
          <w:szCs w:val="20"/>
          <w:lang w:val="fr-CA" w:eastAsia="ja-JP" w:bidi="th-TH"/>
        </w:rPr>
        <w:t xml:space="preserve"> </w:t>
      </w:r>
      <w:r w:rsidRPr="00AF5B6D">
        <w:rPr>
          <w:kern w:val="22"/>
          <w:szCs w:val="22"/>
          <w:lang w:val="fr-CA" w:eastAsia="ja-JP" w:bidi="th-TH"/>
        </w:rPr>
        <w:t>propose une s</w:t>
      </w:r>
      <w:r>
        <w:rPr>
          <w:kern w:val="22"/>
          <w:szCs w:val="22"/>
          <w:lang w:val="fr-CA" w:eastAsia="ja-JP" w:bidi="th-TH"/>
        </w:rPr>
        <w:t>érie de principes au regard des</w:t>
      </w:r>
      <w:r w:rsidRPr="00AF5B6D">
        <w:rPr>
          <w:kern w:val="22"/>
          <w:szCs w:val="22"/>
          <w:lang w:val="fr-CA" w:eastAsia="ja-JP" w:bidi="th-TH"/>
        </w:rPr>
        <w:t xml:space="preserve">quels </w:t>
      </w:r>
      <w:r>
        <w:rPr>
          <w:kern w:val="22"/>
          <w:szCs w:val="22"/>
          <w:lang w:val="fr-CA" w:eastAsia="ja-JP" w:bidi="th-TH"/>
        </w:rPr>
        <w:t>il convient d’évaluer les trois aspect</w:t>
      </w:r>
      <w:r w:rsidRPr="00AF5B6D">
        <w:rPr>
          <w:kern w:val="22"/>
          <w:szCs w:val="22"/>
          <w:lang w:val="fr-CA" w:eastAsia="ja-JP" w:bidi="th-TH"/>
        </w:rPr>
        <w:t>s.</w:t>
      </w:r>
    </w:p>
    <w:p w:rsidR="009F6935" w:rsidRPr="00AF5B6D" w:rsidRDefault="009F6935" w:rsidP="009F6935">
      <w:pPr>
        <w:pStyle w:val="Para1"/>
        <w:keepNext/>
        <w:keepLines/>
        <w:numPr>
          <w:ilvl w:val="0"/>
          <w:numId w:val="0"/>
        </w:numPr>
        <w:suppressLineNumbers/>
        <w:suppressAutoHyphens/>
        <w:kinsoku w:val="0"/>
        <w:overflowPunct w:val="0"/>
        <w:autoSpaceDE w:val="0"/>
        <w:autoSpaceDN w:val="0"/>
        <w:jc w:val="left"/>
        <w:rPr>
          <w:b/>
          <w:bCs/>
          <w:kern w:val="22"/>
          <w:szCs w:val="22"/>
          <w:lang w:val="fr-CA" w:eastAsia="ja-JP" w:bidi="th-TH"/>
        </w:rPr>
      </w:pPr>
      <w:r>
        <w:rPr>
          <w:b/>
          <w:bCs/>
          <w:kern w:val="22"/>
          <w:szCs w:val="22"/>
          <w:lang w:val="fr-CA"/>
        </w:rPr>
        <w:lastRenderedPageBreak/>
        <w:t>Figure. Les trois aspects de l’équité imbriqué</w:t>
      </w:r>
      <w:r w:rsidRPr="00AF5B6D">
        <w:rPr>
          <w:b/>
          <w:bCs/>
          <w:kern w:val="22"/>
          <w:szCs w:val="22"/>
          <w:lang w:val="fr-CA"/>
        </w:rPr>
        <w:t>s dans une série de conditions habilitantes</w:t>
      </w:r>
    </w:p>
    <w:p w:rsidR="009F6935" w:rsidRPr="00AF5B6D" w:rsidRDefault="009F6935" w:rsidP="009F6935">
      <w:pPr>
        <w:pStyle w:val="Para10"/>
        <w:keepLines/>
        <w:suppressLineNumbers/>
        <w:suppressAutoHyphens/>
        <w:kinsoku w:val="0"/>
        <w:overflowPunct w:val="0"/>
        <w:autoSpaceDE w:val="0"/>
        <w:autoSpaceDN w:val="0"/>
        <w:ind w:left="2160"/>
        <w:rPr>
          <w:rFonts w:cs="Times New Roman"/>
          <w:kern w:val="22"/>
          <w:lang w:val="fr-CA" w:eastAsia="ja-JP" w:bidi="th-TH"/>
        </w:rPr>
      </w:pPr>
      <w:r w:rsidRPr="00AF5B6D">
        <w:rPr>
          <w:rFonts w:cs="Times New Roman"/>
          <w:noProof/>
          <w:kern w:val="22"/>
          <w:lang w:val="fr-FR" w:eastAsia="fr-FR"/>
        </w:rPr>
        <w:drawing>
          <wp:inline distT="0" distB="0" distL="0" distR="0" wp14:anchorId="4A3CED45" wp14:editId="1E6750F3">
            <wp:extent cx="2571750" cy="2049624"/>
            <wp:effectExtent l="0" t="0" r="0" b="8255"/>
            <wp:docPr id="3" name="Picture 3"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rsidR="009F6935" w:rsidRPr="00AF5B6D" w:rsidRDefault="009F6935" w:rsidP="009F6935">
      <w:pPr>
        <w:pStyle w:val="Default"/>
        <w:keepLines/>
        <w:suppressLineNumbers/>
        <w:suppressAutoHyphens/>
        <w:kinsoku w:val="0"/>
        <w:overflowPunct w:val="0"/>
        <w:spacing w:after="240"/>
        <w:rPr>
          <w:bCs/>
          <w:kern w:val="22"/>
          <w:sz w:val="20"/>
          <w:szCs w:val="20"/>
          <w:lang w:val="fr-CA"/>
        </w:rPr>
      </w:pPr>
      <w:r w:rsidRPr="00AF5B6D">
        <w:rPr>
          <w:bCs/>
          <w:i/>
          <w:iCs/>
          <w:kern w:val="22"/>
          <w:sz w:val="20"/>
          <w:szCs w:val="20"/>
          <w:lang w:val="fr-CA"/>
        </w:rPr>
        <w:t xml:space="preserve">Source </w:t>
      </w:r>
      <w:r w:rsidRPr="00AF5B6D">
        <w:rPr>
          <w:bCs/>
          <w:kern w:val="22"/>
          <w:sz w:val="20"/>
          <w:szCs w:val="20"/>
          <w:lang w:val="fr-CA"/>
        </w:rPr>
        <w:t xml:space="preserve">: Adapté de McDermott et al. </w:t>
      </w:r>
      <w:r w:rsidRPr="00A41637">
        <w:rPr>
          <w:bCs/>
          <w:kern w:val="22"/>
          <w:sz w:val="20"/>
          <w:szCs w:val="20"/>
        </w:rPr>
        <w:t>(2013).</w:t>
      </w:r>
      <w:r w:rsidRPr="00A41637">
        <w:rPr>
          <w:i/>
          <w:snapToGrid w:val="0"/>
          <w:color w:val="auto"/>
          <w:kern w:val="18"/>
          <w:sz w:val="20"/>
          <w:szCs w:val="20"/>
        </w:rPr>
        <w:t xml:space="preserve"> </w:t>
      </w:r>
      <w:r w:rsidRPr="00A41637">
        <w:rPr>
          <w:bCs/>
          <w:iCs/>
          <w:kern w:val="22"/>
          <w:sz w:val="20"/>
          <w:szCs w:val="20"/>
        </w:rPr>
        <w:t>Examining equity: A multidimensional framework for assessing equity in payments for ecosystem service</w:t>
      </w:r>
      <w:r w:rsidRPr="00A41637">
        <w:rPr>
          <w:bCs/>
          <w:i/>
          <w:kern w:val="22"/>
          <w:sz w:val="20"/>
          <w:szCs w:val="20"/>
        </w:rPr>
        <w:t xml:space="preserve">.  </w:t>
      </w:r>
      <w:r w:rsidRPr="00A41637">
        <w:rPr>
          <w:bCs/>
          <w:i/>
          <w:iCs/>
          <w:kern w:val="22"/>
          <w:sz w:val="20"/>
          <w:szCs w:val="20"/>
        </w:rPr>
        <w:t>Environmental Science and Policy</w:t>
      </w:r>
      <w:r w:rsidRPr="00A41637">
        <w:rPr>
          <w:bCs/>
          <w:kern w:val="22"/>
          <w:sz w:val="20"/>
          <w:szCs w:val="20"/>
        </w:rPr>
        <w:t xml:space="preserve"> 33: 416-427</w:t>
      </w:r>
      <w:r w:rsidRPr="00A41637">
        <w:rPr>
          <w:bCs/>
          <w:kern w:val="22"/>
          <w:sz w:val="20"/>
          <w:szCs w:val="20"/>
          <w:vertAlign w:val="superscript"/>
        </w:rPr>
        <w:t xml:space="preserve"> </w:t>
      </w:r>
      <w:r w:rsidRPr="00A41637">
        <w:rPr>
          <w:bCs/>
          <w:kern w:val="22"/>
          <w:sz w:val="20"/>
          <w:szCs w:val="20"/>
        </w:rPr>
        <w:t>et Pascual et al. (2014).</w:t>
      </w:r>
      <w:r w:rsidRPr="00A41637">
        <w:rPr>
          <w:sz w:val="20"/>
          <w:szCs w:val="20"/>
        </w:rPr>
        <w:t xml:space="preserve"> </w:t>
      </w:r>
      <w:r w:rsidRPr="00A41637">
        <w:rPr>
          <w:bCs/>
          <w:kern w:val="22"/>
          <w:sz w:val="20"/>
          <w:szCs w:val="20"/>
        </w:rPr>
        <w:t xml:space="preserve">Social equity matters in payments for ecosystem services. </w:t>
      </w:r>
      <w:r w:rsidRPr="00AF5B6D">
        <w:rPr>
          <w:bCs/>
          <w:i/>
          <w:iCs/>
          <w:kern w:val="22"/>
          <w:sz w:val="20"/>
          <w:szCs w:val="20"/>
          <w:lang w:val="fr-CA"/>
        </w:rPr>
        <w:t>Bioscience</w:t>
      </w:r>
      <w:r w:rsidRPr="00AF5B6D">
        <w:rPr>
          <w:bCs/>
          <w:kern w:val="22"/>
          <w:sz w:val="20"/>
          <w:szCs w:val="20"/>
          <w:lang w:val="fr-CA"/>
        </w:rPr>
        <w:t xml:space="preserve"> 64(11) 1027-1036.</w:t>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szCs w:val="22"/>
          <w:lang w:val="fr-CA" w:eastAsia="ja-JP" w:bidi="th-TH"/>
        </w:rPr>
      </w:pPr>
      <w:r w:rsidRPr="00AF5B6D">
        <w:rPr>
          <w:kern w:val="22"/>
          <w:szCs w:val="22"/>
          <w:lang w:val="fr-CA" w:eastAsia="ja-JP" w:bidi="th-TH"/>
        </w:rPr>
        <w:t>La bonne gouvernance signifie que les impact</w:t>
      </w:r>
      <w:r>
        <w:rPr>
          <w:kern w:val="22"/>
          <w:szCs w:val="22"/>
          <w:lang w:val="fr-CA" w:eastAsia="ja-JP" w:bidi="th-TH"/>
        </w:rPr>
        <w:t>s négatifs éventuels</w:t>
      </w:r>
      <w:r w:rsidRPr="00AF5B6D">
        <w:rPr>
          <w:kern w:val="22"/>
          <w:szCs w:val="22"/>
          <w:lang w:val="fr-CA" w:eastAsia="ja-JP" w:bidi="th-TH"/>
        </w:rPr>
        <w:t>, surtout sur le bien-être humain des peuples vulnérable</w:t>
      </w:r>
      <w:r>
        <w:rPr>
          <w:kern w:val="22"/>
          <w:szCs w:val="22"/>
          <w:lang w:val="fr-CA" w:eastAsia="ja-JP" w:bidi="th-TH"/>
        </w:rPr>
        <w:t>s</w:t>
      </w:r>
      <w:r w:rsidRPr="00AF5B6D">
        <w:rPr>
          <w:kern w:val="22"/>
          <w:szCs w:val="22"/>
          <w:lang w:val="fr-CA" w:eastAsia="ja-JP" w:bidi="th-TH"/>
        </w:rPr>
        <w:t xml:space="preserve"> dépendant des ressources</w:t>
      </w:r>
      <w:r>
        <w:rPr>
          <w:kern w:val="22"/>
          <w:szCs w:val="22"/>
          <w:lang w:val="fr-CA" w:eastAsia="ja-JP" w:bidi="th-TH"/>
        </w:rPr>
        <w:t xml:space="preserve"> naturelles, sont évalués, surveillé</w:t>
      </w:r>
      <w:r w:rsidRPr="00AF5B6D">
        <w:rPr>
          <w:kern w:val="22"/>
          <w:szCs w:val="22"/>
          <w:lang w:val="fr-CA" w:eastAsia="ja-JP" w:bidi="th-TH"/>
        </w:rPr>
        <w:t>s et évités ou atténués, et que les impact</w:t>
      </w:r>
      <w:r>
        <w:rPr>
          <w:kern w:val="22"/>
          <w:szCs w:val="22"/>
          <w:lang w:val="fr-CA" w:eastAsia="ja-JP" w:bidi="th-TH"/>
        </w:rPr>
        <w:t>s</w:t>
      </w:r>
      <w:r w:rsidRPr="00AF5B6D">
        <w:rPr>
          <w:kern w:val="22"/>
          <w:szCs w:val="22"/>
          <w:lang w:val="fr-CA" w:eastAsia="ja-JP" w:bidi="th-TH"/>
        </w:rPr>
        <w:t xml:space="preserve"> positifs sont améliorés. Le mode de gouv</w:t>
      </w:r>
      <w:r>
        <w:rPr>
          <w:kern w:val="22"/>
          <w:szCs w:val="22"/>
          <w:lang w:val="fr-CA" w:eastAsia="ja-JP" w:bidi="th-TH"/>
        </w:rPr>
        <w:t>ernance et les dispositions concernant</w:t>
      </w:r>
      <w:r w:rsidRPr="00AF5B6D">
        <w:rPr>
          <w:kern w:val="22"/>
          <w:szCs w:val="22"/>
          <w:lang w:val="fr-CA" w:eastAsia="ja-JP" w:bidi="th-TH"/>
        </w:rPr>
        <w:t xml:space="preserve"> la prise de décisions et l’application des décisions doi</w:t>
      </w:r>
      <w:r>
        <w:rPr>
          <w:kern w:val="22"/>
          <w:szCs w:val="22"/>
          <w:lang w:val="fr-CA" w:eastAsia="ja-JP" w:bidi="th-TH"/>
        </w:rPr>
        <w:t>ven</w:t>
      </w:r>
      <w:r w:rsidRPr="00AF5B6D">
        <w:rPr>
          <w:kern w:val="22"/>
          <w:szCs w:val="22"/>
          <w:lang w:val="fr-CA" w:eastAsia="ja-JP" w:bidi="th-TH"/>
        </w:rPr>
        <w:t>t être adapté</w:t>
      </w:r>
      <w:r>
        <w:rPr>
          <w:kern w:val="22"/>
          <w:szCs w:val="22"/>
          <w:lang w:val="fr-CA" w:eastAsia="ja-JP" w:bidi="th-TH"/>
        </w:rPr>
        <w:t>s</w:t>
      </w:r>
      <w:r w:rsidRPr="00AF5B6D">
        <w:rPr>
          <w:kern w:val="22"/>
          <w:szCs w:val="22"/>
          <w:lang w:val="fr-CA" w:eastAsia="ja-JP" w:bidi="th-TH"/>
        </w:rPr>
        <w:t xml:space="preserve"> au contexte précis de manière à ce que tous les détenteurs de d</w:t>
      </w:r>
      <w:r>
        <w:rPr>
          <w:kern w:val="22"/>
          <w:szCs w:val="22"/>
          <w:lang w:val="fr-CA" w:eastAsia="ja-JP" w:bidi="th-TH"/>
        </w:rPr>
        <w:t>roits et parties prenantes concern</w:t>
      </w:r>
      <w:r w:rsidRPr="00AF5B6D">
        <w:rPr>
          <w:kern w:val="22"/>
          <w:szCs w:val="22"/>
          <w:lang w:val="fr-CA" w:eastAsia="ja-JP" w:bidi="th-TH"/>
        </w:rPr>
        <w:t xml:space="preserve">és puissent participer </w:t>
      </w:r>
      <w:r>
        <w:rPr>
          <w:kern w:val="22"/>
          <w:szCs w:val="22"/>
          <w:lang w:val="fr-CA" w:eastAsia="ja-JP" w:bidi="th-TH"/>
        </w:rPr>
        <w:t>de manière efficace</w:t>
      </w:r>
      <w:r w:rsidRPr="00AF5B6D">
        <w:rPr>
          <w:kern w:val="22"/>
          <w:szCs w:val="22"/>
          <w:lang w:val="fr-CA" w:eastAsia="ja-JP" w:bidi="th-TH"/>
        </w:rPr>
        <w:t>.</w:t>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iCs/>
          <w:kern w:val="22"/>
          <w:lang w:val="fr-CA" w:eastAsia="ja-JP" w:bidi="th-TH"/>
        </w:rPr>
      </w:pPr>
      <w:r w:rsidRPr="00AF5B6D">
        <w:rPr>
          <w:iCs/>
          <w:kern w:val="22"/>
          <w:lang w:val="fr-CA" w:eastAsia="ja-JP" w:bidi="th-TH"/>
        </w:rPr>
        <w:t>Les modèles de gouvernance efficaces et équitables des aires protégées et conservé</w:t>
      </w:r>
      <w:r>
        <w:rPr>
          <w:iCs/>
          <w:kern w:val="22"/>
          <w:lang w:val="fr-CA" w:eastAsia="ja-JP" w:bidi="th-TH"/>
        </w:rPr>
        <w:t>e</w:t>
      </w:r>
      <w:r w:rsidRPr="00AF5B6D">
        <w:rPr>
          <w:iCs/>
          <w:kern w:val="22"/>
          <w:lang w:val="fr-CA" w:eastAsia="ja-JP" w:bidi="th-TH"/>
        </w:rPr>
        <w:t>s peuvent comprendre les éléments suivants :</w:t>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810"/>
        <w:rPr>
          <w:rFonts w:cs="Times New Roman"/>
          <w:kern w:val="22"/>
          <w:lang w:val="fr-CA" w:eastAsia="ja-JP" w:bidi="th-TH"/>
        </w:rPr>
      </w:pPr>
      <w:r w:rsidRPr="00AF5B6D">
        <w:rPr>
          <w:rFonts w:cs="Times New Roman"/>
          <w:kern w:val="22"/>
          <w:lang w:val="fr-CA" w:eastAsia="ja-JP" w:bidi="th-TH"/>
        </w:rPr>
        <w:t xml:space="preserve">Des procédures et des mécanismes pertinents pour </w:t>
      </w:r>
      <w:r>
        <w:rPr>
          <w:rFonts w:cs="Times New Roman"/>
          <w:kern w:val="22"/>
          <w:lang w:val="fr-CA" w:eastAsia="ja-JP" w:bidi="th-TH"/>
        </w:rPr>
        <w:t xml:space="preserve">assurer </w:t>
      </w:r>
      <w:r w:rsidRPr="00AF5B6D">
        <w:rPr>
          <w:rFonts w:cs="Times New Roman"/>
          <w:kern w:val="22"/>
          <w:lang w:val="fr-CA" w:eastAsia="ja-JP" w:bidi="th-TH"/>
        </w:rPr>
        <w:t xml:space="preserve">la participation entière et active des </w:t>
      </w:r>
      <w:r>
        <w:rPr>
          <w:rFonts w:cs="Times New Roman"/>
          <w:kern w:val="22"/>
          <w:lang w:val="fr-CA" w:eastAsia="ja-JP" w:bidi="th-TH"/>
        </w:rPr>
        <w:t>peuples</w:t>
      </w:r>
      <w:r w:rsidRPr="00AF5B6D">
        <w:rPr>
          <w:rFonts w:cs="Times New Roman"/>
          <w:kern w:val="22"/>
          <w:lang w:val="fr-CA" w:eastAsia="ja-JP" w:bidi="th-TH"/>
        </w:rPr>
        <w:t xml:space="preserve"> autochtones et des communautés locales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0"/>
      </w:r>
      <w:r>
        <w:rPr>
          <w:rFonts w:cs="Times New Roman"/>
          <w:kern w:val="22"/>
          <w:lang w:val="fr-CA" w:eastAsia="ja-JP" w:bidi="th-TH"/>
        </w:rPr>
        <w:t>, en</w:t>
      </w:r>
      <w:r w:rsidRPr="008C7869">
        <w:rPr>
          <w:rFonts w:cs="Times New Roman"/>
          <w:kern w:val="22"/>
          <w:lang w:val="fr-CA" w:eastAsia="ja-JP" w:bidi="th-TH"/>
        </w:rPr>
        <w:t xml:space="preserve"> </w:t>
      </w:r>
      <w:r w:rsidRPr="00AF5B6D">
        <w:rPr>
          <w:rFonts w:cs="Times New Roman"/>
          <w:kern w:val="22"/>
          <w:lang w:val="fr-CA" w:eastAsia="ja-JP" w:bidi="th-TH"/>
        </w:rPr>
        <w:t>garantissant l’égalité entre l</w:t>
      </w:r>
      <w:r>
        <w:rPr>
          <w:rFonts w:cs="Times New Roman"/>
          <w:kern w:val="22"/>
          <w:lang w:val="fr-CA" w:eastAsia="ja-JP" w:bidi="th-TH"/>
        </w:rPr>
        <w:t>es sexes dans le respect intégral</w:t>
      </w:r>
      <w:r w:rsidRPr="00AF5B6D">
        <w:rPr>
          <w:rFonts w:cs="Times New Roman"/>
          <w:kern w:val="22"/>
          <w:lang w:val="fr-CA" w:eastAsia="ja-JP" w:bidi="th-TH"/>
        </w:rPr>
        <w:t xml:space="preserve"> de leurs droits et la reconnaissance de leurs responsabilités,</w:t>
      </w:r>
      <w:r>
        <w:rPr>
          <w:rFonts w:cs="Times New Roman"/>
          <w:kern w:val="22"/>
          <w:lang w:val="fr-CA" w:eastAsia="ja-JP" w:bidi="th-TH"/>
        </w:rPr>
        <w:t xml:space="preserve"> conformément aux dispositions de la législation nationale</w:t>
      </w:r>
      <w:r w:rsidRPr="00AF5B6D">
        <w:rPr>
          <w:rFonts w:cs="Times New Roman"/>
          <w:kern w:val="22"/>
          <w:lang w:val="fr-CA" w:eastAsia="ja-JP" w:bidi="th-TH"/>
        </w:rPr>
        <w:t xml:space="preserve"> et </w:t>
      </w:r>
      <w:r>
        <w:rPr>
          <w:rFonts w:cs="Times New Roman"/>
          <w:kern w:val="22"/>
          <w:lang w:val="fr-CA" w:eastAsia="ja-JP" w:bidi="th-TH"/>
        </w:rPr>
        <w:t>en assur</w:t>
      </w:r>
      <w:r w:rsidRPr="00AF5B6D">
        <w:rPr>
          <w:rFonts w:cs="Times New Roman"/>
          <w:kern w:val="22"/>
          <w:lang w:val="fr-CA" w:eastAsia="ja-JP" w:bidi="th-TH"/>
        </w:rPr>
        <w:t xml:space="preserve">ant </w:t>
      </w:r>
      <w:r>
        <w:rPr>
          <w:rFonts w:cs="Times New Roman"/>
          <w:kern w:val="22"/>
          <w:lang w:val="fr-CA" w:eastAsia="ja-JP" w:bidi="th-TH"/>
        </w:rPr>
        <w:t>également une</w:t>
      </w:r>
      <w:r w:rsidRPr="00AF5B6D">
        <w:rPr>
          <w:rFonts w:cs="Times New Roman"/>
          <w:kern w:val="22"/>
          <w:lang w:val="fr-CA" w:eastAsia="ja-JP" w:bidi="th-TH"/>
        </w:rPr>
        <w:t xml:space="preserve"> représentation lég</w:t>
      </w:r>
      <w:r>
        <w:rPr>
          <w:rFonts w:cs="Times New Roman"/>
          <w:kern w:val="22"/>
          <w:lang w:val="fr-CA" w:eastAsia="ja-JP" w:bidi="th-TH"/>
        </w:rPr>
        <w:t>itime, y compris la création</w:t>
      </w:r>
      <w:r w:rsidRPr="00AF5B6D">
        <w:rPr>
          <w:rFonts w:cs="Times New Roman"/>
          <w:kern w:val="22"/>
          <w:lang w:val="fr-CA" w:eastAsia="ja-JP" w:bidi="th-TH"/>
        </w:rPr>
        <w:t>, la gouvernance, la planification, l</w:t>
      </w:r>
      <w:r>
        <w:rPr>
          <w:rFonts w:cs="Times New Roman"/>
          <w:kern w:val="22"/>
          <w:lang w:val="fr-CA" w:eastAsia="ja-JP" w:bidi="th-TH"/>
        </w:rPr>
        <w:t>e suivi et l’établissement des rapports</w:t>
      </w:r>
      <w:r w:rsidRPr="00AF5B6D">
        <w:rPr>
          <w:rFonts w:cs="Times New Roman"/>
          <w:kern w:val="22"/>
          <w:lang w:val="fr-CA" w:eastAsia="ja-JP" w:bidi="th-TH"/>
        </w:rPr>
        <w:t xml:space="preserve"> sur les aires protégées et conservées </w:t>
      </w:r>
      <w:r>
        <w:rPr>
          <w:rFonts w:cs="Times New Roman"/>
          <w:kern w:val="22"/>
          <w:lang w:val="fr-CA" w:eastAsia="ja-JP" w:bidi="th-TH"/>
        </w:rPr>
        <w:t>dans</w:t>
      </w:r>
      <w:r w:rsidRPr="00AF5B6D">
        <w:rPr>
          <w:rFonts w:cs="Times New Roman"/>
          <w:kern w:val="22"/>
          <w:lang w:val="fr-CA" w:eastAsia="ja-JP" w:bidi="th-TH"/>
        </w:rPr>
        <w:t xml:space="preserve"> leurs territoires traditionnels (terres et eaux);</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1"/>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sidRPr="00AF5B6D">
        <w:rPr>
          <w:rFonts w:eastAsia="Batang" w:cs="Times New Roman"/>
          <w:bCs w:val="0"/>
          <w:iCs/>
          <w:snapToGrid w:val="0"/>
          <w:kern w:val="22"/>
          <w:lang w:val="fr-CA"/>
        </w:rPr>
        <w:t xml:space="preserve">Des procédures et des mécanismes pertinents pour </w:t>
      </w:r>
      <w:r>
        <w:rPr>
          <w:rFonts w:eastAsia="Batang" w:cs="Times New Roman"/>
          <w:bCs w:val="0"/>
          <w:iCs/>
          <w:snapToGrid w:val="0"/>
          <w:kern w:val="22"/>
          <w:lang w:val="fr-CA"/>
        </w:rPr>
        <w:t>assurer une participation et/ou une coordination efficace</w:t>
      </w:r>
      <w:r w:rsidRPr="00AF5B6D">
        <w:rPr>
          <w:rFonts w:eastAsia="Batang" w:cs="Times New Roman"/>
          <w:bCs w:val="0"/>
          <w:iCs/>
          <w:snapToGrid w:val="0"/>
          <w:kern w:val="22"/>
          <w:lang w:val="fr-CA"/>
        </w:rPr>
        <w:t xml:space="preserve"> avec les parties prenantes;</w:t>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procédures et </w:t>
      </w:r>
      <w:r>
        <w:rPr>
          <w:rFonts w:cs="Times New Roman"/>
          <w:kern w:val="22"/>
          <w:lang w:val="fr-CA" w:eastAsia="ja-JP" w:bidi="th-TH"/>
        </w:rPr>
        <w:t xml:space="preserve">des </w:t>
      </w:r>
      <w:r w:rsidRPr="00AF5B6D">
        <w:rPr>
          <w:rFonts w:cs="Times New Roman"/>
          <w:kern w:val="22"/>
          <w:lang w:val="fr-CA" w:eastAsia="ja-JP" w:bidi="th-TH"/>
        </w:rPr>
        <w:t xml:space="preserve">mécanismes pertinents pour reconnaître et accommoder </w:t>
      </w:r>
      <w:r>
        <w:rPr>
          <w:rFonts w:cs="Times New Roman"/>
          <w:kern w:val="22"/>
          <w:lang w:val="fr-CA" w:eastAsia="ja-JP" w:bidi="th-TH"/>
        </w:rPr>
        <w:t>les modes d’occupation</w:t>
      </w:r>
      <w:r w:rsidRPr="00AF5B6D">
        <w:rPr>
          <w:rFonts w:cs="Times New Roman"/>
          <w:kern w:val="22"/>
          <w:lang w:val="fr-CA" w:eastAsia="ja-JP" w:bidi="th-TH"/>
        </w:rPr>
        <w:t xml:space="preserve"> et </w:t>
      </w:r>
      <w:r>
        <w:rPr>
          <w:rFonts w:cs="Times New Roman"/>
          <w:kern w:val="22"/>
          <w:lang w:val="fr-CA" w:eastAsia="ja-JP" w:bidi="th-TH"/>
        </w:rPr>
        <w:t xml:space="preserve">les systèmes </w:t>
      </w:r>
      <w:r w:rsidRPr="00AF5B6D">
        <w:rPr>
          <w:rFonts w:cs="Times New Roman"/>
          <w:kern w:val="22"/>
          <w:lang w:val="fr-CA" w:eastAsia="ja-JP" w:bidi="th-TH"/>
        </w:rPr>
        <w:t>de gouvernance cout</w:t>
      </w:r>
      <w:r>
        <w:rPr>
          <w:rFonts w:cs="Times New Roman"/>
          <w:kern w:val="22"/>
          <w:lang w:val="fr-CA" w:eastAsia="ja-JP" w:bidi="th-TH"/>
        </w:rPr>
        <w:t>umiers dans les aires protégées</w:t>
      </w:r>
      <w:r w:rsidRPr="00AF5B6D">
        <w:rPr>
          <w:rFonts w:cs="Times New Roman"/>
          <w:kern w:val="22"/>
          <w:lang w:val="fr-CA" w:eastAsia="ja-JP" w:bidi="th-TH"/>
        </w:rPr>
        <w:t>,</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2"/>
      </w:r>
      <w:r w:rsidRPr="00AF5B6D">
        <w:rPr>
          <w:rFonts w:cs="Times New Roman"/>
          <w:kern w:val="22"/>
          <w:lang w:val="fr-CA" w:eastAsia="ja-JP" w:bidi="th-TH"/>
        </w:rPr>
        <w:t xml:space="preserve"> y compris les pratiques coutumières et l’utilisation durable coutumière, conformément au Plan d’action sur l’</w:t>
      </w:r>
      <w:r w:rsidRPr="00AF5B6D">
        <w:rPr>
          <w:rFonts w:eastAsia="Times New Roman" w:cs="Times New Roman"/>
          <w:kern w:val="22"/>
          <w:lang w:val="fr-CA" w:eastAsia="ja-JP" w:bidi="th-TH"/>
        </w:rPr>
        <w:t>utilisation</w:t>
      </w:r>
      <w:r w:rsidRPr="00AF5B6D">
        <w:rPr>
          <w:rFonts w:cs="Times New Roman"/>
          <w:kern w:val="22"/>
          <w:lang w:val="fr-CA" w:eastAsia="ja-JP" w:bidi="th-TH"/>
        </w:rPr>
        <w:t xml:space="preserve"> coutumière durable;</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3"/>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lastRenderedPageBreak/>
        <w:t xml:space="preserve">Des mécanismes pertinents </w:t>
      </w:r>
      <w:r>
        <w:rPr>
          <w:rFonts w:cs="Times New Roman"/>
          <w:kern w:val="22"/>
          <w:lang w:val="fr-CA" w:eastAsia="ja-JP" w:bidi="th-TH"/>
        </w:rPr>
        <w:t>assurant</w:t>
      </w:r>
      <w:r w:rsidRPr="00AF5B6D">
        <w:rPr>
          <w:rFonts w:cs="Times New Roman"/>
          <w:kern w:val="22"/>
          <w:lang w:val="fr-CA" w:eastAsia="ja-JP" w:bidi="th-TH"/>
        </w:rPr>
        <w:t xml:space="preserve"> la transparence et la responsabilité, tenant c</w:t>
      </w:r>
      <w:r>
        <w:rPr>
          <w:rFonts w:cs="Times New Roman"/>
          <w:kern w:val="22"/>
          <w:lang w:val="fr-CA" w:eastAsia="ja-JP" w:bidi="th-TH"/>
        </w:rPr>
        <w:t>ompte des normes et des bonn</w:t>
      </w:r>
      <w:r w:rsidRPr="00AF5B6D">
        <w:rPr>
          <w:rFonts w:cs="Times New Roman"/>
          <w:kern w:val="22"/>
          <w:lang w:val="fr-CA" w:eastAsia="ja-JP" w:bidi="th-TH"/>
        </w:rPr>
        <w:t>es pratiques convenues à l’échelle internationale;</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4"/>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Des procédures et </w:t>
      </w:r>
      <w:r>
        <w:rPr>
          <w:rFonts w:cs="Times New Roman"/>
          <w:kern w:val="22"/>
          <w:lang w:val="fr-CA" w:eastAsia="ja-JP" w:bidi="th-TH"/>
        </w:rPr>
        <w:t xml:space="preserve">des </w:t>
      </w:r>
      <w:r w:rsidRPr="00AF5B6D">
        <w:rPr>
          <w:rFonts w:cs="Times New Roman"/>
          <w:kern w:val="22"/>
          <w:lang w:val="fr-CA" w:eastAsia="ja-JP" w:bidi="th-TH"/>
        </w:rPr>
        <w:t xml:space="preserve">mécanismes </w:t>
      </w:r>
      <w:r>
        <w:rPr>
          <w:rFonts w:cs="Times New Roman"/>
          <w:kern w:val="22"/>
          <w:lang w:val="fr-CA" w:eastAsia="ja-JP" w:bidi="th-TH"/>
        </w:rPr>
        <w:t>pertinents pour le règlement équitabl</w:t>
      </w:r>
      <w:r w:rsidRPr="00AF5B6D">
        <w:rPr>
          <w:rFonts w:cs="Times New Roman"/>
          <w:kern w:val="22"/>
          <w:lang w:val="fr-CA" w:eastAsia="ja-JP" w:bidi="th-TH"/>
        </w:rPr>
        <w:t>e des conflits et des litiges;</w:t>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D</w:t>
      </w:r>
      <w:r>
        <w:rPr>
          <w:rFonts w:cs="Times New Roman"/>
          <w:kern w:val="22"/>
          <w:lang w:val="fr-CA" w:eastAsia="ja-JP" w:bidi="th-TH"/>
        </w:rPr>
        <w:t xml:space="preserve">es dispositions concernant </w:t>
      </w:r>
      <w:r w:rsidRPr="00AF5B6D">
        <w:rPr>
          <w:rFonts w:cs="Times New Roman"/>
          <w:kern w:val="22"/>
          <w:lang w:val="fr-CA" w:eastAsia="ja-JP" w:bidi="th-TH"/>
        </w:rPr>
        <w:t>le partage équitable des coûts et des avantages, no</w:t>
      </w:r>
      <w:r>
        <w:rPr>
          <w:rFonts w:cs="Times New Roman"/>
          <w:kern w:val="22"/>
          <w:lang w:val="fr-CA" w:eastAsia="ja-JP" w:bidi="th-TH"/>
        </w:rPr>
        <w:t>tamment :</w:t>
      </w:r>
      <w:r w:rsidRPr="00AF5B6D">
        <w:rPr>
          <w:rFonts w:cs="Times New Roman"/>
          <w:kern w:val="22"/>
          <w:lang w:val="fr-CA" w:eastAsia="ja-JP" w:bidi="th-TH"/>
        </w:rPr>
        <w:t xml:space="preserve"> i) </w:t>
      </w:r>
      <w:r>
        <w:rPr>
          <w:rFonts w:cs="Times New Roman"/>
          <w:kern w:val="22"/>
          <w:lang w:val="fr-CA" w:eastAsia="ja-JP" w:bidi="th-TH"/>
        </w:rPr>
        <w:t xml:space="preserve">en </w:t>
      </w:r>
      <w:r w:rsidRPr="00AF5B6D">
        <w:rPr>
          <w:rFonts w:cs="Times New Roman"/>
          <w:kern w:val="22"/>
          <w:lang w:val="fr-CA" w:eastAsia="ja-JP" w:bidi="th-TH"/>
        </w:rPr>
        <w:t>év</w:t>
      </w:r>
      <w:r>
        <w:rPr>
          <w:rFonts w:cs="Times New Roman"/>
          <w:kern w:val="22"/>
          <w:lang w:val="fr-CA" w:eastAsia="ja-JP" w:bidi="th-TH"/>
        </w:rPr>
        <w:t>aluant les coûts et les avantage</w:t>
      </w:r>
      <w:r w:rsidRPr="00AF5B6D">
        <w:rPr>
          <w:rFonts w:cs="Times New Roman"/>
          <w:kern w:val="22"/>
          <w:lang w:val="fr-CA" w:eastAsia="ja-JP" w:bidi="th-TH"/>
        </w:rPr>
        <w:t>s économiques et sociocult</w:t>
      </w:r>
      <w:r>
        <w:rPr>
          <w:rFonts w:cs="Times New Roman"/>
          <w:kern w:val="22"/>
          <w:lang w:val="fr-CA" w:eastAsia="ja-JP" w:bidi="th-TH"/>
        </w:rPr>
        <w:t>urels liés à la création</w:t>
      </w:r>
      <w:r w:rsidRPr="00AF5B6D">
        <w:rPr>
          <w:rFonts w:cs="Times New Roman"/>
          <w:kern w:val="22"/>
          <w:lang w:val="fr-CA" w:eastAsia="ja-JP" w:bidi="th-TH"/>
        </w:rPr>
        <w:t xml:space="preserve"> et</w:t>
      </w:r>
      <w:r>
        <w:rPr>
          <w:rFonts w:cs="Times New Roman"/>
          <w:kern w:val="22"/>
          <w:lang w:val="fr-CA" w:eastAsia="ja-JP" w:bidi="th-TH"/>
        </w:rPr>
        <w:t xml:space="preserve"> la gestion des aires protégées;</w:t>
      </w:r>
      <w:r w:rsidRPr="00AF5B6D">
        <w:rPr>
          <w:rFonts w:cs="Times New Roman"/>
          <w:kern w:val="22"/>
          <w:lang w:val="fr-CA" w:eastAsia="ja-JP" w:bidi="th-TH"/>
        </w:rPr>
        <w:t xml:space="preserve"> ii) en atténuant, en évitant et en compensant les coûts</w:t>
      </w:r>
      <w:r>
        <w:rPr>
          <w:rFonts w:cs="Times New Roman"/>
          <w:kern w:val="22"/>
          <w:lang w:val="fr-CA" w:eastAsia="ja-JP" w:bidi="th-TH"/>
        </w:rPr>
        <w:t xml:space="preserve"> supportés; </w:t>
      </w:r>
      <w:r w:rsidRPr="00AF5B6D">
        <w:rPr>
          <w:rFonts w:cs="Times New Roman"/>
          <w:kern w:val="22"/>
          <w:lang w:val="fr-CA" w:eastAsia="ja-JP" w:bidi="th-TH"/>
        </w:rPr>
        <w:t>iii) en partageant équitablement les avantages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5"/>
      </w:r>
      <w:r>
        <w:rPr>
          <w:rFonts w:cs="Times New Roman"/>
          <w:kern w:val="22"/>
          <w:lang w:val="fr-CA" w:eastAsia="ja-JP" w:bidi="th-TH"/>
        </w:rPr>
        <w:t>,</w:t>
      </w:r>
      <w:r>
        <w:rPr>
          <w:rFonts w:cs="Times New Roman"/>
          <w:kern w:val="22"/>
          <w:vertAlign w:val="superscript"/>
          <w:lang w:val="fr-CA" w:eastAsia="ja-JP" w:bidi="th-TH"/>
        </w:rPr>
        <w:t xml:space="preserve"> </w:t>
      </w:r>
      <w:r>
        <w:rPr>
          <w:rFonts w:cs="Times New Roman"/>
          <w:kern w:val="22"/>
          <w:lang w:val="fr-CA" w:eastAsia="ja-JP" w:bidi="th-TH"/>
        </w:rPr>
        <w:t>selon des</w:t>
      </w:r>
      <w:r w:rsidRPr="00AF5B6D">
        <w:rPr>
          <w:rFonts w:cs="Times New Roman"/>
          <w:kern w:val="22"/>
          <w:lang w:val="fr-CA" w:eastAsia="ja-JP" w:bidi="th-TH"/>
        </w:rPr>
        <w:t xml:space="preserve"> critères convenus entre les détenteurs de droits et les parties prenantes;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6"/>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Des mesures de sauvegarde pour garantir une</w:t>
      </w:r>
      <w:r w:rsidRPr="00AF5B6D">
        <w:rPr>
          <w:rFonts w:cs="Times New Roman"/>
          <w:kern w:val="22"/>
          <w:lang w:val="fr-CA" w:eastAsia="ja-JP" w:bidi="th-TH"/>
        </w:rPr>
        <w:t xml:space="preserve"> mise en œuvre imp</w:t>
      </w:r>
      <w:r>
        <w:rPr>
          <w:rFonts w:cs="Times New Roman"/>
          <w:kern w:val="22"/>
          <w:lang w:val="fr-CA" w:eastAsia="ja-JP" w:bidi="th-TH"/>
        </w:rPr>
        <w:t>artiale et efficace de l’</w:t>
      </w:r>
      <w:r w:rsidR="00670C0C">
        <w:rPr>
          <w:rFonts w:cs="Times New Roman"/>
          <w:kern w:val="22"/>
          <w:lang w:val="fr-CA" w:eastAsia="ja-JP" w:bidi="th-TH"/>
        </w:rPr>
        <w:t>État</w:t>
      </w:r>
      <w:r>
        <w:rPr>
          <w:rFonts w:cs="Times New Roman"/>
          <w:kern w:val="22"/>
          <w:lang w:val="fr-CA" w:eastAsia="ja-JP" w:bidi="th-TH"/>
        </w:rPr>
        <w:t xml:space="preserve"> </w:t>
      </w:r>
      <w:r w:rsidRPr="00AF5B6D">
        <w:rPr>
          <w:rFonts w:cs="Times New Roman"/>
          <w:kern w:val="22"/>
          <w:lang w:val="fr-CA" w:eastAsia="ja-JP" w:bidi="th-TH"/>
        </w:rPr>
        <w:t>de droit;</w:t>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Un système de suivi qui </w:t>
      </w:r>
      <w:r>
        <w:rPr>
          <w:rFonts w:cs="Times New Roman"/>
          <w:kern w:val="22"/>
          <w:lang w:val="fr-CA" w:eastAsia="ja-JP" w:bidi="th-TH"/>
        </w:rPr>
        <w:t>englobe</w:t>
      </w:r>
      <w:r w:rsidRPr="00AF5B6D">
        <w:rPr>
          <w:rFonts w:cs="Times New Roman"/>
          <w:kern w:val="22"/>
          <w:lang w:val="fr-CA" w:eastAsia="ja-JP" w:bidi="th-TH"/>
        </w:rPr>
        <w:t xml:space="preserve"> les enjeux de la gouvernan</w:t>
      </w:r>
      <w:r>
        <w:rPr>
          <w:rFonts w:cs="Times New Roman"/>
          <w:kern w:val="22"/>
          <w:lang w:val="fr-CA" w:eastAsia="ja-JP" w:bidi="th-TH"/>
        </w:rPr>
        <w:t>ce, y compris les répercussions s</w:t>
      </w:r>
      <w:r w:rsidRPr="00AF5B6D">
        <w:rPr>
          <w:rFonts w:cs="Times New Roman"/>
          <w:kern w:val="22"/>
          <w:lang w:val="fr-CA" w:eastAsia="ja-JP" w:bidi="th-TH"/>
        </w:rPr>
        <w:t>ur le bien-être des peuples autochtones et des communautés locales;</w:t>
      </w:r>
    </w:p>
    <w:p w:rsidR="009F6935" w:rsidRPr="00AF5B6D" w:rsidRDefault="009F6935" w:rsidP="00004EAF">
      <w:pPr>
        <w:pStyle w:val="Para10"/>
        <w:numPr>
          <w:ilvl w:val="0"/>
          <w:numId w:val="38"/>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Une compatibilité avec les</w:t>
      </w:r>
      <w:r w:rsidRPr="00AF5B6D">
        <w:rPr>
          <w:rFonts w:cs="Times New Roman"/>
          <w:kern w:val="22"/>
          <w:lang w:val="fr-CA" w:eastAsia="ja-JP" w:bidi="th-TH"/>
        </w:rPr>
        <w:t xml:space="preserve"> articles 8 j) et 10 c) et </w:t>
      </w:r>
      <w:r>
        <w:rPr>
          <w:rFonts w:cs="Times New Roman"/>
          <w:kern w:val="22"/>
          <w:lang w:val="fr-CA" w:eastAsia="ja-JP" w:bidi="th-TH"/>
        </w:rPr>
        <w:t>les</w:t>
      </w:r>
      <w:r w:rsidRPr="00AF5B6D">
        <w:rPr>
          <w:rFonts w:cs="Times New Roman"/>
          <w:kern w:val="22"/>
          <w:lang w:val="fr-CA" w:eastAsia="ja-JP" w:bidi="th-TH"/>
        </w:rPr>
        <w:t xml:space="preserve"> dispositions connexes</w:t>
      </w:r>
      <w:r>
        <w:rPr>
          <w:rFonts w:cs="Times New Roman"/>
          <w:kern w:val="22"/>
          <w:lang w:val="fr-CA" w:eastAsia="ja-JP" w:bidi="th-TH"/>
        </w:rPr>
        <w:t xml:space="preserve"> de la Convention</w:t>
      </w:r>
      <w:r w:rsidRPr="00AF5B6D">
        <w:rPr>
          <w:rFonts w:cs="Times New Roman"/>
          <w:kern w:val="22"/>
          <w:lang w:val="fr-CA" w:eastAsia="ja-JP" w:bidi="th-TH"/>
        </w:rPr>
        <w:t xml:space="preserve">, </w:t>
      </w:r>
      <w:r>
        <w:rPr>
          <w:rFonts w:cs="Times New Roman"/>
          <w:kern w:val="22"/>
          <w:lang w:val="fr-CA" w:eastAsia="ja-JP" w:bidi="th-TH"/>
        </w:rPr>
        <w:t>et avec les principes et les</w:t>
      </w:r>
      <w:r w:rsidRPr="00AF5B6D">
        <w:rPr>
          <w:rFonts w:cs="Times New Roman"/>
          <w:kern w:val="22"/>
          <w:lang w:val="fr-CA" w:eastAsia="ja-JP" w:bidi="th-TH"/>
        </w:rPr>
        <w:t xml:space="preserve"> orientations, notamment en respect</w:t>
      </w:r>
      <w:r>
        <w:rPr>
          <w:rFonts w:cs="Times New Roman"/>
          <w:kern w:val="22"/>
          <w:lang w:val="fr-CA" w:eastAsia="ja-JP" w:bidi="th-TH"/>
        </w:rPr>
        <w:t>ant, en protégeant et en préserv</w:t>
      </w:r>
      <w:r w:rsidRPr="00AF5B6D">
        <w:rPr>
          <w:rFonts w:cs="Times New Roman"/>
          <w:kern w:val="22"/>
          <w:lang w:val="fr-CA" w:eastAsia="ja-JP" w:bidi="th-TH"/>
        </w:rPr>
        <w:t>ant les connaissances traditionnelles des peuples autochtones et des communautés locales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7"/>
      </w:r>
      <w:r w:rsidRPr="00AF5B6D">
        <w:rPr>
          <w:rFonts w:cs="Times New Roman"/>
          <w:kern w:val="22"/>
          <w:lang w:val="fr-CA" w:eastAsia="ja-JP" w:bidi="th-TH"/>
        </w:rPr>
        <w:t>, e</w:t>
      </w:r>
      <w:r>
        <w:rPr>
          <w:rFonts w:cs="Times New Roman"/>
          <w:kern w:val="22"/>
          <w:lang w:val="fr-CA" w:eastAsia="ja-JP" w:bidi="th-TH"/>
        </w:rPr>
        <w:t>t en prenant dûment en considération l’</w:t>
      </w:r>
      <w:r w:rsidRPr="00AF5B6D">
        <w:rPr>
          <w:rFonts w:cs="Times New Roman"/>
          <w:kern w:val="22"/>
          <w:lang w:val="fr-CA" w:eastAsia="ja-JP" w:bidi="th-TH"/>
        </w:rPr>
        <w:t>utilisation coutumière durable de la diversité biologique.</w:t>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lang w:val="fr-CA" w:eastAsia="ja-JP" w:bidi="th-TH"/>
        </w:rPr>
      </w:pPr>
      <w:r>
        <w:rPr>
          <w:kern w:val="22"/>
          <w:lang w:val="fr-CA" w:eastAsia="ja-JP" w:bidi="th-TH"/>
        </w:rPr>
        <w:t>M</w:t>
      </w:r>
      <w:r w:rsidRPr="00AF5B6D">
        <w:rPr>
          <w:kern w:val="22"/>
          <w:lang w:val="fr-CA" w:eastAsia="ja-JP" w:bidi="th-TH"/>
        </w:rPr>
        <w:t xml:space="preserve">esures proposées que les Parties pourraient </w:t>
      </w:r>
      <w:r>
        <w:rPr>
          <w:kern w:val="22"/>
          <w:lang w:val="fr-CA" w:eastAsia="ja-JP" w:bidi="th-TH"/>
        </w:rPr>
        <w:t>prendre pour faciliter et appuyer d</w:t>
      </w:r>
      <w:r w:rsidRPr="00AF5B6D">
        <w:rPr>
          <w:kern w:val="22"/>
          <w:lang w:val="fr-CA" w:eastAsia="ja-JP" w:bidi="th-TH"/>
        </w:rPr>
        <w:t>es modèles de gouvernance efficaces et équitables</w:t>
      </w:r>
      <w:r>
        <w:rPr>
          <w:kern w:val="22"/>
          <w:lang w:val="fr-CA" w:eastAsia="ja-JP" w:bidi="th-TH"/>
        </w:rPr>
        <w:t>,</w:t>
      </w:r>
      <w:r w:rsidRPr="00AF5B6D">
        <w:rPr>
          <w:kern w:val="22"/>
          <w:lang w:val="fr-CA" w:eastAsia="ja-JP" w:bidi="th-TH"/>
        </w:rPr>
        <w:t xml:space="preserve"> adaptés à leur contexte pour les aires protégées dans le cadre de leur mandat :</w:t>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Réaliser, en consultation avec les détenteurs de droits et les parties prenantes concernés, un examen des politiques </w:t>
      </w:r>
      <w:r>
        <w:rPr>
          <w:rFonts w:cs="Times New Roman"/>
          <w:kern w:val="22"/>
          <w:lang w:val="fr-CA" w:eastAsia="ja-JP" w:bidi="th-TH"/>
        </w:rPr>
        <w:t xml:space="preserve">générales </w:t>
      </w:r>
      <w:r w:rsidRPr="00AF5B6D">
        <w:rPr>
          <w:rFonts w:cs="Times New Roman"/>
          <w:kern w:val="22"/>
          <w:lang w:val="fr-CA" w:eastAsia="ja-JP" w:bidi="th-TH"/>
        </w:rPr>
        <w:t>et des lois sur les</w:t>
      </w:r>
      <w:r>
        <w:rPr>
          <w:rFonts w:cs="Times New Roman"/>
          <w:kern w:val="22"/>
          <w:lang w:val="fr-CA" w:eastAsia="ja-JP" w:bidi="th-TH"/>
        </w:rPr>
        <w:t xml:space="preserve"> aires protégées au regard des</w:t>
      </w:r>
      <w:r w:rsidRPr="00AF5B6D">
        <w:rPr>
          <w:rFonts w:cs="Times New Roman"/>
          <w:kern w:val="22"/>
          <w:lang w:val="fr-CA" w:eastAsia="ja-JP" w:bidi="th-TH"/>
        </w:rPr>
        <w:t xml:space="preserve"> principes de bonne gouvernance, y compris l’équité, en tenant compte des autres normes et orientations pertinentes</w:t>
      </w:r>
      <w:r>
        <w:rPr>
          <w:rFonts w:cs="Times New Roman"/>
          <w:kern w:val="22"/>
          <w:lang w:val="fr-CA" w:eastAsia="ja-JP" w:bidi="th-TH"/>
        </w:rPr>
        <w:t xml:space="preserve"> </w:t>
      </w:r>
      <w:r w:rsidRPr="00AF5B6D">
        <w:rPr>
          <w:rFonts w:cs="Times New Roman"/>
          <w:kern w:val="22"/>
          <w:lang w:val="fr-CA" w:eastAsia="ja-JP" w:bidi="th-TH"/>
        </w:rPr>
        <w:t>convenu</w:t>
      </w:r>
      <w:r>
        <w:rPr>
          <w:rFonts w:cs="Times New Roman"/>
          <w:kern w:val="22"/>
          <w:lang w:val="fr-CA" w:eastAsia="ja-JP" w:bidi="th-TH"/>
        </w:rPr>
        <w:t>e</w:t>
      </w:r>
      <w:r w:rsidRPr="00AF5B6D">
        <w:rPr>
          <w:rFonts w:cs="Times New Roman"/>
          <w:kern w:val="22"/>
          <w:lang w:val="fr-CA" w:eastAsia="ja-JP" w:bidi="th-TH"/>
        </w:rPr>
        <w:t xml:space="preserve">s à l’échelle </w:t>
      </w:r>
      <w:r w:rsidRPr="00AF5B6D">
        <w:rPr>
          <w:rFonts w:eastAsia="Times New Roman" w:cs="Times New Roman"/>
          <w:kern w:val="22"/>
          <w:lang w:val="fr-CA" w:eastAsia="ja-JP" w:bidi="th-TH"/>
        </w:rPr>
        <w:t>internationale</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8"/>
      </w:r>
      <w:r w:rsidRPr="006207F9">
        <w:rPr>
          <w:rFonts w:cs="Times New Roman"/>
          <w:kern w:val="22"/>
          <w:lang w:val="fr-CA" w:eastAsia="ja-JP" w:bidi="th-TH"/>
        </w:rPr>
        <w:t>.</w:t>
      </w:r>
      <w:r w:rsidRPr="00AF5B6D">
        <w:rPr>
          <w:rFonts w:cs="Times New Roman"/>
          <w:kern w:val="22"/>
          <w:lang w:val="fr-CA" w:eastAsia="ja-JP" w:bidi="th-TH"/>
        </w:rPr>
        <w:t xml:space="preserve"> Cet examen pourrait être réalisé dans le cadre d’une évaluation de la gouvernance à l’échelle du système;</w:t>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Favoriser et réaliser des évaluations de la gouvernance des aires dans </w:t>
      </w:r>
      <w:r>
        <w:rPr>
          <w:rFonts w:cs="Times New Roman"/>
          <w:kern w:val="22"/>
          <w:lang w:val="fr-CA" w:eastAsia="ja-JP" w:bidi="th-TH"/>
        </w:rPr>
        <w:t xml:space="preserve">un contexte de </w:t>
      </w:r>
      <w:r w:rsidRPr="00AF5B6D">
        <w:rPr>
          <w:rFonts w:cs="Times New Roman"/>
          <w:kern w:val="22"/>
          <w:lang w:val="fr-CA" w:eastAsia="ja-JP" w:bidi="th-TH"/>
        </w:rPr>
        <w:t xml:space="preserve">processus </w:t>
      </w:r>
      <w:r>
        <w:rPr>
          <w:rFonts w:cs="Times New Roman"/>
          <w:kern w:val="22"/>
          <w:lang w:val="fr-CA" w:eastAsia="ja-JP" w:bidi="th-TH"/>
        </w:rPr>
        <w:t xml:space="preserve">collaboratif </w:t>
      </w:r>
      <w:r w:rsidRPr="00AF5B6D">
        <w:rPr>
          <w:rFonts w:cs="Times New Roman"/>
          <w:kern w:val="22"/>
          <w:lang w:val="fr-CA" w:eastAsia="ja-JP" w:bidi="th-TH"/>
        </w:rPr>
        <w:t xml:space="preserve">à plusieurs </w:t>
      </w:r>
      <w:r>
        <w:rPr>
          <w:rFonts w:cs="Times New Roman"/>
          <w:kern w:val="22"/>
          <w:lang w:val="fr-CA" w:eastAsia="ja-JP" w:bidi="th-TH"/>
        </w:rPr>
        <w:t xml:space="preserve">parties </w:t>
      </w:r>
      <w:r w:rsidRPr="00AF5B6D">
        <w:rPr>
          <w:rFonts w:cs="Times New Roman"/>
          <w:kern w:val="22"/>
          <w:lang w:val="fr-CA" w:eastAsia="ja-JP" w:bidi="th-TH"/>
        </w:rPr>
        <w:t xml:space="preserve">prenantes, prendre des mesures pour </w:t>
      </w:r>
      <w:r>
        <w:rPr>
          <w:rFonts w:cs="Times New Roman"/>
          <w:kern w:val="22"/>
          <w:lang w:val="fr-CA" w:eastAsia="ja-JP" w:bidi="th-TH"/>
        </w:rPr>
        <w:t xml:space="preserve">apporter des </w:t>
      </w:r>
      <w:r w:rsidRPr="00AF5B6D">
        <w:rPr>
          <w:rFonts w:cs="Times New Roman"/>
          <w:kern w:val="22"/>
          <w:lang w:val="fr-CA" w:eastAsia="ja-JP" w:bidi="th-TH"/>
        </w:rPr>
        <w:t>améliorations dans les aires et tirer des enseignements pour les politiques;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69"/>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Adapter les politiques et les lois sur les aires protégé</w:t>
      </w:r>
      <w:r>
        <w:rPr>
          <w:rFonts w:cs="Times New Roman"/>
          <w:kern w:val="22"/>
          <w:lang w:val="fr-CA" w:eastAsia="ja-JP" w:bidi="th-TH"/>
        </w:rPr>
        <w:t>es concernant leur création</w:t>
      </w:r>
      <w:r w:rsidRPr="00AF5B6D">
        <w:rPr>
          <w:rFonts w:cs="Times New Roman"/>
          <w:kern w:val="22"/>
          <w:lang w:val="fr-CA" w:eastAsia="ja-JP" w:bidi="th-TH"/>
        </w:rPr>
        <w:t>, leur gouvernance, leur pl</w:t>
      </w:r>
      <w:r>
        <w:rPr>
          <w:rFonts w:cs="Times New Roman"/>
          <w:kern w:val="22"/>
          <w:lang w:val="fr-CA" w:eastAsia="ja-JP" w:bidi="th-TH"/>
        </w:rPr>
        <w:t>anification, leur gestion et l’établissement de rapports, selon qu’il convient, sur la base</w:t>
      </w:r>
      <w:r w:rsidRPr="00AF5B6D">
        <w:rPr>
          <w:rFonts w:cs="Times New Roman"/>
          <w:kern w:val="22"/>
          <w:lang w:val="fr-CA" w:eastAsia="ja-JP" w:bidi="th-TH"/>
        </w:rPr>
        <w:t xml:space="preserve"> de l’examen</w:t>
      </w:r>
      <w:r>
        <w:rPr>
          <w:rFonts w:cs="Times New Roman"/>
          <w:kern w:val="22"/>
          <w:lang w:val="fr-CA" w:eastAsia="ja-JP" w:bidi="th-TH"/>
        </w:rPr>
        <w:t xml:space="preserve"> effectué et de</w:t>
      </w:r>
      <w:r w:rsidRPr="00AF5B6D">
        <w:rPr>
          <w:rFonts w:cs="Times New Roman"/>
          <w:kern w:val="22"/>
          <w:lang w:val="fr-CA" w:eastAsia="ja-JP" w:bidi="th-TH"/>
        </w:rPr>
        <w:t>s résultats de celui-ci, en tenant compte des éléments indiqués au paragraphe 11 ci-dessus;</w:t>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lastRenderedPageBreak/>
        <w:t xml:space="preserve">Faciliter l’évaluation et le suivi des coûts et </w:t>
      </w:r>
      <w:r>
        <w:rPr>
          <w:rFonts w:cs="Times New Roman"/>
          <w:kern w:val="22"/>
          <w:lang w:val="fr-CA" w:eastAsia="ja-JP" w:bidi="th-TH"/>
        </w:rPr>
        <w:t xml:space="preserve">des </w:t>
      </w:r>
      <w:r w:rsidRPr="00AF5B6D">
        <w:rPr>
          <w:rFonts w:cs="Times New Roman"/>
          <w:kern w:val="22"/>
          <w:lang w:val="fr-CA" w:eastAsia="ja-JP" w:bidi="th-TH"/>
        </w:rPr>
        <w:t>avantages éco</w:t>
      </w:r>
      <w:r>
        <w:rPr>
          <w:rFonts w:cs="Times New Roman"/>
          <w:kern w:val="22"/>
          <w:lang w:val="fr-CA" w:eastAsia="ja-JP" w:bidi="th-TH"/>
        </w:rPr>
        <w:t>nomiques et socioculturels liés à la création</w:t>
      </w:r>
      <w:r w:rsidRPr="00AF5B6D">
        <w:rPr>
          <w:rFonts w:cs="Times New Roman"/>
          <w:kern w:val="22"/>
          <w:lang w:val="fr-CA" w:eastAsia="ja-JP" w:bidi="th-TH"/>
        </w:rPr>
        <w:t xml:space="preserve"> et </w:t>
      </w:r>
      <w:r>
        <w:rPr>
          <w:rFonts w:cs="Times New Roman"/>
          <w:kern w:val="22"/>
          <w:lang w:val="fr-CA" w:eastAsia="ja-JP" w:bidi="th-TH"/>
        </w:rPr>
        <w:t xml:space="preserve">à </w:t>
      </w:r>
      <w:r w:rsidRPr="00AF5B6D">
        <w:rPr>
          <w:rFonts w:cs="Times New Roman"/>
          <w:kern w:val="22"/>
          <w:lang w:val="fr-CA" w:eastAsia="ja-JP" w:bidi="th-TH"/>
        </w:rPr>
        <w:t xml:space="preserve">la gestion des aires protégées, et éviter, atténuer ou compenser les coûts </w:t>
      </w:r>
      <w:r>
        <w:rPr>
          <w:rFonts w:cs="Times New Roman"/>
          <w:kern w:val="22"/>
          <w:lang w:val="fr-CA" w:eastAsia="ja-JP" w:bidi="th-TH"/>
        </w:rPr>
        <w:t xml:space="preserve">supportés, </w:t>
      </w:r>
      <w:r w:rsidRPr="00AF5B6D">
        <w:rPr>
          <w:rFonts w:cs="Times New Roman"/>
          <w:kern w:val="22"/>
          <w:lang w:val="fr-CA" w:eastAsia="ja-JP" w:bidi="th-TH"/>
        </w:rPr>
        <w:t>tout en améliorant et en répartissant équitablement les avantages;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70"/>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Élaborer</w:t>
      </w:r>
      <w:r w:rsidRPr="00AF5B6D">
        <w:rPr>
          <w:rFonts w:cs="Times New Roman"/>
          <w:kern w:val="22"/>
          <w:lang w:val="fr-CA" w:eastAsia="ja-JP" w:bidi="th-TH"/>
        </w:rPr>
        <w:t xml:space="preserve"> ou renforcer les politiques </w:t>
      </w:r>
      <w:r w:rsidRPr="00AF5B6D">
        <w:rPr>
          <w:rFonts w:eastAsia="Times New Roman" w:cs="Times New Roman"/>
          <w:kern w:val="22"/>
          <w:lang w:val="fr-CA" w:eastAsia="ja-JP" w:bidi="th-TH"/>
        </w:rPr>
        <w:t>nationales</w:t>
      </w:r>
      <w:r w:rsidRPr="00AF5B6D">
        <w:rPr>
          <w:rFonts w:cs="Times New Roman"/>
          <w:kern w:val="22"/>
          <w:lang w:val="fr-CA" w:eastAsia="ja-JP" w:bidi="th-TH"/>
        </w:rPr>
        <w:t xml:space="preserve"> sur l’accès aux ressources génétiques dans les aires protégées et le partage juste et équitable des avantages découl</w:t>
      </w:r>
      <w:r>
        <w:rPr>
          <w:rFonts w:cs="Times New Roman"/>
          <w:kern w:val="22"/>
          <w:lang w:val="fr-CA" w:eastAsia="ja-JP" w:bidi="th-TH"/>
        </w:rPr>
        <w:t>a</w:t>
      </w:r>
      <w:r w:rsidRPr="00AF5B6D">
        <w:rPr>
          <w:rFonts w:cs="Times New Roman"/>
          <w:kern w:val="22"/>
          <w:lang w:val="fr-CA" w:eastAsia="ja-JP" w:bidi="th-TH"/>
        </w:rPr>
        <w:t>nt de leur utilisation;</w:t>
      </w:r>
      <w:r w:rsidRPr="008049FC">
        <w:rPr>
          <w:rStyle w:val="FootnoteReference"/>
          <w:rFonts w:eastAsia="Batang" w:cs="Times New Roman"/>
          <w:bCs w:val="0"/>
          <w:iCs/>
          <w:snapToGrid w:val="0"/>
          <w:sz w:val="20"/>
          <w:szCs w:val="20"/>
          <w:u w:val="none"/>
          <w:vertAlign w:val="superscript"/>
          <w:lang w:val="fr-CA"/>
        </w:rPr>
        <w:footnoteReference w:id="71"/>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 xml:space="preserve">Faciliter et </w:t>
      </w:r>
      <w:r>
        <w:rPr>
          <w:rFonts w:cs="Times New Roman"/>
          <w:kern w:val="22"/>
          <w:lang w:val="fr-CA" w:eastAsia="ja-JP" w:bidi="th-TH"/>
        </w:rPr>
        <w:t>participer à d</w:t>
      </w:r>
      <w:r w:rsidRPr="00AF5B6D">
        <w:rPr>
          <w:rFonts w:cs="Times New Roman"/>
          <w:kern w:val="22"/>
          <w:lang w:val="fr-CA" w:eastAsia="ja-JP" w:bidi="th-TH"/>
        </w:rPr>
        <w:t>es projets de renforcement des capacités sur la gouvernance et l’équité pour les aires protégées et conservées;</w:t>
      </w:r>
    </w:p>
    <w:p w:rsidR="009F6935" w:rsidRPr="00AF5B6D" w:rsidRDefault="009F6935" w:rsidP="00004EAF">
      <w:pPr>
        <w:pStyle w:val="Para10"/>
        <w:numPr>
          <w:ilvl w:val="0"/>
          <w:numId w:val="39"/>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bCs w:val="0"/>
          <w:kern w:val="22"/>
          <w:lang w:val="fr-CA" w:eastAsia="ja-JP" w:bidi="th-TH"/>
        </w:rPr>
        <w:t>Favoriser un financement pertinent en vue</w:t>
      </w:r>
      <w:r w:rsidRPr="00AF5B6D">
        <w:rPr>
          <w:rFonts w:cs="Times New Roman"/>
          <w:bCs w:val="0"/>
          <w:kern w:val="22"/>
          <w:lang w:val="fr-CA" w:eastAsia="ja-JP" w:bidi="th-TH"/>
        </w:rPr>
        <w:t xml:space="preserve"> d’assurer la participation efficace de tous les détenteurs de droits et </w:t>
      </w:r>
      <w:r>
        <w:rPr>
          <w:rFonts w:cs="Times New Roman"/>
          <w:bCs w:val="0"/>
          <w:kern w:val="22"/>
          <w:lang w:val="fr-CA" w:eastAsia="ja-JP" w:bidi="th-TH"/>
        </w:rPr>
        <w:t xml:space="preserve">les </w:t>
      </w:r>
      <w:r w:rsidRPr="00AF5B6D">
        <w:rPr>
          <w:rFonts w:cs="Times New Roman"/>
          <w:bCs w:val="0"/>
          <w:kern w:val="22"/>
          <w:lang w:val="fr-CA" w:eastAsia="ja-JP" w:bidi="th-TH"/>
        </w:rPr>
        <w:t>parties prenantes.</w:t>
      </w:r>
    </w:p>
    <w:p w:rsidR="009F6935" w:rsidRPr="00AF5B6D" w:rsidRDefault="009F6935" w:rsidP="00004EAF">
      <w:pPr>
        <w:pStyle w:val="Para1"/>
        <w:numPr>
          <w:ilvl w:val="0"/>
          <w:numId w:val="17"/>
        </w:numPr>
        <w:suppressLineNumbers/>
        <w:suppressAutoHyphens/>
        <w:kinsoku w:val="0"/>
        <w:overflowPunct w:val="0"/>
        <w:autoSpaceDE w:val="0"/>
        <w:autoSpaceDN w:val="0"/>
        <w:ind w:left="0" w:firstLine="0"/>
        <w:rPr>
          <w:kern w:val="22"/>
          <w:lang w:val="fr-CA" w:eastAsia="ja-JP" w:bidi="th-TH"/>
        </w:rPr>
      </w:pPr>
      <w:r w:rsidRPr="00AF5B6D">
        <w:rPr>
          <w:kern w:val="22"/>
          <w:lang w:val="fr-CA" w:eastAsia="ja-JP" w:bidi="th-TH"/>
        </w:rPr>
        <w:t>Mesures proposées que pourraient p</w:t>
      </w:r>
      <w:r>
        <w:rPr>
          <w:kern w:val="22"/>
          <w:lang w:val="fr-CA" w:eastAsia="ja-JP" w:bidi="th-TH"/>
        </w:rPr>
        <w:t>rendre d’autres acteurs chargés de</w:t>
      </w:r>
      <w:r w:rsidRPr="00AF5B6D">
        <w:rPr>
          <w:kern w:val="22"/>
          <w:lang w:val="fr-CA" w:eastAsia="ja-JP" w:bidi="th-TH"/>
        </w:rPr>
        <w:t xml:space="preserve"> la gouvernance des aires protégées, afin d’améliorer l’efficacité et l’équité de la gouvernance :</w:t>
      </w:r>
    </w:p>
    <w:p w:rsidR="009F6935" w:rsidRPr="00AF5B6D" w:rsidRDefault="009F6935" w:rsidP="00004EAF">
      <w:pPr>
        <w:pStyle w:val="Para10"/>
        <w:numPr>
          <w:ilvl w:val="0"/>
          <w:numId w:val="40"/>
        </w:numPr>
        <w:suppressLineNumbers/>
        <w:suppressAutoHyphens/>
        <w:kinsoku w:val="0"/>
        <w:overflowPunct w:val="0"/>
        <w:autoSpaceDE w:val="0"/>
        <w:autoSpaceDN w:val="0"/>
        <w:ind w:left="0" w:firstLine="720"/>
        <w:rPr>
          <w:rFonts w:cs="Times New Roman"/>
          <w:kern w:val="22"/>
          <w:lang w:val="fr-CA" w:eastAsia="ja-JP" w:bidi="th-TH"/>
        </w:rPr>
      </w:pPr>
      <w:r>
        <w:rPr>
          <w:rFonts w:cs="Times New Roman"/>
          <w:kern w:val="22"/>
          <w:lang w:val="fr-CA" w:eastAsia="ja-JP" w:bidi="th-TH"/>
        </w:rPr>
        <w:t>Entreprendre</w:t>
      </w:r>
      <w:r w:rsidRPr="00AF5B6D">
        <w:rPr>
          <w:rFonts w:cs="Times New Roman"/>
          <w:kern w:val="22"/>
          <w:lang w:val="fr-CA" w:eastAsia="ja-JP" w:bidi="th-TH"/>
        </w:rPr>
        <w:t xml:space="preserve"> des évaluations de la gouve</w:t>
      </w:r>
      <w:r>
        <w:rPr>
          <w:rFonts w:cs="Times New Roman"/>
          <w:kern w:val="22"/>
          <w:lang w:val="fr-CA" w:eastAsia="ja-JP" w:bidi="th-TH"/>
        </w:rPr>
        <w:t xml:space="preserve">rnance et de l’équité à l’échelle des sites, en </w:t>
      </w:r>
      <w:r w:rsidRPr="00AF5B6D">
        <w:rPr>
          <w:rFonts w:cs="Times New Roman"/>
          <w:kern w:val="22"/>
          <w:lang w:val="fr-CA" w:eastAsia="ja-JP" w:bidi="th-TH"/>
        </w:rPr>
        <w:t>intégran</w:t>
      </w:r>
      <w:r>
        <w:rPr>
          <w:rFonts w:cs="Times New Roman"/>
          <w:kern w:val="22"/>
          <w:lang w:val="fr-CA" w:eastAsia="ja-JP" w:bidi="th-TH"/>
        </w:rPr>
        <w:t>t les détenteurs de droits et l</w:t>
      </w:r>
      <w:r w:rsidRPr="00AF5B6D">
        <w:rPr>
          <w:rFonts w:cs="Times New Roman"/>
          <w:kern w:val="22"/>
          <w:lang w:val="fr-CA" w:eastAsia="ja-JP" w:bidi="th-TH"/>
        </w:rPr>
        <w:t>es parties prenantes</w:t>
      </w:r>
      <w:r>
        <w:rPr>
          <w:rFonts w:cs="Times New Roman"/>
          <w:kern w:val="22"/>
          <w:lang w:val="fr-CA" w:eastAsia="ja-JP" w:bidi="th-TH"/>
        </w:rPr>
        <w:t xml:space="preserve">, et prendre des mesures visant leur </w:t>
      </w:r>
      <w:r w:rsidRPr="00AF5B6D">
        <w:rPr>
          <w:rFonts w:cs="Times New Roman"/>
          <w:kern w:val="22"/>
          <w:lang w:val="fr-CA" w:eastAsia="ja-JP" w:bidi="th-TH"/>
        </w:rPr>
        <w:t>amélioration;</w:t>
      </w:r>
    </w:p>
    <w:p w:rsidR="009F6935" w:rsidRPr="00AF5B6D" w:rsidRDefault="009F6935" w:rsidP="00004EAF">
      <w:pPr>
        <w:pStyle w:val="Para10"/>
        <w:numPr>
          <w:ilvl w:val="0"/>
          <w:numId w:val="40"/>
        </w:numPr>
        <w:suppressLineNumbers/>
        <w:suppressAutoHyphens/>
        <w:kinsoku w:val="0"/>
        <w:overflowPunct w:val="0"/>
        <w:autoSpaceDE w:val="0"/>
        <w:autoSpaceDN w:val="0"/>
        <w:ind w:left="0" w:firstLine="720"/>
        <w:rPr>
          <w:rFonts w:cs="Times New Roman"/>
          <w:kern w:val="22"/>
          <w:lang w:val="fr-CA" w:eastAsia="ja-JP" w:bidi="th-TH"/>
        </w:rPr>
      </w:pPr>
      <w:r w:rsidRPr="00AF5B6D">
        <w:rPr>
          <w:rFonts w:cs="Times New Roman"/>
          <w:kern w:val="22"/>
          <w:lang w:val="fr-CA" w:eastAsia="ja-JP" w:bidi="th-TH"/>
        </w:rPr>
        <w:t>Évaluer, suivre et atténuer les impacts négat</w:t>
      </w:r>
      <w:r>
        <w:rPr>
          <w:rFonts w:cs="Times New Roman"/>
          <w:kern w:val="22"/>
          <w:lang w:val="fr-CA" w:eastAsia="ja-JP" w:bidi="th-TH"/>
        </w:rPr>
        <w:t>ifs découlant de la création</w:t>
      </w:r>
      <w:r w:rsidRPr="00AF5B6D">
        <w:rPr>
          <w:rFonts w:cs="Times New Roman"/>
          <w:kern w:val="22"/>
          <w:lang w:val="fr-CA" w:eastAsia="ja-JP" w:bidi="th-TH"/>
        </w:rPr>
        <w:t xml:space="preserve"> et/ou </w:t>
      </w:r>
      <w:r>
        <w:rPr>
          <w:rFonts w:cs="Times New Roman"/>
          <w:kern w:val="22"/>
          <w:lang w:val="fr-CA" w:eastAsia="ja-JP" w:bidi="th-TH"/>
        </w:rPr>
        <w:t>du</w:t>
      </w:r>
      <w:r w:rsidRPr="00AF5B6D">
        <w:rPr>
          <w:rFonts w:cs="Times New Roman"/>
          <w:kern w:val="22"/>
          <w:lang w:val="fr-CA" w:eastAsia="ja-JP" w:bidi="th-TH"/>
        </w:rPr>
        <w:t xml:space="preserve"> maintien des aires protégées et améliorer les impacts positifs;</w:t>
      </w:r>
      <w:r w:rsidRPr="008049FC">
        <w:rPr>
          <w:rStyle w:val="FootnoteReference"/>
          <w:rFonts w:eastAsia="Batang" w:cs="Times New Roman"/>
          <w:bCs w:val="0"/>
          <w:iCs/>
          <w:snapToGrid w:val="0"/>
          <w:kern w:val="22"/>
          <w:sz w:val="20"/>
          <w:szCs w:val="20"/>
          <w:u w:val="none"/>
          <w:vertAlign w:val="superscript"/>
          <w:lang w:val="fr-CA" w:eastAsia="ja-JP" w:bidi="th-TH"/>
        </w:rPr>
        <w:footnoteReference w:id="72"/>
      </w:r>
    </w:p>
    <w:p w:rsidR="009F6935" w:rsidRPr="00B14477" w:rsidRDefault="009F6935" w:rsidP="00004EAF">
      <w:pPr>
        <w:pStyle w:val="Para10"/>
        <w:numPr>
          <w:ilvl w:val="0"/>
          <w:numId w:val="40"/>
        </w:numPr>
        <w:suppressLineNumbers/>
        <w:suppressAutoHyphens/>
        <w:kinsoku w:val="0"/>
        <w:overflowPunct w:val="0"/>
        <w:autoSpaceDE w:val="0"/>
        <w:autoSpaceDN w:val="0"/>
        <w:spacing w:after="480"/>
        <w:ind w:left="0" w:firstLine="720"/>
        <w:rPr>
          <w:rFonts w:cs="Times New Roman"/>
          <w:kern w:val="22"/>
          <w:lang w:val="fr-CA" w:eastAsia="ja-JP" w:bidi="th-TH"/>
        </w:rPr>
      </w:pPr>
      <w:r w:rsidRPr="00AF5B6D">
        <w:rPr>
          <w:rFonts w:cs="Times New Roman"/>
          <w:kern w:val="22"/>
          <w:lang w:val="fr-CA" w:eastAsia="ja-JP" w:bidi="th-TH"/>
        </w:rPr>
        <w:t>Participer à des projets de renforcement des capacités sur la gouvernance et l’équité pour les aires protégées et conservées.</w:t>
      </w:r>
    </w:p>
    <w:p w:rsidR="009F6935" w:rsidRPr="00443193" w:rsidRDefault="009F6935" w:rsidP="00443193">
      <w:pPr>
        <w:spacing w:after="160" w:line="259" w:lineRule="auto"/>
        <w:jc w:val="center"/>
        <w:rPr>
          <w:rFonts w:eastAsia="MS Mincho" w:cs="Angsana New"/>
          <w:bCs/>
          <w:i/>
          <w:kern w:val="22"/>
          <w:szCs w:val="22"/>
          <w:lang w:val="fr-CA"/>
        </w:rPr>
      </w:pPr>
      <w:r w:rsidRPr="00B14477">
        <w:rPr>
          <w:i/>
          <w:kern w:val="22"/>
          <w:lang w:val="fr-CA"/>
        </w:rPr>
        <w:t>Annexe III</w:t>
      </w:r>
    </w:p>
    <w:p w:rsidR="009F6935" w:rsidRPr="00AF5B6D" w:rsidRDefault="009F6935" w:rsidP="009F6935">
      <w:pPr>
        <w:pStyle w:val="HEADING"/>
        <w:keepNext w:val="0"/>
        <w:suppressLineNumbers/>
        <w:suppressAutoHyphens/>
        <w:kinsoku w:val="0"/>
        <w:overflowPunct w:val="0"/>
        <w:autoSpaceDE w:val="0"/>
        <w:autoSpaceDN w:val="0"/>
        <w:spacing w:after="360"/>
        <w:rPr>
          <w:b w:val="0"/>
          <w:kern w:val="22"/>
          <w:szCs w:val="22"/>
          <w:lang w:val="fr-CA"/>
        </w:rPr>
      </w:pPr>
      <w:r>
        <w:rPr>
          <w:kern w:val="22"/>
          <w:szCs w:val="22"/>
          <w:lang w:val="fr-CA"/>
        </w:rPr>
        <w:t>avis scientifique</w:t>
      </w:r>
      <w:r w:rsidRPr="00AF5B6D">
        <w:rPr>
          <w:kern w:val="22"/>
          <w:szCs w:val="22"/>
          <w:lang w:val="fr-CA"/>
        </w:rPr>
        <w:t xml:space="preserve"> e</w:t>
      </w:r>
      <w:r>
        <w:rPr>
          <w:kern w:val="22"/>
          <w:szCs w:val="22"/>
          <w:lang w:val="fr-CA"/>
        </w:rPr>
        <w:t xml:space="preserve">t technique sur </w:t>
      </w:r>
      <w:r w:rsidRPr="00AF5B6D">
        <w:rPr>
          <w:kern w:val="22"/>
          <w:szCs w:val="22"/>
          <w:lang w:val="fr-CA"/>
        </w:rPr>
        <w:t xml:space="preserve">d’autres mesures de conservation efficaces par zone </w:t>
      </w:r>
    </w:p>
    <w:p w:rsidR="009F6935" w:rsidRDefault="009F6935" w:rsidP="009F6935">
      <w:pPr>
        <w:pStyle w:val="Para1"/>
        <w:numPr>
          <w:ilvl w:val="0"/>
          <w:numId w:val="0"/>
        </w:numPr>
        <w:suppressLineNumbers/>
        <w:suppressAutoHyphens/>
        <w:kinsoku w:val="0"/>
        <w:overflowPunct w:val="0"/>
        <w:autoSpaceDE w:val="0"/>
        <w:autoSpaceDN w:val="0"/>
        <w:rPr>
          <w:kern w:val="22"/>
          <w:szCs w:val="22"/>
          <w:lang w:val="fr-CA"/>
        </w:rPr>
      </w:pPr>
      <w:r>
        <w:rPr>
          <w:kern w:val="22"/>
          <w:szCs w:val="22"/>
          <w:lang w:val="fr-CA"/>
        </w:rPr>
        <w:t>Les principes directeurs, les caractéristiques communes et les critères de recensement d’autres mesures de conservation efficaces par zone sont applicables à tous les écosystèmes qui sont actuellement ou potentiellement importants pour la diversité biologique, et devraient être appliqués d’une manière</w:t>
      </w:r>
      <w:r w:rsidRPr="00AF5B6D">
        <w:rPr>
          <w:kern w:val="22"/>
          <w:szCs w:val="22"/>
          <w:lang w:val="fr-CA"/>
        </w:rPr>
        <w:t xml:space="preserve"> sou</w:t>
      </w:r>
      <w:r>
        <w:rPr>
          <w:kern w:val="22"/>
          <w:szCs w:val="22"/>
          <w:lang w:val="fr-CA"/>
        </w:rPr>
        <w:t>pl</w:t>
      </w:r>
      <w:r w:rsidRPr="00AF5B6D">
        <w:rPr>
          <w:kern w:val="22"/>
          <w:szCs w:val="22"/>
          <w:lang w:val="fr-CA"/>
        </w:rPr>
        <w:t>e et au cas par cas.</w:t>
      </w:r>
    </w:p>
    <w:p w:rsidR="009F6935" w:rsidRPr="005F5CDA" w:rsidRDefault="009F6935" w:rsidP="009F6935">
      <w:pPr>
        <w:pStyle w:val="Heading1"/>
        <w:suppressLineNumbers/>
        <w:tabs>
          <w:tab w:val="clear" w:pos="720"/>
          <w:tab w:val="left" w:pos="540"/>
        </w:tabs>
        <w:suppressAutoHyphens/>
        <w:kinsoku w:val="0"/>
        <w:overflowPunct w:val="0"/>
        <w:autoSpaceDE w:val="0"/>
        <w:autoSpaceDN w:val="0"/>
        <w:spacing w:after="240"/>
        <w:rPr>
          <w:rFonts w:eastAsia="Calibri"/>
          <w:kern w:val="22"/>
          <w:szCs w:val="22"/>
          <w:lang w:val="fr-CA"/>
        </w:rPr>
      </w:pPr>
      <w:bookmarkStart w:id="34" w:name="_Toc525904158"/>
      <w:bookmarkStart w:id="35" w:name="_Toc525904317"/>
      <w:bookmarkStart w:id="36" w:name="_Toc525904561"/>
      <w:r>
        <w:rPr>
          <w:rFonts w:eastAsia="Calibri"/>
          <w:kern w:val="22"/>
          <w:szCs w:val="22"/>
          <w:lang w:val="fr-CA"/>
        </w:rPr>
        <w:t>A</w:t>
      </w:r>
      <w:r w:rsidRPr="00AF5B6D">
        <w:rPr>
          <w:rFonts w:eastAsia="Calibri"/>
          <w:kern w:val="22"/>
          <w:szCs w:val="22"/>
          <w:lang w:val="fr-CA"/>
        </w:rPr>
        <w:t>.</w:t>
      </w:r>
      <w:r w:rsidRPr="00AF5B6D">
        <w:rPr>
          <w:rFonts w:eastAsia="Calibri"/>
          <w:kern w:val="22"/>
          <w:szCs w:val="22"/>
          <w:lang w:val="fr-CA"/>
        </w:rPr>
        <w:tab/>
        <w:t>PRINCIPES DIRECTEURS</w:t>
      </w:r>
      <w:r>
        <w:rPr>
          <w:rFonts w:eastAsia="Calibri"/>
          <w:kern w:val="22"/>
          <w:szCs w:val="22"/>
          <w:lang w:val="fr-CA"/>
        </w:rPr>
        <w:t xml:space="preserve"> et caractÉristiques communes</w:t>
      </w:r>
      <w:bookmarkEnd w:id="34"/>
      <w:bookmarkEnd w:id="35"/>
      <w:bookmarkEnd w:id="36"/>
    </w:p>
    <w:p w:rsidR="009F6935" w:rsidRPr="00B14477"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Les autres mesures de conservation efficace</w:t>
      </w:r>
      <w:r>
        <w:rPr>
          <w:color w:val="000000" w:themeColor="text1"/>
          <w:kern w:val="22"/>
          <w:szCs w:val="22"/>
          <w:lang w:val="fr-CA"/>
        </w:rPr>
        <w:t>s par zone</w:t>
      </w:r>
      <w:r w:rsidRPr="00AF5B6D">
        <w:rPr>
          <w:color w:val="000000" w:themeColor="text1"/>
          <w:kern w:val="22"/>
          <w:szCs w:val="22"/>
          <w:lang w:val="fr-CA"/>
        </w:rPr>
        <w:t xml:space="preserve"> ont une valeur</w:t>
      </w:r>
      <w:r>
        <w:rPr>
          <w:color w:val="000000" w:themeColor="text1"/>
          <w:kern w:val="22"/>
          <w:szCs w:val="22"/>
          <w:lang w:val="fr-CA"/>
        </w:rPr>
        <w:t xml:space="preserve"> importante</w:t>
      </w:r>
      <w:r w:rsidRPr="00AF5B6D">
        <w:rPr>
          <w:color w:val="000000" w:themeColor="text1"/>
          <w:kern w:val="22"/>
          <w:szCs w:val="22"/>
          <w:lang w:val="fr-CA"/>
        </w:rPr>
        <w:t xml:space="preserve"> </w:t>
      </w:r>
      <w:r>
        <w:rPr>
          <w:color w:val="000000" w:themeColor="text1"/>
          <w:kern w:val="22"/>
          <w:szCs w:val="22"/>
          <w:lang w:val="fr-CA"/>
        </w:rPr>
        <w:t>pour la</w:t>
      </w:r>
      <w:r w:rsidRPr="00AF5B6D">
        <w:rPr>
          <w:color w:val="000000" w:themeColor="text1"/>
          <w:kern w:val="22"/>
          <w:szCs w:val="22"/>
          <w:lang w:val="fr-CA"/>
        </w:rPr>
        <w:t xml:space="preserve"> diversité biologique</w:t>
      </w:r>
      <w:r>
        <w:rPr>
          <w:color w:val="000000" w:themeColor="text1"/>
          <w:kern w:val="22"/>
          <w:szCs w:val="22"/>
          <w:lang w:val="fr-CA"/>
        </w:rPr>
        <w:t>, ou comprennent des objectifs pour y parvenir,</w:t>
      </w:r>
      <w:r w:rsidRPr="00AF5B6D">
        <w:rPr>
          <w:color w:val="000000" w:themeColor="text1"/>
          <w:kern w:val="22"/>
          <w:szCs w:val="22"/>
          <w:lang w:val="fr-CA"/>
        </w:rPr>
        <w:t xml:space="preserve"> </w:t>
      </w:r>
      <w:r>
        <w:rPr>
          <w:color w:val="000000" w:themeColor="text1"/>
          <w:kern w:val="22"/>
          <w:szCs w:val="22"/>
          <w:lang w:val="fr-CA"/>
        </w:rPr>
        <w:t>ce qui constitue la base pour leur prise en compte dans la réalisation de l’Objectif </w:t>
      </w:r>
      <w:r w:rsidRPr="00AF5B6D">
        <w:rPr>
          <w:color w:val="000000" w:themeColor="text1"/>
          <w:kern w:val="22"/>
          <w:szCs w:val="22"/>
          <w:lang w:val="fr-CA"/>
        </w:rPr>
        <w:t xml:space="preserve">11 du but stratégique C du </w:t>
      </w:r>
      <w:r>
        <w:rPr>
          <w:color w:val="000000" w:themeColor="text1"/>
          <w:kern w:val="22"/>
          <w:szCs w:val="22"/>
          <w:lang w:val="fr-CA"/>
        </w:rPr>
        <w:t>Plan stratégique pour la diversité biologique 2011-2020</w:t>
      </w:r>
      <w:r w:rsidRPr="00AF5B6D">
        <w:rPr>
          <w:color w:val="000000" w:themeColor="text1"/>
          <w:kern w:val="22"/>
          <w:szCs w:val="22"/>
          <w:lang w:val="fr-CA"/>
        </w:rPr>
        <w:t>;</w:t>
      </w:r>
    </w:p>
    <w:p w:rsidR="009F6935" w:rsidRPr="003A0246"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FR"/>
        </w:rPr>
      </w:pPr>
      <w:r w:rsidRPr="003A0246">
        <w:rPr>
          <w:color w:val="000000" w:themeColor="text1"/>
          <w:kern w:val="22"/>
          <w:szCs w:val="22"/>
          <w:lang w:val="fr-CA"/>
        </w:rPr>
        <w:t xml:space="preserve">Les autres mesures de conservation efficaces par zone ont une valeur importante pour la </w:t>
      </w:r>
      <w:r>
        <w:rPr>
          <w:color w:val="000000" w:themeColor="text1"/>
          <w:kern w:val="22"/>
          <w:szCs w:val="22"/>
          <w:lang w:val="fr-CA"/>
        </w:rPr>
        <w:t xml:space="preserve">conservation de la </w:t>
      </w:r>
      <w:r w:rsidRPr="003A0246">
        <w:rPr>
          <w:color w:val="000000" w:themeColor="text1"/>
          <w:kern w:val="22"/>
          <w:szCs w:val="22"/>
          <w:lang w:val="fr-CA"/>
        </w:rPr>
        <w:t>diversité biologique</w:t>
      </w:r>
      <w:r w:rsidRPr="003A0246">
        <w:rPr>
          <w:lang w:val="fr-CA"/>
        </w:rPr>
        <w:t xml:space="preserve"> </w:t>
      </w:r>
      <w:r>
        <w:rPr>
          <w:lang w:val="fr-CA"/>
        </w:rPr>
        <w:t>et l</w:t>
      </w:r>
      <w:r w:rsidRPr="003A0246">
        <w:rPr>
          <w:lang w:val="fr-CA"/>
        </w:rPr>
        <w:t>es fonctions et services écosystémiques</w:t>
      </w:r>
      <w:r>
        <w:rPr>
          <w:lang w:val="fr-CA"/>
        </w:rPr>
        <w:t>, complémentaire des aires protégées et contribuant à la cohérence et la connectivité de réseaux d’aires protégées, et à l’intégration de la diversité biologique dans d’autres utilisations des aires terrestres et marines, et dans tous les secteurs</w:t>
      </w:r>
      <w:r w:rsidRPr="003A0246">
        <w:rPr>
          <w:lang w:val="fr-CA"/>
        </w:rPr>
        <w:t xml:space="preserve">. </w:t>
      </w:r>
      <w:r w:rsidRPr="003A0246">
        <w:rPr>
          <w:color w:val="000000" w:themeColor="text1"/>
          <w:kern w:val="22"/>
          <w:szCs w:val="22"/>
          <w:lang w:val="fr-FR"/>
        </w:rPr>
        <w:t>Les autres mesures de conservation efficaces par zone devraient donc renforcer les réseaux actuels d’aires protégées, selon qu’il convient</w:t>
      </w:r>
      <w:r>
        <w:rPr>
          <w:color w:val="000000" w:themeColor="text1"/>
          <w:kern w:val="22"/>
          <w:szCs w:val="22"/>
          <w:lang w:val="fr-FR"/>
        </w:rPr>
        <w:t>;</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r>
        <w:rPr>
          <w:color w:val="000000" w:themeColor="text1"/>
          <w:kern w:val="22"/>
          <w:szCs w:val="22"/>
          <w:lang w:val="fr-CA"/>
        </w:rPr>
        <w:t>autres mesures de conservation efficaces par zone</w:t>
      </w:r>
      <w:r w:rsidRPr="00AF5B6D">
        <w:rPr>
          <w:color w:val="000000" w:themeColor="text1"/>
          <w:kern w:val="22"/>
          <w:szCs w:val="22"/>
          <w:lang w:val="fr-CA"/>
        </w:rPr>
        <w:t xml:space="preserve"> </w:t>
      </w:r>
      <w:r>
        <w:rPr>
          <w:color w:val="000000" w:themeColor="text1"/>
          <w:kern w:val="22"/>
          <w:szCs w:val="22"/>
          <w:lang w:val="fr-CA"/>
        </w:rPr>
        <w:t>offrent la possibilité</w:t>
      </w:r>
      <w:r w:rsidRPr="00AF5B6D">
        <w:rPr>
          <w:color w:val="000000" w:themeColor="text1"/>
          <w:kern w:val="22"/>
          <w:szCs w:val="22"/>
          <w:lang w:val="fr-CA"/>
        </w:rPr>
        <w:t xml:space="preserve"> </w:t>
      </w:r>
      <w:r>
        <w:rPr>
          <w:color w:val="000000" w:themeColor="text1"/>
          <w:kern w:val="22"/>
          <w:szCs w:val="22"/>
          <w:lang w:val="fr-CA"/>
        </w:rPr>
        <w:t>d’assurer</w:t>
      </w:r>
      <w:r w:rsidRPr="00AF5B6D">
        <w:rPr>
          <w:color w:val="000000" w:themeColor="text1"/>
          <w:kern w:val="22"/>
          <w:szCs w:val="22"/>
          <w:lang w:val="fr-CA"/>
        </w:rPr>
        <w:t xml:space="preserve"> la conservation in situ à long terme de la diversité biologique</w:t>
      </w:r>
      <w:r>
        <w:rPr>
          <w:color w:val="000000" w:themeColor="text1"/>
          <w:kern w:val="22"/>
          <w:szCs w:val="22"/>
          <w:lang w:val="fr-CA"/>
        </w:rPr>
        <w:t xml:space="preserve"> dans les écosystèmes marins, terrestres et </w:t>
      </w:r>
      <w:r>
        <w:rPr>
          <w:color w:val="000000" w:themeColor="text1"/>
          <w:kern w:val="22"/>
          <w:szCs w:val="22"/>
          <w:lang w:val="fr-CA"/>
        </w:rPr>
        <w:lastRenderedPageBreak/>
        <w:t>d’eau douce</w:t>
      </w:r>
      <w:r w:rsidRPr="00AF5B6D">
        <w:rPr>
          <w:color w:val="000000" w:themeColor="text1"/>
          <w:kern w:val="22"/>
          <w:szCs w:val="22"/>
          <w:lang w:val="fr-CA"/>
        </w:rPr>
        <w:t>. Elles peuvent permettre des activités huma</w:t>
      </w:r>
      <w:r>
        <w:rPr>
          <w:color w:val="000000" w:themeColor="text1"/>
          <w:kern w:val="22"/>
          <w:szCs w:val="22"/>
          <w:lang w:val="fr-CA"/>
        </w:rPr>
        <w:t>ines durables tout en offrant des</w:t>
      </w:r>
      <w:r w:rsidRPr="00AF5B6D">
        <w:rPr>
          <w:color w:val="000000" w:themeColor="text1"/>
          <w:kern w:val="22"/>
          <w:szCs w:val="22"/>
          <w:lang w:val="fr-CA"/>
        </w:rPr>
        <w:t xml:space="preserve"> avantage</w:t>
      </w:r>
      <w:r>
        <w:rPr>
          <w:color w:val="000000" w:themeColor="text1"/>
          <w:kern w:val="22"/>
          <w:szCs w:val="22"/>
          <w:lang w:val="fr-CA"/>
        </w:rPr>
        <w:t>s évidents</w:t>
      </w:r>
      <w:r w:rsidRPr="00AF5B6D">
        <w:rPr>
          <w:color w:val="000000" w:themeColor="text1"/>
          <w:kern w:val="22"/>
          <w:szCs w:val="22"/>
          <w:lang w:val="fr-CA"/>
        </w:rPr>
        <w:t xml:space="preserve"> pour la conservation de la diversité biologique. La reconnaissance d’une aire encourage le maintien de la valeur </w:t>
      </w:r>
      <w:r>
        <w:rPr>
          <w:color w:val="000000" w:themeColor="text1"/>
          <w:kern w:val="22"/>
          <w:szCs w:val="22"/>
          <w:lang w:val="fr-CA"/>
        </w:rPr>
        <w:t xml:space="preserve">existante </w:t>
      </w:r>
      <w:r w:rsidRPr="00AF5B6D">
        <w:rPr>
          <w:color w:val="000000" w:themeColor="text1"/>
          <w:kern w:val="22"/>
          <w:szCs w:val="22"/>
          <w:lang w:val="fr-CA"/>
        </w:rPr>
        <w:t xml:space="preserve">de </w:t>
      </w:r>
      <w:r>
        <w:rPr>
          <w:color w:val="000000" w:themeColor="text1"/>
          <w:kern w:val="22"/>
          <w:szCs w:val="22"/>
          <w:lang w:val="fr-CA"/>
        </w:rPr>
        <w:t xml:space="preserve">la </w:t>
      </w:r>
      <w:r w:rsidRPr="00AF5B6D">
        <w:rPr>
          <w:color w:val="000000" w:themeColor="text1"/>
          <w:kern w:val="22"/>
          <w:szCs w:val="22"/>
          <w:lang w:val="fr-CA"/>
        </w:rPr>
        <w:t>diversité biologique et l’amélioration des résultats de la conservation de la diversité biologique;</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r>
        <w:rPr>
          <w:color w:val="000000" w:themeColor="text1"/>
          <w:kern w:val="22"/>
          <w:szCs w:val="22"/>
          <w:lang w:val="fr-CA"/>
        </w:rPr>
        <w:t>autres mesures de conservation efficaces par zone aboutissent à des résultats pour</w:t>
      </w:r>
      <w:r w:rsidRPr="00AF5B6D">
        <w:rPr>
          <w:color w:val="000000" w:themeColor="text1"/>
          <w:kern w:val="22"/>
          <w:szCs w:val="22"/>
          <w:lang w:val="fr-CA"/>
        </w:rPr>
        <w:t xml:space="preserve"> la diversité</w:t>
      </w:r>
      <w:r>
        <w:rPr>
          <w:color w:val="000000" w:themeColor="text1"/>
          <w:kern w:val="22"/>
          <w:szCs w:val="22"/>
          <w:lang w:val="fr-CA"/>
        </w:rPr>
        <w:t xml:space="preserve"> biologique qui sont d’une importance comparable et qui complètent les résultats obtenus par l</w:t>
      </w:r>
      <w:r w:rsidRPr="00AF5B6D">
        <w:rPr>
          <w:color w:val="000000" w:themeColor="text1"/>
          <w:kern w:val="22"/>
          <w:szCs w:val="22"/>
          <w:lang w:val="fr-CA"/>
        </w:rPr>
        <w:t>es a</w:t>
      </w:r>
      <w:r>
        <w:rPr>
          <w:color w:val="000000" w:themeColor="text1"/>
          <w:kern w:val="22"/>
          <w:szCs w:val="22"/>
          <w:lang w:val="fr-CA"/>
        </w:rPr>
        <w:t>ires protégées</w:t>
      </w:r>
      <w:r w:rsidRPr="00AF5B6D">
        <w:rPr>
          <w:color w:val="000000" w:themeColor="text1"/>
          <w:kern w:val="22"/>
          <w:szCs w:val="22"/>
          <w:lang w:val="fr-CA"/>
        </w:rPr>
        <w:t>;</w:t>
      </w:r>
      <w:r>
        <w:rPr>
          <w:color w:val="000000" w:themeColor="text1"/>
          <w:kern w:val="22"/>
          <w:szCs w:val="22"/>
          <w:lang w:val="fr-CA"/>
        </w:rPr>
        <w:t xml:space="preserve"> ceci inclut leur contribution à la représentativité, la couverture des zones importantes pour la diversité biologique et les fonctions et services écosystémiques connexes, la connectivité et l’intégration dans les paysages terrestres et marins plus vastes, ainsi que l’efficacité de la gestion et les exigences en matière d’équité;</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Les </w:t>
      </w:r>
      <w:r>
        <w:rPr>
          <w:color w:val="000000" w:themeColor="text1"/>
          <w:kern w:val="22"/>
          <w:szCs w:val="22"/>
          <w:lang w:val="fr-CA"/>
        </w:rPr>
        <w:t>autres mesures de conservation efficaces par zone,</w:t>
      </w:r>
      <w:r w:rsidRPr="003A0246">
        <w:rPr>
          <w:color w:val="000000" w:themeColor="text1"/>
          <w:kern w:val="22"/>
          <w:szCs w:val="22"/>
          <w:lang w:val="fr-CA"/>
        </w:rPr>
        <w:t xml:space="preserve"> </w:t>
      </w:r>
      <w:r>
        <w:rPr>
          <w:color w:val="000000" w:themeColor="text1"/>
          <w:kern w:val="22"/>
          <w:szCs w:val="22"/>
          <w:lang w:val="fr-CA"/>
        </w:rPr>
        <w:t>accompagnées d’informations et de connaissances scientifiques et techniques pertinentes, peuvent potentiellement aboutir à</w:t>
      </w:r>
      <w:r w:rsidRPr="00AF5B6D">
        <w:rPr>
          <w:color w:val="000000" w:themeColor="text1"/>
          <w:kern w:val="22"/>
          <w:szCs w:val="22"/>
          <w:lang w:val="fr-CA"/>
        </w:rPr>
        <w:t xml:space="preserve"> </w:t>
      </w:r>
      <w:r>
        <w:rPr>
          <w:color w:val="000000" w:themeColor="text1"/>
          <w:kern w:val="22"/>
          <w:szCs w:val="22"/>
          <w:lang w:val="fr-CA"/>
        </w:rPr>
        <w:t>d</w:t>
      </w:r>
      <w:r w:rsidRPr="00AF5B6D">
        <w:rPr>
          <w:color w:val="000000" w:themeColor="text1"/>
          <w:kern w:val="22"/>
          <w:szCs w:val="22"/>
          <w:lang w:val="fr-CA"/>
        </w:rPr>
        <w:t>es résultats positifs pour la diversité biologique</w:t>
      </w:r>
      <w:r>
        <w:rPr>
          <w:color w:val="000000" w:themeColor="text1"/>
          <w:kern w:val="22"/>
          <w:szCs w:val="22"/>
          <w:lang w:val="fr-CA"/>
        </w:rPr>
        <w:t>, en assurant avec succès la conservation in situ des espèces, des habitats et écosystèmes, et des fonctions et services écosystémiques connexes, en évita</w:t>
      </w:r>
      <w:r w:rsidRPr="00AF5B6D">
        <w:rPr>
          <w:color w:val="000000" w:themeColor="text1"/>
          <w:kern w:val="22"/>
          <w:szCs w:val="22"/>
          <w:lang w:val="fr-CA"/>
        </w:rPr>
        <w:t xml:space="preserve">nt, </w:t>
      </w:r>
      <w:r>
        <w:rPr>
          <w:color w:val="000000" w:themeColor="text1"/>
          <w:kern w:val="22"/>
          <w:szCs w:val="22"/>
          <w:lang w:val="fr-CA"/>
        </w:rPr>
        <w:t xml:space="preserve">en </w:t>
      </w:r>
      <w:r w:rsidRPr="00AF5B6D">
        <w:rPr>
          <w:color w:val="000000" w:themeColor="text1"/>
          <w:kern w:val="22"/>
          <w:szCs w:val="22"/>
          <w:lang w:val="fr-CA"/>
        </w:rPr>
        <w:t>réduisa</w:t>
      </w:r>
      <w:r>
        <w:rPr>
          <w:color w:val="000000" w:themeColor="text1"/>
          <w:kern w:val="22"/>
          <w:szCs w:val="22"/>
          <w:lang w:val="fr-CA"/>
        </w:rPr>
        <w:t>nt ou en éliminant les menaces actuelles ou potentielle</w:t>
      </w:r>
      <w:r w:rsidRPr="00AF5B6D">
        <w:rPr>
          <w:color w:val="000000" w:themeColor="text1"/>
          <w:kern w:val="22"/>
          <w:szCs w:val="22"/>
          <w:lang w:val="fr-CA"/>
        </w:rPr>
        <w:t>s, et en</w:t>
      </w:r>
      <w:r>
        <w:rPr>
          <w:color w:val="000000" w:themeColor="text1"/>
          <w:kern w:val="22"/>
          <w:szCs w:val="22"/>
          <w:lang w:val="fr-CA"/>
        </w:rPr>
        <w:t xml:space="preserve"> augmentant la résilience</w:t>
      </w:r>
      <w:r w:rsidRPr="00AF5B6D">
        <w:rPr>
          <w:color w:val="000000" w:themeColor="text1"/>
          <w:kern w:val="22"/>
          <w:szCs w:val="22"/>
          <w:lang w:val="fr-CA"/>
        </w:rPr>
        <w:t xml:space="preserve">. La gestion des </w:t>
      </w:r>
      <w:r>
        <w:rPr>
          <w:color w:val="000000" w:themeColor="text1"/>
          <w:kern w:val="22"/>
          <w:szCs w:val="22"/>
          <w:lang w:val="fr-CA"/>
        </w:rPr>
        <w:t>autres mesures de conservation efficaces par zone s’effectue</w:t>
      </w:r>
      <w:r w:rsidRPr="00AF5B6D">
        <w:rPr>
          <w:color w:val="000000" w:themeColor="text1"/>
          <w:kern w:val="22"/>
          <w:szCs w:val="22"/>
          <w:lang w:val="fr-CA"/>
        </w:rPr>
        <w:t xml:space="preserve"> dans le respect de l’approc</w:t>
      </w:r>
      <w:r>
        <w:rPr>
          <w:color w:val="000000" w:themeColor="text1"/>
          <w:kern w:val="22"/>
          <w:szCs w:val="22"/>
          <w:lang w:val="fr-CA"/>
        </w:rPr>
        <w:t>he par écosystème et de l’approche</w:t>
      </w:r>
      <w:r w:rsidRPr="00AF5B6D">
        <w:rPr>
          <w:color w:val="000000" w:themeColor="text1"/>
          <w:kern w:val="22"/>
          <w:szCs w:val="22"/>
          <w:lang w:val="fr-CA"/>
        </w:rPr>
        <w:t xml:space="preserve"> de précaution, et offre la capacité de s’adapter afin </w:t>
      </w:r>
      <w:r>
        <w:rPr>
          <w:color w:val="000000" w:themeColor="text1"/>
          <w:kern w:val="22"/>
          <w:szCs w:val="22"/>
          <w:lang w:val="fr-CA"/>
        </w:rPr>
        <w:t>d’obtenir d</w:t>
      </w:r>
      <w:r w:rsidRPr="00AF5B6D">
        <w:rPr>
          <w:color w:val="000000" w:themeColor="text1"/>
          <w:kern w:val="22"/>
          <w:szCs w:val="22"/>
          <w:lang w:val="fr-CA"/>
        </w:rPr>
        <w:t>es résultats pour</w:t>
      </w:r>
      <w:r>
        <w:rPr>
          <w:color w:val="000000" w:themeColor="text1"/>
          <w:kern w:val="22"/>
          <w:szCs w:val="22"/>
          <w:lang w:val="fr-CA"/>
        </w:rPr>
        <w:t xml:space="preserve"> la diversité biologique, y compris des résultats à long terme, tels que</w:t>
      </w:r>
      <w:r w:rsidRPr="00AF5B6D">
        <w:rPr>
          <w:color w:val="000000" w:themeColor="text1"/>
          <w:kern w:val="22"/>
          <w:szCs w:val="22"/>
          <w:lang w:val="fr-CA"/>
        </w:rPr>
        <w:t xml:space="preserve"> la capacité de gérer les nouvelles menaces;</w:t>
      </w:r>
    </w:p>
    <w:p w:rsidR="009F6935" w:rsidRPr="00691033"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Les </w:t>
      </w:r>
      <w:r>
        <w:rPr>
          <w:color w:val="000000" w:themeColor="text1"/>
          <w:kern w:val="22"/>
          <w:szCs w:val="22"/>
          <w:lang w:val="fr-CA"/>
        </w:rPr>
        <w:t>autres mesures de conservation efficaces par zone peuvent contribuer à assurer</w:t>
      </w:r>
      <w:r w:rsidRPr="00AF5B6D">
        <w:rPr>
          <w:color w:val="000000" w:themeColor="text1"/>
          <w:kern w:val="22"/>
          <w:szCs w:val="22"/>
          <w:lang w:val="fr-CA"/>
        </w:rPr>
        <w:t xml:space="preserve"> une</w:t>
      </w:r>
      <w:r>
        <w:rPr>
          <w:color w:val="000000" w:themeColor="text1"/>
          <w:kern w:val="22"/>
          <w:szCs w:val="22"/>
          <w:lang w:val="fr-CA"/>
        </w:rPr>
        <w:t xml:space="preserve"> plus grande représentativité et connectivité dans les systèmes</w:t>
      </w:r>
      <w:r w:rsidRPr="00AF5B6D">
        <w:rPr>
          <w:color w:val="000000" w:themeColor="text1"/>
          <w:kern w:val="22"/>
          <w:szCs w:val="22"/>
          <w:lang w:val="fr-CA"/>
        </w:rPr>
        <w:t xml:space="preserve"> d’aires protégées et</w:t>
      </w:r>
      <w:r>
        <w:rPr>
          <w:color w:val="000000" w:themeColor="text1"/>
          <w:kern w:val="22"/>
          <w:szCs w:val="22"/>
          <w:lang w:val="fr-CA"/>
        </w:rPr>
        <w:t xml:space="preserve"> peuvent ainsi aider à gérer les menaces plus larges et permanentes pesant sur les éléments constitutifs de la diversité biologique et sur les fonctions et services écosystémiques, et augmenter</w:t>
      </w:r>
      <w:r w:rsidRPr="00AF5B6D">
        <w:rPr>
          <w:color w:val="000000" w:themeColor="text1"/>
          <w:kern w:val="22"/>
          <w:szCs w:val="22"/>
          <w:lang w:val="fr-CA"/>
        </w:rPr>
        <w:t xml:space="preserve"> la </w:t>
      </w:r>
      <w:r>
        <w:rPr>
          <w:color w:val="000000" w:themeColor="text1"/>
          <w:kern w:val="22"/>
          <w:szCs w:val="22"/>
          <w:lang w:val="fr-CA"/>
        </w:rPr>
        <w:t>résilience</w:t>
      </w:r>
      <w:r w:rsidRPr="00AF5B6D">
        <w:rPr>
          <w:color w:val="000000" w:themeColor="text1"/>
          <w:kern w:val="22"/>
          <w:szCs w:val="22"/>
          <w:lang w:val="fr-CA"/>
        </w:rPr>
        <w:t xml:space="preserve">, </w:t>
      </w:r>
      <w:r>
        <w:rPr>
          <w:color w:val="000000" w:themeColor="text1"/>
          <w:kern w:val="22"/>
          <w:szCs w:val="22"/>
          <w:lang w:val="fr-CA"/>
        </w:rPr>
        <w:t>notamment face</w:t>
      </w:r>
      <w:r w:rsidRPr="00AF5B6D">
        <w:rPr>
          <w:color w:val="000000" w:themeColor="text1"/>
          <w:kern w:val="22"/>
          <w:szCs w:val="22"/>
          <w:lang w:val="fr-CA"/>
        </w:rPr>
        <w:t xml:space="preserve"> aux changements climatiques;</w:t>
      </w:r>
    </w:p>
    <w:p w:rsidR="009F6935" w:rsidRPr="00691033"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La reconnaissance des </w:t>
      </w:r>
      <w:r>
        <w:rPr>
          <w:color w:val="000000" w:themeColor="text1"/>
          <w:kern w:val="22"/>
          <w:szCs w:val="22"/>
          <w:lang w:val="fr-CA"/>
        </w:rPr>
        <w:t xml:space="preserve">autres mesures de conservation efficaces par zone devrait inclure une consultation adéquate des autorités chargées de la gouvernance, des propriétaires fonciers et des détenteurs de droits, des parties prenantes et du public concernés;   </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b/>
          <w:color w:val="000000" w:themeColor="text1"/>
          <w:kern w:val="22"/>
          <w:szCs w:val="22"/>
          <w:lang w:val="fr-CA"/>
        </w:rPr>
      </w:pPr>
      <w:r w:rsidRPr="00AF5B6D">
        <w:rPr>
          <w:color w:val="000000" w:themeColor="text1"/>
          <w:kern w:val="22"/>
          <w:szCs w:val="22"/>
          <w:lang w:val="fr-CA"/>
        </w:rPr>
        <w:t xml:space="preserve">La reconnaissance des </w:t>
      </w:r>
      <w:r>
        <w:rPr>
          <w:color w:val="000000" w:themeColor="text1"/>
          <w:kern w:val="22"/>
          <w:szCs w:val="22"/>
          <w:lang w:val="fr-CA"/>
        </w:rPr>
        <w:t>autres mesures de conservation efficaces par zone devrait être appuyée par des mesures propres à renforcer les capacités de gouvernance de leurs autorités légitimes et garantir des résultats positifs et durables pour la diversité biologique, y compris, entre autres, des cadres de politique générale et des réglementations visant à prévenir et à répondre aux menaces;</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La reconnaissance des </w:t>
      </w:r>
      <w:r>
        <w:rPr>
          <w:color w:val="000000" w:themeColor="text1"/>
          <w:kern w:val="22"/>
          <w:szCs w:val="22"/>
          <w:lang w:val="fr-CA"/>
        </w:rPr>
        <w:t>autres mesures de conservation efficaces par zone</w:t>
      </w:r>
      <w:r w:rsidRPr="00AF5B6D">
        <w:rPr>
          <w:color w:val="000000" w:themeColor="text1"/>
          <w:kern w:val="22"/>
          <w:szCs w:val="22"/>
          <w:lang w:val="fr-CA"/>
        </w:rPr>
        <w:t xml:space="preserve"> da</w:t>
      </w:r>
      <w:r>
        <w:rPr>
          <w:color w:val="000000" w:themeColor="text1"/>
          <w:kern w:val="22"/>
          <w:szCs w:val="22"/>
          <w:lang w:val="fr-CA"/>
        </w:rPr>
        <w:t>ns les zon</w:t>
      </w:r>
      <w:r w:rsidRPr="00AF5B6D">
        <w:rPr>
          <w:color w:val="000000" w:themeColor="text1"/>
          <w:kern w:val="22"/>
          <w:szCs w:val="22"/>
          <w:lang w:val="fr-CA"/>
        </w:rPr>
        <w:t>es situées sur les territoires des peuples autochtone</w:t>
      </w:r>
      <w:r>
        <w:rPr>
          <w:color w:val="000000" w:themeColor="text1"/>
          <w:kern w:val="22"/>
          <w:szCs w:val="22"/>
          <w:lang w:val="fr-CA"/>
        </w:rPr>
        <w:t>s et des communautés locales devrai</w:t>
      </w:r>
      <w:r w:rsidRPr="00AF5B6D">
        <w:rPr>
          <w:color w:val="000000" w:themeColor="text1"/>
          <w:kern w:val="22"/>
          <w:szCs w:val="22"/>
          <w:lang w:val="fr-CA"/>
        </w:rPr>
        <w:t>t se fai</w:t>
      </w:r>
      <w:r>
        <w:rPr>
          <w:color w:val="000000" w:themeColor="text1"/>
          <w:kern w:val="22"/>
          <w:szCs w:val="22"/>
          <w:lang w:val="fr-CA"/>
        </w:rPr>
        <w:t xml:space="preserve">re par auto-identification et avec leur consentement </w:t>
      </w:r>
      <w:r w:rsidRPr="00AF5B6D">
        <w:rPr>
          <w:color w:val="000000" w:themeColor="text1"/>
          <w:kern w:val="22"/>
          <w:szCs w:val="22"/>
          <w:lang w:val="fr-CA"/>
        </w:rPr>
        <w:t>préalable</w:t>
      </w:r>
      <w:r>
        <w:rPr>
          <w:color w:val="000000" w:themeColor="text1"/>
          <w:kern w:val="22"/>
          <w:szCs w:val="22"/>
          <w:lang w:val="fr-CA"/>
        </w:rPr>
        <w:t>,</w:t>
      </w:r>
      <w:r w:rsidRPr="00AF5B6D">
        <w:rPr>
          <w:color w:val="000000" w:themeColor="text1"/>
          <w:kern w:val="22"/>
          <w:szCs w:val="22"/>
          <w:lang w:val="fr-CA"/>
        </w:rPr>
        <w:t xml:space="preserve"> do</w:t>
      </w:r>
      <w:r>
        <w:rPr>
          <w:color w:val="000000" w:themeColor="text1"/>
          <w:kern w:val="22"/>
          <w:szCs w:val="22"/>
          <w:lang w:val="fr-CA"/>
        </w:rPr>
        <w:t>nné librement et en connaissance de cause, selon qu’il convient, et conformément aux politiques générales, aux réglementations et aux circonstances nationales</w:t>
      </w:r>
      <w:r w:rsidRPr="00AF5B6D">
        <w:rPr>
          <w:color w:val="000000" w:themeColor="text1"/>
          <w:kern w:val="22"/>
          <w:szCs w:val="22"/>
          <w:lang w:val="fr-CA"/>
        </w:rPr>
        <w:t>;</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Les aires protégées pour leurs valeurs culturelles et spirituelles, ainsi que pour une gouvernance et une gestion respectueuse </w:t>
      </w:r>
      <w:r>
        <w:rPr>
          <w:color w:val="000000" w:themeColor="text1"/>
          <w:kern w:val="22"/>
          <w:szCs w:val="22"/>
          <w:lang w:val="fr-CA"/>
        </w:rPr>
        <w:t>reposant sur les</w:t>
      </w:r>
      <w:r w:rsidRPr="00AF5B6D">
        <w:rPr>
          <w:color w:val="000000" w:themeColor="text1"/>
          <w:kern w:val="22"/>
          <w:szCs w:val="22"/>
          <w:lang w:val="fr-CA"/>
        </w:rPr>
        <w:t xml:space="preserve"> valeurs culturelles et spirituelles, donnent souvent des résultats positifs pour la diversité biologique;</w:t>
      </w:r>
    </w:p>
    <w:p w:rsidR="009F6935" w:rsidRPr="008F269E" w:rsidRDefault="009F6935" w:rsidP="00004EAF">
      <w:pPr>
        <w:pStyle w:val="ListParagraph"/>
        <w:numPr>
          <w:ilvl w:val="0"/>
          <w:numId w:val="23"/>
        </w:numPr>
        <w:suppressLineNumbers/>
        <w:suppressAutoHyphens/>
        <w:kinsoku w:val="0"/>
        <w:overflowPunct w:val="0"/>
        <w:autoSpaceDE w:val="0"/>
        <w:autoSpaceDN w:val="0"/>
        <w:spacing w:after="120"/>
        <w:ind w:left="0" w:firstLine="720"/>
        <w:contextualSpacing w:val="0"/>
        <w:rPr>
          <w:color w:val="000000" w:themeColor="text1"/>
          <w:kern w:val="22"/>
          <w:szCs w:val="22"/>
          <w:lang w:val="fr-CA"/>
        </w:rPr>
      </w:pPr>
      <w:r w:rsidRPr="00AF5B6D">
        <w:rPr>
          <w:color w:val="000000" w:themeColor="text1"/>
          <w:kern w:val="22"/>
          <w:szCs w:val="22"/>
          <w:lang w:val="fr-CA"/>
        </w:rPr>
        <w:t xml:space="preserve">Les </w:t>
      </w:r>
      <w:r>
        <w:rPr>
          <w:color w:val="000000" w:themeColor="text1"/>
          <w:kern w:val="22"/>
          <w:szCs w:val="22"/>
          <w:lang w:val="fr-CA"/>
        </w:rPr>
        <w:t>autres mesures de conservation efficaces par zone</w:t>
      </w:r>
      <w:r w:rsidRPr="00AF5B6D">
        <w:rPr>
          <w:color w:val="000000" w:themeColor="text1"/>
          <w:kern w:val="22"/>
          <w:szCs w:val="22"/>
          <w:lang w:val="fr-CA"/>
        </w:rPr>
        <w:t xml:space="preserve"> reconnaissent, encouragent et rendent visible le rôle des différents modes de gouvernance et acteurs de la conservation de</w:t>
      </w:r>
      <w:r>
        <w:rPr>
          <w:color w:val="000000" w:themeColor="text1"/>
          <w:kern w:val="22"/>
          <w:szCs w:val="22"/>
          <w:lang w:val="fr-CA"/>
        </w:rPr>
        <w:t xml:space="preserve"> </w:t>
      </w:r>
      <w:r w:rsidRPr="00AF5B6D">
        <w:rPr>
          <w:color w:val="000000" w:themeColor="text1"/>
          <w:kern w:val="22"/>
          <w:szCs w:val="22"/>
          <w:lang w:val="fr-CA"/>
        </w:rPr>
        <w:t>la diversité biologique;</w:t>
      </w:r>
      <w:r>
        <w:rPr>
          <w:color w:val="000000" w:themeColor="text1"/>
          <w:kern w:val="22"/>
          <w:szCs w:val="22"/>
          <w:lang w:val="fr-CA"/>
        </w:rPr>
        <w:t xml:space="preserve"> l</w:t>
      </w:r>
      <w:r w:rsidRPr="008F269E">
        <w:rPr>
          <w:color w:val="000000" w:themeColor="text1"/>
          <w:kern w:val="22"/>
          <w:szCs w:val="22"/>
          <w:lang w:val="fr-CA"/>
        </w:rPr>
        <w:t>es mesures d’incitation visant à assurer</w:t>
      </w:r>
      <w:r>
        <w:rPr>
          <w:color w:val="000000" w:themeColor="text1"/>
          <w:kern w:val="22"/>
          <w:szCs w:val="22"/>
          <w:lang w:val="fr-CA"/>
        </w:rPr>
        <w:t xml:space="preserve"> une </w:t>
      </w:r>
      <w:r w:rsidRPr="008F269E">
        <w:rPr>
          <w:color w:val="000000" w:themeColor="text1"/>
          <w:kern w:val="22"/>
          <w:szCs w:val="22"/>
          <w:lang w:val="fr-CA"/>
        </w:rPr>
        <w:t>efficacité peuvent comprendre tout un éventail d’avantages sociaux et écologiques, dont la responsabilisation des peuples autochtones et des communautés locales;</w:t>
      </w:r>
    </w:p>
    <w:p w:rsidR="009F6935" w:rsidRDefault="009F6935" w:rsidP="00004EAF">
      <w:pPr>
        <w:pStyle w:val="ListParagraph"/>
        <w:numPr>
          <w:ilvl w:val="0"/>
          <w:numId w:val="23"/>
        </w:numPr>
        <w:suppressLineNumbers/>
        <w:suppressAutoHyphens/>
        <w:kinsoku w:val="0"/>
        <w:overflowPunct w:val="0"/>
        <w:autoSpaceDE w:val="0"/>
        <w:autoSpaceDN w:val="0"/>
        <w:spacing w:after="240"/>
        <w:ind w:left="0" w:firstLine="720"/>
        <w:contextualSpacing w:val="0"/>
        <w:rPr>
          <w:color w:val="000000" w:themeColor="text1"/>
          <w:kern w:val="22"/>
          <w:szCs w:val="22"/>
          <w:lang w:val="fr-CA"/>
        </w:rPr>
      </w:pPr>
      <w:r>
        <w:rPr>
          <w:color w:val="000000" w:themeColor="text1"/>
          <w:kern w:val="22"/>
          <w:szCs w:val="22"/>
          <w:lang w:val="fr-CA"/>
        </w:rPr>
        <w:t>Les</w:t>
      </w:r>
      <w:r w:rsidRPr="00AF5B6D">
        <w:rPr>
          <w:color w:val="000000" w:themeColor="text1"/>
          <w:kern w:val="22"/>
          <w:szCs w:val="22"/>
          <w:lang w:val="fr-CA"/>
        </w:rPr>
        <w:t xml:space="preserve"> meilleure</w:t>
      </w:r>
      <w:r>
        <w:rPr>
          <w:color w:val="000000" w:themeColor="text1"/>
          <w:kern w:val="22"/>
          <w:szCs w:val="22"/>
          <w:lang w:val="fr-CA"/>
        </w:rPr>
        <w:t>s</w:t>
      </w:r>
      <w:r w:rsidRPr="00AF5B6D">
        <w:rPr>
          <w:color w:val="000000" w:themeColor="text1"/>
          <w:kern w:val="22"/>
          <w:szCs w:val="22"/>
          <w:lang w:val="fr-CA"/>
        </w:rPr>
        <w:t xml:space="preserve"> information</w:t>
      </w:r>
      <w:r>
        <w:rPr>
          <w:color w:val="000000" w:themeColor="text1"/>
          <w:kern w:val="22"/>
          <w:szCs w:val="22"/>
          <w:lang w:val="fr-CA"/>
        </w:rPr>
        <w:t>s</w:t>
      </w:r>
      <w:r w:rsidRPr="00AF5B6D">
        <w:rPr>
          <w:color w:val="000000" w:themeColor="text1"/>
          <w:kern w:val="22"/>
          <w:szCs w:val="22"/>
          <w:lang w:val="fr-CA"/>
        </w:rPr>
        <w:t xml:space="preserve"> scientifique disponible</w:t>
      </w:r>
      <w:r>
        <w:rPr>
          <w:color w:val="000000" w:themeColor="text1"/>
          <w:kern w:val="22"/>
          <w:szCs w:val="22"/>
          <w:lang w:val="fr-CA"/>
        </w:rPr>
        <w:t>s et</w:t>
      </w:r>
      <w:r w:rsidRPr="00AF5B6D">
        <w:rPr>
          <w:color w:val="000000" w:themeColor="text1"/>
          <w:kern w:val="22"/>
          <w:szCs w:val="22"/>
          <w:lang w:val="fr-CA"/>
        </w:rPr>
        <w:t xml:space="preserve"> les connaissa</w:t>
      </w:r>
      <w:r>
        <w:rPr>
          <w:color w:val="000000" w:themeColor="text1"/>
          <w:kern w:val="22"/>
          <w:szCs w:val="22"/>
          <w:lang w:val="fr-CA"/>
        </w:rPr>
        <w:t>nces autochtones et locales devraien</w:t>
      </w:r>
      <w:r w:rsidRPr="00AF5B6D">
        <w:rPr>
          <w:color w:val="000000" w:themeColor="text1"/>
          <w:kern w:val="22"/>
          <w:szCs w:val="22"/>
          <w:lang w:val="fr-CA"/>
        </w:rPr>
        <w:t>t être utilisée</w:t>
      </w:r>
      <w:r>
        <w:rPr>
          <w:color w:val="000000" w:themeColor="text1"/>
          <w:kern w:val="22"/>
          <w:szCs w:val="22"/>
          <w:lang w:val="fr-CA"/>
        </w:rPr>
        <w:t>s conformément aux obligations internationales et aux cadres internationaux en vigueur, tels que la Déclaration des Nations Unies sur les droits des peuples autochtones et les instruments, décisions et lignes directrices de la Convention sur la diversité biologique,</w:t>
      </w:r>
      <w:r w:rsidRPr="00AF5B6D">
        <w:rPr>
          <w:color w:val="000000" w:themeColor="text1"/>
          <w:kern w:val="22"/>
          <w:szCs w:val="22"/>
          <w:lang w:val="fr-CA"/>
        </w:rPr>
        <w:t xml:space="preserve"> afin de reconnaître les </w:t>
      </w:r>
      <w:r>
        <w:rPr>
          <w:color w:val="000000" w:themeColor="text1"/>
          <w:kern w:val="22"/>
          <w:szCs w:val="22"/>
          <w:lang w:val="fr-CA"/>
        </w:rPr>
        <w:t>autres mesures de conservation efficaces par zone, de délimiter leurs frontières</w:t>
      </w:r>
      <w:r w:rsidRPr="00AF5B6D">
        <w:rPr>
          <w:color w:val="000000" w:themeColor="text1"/>
          <w:kern w:val="22"/>
          <w:szCs w:val="22"/>
          <w:lang w:val="fr-CA"/>
        </w:rPr>
        <w:t xml:space="preserve"> et leur </w:t>
      </w:r>
      <w:r>
        <w:rPr>
          <w:color w:val="000000" w:themeColor="text1"/>
          <w:kern w:val="22"/>
          <w:szCs w:val="22"/>
          <w:lang w:val="fr-CA"/>
        </w:rPr>
        <w:t>étendue</w:t>
      </w:r>
      <w:r w:rsidRPr="00AF5B6D">
        <w:rPr>
          <w:color w:val="000000" w:themeColor="text1"/>
          <w:kern w:val="22"/>
          <w:szCs w:val="22"/>
          <w:lang w:val="fr-CA"/>
        </w:rPr>
        <w:t xml:space="preserve">, </w:t>
      </w:r>
      <w:r>
        <w:rPr>
          <w:color w:val="000000" w:themeColor="text1"/>
          <w:kern w:val="22"/>
          <w:szCs w:val="22"/>
          <w:lang w:val="fr-CA"/>
        </w:rPr>
        <w:t xml:space="preserve">de contribuer à établir une </w:t>
      </w:r>
      <w:r w:rsidRPr="00AF5B6D">
        <w:rPr>
          <w:color w:val="000000" w:themeColor="text1"/>
          <w:kern w:val="22"/>
          <w:szCs w:val="22"/>
          <w:lang w:val="fr-CA"/>
        </w:rPr>
        <w:t xml:space="preserve">approche de gestion et </w:t>
      </w:r>
      <w:r>
        <w:rPr>
          <w:color w:val="000000" w:themeColor="text1"/>
          <w:kern w:val="22"/>
          <w:szCs w:val="22"/>
          <w:lang w:val="fr-CA"/>
        </w:rPr>
        <w:t>de mesurer la performance;</w:t>
      </w:r>
    </w:p>
    <w:p w:rsidR="009F6935" w:rsidRPr="00AF5B6D" w:rsidRDefault="009F6935" w:rsidP="00004EAF">
      <w:pPr>
        <w:pStyle w:val="ListParagraph"/>
        <w:numPr>
          <w:ilvl w:val="0"/>
          <w:numId w:val="23"/>
        </w:numPr>
        <w:suppressLineNumbers/>
        <w:suppressAutoHyphens/>
        <w:kinsoku w:val="0"/>
        <w:overflowPunct w:val="0"/>
        <w:autoSpaceDE w:val="0"/>
        <w:autoSpaceDN w:val="0"/>
        <w:spacing w:after="360"/>
        <w:ind w:left="0" w:firstLine="720"/>
        <w:contextualSpacing w:val="0"/>
        <w:rPr>
          <w:color w:val="000000" w:themeColor="text1"/>
          <w:kern w:val="22"/>
          <w:szCs w:val="22"/>
          <w:lang w:val="fr-CA"/>
        </w:rPr>
      </w:pPr>
      <w:r>
        <w:rPr>
          <w:color w:val="000000" w:themeColor="text1"/>
          <w:kern w:val="22"/>
          <w:szCs w:val="22"/>
          <w:lang w:val="fr-CA"/>
        </w:rPr>
        <w:lastRenderedPageBreak/>
        <w:t xml:space="preserve">Il importe de documenter </w:t>
      </w:r>
      <w:r w:rsidRPr="00AF5B6D">
        <w:rPr>
          <w:color w:val="000000" w:themeColor="text1"/>
          <w:kern w:val="22"/>
          <w:szCs w:val="22"/>
          <w:lang w:val="fr-CA"/>
        </w:rPr>
        <w:t xml:space="preserve">les </w:t>
      </w:r>
      <w:r>
        <w:rPr>
          <w:color w:val="000000" w:themeColor="text1"/>
          <w:kern w:val="22"/>
          <w:szCs w:val="22"/>
          <w:lang w:val="fr-CA"/>
        </w:rPr>
        <w:t>autres mesures de conservation efficaces par zone d’une manière transparente, afin d’entreprendre une évaluation adaptée de l’efficacité, de la fonctionnalité et de la pertinence dans le contexte de l’Objectif 11.</w:t>
      </w:r>
    </w:p>
    <w:p w:rsidR="009F6935" w:rsidRPr="00AF5B6D" w:rsidRDefault="009F6935" w:rsidP="009F6935">
      <w:pPr>
        <w:pStyle w:val="Heading1"/>
        <w:suppressLineNumbers/>
        <w:suppressAutoHyphens/>
        <w:kinsoku w:val="0"/>
        <w:overflowPunct w:val="0"/>
        <w:autoSpaceDE w:val="0"/>
        <w:autoSpaceDN w:val="0"/>
        <w:spacing w:before="120" w:after="0"/>
        <w:rPr>
          <w:bCs/>
          <w:kern w:val="22"/>
          <w:szCs w:val="22"/>
          <w:lang w:val="fr-CA"/>
        </w:rPr>
      </w:pPr>
      <w:bookmarkStart w:id="37" w:name="_Toc525904159"/>
      <w:bookmarkStart w:id="38" w:name="_Toc525904318"/>
      <w:bookmarkStart w:id="39" w:name="_Toc525904562"/>
      <w:r>
        <w:rPr>
          <w:bCs/>
          <w:kern w:val="22"/>
          <w:szCs w:val="22"/>
          <w:lang w:val="fr-CA"/>
        </w:rPr>
        <w:t>B.</w:t>
      </w:r>
      <w:r>
        <w:rPr>
          <w:bCs/>
          <w:kern w:val="22"/>
          <w:szCs w:val="22"/>
          <w:lang w:val="fr-CA"/>
        </w:rPr>
        <w:tab/>
        <w:t>CRITÈRES D’identification</w:t>
      </w:r>
      <w:bookmarkEnd w:id="37"/>
      <w:bookmarkEnd w:id="38"/>
      <w:bookmarkEnd w:id="39"/>
    </w:p>
    <w:p w:rsidR="009F6935" w:rsidRPr="00AF5B6D" w:rsidRDefault="009F6935" w:rsidP="009F6935">
      <w:pPr>
        <w:pStyle w:val="Heading2"/>
        <w:suppressLineNumbers/>
        <w:tabs>
          <w:tab w:val="clear" w:pos="720"/>
        </w:tabs>
        <w:suppressAutoHyphens/>
        <w:kinsoku w:val="0"/>
        <w:overflowPunct w:val="0"/>
        <w:autoSpaceDE w:val="0"/>
        <w:autoSpaceDN w:val="0"/>
        <w:spacing w:before="0" w:after="0"/>
        <w:rPr>
          <w:kern w:val="22"/>
          <w:szCs w:val="22"/>
          <w:lang w:val="fr-CA"/>
        </w:rPr>
      </w:pPr>
    </w:p>
    <w:tbl>
      <w:tblPr>
        <w:tblStyle w:val="TableGrid"/>
        <w:tblW w:w="9331" w:type="dxa"/>
        <w:jc w:val="center"/>
        <w:tblLook w:val="04A0" w:firstRow="1" w:lastRow="0" w:firstColumn="1" w:lastColumn="0" w:noHBand="0" w:noVBand="1"/>
      </w:tblPr>
      <w:tblGrid>
        <w:gridCol w:w="1891"/>
        <w:gridCol w:w="7440"/>
      </w:tblGrid>
      <w:tr w:rsidR="009F6935" w:rsidRPr="00AF7D0C" w:rsidTr="003D3017">
        <w:trPr>
          <w:cantSplit/>
          <w:jc w:val="center"/>
        </w:trPr>
        <w:tc>
          <w:tcPr>
            <w:tcW w:w="9331" w:type="dxa"/>
            <w:gridSpan w:val="2"/>
            <w:shd w:val="clear" w:color="auto" w:fill="BFBFBF" w:themeFill="background1" w:themeFillShade="BF"/>
          </w:tcPr>
          <w:p w:rsidR="009F6935" w:rsidRPr="009E5E18" w:rsidRDefault="009F6935" w:rsidP="003D3017">
            <w:pPr>
              <w:suppressLineNumbers/>
              <w:suppressAutoHyphens/>
              <w:kinsoku w:val="0"/>
              <w:overflowPunct w:val="0"/>
              <w:autoSpaceDE w:val="0"/>
              <w:autoSpaceDN w:val="0"/>
              <w:jc w:val="left"/>
              <w:rPr>
                <w:rFonts w:ascii="Times New Roman" w:hAnsi="Times New Roman" w:cs="Times New Roman"/>
                <w:b/>
                <w:kern w:val="22"/>
                <w:szCs w:val="22"/>
                <w:lang w:val="fr-CA"/>
              </w:rPr>
            </w:pPr>
            <w:r w:rsidRPr="009E5E18">
              <w:rPr>
                <w:rFonts w:ascii="Times New Roman" w:hAnsi="Times New Roman" w:cs="Times New Roman"/>
                <w:b/>
                <w:kern w:val="22"/>
                <w:szCs w:val="22"/>
                <w:lang w:val="fr-CA"/>
              </w:rPr>
              <w:t>Critère A : L’aire n’est pas reconnue comme une aire protégée à l’heure actuelle</w:t>
            </w:r>
          </w:p>
        </w:tc>
      </w:tr>
      <w:tr w:rsidR="009F6935" w:rsidRPr="00AF7D0C" w:rsidTr="003D3017">
        <w:trPr>
          <w:cantSplit/>
          <w:jc w:val="center"/>
        </w:trPr>
        <w:tc>
          <w:tcPr>
            <w:tcW w:w="1611" w:type="dxa"/>
          </w:tcPr>
          <w:p w:rsidR="009F6935" w:rsidRPr="009E5E18" w:rsidRDefault="009F6935" w:rsidP="003D3017">
            <w:pPr>
              <w:pStyle w:val="Heading3"/>
              <w:keepNext w:val="0"/>
              <w:suppressLineNumbers/>
              <w:tabs>
                <w:tab w:val="clear" w:pos="567"/>
              </w:tab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bookmarkStart w:id="40" w:name="_Toc525904160"/>
            <w:bookmarkStart w:id="41" w:name="_Toc525904319"/>
            <w:bookmarkStart w:id="42" w:name="_Toc525904563"/>
            <w:r w:rsidRPr="009E5E18">
              <w:rPr>
                <w:rFonts w:ascii="Times New Roman" w:hAnsi="Times New Roman" w:cs="Times New Roman"/>
                <w:b/>
                <w:i w:val="0"/>
                <w:kern w:val="22"/>
                <w:szCs w:val="22"/>
                <w:lang w:val="fr-CA"/>
              </w:rPr>
              <w:t>N’est pas une aire protégée</w:t>
            </w:r>
            <w:bookmarkEnd w:id="40"/>
            <w:bookmarkEnd w:id="41"/>
            <w:bookmarkEnd w:id="42"/>
          </w:p>
        </w:tc>
        <w:tc>
          <w:tcPr>
            <w:tcW w:w="7720" w:type="dxa"/>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43" w:name="_Toc525904161"/>
            <w:bookmarkStart w:id="44" w:name="_Toc525904320"/>
            <w:bookmarkStart w:id="45" w:name="_Toc525904564"/>
            <w:r w:rsidRPr="009E5E18">
              <w:rPr>
                <w:rFonts w:ascii="Times New Roman" w:hAnsi="Times New Roman" w:cs="Times New Roman"/>
                <w:i w:val="0"/>
                <w:kern w:val="22"/>
                <w:szCs w:val="22"/>
                <w:lang w:val="fr-CA"/>
              </w:rPr>
              <w:t>L’aire n’est pas reconnue comme une aire protégée ou élément d’une aire protégée, ni déclarée comme telle à l’heure actuelle; elle peut avoir été mise en place pour remplir une autre fonction.</w:t>
            </w:r>
            <w:bookmarkEnd w:id="43"/>
            <w:bookmarkEnd w:id="44"/>
            <w:bookmarkEnd w:id="45"/>
          </w:p>
        </w:tc>
      </w:tr>
      <w:tr w:rsidR="009F6935" w:rsidRPr="00AF7D0C" w:rsidTr="003D3017">
        <w:trPr>
          <w:cantSplit/>
          <w:jc w:val="center"/>
        </w:trPr>
        <w:tc>
          <w:tcPr>
            <w:tcW w:w="9331" w:type="dxa"/>
            <w:gridSpan w:val="2"/>
            <w:shd w:val="clear" w:color="auto" w:fill="BFBFBF" w:themeFill="background1" w:themeFillShade="BF"/>
          </w:tcPr>
          <w:p w:rsidR="009F6935" w:rsidRPr="009E5E18" w:rsidRDefault="009F6935" w:rsidP="003D3017">
            <w:pPr>
              <w:suppressLineNumbers/>
              <w:suppressAutoHyphens/>
              <w:kinsoku w:val="0"/>
              <w:overflowPunct w:val="0"/>
              <w:autoSpaceDE w:val="0"/>
              <w:autoSpaceDN w:val="0"/>
              <w:ind w:left="162" w:hanging="162"/>
              <w:jc w:val="left"/>
              <w:rPr>
                <w:rFonts w:ascii="Times New Roman" w:hAnsi="Times New Roman" w:cs="Times New Roman"/>
                <w:b/>
                <w:kern w:val="22"/>
                <w:szCs w:val="22"/>
                <w:lang w:val="fr-CA"/>
              </w:rPr>
            </w:pPr>
            <w:r w:rsidRPr="009E5E18">
              <w:rPr>
                <w:rFonts w:ascii="Times New Roman" w:hAnsi="Times New Roman" w:cs="Times New Roman"/>
                <w:b/>
                <w:kern w:val="22"/>
                <w:szCs w:val="22"/>
                <w:lang w:val="fr-CA"/>
              </w:rPr>
              <w:t>Critère B : L’aire fait l’objet d’une gouvernance et d’une gestion</w:t>
            </w:r>
          </w:p>
        </w:tc>
      </w:tr>
      <w:tr w:rsidR="009F6935" w:rsidRPr="00AF7D0C" w:rsidTr="003D3017">
        <w:trPr>
          <w:cantSplit/>
          <w:jc w:val="center"/>
        </w:trPr>
        <w:tc>
          <w:tcPr>
            <w:tcW w:w="1611" w:type="dxa"/>
          </w:tcPr>
          <w:p w:rsidR="009F6935" w:rsidRPr="009E5E18" w:rsidRDefault="009F6935" w:rsidP="003D3017">
            <w:pPr>
              <w:suppressLineNumbers/>
              <w:suppressAutoHyphens/>
              <w:kinsoku w:val="0"/>
              <w:overflowPunct w:val="0"/>
              <w:autoSpaceDE w:val="0"/>
              <w:autoSpaceDN w:val="0"/>
              <w:jc w:val="left"/>
              <w:rPr>
                <w:rFonts w:ascii="Times New Roman" w:hAnsi="Times New Roman" w:cs="Times New Roman"/>
                <w:b/>
                <w:kern w:val="22"/>
                <w:szCs w:val="22"/>
                <w:lang w:val="fr-CA"/>
              </w:rPr>
            </w:pPr>
            <w:r w:rsidRPr="009E5E18">
              <w:rPr>
                <w:rFonts w:ascii="Times New Roman" w:hAnsi="Times New Roman" w:cs="Times New Roman"/>
                <w:b/>
                <w:kern w:val="22"/>
                <w:szCs w:val="22"/>
                <w:lang w:val="fr-CA"/>
              </w:rPr>
              <w:t>Espace géographi-quement délimité</w:t>
            </w:r>
          </w:p>
        </w:tc>
        <w:tc>
          <w:tcPr>
            <w:tcW w:w="7720" w:type="dxa"/>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bookmarkStart w:id="46" w:name="_Toc525904162"/>
            <w:bookmarkStart w:id="47" w:name="_Toc525904321"/>
            <w:bookmarkStart w:id="48" w:name="_Toc525904565"/>
            <w:r w:rsidRPr="009E5E18">
              <w:rPr>
                <w:rFonts w:ascii="Times New Roman" w:hAnsi="Times New Roman" w:cs="Times New Roman"/>
                <w:i w:val="0"/>
                <w:kern w:val="22"/>
                <w:szCs w:val="22"/>
                <w:lang w:val="fr-CA"/>
              </w:rPr>
              <w:t>Les dimensions et la superficie sont décrites, même en trois dimensions, si nécessaire.</w:t>
            </w:r>
            <w:bookmarkEnd w:id="46"/>
            <w:bookmarkEnd w:id="47"/>
            <w:bookmarkEnd w:id="48"/>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bookmarkStart w:id="49" w:name="_Toc525904163"/>
            <w:bookmarkStart w:id="50" w:name="_Toc525904322"/>
            <w:bookmarkStart w:id="51" w:name="_Toc525904566"/>
            <w:r w:rsidRPr="009E5E18">
              <w:rPr>
                <w:rFonts w:ascii="Times New Roman" w:hAnsi="Times New Roman" w:cs="Times New Roman"/>
                <w:i w:val="0"/>
                <w:kern w:val="22"/>
                <w:szCs w:val="22"/>
                <w:lang w:val="fr-CA"/>
              </w:rPr>
              <w:t>Les frontières sont géographiquement délimitées.</w:t>
            </w:r>
            <w:bookmarkEnd w:id="49"/>
            <w:bookmarkEnd w:id="50"/>
            <w:bookmarkEnd w:id="51"/>
          </w:p>
        </w:tc>
      </w:tr>
      <w:tr w:rsidR="009F6935" w:rsidRPr="00AF7D0C" w:rsidTr="003D3017">
        <w:trPr>
          <w:cantSplit/>
          <w:jc w:val="center"/>
        </w:trPr>
        <w:tc>
          <w:tcPr>
            <w:tcW w:w="1611" w:type="dxa"/>
          </w:tcPr>
          <w:p w:rsidR="009F6935" w:rsidRPr="009E5E18" w:rsidRDefault="009F6935" w:rsidP="003D3017">
            <w:pPr>
              <w:suppressLineNumbers/>
              <w:suppressAutoHyphens/>
              <w:kinsoku w:val="0"/>
              <w:overflowPunct w:val="0"/>
              <w:autoSpaceDE w:val="0"/>
              <w:autoSpaceDN w:val="0"/>
              <w:jc w:val="left"/>
              <w:rPr>
                <w:rFonts w:ascii="Times New Roman" w:hAnsi="Times New Roman" w:cs="Times New Roman"/>
                <w:b/>
                <w:kern w:val="22"/>
                <w:szCs w:val="22"/>
                <w:lang w:val="fr-CA"/>
              </w:rPr>
            </w:pPr>
            <w:r w:rsidRPr="009E5E18">
              <w:rPr>
                <w:rFonts w:ascii="Times New Roman" w:hAnsi="Times New Roman" w:cs="Times New Roman"/>
                <w:b/>
                <w:kern w:val="22"/>
                <w:szCs w:val="22"/>
                <w:lang w:val="fr-CA"/>
              </w:rPr>
              <w:t>Autorités de gouvernance légitimes</w:t>
            </w:r>
          </w:p>
        </w:tc>
        <w:tc>
          <w:tcPr>
            <w:tcW w:w="7720" w:type="dxa"/>
          </w:tcPr>
          <w:p w:rsidR="009F6935" w:rsidRPr="009E5E18" w:rsidRDefault="009F6935" w:rsidP="00004EAF">
            <w:pPr>
              <w:pStyle w:val="ListParagraph"/>
              <w:numPr>
                <w:ilvl w:val="0"/>
                <w:numId w:val="19"/>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9E5E18">
              <w:rPr>
                <w:rFonts w:ascii="Times New Roman" w:hAnsi="Times New Roman" w:cs="Times New Roman"/>
                <w:kern w:val="22"/>
                <w:szCs w:val="22"/>
                <w:lang w:val="fr-CA"/>
              </w:rPr>
              <w:t>La gouvernance comprend une autorité légitime et est adaptée pour parvenir à une conservation in situ de la diversité biologique dans l’aire.</w:t>
            </w:r>
          </w:p>
          <w:p w:rsidR="009F6935" w:rsidRPr="009E5E18" w:rsidRDefault="009F6935" w:rsidP="00004EAF">
            <w:pPr>
              <w:pStyle w:val="ListParagraph"/>
              <w:numPr>
                <w:ilvl w:val="0"/>
                <w:numId w:val="19"/>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9E5E18">
              <w:rPr>
                <w:rFonts w:ascii="Times New Roman" w:hAnsi="Times New Roman" w:cs="Times New Roman"/>
                <w:kern w:val="22"/>
                <w:szCs w:val="22"/>
                <w:lang w:val="fr-CA"/>
              </w:rPr>
              <w:t>La gouvernance assurée par les peuples autochtones et les communautés locales est auto-identifiée, conformément à la législation nationale.</w:t>
            </w:r>
          </w:p>
          <w:p w:rsidR="009F6935" w:rsidRPr="009E5E18" w:rsidRDefault="009F6935" w:rsidP="00004EAF">
            <w:pPr>
              <w:pStyle w:val="ListParagraph"/>
              <w:numPr>
                <w:ilvl w:val="0"/>
                <w:numId w:val="19"/>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9E5E18">
              <w:rPr>
                <w:rFonts w:ascii="Times New Roman" w:hAnsi="Times New Roman" w:cs="Times New Roman"/>
                <w:kern w:val="22"/>
                <w:szCs w:val="22"/>
                <w:lang w:val="fr-CA"/>
              </w:rPr>
              <w:t>La gouvernance intègre des facteurs d’équité adoptés par la Convention.</w:t>
            </w:r>
          </w:p>
          <w:p w:rsidR="009F6935" w:rsidRPr="009E5E18" w:rsidRDefault="009F6935" w:rsidP="00004EAF">
            <w:pPr>
              <w:pStyle w:val="ListParagraph"/>
              <w:numPr>
                <w:ilvl w:val="0"/>
                <w:numId w:val="19"/>
              </w:numPr>
              <w:suppressLineNumbers/>
              <w:suppressAutoHyphens/>
              <w:kinsoku w:val="0"/>
              <w:overflowPunct w:val="0"/>
              <w:autoSpaceDE w:val="0"/>
              <w:autoSpaceDN w:val="0"/>
              <w:ind w:left="403"/>
              <w:jc w:val="left"/>
              <w:rPr>
                <w:rFonts w:ascii="Times New Roman" w:hAnsi="Times New Roman" w:cs="Times New Roman"/>
                <w:kern w:val="22"/>
                <w:szCs w:val="22"/>
                <w:lang w:val="fr-CA"/>
              </w:rPr>
            </w:pPr>
            <w:r w:rsidRPr="009E5E18">
              <w:rPr>
                <w:rFonts w:ascii="Times New Roman" w:hAnsi="Times New Roman" w:cs="Times New Roman"/>
                <w:kern w:val="22"/>
                <w:szCs w:val="22"/>
                <w:lang w:val="fr-CA"/>
              </w:rPr>
              <w:t>La gouvernance peut être assurée par une autorité et/ou organisation unique, ou dans le cadre d’une collaboration entre plusieurs autorités compétentes, et elle offre la possibilité de faire face aux menaces collectivement.</w:t>
            </w:r>
          </w:p>
        </w:tc>
      </w:tr>
      <w:tr w:rsidR="009F6935" w:rsidRPr="00AF7D0C" w:rsidTr="003D3017">
        <w:trPr>
          <w:cantSplit/>
          <w:jc w:val="center"/>
        </w:trPr>
        <w:tc>
          <w:tcPr>
            <w:tcW w:w="1611" w:type="dxa"/>
          </w:tcPr>
          <w:p w:rsidR="009F6935" w:rsidRPr="009E5E18" w:rsidRDefault="009F6935" w:rsidP="003D3017">
            <w:pPr>
              <w:suppressLineNumbers/>
              <w:suppressAutoHyphens/>
              <w:kinsoku w:val="0"/>
              <w:overflowPunct w:val="0"/>
              <w:autoSpaceDE w:val="0"/>
              <w:autoSpaceDN w:val="0"/>
              <w:jc w:val="left"/>
              <w:rPr>
                <w:rFonts w:ascii="Times New Roman" w:hAnsi="Times New Roman" w:cs="Times New Roman"/>
                <w:b/>
                <w:kern w:val="22"/>
                <w:szCs w:val="22"/>
                <w:lang w:val="fr-CA"/>
              </w:rPr>
            </w:pPr>
            <w:r w:rsidRPr="009E5E18">
              <w:rPr>
                <w:rFonts w:ascii="Times New Roman" w:hAnsi="Times New Roman" w:cs="Times New Roman"/>
                <w:b/>
                <w:kern w:val="22"/>
                <w:szCs w:val="22"/>
                <w:lang w:val="fr-CA"/>
              </w:rPr>
              <w:t>Gestion</w:t>
            </w:r>
          </w:p>
        </w:tc>
        <w:tc>
          <w:tcPr>
            <w:tcW w:w="7720" w:type="dxa"/>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iCs w:val="0"/>
                <w:kern w:val="22"/>
                <w:szCs w:val="22"/>
                <w:lang w:val="fr-CA"/>
              </w:rPr>
            </w:pPr>
            <w:bookmarkStart w:id="52" w:name="_Toc525904164"/>
            <w:bookmarkStart w:id="53" w:name="_Toc525904323"/>
            <w:bookmarkStart w:id="54" w:name="_Toc525904567"/>
            <w:r w:rsidRPr="009E5E18">
              <w:rPr>
                <w:rFonts w:ascii="Times New Roman" w:hAnsi="Times New Roman" w:cs="Times New Roman"/>
                <w:i w:val="0"/>
                <w:iCs w:val="0"/>
                <w:kern w:val="22"/>
                <w:szCs w:val="22"/>
                <w:lang w:val="fr-CA"/>
              </w:rPr>
              <w:t>Gestion de façon à obtenir des résultats positifs et durables pour la conservation de la diversité biologique.</w:t>
            </w:r>
            <w:bookmarkEnd w:id="52"/>
            <w:bookmarkEnd w:id="53"/>
            <w:bookmarkEnd w:id="54"/>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Cs w:val="0"/>
                <w:kern w:val="22"/>
                <w:szCs w:val="22"/>
                <w:lang w:val="fr-CA"/>
              </w:rPr>
            </w:pPr>
            <w:bookmarkStart w:id="55" w:name="_Toc525904165"/>
            <w:bookmarkStart w:id="56" w:name="_Toc525904324"/>
            <w:bookmarkStart w:id="57" w:name="_Toc525904568"/>
            <w:r w:rsidRPr="009E5E18">
              <w:rPr>
                <w:rFonts w:ascii="Times New Roman" w:hAnsi="Times New Roman" w:cs="Times New Roman"/>
                <w:i w:val="0"/>
                <w:kern w:val="22"/>
                <w:szCs w:val="22"/>
                <w:lang w:val="fr-CA"/>
              </w:rPr>
              <w:t>Les autorités compétentes et les parties prenantes sont connues et participent à la gestion.</w:t>
            </w:r>
            <w:bookmarkEnd w:id="55"/>
            <w:bookmarkEnd w:id="56"/>
            <w:bookmarkEnd w:id="57"/>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Cs w:val="0"/>
                <w:kern w:val="22"/>
                <w:szCs w:val="22"/>
                <w:lang w:val="fr-CA"/>
              </w:rPr>
            </w:pPr>
            <w:bookmarkStart w:id="58" w:name="_Toc525904166"/>
            <w:bookmarkStart w:id="59" w:name="_Toc525904325"/>
            <w:bookmarkStart w:id="60" w:name="_Toc525904569"/>
            <w:r w:rsidRPr="009E5E18">
              <w:rPr>
                <w:rFonts w:ascii="Times New Roman" w:hAnsi="Times New Roman" w:cs="Times New Roman"/>
                <w:i w:val="0"/>
                <w:kern w:val="22"/>
                <w:szCs w:val="22"/>
                <w:lang w:val="fr-CA"/>
              </w:rPr>
              <w:t>Un système de gestion est en place; il contribue à assurer la durabilité de la conservation in situ de la diversité biologique.</w:t>
            </w:r>
            <w:bookmarkEnd w:id="58"/>
            <w:bookmarkEnd w:id="59"/>
            <w:bookmarkEnd w:id="60"/>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bookmarkStart w:id="61" w:name="_Toc525904167"/>
            <w:bookmarkStart w:id="62" w:name="_Toc525904326"/>
            <w:bookmarkStart w:id="63" w:name="_Toc525904570"/>
            <w:r w:rsidRPr="009E5E18">
              <w:rPr>
                <w:rFonts w:ascii="Times New Roman" w:hAnsi="Times New Roman" w:cs="Times New Roman"/>
                <w:i w:val="0"/>
                <w:kern w:val="22"/>
                <w:szCs w:val="22"/>
                <w:lang w:val="fr-CA"/>
              </w:rPr>
              <w:t>La gestion est conforme à l’approche par écosystème et peut être adaptée pour obtenir les résultats de conservation escomptés pour la diversité biologique, y compris des résultats à long terme, et la capacité de faire face à une nouvelle menace.</w:t>
            </w:r>
            <w:bookmarkEnd w:id="61"/>
            <w:bookmarkEnd w:id="62"/>
            <w:bookmarkEnd w:id="63"/>
          </w:p>
        </w:tc>
      </w:tr>
      <w:tr w:rsidR="009F6935" w:rsidRPr="00AF7D0C" w:rsidTr="003D3017">
        <w:trPr>
          <w:cantSplit/>
          <w:jc w:val="center"/>
        </w:trPr>
        <w:tc>
          <w:tcPr>
            <w:tcW w:w="9331" w:type="dxa"/>
            <w:gridSpan w:val="2"/>
            <w:shd w:val="clear" w:color="auto" w:fill="BFBFBF" w:themeFill="background1" w:themeFillShade="BF"/>
          </w:tcPr>
          <w:p w:rsidR="009F6935" w:rsidRPr="009E5E18" w:rsidRDefault="009F6935" w:rsidP="003D3017">
            <w:pPr>
              <w:suppressLineNumbers/>
              <w:suppressAutoHyphens/>
              <w:kinsoku w:val="0"/>
              <w:overflowPunct w:val="0"/>
              <w:autoSpaceDE w:val="0"/>
              <w:autoSpaceDN w:val="0"/>
              <w:ind w:left="162" w:hanging="162"/>
              <w:jc w:val="left"/>
              <w:rPr>
                <w:rFonts w:ascii="Times New Roman" w:hAnsi="Times New Roman" w:cs="Times New Roman"/>
                <w:b/>
                <w:bCs/>
                <w:kern w:val="22"/>
                <w:szCs w:val="22"/>
                <w:lang w:val="fr-CA"/>
              </w:rPr>
            </w:pPr>
            <w:r w:rsidRPr="009E5E18">
              <w:rPr>
                <w:rFonts w:ascii="Times New Roman" w:hAnsi="Times New Roman" w:cs="Times New Roman"/>
                <w:b/>
                <w:kern w:val="22"/>
                <w:szCs w:val="22"/>
                <w:lang w:val="fr-CA"/>
              </w:rPr>
              <w:t>Critère C : Apporte une contribution durable et efficace à la conservation in situ de la diversité biologique</w:t>
            </w:r>
          </w:p>
        </w:tc>
      </w:tr>
      <w:tr w:rsidR="009F6935" w:rsidRPr="00AF7D0C" w:rsidTr="003D3017">
        <w:trPr>
          <w:cantSplit/>
          <w:jc w:val="center"/>
        </w:trPr>
        <w:tc>
          <w:tcPr>
            <w:tcW w:w="1611" w:type="dxa"/>
          </w:tcPr>
          <w:p w:rsidR="009F6935" w:rsidRPr="009E5E18" w:rsidRDefault="009F6935" w:rsidP="003D3017">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bookmarkStart w:id="64" w:name="_Toc525904168"/>
            <w:bookmarkStart w:id="65" w:name="_Toc525904327"/>
            <w:bookmarkStart w:id="66" w:name="_Toc525904571"/>
            <w:r w:rsidRPr="009E5E18">
              <w:rPr>
                <w:rFonts w:ascii="Times New Roman" w:hAnsi="Times New Roman" w:cs="Times New Roman"/>
                <w:b/>
                <w:i w:val="0"/>
                <w:kern w:val="22"/>
                <w:szCs w:val="22"/>
                <w:lang w:val="fr-CA"/>
              </w:rPr>
              <w:t>Efficace</w:t>
            </w:r>
            <w:bookmarkEnd w:id="64"/>
            <w:bookmarkEnd w:id="65"/>
            <w:bookmarkEnd w:id="66"/>
          </w:p>
        </w:tc>
        <w:tc>
          <w:tcPr>
            <w:tcW w:w="7720" w:type="dxa"/>
            <w:tcBorders>
              <w:bottom w:val="single" w:sz="4" w:space="0" w:color="auto"/>
            </w:tcBorders>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67" w:name="_Toc525904169"/>
            <w:bookmarkStart w:id="68" w:name="_Toc525904328"/>
            <w:bookmarkStart w:id="69" w:name="_Toc525904572"/>
            <w:r w:rsidRPr="009E5E18">
              <w:rPr>
                <w:rFonts w:ascii="Times New Roman" w:hAnsi="Times New Roman" w:cs="Times New Roman"/>
                <w:i w:val="0"/>
                <w:kern w:val="22"/>
                <w:szCs w:val="22"/>
                <w:lang w:val="fr-CA"/>
              </w:rPr>
              <w:t>L’aire obtient ou obtiendra des résultats positifs durables pour la conservation in situ de la diversité biologique.</w:t>
            </w:r>
            <w:bookmarkEnd w:id="67"/>
            <w:bookmarkEnd w:id="68"/>
            <w:bookmarkEnd w:id="69"/>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70" w:name="_Toc525904170"/>
            <w:bookmarkStart w:id="71" w:name="_Toc525904329"/>
            <w:bookmarkStart w:id="72" w:name="_Toc525904573"/>
            <w:r w:rsidRPr="009E5E18">
              <w:rPr>
                <w:rFonts w:ascii="Times New Roman" w:hAnsi="Times New Roman" w:cs="Times New Roman"/>
                <w:i w:val="0"/>
                <w:kern w:val="22"/>
                <w:szCs w:val="22"/>
                <w:lang w:val="fr-CA"/>
              </w:rPr>
              <w:t>Les menaces existantes ou raisonnablement anticipées sont gérées efficacement, en les évitant, en les réduisant substantiellement, ou en les supprimant, et en restaurant les écosystèmes dégradés.</w:t>
            </w:r>
            <w:bookmarkEnd w:id="70"/>
            <w:bookmarkEnd w:id="71"/>
            <w:bookmarkEnd w:id="72"/>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73" w:name="_Toc525904171"/>
            <w:bookmarkStart w:id="74" w:name="_Toc525904330"/>
            <w:bookmarkStart w:id="75" w:name="_Toc525904574"/>
            <w:r w:rsidRPr="009E5E18">
              <w:rPr>
                <w:rFonts w:ascii="Times New Roman" w:hAnsi="Times New Roman" w:cs="Times New Roman"/>
                <w:i w:val="0"/>
                <w:kern w:val="22"/>
                <w:szCs w:val="22"/>
                <w:lang w:val="fr-CA"/>
              </w:rPr>
              <w:t>Des mécanismes tels que les cadres de politique générale et réglementaires sont en place afin de reconnaître et de répondre aux nouvelles menaces.</w:t>
            </w:r>
            <w:bookmarkEnd w:id="73"/>
            <w:bookmarkEnd w:id="74"/>
            <w:bookmarkEnd w:id="75"/>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76" w:name="_Toc525904172"/>
            <w:bookmarkStart w:id="77" w:name="_Toc525904331"/>
            <w:bookmarkStart w:id="78" w:name="_Toc525904575"/>
            <w:r w:rsidRPr="009E5E18">
              <w:rPr>
                <w:rFonts w:ascii="Times New Roman" w:hAnsi="Times New Roman" w:cs="Times New Roman"/>
                <w:i w:val="0"/>
                <w:kern w:val="22"/>
                <w:szCs w:val="22"/>
                <w:lang w:val="fr-CA"/>
              </w:rPr>
              <w:t>La gestion à l’intérieur et à l’extérieur des autres mesures de conservation efficaces par zone est intégrée, le cas échéant et dans la mesure du possible.</w:t>
            </w:r>
            <w:bookmarkEnd w:id="76"/>
            <w:bookmarkEnd w:id="77"/>
            <w:bookmarkEnd w:id="78"/>
          </w:p>
        </w:tc>
      </w:tr>
      <w:tr w:rsidR="009F6935" w:rsidRPr="00AF7D0C" w:rsidTr="003D3017">
        <w:trPr>
          <w:cantSplit/>
          <w:trHeight w:val="1158"/>
          <w:jc w:val="center"/>
        </w:trPr>
        <w:tc>
          <w:tcPr>
            <w:tcW w:w="1611" w:type="dxa"/>
          </w:tcPr>
          <w:p w:rsidR="009F6935" w:rsidRPr="009E5E18" w:rsidRDefault="009F6935" w:rsidP="003D3017">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bookmarkStart w:id="79" w:name="_Toc525904173"/>
            <w:bookmarkStart w:id="80" w:name="_Toc525904332"/>
            <w:bookmarkStart w:id="81" w:name="_Toc525904576"/>
            <w:r w:rsidRPr="009E5E18">
              <w:rPr>
                <w:rFonts w:ascii="Times New Roman" w:hAnsi="Times New Roman" w:cs="Times New Roman"/>
                <w:b/>
                <w:i w:val="0"/>
                <w:kern w:val="22"/>
                <w:szCs w:val="22"/>
                <w:lang w:val="fr-CA"/>
              </w:rPr>
              <w:t>Durable à long terme</w:t>
            </w:r>
            <w:bookmarkEnd w:id="79"/>
            <w:bookmarkEnd w:id="80"/>
            <w:bookmarkEnd w:id="81"/>
          </w:p>
          <w:p w:rsidR="009F6935" w:rsidRPr="009E5E18" w:rsidRDefault="009F6935" w:rsidP="003D3017">
            <w:pPr>
              <w:jc w:val="center"/>
              <w:rPr>
                <w:rFonts w:ascii="Times New Roman" w:hAnsi="Times New Roman" w:cs="Times New Roman"/>
                <w:lang w:val="fr-CA"/>
              </w:rPr>
            </w:pPr>
          </w:p>
          <w:p w:rsidR="009F6935" w:rsidRPr="009E5E18" w:rsidRDefault="009F6935" w:rsidP="003D3017">
            <w:pPr>
              <w:jc w:val="center"/>
              <w:rPr>
                <w:rFonts w:ascii="Times New Roman" w:hAnsi="Times New Roman" w:cs="Times New Roman"/>
                <w:lang w:val="fr-CA"/>
              </w:rPr>
            </w:pPr>
          </w:p>
          <w:p w:rsidR="009F6935" w:rsidRPr="009E5E18" w:rsidRDefault="009F6935" w:rsidP="003D3017">
            <w:pPr>
              <w:jc w:val="center"/>
              <w:rPr>
                <w:rFonts w:ascii="Times New Roman" w:hAnsi="Times New Roman" w:cs="Times New Roman"/>
                <w:b/>
                <w:szCs w:val="22"/>
                <w:lang w:val="fr-CA"/>
              </w:rPr>
            </w:pPr>
          </w:p>
        </w:tc>
        <w:tc>
          <w:tcPr>
            <w:tcW w:w="7720" w:type="dxa"/>
            <w:tcBorders>
              <w:bottom w:val="single" w:sz="4" w:space="0" w:color="auto"/>
            </w:tcBorders>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82" w:name="_Toc525904174"/>
            <w:bookmarkStart w:id="83" w:name="_Toc525904333"/>
            <w:bookmarkStart w:id="84" w:name="_Toc525904577"/>
            <w:r w:rsidRPr="009E5E18">
              <w:rPr>
                <w:rFonts w:ascii="Times New Roman" w:hAnsi="Times New Roman" w:cs="Times New Roman"/>
                <w:i w:val="0"/>
                <w:kern w:val="22"/>
                <w:szCs w:val="22"/>
                <w:lang w:val="fr-CA"/>
              </w:rPr>
              <w:t>Les autres mesures de conservation efficaces par zone sont en place à long terme, ou le seront vraisemblablement.</w:t>
            </w:r>
            <w:bookmarkEnd w:id="82"/>
            <w:bookmarkEnd w:id="83"/>
            <w:bookmarkEnd w:id="84"/>
          </w:p>
          <w:p w:rsidR="009F6935" w:rsidRPr="009E5E18" w:rsidRDefault="009F6935" w:rsidP="00004EAF">
            <w:pPr>
              <w:pStyle w:val="ListParagraph"/>
              <w:numPr>
                <w:ilvl w:val="0"/>
                <w:numId w:val="12"/>
              </w:numPr>
              <w:rPr>
                <w:rFonts w:ascii="Times New Roman" w:hAnsi="Times New Roman" w:cs="Times New Roman"/>
                <w:iCs/>
                <w:kern w:val="22"/>
                <w:szCs w:val="22"/>
                <w:lang w:val="fr-FR"/>
              </w:rPr>
            </w:pPr>
            <w:r w:rsidRPr="009E5E18">
              <w:rPr>
                <w:rFonts w:ascii="Times New Roman" w:hAnsi="Times New Roman" w:cs="Times New Roman"/>
                <w:kern w:val="22"/>
                <w:szCs w:val="22"/>
                <w:lang w:val="fr-CA"/>
              </w:rPr>
              <w:t xml:space="preserve">La « durabilité </w:t>
            </w:r>
            <w:r w:rsidRPr="009E5E18">
              <w:rPr>
                <w:rFonts w:ascii="Times New Roman" w:hAnsi="Times New Roman" w:cs="Times New Roman"/>
                <w:szCs w:val="22"/>
                <w:lang w:val="fr-CA"/>
              </w:rPr>
              <w:t>» s’applique à la continuité de la gouvernance et de la gestion, et le « long terme » s’applique au résultat obtenu pour la diversité biologique</w:t>
            </w:r>
            <w:r w:rsidRPr="009E5E18">
              <w:rPr>
                <w:rFonts w:ascii="Times New Roman" w:hAnsi="Times New Roman" w:cs="Times New Roman"/>
                <w:kern w:val="22"/>
                <w:szCs w:val="22"/>
                <w:lang w:val="fr-CA"/>
              </w:rPr>
              <w:t>.</w:t>
            </w:r>
            <w:r w:rsidRPr="009E5E18">
              <w:rPr>
                <w:rFonts w:ascii="Times New Roman" w:hAnsi="Times New Roman" w:cs="Times New Roman"/>
                <w:szCs w:val="22"/>
                <w:lang w:val="fr-FR"/>
              </w:rPr>
              <w:t xml:space="preserve"> </w:t>
            </w:r>
          </w:p>
          <w:p w:rsidR="009F6935" w:rsidRPr="009E5E18" w:rsidRDefault="009F6935" w:rsidP="003D3017">
            <w:pPr>
              <w:pStyle w:val="Heading3"/>
              <w:keepNext w:val="0"/>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FR"/>
              </w:rPr>
            </w:pPr>
          </w:p>
        </w:tc>
      </w:tr>
      <w:tr w:rsidR="009F6935" w:rsidRPr="00AF7D0C" w:rsidTr="003D3017">
        <w:trPr>
          <w:cantSplit/>
          <w:trHeight w:val="2182"/>
          <w:jc w:val="center"/>
        </w:trPr>
        <w:tc>
          <w:tcPr>
            <w:tcW w:w="1611" w:type="dxa"/>
          </w:tcPr>
          <w:p w:rsidR="009F6935" w:rsidRPr="009E5E18" w:rsidRDefault="009F6935" w:rsidP="003D3017">
            <w:pPr>
              <w:jc w:val="center"/>
              <w:rPr>
                <w:rFonts w:ascii="Times New Roman" w:hAnsi="Times New Roman" w:cs="Times New Roman"/>
                <w:b/>
                <w:i/>
                <w:kern w:val="22"/>
                <w:szCs w:val="22"/>
                <w:lang w:val="fr-CA"/>
              </w:rPr>
            </w:pPr>
            <w:r w:rsidRPr="009E5E18">
              <w:rPr>
                <w:rFonts w:ascii="Times New Roman" w:hAnsi="Times New Roman" w:cs="Times New Roman"/>
                <w:b/>
                <w:szCs w:val="22"/>
                <w:lang w:val="fr-CA"/>
              </w:rPr>
              <w:lastRenderedPageBreak/>
              <w:t>Conservation in situ de la diversité biologique</w:t>
            </w:r>
          </w:p>
        </w:tc>
        <w:tc>
          <w:tcPr>
            <w:tcW w:w="7720" w:type="dxa"/>
            <w:tcBorders>
              <w:bottom w:val="single" w:sz="4" w:space="0" w:color="auto"/>
            </w:tcBorders>
          </w:tcPr>
          <w:p w:rsidR="009F6935" w:rsidRPr="009E5E18" w:rsidRDefault="009F6935" w:rsidP="00004EAF">
            <w:pPr>
              <w:pStyle w:val="ListParagraph"/>
              <w:numPr>
                <w:ilvl w:val="0"/>
                <w:numId w:val="12"/>
              </w:numPr>
              <w:rPr>
                <w:rFonts w:ascii="Times New Roman" w:hAnsi="Times New Roman" w:cs="Times New Roman"/>
                <w:iCs/>
                <w:kern w:val="22"/>
                <w:szCs w:val="22"/>
                <w:lang w:val="fr-FR"/>
              </w:rPr>
            </w:pPr>
            <w:r w:rsidRPr="009E5E18">
              <w:rPr>
                <w:rFonts w:ascii="Times New Roman" w:hAnsi="Times New Roman" w:cs="Times New Roman"/>
                <w:iCs/>
                <w:kern w:val="22"/>
                <w:szCs w:val="22"/>
                <w:lang w:val="fr-FR"/>
              </w:rPr>
              <w:t>Il est prévu que la reconnaissance d’</w:t>
            </w:r>
            <w:r w:rsidRPr="009E5E18">
              <w:rPr>
                <w:rFonts w:ascii="Times New Roman" w:hAnsi="Times New Roman" w:cs="Times New Roman"/>
                <w:kern w:val="22"/>
                <w:szCs w:val="22"/>
                <w:lang w:val="fr-FR"/>
              </w:rPr>
              <w:t xml:space="preserve">autres mesures de conservation efficaces par zone </w:t>
            </w:r>
            <w:r w:rsidRPr="009E5E18">
              <w:rPr>
                <w:rFonts w:ascii="Times New Roman" w:hAnsi="Times New Roman" w:cs="Times New Roman"/>
                <w:iCs/>
                <w:kern w:val="22"/>
                <w:szCs w:val="22"/>
                <w:lang w:val="fr-FR"/>
              </w:rPr>
              <w:t>inclue le recensement des différentes caractéristiques de la diversité biologique qui expliquent l’importance du site (communautés d’espèces rares, menacées ou en danger, écosystèmes naturels représentatifs, espèces dont l’aire de répartition est restreinte, zones importantes pour la diversité biologique, zones qui fournissent des fonctions et services écosystémiques critiques, zones de connectivité écologique).</w:t>
            </w:r>
          </w:p>
          <w:p w:rsidR="009F6935" w:rsidRPr="009E5E18" w:rsidRDefault="009F6935" w:rsidP="003D3017">
            <w:pPr>
              <w:pStyle w:val="Heading3"/>
              <w:suppressLineNumbers/>
              <w:suppressAutoHyphens/>
              <w:kinsoku w:val="0"/>
              <w:overflowPunct w:val="0"/>
              <w:autoSpaceDE w:val="0"/>
              <w:autoSpaceDN w:val="0"/>
              <w:spacing w:after="0"/>
              <w:ind w:left="403"/>
              <w:jc w:val="left"/>
              <w:outlineLvl w:val="2"/>
              <w:rPr>
                <w:rFonts w:ascii="Times New Roman" w:hAnsi="Times New Roman" w:cs="Times New Roman"/>
                <w:i w:val="0"/>
                <w:kern w:val="22"/>
                <w:szCs w:val="22"/>
                <w:lang w:val="fr-CA"/>
              </w:rPr>
            </w:pPr>
          </w:p>
        </w:tc>
      </w:tr>
      <w:tr w:rsidR="009F6935" w:rsidRPr="00AF7D0C" w:rsidTr="003D3017">
        <w:trPr>
          <w:cantSplit/>
          <w:jc w:val="center"/>
        </w:trPr>
        <w:tc>
          <w:tcPr>
            <w:tcW w:w="1611" w:type="dxa"/>
          </w:tcPr>
          <w:p w:rsidR="009F6935" w:rsidRPr="009E5E18" w:rsidRDefault="009F6935" w:rsidP="003D3017">
            <w:pPr>
              <w:suppressLineNumbers/>
              <w:suppressAutoHyphens/>
              <w:kinsoku w:val="0"/>
              <w:overflowPunct w:val="0"/>
              <w:autoSpaceDE w:val="0"/>
              <w:autoSpaceDN w:val="0"/>
              <w:jc w:val="left"/>
              <w:rPr>
                <w:rFonts w:ascii="Times New Roman" w:hAnsi="Times New Roman" w:cs="Times New Roman"/>
                <w:kern w:val="22"/>
                <w:szCs w:val="22"/>
                <w:lang w:val="fr-CA"/>
              </w:rPr>
            </w:pPr>
            <w:r w:rsidRPr="009E5E18">
              <w:rPr>
                <w:rFonts w:ascii="Times New Roman" w:hAnsi="Times New Roman" w:cs="Times New Roman"/>
                <w:b/>
                <w:color w:val="000000" w:themeColor="text1"/>
                <w:kern w:val="22"/>
                <w:szCs w:val="22"/>
                <w:lang w:val="fr-CA"/>
              </w:rPr>
              <w:t>Information et suivi</w:t>
            </w:r>
          </w:p>
        </w:tc>
        <w:tc>
          <w:tcPr>
            <w:tcW w:w="7720" w:type="dxa"/>
            <w:tcBorders>
              <w:top w:val="single" w:sz="4" w:space="0" w:color="auto"/>
            </w:tcBorders>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kern w:val="22"/>
                <w:szCs w:val="22"/>
                <w:lang w:val="fr-CA"/>
              </w:rPr>
            </w:pPr>
            <w:bookmarkStart w:id="85" w:name="_Toc525904175"/>
            <w:bookmarkStart w:id="86" w:name="_Toc525904334"/>
            <w:bookmarkStart w:id="87" w:name="_Toc525904578"/>
            <w:r w:rsidRPr="009E5E18">
              <w:rPr>
                <w:rFonts w:ascii="Times New Roman" w:hAnsi="Times New Roman" w:cs="Times New Roman"/>
                <w:i w:val="0"/>
                <w:kern w:val="22"/>
                <w:szCs w:val="22"/>
                <w:lang w:val="fr-CA"/>
              </w:rPr>
              <w:t>Le recensement d’autres mesures de conservation efficaces par zone doit documenter les caractéristiques connues de la diversité biologique, ainsi que, selon qu’il convient, les valeurs culturelles et/ou spirituelles de l’aire, et la gouvernance et la gestion en place, comme base de référence pour évaluer l’efficacité.</w:t>
            </w:r>
            <w:bookmarkEnd w:id="85"/>
            <w:bookmarkEnd w:id="86"/>
            <w:bookmarkEnd w:id="87"/>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88" w:name="_Toc525904176"/>
            <w:bookmarkStart w:id="89" w:name="_Toc525904335"/>
            <w:bookmarkStart w:id="90" w:name="_Toc525904579"/>
            <w:r w:rsidRPr="009E5E18">
              <w:rPr>
                <w:rFonts w:ascii="Times New Roman" w:hAnsi="Times New Roman" w:cs="Times New Roman"/>
                <w:i w:val="0"/>
                <w:kern w:val="22"/>
                <w:szCs w:val="22"/>
                <w:lang w:val="fr-CA"/>
              </w:rPr>
              <w:t>Le système de suivi fournit des données sur l’efficacité des mesures de gestion en lien avec la diversité biologique, y compris l’état des écosystèmes.</w:t>
            </w:r>
            <w:bookmarkEnd w:id="88"/>
            <w:bookmarkEnd w:id="89"/>
            <w:bookmarkEnd w:id="90"/>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60"/>
              <w:ind w:left="403"/>
              <w:jc w:val="left"/>
              <w:outlineLvl w:val="2"/>
              <w:rPr>
                <w:rFonts w:ascii="Times New Roman" w:hAnsi="Times New Roman" w:cs="Times New Roman"/>
                <w:i w:val="0"/>
                <w:kern w:val="22"/>
                <w:szCs w:val="22"/>
                <w:lang w:val="fr-CA"/>
              </w:rPr>
            </w:pPr>
            <w:bookmarkStart w:id="91" w:name="_Toc525904177"/>
            <w:bookmarkStart w:id="92" w:name="_Toc525904336"/>
            <w:bookmarkStart w:id="93" w:name="_Toc525904580"/>
            <w:r w:rsidRPr="009E5E18">
              <w:rPr>
                <w:rFonts w:ascii="Times New Roman" w:hAnsi="Times New Roman" w:cs="Times New Roman"/>
                <w:i w:val="0"/>
                <w:kern w:val="22"/>
                <w:szCs w:val="22"/>
                <w:lang w:val="fr-CA"/>
              </w:rPr>
              <w:t>Des processus doivent être en place afin d’évaluer l’efficacité de la gouvernance et de la gestion, notamment en ce qui concerne l’équité.</w:t>
            </w:r>
            <w:bookmarkEnd w:id="91"/>
            <w:bookmarkEnd w:id="92"/>
            <w:bookmarkEnd w:id="93"/>
          </w:p>
          <w:p w:rsidR="009F6935" w:rsidRPr="009E5E18" w:rsidRDefault="009F6935" w:rsidP="00004EAF">
            <w:pPr>
              <w:pStyle w:val="ListParagraph"/>
              <w:numPr>
                <w:ilvl w:val="0"/>
                <w:numId w:val="12"/>
              </w:numPr>
              <w:rPr>
                <w:rFonts w:ascii="Times New Roman" w:hAnsi="Times New Roman" w:cs="Times New Roman"/>
                <w:szCs w:val="22"/>
                <w:lang w:val="fr-CA"/>
              </w:rPr>
            </w:pPr>
            <w:r w:rsidRPr="009E5E18">
              <w:rPr>
                <w:rFonts w:ascii="Times New Roman" w:hAnsi="Times New Roman" w:cs="Times New Roman"/>
                <w:szCs w:val="22"/>
                <w:lang w:val="fr-CA"/>
              </w:rPr>
              <w:t>Des données générales sur la zone concernée, telles que la délimitation de ses frontières, son but et sa gouvernance, figurent parmi les informations disponibles.</w:t>
            </w:r>
          </w:p>
        </w:tc>
      </w:tr>
      <w:tr w:rsidR="009F6935" w:rsidRPr="00AF7D0C" w:rsidTr="003D3017">
        <w:trPr>
          <w:cantSplit/>
          <w:jc w:val="center"/>
        </w:trPr>
        <w:tc>
          <w:tcPr>
            <w:tcW w:w="9331" w:type="dxa"/>
            <w:gridSpan w:val="2"/>
            <w:shd w:val="clear" w:color="auto" w:fill="BFBFBF" w:themeFill="background1" w:themeFillShade="BF"/>
          </w:tcPr>
          <w:p w:rsidR="009F6935" w:rsidRPr="009E5E18" w:rsidRDefault="009F6935" w:rsidP="003D3017">
            <w:pPr>
              <w:pStyle w:val="Heading3"/>
              <w:suppressLineNumbers/>
              <w:suppressAutoHyphens/>
              <w:kinsoku w:val="0"/>
              <w:overflowPunct w:val="0"/>
              <w:autoSpaceDE w:val="0"/>
              <w:autoSpaceDN w:val="0"/>
              <w:spacing w:before="0" w:after="0"/>
              <w:ind w:left="259" w:hanging="259"/>
              <w:jc w:val="left"/>
              <w:outlineLvl w:val="2"/>
              <w:rPr>
                <w:rFonts w:ascii="Times New Roman" w:hAnsi="Times New Roman" w:cs="Times New Roman"/>
                <w:b/>
                <w:bCs/>
                <w:i w:val="0"/>
                <w:kern w:val="22"/>
                <w:szCs w:val="22"/>
                <w:lang w:val="fr-CA"/>
              </w:rPr>
            </w:pPr>
            <w:bookmarkStart w:id="94" w:name="_Toc525904178"/>
            <w:bookmarkStart w:id="95" w:name="_Toc525904337"/>
            <w:bookmarkStart w:id="96" w:name="_Toc525904581"/>
            <w:r w:rsidRPr="009E5E18">
              <w:rPr>
                <w:rFonts w:ascii="Times New Roman" w:hAnsi="Times New Roman" w:cs="Times New Roman"/>
                <w:b/>
                <w:i w:val="0"/>
                <w:kern w:val="22"/>
                <w:szCs w:val="22"/>
                <w:lang w:val="fr-CA"/>
              </w:rPr>
              <w:t>Critère D : Fonctions et services écosystémiques connexes, et valeurs culturelles, spirituelles, socioéconomiques et autres valeurs pertinentes localement</w:t>
            </w:r>
            <w:bookmarkEnd w:id="94"/>
            <w:bookmarkEnd w:id="95"/>
            <w:bookmarkEnd w:id="96"/>
          </w:p>
        </w:tc>
      </w:tr>
      <w:tr w:rsidR="009F6935" w:rsidRPr="00AF7D0C" w:rsidTr="003D3017">
        <w:trPr>
          <w:cantSplit/>
          <w:jc w:val="center"/>
        </w:trPr>
        <w:tc>
          <w:tcPr>
            <w:tcW w:w="1611" w:type="dxa"/>
          </w:tcPr>
          <w:p w:rsidR="009F6935" w:rsidRPr="009E5E18" w:rsidRDefault="009F6935" w:rsidP="003D3017">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bookmarkStart w:id="97" w:name="_Toc525904179"/>
            <w:bookmarkStart w:id="98" w:name="_Toc525904338"/>
            <w:bookmarkStart w:id="99" w:name="_Toc525904582"/>
            <w:r w:rsidRPr="009E5E18">
              <w:rPr>
                <w:rFonts w:ascii="Times New Roman" w:hAnsi="Times New Roman" w:cs="Times New Roman"/>
                <w:b/>
                <w:i w:val="0"/>
                <w:kern w:val="22"/>
                <w:szCs w:val="22"/>
                <w:lang w:val="fr-CA"/>
              </w:rPr>
              <w:t>Fonctions et services écosystémiques</w:t>
            </w:r>
            <w:bookmarkEnd w:id="97"/>
            <w:bookmarkEnd w:id="98"/>
            <w:bookmarkEnd w:id="99"/>
          </w:p>
        </w:tc>
        <w:tc>
          <w:tcPr>
            <w:tcW w:w="7720" w:type="dxa"/>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100" w:name="_Toc525904180"/>
            <w:bookmarkStart w:id="101" w:name="_Toc525904339"/>
            <w:bookmarkStart w:id="102" w:name="_Toc525904583"/>
            <w:r w:rsidRPr="009E5E18">
              <w:rPr>
                <w:rFonts w:ascii="Times New Roman" w:hAnsi="Times New Roman" w:cs="Times New Roman"/>
                <w:i w:val="0"/>
                <w:kern w:val="22"/>
                <w:szCs w:val="22"/>
                <w:lang w:val="fr-CA"/>
              </w:rPr>
              <w:t>Les fonctions et services écosystémiques sont soutenus, y compris ceux qui sont importants pour les peuples autochtones et les communautés locales, pour d’autres mesures de conservation efficaces par zone concernant leurs territoires, en tenant compte des interactions et des compromis effectués entre les fonctions et services écosystémiques, dans le but d’obtenir des résultats positifs pour la diversité biologique et l’équité.</w:t>
            </w:r>
            <w:bookmarkEnd w:id="100"/>
            <w:bookmarkEnd w:id="101"/>
            <w:bookmarkEnd w:id="102"/>
          </w:p>
          <w:p w:rsidR="009F6935" w:rsidRPr="009E5E18" w:rsidRDefault="009F6935" w:rsidP="00004EAF">
            <w:pPr>
              <w:pStyle w:val="ListParagraph"/>
              <w:numPr>
                <w:ilvl w:val="0"/>
                <w:numId w:val="41"/>
              </w:numPr>
              <w:ind w:left="368"/>
              <w:rPr>
                <w:rFonts w:ascii="Times New Roman" w:hAnsi="Times New Roman" w:cs="Times New Roman"/>
                <w:szCs w:val="22"/>
                <w:lang w:val="fr-CA"/>
              </w:rPr>
            </w:pPr>
            <w:r w:rsidRPr="009E5E18">
              <w:rPr>
                <w:rFonts w:ascii="Times New Roman" w:hAnsi="Times New Roman" w:cs="Times New Roman"/>
                <w:szCs w:val="22"/>
                <w:lang w:val="fr-CA"/>
              </w:rPr>
              <w:t>Toute mesure de gestion visant à renforcer une fonction ou un service écosystémique particulier n’a aucun impact négatif sur la diversité biologique générale du site.</w:t>
            </w:r>
          </w:p>
        </w:tc>
      </w:tr>
      <w:tr w:rsidR="009F6935" w:rsidRPr="00AF7D0C" w:rsidTr="003D3017">
        <w:trPr>
          <w:cantSplit/>
          <w:jc w:val="center"/>
        </w:trPr>
        <w:tc>
          <w:tcPr>
            <w:tcW w:w="1611" w:type="dxa"/>
          </w:tcPr>
          <w:p w:rsidR="009F6935" w:rsidRPr="009E5E18" w:rsidRDefault="009F6935" w:rsidP="003D3017">
            <w:pPr>
              <w:pStyle w:val="Heading3"/>
              <w:keepNext w:val="0"/>
              <w:suppressLineNumbers/>
              <w:suppressAutoHyphens/>
              <w:kinsoku w:val="0"/>
              <w:overflowPunct w:val="0"/>
              <w:autoSpaceDE w:val="0"/>
              <w:autoSpaceDN w:val="0"/>
              <w:spacing w:before="0" w:after="0"/>
              <w:jc w:val="left"/>
              <w:outlineLvl w:val="2"/>
              <w:rPr>
                <w:rFonts w:ascii="Times New Roman" w:hAnsi="Times New Roman" w:cs="Times New Roman"/>
                <w:b/>
                <w:bCs/>
                <w:i w:val="0"/>
                <w:kern w:val="22"/>
                <w:szCs w:val="22"/>
                <w:lang w:val="fr-CA"/>
              </w:rPr>
            </w:pPr>
            <w:bookmarkStart w:id="103" w:name="_Toc525904181"/>
            <w:bookmarkStart w:id="104" w:name="_Toc525904340"/>
            <w:bookmarkStart w:id="105" w:name="_Toc525904584"/>
            <w:r w:rsidRPr="009E5E18">
              <w:rPr>
                <w:rFonts w:ascii="Times New Roman" w:hAnsi="Times New Roman" w:cs="Times New Roman"/>
                <w:b/>
                <w:i w:val="0"/>
                <w:kern w:val="22"/>
                <w:szCs w:val="22"/>
                <w:lang w:val="fr-CA"/>
              </w:rPr>
              <w:t>Valeurs culturelles, spirituelles, socioéconomiques et autres valeurs pertinentes localement</w:t>
            </w:r>
            <w:bookmarkEnd w:id="103"/>
            <w:bookmarkEnd w:id="104"/>
            <w:bookmarkEnd w:id="105"/>
          </w:p>
        </w:tc>
        <w:tc>
          <w:tcPr>
            <w:tcW w:w="7720" w:type="dxa"/>
          </w:tcPr>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106" w:name="_Toc525904182"/>
            <w:bookmarkStart w:id="107" w:name="_Toc525904341"/>
            <w:bookmarkStart w:id="108" w:name="_Toc525904585"/>
            <w:r w:rsidRPr="009E5E18">
              <w:rPr>
                <w:rFonts w:ascii="Times New Roman" w:hAnsi="Times New Roman" w:cs="Times New Roman"/>
                <w:i w:val="0"/>
                <w:kern w:val="22"/>
                <w:szCs w:val="22"/>
                <w:lang w:val="fr-CA"/>
              </w:rPr>
              <w:t>Les mesures de gouvernance et de gestion recensent, respectent et maintiennent les valeurs culturelles, spirituelles, socioéconomiques de la zone concernée et d’autres valeurs pertinentes localement, lorsque ces valeurs existent.</w:t>
            </w:r>
            <w:bookmarkEnd w:id="106"/>
            <w:bookmarkEnd w:id="107"/>
            <w:bookmarkEnd w:id="108"/>
          </w:p>
          <w:p w:rsidR="009F6935" w:rsidRPr="009E5E18" w:rsidRDefault="009F6935" w:rsidP="00004EAF">
            <w:pPr>
              <w:pStyle w:val="Heading3"/>
              <w:keepNext w:val="0"/>
              <w:numPr>
                <w:ilvl w:val="0"/>
                <w:numId w:val="12"/>
              </w:numPr>
              <w:suppressLineNumbers/>
              <w:tabs>
                <w:tab w:val="clear" w:pos="567"/>
              </w:tabs>
              <w:suppressAutoHyphens/>
              <w:kinsoku w:val="0"/>
              <w:overflowPunct w:val="0"/>
              <w:autoSpaceDE w:val="0"/>
              <w:autoSpaceDN w:val="0"/>
              <w:spacing w:before="0" w:after="0"/>
              <w:ind w:left="403"/>
              <w:jc w:val="left"/>
              <w:outlineLvl w:val="2"/>
              <w:rPr>
                <w:rFonts w:ascii="Times New Roman" w:hAnsi="Times New Roman" w:cs="Times New Roman"/>
                <w:i w:val="0"/>
                <w:kern w:val="22"/>
                <w:szCs w:val="22"/>
                <w:lang w:val="fr-CA"/>
              </w:rPr>
            </w:pPr>
            <w:bookmarkStart w:id="109" w:name="_Toc525904183"/>
            <w:bookmarkStart w:id="110" w:name="_Toc525904342"/>
            <w:bookmarkStart w:id="111" w:name="_Toc525904586"/>
            <w:r w:rsidRPr="009E5E18">
              <w:rPr>
                <w:rFonts w:ascii="Times New Roman" w:hAnsi="Times New Roman" w:cs="Times New Roman"/>
                <w:i w:val="0"/>
                <w:kern w:val="22"/>
                <w:szCs w:val="22"/>
                <w:lang w:val="fr-CA"/>
              </w:rPr>
              <w:t>Les mesures de gouvernance et de gestion respectent et maintiennent les connaissances, les pratiques et les institutions fondamentales pour la conservation in situ de la diversité biologique.</w:t>
            </w:r>
            <w:bookmarkEnd w:id="109"/>
            <w:bookmarkEnd w:id="110"/>
            <w:bookmarkEnd w:id="111"/>
          </w:p>
        </w:tc>
      </w:tr>
    </w:tbl>
    <w:p w:rsidR="009F6935" w:rsidRPr="00AF5B6D" w:rsidRDefault="009F6935" w:rsidP="009F6935">
      <w:pPr>
        <w:pStyle w:val="Heading1"/>
        <w:suppressLineNumbers/>
        <w:tabs>
          <w:tab w:val="clear" w:pos="720"/>
          <w:tab w:val="left" w:pos="360"/>
        </w:tabs>
        <w:suppressAutoHyphens/>
        <w:kinsoku w:val="0"/>
        <w:overflowPunct w:val="0"/>
        <w:autoSpaceDE w:val="0"/>
        <w:autoSpaceDN w:val="0"/>
        <w:spacing w:before="480" w:after="240" w:line="226" w:lineRule="auto"/>
        <w:rPr>
          <w:bCs/>
          <w:kern w:val="22"/>
          <w:szCs w:val="22"/>
          <w:lang w:val="fr-CA"/>
        </w:rPr>
      </w:pPr>
      <w:bookmarkStart w:id="112" w:name="_Toc525904184"/>
      <w:bookmarkStart w:id="113" w:name="_Toc525904343"/>
      <w:bookmarkStart w:id="114" w:name="_Toc525904587"/>
      <w:r>
        <w:rPr>
          <w:bCs/>
          <w:kern w:val="22"/>
          <w:szCs w:val="22"/>
          <w:lang w:val="fr-CA"/>
        </w:rPr>
        <w:t>C.</w:t>
      </w:r>
      <w:r>
        <w:rPr>
          <w:bCs/>
          <w:kern w:val="22"/>
          <w:szCs w:val="22"/>
          <w:lang w:val="fr-CA"/>
        </w:rPr>
        <w:tab/>
        <w:t>AUTRES considÉration</w:t>
      </w:r>
      <w:r w:rsidRPr="00AF5B6D">
        <w:rPr>
          <w:bCs/>
          <w:kern w:val="22"/>
          <w:szCs w:val="22"/>
          <w:lang w:val="fr-CA"/>
        </w:rPr>
        <w:t>S</w:t>
      </w:r>
      <w:bookmarkEnd w:id="112"/>
      <w:bookmarkEnd w:id="113"/>
      <w:bookmarkEnd w:id="114"/>
    </w:p>
    <w:p w:rsidR="009F6935" w:rsidRPr="00AF5B6D" w:rsidRDefault="009F6935" w:rsidP="00004EAF">
      <w:pPr>
        <w:pStyle w:val="ListParagraph"/>
        <w:keepNext/>
        <w:numPr>
          <w:ilvl w:val="6"/>
          <w:numId w:val="14"/>
        </w:numPr>
        <w:suppressLineNumbers/>
        <w:tabs>
          <w:tab w:val="left" w:pos="360"/>
        </w:tabs>
        <w:suppressAutoHyphens/>
        <w:kinsoku w:val="0"/>
        <w:overflowPunct w:val="0"/>
        <w:autoSpaceDE w:val="0"/>
        <w:autoSpaceDN w:val="0"/>
        <w:spacing w:line="226" w:lineRule="auto"/>
        <w:ind w:left="0" w:firstLine="0"/>
        <w:jc w:val="center"/>
        <w:rPr>
          <w:i/>
          <w:kern w:val="22"/>
          <w:szCs w:val="22"/>
          <w:lang w:val="fr-CA"/>
        </w:rPr>
      </w:pPr>
      <w:r w:rsidRPr="00AF5B6D">
        <w:rPr>
          <w:i/>
          <w:kern w:val="22"/>
          <w:szCs w:val="22"/>
          <w:lang w:val="fr-CA"/>
        </w:rPr>
        <w:t>Approches de gestion</w:t>
      </w:r>
    </w:p>
    <w:p w:rsidR="009F6935" w:rsidRPr="00AF5B6D" w:rsidRDefault="009F6935" w:rsidP="00004EAF">
      <w:pPr>
        <w:pStyle w:val="ListParagraph"/>
        <w:numPr>
          <w:ilvl w:val="0"/>
          <w:numId w:val="24"/>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Les </w:t>
      </w:r>
      <w:r>
        <w:rPr>
          <w:kern w:val="22"/>
          <w:szCs w:val="22"/>
          <w:lang w:val="fr-CA"/>
        </w:rPr>
        <w:t>autres mesures de conservation efficaces par zone</w:t>
      </w:r>
      <w:r w:rsidRPr="00AF5B6D">
        <w:rPr>
          <w:kern w:val="22"/>
          <w:szCs w:val="22"/>
          <w:lang w:val="fr-CA"/>
        </w:rPr>
        <w:t xml:space="preserve"> sont diversifiées </w:t>
      </w:r>
      <w:r>
        <w:rPr>
          <w:kern w:val="22"/>
          <w:szCs w:val="22"/>
          <w:lang w:val="fr-CA"/>
        </w:rPr>
        <w:t>quant</w:t>
      </w:r>
      <w:r w:rsidRPr="00AF5B6D">
        <w:rPr>
          <w:kern w:val="22"/>
          <w:szCs w:val="22"/>
          <w:lang w:val="fr-CA"/>
        </w:rPr>
        <w:t xml:space="preserve"> à leur objet, leur conception, leur</w:t>
      </w:r>
      <w:r>
        <w:rPr>
          <w:kern w:val="22"/>
          <w:szCs w:val="22"/>
          <w:lang w:val="fr-CA"/>
        </w:rPr>
        <w:t xml:space="preserve"> gouvernance, leurs parties prenantes</w:t>
      </w:r>
      <w:r w:rsidRPr="00AF5B6D">
        <w:rPr>
          <w:kern w:val="22"/>
          <w:szCs w:val="22"/>
          <w:lang w:val="fr-CA"/>
        </w:rPr>
        <w:t xml:space="preserve"> et leu</w:t>
      </w:r>
      <w:r>
        <w:rPr>
          <w:kern w:val="22"/>
          <w:szCs w:val="22"/>
          <w:lang w:val="fr-CA"/>
        </w:rPr>
        <w:t>r</w:t>
      </w:r>
      <w:r w:rsidRPr="00AF5B6D">
        <w:rPr>
          <w:kern w:val="22"/>
          <w:szCs w:val="22"/>
          <w:lang w:val="fr-CA"/>
        </w:rPr>
        <w:t xml:space="preserve"> gestio</w:t>
      </w:r>
      <w:r>
        <w:rPr>
          <w:kern w:val="22"/>
          <w:szCs w:val="22"/>
          <w:lang w:val="fr-CA"/>
        </w:rPr>
        <w:t>n, surtout lorsqu’elles peuvent tenir</w:t>
      </w:r>
      <w:r w:rsidRPr="00AF5B6D">
        <w:rPr>
          <w:kern w:val="22"/>
          <w:szCs w:val="22"/>
          <w:lang w:val="fr-CA"/>
        </w:rPr>
        <w:t xml:space="preserve"> co</w:t>
      </w:r>
      <w:r>
        <w:rPr>
          <w:kern w:val="22"/>
          <w:szCs w:val="22"/>
          <w:lang w:val="fr-CA"/>
        </w:rPr>
        <w:t xml:space="preserve">mpte des valeurs culturelles, </w:t>
      </w:r>
      <w:r w:rsidRPr="00AF5B6D">
        <w:rPr>
          <w:kern w:val="22"/>
          <w:szCs w:val="22"/>
          <w:lang w:val="fr-CA"/>
        </w:rPr>
        <w:t>s</w:t>
      </w:r>
      <w:r>
        <w:rPr>
          <w:kern w:val="22"/>
          <w:szCs w:val="22"/>
          <w:lang w:val="fr-CA"/>
        </w:rPr>
        <w:t>pirituelles, socioéconomiques connexes et d’autres valeurs pertinentes localement</w:t>
      </w:r>
      <w:r w:rsidRPr="00AF5B6D">
        <w:rPr>
          <w:kern w:val="22"/>
          <w:szCs w:val="22"/>
          <w:lang w:val="fr-CA"/>
        </w:rPr>
        <w:t xml:space="preserve">. Par conséquent, les approches de gestion des </w:t>
      </w:r>
      <w:r>
        <w:rPr>
          <w:kern w:val="22"/>
          <w:szCs w:val="22"/>
          <w:lang w:val="fr-CA"/>
        </w:rPr>
        <w:t>autres mesures de conservation efficaces par zone sont et resteront</w:t>
      </w:r>
      <w:r w:rsidRPr="00AF5B6D">
        <w:rPr>
          <w:kern w:val="22"/>
          <w:szCs w:val="22"/>
          <w:lang w:val="fr-CA"/>
        </w:rPr>
        <w:t xml:space="preserve"> diversifiées;</w:t>
      </w:r>
    </w:p>
    <w:p w:rsidR="009F6935" w:rsidRPr="00AF5B6D" w:rsidRDefault="009F6935" w:rsidP="00004EAF">
      <w:pPr>
        <w:pStyle w:val="ListParagraph"/>
        <w:numPr>
          <w:ilvl w:val="0"/>
          <w:numId w:val="24"/>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Certaines </w:t>
      </w:r>
      <w:r>
        <w:rPr>
          <w:kern w:val="22"/>
          <w:szCs w:val="22"/>
          <w:lang w:val="fr-CA"/>
        </w:rPr>
        <w:t>autres mesures de conservation efficaces par zone peuvent être adoptées</w:t>
      </w:r>
      <w:r w:rsidRPr="00AF5B6D">
        <w:rPr>
          <w:kern w:val="22"/>
          <w:szCs w:val="22"/>
          <w:lang w:val="fr-CA"/>
        </w:rPr>
        <w:t>, reconnues ou gérées dans le but de soutenir intentionnellement la conservation in s</w:t>
      </w:r>
      <w:r>
        <w:rPr>
          <w:kern w:val="22"/>
          <w:szCs w:val="22"/>
          <w:lang w:val="fr-CA"/>
        </w:rPr>
        <w:t xml:space="preserve">itu de la diversité </w:t>
      </w:r>
      <w:r>
        <w:rPr>
          <w:kern w:val="22"/>
          <w:szCs w:val="22"/>
          <w:lang w:val="fr-CA"/>
        </w:rPr>
        <w:lastRenderedPageBreak/>
        <w:t>biologique. Ce but</w:t>
      </w:r>
      <w:r w:rsidRPr="00AF5B6D">
        <w:rPr>
          <w:kern w:val="22"/>
          <w:szCs w:val="22"/>
          <w:lang w:val="fr-CA"/>
        </w:rPr>
        <w:t xml:space="preserve"> est un objectif de gestion primaire</w:t>
      </w:r>
      <w:r>
        <w:rPr>
          <w:kern w:val="22"/>
          <w:szCs w:val="22"/>
          <w:lang w:val="fr-CA"/>
        </w:rPr>
        <w:t>,</w:t>
      </w:r>
      <w:r w:rsidRPr="00AF5B6D">
        <w:rPr>
          <w:kern w:val="22"/>
          <w:szCs w:val="22"/>
          <w:lang w:val="fr-CA"/>
        </w:rPr>
        <w:t xml:space="preserve"> ou </w:t>
      </w:r>
      <w:r>
        <w:rPr>
          <w:kern w:val="22"/>
          <w:szCs w:val="22"/>
          <w:lang w:val="fr-CA"/>
        </w:rPr>
        <w:t xml:space="preserve">bien </w:t>
      </w:r>
      <w:r w:rsidRPr="00AF5B6D">
        <w:rPr>
          <w:kern w:val="22"/>
          <w:szCs w:val="22"/>
          <w:lang w:val="fr-CA"/>
        </w:rPr>
        <w:t>fait partie d’objectifs de gestion intentionnels;</w:t>
      </w:r>
    </w:p>
    <w:p w:rsidR="009F6935" w:rsidRPr="00AF5B6D" w:rsidRDefault="009F6935" w:rsidP="00004EAF">
      <w:pPr>
        <w:pStyle w:val="ListParagraph"/>
        <w:numPr>
          <w:ilvl w:val="0"/>
          <w:numId w:val="24"/>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Certaines </w:t>
      </w:r>
      <w:r>
        <w:rPr>
          <w:kern w:val="22"/>
          <w:szCs w:val="22"/>
          <w:lang w:val="fr-CA"/>
        </w:rPr>
        <w:t>autres mesures de conservation efficaces par zone peuvent être adoptées</w:t>
      </w:r>
      <w:r w:rsidRPr="00AF5B6D">
        <w:rPr>
          <w:kern w:val="22"/>
          <w:szCs w:val="22"/>
          <w:lang w:val="fr-CA"/>
        </w:rPr>
        <w:t>, reconnues ou g</w:t>
      </w:r>
      <w:r>
        <w:rPr>
          <w:kern w:val="22"/>
          <w:szCs w:val="22"/>
          <w:lang w:val="fr-CA"/>
        </w:rPr>
        <w:t>érées dans un autre but que celui de</w:t>
      </w:r>
      <w:r w:rsidRPr="00AF5B6D">
        <w:rPr>
          <w:kern w:val="22"/>
          <w:szCs w:val="22"/>
          <w:lang w:val="fr-CA"/>
        </w:rPr>
        <w:t xml:space="preserve"> soutenir la conservation in situ de la diversité biologique. </w:t>
      </w:r>
      <w:r>
        <w:rPr>
          <w:kern w:val="22"/>
          <w:szCs w:val="22"/>
          <w:lang w:val="fr-CA"/>
        </w:rPr>
        <w:t>Leur</w:t>
      </w:r>
      <w:r w:rsidRPr="00AF5B6D">
        <w:rPr>
          <w:kern w:val="22"/>
          <w:szCs w:val="22"/>
          <w:lang w:val="fr-CA"/>
        </w:rPr>
        <w:t xml:space="preserve"> contribution à la conservation in situ de la diversité biologique est </w:t>
      </w:r>
      <w:r>
        <w:rPr>
          <w:kern w:val="22"/>
          <w:szCs w:val="22"/>
          <w:lang w:val="fr-CA"/>
        </w:rPr>
        <w:t xml:space="preserve">donc </w:t>
      </w:r>
      <w:r w:rsidRPr="00AF5B6D">
        <w:rPr>
          <w:kern w:val="22"/>
          <w:szCs w:val="22"/>
          <w:lang w:val="fr-CA"/>
        </w:rPr>
        <w:t xml:space="preserve">un avantage connexe de leur premier objectif ou but intentionnel de gestion. </w:t>
      </w:r>
      <w:r>
        <w:rPr>
          <w:kern w:val="22"/>
          <w:szCs w:val="22"/>
          <w:lang w:val="fr-CA"/>
        </w:rPr>
        <w:t>I</w:t>
      </w:r>
      <w:r w:rsidRPr="00AF5B6D">
        <w:rPr>
          <w:kern w:val="22"/>
          <w:szCs w:val="22"/>
          <w:lang w:val="fr-CA"/>
        </w:rPr>
        <w:t>l est souhaitable que cette contribution devienne un obje</w:t>
      </w:r>
      <w:r>
        <w:rPr>
          <w:kern w:val="22"/>
          <w:szCs w:val="22"/>
          <w:lang w:val="fr-CA"/>
        </w:rPr>
        <w:t>ctif reconnu de la gestion des autres mesures de conservation efficaces par zone</w:t>
      </w:r>
      <w:r w:rsidRPr="00AF5B6D">
        <w:rPr>
          <w:kern w:val="22"/>
          <w:szCs w:val="22"/>
          <w:lang w:val="fr-CA"/>
        </w:rPr>
        <w:t>;</w:t>
      </w:r>
    </w:p>
    <w:p w:rsidR="009F6935" w:rsidRDefault="009F6935" w:rsidP="00004EAF">
      <w:pPr>
        <w:pStyle w:val="ListParagraph"/>
        <w:numPr>
          <w:ilvl w:val="0"/>
          <w:numId w:val="24"/>
        </w:numPr>
        <w:suppressLineNumbers/>
        <w:suppressAutoHyphens/>
        <w:kinsoku w:val="0"/>
        <w:overflowPunct w:val="0"/>
        <w:autoSpaceDE w:val="0"/>
        <w:autoSpaceDN w:val="0"/>
        <w:spacing w:before="120" w:after="120" w:line="226" w:lineRule="auto"/>
        <w:ind w:left="0" w:firstLine="720"/>
        <w:contextualSpacing w:val="0"/>
        <w:rPr>
          <w:kern w:val="22"/>
          <w:szCs w:val="22"/>
          <w:lang w:val="fr-CA" w:eastAsia="en-CA"/>
        </w:rPr>
      </w:pPr>
      <w:r>
        <w:rPr>
          <w:kern w:val="22"/>
          <w:szCs w:val="22"/>
          <w:lang w:val="fr-CA"/>
        </w:rPr>
        <w:t>Des mesures de gestion spécifiqu</w:t>
      </w:r>
      <w:r w:rsidRPr="00AF5B6D">
        <w:rPr>
          <w:kern w:val="22"/>
          <w:szCs w:val="22"/>
          <w:lang w:val="fr-CA"/>
        </w:rPr>
        <w:t>es doivent</w:t>
      </w:r>
      <w:r>
        <w:rPr>
          <w:kern w:val="22"/>
          <w:szCs w:val="22"/>
          <w:lang w:val="fr-CA"/>
        </w:rPr>
        <w:t xml:space="preserve"> être définies et appliquées</w:t>
      </w:r>
      <w:r w:rsidRPr="00AF5B6D">
        <w:rPr>
          <w:kern w:val="22"/>
          <w:szCs w:val="22"/>
          <w:lang w:val="fr-CA"/>
        </w:rPr>
        <w:t xml:space="preserve"> dans tous les cas où la conservation in situ de la diversité biologique est reconnu</w:t>
      </w:r>
      <w:r>
        <w:rPr>
          <w:kern w:val="22"/>
          <w:szCs w:val="22"/>
          <w:lang w:val="fr-CA"/>
        </w:rPr>
        <w:t>e</w:t>
      </w:r>
      <w:r w:rsidRPr="00AF5B6D">
        <w:rPr>
          <w:kern w:val="22"/>
          <w:szCs w:val="22"/>
          <w:lang w:val="fr-CA"/>
        </w:rPr>
        <w:t xml:space="preserve"> </w:t>
      </w:r>
      <w:r>
        <w:rPr>
          <w:kern w:val="22"/>
          <w:szCs w:val="22"/>
          <w:lang w:val="fr-CA"/>
        </w:rPr>
        <w:t>comme un outil de gestion;</w:t>
      </w:r>
    </w:p>
    <w:p w:rsidR="009F6935" w:rsidRPr="001303DF" w:rsidRDefault="009F6935" w:rsidP="00004EAF">
      <w:pPr>
        <w:pStyle w:val="ListParagraph"/>
        <w:numPr>
          <w:ilvl w:val="0"/>
          <w:numId w:val="24"/>
        </w:numPr>
        <w:suppressLineNumbers/>
        <w:suppressAutoHyphens/>
        <w:kinsoku w:val="0"/>
        <w:overflowPunct w:val="0"/>
        <w:autoSpaceDE w:val="0"/>
        <w:autoSpaceDN w:val="0"/>
        <w:spacing w:before="120" w:after="240" w:line="226" w:lineRule="auto"/>
        <w:ind w:left="0" w:firstLine="720"/>
        <w:contextualSpacing w:val="0"/>
        <w:rPr>
          <w:kern w:val="22"/>
          <w:szCs w:val="22"/>
          <w:lang w:val="fr-FR" w:eastAsia="en-CA"/>
        </w:rPr>
      </w:pPr>
      <w:r>
        <w:rPr>
          <w:spacing w:val="-1"/>
          <w:kern w:val="22"/>
          <w:szCs w:val="22"/>
          <w:lang w:val="fr-CA"/>
        </w:rPr>
        <w:t>Il convient d’assurer un</w:t>
      </w:r>
      <w:r w:rsidRPr="001303DF">
        <w:rPr>
          <w:spacing w:val="-1"/>
          <w:kern w:val="22"/>
          <w:szCs w:val="22"/>
          <w:lang w:val="fr-FR"/>
        </w:rPr>
        <w:t xml:space="preserve"> suivi de l’efficacité des </w:t>
      </w:r>
      <w:r w:rsidRPr="001303DF">
        <w:rPr>
          <w:kern w:val="22"/>
          <w:szCs w:val="22"/>
          <w:lang w:val="fr-FR"/>
        </w:rPr>
        <w:t>autres mesures de conservation efficaces par zone</w:t>
      </w:r>
      <w:r w:rsidRPr="001303DF">
        <w:rPr>
          <w:spacing w:val="-1"/>
          <w:kern w:val="22"/>
          <w:szCs w:val="22"/>
          <w:lang w:val="fr-FR"/>
        </w:rPr>
        <w:t xml:space="preserve">. </w:t>
      </w:r>
      <w:r>
        <w:rPr>
          <w:spacing w:val="-1"/>
          <w:kern w:val="22"/>
          <w:szCs w:val="22"/>
          <w:lang w:val="fr-FR"/>
        </w:rPr>
        <w:t>Ceci peu</w:t>
      </w:r>
      <w:r w:rsidRPr="001303DF">
        <w:rPr>
          <w:spacing w:val="-1"/>
          <w:kern w:val="22"/>
          <w:szCs w:val="22"/>
          <w:lang w:val="fr-FR"/>
        </w:rPr>
        <w:t>t inclure: i) des données de référence, tell</w:t>
      </w:r>
      <w:r>
        <w:rPr>
          <w:spacing w:val="-1"/>
          <w:kern w:val="22"/>
          <w:szCs w:val="22"/>
          <w:lang w:val="fr-FR"/>
        </w:rPr>
        <w:t>e</w:t>
      </w:r>
      <w:r w:rsidRPr="001303DF">
        <w:rPr>
          <w:spacing w:val="-1"/>
          <w:kern w:val="22"/>
          <w:szCs w:val="22"/>
          <w:lang w:val="fr-FR"/>
        </w:rPr>
        <w:t xml:space="preserve">s qu’une documentation des valeurs et des éléments constitutifs de la diversité biologique; ii) </w:t>
      </w:r>
      <w:r>
        <w:rPr>
          <w:spacing w:val="-1"/>
          <w:kern w:val="22"/>
          <w:szCs w:val="22"/>
          <w:lang w:val="fr-FR"/>
        </w:rPr>
        <w:t>un suivi permanent</w:t>
      </w:r>
      <w:r w:rsidRPr="001303DF">
        <w:rPr>
          <w:spacing w:val="-1"/>
          <w:kern w:val="22"/>
          <w:szCs w:val="22"/>
          <w:lang w:val="fr-FR"/>
        </w:rPr>
        <w:t xml:space="preserve"> par les communautés </w:t>
      </w:r>
      <w:r>
        <w:rPr>
          <w:spacing w:val="-1"/>
          <w:kern w:val="22"/>
          <w:szCs w:val="22"/>
          <w:lang w:val="fr-FR"/>
        </w:rPr>
        <w:t xml:space="preserve">et l’intégration des connaissances traditionnelles, selon qu’il convient; </w:t>
      </w:r>
      <w:r w:rsidRPr="001303DF">
        <w:rPr>
          <w:spacing w:val="-1"/>
          <w:kern w:val="22"/>
          <w:szCs w:val="22"/>
          <w:lang w:val="fr-FR"/>
        </w:rPr>
        <w:t xml:space="preserve">iii) </w:t>
      </w:r>
      <w:r>
        <w:rPr>
          <w:spacing w:val="-1"/>
          <w:kern w:val="22"/>
          <w:szCs w:val="22"/>
          <w:lang w:val="fr-FR"/>
        </w:rPr>
        <w:t xml:space="preserve">un suivi à long terme, y compris sur la façon d’assurer la durabilité de la diversité biologique et d’améliorer la </w:t>
      </w:r>
      <w:r w:rsidRPr="001303DF">
        <w:rPr>
          <w:spacing w:val="-1"/>
          <w:kern w:val="22"/>
          <w:szCs w:val="22"/>
          <w:lang w:val="fr-FR"/>
        </w:rPr>
        <w:t>conservation</w:t>
      </w:r>
      <w:r>
        <w:rPr>
          <w:spacing w:val="-1"/>
          <w:kern w:val="22"/>
          <w:szCs w:val="22"/>
          <w:lang w:val="fr-FR"/>
        </w:rPr>
        <w:t xml:space="preserve"> in situ; </w:t>
      </w:r>
      <w:r w:rsidRPr="001303DF">
        <w:rPr>
          <w:spacing w:val="-1"/>
          <w:kern w:val="22"/>
          <w:szCs w:val="22"/>
          <w:lang w:val="fr-FR"/>
        </w:rPr>
        <w:t xml:space="preserve">iv) </w:t>
      </w:r>
      <w:r>
        <w:rPr>
          <w:spacing w:val="-1"/>
          <w:kern w:val="22"/>
          <w:szCs w:val="22"/>
          <w:lang w:val="fr-FR"/>
        </w:rPr>
        <w:t xml:space="preserve">un suivi de la </w:t>
      </w:r>
      <w:r w:rsidRPr="001303DF">
        <w:rPr>
          <w:spacing w:val="-1"/>
          <w:kern w:val="22"/>
          <w:szCs w:val="22"/>
          <w:lang w:val="fr-FR"/>
        </w:rPr>
        <w:t>go</w:t>
      </w:r>
      <w:r>
        <w:rPr>
          <w:spacing w:val="-1"/>
          <w:kern w:val="22"/>
          <w:szCs w:val="22"/>
          <w:lang w:val="fr-FR"/>
        </w:rPr>
        <w:t>u</w:t>
      </w:r>
      <w:r w:rsidRPr="001303DF">
        <w:rPr>
          <w:spacing w:val="-1"/>
          <w:kern w:val="22"/>
          <w:szCs w:val="22"/>
          <w:lang w:val="fr-FR"/>
        </w:rPr>
        <w:t xml:space="preserve">vernance, </w:t>
      </w:r>
      <w:r>
        <w:rPr>
          <w:spacing w:val="-1"/>
          <w:kern w:val="22"/>
          <w:szCs w:val="22"/>
          <w:lang w:val="fr-FR"/>
        </w:rPr>
        <w:t>de la participation des parties prenantes et des systèmes de gestion qui contribuent aux résultats obtenus pour la diversité biologique</w:t>
      </w:r>
      <w:r w:rsidRPr="001303DF">
        <w:rPr>
          <w:spacing w:val="-1"/>
          <w:kern w:val="22"/>
          <w:szCs w:val="22"/>
          <w:lang w:val="fr-FR"/>
        </w:rPr>
        <w:t>.</w:t>
      </w:r>
    </w:p>
    <w:p w:rsidR="009F6935" w:rsidRPr="00AF5B6D" w:rsidRDefault="009F6935" w:rsidP="009F6935">
      <w:pPr>
        <w:pStyle w:val="ListParagraph"/>
        <w:keepNext/>
        <w:suppressLineNumbers/>
        <w:tabs>
          <w:tab w:val="left" w:pos="360"/>
        </w:tabs>
        <w:suppressAutoHyphens/>
        <w:kinsoku w:val="0"/>
        <w:overflowPunct w:val="0"/>
        <w:autoSpaceDE w:val="0"/>
        <w:autoSpaceDN w:val="0"/>
        <w:spacing w:before="120" w:after="120" w:line="226" w:lineRule="auto"/>
        <w:ind w:left="0"/>
        <w:contextualSpacing w:val="0"/>
        <w:jc w:val="center"/>
        <w:rPr>
          <w:i/>
          <w:caps/>
          <w:kern w:val="22"/>
          <w:szCs w:val="22"/>
          <w:lang w:val="fr-CA"/>
        </w:rPr>
      </w:pPr>
      <w:r w:rsidRPr="00AF5B6D">
        <w:rPr>
          <w:i/>
          <w:kern w:val="22"/>
          <w:szCs w:val="22"/>
          <w:lang w:val="fr-CA"/>
        </w:rPr>
        <w:t>2.</w:t>
      </w:r>
      <w:r w:rsidRPr="00AF5B6D">
        <w:rPr>
          <w:i/>
          <w:kern w:val="22"/>
          <w:szCs w:val="22"/>
          <w:lang w:val="fr-CA"/>
        </w:rPr>
        <w:tab/>
        <w:t>R</w:t>
      </w:r>
      <w:r>
        <w:rPr>
          <w:i/>
          <w:kern w:val="22"/>
          <w:szCs w:val="22"/>
          <w:lang w:val="fr-CA"/>
        </w:rPr>
        <w:t>ôle dans la r</w:t>
      </w:r>
      <w:r w:rsidRPr="00AF5B6D">
        <w:rPr>
          <w:i/>
          <w:kern w:val="22"/>
          <w:szCs w:val="22"/>
          <w:lang w:val="fr-CA"/>
        </w:rPr>
        <w:t>éalisation de l’Objectif 11 d’</w:t>
      </w:r>
      <w:r>
        <w:rPr>
          <w:i/>
          <w:kern w:val="22"/>
          <w:szCs w:val="22"/>
          <w:lang w:val="fr-CA"/>
        </w:rPr>
        <w:t>Aichi pour la biodiversité</w:t>
      </w:r>
    </w:p>
    <w:p w:rsidR="009F6935" w:rsidRPr="00AF5B6D" w:rsidRDefault="009F6935" w:rsidP="00004EAF">
      <w:pPr>
        <w:pStyle w:val="ListParagraph"/>
        <w:numPr>
          <w:ilvl w:val="0"/>
          <w:numId w:val="25"/>
        </w:numPr>
        <w:suppressLineNumbers/>
        <w:suppressAutoHyphens/>
        <w:kinsoku w:val="0"/>
        <w:overflowPunct w:val="0"/>
        <w:autoSpaceDE w:val="0"/>
        <w:autoSpaceDN w:val="0"/>
        <w:spacing w:before="120" w:after="120" w:line="226" w:lineRule="auto"/>
        <w:ind w:left="0" w:firstLine="720"/>
        <w:contextualSpacing w:val="0"/>
        <w:rPr>
          <w:kern w:val="22"/>
          <w:szCs w:val="22"/>
          <w:lang w:val="fr-CA"/>
        </w:rPr>
      </w:pPr>
      <w:r w:rsidRPr="00AF5B6D">
        <w:rPr>
          <w:kern w:val="22"/>
          <w:szCs w:val="22"/>
          <w:lang w:val="fr-CA"/>
        </w:rPr>
        <w:t xml:space="preserve">Les </w:t>
      </w:r>
      <w:r>
        <w:rPr>
          <w:kern w:val="22"/>
          <w:szCs w:val="22"/>
          <w:lang w:val="fr-CA"/>
        </w:rPr>
        <w:t>autres mesures de conservation efficaces par zone</w:t>
      </w:r>
      <w:r w:rsidRPr="00AF5B6D">
        <w:rPr>
          <w:kern w:val="22"/>
          <w:szCs w:val="22"/>
          <w:lang w:val="fr-CA"/>
        </w:rPr>
        <w:t>, par définition, contribuent aux éléments quantitatifs (c.-à-d., les éléments de couverture de 17 p. cent et de 10 p. cent) et qualitatifs (p. ex., représe</w:t>
      </w:r>
      <w:r>
        <w:rPr>
          <w:kern w:val="22"/>
          <w:szCs w:val="22"/>
          <w:lang w:val="fr-CA"/>
        </w:rPr>
        <w:t>ntativité, couverture d’aires importantes</w:t>
      </w:r>
      <w:r w:rsidRPr="00AF5B6D">
        <w:rPr>
          <w:kern w:val="22"/>
          <w:szCs w:val="22"/>
          <w:lang w:val="fr-CA"/>
        </w:rPr>
        <w:t xml:space="preserve"> pour la diversité biologique, connectivité et intégration dans des paysages terrestres et marin plus vastes, efficacité et équité de la gestion) de l’Objectif 11 d’</w:t>
      </w:r>
      <w:r>
        <w:rPr>
          <w:kern w:val="22"/>
          <w:szCs w:val="22"/>
          <w:lang w:val="fr-CA"/>
        </w:rPr>
        <w:t>Aichi pour la biodiversité</w:t>
      </w:r>
      <w:r w:rsidRPr="00AF5B6D">
        <w:rPr>
          <w:kern w:val="22"/>
          <w:szCs w:val="22"/>
          <w:lang w:val="fr-CA"/>
        </w:rPr>
        <w:t>;</w:t>
      </w:r>
    </w:p>
    <w:p w:rsidR="009F6935" w:rsidRPr="00AF5B6D" w:rsidRDefault="009F6935" w:rsidP="00004EAF">
      <w:pPr>
        <w:pStyle w:val="ListParagraph"/>
        <w:numPr>
          <w:ilvl w:val="0"/>
          <w:numId w:val="25"/>
        </w:numPr>
        <w:suppressLineNumbers/>
        <w:suppressAutoHyphens/>
        <w:kinsoku w:val="0"/>
        <w:overflowPunct w:val="0"/>
        <w:autoSpaceDE w:val="0"/>
        <w:autoSpaceDN w:val="0"/>
        <w:spacing w:before="120" w:after="600" w:line="226" w:lineRule="auto"/>
        <w:ind w:left="0" w:firstLine="720"/>
        <w:contextualSpacing w:val="0"/>
        <w:rPr>
          <w:kern w:val="22"/>
          <w:szCs w:val="22"/>
          <w:lang w:val="fr-CA"/>
        </w:rPr>
      </w:pPr>
      <w:r w:rsidRPr="00AF5B6D">
        <w:rPr>
          <w:kern w:val="22"/>
          <w:szCs w:val="22"/>
          <w:lang w:val="fr-CA"/>
        </w:rPr>
        <w:t xml:space="preserve">Étant donné la diversité des </w:t>
      </w:r>
      <w:r>
        <w:rPr>
          <w:kern w:val="22"/>
          <w:szCs w:val="22"/>
          <w:lang w:val="fr-CA"/>
        </w:rPr>
        <w:t>autres mesures de conservation efficaces par zone quant à leur objet, leur conc</w:t>
      </w:r>
      <w:r w:rsidRPr="00AF5B6D">
        <w:rPr>
          <w:kern w:val="22"/>
          <w:szCs w:val="22"/>
          <w:lang w:val="fr-CA"/>
        </w:rPr>
        <w:t xml:space="preserve">eption, </w:t>
      </w:r>
      <w:r>
        <w:rPr>
          <w:kern w:val="22"/>
          <w:szCs w:val="22"/>
          <w:lang w:val="fr-CA"/>
        </w:rPr>
        <w:t>leur</w:t>
      </w:r>
      <w:r w:rsidRPr="00AF5B6D">
        <w:rPr>
          <w:kern w:val="22"/>
          <w:szCs w:val="22"/>
          <w:lang w:val="fr-CA"/>
        </w:rPr>
        <w:t xml:space="preserve"> gouvernance</w:t>
      </w:r>
      <w:r>
        <w:rPr>
          <w:kern w:val="22"/>
          <w:szCs w:val="22"/>
          <w:lang w:val="fr-CA"/>
        </w:rPr>
        <w:t>, les parties prenantes</w:t>
      </w:r>
      <w:r w:rsidRPr="00AF5B6D">
        <w:rPr>
          <w:kern w:val="22"/>
          <w:szCs w:val="22"/>
          <w:lang w:val="fr-CA"/>
        </w:rPr>
        <w:t xml:space="preserve"> et </w:t>
      </w:r>
      <w:r>
        <w:rPr>
          <w:kern w:val="22"/>
          <w:szCs w:val="22"/>
          <w:lang w:val="fr-CA"/>
        </w:rPr>
        <w:t>leur gestion, ces mesures</w:t>
      </w:r>
      <w:r w:rsidRPr="00AF5B6D">
        <w:rPr>
          <w:kern w:val="22"/>
          <w:szCs w:val="22"/>
          <w:lang w:val="fr-CA"/>
        </w:rPr>
        <w:t xml:space="preserve"> contribuent souvent à d’autres Objectifs d’</w:t>
      </w:r>
      <w:r>
        <w:rPr>
          <w:kern w:val="22"/>
          <w:szCs w:val="22"/>
          <w:lang w:val="fr-CA"/>
        </w:rPr>
        <w:t>Aichi pour la biodiversité</w:t>
      </w:r>
      <w:r w:rsidRPr="00AF5B6D">
        <w:rPr>
          <w:kern w:val="22"/>
          <w:szCs w:val="22"/>
          <w:lang w:val="fr-CA"/>
        </w:rPr>
        <w:t xml:space="preserve">, </w:t>
      </w:r>
      <w:r>
        <w:rPr>
          <w:kern w:val="22"/>
          <w:szCs w:val="22"/>
          <w:lang w:val="fr-CA"/>
        </w:rPr>
        <w:t>ainsi qu’aux</w:t>
      </w:r>
      <w:r w:rsidRPr="00AF5B6D">
        <w:rPr>
          <w:kern w:val="22"/>
          <w:szCs w:val="22"/>
          <w:lang w:val="fr-CA"/>
        </w:rPr>
        <w:t xml:space="preserve"> objectifs du Programme de développement durable à l’horizon 2030</w:t>
      </w:r>
      <w:r>
        <w:rPr>
          <w:kern w:val="22"/>
          <w:szCs w:val="22"/>
          <w:lang w:val="fr-CA"/>
        </w:rPr>
        <w:t xml:space="preserve"> et aux buts ou objectifs</w:t>
      </w:r>
      <w:r w:rsidRPr="00AF5B6D">
        <w:rPr>
          <w:kern w:val="22"/>
          <w:szCs w:val="22"/>
          <w:lang w:val="fr-CA"/>
        </w:rPr>
        <w:t xml:space="preserve"> d’autres accords multilatéraux sur l’environnement.</w:t>
      </w:r>
      <w:r w:rsidRPr="00A96257">
        <w:rPr>
          <w:rStyle w:val="FootnoteReference"/>
          <w:kern w:val="22"/>
          <w:sz w:val="20"/>
          <w:szCs w:val="20"/>
          <w:u w:val="none"/>
          <w:vertAlign w:val="superscript"/>
          <w:lang w:val="fr-CA"/>
        </w:rPr>
        <w:footnoteReference w:id="73"/>
      </w:r>
    </w:p>
    <w:p w:rsidR="009F6935" w:rsidRPr="00071DAA" w:rsidRDefault="009F6935" w:rsidP="009F6935">
      <w:pPr>
        <w:spacing w:after="160" w:line="259" w:lineRule="auto"/>
        <w:jc w:val="center"/>
        <w:rPr>
          <w:color w:val="000000"/>
          <w:kern w:val="22"/>
          <w:szCs w:val="22"/>
          <w:lang w:val="fr-CA"/>
        </w:rPr>
      </w:pPr>
      <w:r w:rsidRPr="00AF5B6D">
        <w:rPr>
          <w:i/>
          <w:kern w:val="22"/>
          <w:szCs w:val="22"/>
          <w:lang w:val="fr-CA"/>
        </w:rPr>
        <w:t>Annexe IV</w:t>
      </w:r>
    </w:p>
    <w:p w:rsidR="009F6935" w:rsidRDefault="009F6935" w:rsidP="009F6935">
      <w:pPr>
        <w:keepNext/>
        <w:suppressLineNumbers/>
        <w:suppressAutoHyphens/>
        <w:kinsoku w:val="0"/>
        <w:overflowPunct w:val="0"/>
        <w:autoSpaceDE w:val="0"/>
        <w:autoSpaceDN w:val="0"/>
        <w:spacing w:before="120" w:after="360"/>
        <w:jc w:val="center"/>
        <w:rPr>
          <w:b/>
          <w:kern w:val="22"/>
          <w:szCs w:val="22"/>
          <w:lang w:val="fr-CA"/>
        </w:rPr>
      </w:pPr>
      <w:r>
        <w:rPr>
          <w:b/>
          <w:kern w:val="22"/>
          <w:szCs w:val="22"/>
          <w:lang w:val="fr-CA"/>
        </w:rPr>
        <w:t>CONSIDÉRATIONS À PRENDRE EN COMPTE POUR ATTEINDRE</w:t>
      </w:r>
      <w:r w:rsidRPr="00AF5B6D">
        <w:rPr>
          <w:b/>
          <w:kern w:val="22"/>
          <w:szCs w:val="22"/>
          <w:lang w:val="fr-CA"/>
        </w:rPr>
        <w:t xml:space="preserve"> L’OBJECTIF 11 D’</w:t>
      </w:r>
      <w:r>
        <w:rPr>
          <w:b/>
          <w:kern w:val="22"/>
          <w:szCs w:val="22"/>
          <w:lang w:val="fr-CA"/>
        </w:rPr>
        <w:t>AICHI POUR LA BIODIVERSITÉ D</w:t>
      </w:r>
      <w:r w:rsidRPr="00AF5B6D">
        <w:rPr>
          <w:b/>
          <w:kern w:val="22"/>
          <w:szCs w:val="22"/>
          <w:lang w:val="fr-CA"/>
        </w:rPr>
        <w:t>ANS LES AIRES MARINES ET CÔTIÈRES</w:t>
      </w:r>
    </w:p>
    <w:p w:rsidR="009F6935" w:rsidRPr="00FB7DBD" w:rsidRDefault="009F6935" w:rsidP="009F6935">
      <w:pPr>
        <w:suppressLineNumbers/>
        <w:suppressAutoHyphens/>
        <w:kinsoku w:val="0"/>
        <w:overflowPunct w:val="0"/>
        <w:autoSpaceDE w:val="0"/>
        <w:autoSpaceDN w:val="0"/>
        <w:adjustRightInd w:val="0"/>
        <w:snapToGrid w:val="0"/>
        <w:spacing w:before="120" w:after="240"/>
        <w:rPr>
          <w:bCs/>
          <w:iCs/>
          <w:kern w:val="22"/>
          <w:szCs w:val="22"/>
          <w:lang w:val="fr-CA"/>
        </w:rPr>
      </w:pPr>
      <w:r w:rsidRPr="00FB7DBD">
        <w:rPr>
          <w:bCs/>
          <w:iCs/>
          <w:kern w:val="22"/>
          <w:szCs w:val="22"/>
          <w:lang w:val="fr-CA"/>
        </w:rPr>
        <w:t>Ces considérations sont bas</w:t>
      </w:r>
      <w:r>
        <w:rPr>
          <w:bCs/>
          <w:iCs/>
          <w:kern w:val="22"/>
          <w:szCs w:val="22"/>
          <w:lang w:val="fr-CA"/>
        </w:rPr>
        <w:t>ées sur les débats menés à</w:t>
      </w:r>
      <w:r w:rsidRPr="00FB7DBD">
        <w:rPr>
          <w:bCs/>
          <w:iCs/>
          <w:kern w:val="22"/>
          <w:szCs w:val="22"/>
          <w:lang w:val="fr-CA"/>
        </w:rPr>
        <w:t xml:space="preserve"> l’atelier d’experts sur les aires marines protégées et d’autres mesures de conservation </w:t>
      </w:r>
      <w:r>
        <w:rPr>
          <w:bCs/>
          <w:iCs/>
          <w:kern w:val="22"/>
          <w:szCs w:val="22"/>
          <w:lang w:val="fr-CA"/>
        </w:rPr>
        <w:t>efficac</w:t>
      </w:r>
      <w:r w:rsidRPr="00FB7DBD">
        <w:rPr>
          <w:bCs/>
          <w:iCs/>
          <w:kern w:val="22"/>
          <w:szCs w:val="22"/>
          <w:lang w:val="fr-CA"/>
        </w:rPr>
        <w:t xml:space="preserve">es par zone, en vue d’atteindre l’Objectif 11 d’Aichi pour la biodiversité dans les aires marines et </w:t>
      </w:r>
      <w:r>
        <w:rPr>
          <w:bCs/>
          <w:iCs/>
          <w:kern w:val="22"/>
          <w:szCs w:val="22"/>
          <w:lang w:val="fr-CA"/>
        </w:rPr>
        <w:t>côtières, ainsi que sur du matériel d’information préparé pour cet atelier (voir</w:t>
      </w:r>
      <w:r w:rsidRPr="00FB7DBD">
        <w:rPr>
          <w:bCs/>
          <w:iCs/>
          <w:kern w:val="22"/>
          <w:szCs w:val="22"/>
          <w:lang w:val="fr-CA"/>
        </w:rPr>
        <w:t xml:space="preserve"> CBD/MCB/EM/2018/1/3).</w:t>
      </w:r>
    </w:p>
    <w:p w:rsidR="009F6935" w:rsidRPr="00AF5B6D" w:rsidRDefault="009F6935" w:rsidP="009F6935">
      <w:pPr>
        <w:pStyle w:val="Heading2longmultiline"/>
        <w:suppressLineNumbers/>
        <w:suppressAutoHyphens/>
        <w:kinsoku w:val="0"/>
        <w:overflowPunct w:val="0"/>
        <w:autoSpaceDE w:val="0"/>
        <w:autoSpaceDN w:val="0"/>
        <w:ind w:hanging="1047"/>
        <w:rPr>
          <w:b w:val="0"/>
          <w:kern w:val="22"/>
          <w:szCs w:val="22"/>
          <w:lang w:val="fr-CA"/>
        </w:rPr>
      </w:pPr>
      <w:bookmarkStart w:id="115" w:name="_Toc525904185"/>
      <w:bookmarkStart w:id="116" w:name="_Toc525904344"/>
      <w:bookmarkStart w:id="117" w:name="_Toc525904588"/>
      <w:r>
        <w:rPr>
          <w:kern w:val="22"/>
          <w:szCs w:val="22"/>
          <w:lang w:val="fr-CA"/>
        </w:rPr>
        <w:t>A.</w:t>
      </w:r>
      <w:r>
        <w:rPr>
          <w:kern w:val="22"/>
          <w:szCs w:val="22"/>
          <w:lang w:val="fr-CA"/>
        </w:rPr>
        <w:tab/>
        <w:t xml:space="preserve">Aspects uniques du milieu marin qui présentent un intérêt </w:t>
      </w:r>
      <w:r w:rsidRPr="00AF5B6D">
        <w:rPr>
          <w:kern w:val="22"/>
          <w:szCs w:val="22"/>
          <w:lang w:val="fr-CA"/>
        </w:rPr>
        <w:t>p</w:t>
      </w:r>
      <w:r>
        <w:rPr>
          <w:kern w:val="22"/>
          <w:szCs w:val="22"/>
          <w:lang w:val="fr-CA"/>
        </w:rPr>
        <w:t>our les mesures de conservation/</w:t>
      </w:r>
      <w:r w:rsidRPr="00AF5B6D">
        <w:rPr>
          <w:kern w:val="22"/>
          <w:szCs w:val="22"/>
          <w:lang w:val="fr-CA"/>
        </w:rPr>
        <w:t>gestion par zone</w:t>
      </w:r>
      <w:bookmarkEnd w:id="115"/>
      <w:bookmarkEnd w:id="116"/>
      <w:bookmarkEnd w:id="117"/>
    </w:p>
    <w:p w:rsidR="009F6935" w:rsidRPr="00AF5B6D" w:rsidRDefault="009F6935" w:rsidP="009F6935">
      <w:pPr>
        <w:suppressLineNumbers/>
        <w:suppressAutoHyphens/>
        <w:kinsoku w:val="0"/>
        <w:overflowPunct w:val="0"/>
        <w:autoSpaceDE w:val="0"/>
        <w:autoSpaceDN w:val="0"/>
        <w:spacing w:before="120" w:after="120"/>
        <w:rPr>
          <w:bCs/>
          <w:iCs/>
          <w:kern w:val="22"/>
          <w:szCs w:val="22"/>
          <w:lang w:val="fr-CA"/>
        </w:rPr>
      </w:pPr>
      <w:r w:rsidRPr="00AF5B6D">
        <w:rPr>
          <w:bCs/>
          <w:iCs/>
          <w:kern w:val="22"/>
          <w:szCs w:val="22"/>
          <w:lang w:val="fr-CA"/>
        </w:rPr>
        <w:t>1.</w:t>
      </w:r>
      <w:r w:rsidRPr="00AF5B6D">
        <w:rPr>
          <w:bCs/>
          <w:iCs/>
          <w:kern w:val="22"/>
          <w:szCs w:val="22"/>
          <w:lang w:val="fr-CA"/>
        </w:rPr>
        <w:tab/>
        <w:t>Les</w:t>
      </w:r>
      <w:r>
        <w:rPr>
          <w:bCs/>
          <w:iCs/>
          <w:kern w:val="22"/>
          <w:szCs w:val="22"/>
          <w:lang w:val="fr-CA"/>
        </w:rPr>
        <w:t xml:space="preserve"> outils et les approches de conservation et de</w:t>
      </w:r>
      <w:r w:rsidRPr="00AF5B6D">
        <w:rPr>
          <w:bCs/>
          <w:iCs/>
          <w:kern w:val="22"/>
          <w:szCs w:val="22"/>
          <w:lang w:val="fr-CA"/>
        </w:rPr>
        <w:t xml:space="preserve"> gestion dans les aires marines et côtières sont semblables, mais il existe néanmoins des différences inhéren</w:t>
      </w:r>
      <w:r>
        <w:rPr>
          <w:bCs/>
          <w:iCs/>
          <w:kern w:val="22"/>
          <w:szCs w:val="22"/>
          <w:lang w:val="fr-CA"/>
        </w:rPr>
        <w:t>tes entre les milieux</w:t>
      </w:r>
      <w:r w:rsidRPr="00AF5B6D">
        <w:rPr>
          <w:bCs/>
          <w:iCs/>
          <w:kern w:val="22"/>
          <w:szCs w:val="22"/>
          <w:lang w:val="fr-CA"/>
        </w:rPr>
        <w:t xml:space="preserve"> terrestres et marins qui peuvent avoir des conséquences sur l’application des mes</w:t>
      </w:r>
      <w:r>
        <w:rPr>
          <w:bCs/>
          <w:iCs/>
          <w:kern w:val="22"/>
          <w:szCs w:val="22"/>
          <w:lang w:val="fr-CA"/>
        </w:rPr>
        <w:t>ures de conservation par zone. C</w:t>
      </w:r>
      <w:r w:rsidRPr="00AF5B6D">
        <w:rPr>
          <w:bCs/>
          <w:iCs/>
          <w:kern w:val="22"/>
          <w:szCs w:val="22"/>
          <w:lang w:val="fr-CA"/>
        </w:rPr>
        <w:t>e</w:t>
      </w:r>
      <w:r>
        <w:rPr>
          <w:bCs/>
          <w:iCs/>
          <w:kern w:val="22"/>
          <w:szCs w:val="22"/>
          <w:lang w:val="fr-CA"/>
        </w:rPr>
        <w:t xml:space="preserve">s aspects uniques incluent les suivants </w:t>
      </w:r>
      <w:r w:rsidRPr="00AF5B6D">
        <w:rPr>
          <w:bCs/>
          <w:iCs/>
          <w:kern w:val="22"/>
          <w:szCs w:val="22"/>
          <w:lang w:val="fr-CA"/>
        </w:rPr>
        <w:t>:</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 nature tridimensionnelle </w:t>
      </w:r>
      <w:r>
        <w:rPr>
          <w:bCs/>
          <w:iCs/>
          <w:kern w:val="22"/>
          <w:szCs w:val="22"/>
          <w:lang w:val="fr-CA"/>
        </w:rPr>
        <w:t>du milieu marin</w:t>
      </w:r>
      <w:r w:rsidRPr="00AF5B6D">
        <w:rPr>
          <w:bCs/>
          <w:iCs/>
          <w:kern w:val="22"/>
          <w:szCs w:val="22"/>
          <w:lang w:val="fr-CA"/>
        </w:rPr>
        <w:t xml:space="preserve"> (dont la profondeur maximum peut atteindre </w:t>
      </w:r>
      <w:r>
        <w:rPr>
          <w:bCs/>
          <w:iCs/>
          <w:kern w:val="22"/>
          <w:szCs w:val="22"/>
          <w:lang w:val="fr-CA"/>
        </w:rPr>
        <w:t xml:space="preserve">près de </w:t>
      </w:r>
      <w:r w:rsidRPr="00AF5B6D">
        <w:rPr>
          <w:bCs/>
          <w:iCs/>
          <w:kern w:val="22"/>
          <w:szCs w:val="22"/>
          <w:lang w:val="fr-CA"/>
        </w:rPr>
        <w:t>11 km en océan profond), fortement influenc</w:t>
      </w:r>
      <w:r>
        <w:rPr>
          <w:bCs/>
          <w:iCs/>
          <w:kern w:val="22"/>
          <w:szCs w:val="22"/>
          <w:lang w:val="fr-CA"/>
        </w:rPr>
        <w:t>é</w:t>
      </w:r>
      <w:r w:rsidRPr="00AF5B6D">
        <w:rPr>
          <w:bCs/>
          <w:iCs/>
          <w:kern w:val="22"/>
          <w:szCs w:val="22"/>
          <w:lang w:val="fr-CA"/>
        </w:rPr>
        <w:t>e par les changements dans les propriétés physicochimiques</w:t>
      </w:r>
      <w:r>
        <w:rPr>
          <w:bCs/>
          <w:iCs/>
          <w:kern w:val="22"/>
          <w:szCs w:val="22"/>
          <w:lang w:val="fr-CA"/>
        </w:rPr>
        <w:t xml:space="preserve">, y compris </w:t>
      </w:r>
      <w:r w:rsidRPr="00AF5B6D">
        <w:rPr>
          <w:bCs/>
          <w:iCs/>
          <w:kern w:val="22"/>
          <w:szCs w:val="22"/>
          <w:lang w:val="fr-CA"/>
        </w:rPr>
        <w:t>la pression, la salinité et la luminosité;</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lastRenderedPageBreak/>
        <w:t xml:space="preserve">La nature dynamique </w:t>
      </w:r>
      <w:r>
        <w:rPr>
          <w:bCs/>
          <w:iCs/>
          <w:kern w:val="22"/>
          <w:szCs w:val="22"/>
          <w:lang w:val="fr-CA"/>
        </w:rPr>
        <w:t>du milieu marin</w:t>
      </w:r>
      <w:r w:rsidRPr="00AF5B6D">
        <w:rPr>
          <w:bCs/>
          <w:iCs/>
          <w:kern w:val="22"/>
          <w:szCs w:val="22"/>
          <w:lang w:val="fr-CA"/>
        </w:rPr>
        <w:t xml:space="preserve">, influencé </w:t>
      </w:r>
      <w:r>
        <w:rPr>
          <w:bCs/>
          <w:iCs/>
          <w:kern w:val="22"/>
          <w:szCs w:val="22"/>
          <w:lang w:val="fr-CA"/>
        </w:rPr>
        <w:t>notamment par les courants et les marées</w:t>
      </w:r>
      <w:r w:rsidRPr="00AF5B6D">
        <w:rPr>
          <w:bCs/>
          <w:iCs/>
          <w:kern w:val="22"/>
          <w:szCs w:val="22"/>
          <w:lang w:val="fr-CA"/>
        </w:rPr>
        <w:t>, et facilitant la connectivité entre les écosystèmes et les habitats;</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Pr>
          <w:bCs/>
          <w:iCs/>
          <w:kern w:val="22"/>
          <w:szCs w:val="22"/>
          <w:lang w:val="fr-CA"/>
        </w:rPr>
        <w:t>La nature du morcellement</w:t>
      </w:r>
      <w:r w:rsidRPr="00AF5B6D">
        <w:rPr>
          <w:bCs/>
          <w:iCs/>
          <w:kern w:val="22"/>
          <w:szCs w:val="22"/>
          <w:lang w:val="fr-CA"/>
        </w:rPr>
        <w:t xml:space="preserve"> et de la connectivité des habitats dans </w:t>
      </w:r>
      <w:r>
        <w:rPr>
          <w:bCs/>
          <w:iCs/>
          <w:kern w:val="22"/>
          <w:szCs w:val="22"/>
          <w:lang w:val="fr-CA"/>
        </w:rPr>
        <w:t>le milieu marin</w:t>
      </w:r>
      <w:r w:rsidRPr="00AF5B6D">
        <w:rPr>
          <w:bCs/>
          <w:iCs/>
          <w:kern w:val="22"/>
          <w:szCs w:val="22"/>
          <w:lang w:val="fr-CA"/>
        </w:rPr>
        <w:t>;</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L’absence de visibilité et/ou </w:t>
      </w:r>
      <w:r>
        <w:rPr>
          <w:bCs/>
          <w:iCs/>
          <w:kern w:val="22"/>
          <w:szCs w:val="22"/>
          <w:lang w:val="fr-CA"/>
        </w:rPr>
        <w:t>l’isolement</w:t>
      </w:r>
      <w:r w:rsidRPr="00AF5B6D">
        <w:rPr>
          <w:bCs/>
          <w:iCs/>
          <w:kern w:val="22"/>
          <w:szCs w:val="22"/>
          <w:lang w:val="fr-CA"/>
        </w:rPr>
        <w:t xml:space="preserve"> des caractéristiques conservées;</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 xml:space="preserve">La production primaire dans </w:t>
      </w:r>
      <w:r>
        <w:rPr>
          <w:bCs/>
          <w:kern w:val="22"/>
          <w:szCs w:val="22"/>
          <w:lang w:val="fr-CA"/>
        </w:rPr>
        <w:t>le milieu marin</w:t>
      </w:r>
      <w:r w:rsidRPr="00AF5B6D">
        <w:rPr>
          <w:bCs/>
          <w:kern w:val="22"/>
          <w:szCs w:val="22"/>
          <w:lang w:val="fr-CA"/>
        </w:rPr>
        <w:t xml:space="preserve"> se limite souvent à la zone côtière pour les espèces formant des habitats, où le phytoplancton est réparti dans la zone photique pélagique, alors que </w:t>
      </w:r>
      <w:r>
        <w:rPr>
          <w:bCs/>
          <w:kern w:val="22"/>
          <w:szCs w:val="22"/>
          <w:lang w:val="fr-CA"/>
        </w:rPr>
        <w:t>les peuplements dans les milieux</w:t>
      </w:r>
      <w:r w:rsidRPr="00AF5B6D">
        <w:rPr>
          <w:bCs/>
          <w:kern w:val="22"/>
          <w:szCs w:val="22"/>
          <w:lang w:val="fr-CA"/>
        </w:rPr>
        <w:t xml:space="preserve"> terrestres sont étalés et structurels. </w:t>
      </w:r>
      <w:r>
        <w:rPr>
          <w:bCs/>
          <w:kern w:val="22"/>
          <w:szCs w:val="22"/>
          <w:lang w:val="fr-CA"/>
        </w:rPr>
        <w:t>Le milieu marin</w:t>
      </w:r>
      <w:r w:rsidRPr="00AF5B6D">
        <w:rPr>
          <w:bCs/>
          <w:kern w:val="22"/>
          <w:szCs w:val="22"/>
          <w:lang w:val="fr-CA"/>
        </w:rPr>
        <w:t xml:space="preserve"> présente également un plus grand roulement de la production primaire, qui varie en fonction du cycle annuel, </w:t>
      </w:r>
      <w:r>
        <w:rPr>
          <w:bCs/>
          <w:kern w:val="22"/>
          <w:szCs w:val="22"/>
          <w:lang w:val="fr-CA"/>
        </w:rPr>
        <w:t>et est lié à</w:t>
      </w:r>
      <w:r w:rsidRPr="00AF5B6D">
        <w:rPr>
          <w:bCs/>
          <w:kern w:val="22"/>
          <w:szCs w:val="22"/>
          <w:lang w:val="fr-CA"/>
        </w:rPr>
        <w:t xml:space="preserve"> la température et </w:t>
      </w:r>
      <w:r>
        <w:rPr>
          <w:bCs/>
          <w:kern w:val="22"/>
          <w:szCs w:val="22"/>
          <w:lang w:val="fr-CA"/>
        </w:rPr>
        <w:t>aux</w:t>
      </w:r>
      <w:r w:rsidRPr="00AF5B6D">
        <w:rPr>
          <w:bCs/>
          <w:kern w:val="22"/>
          <w:szCs w:val="22"/>
          <w:lang w:val="fr-CA"/>
        </w:rPr>
        <w:t xml:space="preserve"> courants</w:t>
      </w:r>
      <w:r w:rsidRPr="00AF5B6D">
        <w:rPr>
          <w:bCs/>
          <w:iCs/>
          <w:kern w:val="22"/>
          <w:szCs w:val="22"/>
          <w:lang w:val="fr-CA"/>
        </w:rPr>
        <w:t>;</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Pr>
          <w:bCs/>
          <w:iCs/>
          <w:kern w:val="22"/>
          <w:szCs w:val="22"/>
          <w:lang w:val="fr-CA"/>
        </w:rPr>
        <w:t>L’atmosphère des milieux</w:t>
      </w:r>
      <w:r w:rsidRPr="00AF5B6D">
        <w:rPr>
          <w:bCs/>
          <w:iCs/>
          <w:kern w:val="22"/>
          <w:szCs w:val="22"/>
          <w:lang w:val="fr-CA"/>
        </w:rPr>
        <w:t xml:space="preserve"> terrestres est bien mélangée à une échelle beaucoup plus large, alors que le mélange dans </w:t>
      </w:r>
      <w:r>
        <w:rPr>
          <w:bCs/>
          <w:iCs/>
          <w:kern w:val="22"/>
          <w:szCs w:val="22"/>
          <w:lang w:val="fr-CA"/>
        </w:rPr>
        <w:t>le milieu marin</w:t>
      </w:r>
      <w:r w:rsidRPr="00AF5B6D">
        <w:rPr>
          <w:bCs/>
          <w:iCs/>
          <w:kern w:val="22"/>
          <w:szCs w:val="22"/>
          <w:lang w:val="fr-CA"/>
        </w:rPr>
        <w:t xml:space="preserve"> peut changer à beaucoup plus petite échelle;</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iCs/>
          <w:kern w:val="22"/>
          <w:szCs w:val="22"/>
          <w:lang w:val="fr-CA"/>
        </w:rPr>
        <w:t xml:space="preserve">Les impacts des changements climatiques auront des conséquences très différentes sur les aires terrestres et marines, car les aires côtières sont vulnérables </w:t>
      </w:r>
      <w:r>
        <w:rPr>
          <w:bCs/>
          <w:iCs/>
          <w:kern w:val="22"/>
          <w:szCs w:val="22"/>
          <w:lang w:val="fr-CA"/>
        </w:rPr>
        <w:t xml:space="preserve">face </w:t>
      </w:r>
      <w:r w:rsidRPr="00AF5B6D">
        <w:rPr>
          <w:bCs/>
          <w:iCs/>
          <w:kern w:val="22"/>
          <w:szCs w:val="22"/>
          <w:lang w:val="fr-CA"/>
        </w:rPr>
        <w:t>à l’érosion et aux vagues de tempête, et les efforts de</w:t>
      </w:r>
      <w:r>
        <w:rPr>
          <w:bCs/>
          <w:iCs/>
          <w:kern w:val="22"/>
          <w:szCs w:val="22"/>
          <w:lang w:val="fr-CA"/>
        </w:rPr>
        <w:t xml:space="preserve"> protection peuvent être anéantis suite à une</w:t>
      </w:r>
      <w:r w:rsidRPr="00AF5B6D">
        <w:rPr>
          <w:bCs/>
          <w:iCs/>
          <w:kern w:val="22"/>
          <w:szCs w:val="22"/>
          <w:lang w:val="fr-CA"/>
        </w:rPr>
        <w:t xml:space="preserve"> grande tempête. L’effet envahissant de l’acidification des océans peut se faire ressentir sur tout le peuplement d’une productivité primaire dans une aire marine et avoir un effet d’entraînement sur tout le réseau alimentaire;</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Différences</w:t>
      </w:r>
      <w:r>
        <w:rPr>
          <w:bCs/>
          <w:kern w:val="22"/>
          <w:szCs w:val="22"/>
          <w:lang w:val="fr-CA"/>
        </w:rPr>
        <w:t xml:space="preserve"> dans la résistance et la vitesse</w:t>
      </w:r>
      <w:r w:rsidRPr="00AF5B6D">
        <w:rPr>
          <w:bCs/>
          <w:kern w:val="22"/>
          <w:szCs w:val="22"/>
          <w:lang w:val="fr-CA"/>
        </w:rPr>
        <w:t xml:space="preserve"> de récupération de la diversité biologique et des écosystèmes;</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Différences dans les méthodes et</w:t>
      </w:r>
      <w:r>
        <w:rPr>
          <w:bCs/>
          <w:kern w:val="22"/>
          <w:szCs w:val="22"/>
          <w:lang w:val="fr-CA"/>
        </w:rPr>
        <w:t xml:space="preserve"> les difficultés relatives au suivi</w:t>
      </w:r>
      <w:r w:rsidRPr="00AF5B6D">
        <w:rPr>
          <w:bCs/>
          <w:kern w:val="22"/>
          <w:szCs w:val="22"/>
          <w:lang w:val="fr-CA"/>
        </w:rPr>
        <w:t xml:space="preserve"> et à la collecte de données;</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Régimes juridiques potentiellement différents pour différentes parties de la même aire marine (p. ex, fond marin et colonne d’eau dans les aires marines situées au-delà de la juridiction nationale);</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 xml:space="preserve">Manque fréquent </w:t>
      </w:r>
      <w:r>
        <w:rPr>
          <w:bCs/>
          <w:kern w:val="22"/>
          <w:szCs w:val="22"/>
          <w:lang w:val="fr-CA"/>
        </w:rPr>
        <w:t>d’une appartenance précise</w:t>
      </w:r>
      <w:r w:rsidRPr="00AF5B6D">
        <w:rPr>
          <w:bCs/>
          <w:kern w:val="22"/>
          <w:szCs w:val="22"/>
          <w:lang w:val="fr-CA"/>
        </w:rPr>
        <w:t xml:space="preserve"> d’aires spécifiques </w:t>
      </w:r>
      <w:r>
        <w:rPr>
          <w:bCs/>
          <w:kern w:val="22"/>
          <w:szCs w:val="22"/>
          <w:lang w:val="fr-CA"/>
        </w:rPr>
        <w:t>du milieu marin</w:t>
      </w:r>
      <w:r w:rsidRPr="00AF5B6D">
        <w:rPr>
          <w:bCs/>
          <w:kern w:val="22"/>
          <w:szCs w:val="22"/>
          <w:lang w:val="fr-CA"/>
        </w:rPr>
        <w:t xml:space="preserve"> comportant plusieurs utilisateurs et parties prenantes et faisant souvent l’objet de chevauchement</w:t>
      </w:r>
      <w:r>
        <w:rPr>
          <w:bCs/>
          <w:kern w:val="22"/>
          <w:szCs w:val="22"/>
          <w:lang w:val="fr-CA"/>
        </w:rPr>
        <w:t>s</w:t>
      </w:r>
      <w:r w:rsidRPr="00AF5B6D">
        <w:rPr>
          <w:bCs/>
          <w:kern w:val="22"/>
          <w:szCs w:val="22"/>
          <w:lang w:val="fr-CA"/>
        </w:rPr>
        <w:t xml:space="preserve"> et d’intérêts divergents; </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120"/>
        <w:ind w:left="0" w:firstLine="720"/>
        <w:contextualSpacing w:val="0"/>
        <w:rPr>
          <w:bCs/>
          <w:iCs/>
          <w:kern w:val="22"/>
          <w:szCs w:val="22"/>
          <w:lang w:val="fr-CA"/>
        </w:rPr>
      </w:pPr>
      <w:r w:rsidRPr="00AF5B6D">
        <w:rPr>
          <w:bCs/>
          <w:kern w:val="22"/>
          <w:szCs w:val="22"/>
          <w:lang w:val="fr-CA"/>
        </w:rPr>
        <w:t>Incidence fréquente de plusieurs autorités de réglementation ayant compétence dans une aire donnée;</w:t>
      </w:r>
    </w:p>
    <w:p w:rsidR="009F6935" w:rsidRPr="00AF5B6D" w:rsidRDefault="009F6935" w:rsidP="00004EAF">
      <w:pPr>
        <w:pStyle w:val="ListParagraph"/>
        <w:numPr>
          <w:ilvl w:val="0"/>
          <w:numId w:val="26"/>
        </w:numPr>
        <w:suppressLineNumbers/>
        <w:suppressAutoHyphens/>
        <w:kinsoku w:val="0"/>
        <w:overflowPunct w:val="0"/>
        <w:autoSpaceDE w:val="0"/>
        <w:autoSpaceDN w:val="0"/>
        <w:spacing w:after="240"/>
        <w:ind w:left="0" w:firstLine="720"/>
        <w:contextualSpacing w:val="0"/>
        <w:rPr>
          <w:bCs/>
          <w:iCs/>
          <w:kern w:val="22"/>
          <w:szCs w:val="22"/>
          <w:lang w:val="fr-CA"/>
        </w:rPr>
      </w:pPr>
      <w:r w:rsidRPr="00AF5B6D">
        <w:rPr>
          <w:bCs/>
          <w:kern w:val="22"/>
          <w:szCs w:val="22"/>
          <w:lang w:val="fr-CA"/>
        </w:rPr>
        <w:t>Attentes de « résultats » fondé</w:t>
      </w:r>
      <w:r>
        <w:rPr>
          <w:bCs/>
          <w:kern w:val="22"/>
          <w:szCs w:val="22"/>
          <w:lang w:val="fr-CA"/>
        </w:rPr>
        <w:t>s sur les ressources : dans u</w:t>
      </w:r>
      <w:r w:rsidRPr="00AF5B6D">
        <w:rPr>
          <w:bCs/>
          <w:kern w:val="22"/>
          <w:szCs w:val="22"/>
          <w:lang w:val="fr-CA"/>
        </w:rPr>
        <w:t xml:space="preserve">ne perspective économique, on s’attend souvent à ce que les mesures de conservation par zone dans </w:t>
      </w:r>
      <w:r>
        <w:rPr>
          <w:bCs/>
          <w:kern w:val="22"/>
          <w:szCs w:val="22"/>
          <w:lang w:val="fr-CA"/>
        </w:rPr>
        <w:t>le milieu marin</w:t>
      </w:r>
      <w:r w:rsidRPr="00AF5B6D">
        <w:rPr>
          <w:bCs/>
          <w:kern w:val="22"/>
          <w:szCs w:val="22"/>
          <w:lang w:val="fr-CA"/>
        </w:rPr>
        <w:t xml:space="preserve"> améliorent l</w:t>
      </w:r>
      <w:r>
        <w:rPr>
          <w:bCs/>
          <w:kern w:val="22"/>
          <w:szCs w:val="22"/>
          <w:lang w:val="fr-CA"/>
        </w:rPr>
        <w:t>es ressources halieutiques</w:t>
      </w:r>
      <w:r w:rsidRPr="00AF5B6D">
        <w:rPr>
          <w:bCs/>
          <w:kern w:val="22"/>
          <w:szCs w:val="22"/>
          <w:lang w:val="fr-CA"/>
        </w:rPr>
        <w:t xml:space="preserve"> et rétablissent la pro</w:t>
      </w:r>
      <w:r>
        <w:rPr>
          <w:bCs/>
          <w:kern w:val="22"/>
          <w:szCs w:val="22"/>
          <w:lang w:val="fr-CA"/>
        </w:rPr>
        <w:t>ductivité. Dans un milieu</w:t>
      </w:r>
      <w:r w:rsidRPr="00AF5B6D">
        <w:rPr>
          <w:bCs/>
          <w:kern w:val="22"/>
          <w:szCs w:val="22"/>
          <w:lang w:val="fr-CA"/>
        </w:rPr>
        <w:t xml:space="preserve"> terrestre, l’accent est surtout mis sur la protection des animaux</w:t>
      </w:r>
      <w:r>
        <w:rPr>
          <w:bCs/>
          <w:kern w:val="22"/>
          <w:szCs w:val="22"/>
          <w:lang w:val="fr-CA"/>
        </w:rPr>
        <w:t>, sans prévoir des prélèvements</w:t>
      </w:r>
      <w:r w:rsidRPr="00AF5B6D">
        <w:rPr>
          <w:bCs/>
          <w:kern w:val="22"/>
          <w:szCs w:val="22"/>
          <w:lang w:val="fr-CA"/>
        </w:rPr>
        <w:t xml:space="preserve"> lorsque les populations augmentent</w:t>
      </w:r>
      <w:r w:rsidRPr="00AF5B6D">
        <w:rPr>
          <w:bCs/>
          <w:iCs/>
          <w:kern w:val="22"/>
          <w:szCs w:val="22"/>
          <w:lang w:val="fr-CA" w:eastAsia="ko-KR"/>
        </w:rPr>
        <w:t>.</w:t>
      </w:r>
    </w:p>
    <w:p w:rsidR="009F6935" w:rsidRPr="00AF5B6D" w:rsidRDefault="009F6935" w:rsidP="009F6935">
      <w:pPr>
        <w:pStyle w:val="Heading2"/>
        <w:suppressLineNumbers/>
        <w:suppressAutoHyphens/>
        <w:kinsoku w:val="0"/>
        <w:overflowPunct w:val="0"/>
        <w:autoSpaceDE w:val="0"/>
        <w:autoSpaceDN w:val="0"/>
        <w:rPr>
          <w:b w:val="0"/>
          <w:bCs w:val="0"/>
          <w:kern w:val="22"/>
          <w:szCs w:val="22"/>
          <w:lang w:val="fr-CA"/>
        </w:rPr>
      </w:pPr>
      <w:bookmarkStart w:id="118" w:name="_Toc525904186"/>
      <w:bookmarkStart w:id="119" w:name="_Toc525904345"/>
      <w:bookmarkStart w:id="120" w:name="_Toc525904589"/>
      <w:r w:rsidRPr="00AF5B6D">
        <w:rPr>
          <w:kern w:val="22"/>
          <w:szCs w:val="22"/>
          <w:lang w:val="fr-CA"/>
        </w:rPr>
        <w:t>B.</w:t>
      </w:r>
      <w:r w:rsidRPr="00AF5B6D">
        <w:rPr>
          <w:kern w:val="22"/>
          <w:szCs w:val="22"/>
          <w:lang w:val="fr-CA"/>
        </w:rPr>
        <w:tab/>
        <w:t>Principaux types de mesures de conservation par zone dans les aires marines et côtières</w:t>
      </w:r>
      <w:bookmarkEnd w:id="118"/>
      <w:bookmarkEnd w:id="119"/>
      <w:bookmarkEnd w:id="120"/>
    </w:p>
    <w:p w:rsidR="009F6935" w:rsidRPr="00AF5B6D" w:rsidRDefault="009F6935" w:rsidP="009F6935">
      <w:pPr>
        <w:suppressLineNumbers/>
        <w:suppressAutoHyphens/>
        <w:kinsoku w:val="0"/>
        <w:overflowPunct w:val="0"/>
        <w:autoSpaceDE w:val="0"/>
        <w:autoSpaceDN w:val="0"/>
        <w:spacing w:before="120" w:after="120"/>
        <w:rPr>
          <w:bCs/>
          <w:iCs/>
          <w:kern w:val="22"/>
          <w:szCs w:val="22"/>
          <w:lang w:val="fr-CA"/>
        </w:rPr>
      </w:pPr>
      <w:r w:rsidRPr="00AF5B6D">
        <w:rPr>
          <w:bCs/>
          <w:iCs/>
          <w:kern w:val="22"/>
          <w:szCs w:val="22"/>
          <w:lang w:val="fr-CA"/>
        </w:rPr>
        <w:t>2.</w:t>
      </w:r>
      <w:r w:rsidRPr="00AF5B6D">
        <w:rPr>
          <w:bCs/>
          <w:iCs/>
          <w:kern w:val="22"/>
          <w:szCs w:val="22"/>
          <w:lang w:val="fr-CA"/>
        </w:rPr>
        <w:tab/>
        <w:t>Il existe plusieurs types de mesures de conservation et de gestion par zone appliquées dans les air</w:t>
      </w:r>
      <w:r>
        <w:rPr>
          <w:bCs/>
          <w:iCs/>
          <w:kern w:val="22"/>
          <w:szCs w:val="22"/>
          <w:lang w:val="fr-CA"/>
        </w:rPr>
        <w:t>es marines et côtières. Ces mesure</w:t>
      </w:r>
      <w:r w:rsidRPr="00AF5B6D">
        <w:rPr>
          <w:bCs/>
          <w:iCs/>
          <w:kern w:val="22"/>
          <w:szCs w:val="22"/>
          <w:lang w:val="fr-CA"/>
        </w:rPr>
        <w:t>s peuvent être classées de différentes façons sans toutefois être incompatibles. Les mesures de conservation et de gestion par zone peuvent généralement être classées comme suit :</w:t>
      </w:r>
    </w:p>
    <w:p w:rsidR="009F6935" w:rsidRPr="00AF5B6D" w:rsidRDefault="009F6935" w:rsidP="00004EAF">
      <w:pPr>
        <w:pStyle w:val="ListParagraph"/>
        <w:numPr>
          <w:ilvl w:val="0"/>
          <w:numId w:val="27"/>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
          <w:iCs/>
          <w:kern w:val="22"/>
          <w:szCs w:val="22"/>
          <w:lang w:val="fr-CA"/>
        </w:rPr>
        <w:t xml:space="preserve">Aires protégées marines et côtières : </w:t>
      </w:r>
      <w:r w:rsidRPr="00AF5B6D">
        <w:rPr>
          <w:bCs/>
          <w:iCs/>
          <w:kern w:val="22"/>
          <w:szCs w:val="22"/>
          <w:lang w:val="fr-CA"/>
        </w:rPr>
        <w:t>L’article 2 de la Convention définit une « zone protégée » comme toute zone géographiquement délimitée qui est désignée, ou réglementée, et gérée en vue d’atteindre des objectifs spécifiques de conservation;</w:t>
      </w:r>
    </w:p>
    <w:p w:rsidR="009F6935" w:rsidRPr="00AF5B6D" w:rsidRDefault="009F6935" w:rsidP="00004EAF">
      <w:pPr>
        <w:pStyle w:val="ListParagraph"/>
        <w:numPr>
          <w:ilvl w:val="0"/>
          <w:numId w:val="27"/>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bCs/>
          <w:i/>
          <w:iCs/>
          <w:kern w:val="22"/>
          <w:szCs w:val="22"/>
          <w:lang w:val="fr-CA"/>
        </w:rPr>
        <w:t>Territoire et a</w:t>
      </w:r>
      <w:r w:rsidRPr="00AF5B6D">
        <w:rPr>
          <w:bCs/>
          <w:i/>
          <w:iCs/>
          <w:kern w:val="22"/>
          <w:szCs w:val="22"/>
          <w:lang w:val="fr-CA"/>
        </w:rPr>
        <w:t>ires g</w:t>
      </w:r>
      <w:r>
        <w:rPr>
          <w:bCs/>
          <w:i/>
          <w:iCs/>
          <w:kern w:val="22"/>
          <w:szCs w:val="22"/>
          <w:lang w:val="fr-CA"/>
        </w:rPr>
        <w:t>ouvernés et géré</w:t>
      </w:r>
      <w:r w:rsidRPr="00AF5B6D">
        <w:rPr>
          <w:bCs/>
          <w:i/>
          <w:iCs/>
          <w:kern w:val="22"/>
          <w:szCs w:val="22"/>
          <w:lang w:val="fr-CA"/>
        </w:rPr>
        <w:t xml:space="preserve">s par des peuples autochtones et des communautés locales : </w:t>
      </w:r>
      <w:r w:rsidRPr="00AF5B6D">
        <w:rPr>
          <w:bCs/>
          <w:iCs/>
          <w:kern w:val="22"/>
          <w:szCs w:val="22"/>
          <w:lang w:val="fr-CA"/>
        </w:rPr>
        <w:t>Dans c</w:t>
      </w:r>
      <w:r>
        <w:rPr>
          <w:bCs/>
          <w:iCs/>
          <w:kern w:val="22"/>
          <w:szCs w:val="22"/>
          <w:lang w:val="fr-CA"/>
        </w:rPr>
        <w:t>e type de méthode, l’autorité chargée de la gouvernance et/ou la</w:t>
      </w:r>
      <w:r w:rsidRPr="00AF5B6D">
        <w:rPr>
          <w:bCs/>
          <w:iCs/>
          <w:kern w:val="22"/>
          <w:szCs w:val="22"/>
          <w:lang w:val="fr-CA"/>
        </w:rPr>
        <w:t xml:space="preserve"> gestion est partiellement ou entièrement cédée aux peuples autochtones et aux communautés locales, et les objectifs de conservation sont souvent</w:t>
      </w:r>
      <w:r>
        <w:rPr>
          <w:bCs/>
          <w:iCs/>
          <w:kern w:val="22"/>
          <w:szCs w:val="22"/>
          <w:lang w:val="fr-CA"/>
        </w:rPr>
        <w:t xml:space="preserve"> liés à la sécurité alimentaire</w:t>
      </w:r>
      <w:r w:rsidRPr="00AF5B6D">
        <w:rPr>
          <w:bCs/>
          <w:iCs/>
          <w:kern w:val="22"/>
          <w:szCs w:val="22"/>
          <w:lang w:val="fr-CA"/>
        </w:rPr>
        <w:t xml:space="preserve"> et </w:t>
      </w:r>
      <w:r>
        <w:rPr>
          <w:bCs/>
          <w:iCs/>
          <w:kern w:val="22"/>
          <w:szCs w:val="22"/>
          <w:lang w:val="fr-CA"/>
        </w:rPr>
        <w:t xml:space="preserve">à </w:t>
      </w:r>
      <w:r w:rsidRPr="00AF5B6D">
        <w:rPr>
          <w:bCs/>
          <w:iCs/>
          <w:kern w:val="22"/>
          <w:szCs w:val="22"/>
          <w:lang w:val="fr-CA"/>
        </w:rPr>
        <w:t>l’accès aux ressources pour les peuples autochtones et les communautés locales</w:t>
      </w:r>
      <w:r w:rsidRPr="00AF5B6D">
        <w:rPr>
          <w:kern w:val="22"/>
          <w:szCs w:val="22"/>
          <w:lang w:val="fr-CA"/>
        </w:rPr>
        <w:t>;</w:t>
      </w:r>
    </w:p>
    <w:p w:rsidR="009F6935" w:rsidRPr="00AF5B6D" w:rsidRDefault="009F6935" w:rsidP="00004EAF">
      <w:pPr>
        <w:pStyle w:val="ListParagraph"/>
        <w:numPr>
          <w:ilvl w:val="0"/>
          <w:numId w:val="27"/>
        </w:numPr>
        <w:suppressLineNumbers/>
        <w:suppressAutoHyphens/>
        <w:kinsoku w:val="0"/>
        <w:overflowPunct w:val="0"/>
        <w:autoSpaceDE w:val="0"/>
        <w:autoSpaceDN w:val="0"/>
        <w:spacing w:before="120" w:after="120"/>
        <w:ind w:left="0" w:firstLine="720"/>
        <w:contextualSpacing w:val="0"/>
        <w:rPr>
          <w:bCs/>
          <w:iCs/>
          <w:kern w:val="22"/>
          <w:szCs w:val="22"/>
          <w:u w:val="single"/>
          <w:lang w:val="fr-CA"/>
        </w:rPr>
      </w:pPr>
      <w:r w:rsidRPr="00AF5B6D">
        <w:rPr>
          <w:bCs/>
          <w:i/>
          <w:iCs/>
          <w:kern w:val="22"/>
          <w:szCs w:val="22"/>
          <w:lang w:val="fr-CA"/>
        </w:rPr>
        <w:lastRenderedPageBreak/>
        <w:t xml:space="preserve">Mesures de gestion de la pêche par zone : </w:t>
      </w:r>
      <w:r w:rsidRPr="00AF5B6D">
        <w:rPr>
          <w:bCs/>
          <w:iCs/>
          <w:kern w:val="22"/>
          <w:szCs w:val="22"/>
          <w:lang w:val="fr-CA"/>
        </w:rPr>
        <w:t>Mesures de gestion et/ou de conservation de la pêche formellement établies et définies en fonction de l’espace</w:t>
      </w:r>
      <w:r>
        <w:rPr>
          <w:bCs/>
          <w:iCs/>
          <w:kern w:val="22"/>
          <w:szCs w:val="22"/>
          <w:lang w:val="fr-CA"/>
        </w:rPr>
        <w:t>,</w:t>
      </w:r>
      <w:r w:rsidRPr="00AF5B6D">
        <w:rPr>
          <w:bCs/>
          <w:iCs/>
          <w:kern w:val="22"/>
          <w:szCs w:val="22"/>
          <w:lang w:val="fr-CA"/>
        </w:rPr>
        <w:t xml:space="preserve"> </w:t>
      </w:r>
      <w:r>
        <w:rPr>
          <w:bCs/>
          <w:iCs/>
          <w:kern w:val="22"/>
          <w:szCs w:val="22"/>
          <w:lang w:val="fr-CA"/>
        </w:rPr>
        <w:t xml:space="preserve">et </w:t>
      </w:r>
      <w:r w:rsidRPr="00AF5B6D">
        <w:rPr>
          <w:bCs/>
          <w:iCs/>
          <w:kern w:val="22"/>
          <w:szCs w:val="22"/>
          <w:lang w:val="fr-CA"/>
        </w:rPr>
        <w:t>mises en œuvre en vue d’atteindre u</w:t>
      </w:r>
      <w:r>
        <w:rPr>
          <w:bCs/>
          <w:iCs/>
          <w:kern w:val="22"/>
          <w:szCs w:val="22"/>
          <w:lang w:val="fr-CA"/>
        </w:rPr>
        <w:t>n ou plusieurs objectifs de</w:t>
      </w:r>
      <w:r w:rsidRPr="00AF5B6D">
        <w:rPr>
          <w:bCs/>
          <w:iCs/>
          <w:kern w:val="22"/>
          <w:szCs w:val="22"/>
          <w:lang w:val="fr-CA"/>
        </w:rPr>
        <w:t xml:space="preserve"> pêche. Les résultats de ces mesures</w:t>
      </w:r>
      <w:r>
        <w:rPr>
          <w:bCs/>
          <w:iCs/>
          <w:kern w:val="22"/>
          <w:szCs w:val="22"/>
          <w:lang w:val="fr-CA"/>
        </w:rPr>
        <w:t xml:space="preserve"> concernent habituellement l’</w:t>
      </w:r>
      <w:r w:rsidRPr="00AF5B6D">
        <w:rPr>
          <w:bCs/>
          <w:iCs/>
          <w:kern w:val="22"/>
          <w:szCs w:val="22"/>
          <w:lang w:val="fr-CA"/>
        </w:rPr>
        <w:t xml:space="preserve">utilisation durable de la pêche. Cependant, </w:t>
      </w:r>
      <w:r>
        <w:rPr>
          <w:bCs/>
          <w:iCs/>
          <w:kern w:val="22"/>
          <w:szCs w:val="22"/>
          <w:lang w:val="fr-CA"/>
        </w:rPr>
        <w:t>ils peuvent souvent inclure la protection,</w:t>
      </w:r>
      <w:r w:rsidRPr="00AF5B6D">
        <w:rPr>
          <w:bCs/>
          <w:iCs/>
          <w:kern w:val="22"/>
          <w:szCs w:val="22"/>
          <w:lang w:val="fr-CA"/>
        </w:rPr>
        <w:t xml:space="preserve"> ou </w:t>
      </w:r>
      <w:r>
        <w:rPr>
          <w:bCs/>
          <w:iCs/>
          <w:kern w:val="22"/>
          <w:szCs w:val="22"/>
          <w:lang w:val="fr-CA"/>
        </w:rPr>
        <w:t>bien la réduction des impacts</w:t>
      </w:r>
      <w:r w:rsidRPr="00AF5B6D">
        <w:rPr>
          <w:bCs/>
          <w:iCs/>
          <w:kern w:val="22"/>
          <w:szCs w:val="22"/>
          <w:lang w:val="fr-CA"/>
        </w:rPr>
        <w:t xml:space="preserve"> sur la diversité biologique, les habitats ou la structure et le fonctionnement des écosystèmes</w:t>
      </w:r>
      <w:r w:rsidRPr="00AF5B6D">
        <w:rPr>
          <w:kern w:val="22"/>
          <w:szCs w:val="22"/>
          <w:lang w:val="fr-CA"/>
        </w:rPr>
        <w:t>;</w:t>
      </w:r>
    </w:p>
    <w:p w:rsidR="009F6935" w:rsidRPr="00AF5B6D" w:rsidRDefault="009F6935" w:rsidP="00004EAF">
      <w:pPr>
        <w:pStyle w:val="ListParagraph"/>
        <w:numPr>
          <w:ilvl w:val="0"/>
          <w:numId w:val="27"/>
        </w:numPr>
        <w:suppressLineNumbers/>
        <w:suppressAutoHyphens/>
        <w:kinsoku w:val="0"/>
        <w:overflowPunct w:val="0"/>
        <w:autoSpaceDE w:val="0"/>
        <w:autoSpaceDN w:val="0"/>
        <w:spacing w:before="120" w:after="240"/>
        <w:ind w:left="0" w:firstLine="720"/>
        <w:contextualSpacing w:val="0"/>
        <w:rPr>
          <w:bCs/>
          <w:iCs/>
          <w:kern w:val="22"/>
          <w:szCs w:val="22"/>
          <w:u w:val="single"/>
          <w:lang w:val="fr-CA"/>
        </w:rPr>
      </w:pPr>
      <w:r w:rsidRPr="00AF5B6D">
        <w:rPr>
          <w:bCs/>
          <w:i/>
          <w:iCs/>
          <w:kern w:val="22"/>
          <w:szCs w:val="22"/>
          <w:lang w:val="fr-CA"/>
        </w:rPr>
        <w:t>Autres m</w:t>
      </w:r>
      <w:r>
        <w:rPr>
          <w:bCs/>
          <w:i/>
          <w:iCs/>
          <w:kern w:val="22"/>
          <w:szCs w:val="22"/>
          <w:lang w:val="fr-CA"/>
        </w:rPr>
        <w:t>éthodes de gestion sectorielle</w:t>
      </w:r>
      <w:r w:rsidRPr="00AF5B6D">
        <w:rPr>
          <w:bCs/>
          <w:i/>
          <w:iCs/>
          <w:kern w:val="22"/>
          <w:szCs w:val="22"/>
          <w:lang w:val="fr-CA"/>
        </w:rPr>
        <w:t xml:space="preserve"> par zone : </w:t>
      </w:r>
      <w:r w:rsidRPr="00AF5B6D">
        <w:rPr>
          <w:bCs/>
          <w:iCs/>
          <w:kern w:val="22"/>
          <w:szCs w:val="22"/>
          <w:lang w:val="fr-CA"/>
        </w:rPr>
        <w:t>Il existe tout un éventail de mesures par zone appliquées à d</w:t>
      </w:r>
      <w:r>
        <w:rPr>
          <w:bCs/>
          <w:iCs/>
          <w:kern w:val="22"/>
          <w:szCs w:val="22"/>
          <w:lang w:val="fr-CA"/>
        </w:rPr>
        <w:t xml:space="preserve">’autres secteurs à différentes </w:t>
      </w:r>
      <w:r w:rsidRPr="00AF5B6D">
        <w:rPr>
          <w:bCs/>
          <w:iCs/>
          <w:kern w:val="22"/>
          <w:szCs w:val="22"/>
          <w:lang w:val="fr-CA"/>
        </w:rPr>
        <w:t xml:space="preserve">échelles et à différentes fins. Par exemple, les aires marines particulièrement sensibles (aires désignées par l’Organisation maritime internationale aux fins de protection contre les dommages causés par les activités maritimes internationales pour des raisons écologiques, socioéconomiques ou scientifiques), </w:t>
      </w:r>
      <w:r>
        <w:rPr>
          <w:bCs/>
          <w:iCs/>
          <w:kern w:val="22"/>
          <w:szCs w:val="22"/>
          <w:lang w:val="fr-CA"/>
        </w:rPr>
        <w:t xml:space="preserve">les </w:t>
      </w:r>
      <w:r w:rsidRPr="00AF5B6D">
        <w:rPr>
          <w:bCs/>
          <w:iCs/>
          <w:kern w:val="22"/>
          <w:szCs w:val="22"/>
          <w:lang w:val="fr-CA"/>
        </w:rPr>
        <w:t xml:space="preserve">aires d’intérêt </w:t>
      </w:r>
      <w:r>
        <w:rPr>
          <w:bCs/>
          <w:iCs/>
          <w:kern w:val="22"/>
          <w:szCs w:val="22"/>
          <w:lang w:val="fr-CA"/>
        </w:rPr>
        <w:t xml:space="preserve">écologique particulier (aires des grands </w:t>
      </w:r>
      <w:r w:rsidRPr="00AF5B6D">
        <w:rPr>
          <w:bCs/>
          <w:iCs/>
          <w:kern w:val="22"/>
          <w:szCs w:val="22"/>
          <w:lang w:val="fr-CA"/>
        </w:rPr>
        <w:t>fond</w:t>
      </w:r>
      <w:r>
        <w:rPr>
          <w:bCs/>
          <w:iCs/>
          <w:kern w:val="22"/>
          <w:szCs w:val="22"/>
          <w:lang w:val="fr-CA"/>
        </w:rPr>
        <w:t>s</w:t>
      </w:r>
      <w:r w:rsidRPr="00AF5B6D">
        <w:rPr>
          <w:bCs/>
          <w:iCs/>
          <w:kern w:val="22"/>
          <w:szCs w:val="22"/>
          <w:lang w:val="fr-CA"/>
        </w:rPr>
        <w:t xml:space="preserve"> mari</w:t>
      </w:r>
      <w:r>
        <w:rPr>
          <w:bCs/>
          <w:iCs/>
          <w:kern w:val="22"/>
          <w:szCs w:val="22"/>
          <w:lang w:val="fr-CA"/>
        </w:rPr>
        <w:t>ns désignées par</w:t>
      </w:r>
      <w:r w:rsidRPr="00AF5B6D">
        <w:rPr>
          <w:bCs/>
          <w:iCs/>
          <w:kern w:val="22"/>
          <w:szCs w:val="22"/>
          <w:lang w:val="fr-CA"/>
        </w:rPr>
        <w:t xml:space="preserve"> l’Autorité internationale des fonds marins aux fins de protection contre les dommages causés </w:t>
      </w:r>
      <w:r>
        <w:rPr>
          <w:bCs/>
          <w:iCs/>
          <w:kern w:val="22"/>
          <w:szCs w:val="22"/>
          <w:lang w:val="fr-CA"/>
        </w:rPr>
        <w:t xml:space="preserve">à la diversité biologique </w:t>
      </w:r>
      <w:r w:rsidRPr="00AF5B6D">
        <w:rPr>
          <w:bCs/>
          <w:iCs/>
          <w:kern w:val="22"/>
          <w:szCs w:val="22"/>
          <w:lang w:val="fr-CA"/>
        </w:rPr>
        <w:t>par l’exploitation minière dans les grands f</w:t>
      </w:r>
      <w:r>
        <w:rPr>
          <w:bCs/>
          <w:iCs/>
          <w:kern w:val="22"/>
          <w:szCs w:val="22"/>
          <w:lang w:val="fr-CA"/>
        </w:rPr>
        <w:t>onds marins</w:t>
      </w:r>
      <w:r w:rsidRPr="00AF5B6D">
        <w:rPr>
          <w:bCs/>
          <w:iCs/>
          <w:kern w:val="22"/>
          <w:szCs w:val="22"/>
          <w:lang w:val="fr-CA"/>
        </w:rPr>
        <w:t>, et l</w:t>
      </w:r>
      <w:r>
        <w:rPr>
          <w:bCs/>
          <w:iCs/>
          <w:kern w:val="22"/>
          <w:szCs w:val="22"/>
          <w:lang w:val="fr-CA"/>
        </w:rPr>
        <w:t>a structure et la fonction</w:t>
      </w:r>
      <w:r w:rsidRPr="00AF5B6D">
        <w:rPr>
          <w:bCs/>
          <w:iCs/>
          <w:kern w:val="22"/>
          <w:szCs w:val="22"/>
          <w:lang w:val="fr-CA"/>
        </w:rPr>
        <w:t xml:space="preserve"> des écosystèmes), </w:t>
      </w:r>
      <w:r>
        <w:rPr>
          <w:bCs/>
          <w:iCs/>
          <w:kern w:val="22"/>
          <w:szCs w:val="22"/>
          <w:lang w:val="fr-CA"/>
        </w:rPr>
        <w:t xml:space="preserve">les approches utilisée dans les travaux nationaux sur la planification de l’espace marin, </w:t>
      </w:r>
      <w:r w:rsidRPr="00AF5B6D">
        <w:rPr>
          <w:bCs/>
          <w:iCs/>
          <w:kern w:val="22"/>
          <w:szCs w:val="22"/>
          <w:lang w:val="fr-CA"/>
        </w:rPr>
        <w:t>ainsi que de</w:t>
      </w:r>
      <w:r>
        <w:rPr>
          <w:bCs/>
          <w:iCs/>
          <w:kern w:val="22"/>
          <w:szCs w:val="22"/>
          <w:lang w:val="fr-CA"/>
        </w:rPr>
        <w:t>s mesures de conservation dans d</w:t>
      </w:r>
      <w:r w:rsidRPr="00AF5B6D">
        <w:rPr>
          <w:bCs/>
          <w:iCs/>
          <w:kern w:val="22"/>
          <w:szCs w:val="22"/>
          <w:lang w:val="fr-CA"/>
        </w:rPr>
        <w:t>’autres secteurs</w:t>
      </w:r>
      <w:r w:rsidRPr="00AF5B6D">
        <w:rPr>
          <w:kern w:val="22"/>
          <w:szCs w:val="22"/>
          <w:lang w:val="fr-CA"/>
        </w:rPr>
        <w:t>.</w:t>
      </w:r>
      <w:bookmarkStart w:id="121" w:name="_Toc378368361"/>
    </w:p>
    <w:p w:rsidR="009F6935" w:rsidRPr="00AF5B6D" w:rsidRDefault="009F6935" w:rsidP="009F6935">
      <w:pPr>
        <w:pStyle w:val="Heading2longmultiline"/>
        <w:suppressLineNumbers/>
        <w:suppressAutoHyphens/>
        <w:kinsoku w:val="0"/>
        <w:overflowPunct w:val="0"/>
        <w:autoSpaceDE w:val="0"/>
        <w:autoSpaceDN w:val="0"/>
        <w:ind w:left="2131" w:right="994" w:hanging="1051"/>
        <w:rPr>
          <w:b w:val="0"/>
          <w:iCs w:val="0"/>
          <w:kern w:val="22"/>
          <w:szCs w:val="22"/>
          <w:lang w:val="fr-CA"/>
        </w:rPr>
      </w:pPr>
      <w:bookmarkStart w:id="122" w:name="_Toc525904187"/>
      <w:bookmarkStart w:id="123" w:name="_Toc525904346"/>
      <w:bookmarkStart w:id="124" w:name="_Toc525904590"/>
      <w:bookmarkEnd w:id="121"/>
      <w:r w:rsidRPr="00AF5B6D">
        <w:rPr>
          <w:kern w:val="22"/>
          <w:szCs w:val="22"/>
          <w:lang w:val="fr-CA"/>
        </w:rPr>
        <w:t>C.</w:t>
      </w:r>
      <w:r w:rsidRPr="00AF5B6D">
        <w:rPr>
          <w:kern w:val="22"/>
          <w:szCs w:val="22"/>
          <w:lang w:val="fr-CA"/>
        </w:rPr>
        <w:tab/>
        <w:t xml:space="preserve">Méthodes pour </w:t>
      </w:r>
      <w:r>
        <w:rPr>
          <w:kern w:val="22"/>
          <w:szCs w:val="22"/>
          <w:lang w:val="fr-CA"/>
        </w:rPr>
        <w:t xml:space="preserve">accélérer les progrès accomplis dans </w:t>
      </w:r>
      <w:r w:rsidRPr="00AF5B6D">
        <w:rPr>
          <w:kern w:val="22"/>
          <w:szCs w:val="22"/>
          <w:lang w:val="fr-CA"/>
        </w:rPr>
        <w:t>la réalisation de l’Objectif 11 d’</w:t>
      </w:r>
      <w:r>
        <w:rPr>
          <w:kern w:val="22"/>
          <w:szCs w:val="22"/>
          <w:lang w:val="fr-CA"/>
        </w:rPr>
        <w:t>Aichi pour la biodiversité</w:t>
      </w:r>
      <w:r w:rsidRPr="00AF5B6D">
        <w:rPr>
          <w:kern w:val="22"/>
          <w:szCs w:val="22"/>
          <w:lang w:val="fr-CA"/>
        </w:rPr>
        <w:t xml:space="preserve"> dans les aires marines et côtières</w:t>
      </w:r>
      <w:bookmarkEnd w:id="122"/>
      <w:bookmarkEnd w:id="123"/>
      <w:bookmarkEnd w:id="124"/>
    </w:p>
    <w:p w:rsidR="009F6935" w:rsidRPr="00AF5B6D" w:rsidRDefault="009F6935" w:rsidP="009F6935">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3.</w:t>
      </w:r>
      <w:r w:rsidRPr="00AF5B6D">
        <w:rPr>
          <w:rFonts w:eastAsiaTheme="minorEastAsia"/>
          <w:color w:val="000000"/>
          <w:kern w:val="22"/>
          <w:szCs w:val="22"/>
          <w:lang w:val="fr-CA" w:eastAsia="ko-KR"/>
        </w:rPr>
        <w:tab/>
      </w:r>
      <w:r>
        <w:rPr>
          <w:bCs/>
          <w:kern w:val="22"/>
          <w:szCs w:val="22"/>
          <w:lang w:val="fr-CA"/>
        </w:rPr>
        <w:t>Les méthodes ci-après</w:t>
      </w:r>
      <w:r w:rsidRPr="00AF5B6D">
        <w:rPr>
          <w:bCs/>
          <w:kern w:val="22"/>
          <w:szCs w:val="22"/>
          <w:lang w:val="fr-CA"/>
        </w:rPr>
        <w:t xml:space="preserve"> pour</w:t>
      </w:r>
      <w:r>
        <w:rPr>
          <w:bCs/>
          <w:kern w:val="22"/>
          <w:szCs w:val="22"/>
          <w:lang w:val="fr-CA"/>
        </w:rPr>
        <w:t>raient permettre d’accélérer les progrès accomplis par l</w:t>
      </w:r>
      <w:r w:rsidRPr="00AF5B6D">
        <w:rPr>
          <w:bCs/>
          <w:kern w:val="22"/>
          <w:szCs w:val="22"/>
          <w:lang w:val="fr-CA"/>
        </w:rPr>
        <w:t>e</w:t>
      </w:r>
      <w:r>
        <w:rPr>
          <w:bCs/>
          <w:kern w:val="22"/>
          <w:szCs w:val="22"/>
          <w:lang w:val="fr-CA"/>
        </w:rPr>
        <w:t>s pays en vue d’atteindre</w:t>
      </w:r>
      <w:r w:rsidRPr="00AF5B6D">
        <w:rPr>
          <w:bCs/>
          <w:kern w:val="22"/>
          <w:szCs w:val="22"/>
          <w:lang w:val="fr-CA"/>
        </w:rPr>
        <w:t xml:space="preserve"> l’Objectif 11 d’</w:t>
      </w:r>
      <w:r>
        <w:rPr>
          <w:bCs/>
          <w:kern w:val="22"/>
          <w:szCs w:val="22"/>
          <w:lang w:val="fr-CA"/>
        </w:rPr>
        <w:t>Aichi pour la biodiversité</w:t>
      </w:r>
      <w:r w:rsidRPr="00AF5B6D">
        <w:rPr>
          <w:bCs/>
          <w:kern w:val="22"/>
          <w:szCs w:val="22"/>
          <w:lang w:val="fr-CA"/>
        </w:rPr>
        <w:t xml:space="preserve"> dans les aires marines et côtières, </w:t>
      </w:r>
      <w:r>
        <w:rPr>
          <w:bCs/>
          <w:kern w:val="22"/>
          <w:szCs w:val="22"/>
          <w:lang w:val="fr-CA"/>
        </w:rPr>
        <w:t xml:space="preserve">tout en </w:t>
      </w:r>
      <w:r w:rsidRPr="00AF5B6D">
        <w:rPr>
          <w:bCs/>
          <w:kern w:val="22"/>
          <w:szCs w:val="22"/>
          <w:lang w:val="fr-CA"/>
        </w:rPr>
        <w:t>reconnaissant que ces méthodes ne sont pas exhaustives et qu’il existe</w:t>
      </w:r>
      <w:r>
        <w:rPr>
          <w:bCs/>
          <w:kern w:val="22"/>
          <w:szCs w:val="22"/>
          <w:lang w:val="fr-CA"/>
        </w:rPr>
        <w:t xml:space="preserve"> d’autres sources d’orientation</w:t>
      </w:r>
      <w:r w:rsidRPr="00AF5B6D">
        <w:rPr>
          <w:bCs/>
          <w:kern w:val="22"/>
          <w:szCs w:val="22"/>
          <w:lang w:val="fr-CA"/>
        </w:rPr>
        <w:t xml:space="preserve"> sur ces questions </w:t>
      </w:r>
      <w:r w:rsidRPr="00AF5B6D">
        <w:rPr>
          <w:rFonts w:eastAsiaTheme="minorEastAsia"/>
          <w:color w:val="000000"/>
          <w:kern w:val="22"/>
          <w:szCs w:val="22"/>
          <w:lang w:val="fr-CA" w:eastAsia="ko-KR"/>
        </w:rPr>
        <w:t>:</w:t>
      </w:r>
    </w:p>
    <w:p w:rsidR="009F6935" w:rsidRPr="00AF5B6D" w:rsidRDefault="009F6935" w:rsidP="009F6935">
      <w:pPr>
        <w:pStyle w:val="Heading3"/>
        <w:suppressLineNumbers/>
        <w:tabs>
          <w:tab w:val="clear" w:pos="567"/>
          <w:tab w:val="left" w:pos="360"/>
        </w:tabs>
        <w:suppressAutoHyphens/>
        <w:kinsoku w:val="0"/>
        <w:overflowPunct w:val="0"/>
        <w:autoSpaceDE w:val="0"/>
        <w:autoSpaceDN w:val="0"/>
        <w:rPr>
          <w:kern w:val="22"/>
          <w:szCs w:val="22"/>
          <w:lang w:val="fr-CA"/>
        </w:rPr>
      </w:pPr>
      <w:bookmarkStart w:id="125" w:name="_Toc525904188"/>
      <w:bookmarkStart w:id="126" w:name="_Toc525904347"/>
      <w:bookmarkStart w:id="127" w:name="_Toc525904591"/>
      <w:r w:rsidRPr="00AF5B6D">
        <w:rPr>
          <w:kern w:val="22"/>
          <w:szCs w:val="22"/>
          <w:lang w:val="fr-CA" w:eastAsia="ko-KR"/>
        </w:rPr>
        <w:t>1.</w:t>
      </w:r>
      <w:r w:rsidRPr="00AF5B6D">
        <w:rPr>
          <w:kern w:val="22"/>
          <w:szCs w:val="22"/>
          <w:lang w:val="fr-CA" w:eastAsia="ko-KR"/>
        </w:rPr>
        <w:tab/>
        <w:t>Fournir une base d’information adéquate</w:t>
      </w:r>
      <w:bookmarkEnd w:id="125"/>
      <w:bookmarkEnd w:id="126"/>
      <w:bookmarkEnd w:id="127"/>
    </w:p>
    <w:p w:rsidR="009F6935" w:rsidRPr="00AF5B6D" w:rsidRDefault="009F6935" w:rsidP="00004EAF">
      <w:pPr>
        <w:pStyle w:val="ListParagraph"/>
        <w:numPr>
          <w:ilvl w:val="0"/>
          <w:numId w:val="28"/>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Pr>
          <w:rFonts w:eastAsia="Malgun Gothic"/>
          <w:bCs/>
          <w:kern w:val="22"/>
          <w:szCs w:val="22"/>
          <w:lang w:val="fr-CA"/>
        </w:rPr>
        <w:t xml:space="preserve">Identifier les </w:t>
      </w:r>
      <w:r w:rsidRPr="00AF5B6D">
        <w:rPr>
          <w:rFonts w:eastAsia="Malgun Gothic"/>
          <w:bCs/>
          <w:kern w:val="22"/>
          <w:szCs w:val="22"/>
          <w:lang w:val="fr-CA"/>
        </w:rPr>
        <w:t>infor</w:t>
      </w:r>
      <w:r>
        <w:rPr>
          <w:rFonts w:eastAsia="Malgun Gothic"/>
          <w:bCs/>
          <w:kern w:val="22"/>
          <w:szCs w:val="22"/>
          <w:lang w:val="fr-CA"/>
        </w:rPr>
        <w:t>mations requises pour gérer l</w:t>
      </w:r>
      <w:r w:rsidRPr="00AF5B6D">
        <w:rPr>
          <w:rFonts w:eastAsia="Malgun Gothic"/>
          <w:bCs/>
          <w:kern w:val="22"/>
          <w:szCs w:val="22"/>
          <w:lang w:val="fr-CA"/>
        </w:rPr>
        <w:t>es éléments qualitatifs, dont l’information sur la diversité biologique, les écosystèmes et la biogéographie, ainsi que l’informatio</w:t>
      </w:r>
      <w:r>
        <w:rPr>
          <w:rFonts w:eastAsia="Malgun Gothic"/>
          <w:bCs/>
          <w:kern w:val="22"/>
          <w:szCs w:val="22"/>
          <w:lang w:val="fr-CA"/>
        </w:rPr>
        <w:t>n sur les menaces actuelles pesant sur la</w:t>
      </w:r>
      <w:r w:rsidRPr="00AF5B6D">
        <w:rPr>
          <w:rFonts w:eastAsia="Malgun Gothic"/>
          <w:bCs/>
          <w:kern w:val="22"/>
          <w:szCs w:val="22"/>
          <w:lang w:val="fr-CA"/>
        </w:rPr>
        <w:t xml:space="preserve"> diversité bio</w:t>
      </w:r>
      <w:r>
        <w:rPr>
          <w:rFonts w:eastAsia="Malgun Gothic"/>
          <w:bCs/>
          <w:kern w:val="22"/>
          <w:szCs w:val="22"/>
          <w:lang w:val="fr-CA"/>
        </w:rPr>
        <w:t>logique et les menaces éventuelles liées à des nouvelles pressions</w:t>
      </w:r>
      <w:r w:rsidRPr="00AF5B6D">
        <w:rPr>
          <w:rFonts w:eastAsia="Malgun Gothic"/>
          <w:bCs/>
          <w:kern w:val="22"/>
          <w:szCs w:val="22"/>
          <w:lang w:val="fr-CA"/>
        </w:rPr>
        <w:t>;</w:t>
      </w:r>
    </w:p>
    <w:p w:rsidR="009F6935" w:rsidRPr="00AF5B6D" w:rsidRDefault="009F6935" w:rsidP="00004EAF">
      <w:pPr>
        <w:pStyle w:val="ListParagraph"/>
        <w:numPr>
          <w:ilvl w:val="0"/>
          <w:numId w:val="28"/>
        </w:numPr>
        <w:suppressLineNumbers/>
        <w:suppressAutoHyphens/>
        <w:kinsoku w:val="0"/>
        <w:overflowPunct w:val="0"/>
        <w:autoSpaceDE w:val="0"/>
        <w:autoSpaceDN w:val="0"/>
        <w:spacing w:before="120" w:after="120"/>
        <w:ind w:left="0" w:firstLine="720"/>
        <w:contextualSpacing w:val="0"/>
        <w:rPr>
          <w:rFonts w:eastAsia="Malgun Gothic"/>
          <w:bCs/>
          <w:kern w:val="22"/>
          <w:szCs w:val="22"/>
          <w:lang w:val="fr-CA"/>
        </w:rPr>
      </w:pPr>
      <w:r w:rsidRPr="00AF5B6D">
        <w:rPr>
          <w:rFonts w:eastAsia="Malgun Gothic"/>
          <w:bCs/>
          <w:kern w:val="22"/>
          <w:szCs w:val="22"/>
          <w:lang w:val="fr-CA"/>
        </w:rPr>
        <w:t>Résumer et harmoniser différents types d’information</w:t>
      </w:r>
      <w:r>
        <w:rPr>
          <w:rFonts w:eastAsia="Malgun Gothic"/>
          <w:bCs/>
          <w:kern w:val="22"/>
          <w:szCs w:val="22"/>
          <w:lang w:val="fr-CA"/>
        </w:rPr>
        <w:t xml:space="preserve">, sous réserve du consentement </w:t>
      </w:r>
      <w:r w:rsidRPr="00AF5B6D">
        <w:rPr>
          <w:rFonts w:eastAsia="Malgun Gothic"/>
          <w:bCs/>
          <w:kern w:val="22"/>
          <w:szCs w:val="22"/>
          <w:lang w:val="fr-CA"/>
        </w:rPr>
        <w:t>préalable</w:t>
      </w:r>
      <w:r>
        <w:rPr>
          <w:rFonts w:eastAsia="Malgun Gothic"/>
          <w:bCs/>
          <w:kern w:val="22"/>
          <w:szCs w:val="22"/>
          <w:lang w:val="fr-CA"/>
        </w:rPr>
        <w:t>,</w:t>
      </w:r>
      <w:r w:rsidRPr="00AF5B6D">
        <w:rPr>
          <w:rFonts w:eastAsia="Malgun Gothic"/>
          <w:bCs/>
          <w:kern w:val="22"/>
          <w:szCs w:val="22"/>
          <w:lang w:val="fr-CA"/>
        </w:rPr>
        <w:t xml:space="preserve"> donné </w:t>
      </w:r>
      <w:r>
        <w:rPr>
          <w:rFonts w:eastAsia="Malgun Gothic"/>
          <w:bCs/>
          <w:kern w:val="22"/>
          <w:szCs w:val="22"/>
          <w:lang w:val="fr-CA"/>
        </w:rPr>
        <w:t xml:space="preserve">librement et </w:t>
      </w:r>
      <w:r w:rsidRPr="00AF5B6D">
        <w:rPr>
          <w:rFonts w:eastAsia="Malgun Gothic"/>
          <w:bCs/>
          <w:kern w:val="22"/>
          <w:szCs w:val="22"/>
          <w:lang w:val="fr-CA"/>
        </w:rPr>
        <w:t xml:space="preserve">en connaissance de cause </w:t>
      </w:r>
      <w:r>
        <w:rPr>
          <w:rFonts w:eastAsia="Malgun Gothic"/>
          <w:bCs/>
          <w:kern w:val="22"/>
          <w:szCs w:val="22"/>
          <w:lang w:val="fr-CA"/>
        </w:rPr>
        <w:t xml:space="preserve">lorsque cela concerne des connaissances des peuples autochtones, selon qu’il convient, et conformément aux politiques générales, aux réglementations et aux circonstances nationales, y compris des </w:t>
      </w:r>
      <w:r w:rsidRPr="00AF5B6D">
        <w:rPr>
          <w:rFonts w:eastAsia="Malgun Gothic"/>
          <w:bCs/>
          <w:kern w:val="22"/>
          <w:szCs w:val="22"/>
          <w:lang w:val="fr-CA"/>
        </w:rPr>
        <w:t>information</w:t>
      </w:r>
      <w:r>
        <w:rPr>
          <w:rFonts w:eastAsia="Malgun Gothic"/>
          <w:bCs/>
          <w:kern w:val="22"/>
          <w:szCs w:val="22"/>
          <w:lang w:val="fr-CA"/>
        </w:rPr>
        <w:t>s</w:t>
      </w:r>
      <w:r w:rsidRPr="00AF5B6D">
        <w:rPr>
          <w:rFonts w:eastAsia="Malgun Gothic"/>
          <w:bCs/>
          <w:kern w:val="22"/>
          <w:szCs w:val="22"/>
          <w:lang w:val="fr-CA"/>
        </w:rPr>
        <w:t xml:space="preserve"> sur les aires marine</w:t>
      </w:r>
      <w:r>
        <w:rPr>
          <w:rFonts w:eastAsia="Malgun Gothic"/>
          <w:bCs/>
          <w:kern w:val="22"/>
          <w:szCs w:val="22"/>
          <w:lang w:val="fr-CA"/>
        </w:rPr>
        <w:t>s importantes sur le plan</w:t>
      </w:r>
      <w:r w:rsidRPr="00AF5B6D">
        <w:rPr>
          <w:rFonts w:eastAsia="Malgun Gothic"/>
          <w:bCs/>
          <w:kern w:val="22"/>
          <w:szCs w:val="22"/>
          <w:lang w:val="fr-CA"/>
        </w:rPr>
        <w:t xml:space="preserve"> écologique ou biologique (AIEB), les principales </w:t>
      </w:r>
      <w:r>
        <w:rPr>
          <w:rFonts w:eastAsia="Malgun Gothic"/>
          <w:bCs/>
          <w:kern w:val="22"/>
          <w:szCs w:val="22"/>
          <w:lang w:val="fr-CA"/>
        </w:rPr>
        <w:t xml:space="preserve">aires </w:t>
      </w:r>
      <w:r w:rsidRPr="00AF5B6D">
        <w:rPr>
          <w:rFonts w:eastAsia="Malgun Gothic"/>
          <w:bCs/>
          <w:kern w:val="22"/>
          <w:szCs w:val="22"/>
          <w:lang w:val="fr-CA"/>
        </w:rPr>
        <w:t>de diversité biologique, les écosystèmes marins vulnérables, les aires marines particuliè</w:t>
      </w:r>
      <w:r>
        <w:rPr>
          <w:rFonts w:eastAsia="Malgun Gothic"/>
          <w:bCs/>
          <w:kern w:val="22"/>
          <w:szCs w:val="22"/>
          <w:lang w:val="fr-CA"/>
        </w:rPr>
        <w:t>rement sensibles et les aires importantes</w:t>
      </w:r>
      <w:r w:rsidRPr="00AF5B6D">
        <w:rPr>
          <w:rFonts w:eastAsia="Malgun Gothic"/>
          <w:bCs/>
          <w:kern w:val="22"/>
          <w:szCs w:val="22"/>
          <w:lang w:val="fr-CA"/>
        </w:rPr>
        <w:t xml:space="preserve"> pour les mammifères marins;</w:t>
      </w:r>
    </w:p>
    <w:p w:rsidR="009F6935" w:rsidRPr="00AF5B6D" w:rsidRDefault="009F6935" w:rsidP="00004EAF">
      <w:pPr>
        <w:pStyle w:val="ListParagraph"/>
        <w:numPr>
          <w:ilvl w:val="0"/>
          <w:numId w:val="28"/>
        </w:numPr>
        <w:suppressLineNumbers/>
        <w:suppressAutoHyphens/>
        <w:kinsoku w:val="0"/>
        <w:overflowPunct w:val="0"/>
        <w:autoSpaceDE w:val="0"/>
        <w:autoSpaceDN w:val="0"/>
        <w:spacing w:before="120" w:after="240"/>
        <w:ind w:left="0" w:firstLine="720"/>
        <w:contextualSpacing w:val="0"/>
        <w:rPr>
          <w:rFonts w:eastAsia="Malgun Gothic"/>
          <w:bCs/>
          <w:kern w:val="22"/>
          <w:szCs w:val="22"/>
          <w:lang w:val="fr-CA"/>
        </w:rPr>
      </w:pPr>
      <w:r w:rsidRPr="00AF5B6D">
        <w:rPr>
          <w:rFonts w:eastAsia="Malgun Gothic"/>
          <w:bCs/>
          <w:kern w:val="22"/>
          <w:szCs w:val="22"/>
          <w:lang w:val="fr-CA"/>
        </w:rPr>
        <w:t>Élaborer et/</w:t>
      </w:r>
      <w:r>
        <w:rPr>
          <w:rFonts w:eastAsia="Malgun Gothic"/>
          <w:bCs/>
          <w:kern w:val="22"/>
          <w:szCs w:val="22"/>
          <w:lang w:val="fr-CA"/>
        </w:rPr>
        <w:t>ou améliorer les mécanismes permettant de</w:t>
      </w:r>
      <w:r w:rsidRPr="00AF5B6D">
        <w:rPr>
          <w:rFonts w:eastAsia="Malgun Gothic"/>
          <w:bCs/>
          <w:kern w:val="22"/>
          <w:szCs w:val="22"/>
          <w:lang w:val="fr-CA"/>
        </w:rPr>
        <w:t xml:space="preserve"> normaliser, </w:t>
      </w:r>
      <w:r>
        <w:rPr>
          <w:rFonts w:eastAsia="Malgun Gothic"/>
          <w:bCs/>
          <w:kern w:val="22"/>
          <w:szCs w:val="22"/>
          <w:lang w:val="fr-CA"/>
        </w:rPr>
        <w:t>de partager</w:t>
      </w:r>
      <w:r w:rsidRPr="00AF5B6D">
        <w:rPr>
          <w:rFonts w:eastAsia="Malgun Gothic"/>
          <w:bCs/>
          <w:kern w:val="22"/>
          <w:szCs w:val="22"/>
          <w:lang w:val="fr-CA"/>
        </w:rPr>
        <w:t xml:space="preserve"> et </w:t>
      </w:r>
      <w:r>
        <w:rPr>
          <w:rFonts w:eastAsia="Malgun Gothic"/>
          <w:bCs/>
          <w:kern w:val="22"/>
          <w:szCs w:val="22"/>
          <w:lang w:val="fr-CA"/>
        </w:rPr>
        <w:t xml:space="preserve">d’intégrer les </w:t>
      </w:r>
      <w:r w:rsidRPr="00AF5B6D">
        <w:rPr>
          <w:rFonts w:eastAsia="Malgun Gothic"/>
          <w:bCs/>
          <w:kern w:val="22"/>
          <w:szCs w:val="22"/>
          <w:lang w:val="fr-CA"/>
        </w:rPr>
        <w:t>information</w:t>
      </w:r>
      <w:r>
        <w:rPr>
          <w:rFonts w:eastAsia="Malgun Gothic"/>
          <w:bCs/>
          <w:kern w:val="22"/>
          <w:szCs w:val="22"/>
          <w:lang w:val="fr-CA"/>
        </w:rPr>
        <w:t>s (p. ex., le C</w:t>
      </w:r>
      <w:r w:rsidRPr="00AF5B6D">
        <w:rPr>
          <w:rFonts w:eastAsia="Malgun Gothic"/>
          <w:bCs/>
          <w:kern w:val="22"/>
          <w:szCs w:val="22"/>
          <w:lang w:val="fr-CA"/>
        </w:rPr>
        <w:t xml:space="preserve">entre d’échange, </w:t>
      </w:r>
      <w:r>
        <w:rPr>
          <w:rFonts w:eastAsia="Malgun Gothic"/>
          <w:bCs/>
          <w:kern w:val="22"/>
          <w:szCs w:val="22"/>
          <w:lang w:val="fr-CA"/>
        </w:rPr>
        <w:t xml:space="preserve">le </w:t>
      </w:r>
      <w:r w:rsidRPr="00AF5B6D">
        <w:rPr>
          <w:bCs/>
          <w:kern w:val="22"/>
          <w:szCs w:val="22"/>
          <w:lang w:val="fr-CA"/>
        </w:rPr>
        <w:t>Système</w:t>
      </w:r>
      <w:r>
        <w:rPr>
          <w:rFonts w:eastAsia="Malgun Gothic"/>
          <w:bCs/>
          <w:kern w:val="22"/>
          <w:szCs w:val="22"/>
          <w:lang w:val="fr-CA"/>
        </w:rPr>
        <w:t xml:space="preserve"> mondial d’observation des </w:t>
      </w:r>
      <w:r w:rsidRPr="00AF5B6D">
        <w:rPr>
          <w:rFonts w:eastAsia="Malgun Gothic"/>
          <w:bCs/>
          <w:kern w:val="22"/>
          <w:szCs w:val="22"/>
          <w:lang w:val="fr-CA"/>
        </w:rPr>
        <w:t>océan</w:t>
      </w:r>
      <w:r>
        <w:rPr>
          <w:rFonts w:eastAsia="Malgun Gothic"/>
          <w:bCs/>
          <w:kern w:val="22"/>
          <w:szCs w:val="22"/>
          <w:lang w:val="fr-CA"/>
        </w:rPr>
        <w:t>s</w:t>
      </w:r>
      <w:r w:rsidRPr="00AF5B6D">
        <w:rPr>
          <w:rFonts w:eastAsia="Malgun Gothic"/>
          <w:bCs/>
          <w:kern w:val="22"/>
          <w:szCs w:val="22"/>
          <w:lang w:val="fr-CA"/>
        </w:rPr>
        <w:t xml:space="preserve"> et </w:t>
      </w:r>
      <w:r>
        <w:rPr>
          <w:rFonts w:eastAsia="Malgun Gothic"/>
          <w:bCs/>
          <w:kern w:val="22"/>
          <w:szCs w:val="22"/>
          <w:lang w:val="fr-CA"/>
        </w:rPr>
        <w:t>d’</w:t>
      </w:r>
      <w:r w:rsidRPr="00AF5B6D">
        <w:rPr>
          <w:rFonts w:eastAsia="Malgun Gothic"/>
          <w:bCs/>
          <w:kern w:val="22"/>
          <w:szCs w:val="22"/>
          <w:lang w:val="fr-CA"/>
        </w:rPr>
        <w:t>autres systèmes de suivi</w:t>
      </w:r>
      <w:r>
        <w:rPr>
          <w:rFonts w:eastAsia="Malgun Gothic"/>
          <w:bCs/>
          <w:kern w:val="22"/>
          <w:szCs w:val="22"/>
          <w:lang w:val="fr-CA"/>
        </w:rPr>
        <w:t>)</w:t>
      </w:r>
      <w:r w:rsidRPr="00AF5B6D">
        <w:rPr>
          <w:rFonts w:eastAsia="Malgun Gothic"/>
          <w:bCs/>
          <w:kern w:val="22"/>
          <w:szCs w:val="22"/>
          <w:lang w:val="fr-CA"/>
        </w:rPr>
        <w:t>.</w:t>
      </w:r>
    </w:p>
    <w:p w:rsidR="009F6935" w:rsidRPr="00AF5B6D" w:rsidRDefault="009F6935" w:rsidP="00004EAF">
      <w:pPr>
        <w:pStyle w:val="Heading3"/>
        <w:numPr>
          <w:ilvl w:val="6"/>
          <w:numId w:val="14"/>
        </w:numPr>
        <w:suppressLineNumbers/>
        <w:tabs>
          <w:tab w:val="clear" w:pos="567"/>
          <w:tab w:val="left" w:pos="360"/>
        </w:tabs>
        <w:suppressAutoHyphens/>
        <w:kinsoku w:val="0"/>
        <w:overflowPunct w:val="0"/>
        <w:autoSpaceDE w:val="0"/>
        <w:autoSpaceDN w:val="0"/>
        <w:ind w:left="0" w:firstLine="0"/>
        <w:rPr>
          <w:kern w:val="22"/>
          <w:szCs w:val="22"/>
          <w:lang w:val="fr-CA"/>
        </w:rPr>
      </w:pPr>
      <w:bookmarkStart w:id="128" w:name="_Toc525904189"/>
      <w:bookmarkStart w:id="129" w:name="_Toc525904348"/>
      <w:bookmarkStart w:id="130" w:name="_Toc525904592"/>
      <w:r>
        <w:rPr>
          <w:kern w:val="22"/>
          <w:szCs w:val="22"/>
          <w:lang w:val="fr-CA" w:eastAsia="ko-KR"/>
        </w:rPr>
        <w:t xml:space="preserve">Participation </w:t>
      </w:r>
      <w:r w:rsidRPr="00AF5B6D">
        <w:rPr>
          <w:kern w:val="22"/>
          <w:szCs w:val="22"/>
          <w:lang w:val="fr-CA" w:eastAsia="ko-KR"/>
        </w:rPr>
        <w:t xml:space="preserve">des </w:t>
      </w:r>
      <w:r>
        <w:rPr>
          <w:kern w:val="22"/>
          <w:szCs w:val="22"/>
          <w:lang w:val="fr-CA" w:eastAsia="ko-KR"/>
        </w:rPr>
        <w:t xml:space="preserve">détenteurs de droits et des </w:t>
      </w:r>
      <w:r w:rsidRPr="00AF5B6D">
        <w:rPr>
          <w:kern w:val="22"/>
          <w:szCs w:val="22"/>
          <w:lang w:val="fr-CA" w:eastAsia="ko-KR"/>
        </w:rPr>
        <w:t>parties prenantes</w:t>
      </w:r>
      <w:bookmarkEnd w:id="128"/>
      <w:bookmarkEnd w:id="129"/>
      <w:bookmarkEnd w:id="130"/>
    </w:p>
    <w:p w:rsidR="009F6935" w:rsidRPr="00AF5B6D" w:rsidRDefault="009F6935" w:rsidP="00004EAF">
      <w:pPr>
        <w:pStyle w:val="ListParagraph"/>
        <w:numPr>
          <w:ilvl w:val="0"/>
          <w:numId w:val="29"/>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Recenser les </w:t>
      </w:r>
      <w:r>
        <w:rPr>
          <w:rFonts w:eastAsia="Malgun Gothic"/>
          <w:bCs/>
          <w:kern w:val="22"/>
          <w:szCs w:val="22"/>
          <w:lang w:val="fr-CA"/>
        </w:rPr>
        <w:t>détenteurs de droits et les parties prenantes concernés,</w:t>
      </w:r>
      <w:r w:rsidRPr="00AF5B6D">
        <w:rPr>
          <w:rFonts w:eastAsia="Malgun Gothic"/>
          <w:bCs/>
          <w:kern w:val="22"/>
          <w:szCs w:val="22"/>
          <w:lang w:val="fr-CA"/>
        </w:rPr>
        <w:t xml:space="preserve"> en tenan</w:t>
      </w:r>
      <w:r>
        <w:rPr>
          <w:rFonts w:eastAsia="Malgun Gothic"/>
          <w:bCs/>
          <w:kern w:val="22"/>
          <w:szCs w:val="22"/>
          <w:lang w:val="fr-CA"/>
        </w:rPr>
        <w:t>t compte des moyens de subsistance</w:t>
      </w:r>
      <w:r w:rsidRPr="00AF5B6D">
        <w:rPr>
          <w:rFonts w:eastAsia="Malgun Gothic"/>
          <w:bCs/>
          <w:kern w:val="22"/>
          <w:szCs w:val="22"/>
          <w:lang w:val="fr-CA"/>
        </w:rPr>
        <w:t xml:space="preserve"> et des spécificités culturelles et spirituelles à différentes échelles;</w:t>
      </w:r>
    </w:p>
    <w:p w:rsidR="009F6935" w:rsidRPr="00AF5B6D" w:rsidRDefault="009F6935" w:rsidP="00004EAF">
      <w:pPr>
        <w:numPr>
          <w:ilvl w:val="0"/>
          <w:numId w:val="29"/>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Développer et favoriser des communautés de pratique et des réseaux de </w:t>
      </w:r>
      <w:r>
        <w:rPr>
          <w:rFonts w:eastAsia="Malgun Gothic"/>
          <w:bCs/>
          <w:kern w:val="22"/>
          <w:szCs w:val="22"/>
          <w:lang w:val="fr-CA"/>
        </w:rPr>
        <w:t xml:space="preserve">détenteurs de droits et de </w:t>
      </w:r>
      <w:r w:rsidRPr="00AF5B6D">
        <w:rPr>
          <w:rFonts w:eastAsia="Malgun Gothic"/>
          <w:bCs/>
          <w:kern w:val="22"/>
          <w:szCs w:val="22"/>
          <w:lang w:val="fr-CA"/>
        </w:rPr>
        <w:t>parties prenantes qui faciliteront l’apprentissage et les échanges réciproques</w:t>
      </w:r>
      <w:r>
        <w:rPr>
          <w:rFonts w:eastAsia="Malgun Gothic"/>
          <w:bCs/>
          <w:kern w:val="22"/>
          <w:szCs w:val="22"/>
          <w:lang w:val="fr-CA"/>
        </w:rPr>
        <w:t>,</w:t>
      </w:r>
      <w:r w:rsidRPr="00AF5B6D">
        <w:rPr>
          <w:rFonts w:eastAsia="Malgun Gothic"/>
          <w:bCs/>
          <w:kern w:val="22"/>
          <w:szCs w:val="22"/>
          <w:lang w:val="fr-CA"/>
        </w:rPr>
        <w:t xml:space="preserve"> et appuieront la gouvernance, le suivi, l’application, </w:t>
      </w:r>
      <w:r>
        <w:rPr>
          <w:rFonts w:eastAsia="Malgun Gothic"/>
          <w:bCs/>
          <w:kern w:val="22"/>
          <w:szCs w:val="22"/>
          <w:lang w:val="fr-CA"/>
        </w:rPr>
        <w:t>l’établissement de rapports</w:t>
      </w:r>
      <w:r w:rsidRPr="00AF5B6D">
        <w:rPr>
          <w:rFonts w:eastAsia="Malgun Gothic"/>
          <w:bCs/>
          <w:kern w:val="22"/>
          <w:szCs w:val="22"/>
          <w:lang w:val="fr-CA"/>
        </w:rPr>
        <w:t xml:space="preserve"> et l’évaluation;</w:t>
      </w:r>
    </w:p>
    <w:p w:rsidR="009F6935" w:rsidRPr="00AF5B6D" w:rsidRDefault="009F6935" w:rsidP="00004EAF">
      <w:pPr>
        <w:numPr>
          <w:ilvl w:val="0"/>
          <w:numId w:val="29"/>
        </w:numPr>
        <w:suppressLineNumbers/>
        <w:suppressAutoHyphens/>
        <w:kinsoku w:val="0"/>
        <w:overflowPunct w:val="0"/>
        <w:autoSpaceDE w:val="0"/>
        <w:autoSpaceDN w:val="0"/>
        <w:spacing w:before="120" w:after="120"/>
        <w:ind w:left="0" w:firstLine="720"/>
        <w:rPr>
          <w:rFonts w:eastAsia="Malgun Gothic"/>
          <w:bCs/>
          <w:kern w:val="22"/>
          <w:szCs w:val="22"/>
          <w:lang w:val="fr-CA"/>
        </w:rPr>
      </w:pPr>
      <w:r w:rsidRPr="00AF5B6D">
        <w:rPr>
          <w:rFonts w:eastAsia="Malgun Gothic"/>
          <w:bCs/>
          <w:kern w:val="22"/>
          <w:szCs w:val="22"/>
          <w:lang w:val="fr-CA"/>
        </w:rPr>
        <w:t xml:space="preserve">Développer une compréhension commune des objectifs </w:t>
      </w:r>
      <w:r>
        <w:rPr>
          <w:rFonts w:eastAsia="Malgun Gothic"/>
          <w:bCs/>
          <w:kern w:val="22"/>
          <w:szCs w:val="22"/>
          <w:lang w:val="fr-CA"/>
        </w:rPr>
        <w:t>et des résultats escomptés pour l’ensemble des détenteurs de droits et d</w:t>
      </w:r>
      <w:r w:rsidRPr="00AF5B6D">
        <w:rPr>
          <w:rFonts w:eastAsia="Malgun Gothic"/>
          <w:bCs/>
          <w:kern w:val="22"/>
          <w:szCs w:val="22"/>
          <w:lang w:val="fr-CA"/>
        </w:rPr>
        <w:t>es parties prenantes;</w:t>
      </w:r>
    </w:p>
    <w:p w:rsidR="009F6935" w:rsidRPr="00AF5B6D" w:rsidRDefault="009F6935" w:rsidP="00004EAF">
      <w:pPr>
        <w:numPr>
          <w:ilvl w:val="0"/>
          <w:numId w:val="29"/>
        </w:numPr>
        <w:suppressLineNumbers/>
        <w:suppressAutoHyphens/>
        <w:kinsoku w:val="0"/>
        <w:overflowPunct w:val="0"/>
        <w:autoSpaceDE w:val="0"/>
        <w:autoSpaceDN w:val="0"/>
        <w:spacing w:before="120" w:after="240"/>
        <w:ind w:left="0" w:firstLine="720"/>
        <w:rPr>
          <w:rFonts w:eastAsia="Malgun Gothic"/>
          <w:bCs/>
          <w:kern w:val="22"/>
          <w:szCs w:val="22"/>
          <w:lang w:val="fr-CA"/>
        </w:rPr>
      </w:pPr>
      <w:r w:rsidRPr="00AF5B6D">
        <w:rPr>
          <w:rFonts w:eastAsia="Malgun Gothic"/>
          <w:bCs/>
          <w:kern w:val="22"/>
          <w:szCs w:val="22"/>
          <w:lang w:val="fr-CA"/>
        </w:rPr>
        <w:t>Encourager et</w:t>
      </w:r>
      <w:r>
        <w:rPr>
          <w:rFonts w:eastAsia="Malgun Gothic"/>
          <w:bCs/>
          <w:kern w:val="22"/>
          <w:szCs w:val="22"/>
          <w:lang w:val="fr-CA"/>
        </w:rPr>
        <w:t xml:space="preserve"> appuyer d’excellentes compétences</w:t>
      </w:r>
      <w:r w:rsidRPr="00AF5B6D">
        <w:rPr>
          <w:rFonts w:eastAsia="Malgun Gothic"/>
          <w:bCs/>
          <w:kern w:val="22"/>
          <w:szCs w:val="22"/>
          <w:lang w:val="fr-CA"/>
        </w:rPr>
        <w:t xml:space="preserve"> sociales et de communication chez les gestionnaires et les praticiens </w:t>
      </w:r>
      <w:r>
        <w:rPr>
          <w:rFonts w:eastAsia="Malgun Gothic"/>
          <w:bCs/>
          <w:kern w:val="22"/>
          <w:szCs w:val="22"/>
          <w:lang w:val="fr-CA"/>
        </w:rPr>
        <w:t xml:space="preserve">qui s’occupent </w:t>
      </w:r>
      <w:r w:rsidRPr="00AF5B6D">
        <w:rPr>
          <w:rFonts w:eastAsia="Malgun Gothic"/>
          <w:bCs/>
          <w:kern w:val="22"/>
          <w:szCs w:val="22"/>
          <w:lang w:val="fr-CA"/>
        </w:rPr>
        <w:t xml:space="preserve">des aires protégées marines et </w:t>
      </w:r>
      <w:r>
        <w:rPr>
          <w:rFonts w:eastAsia="Malgun Gothic"/>
          <w:bCs/>
          <w:kern w:val="22"/>
          <w:szCs w:val="22"/>
          <w:lang w:val="fr-CA"/>
        </w:rPr>
        <w:t>d’</w:t>
      </w:r>
      <w:r w:rsidRPr="00AF5B6D">
        <w:rPr>
          <w:rFonts w:eastAsia="Malgun Gothic"/>
          <w:bCs/>
          <w:kern w:val="22"/>
          <w:szCs w:val="22"/>
          <w:lang w:val="fr-CA"/>
        </w:rPr>
        <w:t>autres mesures de conservation efficaces par zone</w:t>
      </w:r>
      <w:r w:rsidRPr="00AF5B6D">
        <w:rPr>
          <w:rFonts w:eastAsia="Malgun Gothic"/>
          <w:snapToGrid w:val="0"/>
          <w:color w:val="000000"/>
          <w:kern w:val="22"/>
          <w:szCs w:val="22"/>
          <w:lang w:val="fr-CA"/>
        </w:rPr>
        <w:t>.</w:t>
      </w:r>
    </w:p>
    <w:p w:rsidR="009F6935" w:rsidRPr="00AF5B6D" w:rsidRDefault="009F6935" w:rsidP="009F6935">
      <w:pPr>
        <w:keepNext/>
        <w:suppressLineNumbers/>
        <w:tabs>
          <w:tab w:val="left" w:pos="360"/>
        </w:tabs>
        <w:suppressAutoHyphens/>
        <w:kinsoku w:val="0"/>
        <w:overflowPunct w:val="0"/>
        <w:autoSpaceDE w:val="0"/>
        <w:autoSpaceDN w:val="0"/>
        <w:spacing w:before="120" w:after="120"/>
        <w:jc w:val="center"/>
        <w:rPr>
          <w:i/>
          <w:kern w:val="22"/>
          <w:szCs w:val="22"/>
          <w:lang w:val="fr-CA"/>
        </w:rPr>
      </w:pPr>
      <w:r w:rsidRPr="00AF5B6D">
        <w:rPr>
          <w:i/>
          <w:kern w:val="22"/>
          <w:szCs w:val="22"/>
          <w:lang w:val="fr-CA" w:eastAsia="ko-KR"/>
        </w:rPr>
        <w:lastRenderedPageBreak/>
        <w:t>3.</w:t>
      </w:r>
      <w:r w:rsidRPr="00AF5B6D">
        <w:rPr>
          <w:i/>
          <w:kern w:val="22"/>
          <w:szCs w:val="22"/>
          <w:lang w:val="fr-CA" w:eastAsia="ko-KR"/>
        </w:rPr>
        <w:tab/>
        <w:t>Gouvernance, suivi et application</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Recense</w:t>
      </w:r>
      <w:r w:rsidRPr="00AF5B6D">
        <w:rPr>
          <w:bCs/>
          <w:kern w:val="22"/>
          <w:szCs w:val="22"/>
          <w:lang w:val="fr-CA"/>
        </w:rPr>
        <w:t>r les politiques et les mesures de gestion en place, y compris à l’extérieur des aires p</w:t>
      </w:r>
      <w:r>
        <w:rPr>
          <w:bCs/>
          <w:kern w:val="22"/>
          <w:szCs w:val="22"/>
          <w:lang w:val="fr-CA"/>
        </w:rPr>
        <w:t xml:space="preserve">rotégées et </w:t>
      </w:r>
      <w:r w:rsidRPr="00AF5B6D">
        <w:rPr>
          <w:bCs/>
          <w:kern w:val="22"/>
          <w:szCs w:val="22"/>
          <w:lang w:val="fr-CA"/>
        </w:rPr>
        <w:t>conservées;</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Utilise</w:t>
      </w:r>
      <w:r>
        <w:rPr>
          <w:bCs/>
          <w:kern w:val="22"/>
          <w:szCs w:val="22"/>
          <w:lang w:val="fr-CA"/>
        </w:rPr>
        <w:t>r plus efficacement les récents développements</w:t>
      </w:r>
      <w:r w:rsidRPr="00AF5B6D">
        <w:rPr>
          <w:bCs/>
          <w:kern w:val="22"/>
          <w:szCs w:val="22"/>
          <w:lang w:val="fr-CA"/>
        </w:rPr>
        <w:t xml:space="preserve"> dans les données </w:t>
      </w:r>
      <w:r>
        <w:rPr>
          <w:bCs/>
          <w:kern w:val="22"/>
          <w:szCs w:val="22"/>
          <w:lang w:val="fr-CA"/>
        </w:rPr>
        <w:t xml:space="preserve">accessibles au public </w:t>
      </w:r>
      <w:r w:rsidRPr="00AF5B6D">
        <w:rPr>
          <w:bCs/>
          <w:kern w:val="22"/>
          <w:szCs w:val="22"/>
          <w:lang w:val="fr-CA"/>
        </w:rPr>
        <w:t>(p. ex., information par satellite)</w:t>
      </w:r>
      <w:r>
        <w:rPr>
          <w:bCs/>
          <w:kern w:val="22"/>
          <w:szCs w:val="22"/>
          <w:lang w:val="fr-CA"/>
        </w:rPr>
        <w:t>, conformément aux dispositions de la législation nationale</w:t>
      </w:r>
      <w:r w:rsidRPr="00AF5B6D">
        <w:rPr>
          <w:bCs/>
          <w:kern w:val="22"/>
          <w:szCs w:val="22"/>
          <w:lang w:val="fr-CA"/>
        </w:rPr>
        <w:t>;</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Développer</w:t>
      </w:r>
      <w:r w:rsidRPr="00AF5B6D">
        <w:rPr>
          <w:bCs/>
          <w:kern w:val="22"/>
          <w:szCs w:val="22"/>
          <w:lang w:val="fr-CA"/>
        </w:rPr>
        <w:t xml:space="preserve"> et/ou renforcer les mécanismes et </w:t>
      </w:r>
      <w:r>
        <w:rPr>
          <w:bCs/>
          <w:kern w:val="22"/>
          <w:szCs w:val="22"/>
          <w:lang w:val="fr-CA"/>
        </w:rPr>
        <w:t xml:space="preserve">les </w:t>
      </w:r>
      <w:r w:rsidRPr="00AF5B6D">
        <w:rPr>
          <w:bCs/>
          <w:kern w:val="22"/>
          <w:szCs w:val="22"/>
          <w:lang w:val="fr-CA"/>
        </w:rPr>
        <w:t>partenariats mondiaux de suivi, afin de réduire les coûts généraux de suivi;</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Assurer la participation des peuples autochtones et d</w:t>
      </w:r>
      <w:r w:rsidRPr="00AF5B6D">
        <w:rPr>
          <w:bCs/>
          <w:kern w:val="22"/>
          <w:szCs w:val="22"/>
          <w:lang w:val="fr-CA"/>
        </w:rPr>
        <w:t xml:space="preserve">es </w:t>
      </w:r>
      <w:r>
        <w:rPr>
          <w:bCs/>
          <w:kern w:val="22"/>
          <w:szCs w:val="22"/>
          <w:lang w:val="fr-CA"/>
        </w:rPr>
        <w:t>communautés locales, ainsi que d</w:t>
      </w:r>
      <w:r w:rsidRPr="00AF5B6D">
        <w:rPr>
          <w:bCs/>
          <w:kern w:val="22"/>
          <w:szCs w:val="22"/>
          <w:lang w:val="fr-CA"/>
        </w:rPr>
        <w:t>es dirigeants locaux respectés</w:t>
      </w:r>
      <w:r>
        <w:rPr>
          <w:bCs/>
          <w:kern w:val="22"/>
          <w:szCs w:val="22"/>
          <w:lang w:val="fr-CA"/>
        </w:rPr>
        <w:t>,</w:t>
      </w:r>
      <w:r w:rsidRPr="00AF5B6D">
        <w:rPr>
          <w:bCs/>
          <w:kern w:val="22"/>
          <w:szCs w:val="22"/>
          <w:lang w:val="fr-CA"/>
        </w:rPr>
        <w:t xml:space="preserve"> </w:t>
      </w:r>
      <w:r>
        <w:rPr>
          <w:bCs/>
          <w:kern w:val="22"/>
          <w:szCs w:val="22"/>
          <w:lang w:val="fr-CA"/>
        </w:rPr>
        <w:t>au suivi</w:t>
      </w:r>
      <w:r w:rsidRPr="00AF5B6D">
        <w:rPr>
          <w:bCs/>
          <w:kern w:val="22"/>
          <w:szCs w:val="22"/>
          <w:lang w:val="fr-CA"/>
        </w:rPr>
        <w:t xml:space="preserve"> et </w:t>
      </w:r>
      <w:r>
        <w:rPr>
          <w:bCs/>
          <w:kern w:val="22"/>
          <w:szCs w:val="22"/>
          <w:lang w:val="fr-CA"/>
        </w:rPr>
        <w:t xml:space="preserve">à </w:t>
      </w:r>
      <w:r w:rsidRPr="00AF5B6D">
        <w:rPr>
          <w:bCs/>
          <w:kern w:val="22"/>
          <w:szCs w:val="22"/>
          <w:lang w:val="fr-CA"/>
        </w:rPr>
        <w:t xml:space="preserve">l’application, et renforcer les capacités des communautés locales </w:t>
      </w:r>
      <w:r>
        <w:rPr>
          <w:bCs/>
          <w:kern w:val="22"/>
          <w:szCs w:val="22"/>
          <w:lang w:val="fr-CA"/>
        </w:rPr>
        <w:t>à effectuer un suivi, conformément aux dispositions de la législation nationale</w:t>
      </w:r>
      <w:r w:rsidRPr="00AF5B6D">
        <w:rPr>
          <w:bCs/>
          <w:kern w:val="22"/>
          <w:szCs w:val="22"/>
          <w:lang w:val="fr-CA"/>
        </w:rPr>
        <w:t>;</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kern w:val="22"/>
          <w:szCs w:val="22"/>
          <w:lang w:val="fr-CA"/>
        </w:rPr>
        <w:t>Renfor</w:t>
      </w:r>
      <w:r>
        <w:rPr>
          <w:kern w:val="22"/>
          <w:szCs w:val="22"/>
          <w:lang w:val="fr-CA"/>
        </w:rPr>
        <w:t>cer les</w:t>
      </w:r>
      <w:r w:rsidRPr="00AF5B6D">
        <w:rPr>
          <w:kern w:val="22"/>
          <w:szCs w:val="22"/>
          <w:lang w:val="fr-CA"/>
        </w:rPr>
        <w:t xml:space="preserve"> capacités des </w:t>
      </w:r>
      <w:r>
        <w:rPr>
          <w:kern w:val="22"/>
          <w:szCs w:val="22"/>
          <w:lang w:val="fr-CA"/>
        </w:rPr>
        <w:t xml:space="preserve">experts </w:t>
      </w:r>
      <w:r w:rsidRPr="00AF5B6D">
        <w:rPr>
          <w:kern w:val="22"/>
          <w:szCs w:val="22"/>
          <w:lang w:val="fr-CA"/>
        </w:rPr>
        <w:t xml:space="preserve">scientifiques </w:t>
      </w:r>
      <w:r>
        <w:rPr>
          <w:kern w:val="22"/>
          <w:szCs w:val="22"/>
          <w:lang w:val="fr-CA"/>
        </w:rPr>
        <w:t>à utiliser les</w:t>
      </w:r>
      <w:r w:rsidRPr="00AF5B6D">
        <w:rPr>
          <w:kern w:val="22"/>
          <w:szCs w:val="22"/>
          <w:lang w:val="fr-CA"/>
        </w:rPr>
        <w:t xml:space="preserve"> connaissances autochtones et locales</w:t>
      </w:r>
      <w:r>
        <w:rPr>
          <w:kern w:val="22"/>
          <w:szCs w:val="22"/>
          <w:lang w:val="fr-CA"/>
        </w:rPr>
        <w:t>,</w:t>
      </w:r>
      <w:r w:rsidRPr="00AF5B6D">
        <w:rPr>
          <w:kern w:val="22"/>
          <w:szCs w:val="22"/>
          <w:lang w:val="fr-CA"/>
        </w:rPr>
        <w:t xml:space="preserve"> en respectant les contextes culturels;</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Renforcer</w:t>
      </w:r>
      <w:r w:rsidRPr="00AF5B6D">
        <w:rPr>
          <w:bCs/>
          <w:kern w:val="22"/>
          <w:szCs w:val="22"/>
          <w:lang w:val="fr-CA"/>
        </w:rPr>
        <w:t xml:space="preserve"> les capacité</w:t>
      </w:r>
      <w:r>
        <w:rPr>
          <w:bCs/>
          <w:kern w:val="22"/>
          <w:szCs w:val="22"/>
          <w:lang w:val="fr-CA"/>
        </w:rPr>
        <w:t>s</w:t>
      </w:r>
      <w:r w:rsidRPr="00AF5B6D">
        <w:rPr>
          <w:bCs/>
          <w:kern w:val="22"/>
          <w:szCs w:val="22"/>
          <w:lang w:val="fr-CA"/>
        </w:rPr>
        <w:t xml:space="preserve"> des gestionnaires et des praticiens;</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Faciliter la collaboration, la</w:t>
      </w:r>
      <w:r>
        <w:rPr>
          <w:bCs/>
          <w:kern w:val="22"/>
          <w:szCs w:val="22"/>
          <w:lang w:val="fr-CA"/>
        </w:rPr>
        <w:t xml:space="preserve"> communication et le partage des bonnes pratiques entre gestionnaires et </w:t>
      </w:r>
      <w:r w:rsidRPr="00AF5B6D">
        <w:rPr>
          <w:bCs/>
          <w:kern w:val="22"/>
          <w:szCs w:val="22"/>
          <w:lang w:val="fr-CA"/>
        </w:rPr>
        <w:t>praticiens;</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Pr>
          <w:bCs/>
          <w:kern w:val="22"/>
          <w:szCs w:val="22"/>
          <w:lang w:val="fr-CA"/>
        </w:rPr>
        <w:t>Identifie</w:t>
      </w:r>
      <w:r w:rsidRPr="00AF5B6D">
        <w:rPr>
          <w:bCs/>
          <w:kern w:val="22"/>
          <w:szCs w:val="22"/>
          <w:lang w:val="fr-CA"/>
        </w:rPr>
        <w:t xml:space="preserve">r les lacunes et les obstacles à une gouvernance efficace et </w:t>
      </w:r>
      <w:r>
        <w:rPr>
          <w:bCs/>
          <w:kern w:val="22"/>
          <w:szCs w:val="22"/>
          <w:lang w:val="fr-CA"/>
        </w:rPr>
        <w:t>au respect des règles</w:t>
      </w:r>
      <w:r w:rsidRPr="00AF5B6D">
        <w:rPr>
          <w:bCs/>
          <w:kern w:val="22"/>
          <w:szCs w:val="22"/>
          <w:lang w:val="fr-CA"/>
        </w:rPr>
        <w:t>;</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120"/>
        <w:ind w:left="0" w:firstLine="720"/>
        <w:contextualSpacing w:val="0"/>
        <w:rPr>
          <w:bCs/>
          <w:kern w:val="22"/>
          <w:szCs w:val="22"/>
          <w:lang w:val="fr-CA"/>
        </w:rPr>
      </w:pPr>
      <w:r w:rsidRPr="00AF5B6D">
        <w:rPr>
          <w:bCs/>
          <w:kern w:val="22"/>
          <w:szCs w:val="22"/>
          <w:lang w:val="fr-CA"/>
        </w:rPr>
        <w:t>Utiliser les normes et les indicateurs existants, et améliorer la visibilité et l’adoption de diverses normes mondiales et régionales</w:t>
      </w:r>
      <w:r>
        <w:rPr>
          <w:bCs/>
          <w:kern w:val="22"/>
          <w:szCs w:val="22"/>
          <w:lang w:val="fr-CA"/>
        </w:rPr>
        <w:t>,</w:t>
      </w:r>
      <w:r w:rsidRPr="00AF5B6D">
        <w:rPr>
          <w:bCs/>
          <w:kern w:val="22"/>
          <w:szCs w:val="22"/>
          <w:lang w:val="fr-CA"/>
        </w:rPr>
        <w:t xml:space="preserve"> afin de faciliter l’utilisation de méthodes communes à différentes échelles;</w:t>
      </w:r>
    </w:p>
    <w:p w:rsidR="009F6935" w:rsidRPr="00AF5B6D" w:rsidRDefault="009F6935" w:rsidP="00004EAF">
      <w:pPr>
        <w:pStyle w:val="ListParagraph"/>
        <w:numPr>
          <w:ilvl w:val="0"/>
          <w:numId w:val="30"/>
        </w:numPr>
        <w:suppressLineNumbers/>
        <w:suppressAutoHyphens/>
        <w:kinsoku w:val="0"/>
        <w:overflowPunct w:val="0"/>
        <w:autoSpaceDE w:val="0"/>
        <w:autoSpaceDN w:val="0"/>
        <w:spacing w:before="120" w:after="240"/>
        <w:ind w:left="0" w:firstLine="720"/>
        <w:contextualSpacing w:val="0"/>
        <w:rPr>
          <w:bCs/>
          <w:kern w:val="22"/>
          <w:szCs w:val="22"/>
          <w:lang w:val="fr-CA"/>
        </w:rPr>
      </w:pPr>
      <w:r w:rsidRPr="00AF5B6D">
        <w:rPr>
          <w:bCs/>
          <w:kern w:val="22"/>
          <w:szCs w:val="22"/>
          <w:lang w:val="fr-CA"/>
        </w:rPr>
        <w:t>Reconnaître et appuyer le rôle des peuples autochtones et des communautés locales en matière de gouvernance, de suivi et d’application</w:t>
      </w:r>
      <w:r>
        <w:rPr>
          <w:bCs/>
          <w:kern w:val="22"/>
          <w:szCs w:val="22"/>
          <w:lang w:val="fr-CA"/>
        </w:rPr>
        <w:t>, conformément aux dispositions de la législation nationale</w:t>
      </w:r>
      <w:r w:rsidRPr="00AF5B6D">
        <w:rPr>
          <w:bCs/>
          <w:kern w:val="22"/>
          <w:szCs w:val="22"/>
          <w:lang w:val="fr-CA"/>
        </w:rPr>
        <w:t>.</w:t>
      </w:r>
    </w:p>
    <w:p w:rsidR="009F6935" w:rsidRPr="00AF5B6D" w:rsidRDefault="009F6935" w:rsidP="00004EAF">
      <w:pPr>
        <w:pStyle w:val="ListParagraph"/>
        <w:keepNext/>
        <w:numPr>
          <w:ilvl w:val="1"/>
          <w:numId w:val="14"/>
        </w:numPr>
        <w:suppressLineNumbers/>
        <w:suppressAutoHyphens/>
        <w:kinsoku w:val="0"/>
        <w:overflowPunct w:val="0"/>
        <w:autoSpaceDE w:val="0"/>
        <w:autoSpaceDN w:val="0"/>
        <w:spacing w:before="120" w:after="120"/>
        <w:ind w:left="1440" w:hanging="720"/>
        <w:contextualSpacing w:val="0"/>
        <w:jc w:val="left"/>
        <w:rPr>
          <w:i/>
          <w:kern w:val="22"/>
          <w:szCs w:val="22"/>
          <w:lang w:val="fr-CA"/>
        </w:rPr>
      </w:pPr>
      <w:r w:rsidRPr="00AF5B6D">
        <w:rPr>
          <w:i/>
          <w:kern w:val="22"/>
          <w:szCs w:val="22"/>
          <w:lang w:val="fr-CA" w:eastAsia="ko-KR"/>
        </w:rPr>
        <w:t xml:space="preserve">Évaluation et communication des progrès </w:t>
      </w:r>
      <w:r>
        <w:rPr>
          <w:i/>
          <w:kern w:val="22"/>
          <w:szCs w:val="22"/>
          <w:lang w:val="fr-CA" w:eastAsia="ko-KR"/>
        </w:rPr>
        <w:t xml:space="preserve">accomplis </w:t>
      </w:r>
      <w:r w:rsidRPr="00AF5B6D">
        <w:rPr>
          <w:i/>
          <w:kern w:val="22"/>
          <w:szCs w:val="22"/>
          <w:lang w:val="fr-CA" w:eastAsia="ko-KR"/>
        </w:rPr>
        <w:t>dans la réalisation des éléments qualitatifs de l’Objectif 11 d’</w:t>
      </w:r>
      <w:r>
        <w:rPr>
          <w:i/>
          <w:kern w:val="22"/>
          <w:szCs w:val="22"/>
          <w:lang w:val="fr-CA" w:eastAsia="ko-KR"/>
        </w:rPr>
        <w:t>Aichi pour la biodiversité</w:t>
      </w:r>
    </w:p>
    <w:p w:rsidR="009F6935" w:rsidRPr="00AF5B6D" w:rsidRDefault="009F6935" w:rsidP="009F6935">
      <w:pPr>
        <w:keepNext/>
        <w:suppressLineNumbers/>
        <w:suppressAutoHyphens/>
        <w:kinsoku w:val="0"/>
        <w:overflowPunct w:val="0"/>
        <w:autoSpaceDE w:val="0"/>
        <w:autoSpaceDN w:val="0"/>
        <w:spacing w:before="120" w:after="120"/>
        <w:jc w:val="left"/>
        <w:rPr>
          <w:i/>
          <w:iCs/>
          <w:kern w:val="22"/>
          <w:szCs w:val="22"/>
          <w:lang w:val="fr-CA"/>
        </w:rPr>
      </w:pPr>
      <w:r w:rsidRPr="00AF5B6D">
        <w:rPr>
          <w:i/>
          <w:iCs/>
          <w:kern w:val="22"/>
          <w:szCs w:val="22"/>
          <w:lang w:val="fr-CA"/>
        </w:rPr>
        <w:t>Évaluation</w:t>
      </w:r>
    </w:p>
    <w:p w:rsidR="009F6935" w:rsidRPr="00AF5B6D" w:rsidRDefault="009F6935" w:rsidP="00004EAF">
      <w:pPr>
        <w:pStyle w:val="ListParagraph"/>
        <w:numPr>
          <w:ilvl w:val="0"/>
          <w:numId w:val="31"/>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bCs/>
          <w:kern w:val="22"/>
          <w:szCs w:val="22"/>
          <w:lang w:val="fr-CA"/>
        </w:rPr>
        <w:t>Veiller à ce que les bonnes conditions soient en place pour favoriser l’évaluation et l’analyse (p. ex., fondements juridiques, politiques, objectifs de conservation et expertise</w:t>
      </w:r>
      <w:r w:rsidRPr="00AF5B6D">
        <w:rPr>
          <w:rFonts w:eastAsia="Malgun Gothic"/>
          <w:kern w:val="22"/>
          <w:szCs w:val="22"/>
          <w:lang w:val="fr-CA"/>
        </w:rPr>
        <w:t>);</w:t>
      </w:r>
    </w:p>
    <w:p w:rsidR="009F6935" w:rsidRPr="00AF5B6D" w:rsidRDefault="009F6935" w:rsidP="00004EAF">
      <w:pPr>
        <w:numPr>
          <w:ilvl w:val="0"/>
          <w:numId w:val="31"/>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Développer une compréhensio</w:t>
      </w:r>
      <w:r>
        <w:rPr>
          <w:rFonts w:eastAsia="Malgun Gothic"/>
          <w:kern w:val="22"/>
          <w:szCs w:val="22"/>
          <w:lang w:val="fr-CA"/>
        </w:rPr>
        <w:t xml:space="preserve">n commune de ce qui constitue l’efficacité auprès de </w:t>
      </w:r>
      <w:r w:rsidRPr="00AF5B6D">
        <w:rPr>
          <w:rFonts w:eastAsia="Malgun Gothic"/>
          <w:kern w:val="22"/>
          <w:szCs w:val="22"/>
          <w:lang w:val="fr-CA"/>
        </w:rPr>
        <w:t>groupes de parties prenantes, conformément aux objectifs des aires protégées</w:t>
      </w:r>
      <w:r>
        <w:rPr>
          <w:rFonts w:eastAsia="Malgun Gothic"/>
          <w:kern w:val="22"/>
          <w:szCs w:val="22"/>
          <w:lang w:val="fr-CA"/>
        </w:rPr>
        <w:t xml:space="preserve"> et </w:t>
      </w:r>
      <w:r w:rsidRPr="00AF5B6D">
        <w:rPr>
          <w:rFonts w:eastAsia="Malgun Gothic"/>
          <w:kern w:val="22"/>
          <w:szCs w:val="22"/>
          <w:lang w:val="fr-CA"/>
        </w:rPr>
        <w:t>conservées;</w:t>
      </w:r>
    </w:p>
    <w:p w:rsidR="009F6935" w:rsidRPr="00AF5B6D" w:rsidRDefault="009F6935" w:rsidP="00004EAF">
      <w:pPr>
        <w:numPr>
          <w:ilvl w:val="0"/>
          <w:numId w:val="31"/>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Élaborer des indicateurs clairs, fiables et mesurables pour évaluer l’effica</w:t>
      </w:r>
      <w:r>
        <w:rPr>
          <w:kern w:val="22"/>
          <w:szCs w:val="22"/>
          <w:lang w:val="fr-CA"/>
        </w:rPr>
        <w:t>cité des aires protégées et conservées en termes de réalisation de</w:t>
      </w:r>
      <w:r w:rsidRPr="00AF5B6D">
        <w:rPr>
          <w:kern w:val="22"/>
          <w:szCs w:val="22"/>
          <w:lang w:val="fr-CA"/>
        </w:rPr>
        <w:t xml:space="preserve"> leurs objectifs;</w:t>
      </w:r>
    </w:p>
    <w:p w:rsidR="009F6935" w:rsidRPr="00AF5B6D" w:rsidRDefault="009F6935" w:rsidP="00004EAF">
      <w:pPr>
        <w:numPr>
          <w:ilvl w:val="0"/>
          <w:numId w:val="31"/>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Élab</w:t>
      </w:r>
      <w:r>
        <w:rPr>
          <w:bCs/>
          <w:kern w:val="22"/>
          <w:szCs w:val="22"/>
          <w:lang w:val="fr-CA"/>
        </w:rPr>
        <w:t xml:space="preserve">orer des méthodes normalisées pour </w:t>
      </w:r>
      <w:r w:rsidRPr="00AF5B6D">
        <w:rPr>
          <w:bCs/>
          <w:kern w:val="22"/>
          <w:szCs w:val="22"/>
          <w:lang w:val="fr-CA"/>
        </w:rPr>
        <w:t>évaluer tous les mécanismes et procédés;</w:t>
      </w:r>
    </w:p>
    <w:p w:rsidR="009F6935" w:rsidRPr="00AF5B6D" w:rsidRDefault="009F6935" w:rsidP="00004EAF">
      <w:pPr>
        <w:numPr>
          <w:ilvl w:val="0"/>
          <w:numId w:val="31"/>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 xml:space="preserve">Évaluer les aires protégées et </w:t>
      </w:r>
      <w:r w:rsidRPr="00AF5B6D">
        <w:rPr>
          <w:bCs/>
          <w:kern w:val="22"/>
          <w:szCs w:val="22"/>
          <w:lang w:val="fr-CA"/>
        </w:rPr>
        <w:t>conservées à l’échelle</w:t>
      </w:r>
      <w:r>
        <w:rPr>
          <w:bCs/>
          <w:kern w:val="22"/>
          <w:szCs w:val="22"/>
          <w:lang w:val="fr-CA"/>
        </w:rPr>
        <w:t xml:space="preserve"> des réseaux et de chaque site</w:t>
      </w:r>
      <w:r w:rsidRPr="00AF5B6D">
        <w:rPr>
          <w:bCs/>
          <w:kern w:val="22"/>
          <w:szCs w:val="22"/>
          <w:lang w:val="fr-CA"/>
        </w:rPr>
        <w:t>;</w:t>
      </w:r>
    </w:p>
    <w:p w:rsidR="009F6935" w:rsidRPr="00AF5B6D" w:rsidRDefault="009F6935" w:rsidP="00004EAF">
      <w:pPr>
        <w:numPr>
          <w:ilvl w:val="0"/>
          <w:numId w:val="31"/>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 xml:space="preserve">Créer et favoriser des communautés de pratique pour </w:t>
      </w:r>
      <w:r w:rsidRPr="00AF5B6D">
        <w:rPr>
          <w:bCs/>
          <w:kern w:val="22"/>
          <w:szCs w:val="22"/>
          <w:lang w:val="fr-CA"/>
        </w:rPr>
        <w:t>appuyer l’évaluation;</w:t>
      </w:r>
    </w:p>
    <w:p w:rsidR="009F6935" w:rsidRPr="00AF5B6D" w:rsidRDefault="00670C0C" w:rsidP="009F6935">
      <w:pPr>
        <w:keepNext/>
        <w:suppressLineNumbers/>
        <w:suppressAutoHyphens/>
        <w:kinsoku w:val="0"/>
        <w:overflowPunct w:val="0"/>
        <w:autoSpaceDE w:val="0"/>
        <w:autoSpaceDN w:val="0"/>
        <w:spacing w:before="120" w:after="120"/>
        <w:jc w:val="left"/>
        <w:rPr>
          <w:i/>
          <w:iCs/>
          <w:kern w:val="22"/>
          <w:szCs w:val="22"/>
          <w:lang w:val="fr-CA"/>
        </w:rPr>
      </w:pPr>
      <w:r>
        <w:rPr>
          <w:i/>
          <w:iCs/>
          <w:kern w:val="22"/>
          <w:szCs w:val="22"/>
          <w:lang w:val="fr-CA"/>
        </w:rPr>
        <w:t>Établissement</w:t>
      </w:r>
      <w:r w:rsidR="009F6935">
        <w:rPr>
          <w:i/>
          <w:iCs/>
          <w:kern w:val="22"/>
          <w:szCs w:val="22"/>
          <w:lang w:val="fr-CA"/>
        </w:rPr>
        <w:t xml:space="preserve"> des rapports</w:t>
      </w:r>
    </w:p>
    <w:p w:rsidR="009F6935" w:rsidRPr="00AF5B6D" w:rsidRDefault="009F6935" w:rsidP="00004EAF">
      <w:pPr>
        <w:pStyle w:val="ListParagraph"/>
        <w:numPr>
          <w:ilvl w:val="0"/>
          <w:numId w:val="32"/>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Améliorer la fréquence et le degré de précision des rapports</w:t>
      </w:r>
      <w:r w:rsidRPr="00AF5B6D">
        <w:rPr>
          <w:bCs/>
          <w:kern w:val="22"/>
          <w:szCs w:val="22"/>
          <w:lang w:val="fr-CA"/>
        </w:rPr>
        <w:t>, notamment en</w:t>
      </w:r>
      <w:r>
        <w:rPr>
          <w:bCs/>
          <w:kern w:val="22"/>
          <w:szCs w:val="22"/>
          <w:lang w:val="fr-CA"/>
        </w:rPr>
        <w:t xml:space="preserve"> opti</w:t>
      </w:r>
      <w:r w:rsidRPr="00AF5B6D">
        <w:rPr>
          <w:bCs/>
          <w:kern w:val="22"/>
          <w:szCs w:val="22"/>
          <w:lang w:val="fr-CA"/>
        </w:rPr>
        <w:t xml:space="preserve">misant </w:t>
      </w:r>
      <w:r>
        <w:rPr>
          <w:bCs/>
          <w:kern w:val="22"/>
          <w:szCs w:val="22"/>
          <w:lang w:val="fr-CA"/>
        </w:rPr>
        <w:t>l’utilisation des mécanismes d’établissement de rapports existants</w:t>
      </w:r>
      <w:r w:rsidRPr="00AF5B6D">
        <w:rPr>
          <w:bCs/>
          <w:kern w:val="22"/>
          <w:szCs w:val="22"/>
          <w:lang w:val="fr-CA"/>
        </w:rPr>
        <w:t>;</w:t>
      </w:r>
    </w:p>
    <w:p w:rsidR="009F6935" w:rsidRPr="00AF5B6D" w:rsidRDefault="009F6935" w:rsidP="00004EAF">
      <w:pPr>
        <w:numPr>
          <w:ilvl w:val="0"/>
          <w:numId w:val="32"/>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 xml:space="preserve">Accroître la visibilité des rapports afin d’encourager une </w:t>
      </w:r>
      <w:r w:rsidRPr="00AF5B6D">
        <w:rPr>
          <w:bCs/>
          <w:kern w:val="22"/>
          <w:szCs w:val="22"/>
          <w:lang w:val="fr-CA"/>
        </w:rPr>
        <w:t>anal</w:t>
      </w:r>
      <w:r>
        <w:rPr>
          <w:bCs/>
          <w:kern w:val="22"/>
          <w:szCs w:val="22"/>
          <w:lang w:val="fr-CA"/>
        </w:rPr>
        <w:t>yse par un éventail d’experts dans</w:t>
      </w:r>
      <w:r w:rsidRPr="00AF5B6D">
        <w:rPr>
          <w:bCs/>
          <w:kern w:val="22"/>
          <w:szCs w:val="22"/>
          <w:lang w:val="fr-CA"/>
        </w:rPr>
        <w:t xml:space="preserve"> </w:t>
      </w:r>
      <w:r>
        <w:rPr>
          <w:bCs/>
          <w:kern w:val="22"/>
          <w:szCs w:val="22"/>
          <w:lang w:val="fr-CA"/>
        </w:rPr>
        <w:t>différentes</w:t>
      </w:r>
      <w:r w:rsidRPr="00AF5B6D">
        <w:rPr>
          <w:bCs/>
          <w:kern w:val="22"/>
          <w:szCs w:val="22"/>
          <w:lang w:val="fr-CA"/>
        </w:rPr>
        <w:t xml:space="preserve"> disciplines;</w:t>
      </w:r>
    </w:p>
    <w:p w:rsidR="009F6935" w:rsidRPr="00AF5B6D" w:rsidRDefault="009F6935" w:rsidP="00004EAF">
      <w:pPr>
        <w:numPr>
          <w:ilvl w:val="0"/>
          <w:numId w:val="32"/>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 xml:space="preserve">Veiller à ce que les gestionnaires soient </w:t>
      </w:r>
      <w:r>
        <w:rPr>
          <w:bCs/>
          <w:kern w:val="22"/>
          <w:szCs w:val="22"/>
          <w:lang w:val="fr-CA"/>
        </w:rPr>
        <w:t>bien</w:t>
      </w:r>
      <w:r w:rsidRPr="00AF5B6D">
        <w:rPr>
          <w:bCs/>
          <w:kern w:val="22"/>
          <w:szCs w:val="22"/>
          <w:lang w:val="fr-CA"/>
        </w:rPr>
        <w:t xml:space="preserve"> informés de la communication et de l’analyse </w:t>
      </w:r>
      <w:r>
        <w:rPr>
          <w:bCs/>
          <w:kern w:val="22"/>
          <w:szCs w:val="22"/>
          <w:lang w:val="fr-CA"/>
        </w:rPr>
        <w:t>des données, en utilisant les mécanismes de retour d’information</w:t>
      </w:r>
      <w:r w:rsidRPr="00AF5B6D">
        <w:rPr>
          <w:bCs/>
          <w:kern w:val="22"/>
          <w:szCs w:val="22"/>
          <w:lang w:val="fr-CA"/>
        </w:rPr>
        <w:t xml:space="preserve"> pertinents</w:t>
      </w:r>
      <w:r>
        <w:rPr>
          <w:bCs/>
          <w:kern w:val="22"/>
          <w:szCs w:val="22"/>
          <w:lang w:val="fr-CA"/>
        </w:rPr>
        <w:t>,</w:t>
      </w:r>
      <w:r w:rsidRPr="00AF5B6D">
        <w:rPr>
          <w:bCs/>
          <w:kern w:val="22"/>
          <w:szCs w:val="22"/>
          <w:lang w:val="fr-CA"/>
        </w:rPr>
        <w:t xml:space="preserve"> afin de facilit</w:t>
      </w:r>
      <w:r>
        <w:rPr>
          <w:bCs/>
          <w:kern w:val="22"/>
          <w:szCs w:val="22"/>
          <w:lang w:val="fr-CA"/>
        </w:rPr>
        <w:t>er</w:t>
      </w:r>
      <w:r w:rsidRPr="00AF5B6D">
        <w:rPr>
          <w:bCs/>
          <w:kern w:val="22"/>
          <w:szCs w:val="22"/>
          <w:lang w:val="fr-CA"/>
        </w:rPr>
        <w:t xml:space="preserve"> la gestion adaptative;</w:t>
      </w:r>
    </w:p>
    <w:p w:rsidR="009F6935" w:rsidRPr="00AF5B6D" w:rsidRDefault="009F6935" w:rsidP="00004EAF">
      <w:pPr>
        <w:numPr>
          <w:ilvl w:val="0"/>
          <w:numId w:val="32"/>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lastRenderedPageBreak/>
        <w:t>Renforcer les capacités des pays en développement</w:t>
      </w:r>
      <w:r>
        <w:rPr>
          <w:bCs/>
          <w:kern w:val="22"/>
          <w:szCs w:val="22"/>
          <w:lang w:val="fr-CA"/>
        </w:rPr>
        <w:t xml:space="preserve"> à entreprendre des analyses des rapports</w:t>
      </w:r>
      <w:r w:rsidRPr="00AF5B6D">
        <w:rPr>
          <w:bCs/>
          <w:kern w:val="22"/>
          <w:szCs w:val="22"/>
          <w:lang w:val="fr-CA"/>
        </w:rPr>
        <w:t xml:space="preserve"> et de l’efficacité de la gestion</w:t>
      </w:r>
      <w:r w:rsidRPr="00AF5B6D">
        <w:rPr>
          <w:kern w:val="22"/>
          <w:szCs w:val="22"/>
          <w:lang w:val="fr-CA"/>
        </w:rPr>
        <w:t>;</w:t>
      </w:r>
    </w:p>
    <w:p w:rsidR="009F6935" w:rsidRPr="00AF5B6D" w:rsidRDefault="009F6935" w:rsidP="00004EAF">
      <w:pPr>
        <w:numPr>
          <w:ilvl w:val="0"/>
          <w:numId w:val="32"/>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 xml:space="preserve">Renforcer la </w:t>
      </w:r>
      <w:r w:rsidRPr="00AF5B6D">
        <w:rPr>
          <w:bCs/>
          <w:kern w:val="22"/>
          <w:szCs w:val="22"/>
          <w:lang w:val="fr-CA"/>
        </w:rPr>
        <w:t>volonté politique d’ap</w:t>
      </w:r>
      <w:r>
        <w:rPr>
          <w:bCs/>
          <w:kern w:val="22"/>
          <w:szCs w:val="22"/>
          <w:lang w:val="fr-CA"/>
        </w:rPr>
        <w:t>puyer une communication prompte</w:t>
      </w:r>
      <w:r w:rsidRPr="00AF5B6D">
        <w:rPr>
          <w:bCs/>
          <w:kern w:val="22"/>
          <w:szCs w:val="22"/>
          <w:lang w:val="fr-CA"/>
        </w:rPr>
        <w:t xml:space="preserve"> et effica</w:t>
      </w:r>
      <w:r>
        <w:rPr>
          <w:bCs/>
          <w:kern w:val="22"/>
          <w:szCs w:val="22"/>
          <w:lang w:val="fr-CA"/>
        </w:rPr>
        <w:t xml:space="preserve">ce des données, notamment par un </w:t>
      </w:r>
      <w:r w:rsidRPr="00AF5B6D">
        <w:rPr>
          <w:bCs/>
          <w:kern w:val="22"/>
          <w:szCs w:val="22"/>
          <w:lang w:val="fr-CA"/>
        </w:rPr>
        <w:t>engagement du gouvernement à communiquer régulièrement et adéquatement des données;</w:t>
      </w:r>
    </w:p>
    <w:p w:rsidR="009F6935" w:rsidRPr="00AF5B6D" w:rsidRDefault="009F6935" w:rsidP="00004EAF">
      <w:pPr>
        <w:numPr>
          <w:ilvl w:val="0"/>
          <w:numId w:val="32"/>
        </w:numPr>
        <w:suppressLineNumbers/>
        <w:suppressAutoHyphens/>
        <w:kinsoku w:val="0"/>
        <w:overflowPunct w:val="0"/>
        <w:autoSpaceDE w:val="0"/>
        <w:autoSpaceDN w:val="0"/>
        <w:spacing w:before="120" w:after="120"/>
        <w:ind w:left="0" w:firstLine="720"/>
        <w:rPr>
          <w:bCs/>
          <w:kern w:val="22"/>
          <w:szCs w:val="22"/>
          <w:lang w:val="fr-CA"/>
        </w:rPr>
      </w:pPr>
      <w:r>
        <w:rPr>
          <w:bCs/>
          <w:kern w:val="22"/>
          <w:szCs w:val="22"/>
          <w:lang w:val="fr-CA"/>
        </w:rPr>
        <w:t>Assurer la participation d</w:t>
      </w:r>
      <w:r w:rsidRPr="00AF5B6D">
        <w:rPr>
          <w:bCs/>
          <w:kern w:val="22"/>
          <w:szCs w:val="22"/>
          <w:lang w:val="fr-CA"/>
        </w:rPr>
        <w:t>es</w:t>
      </w:r>
      <w:r>
        <w:rPr>
          <w:bCs/>
          <w:kern w:val="22"/>
          <w:szCs w:val="22"/>
          <w:lang w:val="fr-CA"/>
        </w:rPr>
        <w:t xml:space="preserve"> peuples autochtones et d</w:t>
      </w:r>
      <w:r w:rsidRPr="00AF5B6D">
        <w:rPr>
          <w:bCs/>
          <w:kern w:val="22"/>
          <w:szCs w:val="22"/>
          <w:lang w:val="fr-CA"/>
        </w:rPr>
        <w:t>es</w:t>
      </w:r>
      <w:r>
        <w:rPr>
          <w:bCs/>
          <w:kern w:val="22"/>
          <w:szCs w:val="22"/>
          <w:lang w:val="fr-CA"/>
        </w:rPr>
        <w:t xml:space="preserve"> communautés locales à l’établissement des rapports et aux </w:t>
      </w:r>
      <w:r w:rsidRPr="00AF5B6D">
        <w:rPr>
          <w:bCs/>
          <w:kern w:val="22"/>
          <w:szCs w:val="22"/>
          <w:lang w:val="fr-CA"/>
        </w:rPr>
        <w:t>évaluations;</w:t>
      </w:r>
    </w:p>
    <w:p w:rsidR="009F6935" w:rsidRPr="00AF5B6D" w:rsidRDefault="009F6935" w:rsidP="00004EAF">
      <w:pPr>
        <w:numPr>
          <w:ilvl w:val="0"/>
          <w:numId w:val="32"/>
        </w:numPr>
        <w:suppressLineNumbers/>
        <w:suppressAutoHyphens/>
        <w:kinsoku w:val="0"/>
        <w:overflowPunct w:val="0"/>
        <w:autoSpaceDE w:val="0"/>
        <w:autoSpaceDN w:val="0"/>
        <w:spacing w:before="120" w:after="120"/>
        <w:ind w:left="0" w:firstLine="720"/>
        <w:rPr>
          <w:bCs/>
          <w:kern w:val="22"/>
          <w:szCs w:val="22"/>
          <w:lang w:val="fr-CA"/>
        </w:rPr>
      </w:pPr>
      <w:r w:rsidRPr="00AF5B6D">
        <w:rPr>
          <w:bCs/>
          <w:kern w:val="22"/>
          <w:szCs w:val="22"/>
          <w:lang w:val="fr-CA"/>
        </w:rPr>
        <w:t>Élaborer des app</w:t>
      </w:r>
      <w:r>
        <w:rPr>
          <w:bCs/>
          <w:kern w:val="22"/>
          <w:szCs w:val="22"/>
          <w:lang w:val="fr-CA"/>
        </w:rPr>
        <w:t>roches normalisé</w:t>
      </w:r>
      <w:r w:rsidRPr="00AF5B6D">
        <w:rPr>
          <w:bCs/>
          <w:kern w:val="22"/>
          <w:szCs w:val="22"/>
          <w:lang w:val="fr-CA"/>
        </w:rPr>
        <w:t xml:space="preserve">es pour </w:t>
      </w:r>
      <w:r>
        <w:rPr>
          <w:bCs/>
          <w:kern w:val="22"/>
          <w:szCs w:val="22"/>
          <w:lang w:val="fr-CA"/>
        </w:rPr>
        <w:t>l’établissement des rapports</w:t>
      </w:r>
      <w:r w:rsidRPr="00AF5B6D">
        <w:rPr>
          <w:bCs/>
          <w:kern w:val="22"/>
          <w:szCs w:val="22"/>
          <w:lang w:val="fr-CA"/>
        </w:rPr>
        <w:t xml:space="preserve"> pour tous les mécanismes et processus;</w:t>
      </w:r>
    </w:p>
    <w:p w:rsidR="009F6935" w:rsidRPr="00AF5B6D" w:rsidRDefault="009F6935" w:rsidP="00004EAF">
      <w:pPr>
        <w:numPr>
          <w:ilvl w:val="0"/>
          <w:numId w:val="32"/>
        </w:numPr>
        <w:suppressLineNumbers/>
        <w:suppressAutoHyphens/>
        <w:kinsoku w:val="0"/>
        <w:overflowPunct w:val="0"/>
        <w:autoSpaceDE w:val="0"/>
        <w:autoSpaceDN w:val="0"/>
        <w:spacing w:before="120" w:after="240"/>
        <w:ind w:left="0" w:firstLine="720"/>
        <w:rPr>
          <w:rFonts w:eastAsia="Malgun Gothic"/>
          <w:bCs/>
          <w:kern w:val="22"/>
          <w:szCs w:val="22"/>
          <w:lang w:val="fr-CA"/>
        </w:rPr>
      </w:pPr>
      <w:r w:rsidRPr="00AF5B6D">
        <w:rPr>
          <w:rFonts w:eastAsia="Malgun Gothic"/>
          <w:bCs/>
          <w:kern w:val="22"/>
          <w:szCs w:val="22"/>
          <w:lang w:val="fr-CA"/>
        </w:rPr>
        <w:t xml:space="preserve">Créer et encourager les communautés de pratique à appuyer </w:t>
      </w:r>
      <w:r>
        <w:rPr>
          <w:rFonts w:eastAsia="Malgun Gothic"/>
          <w:bCs/>
          <w:kern w:val="22"/>
          <w:szCs w:val="22"/>
          <w:lang w:val="fr-CA"/>
        </w:rPr>
        <w:t>l’établissement des rapports</w:t>
      </w:r>
      <w:r w:rsidRPr="00AF5B6D">
        <w:rPr>
          <w:rFonts w:eastAsia="Malgun Gothic"/>
          <w:bCs/>
          <w:kern w:val="22"/>
          <w:szCs w:val="22"/>
          <w:lang w:val="fr-CA"/>
        </w:rPr>
        <w:t>.</w:t>
      </w:r>
    </w:p>
    <w:p w:rsidR="009F6935" w:rsidRPr="00AF5B6D" w:rsidRDefault="009F6935" w:rsidP="009F6935">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4.</w:t>
      </w:r>
      <w:r w:rsidRPr="00AF5B6D">
        <w:rPr>
          <w:rFonts w:eastAsiaTheme="minorEastAsia"/>
          <w:color w:val="000000"/>
          <w:kern w:val="22"/>
          <w:szCs w:val="22"/>
          <w:lang w:val="fr-CA" w:eastAsia="ko-KR"/>
        </w:rPr>
        <w:tab/>
      </w:r>
      <w:r>
        <w:rPr>
          <w:bCs/>
          <w:kern w:val="22"/>
          <w:szCs w:val="22"/>
          <w:lang w:val="fr-CA"/>
        </w:rPr>
        <w:t>Les méthodes suivantes pourraient permettre d’accélérer les progrès accomplis par les pays en vue d’atteindre</w:t>
      </w:r>
      <w:r w:rsidRPr="00AF5B6D">
        <w:rPr>
          <w:bCs/>
          <w:kern w:val="22"/>
          <w:szCs w:val="22"/>
          <w:lang w:val="fr-CA"/>
        </w:rPr>
        <w:t xml:space="preserve"> l’Objectif 11 d’</w:t>
      </w:r>
      <w:r>
        <w:rPr>
          <w:bCs/>
          <w:kern w:val="22"/>
          <w:szCs w:val="22"/>
          <w:lang w:val="fr-CA"/>
        </w:rPr>
        <w:t>Aichi pour la biodiversité</w:t>
      </w:r>
      <w:r w:rsidRPr="00AF5B6D">
        <w:rPr>
          <w:bCs/>
          <w:kern w:val="22"/>
          <w:szCs w:val="22"/>
          <w:lang w:val="fr-CA"/>
        </w:rPr>
        <w:t xml:space="preserve"> dans les aires marines et côtières, notamment en ce qui concerne l’intégration efficace des aires marines protégées et autres mesures de conservation efficaces</w:t>
      </w:r>
      <w:r>
        <w:rPr>
          <w:bCs/>
          <w:kern w:val="22"/>
          <w:szCs w:val="22"/>
          <w:lang w:val="fr-CA"/>
        </w:rPr>
        <w:t xml:space="preserve"> par zone dans le</w:t>
      </w:r>
      <w:r w:rsidRPr="00AF5B6D">
        <w:rPr>
          <w:bCs/>
          <w:kern w:val="22"/>
          <w:szCs w:val="22"/>
          <w:lang w:val="fr-CA"/>
        </w:rPr>
        <w:t xml:space="preserve">s paysages terrestres et marins plus vastes, </w:t>
      </w:r>
      <w:r>
        <w:rPr>
          <w:bCs/>
          <w:kern w:val="22"/>
          <w:szCs w:val="22"/>
          <w:lang w:val="fr-CA"/>
        </w:rPr>
        <w:t xml:space="preserve">tout en </w:t>
      </w:r>
      <w:r w:rsidRPr="00AF5B6D">
        <w:rPr>
          <w:bCs/>
          <w:kern w:val="22"/>
          <w:szCs w:val="22"/>
          <w:lang w:val="fr-CA"/>
        </w:rPr>
        <w:t>reconnaissant que celles-ci ne sont pas exhaustives et qu’il existe d’autres sources d’orien</w:t>
      </w:r>
      <w:r>
        <w:rPr>
          <w:bCs/>
          <w:kern w:val="22"/>
          <w:szCs w:val="22"/>
          <w:lang w:val="fr-CA"/>
        </w:rPr>
        <w:t>tation</w:t>
      </w:r>
      <w:r w:rsidRPr="00AF5B6D">
        <w:rPr>
          <w:bCs/>
          <w:kern w:val="22"/>
          <w:szCs w:val="22"/>
          <w:lang w:val="fr-CA"/>
        </w:rPr>
        <w:t xml:space="preserve"> sur ces questions </w:t>
      </w:r>
      <w:r w:rsidRPr="00AF5B6D">
        <w:rPr>
          <w:rFonts w:eastAsiaTheme="minorEastAsia"/>
          <w:color w:val="000000"/>
          <w:kern w:val="22"/>
          <w:szCs w:val="22"/>
          <w:lang w:val="fr-CA" w:eastAsia="ko-KR"/>
        </w:rPr>
        <w:t>:</w:t>
      </w:r>
    </w:p>
    <w:p w:rsidR="009F6935" w:rsidRPr="00AF5B6D" w:rsidRDefault="009F6935" w:rsidP="00004EAF">
      <w:pPr>
        <w:pStyle w:val="ListParagraph"/>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Définir comment les aires marines protégées et autres mesures de conservation efficaces par zone s’inscrivent d</w:t>
      </w:r>
      <w:r>
        <w:rPr>
          <w:rFonts w:eastAsia="Malgun Gothic"/>
          <w:kern w:val="22"/>
          <w:szCs w:val="22"/>
          <w:lang w:val="fr-CA"/>
        </w:rPr>
        <w:t>ans les cadres d’aménagement d</w:t>
      </w:r>
      <w:r w:rsidRPr="00AF5B6D">
        <w:rPr>
          <w:rFonts w:eastAsia="Malgun Gothic"/>
          <w:kern w:val="22"/>
          <w:szCs w:val="22"/>
          <w:lang w:val="fr-CA"/>
        </w:rPr>
        <w:t xml:space="preserve">es paysages terrestres et marins, </w:t>
      </w:r>
      <w:r>
        <w:rPr>
          <w:rFonts w:eastAsia="Malgun Gothic"/>
          <w:kern w:val="22"/>
          <w:szCs w:val="22"/>
          <w:lang w:val="fr-CA"/>
        </w:rPr>
        <w:t xml:space="preserve">notamment la planification des </w:t>
      </w:r>
      <w:r w:rsidRPr="00AF5B6D">
        <w:rPr>
          <w:rFonts w:eastAsia="Malgun Gothic"/>
          <w:kern w:val="22"/>
          <w:szCs w:val="22"/>
          <w:lang w:val="fr-CA"/>
        </w:rPr>
        <w:t>espaces marins, la gestion côtière intégrée et la planification systématique de la conservation;</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Pr>
          <w:kern w:val="22"/>
          <w:szCs w:val="22"/>
          <w:lang w:val="fr-CA"/>
        </w:rPr>
        <w:t xml:space="preserve">Déterminer quelles </w:t>
      </w:r>
      <w:r w:rsidRPr="00AF5B6D">
        <w:rPr>
          <w:kern w:val="22"/>
          <w:szCs w:val="22"/>
          <w:lang w:val="fr-CA"/>
        </w:rPr>
        <w:t>information</w:t>
      </w:r>
      <w:r>
        <w:rPr>
          <w:kern w:val="22"/>
          <w:szCs w:val="22"/>
          <w:lang w:val="fr-CA"/>
        </w:rPr>
        <w:t>s</w:t>
      </w:r>
      <w:r w:rsidRPr="00AF5B6D">
        <w:rPr>
          <w:kern w:val="22"/>
          <w:szCs w:val="22"/>
          <w:lang w:val="fr-CA"/>
        </w:rPr>
        <w:t xml:space="preserve"> </w:t>
      </w:r>
      <w:r>
        <w:rPr>
          <w:kern w:val="22"/>
          <w:szCs w:val="22"/>
          <w:lang w:val="fr-CA"/>
        </w:rPr>
        <w:t xml:space="preserve">sont </w:t>
      </w:r>
      <w:r w:rsidRPr="00AF5B6D">
        <w:rPr>
          <w:kern w:val="22"/>
          <w:szCs w:val="22"/>
          <w:lang w:val="fr-CA"/>
        </w:rPr>
        <w:t>nécessaire</w:t>
      </w:r>
      <w:r>
        <w:rPr>
          <w:kern w:val="22"/>
          <w:szCs w:val="22"/>
          <w:lang w:val="fr-CA"/>
        </w:rPr>
        <w:t>s</w:t>
      </w:r>
      <w:r w:rsidRPr="00AF5B6D">
        <w:rPr>
          <w:kern w:val="22"/>
          <w:szCs w:val="22"/>
          <w:lang w:val="fr-CA"/>
        </w:rPr>
        <w:t xml:space="preserve"> ai</w:t>
      </w:r>
      <w:r>
        <w:rPr>
          <w:kern w:val="22"/>
          <w:szCs w:val="22"/>
          <w:lang w:val="fr-CA"/>
        </w:rPr>
        <w:t>nsi que la meilleure échelle à</w:t>
      </w:r>
      <w:r w:rsidRPr="00AF5B6D">
        <w:rPr>
          <w:kern w:val="22"/>
          <w:szCs w:val="22"/>
          <w:lang w:val="fr-CA"/>
        </w:rPr>
        <w:t xml:space="preserve"> laquelle </w:t>
      </w:r>
      <w:r>
        <w:rPr>
          <w:kern w:val="22"/>
          <w:szCs w:val="22"/>
          <w:lang w:val="fr-CA"/>
        </w:rPr>
        <w:t xml:space="preserve">il convient de recueillir ces </w:t>
      </w:r>
      <w:r w:rsidRPr="00AF5B6D">
        <w:rPr>
          <w:kern w:val="22"/>
          <w:szCs w:val="22"/>
          <w:lang w:val="fr-CA"/>
        </w:rPr>
        <w:t>information</w:t>
      </w:r>
      <w:r>
        <w:rPr>
          <w:kern w:val="22"/>
          <w:szCs w:val="22"/>
          <w:lang w:val="fr-CA"/>
        </w:rPr>
        <w:t>s</w:t>
      </w:r>
      <w:r w:rsidRPr="00AF5B6D">
        <w:rPr>
          <w:kern w:val="22"/>
          <w:szCs w:val="22"/>
          <w:lang w:val="fr-CA"/>
        </w:rPr>
        <w:t xml:space="preserve">, notamment en ce qui concerne : les cadres juridiques et de politique existants; les caractéristiques écologiques et biologiques, et les aires d’intérêt particulier pour la conservation; les utilisations et les activités </w:t>
      </w:r>
      <w:r>
        <w:rPr>
          <w:kern w:val="22"/>
          <w:szCs w:val="22"/>
          <w:lang w:val="fr-CA"/>
        </w:rPr>
        <w:t xml:space="preserve">menées </w:t>
      </w:r>
      <w:r w:rsidRPr="00AF5B6D">
        <w:rPr>
          <w:kern w:val="22"/>
          <w:szCs w:val="22"/>
          <w:lang w:val="fr-CA"/>
        </w:rPr>
        <w:t xml:space="preserve">dans </w:t>
      </w:r>
      <w:r>
        <w:rPr>
          <w:kern w:val="22"/>
          <w:szCs w:val="22"/>
          <w:lang w:val="fr-CA"/>
        </w:rPr>
        <w:t>les</w:t>
      </w:r>
      <w:r w:rsidRPr="00AF5B6D">
        <w:rPr>
          <w:kern w:val="22"/>
          <w:szCs w:val="22"/>
          <w:lang w:val="fr-CA"/>
        </w:rPr>
        <w:t xml:space="preserve"> paysages terrestres et marins </w:t>
      </w:r>
      <w:r>
        <w:rPr>
          <w:kern w:val="22"/>
          <w:szCs w:val="22"/>
          <w:lang w:val="fr-CA"/>
        </w:rPr>
        <w:t xml:space="preserve">plus vastes </w:t>
      </w:r>
      <w:r w:rsidRPr="00AF5B6D">
        <w:rPr>
          <w:kern w:val="22"/>
          <w:szCs w:val="22"/>
          <w:lang w:val="fr-CA"/>
        </w:rPr>
        <w:t>et dans des aires d’intérêt particulier pour la conservat</w:t>
      </w:r>
      <w:r>
        <w:rPr>
          <w:kern w:val="22"/>
          <w:szCs w:val="22"/>
          <w:lang w:val="fr-CA"/>
        </w:rPr>
        <w:t>ion;</w:t>
      </w:r>
      <w:r w:rsidRPr="00AF5B6D">
        <w:rPr>
          <w:kern w:val="22"/>
          <w:szCs w:val="22"/>
          <w:lang w:val="fr-CA"/>
        </w:rPr>
        <w:t xml:space="preserve"> les parties </w:t>
      </w:r>
      <w:r>
        <w:rPr>
          <w:kern w:val="22"/>
          <w:szCs w:val="22"/>
          <w:lang w:val="fr-CA"/>
        </w:rPr>
        <w:t xml:space="preserve">prenantes actives dans les </w:t>
      </w:r>
      <w:r w:rsidRPr="00AF5B6D">
        <w:rPr>
          <w:kern w:val="22"/>
          <w:szCs w:val="22"/>
          <w:lang w:val="fr-CA"/>
        </w:rPr>
        <w:t xml:space="preserve">paysages terrestres et marins </w:t>
      </w:r>
      <w:r>
        <w:rPr>
          <w:kern w:val="22"/>
          <w:szCs w:val="22"/>
          <w:lang w:val="fr-CA"/>
        </w:rPr>
        <w:t xml:space="preserve">plus vastes </w:t>
      </w:r>
      <w:r w:rsidRPr="00AF5B6D">
        <w:rPr>
          <w:kern w:val="22"/>
          <w:szCs w:val="22"/>
          <w:lang w:val="fr-CA"/>
        </w:rPr>
        <w:t>ou ayant un intérêt pour ceux-ci, et les interactions possibles entre les utilisations anthropiques; les</w:t>
      </w:r>
      <w:r>
        <w:rPr>
          <w:kern w:val="22"/>
          <w:szCs w:val="22"/>
          <w:lang w:val="fr-CA"/>
        </w:rPr>
        <w:t xml:space="preserve"> impacts cumulatifs à différentes</w:t>
      </w:r>
      <w:r w:rsidRPr="00AF5B6D">
        <w:rPr>
          <w:kern w:val="22"/>
          <w:szCs w:val="22"/>
          <w:lang w:val="fr-CA"/>
        </w:rPr>
        <w:t xml:space="preserve"> échelles spatiales, et les répons</w:t>
      </w:r>
      <w:r>
        <w:rPr>
          <w:kern w:val="22"/>
          <w:szCs w:val="22"/>
          <w:lang w:val="fr-CA"/>
        </w:rPr>
        <w:t xml:space="preserve">es </w:t>
      </w:r>
      <w:r w:rsidRPr="00AF5B6D">
        <w:rPr>
          <w:kern w:val="22"/>
          <w:szCs w:val="22"/>
          <w:lang w:val="fr-CA"/>
        </w:rPr>
        <w:t xml:space="preserve">et la résistance/vulnérabilité </w:t>
      </w:r>
      <w:r>
        <w:rPr>
          <w:kern w:val="22"/>
          <w:szCs w:val="22"/>
          <w:lang w:val="fr-CA"/>
        </w:rPr>
        <w:t>des</w:t>
      </w:r>
      <w:r w:rsidRPr="00AF5B6D">
        <w:rPr>
          <w:kern w:val="22"/>
          <w:szCs w:val="22"/>
          <w:lang w:val="fr-CA"/>
        </w:rPr>
        <w:t xml:space="preserve"> systèmes </w:t>
      </w:r>
      <w:r>
        <w:rPr>
          <w:kern w:val="22"/>
          <w:szCs w:val="22"/>
          <w:lang w:val="fr-CA"/>
        </w:rPr>
        <w:t xml:space="preserve">face aux </w:t>
      </w:r>
      <w:r w:rsidRPr="00AF5B6D">
        <w:rPr>
          <w:kern w:val="22"/>
          <w:szCs w:val="22"/>
          <w:lang w:val="fr-CA"/>
        </w:rPr>
        <w:t>utilisation</w:t>
      </w:r>
      <w:r>
        <w:rPr>
          <w:kern w:val="22"/>
          <w:szCs w:val="22"/>
          <w:lang w:val="fr-CA"/>
        </w:rPr>
        <w:t>s</w:t>
      </w:r>
      <w:r w:rsidRPr="00AF5B6D">
        <w:rPr>
          <w:kern w:val="22"/>
          <w:szCs w:val="22"/>
          <w:lang w:val="fr-CA"/>
        </w:rPr>
        <w:t xml:space="preserve"> humaine</w:t>
      </w:r>
      <w:r>
        <w:rPr>
          <w:kern w:val="22"/>
          <w:szCs w:val="22"/>
          <w:lang w:val="fr-CA"/>
        </w:rPr>
        <w:t>s croissantes</w:t>
      </w:r>
      <w:r w:rsidRPr="00AF5B6D">
        <w:rPr>
          <w:kern w:val="22"/>
          <w:szCs w:val="22"/>
          <w:lang w:val="fr-CA"/>
        </w:rPr>
        <w:t xml:space="preserve"> et aux forces de la nature; et la </w:t>
      </w:r>
      <w:r>
        <w:rPr>
          <w:kern w:val="22"/>
          <w:szCs w:val="22"/>
          <w:lang w:val="fr-CA"/>
        </w:rPr>
        <w:t>connectivité à l’intérieur et à</w:t>
      </w:r>
      <w:r w:rsidRPr="00AF5B6D">
        <w:rPr>
          <w:kern w:val="22"/>
          <w:szCs w:val="22"/>
          <w:lang w:val="fr-CA"/>
        </w:rPr>
        <w:t xml:space="preserve"> l’extérieur des paysages terrestres et marins;</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Recenser les sources de données et d’information existantes (y compris les connaissances traditionnelles et locales), repérer les manques d’information et compiler les données, les modèles et autres informations </w:t>
      </w:r>
      <w:r>
        <w:rPr>
          <w:rFonts w:eastAsia="Malgun Gothic"/>
          <w:kern w:val="22"/>
          <w:szCs w:val="22"/>
          <w:lang w:val="fr-CA"/>
        </w:rPr>
        <w:t xml:space="preserve">pertinentes </w:t>
      </w:r>
      <w:r w:rsidRPr="00AF5B6D">
        <w:rPr>
          <w:rFonts w:eastAsia="Malgun Gothic"/>
          <w:kern w:val="22"/>
          <w:szCs w:val="22"/>
          <w:lang w:val="fr-CA"/>
        </w:rPr>
        <w:t xml:space="preserve">existantes, et élaborer et/ou améliorer </w:t>
      </w:r>
      <w:r>
        <w:rPr>
          <w:rFonts w:eastAsia="Malgun Gothic"/>
          <w:kern w:val="22"/>
          <w:szCs w:val="22"/>
          <w:lang w:val="fr-CA"/>
        </w:rPr>
        <w:t>d</w:t>
      </w:r>
      <w:r w:rsidRPr="00AF5B6D">
        <w:rPr>
          <w:rFonts w:eastAsia="Malgun Gothic"/>
          <w:kern w:val="22"/>
          <w:szCs w:val="22"/>
          <w:lang w:val="fr-CA"/>
        </w:rPr>
        <w:t>es outils conviviaux, de source ouverte, efficaces et tr</w:t>
      </w:r>
      <w:r>
        <w:rPr>
          <w:rFonts w:eastAsia="Malgun Gothic"/>
          <w:kern w:val="22"/>
          <w:szCs w:val="22"/>
          <w:lang w:val="fr-CA"/>
        </w:rPr>
        <w:t>anspare</w:t>
      </w:r>
      <w:r w:rsidRPr="00AF5B6D">
        <w:rPr>
          <w:rFonts w:eastAsia="Malgun Gothic"/>
          <w:kern w:val="22"/>
          <w:szCs w:val="22"/>
          <w:lang w:val="fr-CA"/>
        </w:rPr>
        <w:t>nts pour visualiser et intégrer les données</w:t>
      </w:r>
      <w:r w:rsidRPr="00AF5B6D">
        <w:rPr>
          <w:kern w:val="22"/>
          <w:szCs w:val="22"/>
          <w:lang w:val="fr-CA"/>
        </w:rPr>
        <w:t>;</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Pr>
          <w:kern w:val="22"/>
          <w:szCs w:val="22"/>
          <w:lang w:val="fr-CA"/>
        </w:rPr>
        <w:t>Reconnaître et comprendre différent</w:t>
      </w:r>
      <w:r w:rsidRPr="00AF5B6D">
        <w:rPr>
          <w:kern w:val="22"/>
          <w:szCs w:val="22"/>
          <w:lang w:val="fr-CA"/>
        </w:rPr>
        <w:t>s systèmes de valeurs;</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Pr>
          <w:kern w:val="22"/>
          <w:szCs w:val="22"/>
          <w:lang w:val="fr-CA"/>
        </w:rPr>
        <w:t>Assurer la participation pleine</w:t>
      </w:r>
      <w:r w:rsidRPr="00AF5B6D">
        <w:rPr>
          <w:kern w:val="22"/>
          <w:szCs w:val="22"/>
          <w:lang w:val="fr-CA"/>
        </w:rPr>
        <w:t xml:space="preserve"> et efficace des peuples autochtones et des communautés locales;</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Développer une compréhension commune chez les parties prenantes concernant les objectifs de l’intégration </w:t>
      </w:r>
      <w:r>
        <w:rPr>
          <w:rFonts w:eastAsia="Malgun Gothic"/>
          <w:kern w:val="22"/>
          <w:szCs w:val="22"/>
          <w:lang w:val="fr-CA"/>
        </w:rPr>
        <w:t>des aires marines protégées et l</w:t>
      </w:r>
      <w:r w:rsidRPr="00AF5B6D">
        <w:rPr>
          <w:rFonts w:eastAsia="Malgun Gothic"/>
          <w:kern w:val="22"/>
          <w:szCs w:val="22"/>
          <w:lang w:val="fr-CA"/>
        </w:rPr>
        <w:t>es autres mesures de conservation efficaces par zone dans les paysages terrestres et marins plus vastes;</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rFonts w:eastAsia="Malgun Gothic"/>
          <w:kern w:val="22"/>
          <w:szCs w:val="22"/>
          <w:lang w:val="fr-CA"/>
        </w:rPr>
        <w:t xml:space="preserve">Veiller à ce que les impacts de </w:t>
      </w:r>
      <w:r w:rsidRPr="00AF5B6D">
        <w:rPr>
          <w:kern w:val="22"/>
          <w:szCs w:val="22"/>
          <w:lang w:val="fr-CA"/>
        </w:rPr>
        <w:t>toutes</w:t>
      </w:r>
      <w:r w:rsidRPr="00AF5B6D">
        <w:rPr>
          <w:rFonts w:eastAsia="Malgun Gothic"/>
          <w:kern w:val="22"/>
          <w:szCs w:val="22"/>
          <w:lang w:val="fr-CA"/>
        </w:rPr>
        <w:t xml:space="preserve"> les activités soient définis, tant à l’intérieur qu’à l’extérieur des aires protégées et autres mesures de conservation efficaces par zone;</w:t>
      </w:r>
    </w:p>
    <w:p w:rsidR="009F6935" w:rsidRPr="00AF5B6D" w:rsidRDefault="009F6935" w:rsidP="00004EAF">
      <w:pPr>
        <w:numPr>
          <w:ilvl w:val="0"/>
          <w:numId w:val="33"/>
        </w:numPr>
        <w:suppressLineNumbers/>
        <w:suppressAutoHyphens/>
        <w:kinsoku w:val="0"/>
        <w:overflowPunct w:val="0"/>
        <w:autoSpaceDE w:val="0"/>
        <w:autoSpaceDN w:val="0"/>
        <w:spacing w:before="120" w:after="120"/>
        <w:ind w:left="0" w:firstLine="720"/>
        <w:rPr>
          <w:rFonts w:eastAsia="Malgun Gothic"/>
          <w:kern w:val="22"/>
          <w:szCs w:val="22"/>
          <w:lang w:val="fr-CA"/>
        </w:rPr>
      </w:pPr>
      <w:r w:rsidRPr="00AF5B6D">
        <w:rPr>
          <w:kern w:val="22"/>
          <w:szCs w:val="22"/>
          <w:lang w:val="fr-CA"/>
        </w:rPr>
        <w:t xml:space="preserve">Élaborer des indicateurs clairs, fiables et mesurables pour évaluer l’efficacité des aires marines protégées et </w:t>
      </w:r>
      <w:r>
        <w:rPr>
          <w:kern w:val="22"/>
          <w:szCs w:val="22"/>
          <w:lang w:val="fr-CA"/>
        </w:rPr>
        <w:t xml:space="preserve">des </w:t>
      </w:r>
      <w:r w:rsidRPr="00AF5B6D">
        <w:rPr>
          <w:kern w:val="22"/>
          <w:szCs w:val="22"/>
          <w:lang w:val="fr-CA"/>
        </w:rPr>
        <w:t xml:space="preserve">autres mesures de conservation efficaces par zone à atteindre leurs objectifs et pour évaluer l’état </w:t>
      </w:r>
      <w:r>
        <w:rPr>
          <w:kern w:val="22"/>
          <w:szCs w:val="22"/>
          <w:lang w:val="fr-CA"/>
        </w:rPr>
        <w:t xml:space="preserve">de conservation </w:t>
      </w:r>
      <w:r w:rsidRPr="00AF5B6D">
        <w:rPr>
          <w:kern w:val="22"/>
          <w:szCs w:val="22"/>
          <w:lang w:val="fr-CA"/>
        </w:rPr>
        <w:t>des paysages terrestres et marins plus vastes;</w:t>
      </w:r>
    </w:p>
    <w:p w:rsidR="009F6935" w:rsidRPr="00AF5B6D" w:rsidRDefault="009F6935" w:rsidP="009F6935">
      <w:pPr>
        <w:suppressLineNumbers/>
        <w:suppressAutoHyphens/>
        <w:kinsoku w:val="0"/>
        <w:overflowPunct w:val="0"/>
        <w:autoSpaceDE w:val="0"/>
        <w:autoSpaceDN w:val="0"/>
        <w:spacing w:before="120" w:after="120"/>
        <w:rPr>
          <w:rFonts w:eastAsiaTheme="minorEastAsia"/>
          <w:color w:val="000000"/>
          <w:kern w:val="22"/>
          <w:szCs w:val="22"/>
          <w:lang w:val="fr-CA" w:eastAsia="ko-KR"/>
        </w:rPr>
      </w:pPr>
      <w:r w:rsidRPr="00AF5B6D">
        <w:rPr>
          <w:rFonts w:eastAsiaTheme="minorEastAsia"/>
          <w:color w:val="000000"/>
          <w:kern w:val="22"/>
          <w:szCs w:val="22"/>
          <w:lang w:val="fr-CA" w:eastAsia="ko-KR"/>
        </w:rPr>
        <w:t>5.</w:t>
      </w:r>
      <w:r w:rsidRPr="00AF5B6D">
        <w:rPr>
          <w:rFonts w:eastAsiaTheme="minorEastAsia"/>
          <w:color w:val="000000"/>
          <w:kern w:val="22"/>
          <w:szCs w:val="22"/>
          <w:lang w:val="fr-CA" w:eastAsia="ko-KR"/>
        </w:rPr>
        <w:tab/>
      </w:r>
      <w:r>
        <w:rPr>
          <w:rFonts w:eastAsiaTheme="minorEastAsia"/>
          <w:color w:val="000000"/>
          <w:kern w:val="22"/>
          <w:szCs w:val="22"/>
          <w:lang w:val="fr-CA" w:eastAsia="ko-KR"/>
        </w:rPr>
        <w:t>Des</w:t>
      </w:r>
      <w:r>
        <w:rPr>
          <w:bCs/>
          <w:kern w:val="22"/>
          <w:szCs w:val="22"/>
          <w:lang w:val="fr-CA"/>
        </w:rPr>
        <w:t xml:space="preserve"> méthodes de gestion d</w:t>
      </w:r>
      <w:r w:rsidRPr="00AF5B6D">
        <w:rPr>
          <w:bCs/>
          <w:kern w:val="22"/>
          <w:szCs w:val="22"/>
          <w:lang w:val="fr-CA"/>
        </w:rPr>
        <w:t>es paysages terrest</w:t>
      </w:r>
      <w:r>
        <w:rPr>
          <w:bCs/>
          <w:kern w:val="22"/>
          <w:szCs w:val="22"/>
          <w:lang w:val="fr-CA"/>
        </w:rPr>
        <w:t>res et marins plus vastes pour a</w:t>
      </w:r>
      <w:r w:rsidRPr="00AF5B6D">
        <w:rPr>
          <w:bCs/>
          <w:kern w:val="22"/>
          <w:szCs w:val="22"/>
          <w:lang w:val="fr-CA"/>
        </w:rPr>
        <w:t>ssurer l’efficacité des aires marines protégées et autres mesures de conservation efficaces par zone</w:t>
      </w:r>
      <w:r>
        <w:rPr>
          <w:bCs/>
          <w:kern w:val="22"/>
          <w:szCs w:val="22"/>
          <w:lang w:val="fr-CA"/>
        </w:rPr>
        <w:t xml:space="preserve"> sont énumérées ci-dessous</w:t>
      </w:r>
      <w:r w:rsidRPr="00AF5B6D">
        <w:rPr>
          <w:bCs/>
          <w:kern w:val="22"/>
          <w:szCs w:val="22"/>
          <w:lang w:val="fr-CA"/>
        </w:rPr>
        <w:t xml:space="preserve">, </w:t>
      </w:r>
      <w:r>
        <w:rPr>
          <w:bCs/>
          <w:kern w:val="22"/>
          <w:szCs w:val="22"/>
          <w:lang w:val="fr-CA"/>
        </w:rPr>
        <w:lastRenderedPageBreak/>
        <w:t xml:space="preserve">tout en </w:t>
      </w:r>
      <w:r w:rsidRPr="00AF5B6D">
        <w:rPr>
          <w:bCs/>
          <w:kern w:val="22"/>
          <w:szCs w:val="22"/>
          <w:lang w:val="fr-CA"/>
        </w:rPr>
        <w:t>reconnaissant que celles-ci ne sont pas exhaustives et qu’il existe</w:t>
      </w:r>
      <w:r>
        <w:rPr>
          <w:bCs/>
          <w:kern w:val="22"/>
          <w:szCs w:val="22"/>
          <w:lang w:val="fr-CA"/>
        </w:rPr>
        <w:t xml:space="preserve"> d’autres sources d’orientation</w:t>
      </w:r>
      <w:r w:rsidRPr="00AF5B6D">
        <w:rPr>
          <w:bCs/>
          <w:kern w:val="22"/>
          <w:szCs w:val="22"/>
          <w:lang w:val="fr-CA"/>
        </w:rPr>
        <w:t xml:space="preserve"> sur ces questions </w:t>
      </w:r>
      <w:r w:rsidRPr="00AF5B6D">
        <w:rPr>
          <w:rFonts w:eastAsiaTheme="minorEastAsia"/>
          <w:color w:val="000000"/>
          <w:kern w:val="22"/>
          <w:szCs w:val="22"/>
          <w:lang w:val="fr-CA" w:eastAsia="ko-KR"/>
        </w:rPr>
        <w:t>:</w:t>
      </w:r>
    </w:p>
    <w:p w:rsidR="009F6935" w:rsidRPr="00AF5B6D" w:rsidRDefault="009F6935" w:rsidP="00004EAF">
      <w:pPr>
        <w:pStyle w:val="ListParagraph"/>
        <w:numPr>
          <w:ilvl w:val="0"/>
          <w:numId w:val="34"/>
        </w:numPr>
        <w:suppressLineNumbers/>
        <w:suppressAutoHyphens/>
        <w:kinsoku w:val="0"/>
        <w:overflowPunct w:val="0"/>
        <w:autoSpaceDE w:val="0"/>
        <w:autoSpaceDN w:val="0"/>
        <w:ind w:left="0" w:firstLine="720"/>
        <w:rPr>
          <w:kern w:val="22"/>
          <w:szCs w:val="22"/>
          <w:lang w:val="fr-CA"/>
        </w:rPr>
      </w:pPr>
      <w:r w:rsidRPr="00AF5B6D">
        <w:rPr>
          <w:kern w:val="22"/>
          <w:szCs w:val="22"/>
          <w:lang w:val="fr-CA"/>
        </w:rPr>
        <w:t xml:space="preserve">Élaborer et/ou améliorer la gouvernance et </w:t>
      </w:r>
      <w:r>
        <w:rPr>
          <w:kern w:val="22"/>
          <w:szCs w:val="22"/>
          <w:lang w:val="fr-CA"/>
        </w:rPr>
        <w:t>la gestion intégrées en appui à la</w:t>
      </w:r>
      <w:r w:rsidRPr="00AF5B6D">
        <w:rPr>
          <w:kern w:val="22"/>
          <w:szCs w:val="22"/>
          <w:lang w:val="fr-CA"/>
        </w:rPr>
        <w:t xml:space="preserve"> planification des paysages terrestres et marins, et coordonner la planification, l’établissement d’objectifs et la gouvernance à toutes les échelles géographiques;</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Élaborer et/ou </w:t>
      </w:r>
      <w:r>
        <w:rPr>
          <w:kern w:val="22"/>
          <w:szCs w:val="22"/>
          <w:lang w:val="fr-CA"/>
        </w:rPr>
        <w:t>perfectionner les outils d’aide aux décisions pour l’aménagement</w:t>
      </w:r>
      <w:r w:rsidRPr="00AF5B6D">
        <w:rPr>
          <w:kern w:val="22"/>
          <w:szCs w:val="22"/>
          <w:lang w:val="fr-CA"/>
        </w:rPr>
        <w:t xml:space="preserve"> des paysages terrestres et marins;</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Veiller à ce que les lois pertinentes soient en vigueur et appliquées;</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w:t>
      </w:r>
      <w:r>
        <w:rPr>
          <w:kern w:val="22"/>
          <w:szCs w:val="22"/>
          <w:lang w:val="fr-CA"/>
        </w:rPr>
        <w:t xml:space="preserve">omprendre et évaluer l’état d’utilisation et de </w:t>
      </w:r>
      <w:r w:rsidRPr="00AF5B6D">
        <w:rPr>
          <w:kern w:val="22"/>
          <w:szCs w:val="22"/>
          <w:lang w:val="fr-CA"/>
        </w:rPr>
        <w:t xml:space="preserve">gestion des paysages terrestres </w:t>
      </w:r>
      <w:r>
        <w:rPr>
          <w:kern w:val="22"/>
          <w:szCs w:val="22"/>
          <w:lang w:val="fr-CA"/>
        </w:rPr>
        <w:t>et marins plus vastes, et identifier</w:t>
      </w:r>
      <w:r w:rsidRPr="00AF5B6D">
        <w:rPr>
          <w:kern w:val="22"/>
          <w:szCs w:val="22"/>
          <w:lang w:val="fr-CA"/>
        </w:rPr>
        <w:t xml:space="preserve"> les aires nécessitant une meilleure protection;</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Réaliser des évaluations des menac</w:t>
      </w:r>
      <w:r>
        <w:rPr>
          <w:kern w:val="22"/>
          <w:szCs w:val="22"/>
          <w:lang w:val="fr-CA"/>
        </w:rPr>
        <w:t>es et utiliser une hiérarchie des mesures d’</w:t>
      </w:r>
      <w:r w:rsidRPr="00AF5B6D">
        <w:rPr>
          <w:kern w:val="22"/>
          <w:szCs w:val="22"/>
          <w:lang w:val="fr-CA"/>
        </w:rPr>
        <w:t>atténuation</w:t>
      </w:r>
      <w:r w:rsidRPr="00AF5B6D">
        <w:rPr>
          <w:rFonts w:eastAsia="Malgun Gothic"/>
          <w:kern w:val="22"/>
          <w:szCs w:val="22"/>
          <w:lang w:val="fr-CA"/>
        </w:rPr>
        <w:t>;</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Évaluer la compatibilité et/ou l’incompatibilité relative des utilisations existantes et proposées, ainsi que les interactions et les répercussions des changements environnementaux de plus grande envergure (p. ex. changements climatiques);</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Comprendre les conflits et les déplacements des moyens de subsistance</w:t>
      </w:r>
      <w:r>
        <w:rPr>
          <w:kern w:val="22"/>
          <w:szCs w:val="22"/>
          <w:lang w:val="fr-CA"/>
        </w:rPr>
        <w:t>, et identifier des approches p</w:t>
      </w:r>
      <w:r w:rsidRPr="00AF5B6D">
        <w:rPr>
          <w:kern w:val="22"/>
          <w:szCs w:val="22"/>
          <w:lang w:val="fr-CA"/>
        </w:rPr>
        <w:t>ertinent</w:t>
      </w:r>
      <w:r>
        <w:rPr>
          <w:kern w:val="22"/>
          <w:szCs w:val="22"/>
          <w:lang w:val="fr-CA"/>
        </w:rPr>
        <w:t>es pour fournir d’autres moyens de</w:t>
      </w:r>
      <w:r w:rsidRPr="00AF5B6D">
        <w:rPr>
          <w:kern w:val="22"/>
          <w:szCs w:val="22"/>
          <w:lang w:val="fr-CA"/>
        </w:rPr>
        <w:t xml:space="preserve"> subsistance </w:t>
      </w:r>
      <w:r>
        <w:rPr>
          <w:kern w:val="22"/>
          <w:szCs w:val="22"/>
          <w:lang w:val="fr-CA"/>
        </w:rPr>
        <w:t>et une compensa</w:t>
      </w:r>
      <w:r w:rsidRPr="00AF5B6D">
        <w:rPr>
          <w:kern w:val="22"/>
          <w:szCs w:val="22"/>
          <w:lang w:val="fr-CA"/>
        </w:rPr>
        <w:t>tion;</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Communiquer avec les p</w:t>
      </w:r>
      <w:r>
        <w:rPr>
          <w:kern w:val="22"/>
          <w:szCs w:val="22"/>
          <w:lang w:val="fr-CA"/>
        </w:rPr>
        <w:t>arties prenantes pertinentes dans tous les</w:t>
      </w:r>
      <w:r w:rsidRPr="00AF5B6D">
        <w:rPr>
          <w:kern w:val="22"/>
          <w:szCs w:val="22"/>
          <w:lang w:val="fr-CA"/>
        </w:rPr>
        <w:t xml:space="preserve"> paysages terrestres et </w:t>
      </w:r>
      <w:r>
        <w:rPr>
          <w:kern w:val="22"/>
          <w:szCs w:val="22"/>
          <w:lang w:val="fr-CA"/>
        </w:rPr>
        <w:t>marins plus vastes et assurer leur participation,</w:t>
      </w:r>
      <w:r w:rsidRPr="00AF5B6D">
        <w:rPr>
          <w:kern w:val="22"/>
          <w:szCs w:val="22"/>
          <w:lang w:val="fr-CA"/>
        </w:rPr>
        <w:t xml:space="preserve"> de manière accessible, efficace et appr</w:t>
      </w:r>
      <w:r>
        <w:rPr>
          <w:kern w:val="22"/>
          <w:szCs w:val="22"/>
          <w:lang w:val="fr-CA"/>
        </w:rPr>
        <w:t>opriée</w:t>
      </w:r>
      <w:r w:rsidRPr="00AF5B6D">
        <w:rPr>
          <w:kern w:val="22"/>
          <w:szCs w:val="22"/>
          <w:lang w:val="fr-CA"/>
        </w:rPr>
        <w:t>;</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Veiller à ce que la planification et la gestion </w:t>
      </w:r>
      <w:r>
        <w:rPr>
          <w:kern w:val="22"/>
          <w:szCs w:val="22"/>
          <w:lang w:val="fr-CA"/>
        </w:rPr>
        <w:t>respectent les</w:t>
      </w:r>
      <w:r w:rsidRPr="00AF5B6D">
        <w:rPr>
          <w:kern w:val="22"/>
          <w:szCs w:val="22"/>
          <w:lang w:val="fr-CA"/>
        </w:rPr>
        <w:t xml:space="preserve"> différentes cultures et </w:t>
      </w:r>
      <w:r>
        <w:rPr>
          <w:kern w:val="22"/>
          <w:szCs w:val="22"/>
          <w:lang w:val="fr-CA"/>
        </w:rPr>
        <w:t>les</w:t>
      </w:r>
      <w:r w:rsidRPr="00AF5B6D">
        <w:rPr>
          <w:kern w:val="22"/>
          <w:szCs w:val="22"/>
          <w:lang w:val="fr-CA"/>
        </w:rPr>
        <w:t xml:space="preserve"> différents systèmes de valeurs des paysages terrestres et marins plus vastes;</w:t>
      </w:r>
    </w:p>
    <w:p w:rsidR="009F6935" w:rsidRPr="00AF5B6D" w:rsidRDefault="009F6935" w:rsidP="00004EAF">
      <w:pPr>
        <w:numPr>
          <w:ilvl w:val="0"/>
          <w:numId w:val="34"/>
        </w:numPr>
        <w:suppressLineNumbers/>
        <w:suppressAutoHyphens/>
        <w:kinsoku w:val="0"/>
        <w:overflowPunct w:val="0"/>
        <w:autoSpaceDE w:val="0"/>
        <w:autoSpaceDN w:val="0"/>
        <w:spacing w:before="120" w:after="120"/>
        <w:ind w:left="0" w:firstLine="720"/>
        <w:rPr>
          <w:kern w:val="22"/>
          <w:szCs w:val="22"/>
          <w:lang w:val="fr-CA"/>
        </w:rPr>
      </w:pPr>
      <w:r w:rsidRPr="00AF5B6D">
        <w:rPr>
          <w:kern w:val="22"/>
          <w:szCs w:val="22"/>
          <w:lang w:val="fr-CA"/>
        </w:rPr>
        <w:t xml:space="preserve">Recenser et faire participer les dirigeants et </w:t>
      </w:r>
      <w:r>
        <w:rPr>
          <w:kern w:val="22"/>
          <w:szCs w:val="22"/>
          <w:lang w:val="fr-CA"/>
        </w:rPr>
        <w:t xml:space="preserve">les </w:t>
      </w:r>
      <w:r w:rsidRPr="00AF5B6D">
        <w:rPr>
          <w:kern w:val="22"/>
          <w:szCs w:val="22"/>
          <w:lang w:val="fr-CA"/>
        </w:rPr>
        <w:t>champions locaux/nationaux;</w:t>
      </w:r>
    </w:p>
    <w:p w:rsidR="009F6935" w:rsidRPr="00AF5B6D" w:rsidRDefault="009F6935" w:rsidP="00004EAF">
      <w:pPr>
        <w:numPr>
          <w:ilvl w:val="0"/>
          <w:numId w:val="34"/>
        </w:numPr>
        <w:suppressLineNumbers/>
        <w:suppressAutoHyphens/>
        <w:kinsoku w:val="0"/>
        <w:overflowPunct w:val="0"/>
        <w:autoSpaceDE w:val="0"/>
        <w:autoSpaceDN w:val="0"/>
        <w:spacing w:before="120" w:after="240"/>
        <w:ind w:left="0" w:firstLine="720"/>
        <w:rPr>
          <w:kern w:val="22"/>
          <w:szCs w:val="22"/>
          <w:lang w:val="fr-CA"/>
        </w:rPr>
      </w:pPr>
      <w:r w:rsidRPr="00AF5B6D">
        <w:rPr>
          <w:kern w:val="22"/>
          <w:szCs w:val="22"/>
          <w:lang w:val="fr-CA"/>
        </w:rPr>
        <w:t>Développer et/ou renforcer les capac</w:t>
      </w:r>
      <w:r>
        <w:rPr>
          <w:kern w:val="22"/>
          <w:szCs w:val="22"/>
          <w:lang w:val="fr-CA"/>
        </w:rPr>
        <w:t>ités en appui à l’aménagement</w:t>
      </w:r>
      <w:r w:rsidRPr="00AF5B6D">
        <w:rPr>
          <w:kern w:val="22"/>
          <w:szCs w:val="22"/>
          <w:lang w:val="fr-CA"/>
        </w:rPr>
        <w:t xml:space="preserve"> des paysages terrestres et marins plus vastes.</w:t>
      </w:r>
    </w:p>
    <w:p w:rsidR="009F6935" w:rsidRPr="00AF5B6D" w:rsidRDefault="009F6935" w:rsidP="009F6935">
      <w:pPr>
        <w:keepNext/>
        <w:suppressLineNumbers/>
        <w:suppressAutoHyphens/>
        <w:kinsoku w:val="0"/>
        <w:overflowPunct w:val="0"/>
        <w:autoSpaceDE w:val="0"/>
        <w:autoSpaceDN w:val="0"/>
        <w:spacing w:before="120" w:after="120"/>
        <w:ind w:left="1627" w:hanging="720"/>
        <w:jc w:val="left"/>
        <w:rPr>
          <w:b/>
          <w:iCs/>
          <w:kern w:val="22"/>
          <w:szCs w:val="22"/>
          <w:lang w:val="fr-CA"/>
        </w:rPr>
      </w:pPr>
      <w:r w:rsidRPr="00AF5B6D">
        <w:rPr>
          <w:b/>
          <w:iCs/>
          <w:kern w:val="22"/>
          <w:szCs w:val="22"/>
          <w:lang w:val="fr-CA" w:eastAsia="ko-KR"/>
        </w:rPr>
        <w:t>D.</w:t>
      </w:r>
      <w:r w:rsidRPr="00AF5B6D">
        <w:rPr>
          <w:b/>
          <w:iCs/>
          <w:kern w:val="22"/>
          <w:szCs w:val="22"/>
          <w:lang w:val="fr-CA" w:eastAsia="ko-KR"/>
        </w:rPr>
        <w:tab/>
      </w:r>
      <w:r w:rsidRPr="00AF5B6D">
        <w:rPr>
          <w:b/>
          <w:iCs/>
          <w:kern w:val="22"/>
          <w:szCs w:val="22"/>
          <w:lang w:val="fr-CA"/>
        </w:rPr>
        <w:t xml:space="preserve">Enseignements tirés de </w:t>
      </w:r>
      <w:r>
        <w:rPr>
          <w:b/>
          <w:iCs/>
          <w:kern w:val="22"/>
          <w:szCs w:val="22"/>
          <w:lang w:val="fr-CA"/>
        </w:rPr>
        <w:t>l’application</w:t>
      </w:r>
      <w:r w:rsidRPr="00AF5B6D">
        <w:rPr>
          <w:b/>
          <w:iCs/>
          <w:kern w:val="22"/>
          <w:szCs w:val="22"/>
          <w:lang w:val="fr-CA"/>
        </w:rPr>
        <w:t xml:space="preserve"> des différents types de mesures de conservation/gestion par zone dans les aires marines et côtières</w:t>
      </w:r>
    </w:p>
    <w:p w:rsidR="009F6935" w:rsidRPr="00AF5B6D" w:rsidRDefault="009F6935" w:rsidP="009F6935">
      <w:pPr>
        <w:suppressLineNumbers/>
        <w:suppressAutoHyphens/>
        <w:kinsoku w:val="0"/>
        <w:overflowPunct w:val="0"/>
        <w:autoSpaceDE w:val="0"/>
        <w:autoSpaceDN w:val="0"/>
        <w:spacing w:before="120" w:after="120"/>
        <w:rPr>
          <w:kern w:val="22"/>
          <w:szCs w:val="22"/>
          <w:lang w:val="fr-CA"/>
        </w:rPr>
      </w:pPr>
      <w:r>
        <w:rPr>
          <w:kern w:val="22"/>
          <w:szCs w:val="22"/>
          <w:lang w:val="fr-CA"/>
        </w:rPr>
        <w:t>6</w:t>
      </w:r>
      <w:r w:rsidRPr="00AF5B6D">
        <w:rPr>
          <w:kern w:val="22"/>
          <w:szCs w:val="22"/>
          <w:lang w:val="fr-CA"/>
        </w:rPr>
        <w:t>.</w:t>
      </w:r>
      <w:r w:rsidRPr="00AF5B6D">
        <w:rPr>
          <w:kern w:val="22"/>
          <w:szCs w:val="22"/>
          <w:lang w:val="fr-CA"/>
        </w:rPr>
        <w:tab/>
      </w:r>
      <w:r>
        <w:rPr>
          <w:kern w:val="22"/>
          <w:szCs w:val="22"/>
          <w:lang w:val="fr-CA"/>
        </w:rPr>
        <w:t>Les enseignements suivants tirés de l’expérience acquise dans l’utilisation de</w:t>
      </w:r>
      <w:r w:rsidRPr="00AF5B6D">
        <w:rPr>
          <w:kern w:val="22"/>
          <w:szCs w:val="22"/>
          <w:lang w:val="fr-CA"/>
        </w:rPr>
        <w:t xml:space="preserve"> différents t</w:t>
      </w:r>
      <w:r>
        <w:rPr>
          <w:kern w:val="22"/>
          <w:szCs w:val="22"/>
          <w:lang w:val="fr-CA"/>
        </w:rPr>
        <w:t>ypes de mesures de conservation et/ou gestion par zone dans les aires marines et côtières ont été mis en évidence</w:t>
      </w:r>
      <w:r w:rsidRPr="00AF5B6D">
        <w:rPr>
          <w:kern w:val="22"/>
          <w:szCs w:val="22"/>
          <w:lang w:val="fr-CA"/>
        </w:rPr>
        <w:t> :</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t>L’efficacité de la protection de la diversité biologique pe</w:t>
      </w:r>
      <w:r>
        <w:rPr>
          <w:kern w:val="22"/>
          <w:szCs w:val="22"/>
          <w:lang w:val="fr-CA"/>
        </w:rPr>
        <w:t>ut être très différente pour</w:t>
      </w:r>
      <w:r w:rsidRPr="00AF5B6D">
        <w:rPr>
          <w:kern w:val="22"/>
          <w:szCs w:val="22"/>
          <w:lang w:val="fr-CA"/>
        </w:rPr>
        <w:t xml:space="preserve"> différents types de mesures de conservation/gestion par zone (différences relatives à la superficie, à la durée et au niveau de restriction</w:t>
      </w:r>
      <w:r>
        <w:rPr>
          <w:kern w:val="22"/>
          <w:szCs w:val="22"/>
          <w:lang w:val="fr-CA"/>
        </w:rPr>
        <w:t xml:space="preserve">s), en raison </w:t>
      </w:r>
      <w:r w:rsidRPr="00AF5B6D">
        <w:rPr>
          <w:kern w:val="22"/>
          <w:szCs w:val="22"/>
          <w:lang w:val="fr-CA"/>
        </w:rPr>
        <w:t xml:space="preserve">des contextes écologique, socioéconomique et de gouvernance de l’aire, et </w:t>
      </w:r>
      <w:r>
        <w:rPr>
          <w:kern w:val="22"/>
          <w:szCs w:val="22"/>
          <w:lang w:val="fr-CA"/>
        </w:rPr>
        <w:t>de la nature de l’application</w:t>
      </w:r>
      <w:r w:rsidRPr="00AF5B6D">
        <w:rPr>
          <w:kern w:val="22"/>
          <w:szCs w:val="22"/>
          <w:lang w:val="fr-CA"/>
        </w:rPr>
        <w:t xml:space="preserve"> de la mesure;</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kern w:val="22"/>
          <w:szCs w:val="22"/>
          <w:lang w:val="fr-CA"/>
        </w:rPr>
      </w:pPr>
      <w:r w:rsidRPr="00AF5B6D">
        <w:rPr>
          <w:kern w:val="22"/>
          <w:szCs w:val="22"/>
          <w:lang w:val="fr-CA"/>
        </w:rPr>
        <w:t xml:space="preserve">Bien qu’une augmentation de la superficie, de la durée et du niveau de restriction améliore généralement la protection de plusieurs éléments </w:t>
      </w:r>
      <w:r>
        <w:rPr>
          <w:kern w:val="22"/>
          <w:szCs w:val="22"/>
          <w:lang w:val="fr-CA"/>
        </w:rPr>
        <w:t xml:space="preserve">constitutifs </w:t>
      </w:r>
      <w:r w:rsidRPr="00AF5B6D">
        <w:rPr>
          <w:kern w:val="22"/>
          <w:szCs w:val="22"/>
          <w:lang w:val="fr-CA"/>
        </w:rPr>
        <w:t>de la diversi</w:t>
      </w:r>
      <w:r>
        <w:rPr>
          <w:kern w:val="22"/>
          <w:szCs w:val="22"/>
          <w:lang w:val="fr-CA"/>
        </w:rPr>
        <w:t>té biologique, les impacts</w:t>
      </w:r>
      <w:r w:rsidRPr="00AF5B6D">
        <w:rPr>
          <w:kern w:val="22"/>
          <w:szCs w:val="22"/>
          <w:lang w:val="fr-CA"/>
        </w:rPr>
        <w:t xml:space="preserve"> des activités anthropiques sur les écosystè</w:t>
      </w:r>
      <w:r>
        <w:rPr>
          <w:kern w:val="22"/>
          <w:szCs w:val="22"/>
          <w:lang w:val="fr-CA"/>
        </w:rPr>
        <w:t>mes déplacé</w:t>
      </w:r>
      <w:r w:rsidRPr="00AF5B6D">
        <w:rPr>
          <w:kern w:val="22"/>
          <w:szCs w:val="22"/>
          <w:lang w:val="fr-CA"/>
        </w:rPr>
        <w:t>s pour des raisons</w:t>
      </w:r>
      <w:r>
        <w:rPr>
          <w:kern w:val="22"/>
          <w:szCs w:val="22"/>
          <w:lang w:val="fr-CA"/>
        </w:rPr>
        <w:t xml:space="preserve"> d’exclusion sont parfois augmenté</w:t>
      </w:r>
      <w:r w:rsidRPr="00AF5B6D">
        <w:rPr>
          <w:kern w:val="22"/>
          <w:szCs w:val="22"/>
          <w:lang w:val="fr-CA"/>
        </w:rPr>
        <w:t>s dans les aires où ces activités se maintiennent. La planification ef</w:t>
      </w:r>
      <w:r>
        <w:rPr>
          <w:kern w:val="22"/>
          <w:szCs w:val="22"/>
          <w:lang w:val="fr-CA"/>
        </w:rPr>
        <w:t>ficace de la conservation général</w:t>
      </w:r>
      <w:r w:rsidRPr="00AF5B6D">
        <w:rPr>
          <w:kern w:val="22"/>
          <w:szCs w:val="22"/>
          <w:lang w:val="fr-CA"/>
        </w:rPr>
        <w:t>e doit tenir compte de tous ces facteurs;</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kern w:val="22"/>
          <w:szCs w:val="22"/>
          <w:lang w:val="fr-CA"/>
        </w:rPr>
      </w:pPr>
      <w:r>
        <w:rPr>
          <w:kern w:val="22"/>
          <w:szCs w:val="22"/>
          <w:lang w:val="fr-CA"/>
        </w:rPr>
        <w:t>D</w:t>
      </w:r>
      <w:r w:rsidRPr="00AF5B6D">
        <w:rPr>
          <w:kern w:val="22"/>
          <w:szCs w:val="22"/>
          <w:lang w:val="fr-CA"/>
        </w:rPr>
        <w:t>es mesures bien conçues et appliquées peuvent être efficaces même lorsque les a</w:t>
      </w:r>
      <w:r>
        <w:rPr>
          <w:kern w:val="22"/>
          <w:szCs w:val="22"/>
          <w:lang w:val="fr-CA"/>
        </w:rPr>
        <w:t>ires ne sont pas très étendues</w:t>
      </w:r>
      <w:r w:rsidRPr="00AF5B6D">
        <w:rPr>
          <w:kern w:val="22"/>
          <w:szCs w:val="22"/>
          <w:lang w:val="fr-CA"/>
        </w:rPr>
        <w:t xml:space="preserve"> et qu’elles ne font pas l’objet de restrictions permanentes</w:t>
      </w:r>
      <w:r>
        <w:rPr>
          <w:kern w:val="22"/>
          <w:szCs w:val="22"/>
          <w:lang w:val="fr-CA"/>
        </w:rPr>
        <w:t>, tandis que des mesures mal conçues</w:t>
      </w:r>
      <w:r w:rsidRPr="00AF5B6D">
        <w:rPr>
          <w:kern w:val="22"/>
          <w:szCs w:val="22"/>
          <w:lang w:val="fr-CA"/>
        </w:rPr>
        <w:t xml:space="preserve"> et </w:t>
      </w:r>
      <w:r>
        <w:rPr>
          <w:kern w:val="22"/>
          <w:szCs w:val="22"/>
          <w:lang w:val="fr-CA"/>
        </w:rPr>
        <w:t xml:space="preserve">mal </w:t>
      </w:r>
      <w:r w:rsidRPr="00AF5B6D">
        <w:rPr>
          <w:kern w:val="22"/>
          <w:szCs w:val="22"/>
          <w:lang w:val="fr-CA"/>
        </w:rPr>
        <w:t xml:space="preserve">appliquées peuvent être inefficaces, </w:t>
      </w:r>
      <w:r>
        <w:rPr>
          <w:kern w:val="22"/>
          <w:szCs w:val="22"/>
          <w:lang w:val="fr-CA"/>
        </w:rPr>
        <w:t>indépendamment de leur envergure</w:t>
      </w:r>
      <w:r w:rsidRPr="00AF5B6D">
        <w:rPr>
          <w:kern w:val="22"/>
          <w:szCs w:val="22"/>
          <w:lang w:val="fr-CA"/>
        </w:rPr>
        <w:t>;</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iCs/>
          <w:kern w:val="22"/>
          <w:szCs w:val="22"/>
          <w:u w:val="single"/>
          <w:lang w:val="fr-CA"/>
        </w:rPr>
      </w:pPr>
      <w:r w:rsidRPr="00AF5B6D">
        <w:rPr>
          <w:kern w:val="22"/>
          <w:szCs w:val="22"/>
          <w:lang w:val="fr-CA"/>
        </w:rPr>
        <w:t>L’évaluation de l’efficacité des mesures de con</w:t>
      </w:r>
      <w:r>
        <w:rPr>
          <w:kern w:val="22"/>
          <w:szCs w:val="22"/>
          <w:lang w:val="fr-CA"/>
        </w:rPr>
        <w:t>servation par zone doit se faire</w:t>
      </w:r>
      <w:r w:rsidRPr="00AF5B6D">
        <w:rPr>
          <w:kern w:val="22"/>
          <w:szCs w:val="22"/>
          <w:lang w:val="fr-CA"/>
        </w:rPr>
        <w:t xml:space="preserve"> au cas par cas, en tenant compte des caractéristiques de la mesure </w:t>
      </w:r>
      <w:r>
        <w:rPr>
          <w:kern w:val="22"/>
          <w:szCs w:val="22"/>
          <w:lang w:val="fr-CA"/>
        </w:rPr>
        <w:t xml:space="preserve">ou des mesures </w:t>
      </w:r>
      <w:r w:rsidRPr="00AF5B6D">
        <w:rPr>
          <w:kern w:val="22"/>
          <w:szCs w:val="22"/>
          <w:lang w:val="fr-CA"/>
        </w:rPr>
        <w:t>appliquée</w:t>
      </w:r>
      <w:r>
        <w:rPr>
          <w:kern w:val="22"/>
          <w:szCs w:val="22"/>
          <w:lang w:val="fr-CA"/>
        </w:rPr>
        <w:t>(s)</w:t>
      </w:r>
      <w:r w:rsidRPr="00AF5B6D">
        <w:rPr>
          <w:kern w:val="22"/>
          <w:szCs w:val="22"/>
          <w:lang w:val="fr-CA"/>
        </w:rPr>
        <w:t xml:space="preserve"> et du contexte dans lequ</w:t>
      </w:r>
      <w:r>
        <w:rPr>
          <w:kern w:val="22"/>
          <w:szCs w:val="22"/>
          <w:lang w:val="fr-CA"/>
        </w:rPr>
        <w:t>el elles sont</w:t>
      </w:r>
      <w:r w:rsidRPr="00AF5B6D">
        <w:rPr>
          <w:kern w:val="22"/>
          <w:szCs w:val="22"/>
          <w:lang w:val="fr-CA"/>
        </w:rPr>
        <w:t xml:space="preserve"> appliquée</w:t>
      </w:r>
      <w:r>
        <w:rPr>
          <w:kern w:val="22"/>
          <w:szCs w:val="22"/>
          <w:lang w:val="fr-CA"/>
        </w:rPr>
        <w:t>s, avec des responsabilités partagées</w:t>
      </w:r>
      <w:r w:rsidRPr="00AF5B6D">
        <w:rPr>
          <w:kern w:val="22"/>
          <w:szCs w:val="22"/>
          <w:lang w:val="fr-CA"/>
        </w:rPr>
        <w:t>;</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lang w:val="fr-CA"/>
        </w:rPr>
      </w:pPr>
      <w:r w:rsidRPr="00AF5B6D">
        <w:rPr>
          <w:bCs/>
          <w:iCs/>
          <w:kern w:val="22"/>
          <w:szCs w:val="22"/>
          <w:lang w:val="fr-CA"/>
        </w:rPr>
        <w:t xml:space="preserve">Les caractéristiques principales suivantes de l’aire doivent </w:t>
      </w:r>
      <w:r>
        <w:rPr>
          <w:bCs/>
          <w:iCs/>
          <w:kern w:val="22"/>
          <w:szCs w:val="22"/>
          <w:lang w:val="fr-CA"/>
        </w:rPr>
        <w:t>entrer en ligne de compte</w:t>
      </w:r>
      <w:r w:rsidRPr="00AF5B6D">
        <w:rPr>
          <w:bCs/>
          <w:iCs/>
          <w:kern w:val="22"/>
          <w:szCs w:val="22"/>
          <w:lang w:val="fr-CA"/>
        </w:rPr>
        <w:t xml:space="preserve"> lors de l’évaluation des applications particulières d’une mesure de conservation/gestion par zone :</w:t>
      </w:r>
    </w:p>
    <w:p w:rsidR="009F6935" w:rsidRPr="00AF5B6D" w:rsidRDefault="009F6935" w:rsidP="00004EAF">
      <w:pPr>
        <w:pStyle w:val="ListParagraph"/>
        <w:numPr>
          <w:ilvl w:val="1"/>
          <w:numId w:val="36"/>
        </w:numPr>
        <w:suppressLineNumbers/>
        <w:suppressAutoHyphens/>
        <w:kinsoku w:val="0"/>
        <w:overflowPunct w:val="0"/>
        <w:autoSpaceDE w:val="0"/>
        <w:autoSpaceDN w:val="0"/>
        <w:spacing w:before="120" w:after="120"/>
        <w:contextualSpacing w:val="0"/>
        <w:rPr>
          <w:bCs/>
          <w:iCs/>
          <w:kern w:val="22"/>
          <w:szCs w:val="22"/>
          <w:lang w:val="fr-CA"/>
        </w:rPr>
      </w:pPr>
      <w:r w:rsidRPr="00AF5B6D">
        <w:rPr>
          <w:bCs/>
          <w:iCs/>
          <w:kern w:val="22"/>
          <w:szCs w:val="22"/>
          <w:lang w:val="fr-CA"/>
        </w:rPr>
        <w:lastRenderedPageBreak/>
        <w:t>Les éléments écologiques du problème de conservation précis dans l’aire</w:t>
      </w:r>
      <w:r>
        <w:rPr>
          <w:bCs/>
          <w:iCs/>
          <w:kern w:val="22"/>
          <w:szCs w:val="22"/>
          <w:lang w:val="fr-CA"/>
        </w:rPr>
        <w:t xml:space="preserve"> elle-même</w:t>
      </w:r>
      <w:r w:rsidRPr="00AF5B6D">
        <w:rPr>
          <w:bCs/>
          <w:iCs/>
          <w:kern w:val="22"/>
          <w:szCs w:val="22"/>
          <w:lang w:val="fr-CA"/>
        </w:rPr>
        <w:t xml:space="preserve"> et dans </w:t>
      </w:r>
      <w:r>
        <w:rPr>
          <w:bCs/>
          <w:iCs/>
          <w:kern w:val="22"/>
          <w:szCs w:val="22"/>
          <w:lang w:val="fr-CA"/>
        </w:rPr>
        <w:t xml:space="preserve">la </w:t>
      </w:r>
      <w:r w:rsidRPr="00AF5B6D">
        <w:rPr>
          <w:bCs/>
          <w:iCs/>
          <w:kern w:val="22"/>
          <w:szCs w:val="22"/>
          <w:lang w:val="fr-CA"/>
        </w:rPr>
        <w:t>région</w:t>
      </w:r>
      <w:r>
        <w:rPr>
          <w:bCs/>
          <w:iCs/>
          <w:kern w:val="22"/>
          <w:szCs w:val="22"/>
          <w:lang w:val="fr-CA"/>
        </w:rPr>
        <w:t xml:space="preserve"> plus large</w:t>
      </w:r>
      <w:r w:rsidRPr="00AF5B6D">
        <w:rPr>
          <w:bCs/>
          <w:iCs/>
          <w:kern w:val="22"/>
          <w:szCs w:val="22"/>
          <w:lang w:val="fr-CA"/>
        </w:rPr>
        <w:t xml:space="preserve">, </w:t>
      </w:r>
      <w:r>
        <w:rPr>
          <w:bCs/>
          <w:iCs/>
          <w:kern w:val="22"/>
          <w:szCs w:val="22"/>
          <w:lang w:val="fr-CA"/>
        </w:rPr>
        <w:t xml:space="preserve">en lien avec les écosystèmes adjacents, </w:t>
      </w:r>
      <w:r w:rsidRPr="00AF5B6D">
        <w:rPr>
          <w:bCs/>
          <w:iCs/>
          <w:kern w:val="22"/>
          <w:szCs w:val="22"/>
          <w:lang w:val="fr-CA"/>
        </w:rPr>
        <w:t>et la façon dont la mesure peut contribuer à leur conservation;</w:t>
      </w:r>
    </w:p>
    <w:p w:rsidR="009F6935" w:rsidRPr="00AF5B6D" w:rsidRDefault="009F6935" w:rsidP="00004EAF">
      <w:pPr>
        <w:pStyle w:val="ListParagraph"/>
        <w:numPr>
          <w:ilvl w:val="1"/>
          <w:numId w:val="36"/>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L’i</w:t>
      </w:r>
      <w:r>
        <w:rPr>
          <w:bCs/>
          <w:iCs/>
          <w:kern w:val="22"/>
          <w:szCs w:val="22"/>
          <w:lang w:val="fr-CA"/>
        </w:rPr>
        <w:t>mportance, la durée, le champ d’application des restrictions et l’emplacement de</w:t>
      </w:r>
      <w:r w:rsidRPr="00AF5B6D">
        <w:rPr>
          <w:bCs/>
          <w:iCs/>
          <w:kern w:val="22"/>
          <w:szCs w:val="22"/>
          <w:lang w:val="fr-CA"/>
        </w:rPr>
        <w:t xml:space="preserve"> l’aire;</w:t>
      </w:r>
    </w:p>
    <w:p w:rsidR="009F6935" w:rsidRPr="00AF5B6D" w:rsidRDefault="009F6935" w:rsidP="00004EAF">
      <w:pPr>
        <w:pStyle w:val="ListParagraph"/>
        <w:numPr>
          <w:ilvl w:val="1"/>
          <w:numId w:val="36"/>
        </w:numPr>
        <w:suppressLineNumbers/>
        <w:suppressAutoHyphens/>
        <w:kinsoku w:val="0"/>
        <w:overflowPunct w:val="0"/>
        <w:autoSpaceDE w:val="0"/>
        <w:autoSpaceDN w:val="0"/>
        <w:spacing w:before="120" w:after="120"/>
        <w:ind w:hanging="450"/>
        <w:contextualSpacing w:val="0"/>
        <w:rPr>
          <w:bCs/>
          <w:iCs/>
          <w:kern w:val="22"/>
          <w:szCs w:val="22"/>
          <w:lang w:val="fr-CA"/>
        </w:rPr>
      </w:pPr>
      <w:r w:rsidRPr="00AF5B6D">
        <w:rPr>
          <w:bCs/>
          <w:iCs/>
          <w:kern w:val="22"/>
          <w:szCs w:val="22"/>
          <w:lang w:val="fr-CA"/>
        </w:rPr>
        <w:t>La capa</w:t>
      </w:r>
      <w:r>
        <w:rPr>
          <w:bCs/>
          <w:iCs/>
          <w:kern w:val="22"/>
          <w:szCs w:val="22"/>
          <w:lang w:val="fr-CA"/>
        </w:rPr>
        <w:t>cité de l’autorité de gestion à appliquer</w:t>
      </w:r>
      <w:r w:rsidRPr="00AF5B6D">
        <w:rPr>
          <w:bCs/>
          <w:iCs/>
          <w:kern w:val="22"/>
          <w:szCs w:val="22"/>
          <w:lang w:val="fr-CA"/>
        </w:rPr>
        <w:t xml:space="preserve"> une mesure adoptée</w:t>
      </w:r>
      <w:r>
        <w:rPr>
          <w:bCs/>
          <w:iCs/>
          <w:kern w:val="22"/>
          <w:szCs w:val="22"/>
          <w:lang w:val="fr-CA"/>
        </w:rPr>
        <w:t xml:space="preserve">, à effectuer un suivi et à </w:t>
      </w:r>
      <w:r w:rsidRPr="00AF5B6D">
        <w:rPr>
          <w:bCs/>
          <w:iCs/>
          <w:kern w:val="22"/>
          <w:szCs w:val="22"/>
          <w:lang w:val="fr-CA"/>
        </w:rPr>
        <w:t>assurer son application dans l’aire pendant que la mesure est en place;</w:t>
      </w:r>
    </w:p>
    <w:p w:rsidR="009F6935" w:rsidRPr="00AF5B6D" w:rsidRDefault="009F6935" w:rsidP="00004EAF">
      <w:pPr>
        <w:pStyle w:val="ListParagraph"/>
        <w:numPr>
          <w:ilvl w:val="1"/>
          <w:numId w:val="36"/>
        </w:numPr>
        <w:suppressLineNumbers/>
        <w:suppressAutoHyphens/>
        <w:kinsoku w:val="0"/>
        <w:overflowPunct w:val="0"/>
        <w:autoSpaceDE w:val="0"/>
        <w:autoSpaceDN w:val="0"/>
        <w:spacing w:before="120" w:after="120"/>
        <w:ind w:hanging="450"/>
        <w:contextualSpacing w:val="0"/>
        <w:rPr>
          <w:bCs/>
          <w:iCs/>
          <w:kern w:val="22"/>
          <w:szCs w:val="22"/>
          <w:lang w:val="fr-CA"/>
        </w:rPr>
      </w:pPr>
      <w:r>
        <w:rPr>
          <w:bCs/>
          <w:iCs/>
          <w:kern w:val="22"/>
          <w:szCs w:val="22"/>
          <w:lang w:val="fr-CA"/>
        </w:rPr>
        <w:t>La contribution potentielle de la mesure en faveur des populations locales et de</w:t>
      </w:r>
      <w:r w:rsidRPr="00AF5B6D">
        <w:rPr>
          <w:bCs/>
          <w:iCs/>
          <w:kern w:val="22"/>
          <w:szCs w:val="22"/>
          <w:lang w:val="fr-CA"/>
        </w:rPr>
        <w:t xml:space="preserve"> l’utilisation durable</w:t>
      </w:r>
      <w:r>
        <w:rPr>
          <w:bCs/>
          <w:iCs/>
          <w:kern w:val="22"/>
          <w:szCs w:val="22"/>
          <w:lang w:val="fr-CA"/>
        </w:rPr>
        <w:t>,</w:t>
      </w:r>
      <w:r w:rsidRPr="00AF5B6D">
        <w:rPr>
          <w:bCs/>
          <w:iCs/>
          <w:kern w:val="22"/>
          <w:szCs w:val="22"/>
          <w:lang w:val="fr-CA"/>
        </w:rPr>
        <w:t xml:space="preserve"> en plus de la conservation;</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kern w:val="22"/>
          <w:szCs w:val="22"/>
          <w:lang w:val="fr-CA"/>
        </w:rPr>
        <w:t>Les caractéristiques importantes sui</w:t>
      </w:r>
      <w:r w:rsidRPr="00AF5B6D">
        <w:rPr>
          <w:kern w:val="22"/>
          <w:szCs w:val="22"/>
          <w:lang w:val="fr-CA"/>
        </w:rPr>
        <w:t>vant</w:t>
      </w:r>
      <w:r>
        <w:rPr>
          <w:kern w:val="22"/>
          <w:szCs w:val="22"/>
          <w:lang w:val="fr-CA"/>
        </w:rPr>
        <w:t>e</w:t>
      </w:r>
      <w:r w:rsidRPr="00AF5B6D">
        <w:rPr>
          <w:kern w:val="22"/>
          <w:szCs w:val="22"/>
          <w:lang w:val="fr-CA"/>
        </w:rPr>
        <w:t xml:space="preserve">s doivent </w:t>
      </w:r>
      <w:r>
        <w:rPr>
          <w:kern w:val="22"/>
          <w:szCs w:val="22"/>
          <w:lang w:val="fr-CA"/>
        </w:rPr>
        <w:t xml:space="preserve">être </w:t>
      </w:r>
      <w:r w:rsidRPr="00AF5B6D">
        <w:rPr>
          <w:kern w:val="22"/>
          <w:szCs w:val="22"/>
          <w:lang w:val="fr-CA"/>
        </w:rPr>
        <w:t>pris</w:t>
      </w:r>
      <w:r>
        <w:rPr>
          <w:kern w:val="22"/>
          <w:szCs w:val="22"/>
          <w:lang w:val="fr-CA"/>
        </w:rPr>
        <w:t>es</w:t>
      </w:r>
      <w:r w:rsidRPr="00AF5B6D">
        <w:rPr>
          <w:kern w:val="22"/>
          <w:szCs w:val="22"/>
          <w:lang w:val="fr-CA"/>
        </w:rPr>
        <w:t xml:space="preserve"> en ligne de compte</w:t>
      </w:r>
      <w:r>
        <w:rPr>
          <w:kern w:val="22"/>
          <w:szCs w:val="22"/>
          <w:lang w:val="fr-CA"/>
        </w:rPr>
        <w:t xml:space="preserve"> et concernent </w:t>
      </w:r>
      <w:r w:rsidRPr="00AF5B6D">
        <w:rPr>
          <w:kern w:val="22"/>
          <w:szCs w:val="22"/>
          <w:lang w:val="fr-CA"/>
        </w:rPr>
        <w:t>le contexte dans lequel l</w:t>
      </w:r>
      <w:r>
        <w:rPr>
          <w:kern w:val="22"/>
          <w:szCs w:val="22"/>
          <w:lang w:val="fr-CA"/>
        </w:rPr>
        <w:t>a mesure sera appliquée, dans une évaluation</w:t>
      </w:r>
      <w:r w:rsidRPr="00AF5B6D">
        <w:rPr>
          <w:kern w:val="22"/>
          <w:szCs w:val="22"/>
          <w:lang w:val="fr-CA"/>
        </w:rPr>
        <w:t xml:space="preserve"> au cas par cas :</w:t>
      </w:r>
    </w:p>
    <w:p w:rsidR="009F6935" w:rsidRPr="00AF5B6D" w:rsidRDefault="009F6935" w:rsidP="00004EAF">
      <w:pPr>
        <w:pStyle w:val="ListParagraph"/>
        <w:numPr>
          <w:ilvl w:val="1"/>
          <w:numId w:val="37"/>
        </w:numPr>
        <w:suppressLineNumbers/>
        <w:suppressAutoHyphens/>
        <w:kinsoku w:val="0"/>
        <w:overflowPunct w:val="0"/>
        <w:autoSpaceDE w:val="0"/>
        <w:autoSpaceDN w:val="0"/>
        <w:spacing w:before="120" w:after="120"/>
        <w:ind w:hanging="540"/>
        <w:contextualSpacing w:val="0"/>
        <w:rPr>
          <w:bCs/>
          <w:iCs/>
          <w:kern w:val="22"/>
          <w:szCs w:val="22"/>
          <w:lang w:val="fr-CA"/>
        </w:rPr>
      </w:pPr>
      <w:r>
        <w:rPr>
          <w:kern w:val="22"/>
          <w:szCs w:val="22"/>
          <w:lang w:val="fr-CA"/>
        </w:rPr>
        <w:t>Dans quelle proportion</w:t>
      </w:r>
      <w:r w:rsidRPr="00AF5B6D">
        <w:rPr>
          <w:kern w:val="22"/>
          <w:szCs w:val="22"/>
          <w:lang w:val="fr-CA"/>
        </w:rPr>
        <w:t xml:space="preserve"> la mesure a</w:t>
      </w:r>
      <w:r>
        <w:rPr>
          <w:kern w:val="22"/>
          <w:szCs w:val="22"/>
          <w:lang w:val="fr-CA"/>
        </w:rPr>
        <w:t>-t-elle</w:t>
      </w:r>
      <w:r w:rsidRPr="00AF5B6D">
        <w:rPr>
          <w:kern w:val="22"/>
          <w:szCs w:val="22"/>
          <w:lang w:val="fr-CA"/>
        </w:rPr>
        <w:t xml:space="preserve"> été développée dans le cadre de l’approche par écosystème et est bien intégrée aux autres mesures utilisées;</w:t>
      </w:r>
    </w:p>
    <w:p w:rsidR="009F6935" w:rsidRPr="00AF5B6D" w:rsidRDefault="009F6935" w:rsidP="00004EAF">
      <w:pPr>
        <w:pStyle w:val="ListParagraph"/>
        <w:numPr>
          <w:ilvl w:val="1"/>
          <w:numId w:val="37"/>
        </w:numPr>
        <w:suppressLineNumbers/>
        <w:suppressAutoHyphens/>
        <w:kinsoku w:val="0"/>
        <w:overflowPunct w:val="0"/>
        <w:autoSpaceDE w:val="0"/>
        <w:autoSpaceDN w:val="0"/>
        <w:spacing w:before="120" w:after="120"/>
        <w:ind w:hanging="540"/>
        <w:contextualSpacing w:val="0"/>
        <w:rPr>
          <w:bCs/>
          <w:iCs/>
          <w:kern w:val="22"/>
          <w:szCs w:val="22"/>
          <w:lang w:val="fr-CA"/>
        </w:rPr>
      </w:pPr>
      <w:r>
        <w:rPr>
          <w:kern w:val="22"/>
          <w:szCs w:val="22"/>
          <w:lang w:val="fr-CA"/>
        </w:rPr>
        <w:t>Dans quelle proportion</w:t>
      </w:r>
      <w:r w:rsidRPr="00AF5B6D">
        <w:rPr>
          <w:kern w:val="22"/>
          <w:szCs w:val="22"/>
          <w:lang w:val="fr-CA"/>
        </w:rPr>
        <w:t xml:space="preserve"> la mesure a</w:t>
      </w:r>
      <w:r>
        <w:rPr>
          <w:kern w:val="22"/>
          <w:szCs w:val="22"/>
          <w:lang w:val="fr-CA"/>
        </w:rPr>
        <w:t>-t-elle</w:t>
      </w:r>
      <w:r w:rsidRPr="00AF5B6D">
        <w:rPr>
          <w:kern w:val="22"/>
          <w:szCs w:val="22"/>
          <w:lang w:val="fr-CA"/>
        </w:rPr>
        <w:t xml:space="preserve"> été</w:t>
      </w:r>
      <w:r>
        <w:rPr>
          <w:kern w:val="22"/>
          <w:szCs w:val="22"/>
          <w:lang w:val="fr-CA"/>
        </w:rPr>
        <w:t xml:space="preserve"> développée à partir des</w:t>
      </w:r>
      <w:r w:rsidRPr="00AF5B6D">
        <w:rPr>
          <w:kern w:val="22"/>
          <w:szCs w:val="22"/>
          <w:lang w:val="fr-CA"/>
        </w:rPr>
        <w:t xml:space="preserve"> meilleure</w:t>
      </w:r>
      <w:r>
        <w:rPr>
          <w:kern w:val="22"/>
          <w:szCs w:val="22"/>
          <w:lang w:val="fr-CA"/>
        </w:rPr>
        <w:t>s</w:t>
      </w:r>
      <w:r w:rsidRPr="00AF5B6D">
        <w:rPr>
          <w:kern w:val="22"/>
          <w:szCs w:val="22"/>
          <w:lang w:val="fr-CA"/>
        </w:rPr>
        <w:t xml:space="preserve"> information</w:t>
      </w:r>
      <w:r>
        <w:rPr>
          <w:kern w:val="22"/>
          <w:szCs w:val="22"/>
          <w:lang w:val="fr-CA"/>
        </w:rPr>
        <w:t>s</w:t>
      </w:r>
      <w:r w:rsidRPr="00AF5B6D">
        <w:rPr>
          <w:kern w:val="22"/>
          <w:szCs w:val="22"/>
          <w:lang w:val="fr-CA"/>
        </w:rPr>
        <w:t xml:space="preserve"> scientifique</w:t>
      </w:r>
      <w:r>
        <w:rPr>
          <w:kern w:val="22"/>
          <w:szCs w:val="22"/>
          <w:lang w:val="fr-CA"/>
        </w:rPr>
        <w:t>s disponibles</w:t>
      </w:r>
      <w:r w:rsidRPr="00AF5B6D">
        <w:rPr>
          <w:kern w:val="22"/>
          <w:szCs w:val="22"/>
          <w:lang w:val="fr-CA"/>
        </w:rPr>
        <w:t xml:space="preserve"> et des meilleures connaissances autochtones et locales disponibles, en prenant les précautions nécessaires;</w:t>
      </w:r>
    </w:p>
    <w:p w:rsidR="009F6935" w:rsidRPr="00AF5B6D" w:rsidRDefault="009F6935" w:rsidP="00004EAF">
      <w:pPr>
        <w:pStyle w:val="ListParagraph"/>
        <w:numPr>
          <w:ilvl w:val="1"/>
          <w:numId w:val="37"/>
        </w:numPr>
        <w:suppressLineNumber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Le niveau de protectio</w:t>
      </w:r>
      <w:r>
        <w:rPr>
          <w:kern w:val="22"/>
          <w:szCs w:val="22"/>
          <w:lang w:val="fr-CA"/>
        </w:rPr>
        <w:t xml:space="preserve">n qu’offre la mesure aux </w:t>
      </w:r>
      <w:r w:rsidRPr="00AF5B6D">
        <w:rPr>
          <w:kern w:val="22"/>
          <w:szCs w:val="22"/>
          <w:lang w:val="fr-CA"/>
        </w:rPr>
        <w:t xml:space="preserve">éléments </w:t>
      </w:r>
      <w:r>
        <w:rPr>
          <w:kern w:val="22"/>
          <w:szCs w:val="22"/>
          <w:lang w:val="fr-CA"/>
        </w:rPr>
        <w:t xml:space="preserve">constitutifs </w:t>
      </w:r>
      <w:r w:rsidRPr="00AF5B6D">
        <w:rPr>
          <w:kern w:val="22"/>
          <w:szCs w:val="22"/>
          <w:lang w:val="fr-CA"/>
        </w:rPr>
        <w:t>de la</w:t>
      </w:r>
      <w:r>
        <w:rPr>
          <w:kern w:val="22"/>
          <w:szCs w:val="22"/>
          <w:lang w:val="fr-CA"/>
        </w:rPr>
        <w:t xml:space="preserve"> diversité biologique hautement prioritaires,</w:t>
      </w:r>
      <w:r w:rsidRPr="00AF5B6D">
        <w:rPr>
          <w:kern w:val="22"/>
          <w:szCs w:val="22"/>
          <w:lang w:val="fr-CA"/>
        </w:rPr>
        <w:t xml:space="preserve"> en tenant compte des au</w:t>
      </w:r>
      <w:r>
        <w:rPr>
          <w:kern w:val="22"/>
          <w:szCs w:val="22"/>
          <w:lang w:val="fr-CA"/>
        </w:rPr>
        <w:t>tres menaces réelles ou potentielle</w:t>
      </w:r>
      <w:r w:rsidRPr="00AF5B6D">
        <w:rPr>
          <w:kern w:val="22"/>
          <w:szCs w:val="22"/>
          <w:lang w:val="fr-CA"/>
        </w:rPr>
        <w:t>s da</w:t>
      </w:r>
      <w:r>
        <w:rPr>
          <w:kern w:val="22"/>
          <w:szCs w:val="22"/>
          <w:lang w:val="fr-CA"/>
        </w:rPr>
        <w:t>ns la même aire et, le cas échéant</w:t>
      </w:r>
      <w:r w:rsidRPr="00AF5B6D">
        <w:rPr>
          <w:kern w:val="22"/>
          <w:szCs w:val="22"/>
          <w:lang w:val="fr-CA"/>
        </w:rPr>
        <w:t>, à l’extérieur de l’aire;</w:t>
      </w:r>
    </w:p>
    <w:p w:rsidR="009F6935" w:rsidRPr="00AF5B6D" w:rsidRDefault="009F6935" w:rsidP="00004EAF">
      <w:pPr>
        <w:pStyle w:val="ListParagraph"/>
        <w:numPr>
          <w:ilvl w:val="1"/>
          <w:numId w:val="37"/>
        </w:numPr>
        <w:suppressLineNumbers/>
        <w:tabs>
          <w:tab w:val="left" w:pos="6946"/>
        </w:tabs>
        <w:suppressAutoHyphens/>
        <w:kinsoku w:val="0"/>
        <w:overflowPunct w:val="0"/>
        <w:autoSpaceDE w:val="0"/>
        <w:autoSpaceDN w:val="0"/>
        <w:spacing w:before="120" w:after="120"/>
        <w:ind w:hanging="540"/>
        <w:contextualSpacing w:val="0"/>
        <w:rPr>
          <w:bCs/>
          <w:iCs/>
          <w:kern w:val="22"/>
          <w:szCs w:val="22"/>
          <w:lang w:val="fr-CA"/>
        </w:rPr>
      </w:pPr>
      <w:r w:rsidRPr="00AF5B6D">
        <w:rPr>
          <w:kern w:val="22"/>
          <w:szCs w:val="22"/>
          <w:lang w:val="fr-CA"/>
        </w:rPr>
        <w:t>Les pr</w:t>
      </w:r>
      <w:r>
        <w:rPr>
          <w:kern w:val="22"/>
          <w:szCs w:val="22"/>
          <w:lang w:val="fr-CA"/>
        </w:rPr>
        <w:t>ocessus de gouvernance ayant conduit</w:t>
      </w:r>
      <w:r w:rsidRPr="00AF5B6D">
        <w:rPr>
          <w:kern w:val="22"/>
          <w:szCs w:val="22"/>
          <w:lang w:val="fr-CA"/>
        </w:rPr>
        <w:t xml:space="preserve"> à l’élaboration et </w:t>
      </w:r>
      <w:r>
        <w:rPr>
          <w:kern w:val="22"/>
          <w:szCs w:val="22"/>
          <w:lang w:val="fr-CA"/>
        </w:rPr>
        <w:t xml:space="preserve">à </w:t>
      </w:r>
      <w:r w:rsidRPr="00AF5B6D">
        <w:rPr>
          <w:kern w:val="22"/>
          <w:szCs w:val="22"/>
          <w:lang w:val="fr-CA"/>
        </w:rPr>
        <w:t>l’adoption de la</w:t>
      </w:r>
      <w:r>
        <w:rPr>
          <w:kern w:val="22"/>
          <w:szCs w:val="22"/>
          <w:lang w:val="fr-CA"/>
        </w:rPr>
        <w:t xml:space="preserve"> mesure, et leurs répercussions sur le respect de la mesure prise et la coopération à son égard</w:t>
      </w:r>
      <w:r w:rsidRPr="00AF5B6D">
        <w:rPr>
          <w:kern w:val="22"/>
          <w:szCs w:val="22"/>
          <w:lang w:val="fr-CA"/>
        </w:rPr>
        <w:t>.</w:t>
      </w:r>
    </w:p>
    <w:p w:rsidR="009F6935" w:rsidRPr="00AF5B6D"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kern w:val="22"/>
          <w:szCs w:val="22"/>
          <w:lang w:val="fr-CA"/>
        </w:rPr>
        <w:t>Il importe</w:t>
      </w:r>
      <w:r w:rsidRPr="00AF5B6D">
        <w:rPr>
          <w:kern w:val="22"/>
          <w:szCs w:val="22"/>
          <w:lang w:val="fr-CA"/>
        </w:rPr>
        <w:t xml:space="preserve"> que les résultats de la conservation soient</w:t>
      </w:r>
      <w:r>
        <w:rPr>
          <w:kern w:val="22"/>
          <w:szCs w:val="22"/>
          <w:lang w:val="fr-CA"/>
        </w:rPr>
        <w:t xml:space="preserve"> appuyés par des données</w:t>
      </w:r>
      <w:r w:rsidRPr="00AF5B6D">
        <w:rPr>
          <w:kern w:val="22"/>
          <w:szCs w:val="22"/>
          <w:lang w:val="fr-CA"/>
        </w:rPr>
        <w:t xml:space="preserve"> probant</w:t>
      </w:r>
      <w:r>
        <w:rPr>
          <w:kern w:val="22"/>
          <w:szCs w:val="22"/>
          <w:lang w:val="fr-CA"/>
        </w:rPr>
        <w:t>e</w:t>
      </w:r>
      <w:r w:rsidRPr="00AF5B6D">
        <w:rPr>
          <w:kern w:val="22"/>
          <w:szCs w:val="22"/>
          <w:lang w:val="fr-CA"/>
        </w:rPr>
        <w:t>s</w:t>
      </w:r>
      <w:r>
        <w:rPr>
          <w:kern w:val="22"/>
          <w:szCs w:val="22"/>
          <w:lang w:val="fr-CA"/>
        </w:rPr>
        <w:t xml:space="preserve"> robustes, et de faire preuve de souplesse afin de concevoir</w:t>
      </w:r>
      <w:r w:rsidRPr="00AF5B6D">
        <w:rPr>
          <w:kern w:val="22"/>
          <w:szCs w:val="22"/>
          <w:lang w:val="fr-CA"/>
        </w:rPr>
        <w:t xml:space="preserve"> des</w:t>
      </w:r>
      <w:r>
        <w:rPr>
          <w:kern w:val="22"/>
          <w:szCs w:val="22"/>
          <w:lang w:val="fr-CA"/>
        </w:rPr>
        <w:t xml:space="preserve"> mesures adaptées à un</w:t>
      </w:r>
      <w:r w:rsidRPr="00AF5B6D">
        <w:rPr>
          <w:kern w:val="22"/>
          <w:szCs w:val="22"/>
          <w:lang w:val="fr-CA"/>
        </w:rPr>
        <w:t xml:space="preserve"> contexte</w:t>
      </w:r>
      <w:r>
        <w:rPr>
          <w:kern w:val="22"/>
          <w:szCs w:val="22"/>
          <w:lang w:val="fr-CA"/>
        </w:rPr>
        <w:t xml:space="preserve"> donné, visant plusieurs</w:t>
      </w:r>
      <w:r w:rsidRPr="00AF5B6D">
        <w:rPr>
          <w:kern w:val="22"/>
          <w:szCs w:val="22"/>
          <w:lang w:val="fr-CA"/>
        </w:rPr>
        <w:t xml:space="preserve"> objectif</w:t>
      </w:r>
      <w:r>
        <w:rPr>
          <w:kern w:val="22"/>
          <w:szCs w:val="22"/>
          <w:lang w:val="fr-CA"/>
        </w:rPr>
        <w:t>s plutôt que de prévoir uniquement des exigences de départ</w:t>
      </w:r>
      <w:r w:rsidRPr="00AF5B6D">
        <w:rPr>
          <w:kern w:val="22"/>
          <w:szCs w:val="22"/>
          <w:lang w:val="fr-CA"/>
        </w:rPr>
        <w:t>;</w:t>
      </w:r>
    </w:p>
    <w:p w:rsidR="009F6935" w:rsidRPr="000141FB" w:rsidRDefault="009F6935" w:rsidP="00004EAF">
      <w:pPr>
        <w:pStyle w:val="ListParagraph"/>
        <w:numPr>
          <w:ilvl w:val="0"/>
          <w:numId w:val="35"/>
        </w:numPr>
        <w:suppressLineNumbers/>
        <w:suppressAutoHyphens/>
        <w:kinsoku w:val="0"/>
        <w:overflowPunct w:val="0"/>
        <w:autoSpaceDE w:val="0"/>
        <w:autoSpaceDN w:val="0"/>
        <w:spacing w:before="120" w:after="120"/>
        <w:ind w:left="0" w:firstLine="720"/>
        <w:contextualSpacing w:val="0"/>
        <w:rPr>
          <w:bCs/>
          <w:iCs/>
          <w:kern w:val="22"/>
          <w:szCs w:val="22"/>
          <w:lang w:val="fr-CA"/>
        </w:rPr>
      </w:pPr>
      <w:r>
        <w:rPr>
          <w:kern w:val="22"/>
          <w:szCs w:val="22"/>
          <w:lang w:val="fr-CA"/>
        </w:rPr>
        <w:t>Il importe</w:t>
      </w:r>
      <w:r w:rsidRPr="00AF5B6D">
        <w:rPr>
          <w:kern w:val="22"/>
          <w:szCs w:val="22"/>
          <w:lang w:val="fr-CA"/>
        </w:rPr>
        <w:t xml:space="preserve"> que l’élaboration des mesures de c</w:t>
      </w:r>
      <w:r>
        <w:rPr>
          <w:kern w:val="22"/>
          <w:szCs w:val="22"/>
          <w:lang w:val="fr-CA"/>
        </w:rPr>
        <w:t xml:space="preserve">onservation efficaces par zone inclue des cadres de suivi et </w:t>
      </w:r>
      <w:r w:rsidRPr="00AF5B6D">
        <w:rPr>
          <w:kern w:val="22"/>
          <w:szCs w:val="22"/>
          <w:lang w:val="fr-CA"/>
        </w:rPr>
        <w:t>d’évaluation adéquat</w:t>
      </w:r>
      <w:r>
        <w:rPr>
          <w:kern w:val="22"/>
          <w:szCs w:val="22"/>
          <w:lang w:val="fr-CA"/>
        </w:rPr>
        <w:t xml:space="preserve">s, afin d’accumuler des données probables fiables sur les </w:t>
      </w:r>
      <w:r w:rsidRPr="00AF5B6D">
        <w:rPr>
          <w:kern w:val="22"/>
          <w:szCs w:val="22"/>
          <w:lang w:val="fr-CA"/>
        </w:rPr>
        <w:t xml:space="preserve">résultats </w:t>
      </w:r>
      <w:r>
        <w:rPr>
          <w:kern w:val="22"/>
          <w:szCs w:val="22"/>
          <w:lang w:val="fr-CA"/>
        </w:rPr>
        <w:t xml:space="preserve">obtenus en matière </w:t>
      </w:r>
      <w:r w:rsidRPr="00AF5B6D">
        <w:rPr>
          <w:kern w:val="22"/>
          <w:szCs w:val="22"/>
          <w:lang w:val="fr-CA"/>
        </w:rPr>
        <w:t>de conservation.</w:t>
      </w:r>
    </w:p>
    <w:p w:rsidR="009F6935" w:rsidRDefault="009F6935">
      <w:pPr>
        <w:jc w:val="left"/>
        <w:rPr>
          <w:snapToGrid w:val="0"/>
          <w:kern w:val="22"/>
          <w:szCs w:val="22"/>
          <w:lang w:val="fr-CA"/>
        </w:rPr>
      </w:pPr>
      <w:r>
        <w:rPr>
          <w:kern w:val="22"/>
          <w:szCs w:val="22"/>
          <w:lang w:val="fr-CA"/>
        </w:rPr>
        <w:br w:type="page"/>
      </w:r>
    </w:p>
    <w:p w:rsidR="009F6935" w:rsidRPr="00F93834" w:rsidRDefault="00A96257" w:rsidP="00BB3144">
      <w:pPr>
        <w:suppressLineNumbers/>
        <w:suppressAutoHyphens/>
        <w:kinsoku w:val="0"/>
        <w:overflowPunct w:val="0"/>
        <w:autoSpaceDE w:val="0"/>
        <w:autoSpaceDN w:val="0"/>
        <w:adjustRightInd w:val="0"/>
        <w:snapToGrid w:val="0"/>
        <w:spacing w:before="240" w:after="240"/>
        <w:jc w:val="center"/>
        <w:rPr>
          <w:b/>
          <w:caps/>
          <w:lang w:val="fr-FR"/>
        </w:rPr>
      </w:pPr>
      <w:bookmarkStart w:id="131" w:name="_Toc525904190"/>
      <w:bookmarkStart w:id="132" w:name="_Toc525904593"/>
      <w:r>
        <w:rPr>
          <w:rStyle w:val="Heading2Char"/>
          <w:rFonts w:ascii="Times New Roman Bold" w:hAnsi="Times New Roman Bold" w:cs="Times New Roman Bold"/>
          <w:caps/>
          <w:lang w:val="fr-FR"/>
        </w:rPr>
        <w:lastRenderedPageBreak/>
        <w:t>22.6.</w:t>
      </w:r>
      <w:r>
        <w:rPr>
          <w:rStyle w:val="Heading2Char"/>
          <w:rFonts w:ascii="Times New Roman Bold" w:hAnsi="Times New Roman Bold" w:cs="Times New Roman Bold"/>
          <w:caps/>
          <w:lang w:val="fr-FR"/>
        </w:rPr>
        <w:tab/>
      </w:r>
      <w:r w:rsidR="00BB3144">
        <w:rPr>
          <w:rStyle w:val="Heading2Char"/>
          <w:rFonts w:ascii="Times New Roman Bold" w:hAnsi="Times New Roman Bold" w:cs="Times New Roman Bold"/>
          <w:lang w:val="fr-FR"/>
        </w:rPr>
        <w:t>Diversité biologique marine et côtière</w:t>
      </w:r>
      <w:bookmarkEnd w:id="131"/>
      <w:bookmarkEnd w:id="132"/>
    </w:p>
    <w:p w:rsidR="009F6935" w:rsidRPr="00F93834" w:rsidRDefault="009F6935" w:rsidP="009F6935">
      <w:pPr>
        <w:suppressLineNumbers/>
        <w:suppressAutoHyphens/>
        <w:kinsoku w:val="0"/>
        <w:overflowPunct w:val="0"/>
        <w:autoSpaceDE w:val="0"/>
        <w:autoSpaceDN w:val="0"/>
        <w:adjustRightInd w:val="0"/>
        <w:snapToGrid w:val="0"/>
        <w:spacing w:before="120" w:after="120"/>
        <w:ind w:firstLine="720"/>
        <w:rPr>
          <w:bCs/>
          <w:i/>
          <w:snapToGrid w:val="0"/>
          <w:kern w:val="22"/>
          <w:szCs w:val="22"/>
          <w:lang w:val="fr-FR" w:eastAsia="ko-KR"/>
        </w:rPr>
      </w:pPr>
      <w:r w:rsidRPr="00F93834">
        <w:rPr>
          <w:bCs/>
          <w:i/>
          <w:snapToGrid w:val="0"/>
          <w:kern w:val="22"/>
          <w:szCs w:val="22"/>
          <w:lang w:val="fr-FR" w:eastAsia="ko-KR"/>
        </w:rPr>
        <w:t>L’Organe subsidiaire chargé de fournir des avis scientifiques, techniques et technologiques</w:t>
      </w:r>
    </w:p>
    <w:p w:rsidR="009F6935" w:rsidRPr="00F93834" w:rsidRDefault="009F6935" w:rsidP="009F6935">
      <w:pPr>
        <w:suppressLineNumbers/>
        <w:suppressAutoHyphens/>
        <w:kinsoku w:val="0"/>
        <w:overflowPunct w:val="0"/>
        <w:autoSpaceDE w:val="0"/>
        <w:autoSpaceDN w:val="0"/>
        <w:adjustRightInd w:val="0"/>
        <w:snapToGrid w:val="0"/>
        <w:spacing w:before="120" w:after="120"/>
        <w:ind w:firstLine="720"/>
        <w:rPr>
          <w:bCs/>
          <w:snapToGrid w:val="0"/>
          <w:kern w:val="22"/>
          <w:szCs w:val="22"/>
          <w:lang w:val="fr-FR" w:eastAsia="ko-KR"/>
        </w:rPr>
      </w:pPr>
      <w:r w:rsidRPr="00F93834">
        <w:rPr>
          <w:bCs/>
          <w:snapToGrid w:val="0"/>
          <w:kern w:val="22"/>
          <w:szCs w:val="22"/>
          <w:lang w:val="fr-FR" w:eastAsia="ko-KR"/>
        </w:rPr>
        <w:t>1.</w:t>
      </w:r>
      <w:r w:rsidRPr="00F93834">
        <w:rPr>
          <w:bCs/>
          <w:snapToGrid w:val="0"/>
          <w:kern w:val="22"/>
          <w:szCs w:val="22"/>
          <w:lang w:val="fr-FR" w:eastAsia="ko-KR"/>
        </w:rPr>
        <w:tab/>
      </w:r>
      <w:r w:rsidRPr="00F93834">
        <w:rPr>
          <w:bCs/>
          <w:i/>
          <w:snapToGrid w:val="0"/>
          <w:kern w:val="22"/>
          <w:szCs w:val="22"/>
          <w:lang w:val="fr-FR" w:eastAsia="ko-KR"/>
        </w:rPr>
        <w:t>Rappelle</w:t>
      </w:r>
      <w:r w:rsidRPr="00F93834">
        <w:rPr>
          <w:bCs/>
          <w:iCs/>
          <w:snapToGrid w:val="0"/>
          <w:kern w:val="22"/>
          <w:szCs w:val="22"/>
          <w:lang w:val="fr-FR" w:eastAsia="ko-KR"/>
        </w:rPr>
        <w:t xml:space="preserve"> le paragraphe 13 de la décision XIII/12 et les paragraphes 8 et 11 de la décision XII/2</w:t>
      </w:r>
      <w:r>
        <w:rPr>
          <w:bCs/>
          <w:snapToGrid w:val="0"/>
          <w:kern w:val="22"/>
          <w:szCs w:val="22"/>
          <w:lang w:val="fr-FR" w:eastAsia="ko-KR"/>
        </w:rPr>
        <w:t>2</w:t>
      </w:r>
      <w:r w:rsidRPr="00F93834">
        <w:rPr>
          <w:bCs/>
          <w:snapToGrid w:val="0"/>
          <w:kern w:val="22"/>
          <w:szCs w:val="22"/>
          <w:lang w:val="fr-FR" w:eastAsia="ko-K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firstLine="720"/>
        <w:rPr>
          <w:bCs/>
          <w:snapToGrid w:val="0"/>
          <w:spacing w:val="-1"/>
          <w:kern w:val="22"/>
          <w:szCs w:val="22"/>
          <w:lang w:val="fr-FR" w:eastAsia="ko-KR"/>
        </w:rPr>
      </w:pPr>
      <w:r w:rsidRPr="00F93834">
        <w:rPr>
          <w:bCs/>
          <w:snapToGrid w:val="0"/>
          <w:spacing w:val="-1"/>
          <w:kern w:val="22"/>
          <w:szCs w:val="22"/>
          <w:lang w:val="fr-FR" w:eastAsia="ko-KR"/>
        </w:rPr>
        <w:t>2.</w:t>
      </w:r>
      <w:r w:rsidRPr="00F93834">
        <w:rPr>
          <w:bCs/>
          <w:snapToGrid w:val="0"/>
          <w:spacing w:val="-1"/>
          <w:kern w:val="22"/>
          <w:szCs w:val="22"/>
          <w:lang w:val="fr-FR" w:eastAsia="ko-KR"/>
        </w:rPr>
        <w:tab/>
      </w:r>
      <w:r w:rsidRPr="00F93834">
        <w:rPr>
          <w:bCs/>
          <w:i/>
          <w:snapToGrid w:val="0"/>
          <w:kern w:val="22"/>
          <w:szCs w:val="22"/>
          <w:lang w:val="fr-FR" w:eastAsia="ko-KR"/>
        </w:rPr>
        <w:t xml:space="preserve">Prie </w:t>
      </w:r>
      <w:r w:rsidRPr="00F93834">
        <w:rPr>
          <w:bCs/>
          <w:iCs/>
          <w:snapToGrid w:val="0"/>
          <w:kern w:val="22"/>
          <w:szCs w:val="22"/>
          <w:lang w:val="fr-FR" w:eastAsia="ko-KR"/>
        </w:rPr>
        <w:t>la Secrétaire exécutive d</w:t>
      </w:r>
      <w:r>
        <w:rPr>
          <w:bCs/>
          <w:iCs/>
          <w:snapToGrid w:val="0"/>
          <w:kern w:val="22"/>
          <w:szCs w:val="22"/>
          <w:lang w:val="fr-FR" w:eastAsia="ko-KR"/>
        </w:rPr>
        <w:t>e préparer, selon que de besoin, un projet de révision du</w:t>
      </w:r>
      <w:r w:rsidRPr="00F93834">
        <w:rPr>
          <w:bCs/>
          <w:iCs/>
          <w:snapToGrid w:val="0"/>
          <w:kern w:val="22"/>
          <w:szCs w:val="22"/>
          <w:lang w:val="fr-FR" w:eastAsia="ko-KR"/>
        </w:rPr>
        <w:t xml:space="preserve"> mandat du groupe consultatif informel sur les aires marines d’importance écologique ou biologique (AIEB)</w:t>
      </w:r>
      <w:r w:rsidRPr="00285792">
        <w:rPr>
          <w:rStyle w:val="FootnoteReference"/>
          <w:bCs/>
          <w:snapToGrid w:val="0"/>
          <w:spacing w:val="-1"/>
          <w:kern w:val="22"/>
          <w:sz w:val="20"/>
          <w:szCs w:val="20"/>
          <w:u w:val="none"/>
          <w:vertAlign w:val="superscript"/>
          <w:lang w:eastAsia="ko-KR"/>
        </w:rPr>
        <w:footnoteReference w:id="74"/>
      </w:r>
      <w:r w:rsidRPr="00F93834">
        <w:rPr>
          <w:bCs/>
          <w:snapToGrid w:val="0"/>
          <w:kern w:val="22"/>
          <w:szCs w:val="22"/>
          <w:lang w:val="fr-FR" w:eastAsia="ko-KR"/>
        </w:rPr>
        <w:t>, en se fondant sur les recommandations de l’Organe subsidiaire relatives aux tâches et aux responsabilités concernant la modification des AIEB existantes, et la description des nouvelles AIEB, comme le propose l’annexe aux recommandations, et de remettre le projet d</w:t>
      </w:r>
      <w:r>
        <w:rPr>
          <w:bCs/>
          <w:snapToGrid w:val="0"/>
          <w:kern w:val="22"/>
          <w:szCs w:val="22"/>
          <w:lang w:val="fr-FR" w:eastAsia="ko-KR"/>
        </w:rPr>
        <w:t xml:space="preserve">e révision aux fins d’examen par </w:t>
      </w:r>
      <w:r w:rsidRPr="00F93834">
        <w:rPr>
          <w:bCs/>
          <w:snapToGrid w:val="0"/>
          <w:kern w:val="22"/>
          <w:szCs w:val="22"/>
          <w:lang w:val="fr-FR" w:eastAsia="ko-KR"/>
        </w:rPr>
        <w:t>la Conférence des Parties à sa q</w:t>
      </w:r>
      <w:r>
        <w:rPr>
          <w:bCs/>
          <w:snapToGrid w:val="0"/>
          <w:kern w:val="22"/>
          <w:szCs w:val="22"/>
          <w:lang w:val="fr-FR" w:eastAsia="ko-KR"/>
        </w:rPr>
        <w:t>uatorzième réunion</w:t>
      </w:r>
      <w:r w:rsidRPr="00F93834">
        <w:rPr>
          <w:bCs/>
          <w:snapToGrid w:val="0"/>
          <w:spacing w:val="-1"/>
          <w:kern w:val="22"/>
          <w:szCs w:val="22"/>
          <w:lang w:val="fr-FR" w:eastAsia="ko-K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firstLine="720"/>
        <w:rPr>
          <w:bCs/>
          <w:snapToGrid w:val="0"/>
          <w:kern w:val="22"/>
          <w:szCs w:val="22"/>
          <w:lang w:val="fr-FR" w:eastAsia="ko-KR"/>
        </w:rPr>
      </w:pPr>
      <w:r w:rsidRPr="00F93834">
        <w:rPr>
          <w:bCs/>
          <w:snapToGrid w:val="0"/>
          <w:kern w:val="22"/>
          <w:szCs w:val="22"/>
          <w:lang w:val="fr-FR" w:eastAsia="ko-KR"/>
        </w:rPr>
        <w:t>3.</w:t>
      </w:r>
      <w:r w:rsidRPr="00F93834">
        <w:rPr>
          <w:bCs/>
          <w:snapToGrid w:val="0"/>
          <w:kern w:val="22"/>
          <w:szCs w:val="22"/>
          <w:lang w:val="fr-FR" w:eastAsia="ko-KR"/>
        </w:rPr>
        <w:tab/>
      </w:r>
      <w:r w:rsidRPr="00F93834">
        <w:rPr>
          <w:bCs/>
          <w:i/>
          <w:snapToGrid w:val="0"/>
          <w:kern w:val="22"/>
          <w:szCs w:val="22"/>
          <w:lang w:val="fr-FR" w:eastAsia="ko-KR"/>
        </w:rPr>
        <w:t xml:space="preserve">Recommande </w:t>
      </w:r>
      <w:r w:rsidRPr="00F93834">
        <w:rPr>
          <w:bCs/>
          <w:iCs/>
          <w:snapToGrid w:val="0"/>
          <w:kern w:val="22"/>
          <w:szCs w:val="22"/>
          <w:lang w:val="fr-FR" w:eastAsia="ko-KR"/>
        </w:rPr>
        <w:t>que la Conférence des Parties adopte</w:t>
      </w:r>
      <w:r>
        <w:rPr>
          <w:bCs/>
          <w:iCs/>
          <w:snapToGrid w:val="0"/>
          <w:kern w:val="22"/>
          <w:szCs w:val="22"/>
          <w:lang w:val="fr-FR" w:eastAsia="ko-KR"/>
        </w:rPr>
        <w:t>,</w:t>
      </w:r>
      <w:r w:rsidRPr="00F93834">
        <w:rPr>
          <w:bCs/>
          <w:iCs/>
          <w:snapToGrid w:val="0"/>
          <w:kern w:val="22"/>
          <w:szCs w:val="22"/>
          <w:lang w:val="fr-FR" w:eastAsia="ko-KR"/>
        </w:rPr>
        <w:t xml:space="preserve"> à sa quatorzième réunion</w:t>
      </w:r>
      <w:r>
        <w:rPr>
          <w:bCs/>
          <w:iCs/>
          <w:snapToGrid w:val="0"/>
          <w:kern w:val="22"/>
          <w:szCs w:val="22"/>
          <w:lang w:val="fr-FR" w:eastAsia="ko-KR"/>
        </w:rPr>
        <w:t>,</w:t>
      </w:r>
      <w:r w:rsidRPr="00F93834">
        <w:rPr>
          <w:bCs/>
          <w:iCs/>
          <w:snapToGrid w:val="0"/>
          <w:kern w:val="22"/>
          <w:szCs w:val="22"/>
          <w:lang w:val="fr-FR" w:eastAsia="ko-KR"/>
        </w:rPr>
        <w:t xml:space="preserve"> une décision selon la formulation suivante </w:t>
      </w:r>
      <w:r w:rsidRPr="00F93834">
        <w:rPr>
          <w:bCs/>
          <w:snapToGrid w:val="0"/>
          <w:kern w:val="22"/>
          <w:szCs w:val="22"/>
          <w:lang w:val="fr-FR" w:eastAsia="ko-K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bCs/>
          <w:i/>
          <w:snapToGrid w:val="0"/>
          <w:kern w:val="22"/>
          <w:szCs w:val="22"/>
          <w:lang w:val="fr-FR" w:eastAsia="ko-KR"/>
        </w:rPr>
      </w:pPr>
      <w:r w:rsidRPr="00F93834">
        <w:rPr>
          <w:bCs/>
          <w:i/>
          <w:snapToGrid w:val="0"/>
          <w:kern w:val="22"/>
          <w:szCs w:val="22"/>
          <w:lang w:val="fr-FR" w:eastAsia="ko-KR"/>
        </w:rPr>
        <w:t>La Conférence des Parties,</w:t>
      </w:r>
    </w:p>
    <w:p w:rsidR="009F6935" w:rsidRPr="00F93834" w:rsidRDefault="009F6935" w:rsidP="009F6935">
      <w:pPr>
        <w:pStyle w:val="Heading2"/>
        <w:keepNext w:val="0"/>
        <w:suppressLineNumbers/>
        <w:tabs>
          <w:tab w:val="clear" w:pos="720"/>
        </w:tabs>
        <w:suppressAutoHyphens/>
        <w:kinsoku w:val="0"/>
        <w:overflowPunct w:val="0"/>
        <w:autoSpaceDE w:val="0"/>
        <w:autoSpaceDN w:val="0"/>
        <w:adjustRightInd w:val="0"/>
        <w:snapToGrid w:val="0"/>
        <w:spacing w:before="0" w:after="0"/>
        <w:ind w:left="720"/>
        <w:rPr>
          <w:snapToGrid w:val="0"/>
          <w:kern w:val="22"/>
          <w:szCs w:val="22"/>
          <w:lang w:val="fr-FR"/>
        </w:rPr>
      </w:pPr>
      <w:bookmarkStart w:id="133" w:name="_Toc525904191"/>
      <w:bookmarkStart w:id="134" w:name="_Toc525904350"/>
      <w:bookmarkStart w:id="135" w:name="_Toc525904594"/>
      <w:r w:rsidRPr="00F93834">
        <w:rPr>
          <w:snapToGrid w:val="0"/>
          <w:kern w:val="22"/>
          <w:szCs w:val="22"/>
          <w:lang w:val="fr-FR"/>
        </w:rPr>
        <w:t>Aires marines d’importance écologique ou biologique</w:t>
      </w:r>
      <w:bookmarkEnd w:id="133"/>
      <w:bookmarkEnd w:id="134"/>
      <w:bookmarkEnd w:id="135"/>
    </w:p>
    <w:p w:rsidR="009F6935" w:rsidRPr="00F93834"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93834">
        <w:rPr>
          <w:i/>
          <w:kern w:val="22"/>
          <w:szCs w:val="22"/>
          <w:lang w:val="fr-FR"/>
        </w:rPr>
        <w:t>Réaffirmant</w:t>
      </w:r>
      <w:r w:rsidRPr="00F93834">
        <w:rPr>
          <w:iCs/>
          <w:kern w:val="22"/>
          <w:szCs w:val="22"/>
          <w:lang w:val="fr-FR"/>
        </w:rPr>
        <w:t xml:space="preserve"> les décisions </w:t>
      </w:r>
      <w:r w:rsidRPr="00F93834">
        <w:rPr>
          <w:kern w:val="22"/>
          <w:szCs w:val="22"/>
          <w:lang w:val="fr-FR"/>
        </w:rPr>
        <w:t>X/29, XI/17, XII/22</w:t>
      </w:r>
      <w:r>
        <w:rPr>
          <w:kern w:val="22"/>
          <w:szCs w:val="22"/>
          <w:lang w:val="fr-FR"/>
        </w:rPr>
        <w:t xml:space="preserve"> </w:t>
      </w:r>
      <w:r w:rsidRPr="00F93834">
        <w:rPr>
          <w:kern w:val="22"/>
          <w:szCs w:val="22"/>
          <w:lang w:val="fr-FR"/>
        </w:rPr>
        <w:t>et XIII/12 sur les aires marines d’importance écologique ou biologique,</w:t>
      </w:r>
    </w:p>
    <w:p w:rsidR="009F6935"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i/>
          <w:snapToGrid w:val="0"/>
          <w:kern w:val="22"/>
          <w:szCs w:val="22"/>
          <w:lang w:val="fr-FR"/>
        </w:rPr>
        <w:t>Rappelant</w:t>
      </w:r>
      <w:r w:rsidRPr="00F93834">
        <w:rPr>
          <w:iCs/>
          <w:snapToGrid w:val="0"/>
          <w:kern w:val="22"/>
          <w:szCs w:val="22"/>
          <w:lang w:val="fr-FR"/>
        </w:rPr>
        <w:t xml:space="preserve"> le rôle central de l’Assemblée générale des </w:t>
      </w:r>
      <w:r>
        <w:rPr>
          <w:iCs/>
          <w:snapToGrid w:val="0"/>
          <w:kern w:val="22"/>
          <w:szCs w:val="22"/>
          <w:lang w:val="fr-FR"/>
        </w:rPr>
        <w:t>Nations Unies dans la gestion</w:t>
      </w:r>
      <w:r w:rsidRPr="00F93834">
        <w:rPr>
          <w:iCs/>
          <w:snapToGrid w:val="0"/>
          <w:kern w:val="22"/>
          <w:szCs w:val="22"/>
          <w:lang w:val="fr-FR"/>
        </w:rPr>
        <w:t xml:space="preserve"> des questions relatives à la </w:t>
      </w:r>
      <w:r w:rsidRPr="00F93834">
        <w:rPr>
          <w:snapToGrid w:val="0"/>
          <w:kern w:val="22"/>
          <w:szCs w:val="22"/>
          <w:lang w:val="fr-FR"/>
        </w:rPr>
        <w:t>conservation et à l’utilisation durable de la diversité biologique dans les aires marines situées au-delà des limites de la juridiction nationale,</w:t>
      </w:r>
    </w:p>
    <w:p w:rsidR="009F6935" w:rsidRPr="00BA1B7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Pr>
          <w:i/>
          <w:snapToGrid w:val="0"/>
          <w:kern w:val="22"/>
          <w:szCs w:val="22"/>
          <w:lang w:val="fr-FR"/>
        </w:rPr>
        <w:t xml:space="preserve">[Rappelant </w:t>
      </w:r>
      <w:r>
        <w:rPr>
          <w:snapToGrid w:val="0"/>
          <w:kern w:val="22"/>
          <w:szCs w:val="22"/>
          <w:lang w:val="fr-FR"/>
        </w:rPr>
        <w:t>que la résolution 64/71 de l’Assemblée générale des Nations Unies réaffirme que la Convention des Nations Unies sur le droit de la mer établit le cadre juridique dans lequel toutes les activités des océans et des mers doivent se dérouler,]</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w:t>
      </w:r>
      <w:r w:rsidRPr="00F93834">
        <w:rPr>
          <w:snapToGrid w:val="0"/>
          <w:kern w:val="22"/>
          <w:szCs w:val="22"/>
          <w:lang w:val="fr-FR"/>
        </w:rPr>
        <w:tab/>
      </w:r>
      <w:r>
        <w:rPr>
          <w:i/>
          <w:snapToGrid w:val="0"/>
          <w:kern w:val="22"/>
          <w:szCs w:val="22"/>
          <w:lang w:val="fr-FR"/>
        </w:rPr>
        <w:t>Se félicite</w:t>
      </w:r>
      <w:r>
        <w:rPr>
          <w:iCs/>
          <w:snapToGrid w:val="0"/>
          <w:kern w:val="22"/>
          <w:szCs w:val="22"/>
          <w:lang w:val="fr-FR"/>
        </w:rPr>
        <w:t xml:space="preserve"> d</w:t>
      </w:r>
      <w:r w:rsidRPr="00F93834">
        <w:rPr>
          <w:iCs/>
          <w:snapToGrid w:val="0"/>
          <w:kern w:val="22"/>
          <w:szCs w:val="22"/>
          <w:lang w:val="fr-FR"/>
        </w:rPr>
        <w:t>es informations scientifiques et techniques contenues da</w:t>
      </w:r>
      <w:r>
        <w:rPr>
          <w:iCs/>
          <w:snapToGrid w:val="0"/>
          <w:kern w:val="22"/>
          <w:szCs w:val="22"/>
          <w:lang w:val="fr-FR"/>
        </w:rPr>
        <w:t>ns les rapports de synthèse figura</w:t>
      </w:r>
      <w:r w:rsidRPr="00F93834">
        <w:rPr>
          <w:iCs/>
          <w:snapToGrid w:val="0"/>
          <w:kern w:val="22"/>
          <w:szCs w:val="22"/>
          <w:lang w:val="fr-FR"/>
        </w:rPr>
        <w:t>nt à l’annexe du présent projet de décision</w:t>
      </w:r>
      <w:r w:rsidRPr="00285792">
        <w:rPr>
          <w:rStyle w:val="FootnoteReference"/>
          <w:iCs/>
          <w:snapToGrid w:val="0"/>
          <w:kern w:val="22"/>
          <w:sz w:val="20"/>
          <w:szCs w:val="20"/>
          <w:u w:val="none"/>
          <w:vertAlign w:val="superscript"/>
          <w:lang w:val="fr-FR"/>
        </w:rPr>
        <w:footnoteReference w:id="75"/>
      </w:r>
      <w:r w:rsidRPr="00F93834">
        <w:rPr>
          <w:iCs/>
          <w:snapToGrid w:val="0"/>
          <w:kern w:val="22"/>
          <w:szCs w:val="22"/>
          <w:lang w:val="fr-FR"/>
        </w:rPr>
        <w:t>, établis par l’Organe subsidiaire chargé de fournir des avis scientifiques, techniques et technologiques à s</w:t>
      </w:r>
      <w:r>
        <w:rPr>
          <w:iCs/>
          <w:snapToGrid w:val="0"/>
          <w:kern w:val="22"/>
          <w:szCs w:val="22"/>
          <w:lang w:val="fr-FR"/>
        </w:rPr>
        <w:t>a vingt-deuxième réunion, fondé</w:t>
      </w:r>
      <w:r w:rsidRPr="00F93834">
        <w:rPr>
          <w:iCs/>
          <w:snapToGrid w:val="0"/>
          <w:kern w:val="22"/>
          <w:szCs w:val="22"/>
          <w:lang w:val="fr-FR"/>
        </w:rPr>
        <w:t>s sur les rapports des deux a</w:t>
      </w:r>
      <w:r>
        <w:rPr>
          <w:iCs/>
          <w:snapToGrid w:val="0"/>
          <w:kern w:val="22"/>
          <w:szCs w:val="22"/>
          <w:lang w:val="fr-FR"/>
        </w:rPr>
        <w:t>teliers régionaux portant sur la description d</w:t>
      </w:r>
      <w:r w:rsidRPr="00F93834">
        <w:rPr>
          <w:iCs/>
          <w:snapToGrid w:val="0"/>
          <w:kern w:val="22"/>
          <w:szCs w:val="22"/>
          <w:lang w:val="fr-FR"/>
        </w:rPr>
        <w:t>es aires marines d’importance écologique ou biologique de la mer Noire, de la mer Caspienne et de la mer Baltique</w:t>
      </w:r>
      <w:r w:rsidRPr="00285792">
        <w:rPr>
          <w:rStyle w:val="FootnoteReference"/>
          <w:rFonts w:eastAsiaTheme="majorEastAsia"/>
          <w:snapToGrid w:val="0"/>
          <w:kern w:val="22"/>
          <w:sz w:val="20"/>
          <w:szCs w:val="20"/>
          <w:u w:val="none"/>
          <w:vertAlign w:val="superscript"/>
          <w:lang w:val="fr-FR"/>
        </w:rPr>
        <w:footnoteReference w:id="76"/>
      </w:r>
      <w:r w:rsidRPr="00F93834">
        <w:rPr>
          <w:iCs/>
          <w:snapToGrid w:val="0"/>
          <w:kern w:val="22"/>
          <w:szCs w:val="22"/>
          <w:lang w:val="fr-FR"/>
        </w:rPr>
        <w:t xml:space="preserve">, et </w:t>
      </w:r>
      <w:r w:rsidRPr="00F93834">
        <w:rPr>
          <w:i/>
          <w:snapToGrid w:val="0"/>
          <w:kern w:val="22"/>
          <w:szCs w:val="22"/>
          <w:lang w:val="fr-FR"/>
        </w:rPr>
        <w:t>prie</w:t>
      </w:r>
      <w:r w:rsidRPr="00F93834">
        <w:rPr>
          <w:iCs/>
          <w:snapToGrid w:val="0"/>
          <w:kern w:val="22"/>
          <w:szCs w:val="22"/>
          <w:lang w:val="fr-FR"/>
        </w:rPr>
        <w:t xml:space="preserve"> la Secrétaire exécutive d’inclure les rapports de synthèse dans le registre des AIEB, et de présenter ces rapports à l’Assemblée générale des Nations Unies, à ses p</w:t>
      </w:r>
      <w:r>
        <w:rPr>
          <w:iCs/>
          <w:snapToGrid w:val="0"/>
          <w:kern w:val="22"/>
          <w:szCs w:val="22"/>
          <w:lang w:val="fr-FR"/>
        </w:rPr>
        <w:t>rocessus concernés</w:t>
      </w:r>
      <w:r w:rsidRPr="00F93834">
        <w:rPr>
          <w:iCs/>
          <w:snapToGrid w:val="0"/>
          <w:kern w:val="22"/>
          <w:szCs w:val="22"/>
          <w:lang w:val="fr-FR"/>
        </w:rPr>
        <w:t xml:space="preserve">, aux </w:t>
      </w:r>
      <w:r w:rsidRPr="00F93834">
        <w:rPr>
          <w:snapToGrid w:val="0"/>
          <w:kern w:val="22"/>
          <w:szCs w:val="22"/>
          <w:lang w:val="fr-FR"/>
        </w:rPr>
        <w:t>Parties, aux autres gouvernements et aux organi</w:t>
      </w:r>
      <w:r>
        <w:rPr>
          <w:snapToGrid w:val="0"/>
          <w:kern w:val="22"/>
          <w:szCs w:val="22"/>
          <w:lang w:val="fr-FR"/>
        </w:rPr>
        <w:t>sations internationales compétent</w:t>
      </w:r>
      <w:r w:rsidRPr="00F93834">
        <w:rPr>
          <w:snapToGrid w:val="0"/>
          <w:kern w:val="22"/>
          <w:szCs w:val="22"/>
          <w:lang w:val="fr-FR"/>
        </w:rPr>
        <w:t xml:space="preserve">es, conformément à l’objectif et aux procédures énoncées dans les décisions </w:t>
      </w:r>
      <w:hyperlink r:id="rId21" w:history="1">
        <w:r w:rsidRPr="00F93834">
          <w:rPr>
            <w:rStyle w:val="Hyperlink"/>
            <w:snapToGrid w:val="0"/>
            <w:kern w:val="22"/>
            <w:szCs w:val="22"/>
            <w:lang w:val="fr-FR"/>
          </w:rPr>
          <w:t>X/29</w:t>
        </w:r>
      </w:hyperlink>
      <w:r w:rsidRPr="00F93834">
        <w:rPr>
          <w:snapToGrid w:val="0"/>
          <w:kern w:val="22"/>
          <w:szCs w:val="22"/>
          <w:lang w:val="fr-FR"/>
        </w:rPr>
        <w:t xml:space="preserve">, </w:t>
      </w:r>
      <w:hyperlink r:id="rId22" w:history="1">
        <w:r w:rsidRPr="00F93834">
          <w:rPr>
            <w:rStyle w:val="Hyperlink"/>
            <w:snapToGrid w:val="0"/>
            <w:kern w:val="22"/>
            <w:szCs w:val="22"/>
            <w:lang w:val="fr-FR"/>
          </w:rPr>
          <w:t>XI/17</w:t>
        </w:r>
      </w:hyperlink>
      <w:r w:rsidRPr="00F93834">
        <w:rPr>
          <w:snapToGrid w:val="0"/>
          <w:kern w:val="22"/>
          <w:szCs w:val="22"/>
          <w:lang w:val="fr-FR"/>
        </w:rPr>
        <w:t xml:space="preserve">, </w:t>
      </w:r>
      <w:hyperlink r:id="rId23" w:history="1">
        <w:r w:rsidRPr="00F93834">
          <w:rPr>
            <w:rStyle w:val="Hyperlink"/>
            <w:snapToGrid w:val="0"/>
            <w:kern w:val="22"/>
            <w:szCs w:val="22"/>
            <w:lang w:val="fr-FR"/>
          </w:rPr>
          <w:t>XII/22</w:t>
        </w:r>
      </w:hyperlink>
      <w:r w:rsidRPr="00F93834">
        <w:rPr>
          <w:snapToGrid w:val="0"/>
          <w:kern w:val="22"/>
          <w:szCs w:val="22"/>
          <w:lang w:val="fr-FR"/>
        </w:rPr>
        <w:t xml:space="preserve"> et </w:t>
      </w:r>
      <w:hyperlink r:id="rId24" w:history="1">
        <w:r w:rsidRPr="00F93834">
          <w:rPr>
            <w:rStyle w:val="Hyperlink"/>
            <w:snapToGrid w:val="0"/>
            <w:kern w:val="22"/>
            <w:szCs w:val="22"/>
            <w:lang w:val="fr-FR"/>
          </w:rPr>
          <w:t>XIII/12</w:t>
        </w:r>
      </w:hyperlink>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2.</w:t>
      </w:r>
      <w:r w:rsidRPr="00F93834">
        <w:rPr>
          <w:snapToGrid w:val="0"/>
          <w:kern w:val="22"/>
          <w:szCs w:val="22"/>
          <w:lang w:val="fr-FR"/>
        </w:rPr>
        <w:tab/>
      </w:r>
      <w:r>
        <w:rPr>
          <w:i/>
          <w:snapToGrid w:val="0"/>
          <w:kern w:val="22"/>
          <w:szCs w:val="22"/>
          <w:lang w:val="fr-FR"/>
        </w:rPr>
        <w:t>Se félicite également</w:t>
      </w:r>
      <w:r>
        <w:rPr>
          <w:iCs/>
          <w:snapToGrid w:val="0"/>
          <w:kern w:val="22"/>
          <w:szCs w:val="22"/>
          <w:lang w:val="fr-FR"/>
        </w:rPr>
        <w:t xml:space="preserve"> du</w:t>
      </w:r>
      <w:r w:rsidRPr="00F93834">
        <w:rPr>
          <w:iCs/>
          <w:snapToGrid w:val="0"/>
          <w:kern w:val="22"/>
          <w:szCs w:val="22"/>
          <w:lang w:val="fr-FR"/>
        </w:rPr>
        <w:t xml:space="preserve"> rapport de l’atelier </w:t>
      </w:r>
      <w:r>
        <w:rPr>
          <w:iCs/>
          <w:snapToGrid w:val="0"/>
          <w:kern w:val="22"/>
          <w:szCs w:val="22"/>
          <w:lang w:val="fr-FR"/>
        </w:rPr>
        <w:t>d’experts sur l’élaboration d’</w:t>
      </w:r>
      <w:r w:rsidRPr="00F93834">
        <w:rPr>
          <w:iCs/>
          <w:snapToGrid w:val="0"/>
          <w:kern w:val="22"/>
          <w:szCs w:val="22"/>
          <w:lang w:val="fr-FR"/>
        </w:rPr>
        <w:t>options permettant de modifier la description des aires marines d’importance écolog</w:t>
      </w:r>
      <w:r>
        <w:rPr>
          <w:iCs/>
          <w:snapToGrid w:val="0"/>
          <w:kern w:val="22"/>
          <w:szCs w:val="22"/>
          <w:lang w:val="fr-FR"/>
        </w:rPr>
        <w:t>ique ou biologique, de décrire d</w:t>
      </w:r>
      <w:r w:rsidRPr="00F93834">
        <w:rPr>
          <w:iCs/>
          <w:snapToGrid w:val="0"/>
          <w:kern w:val="22"/>
          <w:szCs w:val="22"/>
          <w:lang w:val="fr-FR"/>
        </w:rPr>
        <w:t>es nouvelles aires et de renforcer la crédibilité scientifique et la transparence de ce processus</w:t>
      </w:r>
      <w:r w:rsidRPr="00010EA0">
        <w:rPr>
          <w:rStyle w:val="FootnoteReference"/>
          <w:rFonts w:eastAsiaTheme="majorEastAsia"/>
          <w:snapToGrid w:val="0"/>
          <w:kern w:val="22"/>
          <w:sz w:val="20"/>
          <w:szCs w:val="20"/>
          <w:u w:val="none"/>
          <w:vertAlign w:val="superscript"/>
          <w:lang w:val="fr-FR"/>
        </w:rPr>
        <w:footnoteReference w:id="77"/>
      </w:r>
      <w:r w:rsidRPr="00F93834">
        <w:rPr>
          <w:iCs/>
          <w:snapToGrid w:val="0"/>
          <w:kern w:val="22"/>
          <w:szCs w:val="22"/>
          <w:lang w:val="fr-FR"/>
        </w:rPr>
        <w:t>,</w:t>
      </w:r>
      <w:r w:rsidRPr="00F93834">
        <w:rPr>
          <w:snapToGrid w:val="0"/>
          <w:kern w:val="22"/>
          <w:szCs w:val="22"/>
          <w:lang w:val="fr-FR"/>
        </w:rPr>
        <w:t xml:space="preserve"> </w:t>
      </w:r>
      <w:r>
        <w:rPr>
          <w:snapToGrid w:val="0"/>
          <w:kern w:val="22"/>
          <w:szCs w:val="22"/>
          <w:lang w:val="fr-FR"/>
        </w:rPr>
        <w:t xml:space="preserve">qui s’est </w:t>
      </w:r>
      <w:r w:rsidRPr="00F93834">
        <w:rPr>
          <w:iCs/>
          <w:snapToGrid w:val="0"/>
          <w:kern w:val="22"/>
          <w:szCs w:val="22"/>
          <w:lang w:val="fr-FR"/>
        </w:rPr>
        <w:t>tenu à Berlin du 5 au 8 dé</w:t>
      </w:r>
      <w:r>
        <w:rPr>
          <w:iCs/>
          <w:snapToGrid w:val="0"/>
          <w:kern w:val="22"/>
          <w:szCs w:val="22"/>
          <w:lang w:val="fr-FR"/>
        </w:rPr>
        <w:t>cembre 2017, et [</w:t>
      </w:r>
      <w:r>
        <w:rPr>
          <w:i/>
          <w:snapToGrid w:val="0"/>
          <w:kern w:val="22"/>
          <w:szCs w:val="22"/>
          <w:lang w:val="fr-FR"/>
        </w:rPr>
        <w:t>approuve</w:t>
      </w:r>
      <w:r>
        <w:rPr>
          <w:iCs/>
          <w:snapToGrid w:val="0"/>
          <w:kern w:val="22"/>
          <w:szCs w:val="22"/>
          <w:lang w:val="fr-FR"/>
        </w:rPr>
        <w:t>]</w:t>
      </w:r>
      <w:r w:rsidRPr="00F93834">
        <w:rPr>
          <w:iCs/>
          <w:snapToGrid w:val="0"/>
          <w:kern w:val="22"/>
          <w:szCs w:val="22"/>
          <w:lang w:val="fr-FR"/>
        </w:rPr>
        <w:t xml:space="preserve"> </w:t>
      </w:r>
      <w:r>
        <w:rPr>
          <w:iCs/>
          <w:snapToGrid w:val="0"/>
          <w:kern w:val="22"/>
          <w:szCs w:val="22"/>
          <w:lang w:val="fr-FR"/>
        </w:rPr>
        <w:t>[</w:t>
      </w:r>
      <w:r w:rsidRPr="00F93834">
        <w:rPr>
          <w:i/>
          <w:snapToGrid w:val="0"/>
          <w:kern w:val="22"/>
          <w:szCs w:val="22"/>
          <w:lang w:val="fr-FR"/>
        </w:rPr>
        <w:t>prend acte</w:t>
      </w:r>
      <w:r w:rsidRPr="00F93834">
        <w:rPr>
          <w:iCs/>
          <w:snapToGrid w:val="0"/>
          <w:kern w:val="22"/>
          <w:szCs w:val="22"/>
          <w:lang w:val="fr-FR"/>
        </w:rPr>
        <w:t xml:space="preserve"> </w:t>
      </w:r>
      <w:r w:rsidRPr="00F93834">
        <w:rPr>
          <w:i/>
          <w:snapToGrid w:val="0"/>
          <w:kern w:val="22"/>
          <w:szCs w:val="22"/>
          <w:lang w:val="fr-FR"/>
        </w:rPr>
        <w:t>de</w:t>
      </w:r>
      <w:r>
        <w:rPr>
          <w:iCs/>
          <w:snapToGrid w:val="0"/>
          <w:kern w:val="22"/>
          <w:szCs w:val="22"/>
          <w:lang w:val="fr-FR"/>
        </w:rPr>
        <w:t>] la série d’options figurant dans l’annexe à</w:t>
      </w:r>
      <w:r w:rsidRPr="00F93834">
        <w:rPr>
          <w:iCs/>
          <w:snapToGrid w:val="0"/>
          <w:kern w:val="22"/>
          <w:szCs w:val="22"/>
          <w:lang w:val="fr-FR"/>
        </w:rPr>
        <w:t xml:space="preserve"> la </w:t>
      </w:r>
      <w:r>
        <w:rPr>
          <w:iCs/>
          <w:snapToGrid w:val="0"/>
          <w:kern w:val="22"/>
          <w:szCs w:val="22"/>
          <w:lang w:val="fr-FR"/>
        </w:rPr>
        <w:t xml:space="preserve">présente </w:t>
      </w:r>
      <w:r w:rsidRPr="00F93834">
        <w:rPr>
          <w:iCs/>
          <w:snapToGrid w:val="0"/>
          <w:kern w:val="22"/>
          <w:szCs w:val="22"/>
          <w:lang w:val="fr-FR"/>
        </w:rPr>
        <w:t>décision;</w:t>
      </w:r>
    </w:p>
    <w:p w:rsidR="009F6935" w:rsidRPr="00F93834"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93834">
        <w:rPr>
          <w:kern w:val="22"/>
          <w:szCs w:val="22"/>
          <w:lang w:val="fr-FR"/>
        </w:rPr>
        <w:t>3.</w:t>
      </w:r>
      <w:r w:rsidRPr="00F93834">
        <w:rPr>
          <w:kern w:val="22"/>
          <w:szCs w:val="22"/>
          <w:lang w:val="fr-FR"/>
        </w:rPr>
        <w:tab/>
      </w:r>
      <w:r w:rsidRPr="00F93834">
        <w:rPr>
          <w:i/>
          <w:kern w:val="22"/>
          <w:szCs w:val="22"/>
          <w:lang w:val="fr-FR"/>
        </w:rPr>
        <w:t>Prie</w:t>
      </w:r>
      <w:r w:rsidRPr="00F93834">
        <w:rPr>
          <w:iCs/>
          <w:kern w:val="22"/>
          <w:szCs w:val="22"/>
          <w:lang w:val="fr-FR"/>
        </w:rPr>
        <w:t xml:space="preserve"> la Secrétaire exécutive de collaborer avec les </w:t>
      </w:r>
      <w:r w:rsidRPr="00F93834">
        <w:rPr>
          <w:kern w:val="22"/>
          <w:szCs w:val="22"/>
          <w:lang w:val="fr-FR"/>
        </w:rPr>
        <w:t>Parties, les autres gouvernements et les organisations concernées, afin de faciliter la mise en œuvre de cette sér</w:t>
      </w:r>
      <w:r>
        <w:rPr>
          <w:kern w:val="22"/>
          <w:szCs w:val="22"/>
          <w:lang w:val="fr-FR"/>
        </w:rPr>
        <w:t>ie d’options, en fournissant un appui scientifique et technique</w:t>
      </w:r>
      <w:r w:rsidRPr="00F93834">
        <w:rPr>
          <w:kern w:val="22"/>
          <w:szCs w:val="22"/>
          <w:lang w:val="fr-FR"/>
        </w:rPr>
        <w:t xml:space="preserve"> aux Parties, aux autres gouvernements et aux organisations in</w:t>
      </w:r>
      <w:r>
        <w:rPr>
          <w:kern w:val="22"/>
          <w:szCs w:val="22"/>
          <w:lang w:val="fr-FR"/>
        </w:rPr>
        <w:t>tergouvernementales compétentes, selon qu’il convient</w:t>
      </w:r>
      <w:r w:rsidRPr="00F93834">
        <w:rPr>
          <w:kern w:val="22"/>
          <w:szCs w:val="22"/>
          <w:lang w:val="fr-FR"/>
        </w:rPr>
        <w:t>;</w:t>
      </w:r>
    </w:p>
    <w:p w:rsidR="009F6935" w:rsidRPr="00F93834"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kern w:val="22"/>
          <w:szCs w:val="22"/>
          <w:lang w:val="fr-FR"/>
        </w:rPr>
      </w:pPr>
      <w:r w:rsidRPr="00F93834">
        <w:rPr>
          <w:kern w:val="22"/>
          <w:szCs w:val="22"/>
          <w:lang w:val="fr-FR"/>
        </w:rPr>
        <w:lastRenderedPageBreak/>
        <w:t>4.</w:t>
      </w:r>
      <w:r w:rsidRPr="00F93834">
        <w:rPr>
          <w:kern w:val="22"/>
          <w:szCs w:val="22"/>
          <w:lang w:val="fr-FR"/>
        </w:rPr>
        <w:tab/>
      </w:r>
      <w:r w:rsidRPr="00EF19F0">
        <w:rPr>
          <w:i/>
          <w:kern w:val="22"/>
          <w:szCs w:val="22"/>
          <w:lang w:val="fr-FR"/>
        </w:rPr>
        <w:t>Préconise</w:t>
      </w:r>
      <w:r>
        <w:rPr>
          <w:kern w:val="22"/>
          <w:szCs w:val="22"/>
          <w:lang w:val="fr-FR"/>
        </w:rPr>
        <w:t xml:space="preserve"> un renforcement de la collaboration et du partage d</w:t>
      </w:r>
      <w:r w:rsidRPr="00F93834">
        <w:rPr>
          <w:kern w:val="22"/>
          <w:szCs w:val="22"/>
          <w:lang w:val="fr-FR"/>
        </w:rPr>
        <w:t>’in</w:t>
      </w:r>
      <w:r>
        <w:rPr>
          <w:kern w:val="22"/>
          <w:szCs w:val="22"/>
          <w:lang w:val="fr-FR"/>
        </w:rPr>
        <w:t>formation entre</w:t>
      </w:r>
      <w:r w:rsidRPr="00F93834">
        <w:rPr>
          <w:kern w:val="22"/>
          <w:szCs w:val="22"/>
          <w:lang w:val="fr-FR"/>
        </w:rPr>
        <w:t xml:space="preserve"> le Secrétariat de la Convention sur la </w:t>
      </w:r>
      <w:r w:rsidRPr="00F93834">
        <w:rPr>
          <w:kern w:val="22"/>
          <w:lang w:val="fr-FR"/>
        </w:rPr>
        <w:t>diversité biologique</w:t>
      </w:r>
      <w:r w:rsidRPr="00F93834">
        <w:rPr>
          <w:kern w:val="22"/>
          <w:szCs w:val="22"/>
          <w:lang w:val="fr-FR"/>
        </w:rPr>
        <w:t>, l’Organisation pour l’alimentation et l’agriculture, l’Organ</w:t>
      </w:r>
      <w:r>
        <w:rPr>
          <w:kern w:val="22"/>
          <w:szCs w:val="22"/>
          <w:lang w:val="fr-FR"/>
        </w:rPr>
        <w:t>isation maritime internationale et</w:t>
      </w:r>
      <w:r w:rsidRPr="00F93834">
        <w:rPr>
          <w:kern w:val="22"/>
          <w:szCs w:val="22"/>
          <w:lang w:val="fr-FR"/>
        </w:rPr>
        <w:t xml:space="preserve"> l’Autorité internationale des fonds marins, </w:t>
      </w:r>
      <w:r>
        <w:rPr>
          <w:kern w:val="22"/>
          <w:szCs w:val="22"/>
          <w:lang w:val="fr-FR"/>
        </w:rPr>
        <w:t xml:space="preserve">ainsi que </w:t>
      </w:r>
      <w:r w:rsidRPr="00F93834">
        <w:rPr>
          <w:kern w:val="22"/>
          <w:szCs w:val="22"/>
          <w:lang w:val="fr-FR"/>
        </w:rPr>
        <w:t xml:space="preserve">les </w:t>
      </w:r>
      <w:r>
        <w:rPr>
          <w:kern w:val="22"/>
          <w:lang w:val="fr-FR"/>
        </w:rPr>
        <w:t>organismes régionaux de gestion de la pêche</w:t>
      </w:r>
      <w:r w:rsidRPr="00F93834">
        <w:rPr>
          <w:kern w:val="22"/>
          <w:lang w:val="fr-FR"/>
        </w:rPr>
        <w:t>, les convention</w:t>
      </w:r>
      <w:r>
        <w:rPr>
          <w:kern w:val="22"/>
          <w:lang w:val="fr-FR"/>
        </w:rPr>
        <w:t>s et plans d’action concernant les mers régionales et</w:t>
      </w:r>
      <w:r w:rsidRPr="00F93834">
        <w:rPr>
          <w:kern w:val="22"/>
          <w:lang w:val="fr-FR"/>
        </w:rPr>
        <w:t xml:space="preserve"> d’autres organisations internationales compétentes, au sujet de l’utilisation des informations scientifiques relatives aux aires marines d’importance écologique ou biologique, en appliquant les outils de gestion par zone, afin de c</w:t>
      </w:r>
      <w:r>
        <w:rPr>
          <w:kern w:val="22"/>
          <w:lang w:val="fr-FR"/>
        </w:rPr>
        <w:t>ontribuer à la réalisation des O</w:t>
      </w:r>
      <w:r w:rsidRPr="00F93834">
        <w:rPr>
          <w:kern w:val="22"/>
          <w:lang w:val="fr-FR"/>
        </w:rPr>
        <w:t>bjectif</w:t>
      </w:r>
      <w:r>
        <w:rPr>
          <w:kern w:val="22"/>
          <w:lang w:val="fr-FR"/>
        </w:rPr>
        <w:t xml:space="preserve">s d’Aichi pour </w:t>
      </w:r>
      <w:r w:rsidRPr="00F93834">
        <w:rPr>
          <w:kern w:val="22"/>
          <w:lang w:val="fr-FR"/>
        </w:rPr>
        <w:t xml:space="preserve">la </w:t>
      </w:r>
      <w:r>
        <w:rPr>
          <w:kern w:val="22"/>
          <w:lang w:val="fr-FR"/>
        </w:rPr>
        <w:t>biodiversité et des O</w:t>
      </w:r>
      <w:r w:rsidRPr="00F93834">
        <w:rPr>
          <w:kern w:val="22"/>
          <w:lang w:val="fr-FR"/>
        </w:rPr>
        <w:t>bjectifs de d</w:t>
      </w:r>
      <w:r>
        <w:rPr>
          <w:kern w:val="22"/>
          <w:lang w:val="fr-FR"/>
        </w:rPr>
        <w:t>éveloppement durable pertinents</w:t>
      </w:r>
      <w:r w:rsidRPr="00F93834">
        <w:rPr>
          <w:kern w:val="22"/>
          <w:szCs w:val="22"/>
          <w:lang w:val="fr-FR"/>
        </w:rPr>
        <w:t>;</w:t>
      </w:r>
    </w:p>
    <w:p w:rsidR="009F6935" w:rsidRPr="00F93834" w:rsidRDefault="009F6935" w:rsidP="009F6935">
      <w:pPr>
        <w:pStyle w:val="Para1"/>
        <w:numPr>
          <w:ilvl w:val="0"/>
          <w:numId w:val="0"/>
        </w:numPr>
        <w:suppressLineNumbers/>
        <w:suppressAutoHyphens/>
        <w:kinsoku w:val="0"/>
        <w:overflowPunct w:val="0"/>
        <w:autoSpaceDE w:val="0"/>
        <w:autoSpaceDN w:val="0"/>
        <w:adjustRightInd w:val="0"/>
        <w:snapToGrid w:val="0"/>
        <w:spacing w:after="240"/>
        <w:ind w:left="720" w:firstLine="720"/>
        <w:rPr>
          <w:kern w:val="22"/>
          <w:szCs w:val="22"/>
          <w:lang w:val="fr-FR"/>
        </w:rPr>
      </w:pPr>
      <w:r w:rsidRPr="00F93834">
        <w:rPr>
          <w:kern w:val="22"/>
          <w:szCs w:val="22"/>
          <w:lang w:val="fr-FR"/>
        </w:rPr>
        <w:t xml:space="preserve">5. </w:t>
      </w:r>
      <w:r w:rsidRPr="00F93834">
        <w:rPr>
          <w:kern w:val="22"/>
          <w:szCs w:val="22"/>
          <w:lang w:val="fr-FR"/>
        </w:rPr>
        <w:tab/>
      </w:r>
      <w:r w:rsidRPr="00F93834">
        <w:rPr>
          <w:i/>
          <w:kern w:val="22"/>
          <w:szCs w:val="22"/>
          <w:lang w:val="fr-FR"/>
        </w:rPr>
        <w:t xml:space="preserve">Réaffirme </w:t>
      </w:r>
      <w:r w:rsidRPr="00F93834">
        <w:rPr>
          <w:iCs/>
          <w:kern w:val="22"/>
          <w:szCs w:val="22"/>
          <w:lang w:val="fr-FR"/>
        </w:rPr>
        <w:t xml:space="preserve">que le partage des résultats du processus établi au titre de la </w:t>
      </w:r>
      <w:r w:rsidRPr="00F93834">
        <w:rPr>
          <w:kern w:val="22"/>
          <w:szCs w:val="22"/>
          <w:lang w:val="fr-FR"/>
        </w:rPr>
        <w:t xml:space="preserve">Convention pour la description des aires qui répondent aux critères des aires marines d’importance écologique ou biologique </w:t>
      </w:r>
      <w:r w:rsidRPr="00F93834">
        <w:rPr>
          <w:kern w:val="22"/>
          <w:lang w:val="fr-FR"/>
        </w:rPr>
        <w:t>s’applique sans préjudice de la souveraineté, des droits souverains ou de la juridiction des États côtier</w:t>
      </w:r>
      <w:r>
        <w:rPr>
          <w:kern w:val="22"/>
          <w:lang w:val="fr-FR"/>
        </w:rPr>
        <w:t>s, ou des droits d’autres États</w:t>
      </w:r>
      <w:r w:rsidRPr="00F93834">
        <w:rPr>
          <w:kern w:val="22"/>
          <w:szCs w:val="22"/>
          <w:lang w:val="fr-FR"/>
        </w:rPr>
        <w:t>;</w:t>
      </w:r>
    </w:p>
    <w:p w:rsidR="009F6935" w:rsidRPr="00F93834" w:rsidRDefault="009F6935" w:rsidP="009F6935">
      <w:pPr>
        <w:pStyle w:val="Heading2"/>
        <w:keepNext w:val="0"/>
        <w:suppressLineNumbers/>
        <w:tabs>
          <w:tab w:val="clear" w:pos="720"/>
        </w:tabs>
        <w:suppressAutoHyphens/>
        <w:kinsoku w:val="0"/>
        <w:overflowPunct w:val="0"/>
        <w:autoSpaceDE w:val="0"/>
        <w:autoSpaceDN w:val="0"/>
        <w:adjustRightInd w:val="0"/>
        <w:snapToGrid w:val="0"/>
        <w:spacing w:before="0" w:after="0"/>
        <w:ind w:left="709"/>
        <w:rPr>
          <w:caps/>
          <w:snapToGrid w:val="0"/>
          <w:kern w:val="22"/>
          <w:szCs w:val="22"/>
          <w:lang w:val="fr-FR"/>
        </w:rPr>
      </w:pPr>
      <w:bookmarkStart w:id="136" w:name="_Toc525904192"/>
      <w:bookmarkStart w:id="137" w:name="_Toc525904351"/>
      <w:bookmarkStart w:id="138" w:name="_Toc525904595"/>
      <w:r w:rsidRPr="00F93834">
        <w:rPr>
          <w:snapToGrid w:val="0"/>
          <w:kern w:val="22"/>
          <w:szCs w:val="22"/>
          <w:lang w:val="fr-FR"/>
        </w:rPr>
        <w:t>Questions diverses</w:t>
      </w:r>
      <w:bookmarkEnd w:id="136"/>
      <w:bookmarkEnd w:id="137"/>
      <w:bookmarkEnd w:id="138"/>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6.</w:t>
      </w:r>
      <w:r w:rsidRPr="00F93834">
        <w:rPr>
          <w:i/>
          <w:snapToGrid w:val="0"/>
          <w:kern w:val="22"/>
          <w:szCs w:val="22"/>
          <w:lang w:val="fr-FR"/>
        </w:rPr>
        <w:tab/>
        <w:t>Prend acte</w:t>
      </w:r>
      <w:r>
        <w:rPr>
          <w:iCs/>
          <w:snapToGrid w:val="0"/>
          <w:kern w:val="22"/>
          <w:szCs w:val="22"/>
          <w:lang w:val="fr-FR"/>
        </w:rPr>
        <w:t xml:space="preserve"> des travaux continus menés par</w:t>
      </w:r>
      <w:r w:rsidRPr="00F93834">
        <w:rPr>
          <w:iCs/>
          <w:snapToGrid w:val="0"/>
          <w:kern w:val="22"/>
          <w:szCs w:val="22"/>
          <w:lang w:val="fr-FR"/>
        </w:rPr>
        <w:t xml:space="preserve"> la Secrétaire exécutive sur la </w:t>
      </w:r>
      <w:r w:rsidRPr="00F93834">
        <w:rPr>
          <w:snapToGrid w:val="0"/>
          <w:kern w:val="22"/>
          <w:szCs w:val="22"/>
          <w:lang w:val="fr-FR"/>
        </w:rPr>
        <w:t>compilation et la syn</w:t>
      </w:r>
      <w:r>
        <w:rPr>
          <w:snapToGrid w:val="0"/>
          <w:kern w:val="22"/>
          <w:szCs w:val="22"/>
          <w:lang w:val="fr-FR"/>
        </w:rPr>
        <w:t>thèse des informations concernant</w:t>
      </w:r>
      <w:r w:rsidRPr="00F93834">
        <w:rPr>
          <w:snapToGrid w:val="0"/>
          <w:kern w:val="22"/>
          <w:szCs w:val="22"/>
          <w:lang w:val="fr-FR"/>
        </w:rPr>
        <w:t> :</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a)</w:t>
      </w:r>
      <w:r w:rsidRPr="00F93834">
        <w:rPr>
          <w:snapToGrid w:val="0"/>
          <w:kern w:val="22"/>
          <w:szCs w:val="22"/>
          <w:lang w:val="fr-FR"/>
        </w:rPr>
        <w:tab/>
      </w:r>
      <w:r>
        <w:rPr>
          <w:snapToGrid w:val="0"/>
          <w:kern w:val="22"/>
          <w:szCs w:val="22"/>
          <w:lang w:val="fr-FR"/>
        </w:rPr>
        <w:t xml:space="preserve">Les </w:t>
      </w:r>
      <w:r w:rsidRPr="00F93834">
        <w:rPr>
          <w:snapToGrid w:val="0"/>
          <w:kern w:val="22"/>
          <w:szCs w:val="22"/>
          <w:lang w:val="fr-FR"/>
        </w:rPr>
        <w:t>incidences du bruit sous-marin d’origine anthropique sur la diversité biol</w:t>
      </w:r>
      <w:r>
        <w:rPr>
          <w:snapToGrid w:val="0"/>
          <w:kern w:val="22"/>
          <w:szCs w:val="22"/>
          <w:lang w:val="fr-FR"/>
        </w:rPr>
        <w:t>ogique marine et côtière, et les</w:t>
      </w:r>
      <w:r w:rsidRPr="00F93834">
        <w:rPr>
          <w:snapToGrid w:val="0"/>
          <w:kern w:val="22"/>
          <w:szCs w:val="22"/>
          <w:lang w:val="fr-FR"/>
        </w:rPr>
        <w:t xml:space="preserve"> moyens de</w:t>
      </w:r>
      <w:r>
        <w:rPr>
          <w:snapToGrid w:val="0"/>
          <w:kern w:val="22"/>
          <w:szCs w:val="22"/>
          <w:lang w:val="fr-FR"/>
        </w:rPr>
        <w:t xml:space="preserve"> les réduire et de les atténuer</w:t>
      </w:r>
      <w:r w:rsidRPr="00010EA0">
        <w:rPr>
          <w:rStyle w:val="FootnoteReference"/>
          <w:snapToGrid w:val="0"/>
          <w:kern w:val="22"/>
          <w:sz w:val="20"/>
          <w:szCs w:val="20"/>
          <w:u w:val="none"/>
          <w:vertAlign w:val="superscript"/>
          <w:lang w:val="fr-FR"/>
        </w:rPr>
        <w:footnoteReference w:id="78"/>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240"/>
        <w:ind w:left="720" w:firstLine="720"/>
        <w:rPr>
          <w:snapToGrid w:val="0"/>
          <w:kern w:val="22"/>
          <w:szCs w:val="22"/>
          <w:lang w:val="fr-FR"/>
        </w:rPr>
      </w:pPr>
      <w:r w:rsidRPr="00F93834">
        <w:rPr>
          <w:snapToGrid w:val="0"/>
          <w:kern w:val="22"/>
          <w:szCs w:val="22"/>
          <w:lang w:val="fr-FR"/>
        </w:rPr>
        <w:t>b)</w:t>
      </w:r>
      <w:r w:rsidRPr="00F93834">
        <w:rPr>
          <w:snapToGrid w:val="0"/>
          <w:kern w:val="22"/>
          <w:szCs w:val="22"/>
          <w:lang w:val="fr-FR"/>
        </w:rPr>
        <w:tab/>
      </w:r>
      <w:r>
        <w:rPr>
          <w:snapToGrid w:val="0"/>
          <w:kern w:val="22"/>
          <w:szCs w:val="22"/>
          <w:lang w:val="fr-FR"/>
        </w:rPr>
        <w:t>Les expériences acquises dans l’application de la</w:t>
      </w:r>
      <w:r w:rsidRPr="00F93834">
        <w:rPr>
          <w:snapToGrid w:val="0"/>
          <w:kern w:val="22"/>
          <w:szCs w:val="22"/>
          <w:lang w:val="fr-FR"/>
        </w:rPr>
        <w:t xml:space="preserve"> </w:t>
      </w:r>
      <w:r>
        <w:rPr>
          <w:snapToGrid w:val="0"/>
          <w:kern w:val="22"/>
          <w:szCs w:val="22"/>
          <w:lang w:val="fr-FR"/>
        </w:rPr>
        <w:t>planification de l’espace marin</w:t>
      </w:r>
      <w:r>
        <w:rPr>
          <w:rStyle w:val="FootnoteReference"/>
          <w:snapToGrid w:val="0"/>
          <w:kern w:val="22"/>
          <w:szCs w:val="22"/>
          <w:lang w:val="fr-FR"/>
        </w:rPr>
        <w:footnoteReference w:id="79"/>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7.</w:t>
      </w:r>
      <w:r w:rsidRPr="00F93834">
        <w:rPr>
          <w:snapToGrid w:val="0"/>
          <w:kern w:val="22"/>
          <w:szCs w:val="22"/>
          <w:lang w:val="fr-FR"/>
        </w:rPr>
        <w:tab/>
      </w:r>
      <w:r w:rsidRPr="00F93834">
        <w:rPr>
          <w:i/>
          <w:snapToGrid w:val="0"/>
          <w:kern w:val="22"/>
          <w:szCs w:val="22"/>
          <w:lang w:val="fr-FR"/>
        </w:rPr>
        <w:t xml:space="preserve">Encourage </w:t>
      </w:r>
      <w:r w:rsidRPr="00F93834">
        <w:rPr>
          <w:iCs/>
          <w:snapToGrid w:val="0"/>
          <w:kern w:val="22"/>
          <w:szCs w:val="22"/>
          <w:lang w:val="fr-FR"/>
        </w:rPr>
        <w:t>les</w:t>
      </w:r>
      <w:r w:rsidRPr="00F93834">
        <w:rPr>
          <w:i/>
          <w:snapToGrid w:val="0"/>
          <w:kern w:val="22"/>
          <w:szCs w:val="22"/>
          <w:lang w:val="fr-FR"/>
        </w:rPr>
        <w:t xml:space="preserve"> </w:t>
      </w:r>
      <w:r w:rsidRPr="00F93834">
        <w:rPr>
          <w:snapToGrid w:val="0"/>
          <w:kern w:val="22"/>
          <w:szCs w:val="22"/>
          <w:lang w:val="fr-FR"/>
        </w:rPr>
        <w:t>Parties, les autres gouvernements et les organisations compétentes à utiliser cette information</w:t>
      </w:r>
      <w:r>
        <w:rPr>
          <w:snapToGrid w:val="0"/>
          <w:kern w:val="22"/>
          <w:szCs w:val="22"/>
          <w:lang w:val="fr-FR"/>
        </w:rPr>
        <w:t xml:space="preserve">, notamment dans leurs initiatives visant à réduire et à </w:t>
      </w:r>
      <w:r w:rsidRPr="00F93834">
        <w:rPr>
          <w:snapToGrid w:val="0"/>
          <w:kern w:val="22"/>
          <w:szCs w:val="22"/>
          <w:lang w:val="fr-FR"/>
        </w:rPr>
        <w:t>atténuer les incidences du bruit sous-marin d’origine anthropique</w:t>
      </w:r>
      <w:r>
        <w:rPr>
          <w:snapToGrid w:val="0"/>
          <w:kern w:val="22"/>
          <w:szCs w:val="22"/>
          <w:lang w:val="fr-FR"/>
        </w:rPr>
        <w:t>, et à appliquer la planification de l’espace marin</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8.</w:t>
      </w:r>
      <w:r w:rsidRPr="00F93834">
        <w:rPr>
          <w:snapToGrid w:val="0"/>
          <w:kern w:val="22"/>
          <w:szCs w:val="22"/>
          <w:lang w:val="fr-FR"/>
        </w:rPr>
        <w:tab/>
      </w:r>
      <w:r w:rsidRPr="00F93834">
        <w:rPr>
          <w:i/>
          <w:snapToGrid w:val="0"/>
          <w:kern w:val="22"/>
          <w:szCs w:val="22"/>
          <w:lang w:val="fr-FR"/>
        </w:rPr>
        <w:t>Rappelle</w:t>
      </w:r>
      <w:r w:rsidRPr="00F93834">
        <w:rPr>
          <w:iCs/>
          <w:snapToGrid w:val="0"/>
          <w:kern w:val="22"/>
          <w:szCs w:val="22"/>
          <w:lang w:val="fr-FR"/>
        </w:rPr>
        <w:t xml:space="preserve"> la décision </w:t>
      </w:r>
      <w:r w:rsidRPr="00F93834">
        <w:rPr>
          <w:snapToGrid w:val="0"/>
          <w:kern w:val="22"/>
          <w:szCs w:val="22"/>
          <w:lang w:val="fr-FR"/>
        </w:rPr>
        <w:t xml:space="preserve">XIII/10 sur les débris marins et la décision XIII/11 sur la diversité biologique dans les zones d’eau froide, et </w:t>
      </w:r>
      <w:r w:rsidRPr="00F93834">
        <w:rPr>
          <w:i/>
          <w:iCs/>
          <w:snapToGrid w:val="0"/>
          <w:kern w:val="22"/>
          <w:szCs w:val="22"/>
          <w:lang w:val="fr-FR"/>
        </w:rPr>
        <w:t>prend acte</w:t>
      </w:r>
      <w:r w:rsidRPr="00F93834">
        <w:rPr>
          <w:snapToGrid w:val="0"/>
          <w:kern w:val="22"/>
          <w:szCs w:val="22"/>
          <w:lang w:val="fr-FR"/>
        </w:rPr>
        <w:t xml:space="preserve"> des résultats de la Conférence des Nations Unies visant</w:t>
      </w:r>
      <w:r>
        <w:rPr>
          <w:snapToGrid w:val="0"/>
          <w:kern w:val="22"/>
          <w:szCs w:val="22"/>
          <w:lang w:val="fr-FR"/>
        </w:rPr>
        <w:t xml:space="preserve"> à appuyer la réalisation de l’O</w:t>
      </w:r>
      <w:r w:rsidRPr="00F93834">
        <w:rPr>
          <w:snapToGrid w:val="0"/>
          <w:kern w:val="22"/>
          <w:szCs w:val="22"/>
          <w:lang w:val="fr-FR"/>
        </w:rPr>
        <w:t>bjectif de développement durable n° 14</w:t>
      </w:r>
      <w:r w:rsidRPr="00010EA0">
        <w:rPr>
          <w:rStyle w:val="FootnoteReference"/>
          <w:snapToGrid w:val="0"/>
          <w:kern w:val="22"/>
          <w:sz w:val="20"/>
          <w:szCs w:val="20"/>
          <w:u w:val="none"/>
          <w:vertAlign w:val="superscript"/>
          <w:lang w:val="fr-FR"/>
        </w:rPr>
        <w:footnoteReference w:id="80"/>
      </w:r>
      <w:r w:rsidRPr="00F93834">
        <w:rPr>
          <w:snapToGrid w:val="0"/>
          <w:kern w:val="22"/>
          <w:szCs w:val="22"/>
          <w:lang w:val="fr-FR"/>
        </w:rPr>
        <w:t xml:space="preserve">, et </w:t>
      </w:r>
      <w:r w:rsidRPr="00F93834">
        <w:rPr>
          <w:i/>
          <w:iCs/>
          <w:snapToGrid w:val="0"/>
          <w:kern w:val="22"/>
          <w:szCs w:val="22"/>
          <w:lang w:val="fr-FR"/>
        </w:rPr>
        <w:t>demande</w:t>
      </w:r>
      <w:r w:rsidRPr="00F93834">
        <w:rPr>
          <w:snapToGrid w:val="0"/>
          <w:kern w:val="22"/>
          <w:szCs w:val="22"/>
          <w:lang w:val="fr-FR"/>
        </w:rPr>
        <w:t xml:space="preserve"> aux Parties </w:t>
      </w:r>
      <w:r>
        <w:rPr>
          <w:snapToGrid w:val="0"/>
          <w:kern w:val="22"/>
          <w:szCs w:val="22"/>
          <w:lang w:val="fr-FR"/>
        </w:rPr>
        <w:t>d’accroître leurs efforts déployés</w:t>
      </w:r>
      <w:r w:rsidRPr="00F93834">
        <w:rPr>
          <w:snapToGrid w:val="0"/>
          <w:kern w:val="22"/>
          <w:szCs w:val="22"/>
          <w:lang w:val="fr-FR"/>
        </w:rPr>
        <w:t xml:space="preserve"> pour :</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 xml:space="preserve">a) </w:t>
      </w:r>
      <w:r w:rsidRPr="00F93834">
        <w:rPr>
          <w:snapToGrid w:val="0"/>
          <w:kern w:val="22"/>
          <w:szCs w:val="22"/>
          <w:lang w:val="fr-FR"/>
        </w:rPr>
        <w:tab/>
        <w:t xml:space="preserve">Réduire et atténuer les incidences des débris marins sur la diversité biologique marine et côtière, en particulier </w:t>
      </w:r>
      <w:r>
        <w:rPr>
          <w:snapToGrid w:val="0"/>
          <w:kern w:val="22"/>
          <w:szCs w:val="22"/>
          <w:lang w:val="fr-FR"/>
        </w:rPr>
        <w:t>la pollution due aux plastiques</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 xml:space="preserve">b) </w:t>
      </w:r>
      <w:r w:rsidRPr="00F93834">
        <w:rPr>
          <w:snapToGrid w:val="0"/>
          <w:kern w:val="22"/>
          <w:szCs w:val="22"/>
          <w:lang w:val="fr-FR"/>
        </w:rPr>
        <w:tab/>
        <w:t>Faire face aux incidences potentielles des activités minières en eau profonde sur</w:t>
      </w:r>
      <w:r>
        <w:rPr>
          <w:snapToGrid w:val="0"/>
          <w:kern w:val="22"/>
          <w:szCs w:val="22"/>
          <w:lang w:val="fr-FR"/>
        </w:rPr>
        <w:t xml:space="preserve"> la diversité biologique marine</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 xml:space="preserve">c) </w:t>
      </w:r>
      <w:r w:rsidRPr="00F93834">
        <w:rPr>
          <w:snapToGrid w:val="0"/>
          <w:kern w:val="22"/>
          <w:szCs w:val="22"/>
          <w:lang w:val="fr-FR"/>
        </w:rPr>
        <w:tab/>
        <w:t xml:space="preserve">Protéger la diversité biologique dans les zones d’eau </w:t>
      </w:r>
      <w:r>
        <w:rPr>
          <w:snapToGrid w:val="0"/>
          <w:kern w:val="22"/>
          <w:szCs w:val="22"/>
          <w:lang w:val="fr-FR"/>
        </w:rPr>
        <w:t>froide</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9.</w:t>
      </w:r>
      <w:r w:rsidRPr="00F93834">
        <w:rPr>
          <w:snapToGrid w:val="0"/>
          <w:kern w:val="22"/>
          <w:szCs w:val="22"/>
          <w:lang w:val="fr-FR"/>
        </w:rPr>
        <w:tab/>
      </w:r>
      <w:r w:rsidRPr="00F93834">
        <w:rPr>
          <w:i/>
          <w:snapToGrid w:val="0"/>
          <w:kern w:val="22"/>
          <w:szCs w:val="22"/>
          <w:lang w:val="fr-FR"/>
        </w:rPr>
        <w:t>Prie</w:t>
      </w:r>
      <w:r w:rsidRPr="00F93834">
        <w:rPr>
          <w:iCs/>
          <w:snapToGrid w:val="0"/>
          <w:kern w:val="22"/>
          <w:szCs w:val="22"/>
          <w:lang w:val="fr-FR"/>
        </w:rPr>
        <w:t xml:space="preserve"> la Secrétaire exécutive d’informer le groupe spécial d’experts à composition non limitée sur les déchets marins, qui relève de l’Assemblée des Nations Unies pour l’environnement, des travaux entrepris dans ce domaine par la Convention, et de participer</w:t>
      </w:r>
      <w:r>
        <w:rPr>
          <w:iCs/>
          <w:snapToGrid w:val="0"/>
          <w:kern w:val="22"/>
          <w:szCs w:val="22"/>
          <w:lang w:val="fr-FR"/>
        </w:rPr>
        <w:t xml:space="preserve"> aux travaux de ce groupe, selon </w:t>
      </w:r>
      <w:r w:rsidRPr="00F93834">
        <w:rPr>
          <w:iCs/>
          <w:snapToGrid w:val="0"/>
          <w:kern w:val="22"/>
          <w:szCs w:val="22"/>
          <w:lang w:val="fr-FR"/>
        </w:rPr>
        <w:t>qu’il convient</w:t>
      </w:r>
      <w:r w:rsidRPr="00010EA0">
        <w:rPr>
          <w:rStyle w:val="FootnoteReference"/>
          <w:snapToGrid w:val="0"/>
          <w:kern w:val="22"/>
          <w:sz w:val="20"/>
          <w:szCs w:val="20"/>
          <w:u w:val="none"/>
          <w:vertAlign w:val="superscript"/>
          <w:lang w:val="fr-FR"/>
        </w:rPr>
        <w:footnoteReference w:id="81"/>
      </w:r>
      <w:r w:rsidRPr="00F93834">
        <w:rPr>
          <w:iCs/>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lastRenderedPageBreak/>
        <w:t>10.</w:t>
      </w:r>
      <w:r w:rsidRPr="00F93834">
        <w:rPr>
          <w:snapToGrid w:val="0"/>
          <w:kern w:val="22"/>
          <w:szCs w:val="22"/>
          <w:lang w:val="fr-FR"/>
        </w:rPr>
        <w:tab/>
      </w:r>
      <w:r w:rsidRPr="00F93834">
        <w:rPr>
          <w:i/>
          <w:snapToGrid w:val="0"/>
          <w:kern w:val="22"/>
          <w:szCs w:val="22"/>
          <w:lang w:val="fr-FR"/>
        </w:rPr>
        <w:t>Accueille avec satisfaction</w:t>
      </w:r>
      <w:r>
        <w:rPr>
          <w:iCs/>
          <w:snapToGrid w:val="0"/>
          <w:kern w:val="22"/>
          <w:szCs w:val="22"/>
          <w:lang w:val="fr-FR"/>
        </w:rPr>
        <w:t xml:space="preserve"> les travaux mené</w:t>
      </w:r>
      <w:r w:rsidRPr="00F93834">
        <w:rPr>
          <w:iCs/>
          <w:snapToGrid w:val="0"/>
          <w:kern w:val="22"/>
          <w:szCs w:val="22"/>
          <w:lang w:val="fr-FR"/>
        </w:rPr>
        <w:t>s par la Secrétaire exécutive pour compiler des informations sur l’intégration de la diversité biologique dans les activités de pêche, notamme</w:t>
      </w:r>
      <w:r>
        <w:rPr>
          <w:iCs/>
          <w:snapToGrid w:val="0"/>
          <w:kern w:val="22"/>
          <w:szCs w:val="22"/>
          <w:lang w:val="fr-FR"/>
        </w:rPr>
        <w:t xml:space="preserve">nt en utilisant </w:t>
      </w:r>
      <w:r w:rsidRPr="00F93834">
        <w:rPr>
          <w:iCs/>
          <w:snapToGrid w:val="0"/>
          <w:kern w:val="22"/>
          <w:szCs w:val="22"/>
          <w:lang w:val="fr-FR"/>
        </w:rPr>
        <w:t>une approche écosystémique</w:t>
      </w:r>
      <w:r>
        <w:rPr>
          <w:iCs/>
          <w:snapToGrid w:val="0"/>
          <w:kern w:val="22"/>
          <w:szCs w:val="22"/>
          <w:lang w:val="fr-FR"/>
        </w:rPr>
        <w:t xml:space="preserve"> pour la pêche</w:t>
      </w:r>
      <w:r w:rsidRPr="00010EA0">
        <w:rPr>
          <w:rStyle w:val="FootnoteReference"/>
          <w:snapToGrid w:val="0"/>
          <w:kern w:val="22"/>
          <w:sz w:val="20"/>
          <w:szCs w:val="20"/>
          <w:u w:val="none"/>
          <w:vertAlign w:val="superscript"/>
          <w:lang w:val="fr-FR"/>
        </w:rPr>
        <w:footnoteReference w:id="82"/>
      </w:r>
      <w:r w:rsidRPr="00F93834">
        <w:rPr>
          <w:iCs/>
          <w:snapToGrid w:val="0"/>
          <w:kern w:val="22"/>
          <w:szCs w:val="22"/>
          <w:lang w:val="fr-FR"/>
        </w:rPr>
        <w:t>,</w:t>
      </w:r>
      <w:r w:rsidRPr="00F93834">
        <w:rPr>
          <w:snapToGrid w:val="0"/>
          <w:kern w:val="22"/>
          <w:szCs w:val="22"/>
          <w:lang w:val="fr-FR"/>
        </w:rPr>
        <w:t xml:space="preserve"> </w:t>
      </w:r>
      <w:r w:rsidRPr="00F93834">
        <w:rPr>
          <w:iCs/>
          <w:snapToGrid w:val="0"/>
          <w:kern w:val="22"/>
          <w:szCs w:val="22"/>
          <w:lang w:val="fr-FR"/>
        </w:rPr>
        <w:t xml:space="preserve">et </w:t>
      </w:r>
      <w:r w:rsidRPr="00F93834">
        <w:rPr>
          <w:i/>
          <w:snapToGrid w:val="0"/>
          <w:kern w:val="22"/>
          <w:szCs w:val="22"/>
          <w:lang w:val="fr-FR"/>
        </w:rPr>
        <w:t>encourage</w:t>
      </w:r>
      <w:r w:rsidRPr="00F93834">
        <w:rPr>
          <w:iCs/>
          <w:snapToGrid w:val="0"/>
          <w:kern w:val="22"/>
          <w:szCs w:val="22"/>
          <w:lang w:val="fr-FR"/>
        </w:rPr>
        <w:t xml:space="preserve"> les </w:t>
      </w:r>
      <w:r>
        <w:rPr>
          <w:snapToGrid w:val="0"/>
          <w:kern w:val="22"/>
          <w:szCs w:val="22"/>
          <w:lang w:val="fr-FR"/>
        </w:rPr>
        <w:t>Parties</w:t>
      </w:r>
      <w:r w:rsidRPr="00F93834">
        <w:rPr>
          <w:snapToGrid w:val="0"/>
          <w:kern w:val="22"/>
          <w:szCs w:val="22"/>
          <w:lang w:val="fr-FR"/>
        </w:rPr>
        <w:t xml:space="preserve"> et </w:t>
      </w:r>
      <w:r w:rsidRPr="00F93834">
        <w:rPr>
          <w:i/>
          <w:iCs/>
          <w:snapToGrid w:val="0"/>
          <w:kern w:val="22"/>
          <w:szCs w:val="22"/>
          <w:lang w:val="fr-FR"/>
        </w:rPr>
        <w:t>invite</w:t>
      </w:r>
      <w:r w:rsidRPr="00F93834">
        <w:rPr>
          <w:snapToGrid w:val="0"/>
          <w:kern w:val="22"/>
          <w:szCs w:val="22"/>
          <w:lang w:val="fr-FR"/>
        </w:rPr>
        <w:t xml:space="preserve"> les autres gouvernements e</w:t>
      </w:r>
      <w:r>
        <w:rPr>
          <w:snapToGrid w:val="0"/>
          <w:kern w:val="22"/>
          <w:szCs w:val="22"/>
          <w:lang w:val="fr-FR"/>
        </w:rPr>
        <w:t>t les organisations compétentes à utiliser ces informations</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11.</w:t>
      </w:r>
      <w:r w:rsidRPr="00F93834">
        <w:rPr>
          <w:i/>
          <w:snapToGrid w:val="0"/>
          <w:kern w:val="22"/>
          <w:szCs w:val="22"/>
          <w:lang w:val="fr-FR"/>
        </w:rPr>
        <w:tab/>
        <w:t>Accueille avec satisfaction</w:t>
      </w:r>
      <w:r w:rsidRPr="00F93834">
        <w:rPr>
          <w:iCs/>
          <w:snapToGrid w:val="0"/>
          <w:kern w:val="22"/>
          <w:szCs w:val="22"/>
          <w:lang w:val="fr-FR"/>
        </w:rPr>
        <w:t xml:space="preserve"> les activités de renforcement d</w:t>
      </w:r>
      <w:r>
        <w:rPr>
          <w:iCs/>
          <w:snapToGrid w:val="0"/>
          <w:kern w:val="22"/>
          <w:szCs w:val="22"/>
          <w:lang w:val="fr-FR"/>
        </w:rPr>
        <w:t>es capacités et de création de partenariats</w:t>
      </w:r>
      <w:r w:rsidRPr="00F93834">
        <w:rPr>
          <w:iCs/>
          <w:snapToGrid w:val="0"/>
          <w:kern w:val="22"/>
          <w:szCs w:val="22"/>
          <w:lang w:val="fr-FR"/>
        </w:rPr>
        <w:t xml:space="preserve"> qui sont facilitées par la Secrétaire exécutive dans le cadre de l’Initiative pour des océans durables à l’échelle nationale, régionale et mondiale, en collaboration avec les Parties, les autres gouvernements et les organisations compétentes, et </w:t>
      </w:r>
      <w:r w:rsidRPr="00F93834">
        <w:rPr>
          <w:i/>
          <w:snapToGrid w:val="0"/>
          <w:kern w:val="22"/>
          <w:szCs w:val="22"/>
          <w:lang w:val="fr-FR"/>
        </w:rPr>
        <w:t>exprime sa reconnaissance</w:t>
      </w:r>
      <w:r w:rsidRPr="00F93834">
        <w:rPr>
          <w:iCs/>
          <w:snapToGrid w:val="0"/>
          <w:kern w:val="22"/>
          <w:szCs w:val="22"/>
          <w:lang w:val="fr-FR"/>
        </w:rPr>
        <w:t xml:space="preserve"> aux gouvernements du Japon, de la France, de la République de Corée et de la Suède, ainsi qu’à l’Union européenne et à de</w:t>
      </w:r>
      <w:r>
        <w:rPr>
          <w:iCs/>
          <w:snapToGrid w:val="0"/>
          <w:kern w:val="22"/>
          <w:szCs w:val="22"/>
          <w:lang w:val="fr-FR"/>
        </w:rPr>
        <w:t xml:space="preserve"> nombreux partenaires, pour l’appui financier</w:t>
      </w:r>
      <w:r w:rsidRPr="00F93834">
        <w:rPr>
          <w:iCs/>
          <w:snapToGrid w:val="0"/>
          <w:kern w:val="22"/>
          <w:szCs w:val="22"/>
          <w:lang w:val="fr-FR"/>
        </w:rPr>
        <w:t xml:space="preserve"> et t</w:t>
      </w:r>
      <w:r>
        <w:rPr>
          <w:iCs/>
          <w:snapToGrid w:val="0"/>
          <w:kern w:val="22"/>
          <w:szCs w:val="22"/>
          <w:lang w:val="fr-FR"/>
        </w:rPr>
        <w:t>echnique</w:t>
      </w:r>
      <w:r w:rsidRPr="00F93834">
        <w:rPr>
          <w:iCs/>
          <w:snapToGrid w:val="0"/>
          <w:kern w:val="22"/>
          <w:szCs w:val="22"/>
          <w:lang w:val="fr-FR"/>
        </w:rPr>
        <w:t xml:space="preserve"> qu’ils ont fournis lors de la mise en œuvre des activités relevant de l’Initiative, et </w:t>
      </w:r>
      <w:r w:rsidRPr="00F93834">
        <w:rPr>
          <w:i/>
          <w:snapToGrid w:val="0"/>
          <w:kern w:val="22"/>
          <w:szCs w:val="22"/>
          <w:lang w:val="fr-FR"/>
        </w:rPr>
        <w:t>prie</w:t>
      </w:r>
      <w:r w:rsidRPr="00F93834">
        <w:rPr>
          <w:iCs/>
          <w:snapToGrid w:val="0"/>
          <w:kern w:val="22"/>
          <w:szCs w:val="22"/>
          <w:lang w:val="fr-FR"/>
        </w:rPr>
        <w:t xml:space="preserve"> la Secrétaire exécutive de poursuivre ces activités</w:t>
      </w:r>
      <w:r>
        <w:rPr>
          <w:iCs/>
          <w:snapToGrid w:val="0"/>
          <w:kern w:val="22"/>
          <w:szCs w:val="22"/>
          <w:lang w:val="fr-FR"/>
        </w:rPr>
        <w:t xml:space="preserve"> au titre de thèmes spécifiques abordés dans le cadre de l’Initiative</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12.</w:t>
      </w:r>
      <w:r w:rsidRPr="00F93834">
        <w:rPr>
          <w:snapToGrid w:val="0"/>
          <w:kern w:val="22"/>
          <w:szCs w:val="22"/>
          <w:lang w:val="fr-FR"/>
        </w:rPr>
        <w:tab/>
      </w:r>
      <w:r>
        <w:rPr>
          <w:i/>
          <w:snapToGrid w:val="0"/>
          <w:kern w:val="22"/>
          <w:szCs w:val="22"/>
          <w:lang w:val="fr-FR"/>
        </w:rPr>
        <w:t xml:space="preserve">Accueille </w:t>
      </w:r>
      <w:r w:rsidRPr="00F93834">
        <w:rPr>
          <w:i/>
          <w:snapToGrid w:val="0"/>
          <w:kern w:val="22"/>
          <w:szCs w:val="22"/>
          <w:lang w:val="fr-FR"/>
        </w:rPr>
        <w:t>avec satisfaction</w:t>
      </w:r>
      <w:r>
        <w:rPr>
          <w:i/>
          <w:snapToGrid w:val="0"/>
          <w:kern w:val="22"/>
          <w:szCs w:val="22"/>
          <w:lang w:val="fr-FR"/>
        </w:rPr>
        <w:t xml:space="preserve"> également</w:t>
      </w:r>
      <w:r w:rsidRPr="00F93834">
        <w:rPr>
          <w:iCs/>
          <w:snapToGrid w:val="0"/>
          <w:kern w:val="22"/>
          <w:szCs w:val="22"/>
          <w:lang w:val="fr-FR"/>
        </w:rPr>
        <w:t xml:space="preserve"> le</w:t>
      </w:r>
      <w:r>
        <w:rPr>
          <w:iCs/>
          <w:snapToGrid w:val="0"/>
          <w:kern w:val="22"/>
          <w:szCs w:val="22"/>
          <w:lang w:val="fr-FR"/>
        </w:rPr>
        <w:t>s initiatives de collaboration entre</w:t>
      </w:r>
      <w:r w:rsidRPr="00F93834">
        <w:rPr>
          <w:iCs/>
          <w:snapToGrid w:val="0"/>
          <w:kern w:val="22"/>
          <w:szCs w:val="22"/>
          <w:lang w:val="fr-FR"/>
        </w:rPr>
        <w:t xml:space="preserve"> le Secrétariat, le Programme des Nations Unies pour l’environnement, l’Organisation pour l’alimentation et l’agriculture, les conventions et </w:t>
      </w:r>
      <w:r>
        <w:rPr>
          <w:iCs/>
          <w:snapToGrid w:val="0"/>
          <w:kern w:val="22"/>
          <w:szCs w:val="22"/>
          <w:lang w:val="fr-FR"/>
        </w:rPr>
        <w:t xml:space="preserve">les </w:t>
      </w:r>
      <w:r w:rsidRPr="00F93834">
        <w:rPr>
          <w:iCs/>
          <w:snapToGrid w:val="0"/>
          <w:kern w:val="22"/>
          <w:szCs w:val="22"/>
          <w:lang w:val="fr-FR"/>
        </w:rPr>
        <w:t>plans d’action concernant</w:t>
      </w:r>
      <w:r>
        <w:rPr>
          <w:iCs/>
          <w:snapToGrid w:val="0"/>
          <w:kern w:val="22"/>
          <w:szCs w:val="22"/>
          <w:lang w:val="fr-FR"/>
        </w:rPr>
        <w:t xml:space="preserve"> les mers régionales, les organismes régionaux de gestion de la</w:t>
      </w:r>
      <w:r w:rsidRPr="00F93834">
        <w:rPr>
          <w:iCs/>
          <w:snapToGrid w:val="0"/>
          <w:kern w:val="22"/>
          <w:szCs w:val="22"/>
          <w:lang w:val="fr-FR"/>
        </w:rPr>
        <w:t xml:space="preserve"> pêche</w:t>
      </w:r>
      <w:r>
        <w:rPr>
          <w:iCs/>
          <w:snapToGrid w:val="0"/>
          <w:kern w:val="22"/>
          <w:szCs w:val="22"/>
          <w:lang w:val="fr-FR"/>
        </w:rPr>
        <w:t xml:space="preserve">, les grands projets et/ou </w:t>
      </w:r>
      <w:r w:rsidRPr="00F93834">
        <w:rPr>
          <w:iCs/>
          <w:snapToGrid w:val="0"/>
          <w:kern w:val="22"/>
          <w:szCs w:val="22"/>
          <w:lang w:val="fr-FR"/>
        </w:rPr>
        <w:t xml:space="preserve">programmes axés sur les écosystèmes marins et d’autres </w:t>
      </w:r>
      <w:r w:rsidRPr="00F93834">
        <w:rPr>
          <w:snapToGrid w:val="0"/>
          <w:kern w:val="22"/>
          <w:szCs w:val="22"/>
          <w:lang w:val="fr-FR"/>
        </w:rPr>
        <w:t>initiatives régionales pertinentes, afin de renforcer la coopération intersectorielle à l’échelle régionale, et d’accélérer les progrès acc</w:t>
      </w:r>
      <w:r>
        <w:rPr>
          <w:snapToGrid w:val="0"/>
          <w:kern w:val="22"/>
          <w:szCs w:val="22"/>
          <w:lang w:val="fr-FR"/>
        </w:rPr>
        <w:t>omplis dans la réalisation des O</w:t>
      </w:r>
      <w:r w:rsidRPr="00F93834">
        <w:rPr>
          <w:snapToGrid w:val="0"/>
          <w:kern w:val="22"/>
          <w:szCs w:val="22"/>
          <w:lang w:val="fr-FR"/>
        </w:rPr>
        <w:t>bjectifs</w:t>
      </w:r>
      <w:r>
        <w:rPr>
          <w:snapToGrid w:val="0"/>
          <w:kern w:val="22"/>
          <w:szCs w:val="22"/>
          <w:lang w:val="fr-FR"/>
        </w:rPr>
        <w:t xml:space="preserve"> d’Aichi pour </w:t>
      </w:r>
      <w:r w:rsidRPr="00F93834">
        <w:rPr>
          <w:snapToGrid w:val="0"/>
          <w:kern w:val="22"/>
          <w:szCs w:val="22"/>
          <w:lang w:val="fr-FR"/>
        </w:rPr>
        <w:t xml:space="preserve">la </w:t>
      </w:r>
      <w:r>
        <w:rPr>
          <w:snapToGrid w:val="0"/>
          <w:kern w:val="22"/>
          <w:szCs w:val="22"/>
          <w:lang w:val="fr-FR"/>
        </w:rPr>
        <w:t>biodiversité et des O</w:t>
      </w:r>
      <w:r w:rsidRPr="00F93834">
        <w:rPr>
          <w:snapToGrid w:val="0"/>
          <w:kern w:val="22"/>
          <w:szCs w:val="22"/>
          <w:lang w:val="fr-FR"/>
        </w:rPr>
        <w:t>bjectifs de</w:t>
      </w:r>
      <w:r>
        <w:rPr>
          <w:snapToGrid w:val="0"/>
          <w:kern w:val="22"/>
          <w:szCs w:val="22"/>
          <w:lang w:val="fr-FR"/>
        </w:rPr>
        <w:t xml:space="preserve"> développement durable pertinents</w:t>
      </w:r>
      <w:r w:rsidRPr="00010EA0">
        <w:rPr>
          <w:rStyle w:val="FootnoteReference"/>
          <w:snapToGrid w:val="0"/>
          <w:kern w:val="22"/>
          <w:sz w:val="20"/>
          <w:szCs w:val="20"/>
          <w:u w:val="none"/>
          <w:vertAlign w:val="superscript"/>
          <w:lang w:val="fr-FR"/>
        </w:rPr>
        <w:footnoteReference w:id="83"/>
      </w:r>
      <w:r w:rsidRPr="00F93834">
        <w:rPr>
          <w:snapToGrid w:val="0"/>
          <w:kern w:val="22"/>
          <w:szCs w:val="22"/>
          <w:lang w:val="fr-FR"/>
        </w:rPr>
        <w:t xml:space="preserve">, notamment dans </w:t>
      </w:r>
      <w:r>
        <w:rPr>
          <w:snapToGrid w:val="0"/>
          <w:kern w:val="22"/>
          <w:szCs w:val="22"/>
          <w:lang w:val="fr-FR"/>
        </w:rPr>
        <w:t>le cadre du dialogue mondial engag</w:t>
      </w:r>
      <w:r w:rsidRPr="00F93834">
        <w:rPr>
          <w:snapToGrid w:val="0"/>
          <w:kern w:val="22"/>
          <w:szCs w:val="22"/>
          <w:lang w:val="fr-FR"/>
        </w:rPr>
        <w:t xml:space="preserve">é au titre de l’Initiative </w:t>
      </w:r>
      <w:r w:rsidRPr="00F93834">
        <w:rPr>
          <w:iCs/>
          <w:snapToGrid w:val="0"/>
          <w:kern w:val="22"/>
          <w:szCs w:val="22"/>
          <w:lang w:val="fr-FR"/>
        </w:rPr>
        <w:t>pour des océans durables avec les organisations chargées d</w:t>
      </w:r>
      <w:r>
        <w:rPr>
          <w:iCs/>
          <w:snapToGrid w:val="0"/>
          <w:kern w:val="22"/>
          <w:szCs w:val="22"/>
          <w:lang w:val="fr-FR"/>
        </w:rPr>
        <w:t>es mers régionales et les organisme</w:t>
      </w:r>
      <w:r w:rsidRPr="00F93834">
        <w:rPr>
          <w:iCs/>
          <w:snapToGrid w:val="0"/>
          <w:kern w:val="22"/>
          <w:szCs w:val="22"/>
          <w:lang w:val="fr-FR"/>
        </w:rPr>
        <w:t>s</w:t>
      </w:r>
      <w:r>
        <w:rPr>
          <w:iCs/>
          <w:snapToGrid w:val="0"/>
          <w:kern w:val="22"/>
          <w:szCs w:val="22"/>
          <w:lang w:val="fr-FR"/>
        </w:rPr>
        <w:t xml:space="preserve"> régionaux de gestion de la pêche</w:t>
      </w:r>
      <w:r w:rsidRPr="00F93834">
        <w:rPr>
          <w:iCs/>
          <w:snapToGrid w:val="0"/>
          <w:kern w:val="22"/>
          <w:szCs w:val="22"/>
          <w:lang w:val="fr-FR"/>
        </w:rPr>
        <w:t xml:space="preserve">, et </w:t>
      </w:r>
      <w:r w:rsidRPr="00F93834">
        <w:rPr>
          <w:i/>
          <w:snapToGrid w:val="0"/>
          <w:kern w:val="22"/>
          <w:szCs w:val="22"/>
          <w:lang w:val="fr-FR"/>
        </w:rPr>
        <w:t>prie</w:t>
      </w:r>
      <w:r w:rsidRPr="00F93834">
        <w:rPr>
          <w:iCs/>
          <w:snapToGrid w:val="0"/>
          <w:kern w:val="22"/>
          <w:szCs w:val="22"/>
          <w:lang w:val="fr-FR"/>
        </w:rPr>
        <w:t xml:space="preserve"> la Sec</w:t>
      </w:r>
      <w:r>
        <w:rPr>
          <w:iCs/>
          <w:snapToGrid w:val="0"/>
          <w:kern w:val="22"/>
          <w:szCs w:val="22"/>
          <w:lang w:val="fr-FR"/>
        </w:rPr>
        <w:t>rétaire exécutive de transmettre</w:t>
      </w:r>
      <w:r w:rsidRPr="00F93834">
        <w:rPr>
          <w:iCs/>
          <w:snapToGrid w:val="0"/>
          <w:kern w:val="22"/>
          <w:szCs w:val="22"/>
          <w:lang w:val="fr-FR"/>
        </w:rPr>
        <w:t xml:space="preserve"> les résultats des première et deuxième réunions de ce dialogue aux processus internationaux et régionaux concernés, et de collaborer avec les Parties, les autres gouvernements, les organisations compétentes et les </w:t>
      </w:r>
      <w:r>
        <w:rPr>
          <w:iCs/>
          <w:snapToGrid w:val="0"/>
          <w:kern w:val="22"/>
          <w:szCs w:val="22"/>
          <w:lang w:val="fr-FR"/>
        </w:rPr>
        <w:t>bailleurs de fonds</w:t>
      </w:r>
      <w:r w:rsidRPr="00F93834">
        <w:rPr>
          <w:iCs/>
          <w:snapToGrid w:val="0"/>
          <w:kern w:val="22"/>
          <w:szCs w:val="22"/>
          <w:lang w:val="fr-FR"/>
        </w:rPr>
        <w:t xml:space="preserve">, en vue de faciliter la mise en œuvre </w:t>
      </w:r>
      <w:r>
        <w:rPr>
          <w:iCs/>
          <w:snapToGrid w:val="0"/>
          <w:kern w:val="22"/>
          <w:szCs w:val="22"/>
          <w:lang w:val="fr-FR"/>
        </w:rPr>
        <w:t>de ces résultats sur le terrain</w:t>
      </w:r>
      <w:r w:rsidRPr="00F93834">
        <w:rPr>
          <w:snapToGrid w:val="0"/>
          <w:kern w:val="22"/>
          <w:szCs w:val="22"/>
          <w:lang w:val="fr-FR"/>
        </w:rPr>
        <w:t>;</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szCs w:val="22"/>
          <w:lang w:val="fr-FR"/>
        </w:rPr>
      </w:pPr>
      <w:r w:rsidRPr="00F93834">
        <w:rPr>
          <w:snapToGrid w:val="0"/>
          <w:kern w:val="22"/>
          <w:szCs w:val="22"/>
          <w:lang w:val="fr-FR"/>
        </w:rPr>
        <w:t>13.</w:t>
      </w:r>
      <w:r w:rsidRPr="00F93834">
        <w:rPr>
          <w:snapToGrid w:val="0"/>
          <w:kern w:val="22"/>
          <w:szCs w:val="22"/>
          <w:lang w:val="fr-FR"/>
        </w:rPr>
        <w:tab/>
      </w:r>
      <w:r w:rsidRPr="00F93834">
        <w:rPr>
          <w:i/>
          <w:iCs/>
          <w:snapToGrid w:val="0"/>
          <w:kern w:val="22"/>
          <w:szCs w:val="22"/>
          <w:lang w:val="fr-FR"/>
        </w:rPr>
        <w:t>Invite</w:t>
      </w:r>
      <w:r w:rsidRPr="00F93834">
        <w:rPr>
          <w:snapToGrid w:val="0"/>
          <w:kern w:val="22"/>
          <w:szCs w:val="22"/>
          <w:lang w:val="fr-FR"/>
        </w:rPr>
        <w:t xml:space="preserve"> l’Organisation pour l’alimentation et l’agriculture et les </w:t>
      </w:r>
      <w:r>
        <w:rPr>
          <w:iCs/>
          <w:snapToGrid w:val="0"/>
          <w:kern w:val="22"/>
          <w:szCs w:val="22"/>
          <w:lang w:val="fr-FR"/>
        </w:rPr>
        <w:t>organismes régionaux de gestion de la pêche à fournir d</w:t>
      </w:r>
      <w:r w:rsidRPr="00F93834">
        <w:rPr>
          <w:iCs/>
          <w:snapToGrid w:val="0"/>
          <w:kern w:val="22"/>
          <w:szCs w:val="22"/>
          <w:lang w:val="fr-FR"/>
        </w:rPr>
        <w:t>es</w:t>
      </w:r>
      <w:r>
        <w:rPr>
          <w:iCs/>
          <w:snapToGrid w:val="0"/>
          <w:kern w:val="22"/>
          <w:szCs w:val="22"/>
          <w:lang w:val="fr-FR"/>
        </w:rPr>
        <w:t xml:space="preserve"> informations scientifiques, des données d’expériences et des enseignements tirés, selon qu’il convient, y compris les données communiquées dans le</w:t>
      </w:r>
      <w:r w:rsidRPr="00F93834">
        <w:rPr>
          <w:iCs/>
          <w:snapToGrid w:val="0"/>
          <w:kern w:val="22"/>
          <w:szCs w:val="22"/>
          <w:lang w:val="fr-FR"/>
        </w:rPr>
        <w:t xml:space="preserve"> questionnaire sur le Code de conduite pour une pêche responsable, en tant que contribution à la cinquième édition des </w:t>
      </w:r>
      <w:r w:rsidRPr="00F93834">
        <w:rPr>
          <w:i/>
          <w:snapToGrid w:val="0"/>
          <w:kern w:val="22"/>
          <w:szCs w:val="22"/>
          <w:lang w:val="fr-FR"/>
        </w:rPr>
        <w:t>Perspectives mondiales de la diversité biologique</w:t>
      </w:r>
      <w:r w:rsidRPr="00F93834">
        <w:rPr>
          <w:snapToGrid w:val="0"/>
          <w:kern w:val="22"/>
          <w:szCs w:val="22"/>
          <w:lang w:val="fr-FR"/>
        </w:rPr>
        <w:t>;</w:t>
      </w:r>
    </w:p>
    <w:p w:rsidR="009F6935" w:rsidRDefault="009F6935" w:rsidP="00010EA0">
      <w:pPr>
        <w:suppressLineNumbers/>
        <w:suppressAutoHyphens/>
        <w:kinsoku w:val="0"/>
        <w:overflowPunct w:val="0"/>
        <w:autoSpaceDE w:val="0"/>
        <w:autoSpaceDN w:val="0"/>
        <w:adjustRightInd w:val="0"/>
        <w:snapToGrid w:val="0"/>
        <w:spacing w:before="120" w:after="360"/>
        <w:ind w:left="720" w:firstLine="720"/>
        <w:rPr>
          <w:snapToGrid w:val="0"/>
          <w:kern w:val="22"/>
          <w:szCs w:val="22"/>
          <w:lang w:val="fr-FR"/>
        </w:rPr>
      </w:pPr>
      <w:r w:rsidRPr="00F93834">
        <w:rPr>
          <w:snapToGrid w:val="0"/>
          <w:kern w:val="22"/>
          <w:szCs w:val="22"/>
          <w:lang w:val="fr-FR"/>
        </w:rPr>
        <w:t>14.</w:t>
      </w:r>
      <w:r w:rsidRPr="00F93834">
        <w:rPr>
          <w:snapToGrid w:val="0"/>
          <w:kern w:val="22"/>
          <w:szCs w:val="22"/>
          <w:lang w:val="fr-FR"/>
        </w:rPr>
        <w:tab/>
      </w:r>
      <w:r>
        <w:rPr>
          <w:i/>
          <w:iCs/>
          <w:snapToGrid w:val="0"/>
          <w:kern w:val="22"/>
          <w:szCs w:val="22"/>
          <w:lang w:val="fr-FR"/>
        </w:rPr>
        <w:t>Se félicite</w:t>
      </w:r>
      <w:r w:rsidRPr="00F93834">
        <w:rPr>
          <w:iCs/>
          <w:snapToGrid w:val="0"/>
          <w:kern w:val="22"/>
          <w:szCs w:val="22"/>
          <w:lang w:val="fr-FR"/>
        </w:rPr>
        <w:t xml:space="preserve"> </w:t>
      </w:r>
      <w:r>
        <w:rPr>
          <w:iCs/>
          <w:snapToGrid w:val="0"/>
          <w:kern w:val="22"/>
          <w:szCs w:val="22"/>
          <w:lang w:val="fr-FR"/>
        </w:rPr>
        <w:t>de la coopération menée</w:t>
      </w:r>
      <w:r w:rsidRPr="00F93834">
        <w:rPr>
          <w:iCs/>
          <w:snapToGrid w:val="0"/>
          <w:kern w:val="22"/>
          <w:szCs w:val="22"/>
          <w:lang w:val="fr-FR"/>
        </w:rPr>
        <w:t xml:space="preserve"> entre l’Organisation pour l’alimentation et l’agriculture, le groupe d’experts sur la pêche de la Commission de la gestion des écosystèmes de l’Union internationale pour la conservation de la natu</w:t>
      </w:r>
      <w:r>
        <w:rPr>
          <w:iCs/>
          <w:snapToGrid w:val="0"/>
          <w:kern w:val="22"/>
          <w:szCs w:val="22"/>
          <w:lang w:val="fr-FR"/>
        </w:rPr>
        <w:t>re et le Secrétariat, afin d’appuyer la réalisation de l’O</w:t>
      </w:r>
      <w:r w:rsidRPr="00F93834">
        <w:rPr>
          <w:iCs/>
          <w:snapToGrid w:val="0"/>
          <w:kern w:val="22"/>
          <w:szCs w:val="22"/>
          <w:lang w:val="fr-FR"/>
        </w:rPr>
        <w:t xml:space="preserve">bjectif </w:t>
      </w:r>
      <w:r>
        <w:rPr>
          <w:iCs/>
          <w:snapToGrid w:val="0"/>
          <w:kern w:val="22"/>
          <w:szCs w:val="22"/>
          <w:lang w:val="fr-FR"/>
        </w:rPr>
        <w:t xml:space="preserve">6 d’Aichi pour </w:t>
      </w:r>
      <w:r w:rsidRPr="00F93834">
        <w:rPr>
          <w:iCs/>
          <w:snapToGrid w:val="0"/>
          <w:kern w:val="22"/>
          <w:szCs w:val="22"/>
          <w:lang w:val="fr-FR"/>
        </w:rPr>
        <w:t xml:space="preserve">la </w:t>
      </w:r>
      <w:r>
        <w:rPr>
          <w:iCs/>
          <w:snapToGrid w:val="0"/>
          <w:kern w:val="22"/>
          <w:szCs w:val="22"/>
          <w:lang w:val="fr-FR"/>
        </w:rPr>
        <w:t>biodiversité</w:t>
      </w:r>
      <w:r w:rsidRPr="00F93834">
        <w:rPr>
          <w:iCs/>
          <w:snapToGrid w:val="0"/>
          <w:kern w:val="22"/>
          <w:szCs w:val="22"/>
          <w:lang w:val="fr-FR"/>
        </w:rPr>
        <w:t xml:space="preserve">, et </w:t>
      </w:r>
      <w:r>
        <w:rPr>
          <w:iCs/>
          <w:snapToGrid w:val="0"/>
          <w:kern w:val="22"/>
          <w:szCs w:val="22"/>
          <w:lang w:val="fr-FR"/>
        </w:rPr>
        <w:t>d’</w:t>
      </w:r>
      <w:r w:rsidRPr="00F93834">
        <w:rPr>
          <w:iCs/>
          <w:snapToGrid w:val="0"/>
          <w:kern w:val="22"/>
          <w:szCs w:val="22"/>
          <w:lang w:val="fr-FR"/>
        </w:rPr>
        <w:t>améliore</w:t>
      </w:r>
      <w:r>
        <w:rPr>
          <w:iCs/>
          <w:snapToGrid w:val="0"/>
          <w:kern w:val="22"/>
          <w:szCs w:val="22"/>
          <w:lang w:val="fr-FR"/>
        </w:rPr>
        <w:t>r la communication de données à ce sujet</w:t>
      </w:r>
      <w:r w:rsidRPr="00F93834">
        <w:rPr>
          <w:iCs/>
          <w:snapToGrid w:val="0"/>
          <w:kern w:val="22"/>
          <w:szCs w:val="22"/>
          <w:lang w:val="fr-FR"/>
        </w:rPr>
        <w:t xml:space="preserve">, et </w:t>
      </w:r>
      <w:r w:rsidRPr="00F93834">
        <w:rPr>
          <w:i/>
          <w:snapToGrid w:val="0"/>
          <w:kern w:val="22"/>
          <w:szCs w:val="22"/>
          <w:lang w:val="fr-FR"/>
        </w:rPr>
        <w:t>prie</w:t>
      </w:r>
      <w:r w:rsidRPr="00F93834">
        <w:rPr>
          <w:iCs/>
          <w:snapToGrid w:val="0"/>
          <w:kern w:val="22"/>
          <w:szCs w:val="22"/>
          <w:lang w:val="fr-FR"/>
        </w:rPr>
        <w:t xml:space="preserve"> la Secrétaire exécutive de poursuivre cette coopération</w:t>
      </w:r>
      <w:r w:rsidRPr="00F93834">
        <w:rPr>
          <w:snapToGrid w:val="0"/>
          <w:kern w:val="22"/>
          <w:szCs w:val="22"/>
          <w:lang w:val="fr-FR"/>
        </w:rPr>
        <w:t>.</w:t>
      </w:r>
    </w:p>
    <w:p w:rsidR="009F6935" w:rsidRPr="001362D3" w:rsidRDefault="009F6935" w:rsidP="009F6935">
      <w:pPr>
        <w:suppressLineNumbers/>
        <w:suppressAutoHyphens/>
        <w:kinsoku w:val="0"/>
        <w:overflowPunct w:val="0"/>
        <w:autoSpaceDE w:val="0"/>
        <w:autoSpaceDN w:val="0"/>
        <w:adjustRightInd w:val="0"/>
        <w:snapToGrid w:val="0"/>
        <w:spacing w:before="120" w:after="120"/>
        <w:jc w:val="center"/>
        <w:rPr>
          <w:snapToGrid w:val="0"/>
          <w:kern w:val="22"/>
          <w:szCs w:val="22"/>
          <w:lang w:val="fr-FR"/>
        </w:rPr>
      </w:pPr>
      <w:r w:rsidRPr="00F93834">
        <w:rPr>
          <w:i/>
          <w:snapToGrid w:val="0"/>
          <w:kern w:val="22"/>
          <w:szCs w:val="22"/>
          <w:lang w:val="fr-FR"/>
        </w:rPr>
        <w:t>Annexe</w:t>
      </w:r>
    </w:p>
    <w:p w:rsidR="009F6935" w:rsidRDefault="009F6935" w:rsidP="009F6935">
      <w:pPr>
        <w:pStyle w:val="HEADINGNOTFORTOC"/>
        <w:keepNext w:val="0"/>
        <w:suppressLineNumbers/>
        <w:tabs>
          <w:tab w:val="clear" w:pos="720"/>
        </w:tabs>
        <w:suppressAutoHyphens/>
        <w:kinsoku w:val="0"/>
        <w:overflowPunct w:val="0"/>
        <w:autoSpaceDE w:val="0"/>
        <w:autoSpaceDN w:val="0"/>
        <w:adjustRightInd w:val="0"/>
        <w:snapToGrid w:val="0"/>
        <w:spacing w:before="120"/>
        <w:rPr>
          <w:snapToGrid w:val="0"/>
          <w:kern w:val="22"/>
          <w:szCs w:val="22"/>
          <w:lang w:val="fr-FR"/>
        </w:rPr>
      </w:pPr>
      <w:bookmarkStart w:id="139" w:name="_Toc525904193"/>
      <w:bookmarkStart w:id="140" w:name="_Toc525904352"/>
      <w:bookmarkStart w:id="141" w:name="_Toc525904596"/>
      <w:r w:rsidRPr="00F93834">
        <w:rPr>
          <w:snapToGrid w:val="0"/>
          <w:kern w:val="22"/>
          <w:szCs w:val="22"/>
          <w:lang w:val="fr-FR"/>
        </w:rPr>
        <w:t xml:space="preserve">OPTIONS </w:t>
      </w:r>
      <w:r>
        <w:rPr>
          <w:iCs/>
          <w:snapToGrid w:val="0"/>
          <w:kern w:val="22"/>
          <w:szCs w:val="22"/>
          <w:lang w:val="fr-FR"/>
        </w:rPr>
        <w:t>pour</w:t>
      </w:r>
      <w:r w:rsidRPr="00F93834">
        <w:rPr>
          <w:iCs/>
          <w:snapToGrid w:val="0"/>
          <w:kern w:val="22"/>
          <w:szCs w:val="22"/>
          <w:lang w:val="fr-FR"/>
        </w:rPr>
        <w:t xml:space="preserve"> modifier la description des aires marines d’importa</w:t>
      </w:r>
      <w:r>
        <w:rPr>
          <w:iCs/>
          <w:snapToGrid w:val="0"/>
          <w:kern w:val="22"/>
          <w:szCs w:val="22"/>
          <w:lang w:val="fr-FR"/>
        </w:rPr>
        <w:t>nce Écologique ou biologique, pour dÉcrire des nouvelles aires, et pour</w:t>
      </w:r>
      <w:r w:rsidRPr="00F93834">
        <w:rPr>
          <w:iCs/>
          <w:snapToGrid w:val="0"/>
          <w:kern w:val="22"/>
          <w:szCs w:val="22"/>
          <w:lang w:val="fr-FR"/>
        </w:rPr>
        <w:t xml:space="preserve"> renforcer la crÉdibilitÉ scientifique et la transparence dE CE processu</w:t>
      </w:r>
      <w:r w:rsidRPr="00F93834">
        <w:rPr>
          <w:snapToGrid w:val="0"/>
          <w:kern w:val="22"/>
          <w:szCs w:val="22"/>
          <w:lang w:val="fr-FR"/>
        </w:rPr>
        <w:t>s</w:t>
      </w:r>
      <w:bookmarkEnd w:id="139"/>
      <w:bookmarkEnd w:id="140"/>
      <w:bookmarkEnd w:id="141"/>
    </w:p>
    <w:p w:rsidR="009F6935" w:rsidRPr="00C16E8C" w:rsidRDefault="009F6935" w:rsidP="009F6935">
      <w:pPr>
        <w:pStyle w:val="Heading2"/>
        <w:rPr>
          <w:lang w:val="fr-FR"/>
        </w:rPr>
      </w:pPr>
    </w:p>
    <w:p w:rsidR="009F6935" w:rsidRPr="00F93834" w:rsidRDefault="009F6935" w:rsidP="009F6935">
      <w:pPr>
        <w:pStyle w:val="Heading1"/>
        <w:keepNext w:val="0"/>
        <w:suppressLineNumbers/>
        <w:tabs>
          <w:tab w:val="clear" w:pos="720"/>
          <w:tab w:val="left" w:pos="360"/>
        </w:tabs>
        <w:suppressAutoHyphens/>
        <w:kinsoku w:val="0"/>
        <w:overflowPunct w:val="0"/>
        <w:autoSpaceDE w:val="0"/>
        <w:autoSpaceDN w:val="0"/>
        <w:adjustRightInd w:val="0"/>
        <w:snapToGrid w:val="0"/>
        <w:spacing w:before="120" w:after="240"/>
        <w:rPr>
          <w:b w:val="0"/>
          <w:snapToGrid w:val="0"/>
          <w:color w:val="000000"/>
          <w:kern w:val="22"/>
          <w:szCs w:val="22"/>
          <w:lang w:val="fr-FR"/>
        </w:rPr>
      </w:pPr>
      <w:bookmarkStart w:id="142" w:name="_Toc525904194"/>
      <w:bookmarkStart w:id="143" w:name="_Toc525904353"/>
      <w:bookmarkStart w:id="144" w:name="_Toc525904597"/>
      <w:r w:rsidRPr="00F93834">
        <w:rPr>
          <w:snapToGrid w:val="0"/>
          <w:color w:val="000000"/>
          <w:kern w:val="22"/>
          <w:szCs w:val="22"/>
          <w:lang w:val="fr-FR"/>
        </w:rPr>
        <w:t>I.</w:t>
      </w:r>
      <w:r w:rsidRPr="00F93834">
        <w:rPr>
          <w:snapToGrid w:val="0"/>
          <w:color w:val="000000"/>
          <w:kern w:val="22"/>
          <w:szCs w:val="22"/>
          <w:lang w:val="fr-FR"/>
        </w:rPr>
        <w:tab/>
        <w:t>MODIFICATION des DESCRIPTIONS des AIEB</w:t>
      </w:r>
      <w:bookmarkEnd w:id="142"/>
      <w:bookmarkEnd w:id="143"/>
      <w:bookmarkEnd w:id="144"/>
    </w:p>
    <w:p w:rsidR="009F6935" w:rsidRPr="00F93834" w:rsidRDefault="009F6935" w:rsidP="009F6935">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snapToGrid w:val="0"/>
          <w:kern w:val="22"/>
          <w:szCs w:val="22"/>
          <w:lang w:val="fr-FR"/>
        </w:rPr>
      </w:pPr>
      <w:bookmarkStart w:id="145" w:name="_Toc525904195"/>
      <w:bookmarkStart w:id="146" w:name="_Toc525904354"/>
      <w:bookmarkStart w:id="147" w:name="_Toc525904598"/>
      <w:r w:rsidRPr="00F93834">
        <w:rPr>
          <w:snapToGrid w:val="0"/>
          <w:kern w:val="22"/>
          <w:szCs w:val="22"/>
          <w:lang w:val="fr-FR"/>
        </w:rPr>
        <w:lastRenderedPageBreak/>
        <w:t>A.</w:t>
      </w:r>
      <w:r w:rsidRPr="00F93834">
        <w:rPr>
          <w:snapToGrid w:val="0"/>
          <w:kern w:val="22"/>
          <w:szCs w:val="22"/>
          <w:lang w:val="fr-FR"/>
        </w:rPr>
        <w:tab/>
        <w:t>Introduction</w:t>
      </w:r>
      <w:bookmarkEnd w:id="145"/>
      <w:bookmarkEnd w:id="146"/>
      <w:bookmarkEnd w:id="147"/>
    </w:p>
    <w:p w:rsidR="009F6935" w:rsidRPr="00F93834" w:rsidRDefault="009F6935" w:rsidP="009F6935">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93834">
        <w:rPr>
          <w:snapToGrid w:val="0"/>
          <w:kern w:val="22"/>
          <w:szCs w:val="22"/>
          <w:lang w:val="fr-FR"/>
        </w:rPr>
        <w:t>1.</w:t>
      </w:r>
      <w:r w:rsidRPr="00F93834">
        <w:rPr>
          <w:snapToGrid w:val="0"/>
          <w:kern w:val="22"/>
          <w:szCs w:val="22"/>
          <w:lang w:val="fr-FR"/>
        </w:rPr>
        <w:tab/>
        <w:t xml:space="preserve">La description des aires </w:t>
      </w:r>
      <w:r>
        <w:rPr>
          <w:snapToGrid w:val="0"/>
          <w:kern w:val="22"/>
          <w:szCs w:val="22"/>
          <w:lang w:val="fr-FR"/>
        </w:rPr>
        <w:t>qui réponde</w:t>
      </w:r>
      <w:r w:rsidRPr="00F93834">
        <w:rPr>
          <w:snapToGrid w:val="0"/>
          <w:kern w:val="22"/>
          <w:szCs w:val="22"/>
          <w:lang w:val="fr-FR"/>
        </w:rPr>
        <w:t>nt aux critères des aires marines d’importance éc</w:t>
      </w:r>
      <w:r>
        <w:rPr>
          <w:snapToGrid w:val="0"/>
          <w:kern w:val="22"/>
          <w:szCs w:val="22"/>
          <w:lang w:val="fr-FR"/>
        </w:rPr>
        <w:t>ologique ou biologique</w:t>
      </w:r>
      <w:r w:rsidRPr="00010EA0">
        <w:rPr>
          <w:rStyle w:val="FootnoteReference"/>
          <w:rFonts w:eastAsiaTheme="majorEastAsia"/>
          <w:snapToGrid w:val="0"/>
          <w:kern w:val="22"/>
          <w:sz w:val="20"/>
          <w:szCs w:val="20"/>
          <w:u w:val="none"/>
          <w:vertAlign w:val="superscript"/>
          <w:lang w:val="fr-FR"/>
        </w:rPr>
        <w:footnoteReference w:id="84"/>
      </w:r>
      <w:r w:rsidRPr="00F93834">
        <w:rPr>
          <w:snapToGrid w:val="0"/>
          <w:kern w:val="22"/>
          <w:szCs w:val="22"/>
          <w:lang w:val="fr-FR"/>
        </w:rPr>
        <w:t xml:space="preserve"> </w:t>
      </w:r>
      <w:r>
        <w:rPr>
          <w:snapToGrid w:val="0"/>
          <w:kern w:val="22"/>
          <w:szCs w:val="22"/>
          <w:lang w:val="fr-FR"/>
        </w:rPr>
        <w:t xml:space="preserve">comprend </w:t>
      </w:r>
      <w:r w:rsidRPr="00F93834">
        <w:rPr>
          <w:snapToGrid w:val="0"/>
          <w:kern w:val="22"/>
          <w:szCs w:val="22"/>
          <w:lang w:val="fr-FR"/>
        </w:rPr>
        <w:t>une description textuelle et un polygone de la zone, tels qu’énoncés dans les décisions pertinentes de la Conférence des Parties à la Convention, y compris les décisions XI/17, XII/22, et XIII/12, et présentés dans le registre des AIEB.</w:t>
      </w:r>
    </w:p>
    <w:p w:rsidR="009F6935" w:rsidRPr="00F93834" w:rsidRDefault="009F6935" w:rsidP="009F6935">
      <w:pPr>
        <w:suppressLineNumbers/>
        <w:suppressAutoHyphens/>
        <w:kinsoku w:val="0"/>
        <w:overflowPunct w:val="0"/>
        <w:autoSpaceDE w:val="0"/>
        <w:autoSpaceDN w:val="0"/>
        <w:adjustRightInd w:val="0"/>
        <w:snapToGrid w:val="0"/>
        <w:spacing w:before="120" w:after="240"/>
        <w:rPr>
          <w:snapToGrid w:val="0"/>
          <w:kern w:val="22"/>
          <w:szCs w:val="22"/>
          <w:lang w:val="fr-FR"/>
        </w:rPr>
      </w:pPr>
      <w:r w:rsidRPr="00F93834">
        <w:rPr>
          <w:snapToGrid w:val="0"/>
          <w:kern w:val="22"/>
          <w:szCs w:val="22"/>
          <w:lang w:val="fr-FR"/>
        </w:rPr>
        <w:t>2.</w:t>
      </w:r>
      <w:r w:rsidRPr="00F93834">
        <w:rPr>
          <w:snapToGrid w:val="0"/>
          <w:kern w:val="22"/>
          <w:szCs w:val="22"/>
          <w:lang w:val="fr-FR"/>
        </w:rPr>
        <w:tab/>
        <w:t>Les modifications apportées aux descriptions des AIEB changent les descriptions textuelles des aires répondant aux critères des AIEB, tel</w:t>
      </w:r>
      <w:r>
        <w:rPr>
          <w:snapToGrid w:val="0"/>
          <w:kern w:val="22"/>
          <w:szCs w:val="22"/>
          <w:lang w:val="fr-FR"/>
        </w:rPr>
        <w:t>s qu’énoncé</w:t>
      </w:r>
      <w:r w:rsidRPr="00F93834">
        <w:rPr>
          <w:snapToGrid w:val="0"/>
          <w:kern w:val="22"/>
          <w:szCs w:val="22"/>
          <w:lang w:val="fr-FR"/>
        </w:rPr>
        <w:t xml:space="preserve">s dans les décisions énumérées ci-dessus, et/ou les polygones des zones présentées dans </w:t>
      </w:r>
      <w:r>
        <w:rPr>
          <w:snapToGrid w:val="0"/>
          <w:kern w:val="22"/>
          <w:szCs w:val="22"/>
          <w:lang w:val="fr-FR"/>
        </w:rPr>
        <w:t xml:space="preserve">le registre des AIEB. Comme </w:t>
      </w:r>
      <w:r w:rsidRPr="00F93834">
        <w:rPr>
          <w:snapToGrid w:val="0"/>
          <w:kern w:val="22"/>
          <w:szCs w:val="22"/>
          <w:lang w:val="fr-FR"/>
        </w:rPr>
        <w:t xml:space="preserve">demandé </w:t>
      </w:r>
      <w:r>
        <w:rPr>
          <w:snapToGrid w:val="0"/>
          <w:kern w:val="22"/>
          <w:szCs w:val="22"/>
          <w:lang w:val="fr-FR"/>
        </w:rPr>
        <w:t xml:space="preserve">par </w:t>
      </w:r>
      <w:r w:rsidRPr="00F93834">
        <w:rPr>
          <w:snapToGrid w:val="0"/>
          <w:kern w:val="22"/>
          <w:szCs w:val="22"/>
          <w:lang w:val="fr-FR"/>
        </w:rPr>
        <w:t>la Conférence des Parties dans les décisions XI/17, XII/22 et XIII/12, les descriptions figurant dans le registre des AIEB peuvent être modifiées par une décision de la Conférence des Parties.</w:t>
      </w:r>
    </w:p>
    <w:p w:rsidR="009F6935" w:rsidRPr="00F93834" w:rsidRDefault="009F6935" w:rsidP="009F6935">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b w:val="0"/>
          <w:snapToGrid w:val="0"/>
          <w:kern w:val="22"/>
          <w:szCs w:val="22"/>
          <w:lang w:val="fr-FR"/>
        </w:rPr>
      </w:pPr>
      <w:bookmarkStart w:id="148" w:name="_Toc525904196"/>
      <w:bookmarkStart w:id="149" w:name="_Toc525904355"/>
      <w:bookmarkStart w:id="150" w:name="_Toc525904599"/>
      <w:r w:rsidRPr="00F93834">
        <w:rPr>
          <w:snapToGrid w:val="0"/>
          <w:kern w:val="22"/>
          <w:szCs w:val="22"/>
          <w:lang w:val="fr-FR"/>
        </w:rPr>
        <w:t>B.</w:t>
      </w:r>
      <w:r w:rsidRPr="00F93834">
        <w:rPr>
          <w:snapToGrid w:val="0"/>
          <w:kern w:val="22"/>
          <w:szCs w:val="22"/>
          <w:lang w:val="fr-FR"/>
        </w:rPr>
        <w:tab/>
        <w:t>Raisons de la modification des descriptions des AIEB</w:t>
      </w:r>
      <w:bookmarkEnd w:id="148"/>
      <w:bookmarkEnd w:id="149"/>
      <w:bookmarkEnd w:id="150"/>
    </w:p>
    <w:p w:rsidR="009F6935" w:rsidRPr="00F93834" w:rsidRDefault="009F6935" w:rsidP="009F6935">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93834">
        <w:rPr>
          <w:snapToGrid w:val="0"/>
          <w:kern w:val="22"/>
          <w:szCs w:val="22"/>
          <w:lang w:val="fr-FR"/>
        </w:rPr>
        <w:t>3.</w:t>
      </w:r>
      <w:r w:rsidRPr="00F93834">
        <w:rPr>
          <w:snapToGrid w:val="0"/>
          <w:kern w:val="22"/>
          <w:szCs w:val="22"/>
          <w:lang w:val="fr-FR"/>
        </w:rPr>
        <w:tab/>
      </w:r>
      <w:r>
        <w:rPr>
          <w:snapToGrid w:val="0"/>
          <w:kern w:val="22"/>
          <w:szCs w:val="22"/>
          <w:lang w:val="fr-FR"/>
        </w:rPr>
        <w:t xml:space="preserve">Les raisons </w:t>
      </w:r>
      <w:r w:rsidRPr="00F93834">
        <w:rPr>
          <w:snapToGrid w:val="0"/>
          <w:kern w:val="22"/>
          <w:szCs w:val="22"/>
          <w:lang w:val="fr-FR"/>
        </w:rPr>
        <w:t>de la modificatio</w:t>
      </w:r>
      <w:r>
        <w:rPr>
          <w:snapToGrid w:val="0"/>
          <w:kern w:val="22"/>
          <w:szCs w:val="22"/>
          <w:lang w:val="fr-FR"/>
        </w:rPr>
        <w:t>n des descriptions des AIEB incluent</w:t>
      </w:r>
      <w:r w:rsidRPr="00F93834">
        <w:rPr>
          <w:snapToGrid w:val="0"/>
          <w:kern w:val="22"/>
          <w:szCs w:val="22"/>
          <w:lang w:val="fr-FR"/>
        </w:rPr>
        <w:t xml:space="preserve"> notamment les suivantes :</w:t>
      </w:r>
    </w:p>
    <w:p w:rsidR="009F6935" w:rsidRPr="00F93834" w:rsidRDefault="009F6935" w:rsidP="00004EAF">
      <w:pPr>
        <w:numPr>
          <w:ilvl w:val="0"/>
          <w:numId w:val="42"/>
        </w:numPr>
        <w:suppressLineNumbers/>
        <w:suppressAutoHyphens/>
        <w:kinsoku w:val="0"/>
        <w:overflowPunct w:val="0"/>
        <w:autoSpaceDE w:val="0"/>
        <w:autoSpaceDN w:val="0"/>
        <w:adjustRightInd w:val="0"/>
        <w:snapToGrid w:val="0"/>
        <w:spacing w:after="120"/>
        <w:ind w:left="0" w:firstLine="709"/>
        <w:rPr>
          <w:snapToGrid w:val="0"/>
          <w:kern w:val="22"/>
          <w:szCs w:val="22"/>
          <w:lang w:val="fr-FR"/>
        </w:rPr>
      </w:pPr>
      <w:r w:rsidRPr="00F93834">
        <w:rPr>
          <w:snapToGrid w:val="0"/>
          <w:kern w:val="22"/>
          <w:szCs w:val="22"/>
          <w:lang w:val="fr-FR"/>
        </w:rPr>
        <w:t xml:space="preserve">Il existe des informations scientifiques et techniques disponibles ou accessibles depuis peu, grâce notamment à des compétences, à des approches méthodologiques ou à des méthodes analytiques avancées, ainsi que des connaissances </w:t>
      </w:r>
      <w:r>
        <w:rPr>
          <w:snapToGrid w:val="0"/>
          <w:kern w:val="22"/>
          <w:szCs w:val="22"/>
          <w:lang w:val="fr-FR"/>
        </w:rPr>
        <w:t>[</w:t>
      </w:r>
      <w:r w:rsidRPr="00F93834">
        <w:rPr>
          <w:snapToGrid w:val="0"/>
          <w:kern w:val="22"/>
          <w:szCs w:val="22"/>
          <w:lang w:val="fr-FR"/>
        </w:rPr>
        <w:t>autochtones et locales</w:t>
      </w:r>
      <w:r>
        <w:rPr>
          <w:snapToGrid w:val="0"/>
          <w:kern w:val="22"/>
          <w:szCs w:val="22"/>
          <w:lang w:val="fr-FR"/>
        </w:rPr>
        <w:t>] [traditionnelles]</w:t>
      </w:r>
      <w:r w:rsidRPr="00F93834">
        <w:rPr>
          <w:snapToGrid w:val="0"/>
          <w:kern w:val="22"/>
          <w:szCs w:val="22"/>
          <w:lang w:val="fr-FR"/>
        </w:rPr>
        <w:t xml:space="preserve"> accessibles depuis peu,</w:t>
      </w:r>
      <w:r>
        <w:rPr>
          <w:snapToGrid w:val="0"/>
          <w:kern w:val="22"/>
          <w:szCs w:val="22"/>
          <w:lang w:val="fr-FR"/>
        </w:rPr>
        <w:t xml:space="preserve"> </w:t>
      </w:r>
      <w:r w:rsidRPr="00F93834">
        <w:rPr>
          <w:snapToGrid w:val="0"/>
          <w:kern w:val="22"/>
          <w:szCs w:val="22"/>
          <w:lang w:val="fr-FR"/>
        </w:rPr>
        <w:t>sur les caract</w:t>
      </w:r>
      <w:r>
        <w:rPr>
          <w:snapToGrid w:val="0"/>
          <w:kern w:val="22"/>
          <w:szCs w:val="22"/>
          <w:lang w:val="fr-FR"/>
        </w:rPr>
        <w:t>éristiques associées à une aire</w:t>
      </w:r>
      <w:r w:rsidRPr="00F93834">
        <w:rPr>
          <w:snapToGrid w:val="0"/>
          <w:kern w:val="22"/>
          <w:szCs w:val="22"/>
          <w:lang w:val="fr-FR"/>
        </w:rPr>
        <w:t>;</w:t>
      </w:r>
    </w:p>
    <w:p w:rsidR="009F6935" w:rsidRPr="00F93834" w:rsidRDefault="009F6935" w:rsidP="00004EAF">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Pr>
          <w:snapToGrid w:val="0"/>
          <w:kern w:val="22"/>
          <w:szCs w:val="22"/>
          <w:lang w:val="fr-FR"/>
        </w:rPr>
        <w:t xml:space="preserve">Il y a eu un changement </w:t>
      </w:r>
      <w:r w:rsidRPr="00F93834">
        <w:rPr>
          <w:snapToGrid w:val="0"/>
          <w:kern w:val="22"/>
          <w:szCs w:val="22"/>
          <w:lang w:val="fr-FR"/>
        </w:rPr>
        <w:t xml:space="preserve">dans les informations </w:t>
      </w:r>
      <w:r>
        <w:rPr>
          <w:snapToGrid w:val="0"/>
          <w:kern w:val="22"/>
          <w:szCs w:val="22"/>
          <w:lang w:val="fr-FR"/>
        </w:rPr>
        <w:t>utilisées pour décrire les AIEB</w:t>
      </w:r>
      <w:r w:rsidRPr="00F93834">
        <w:rPr>
          <w:snapToGrid w:val="0"/>
          <w:kern w:val="22"/>
          <w:szCs w:val="22"/>
          <w:lang w:val="fr-FR"/>
        </w:rPr>
        <w:t>;</w:t>
      </w:r>
    </w:p>
    <w:p w:rsidR="009F6935" w:rsidRPr="00F93834" w:rsidRDefault="009F6935" w:rsidP="00004EAF">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Pr>
          <w:snapToGrid w:val="0"/>
          <w:kern w:val="22"/>
          <w:szCs w:val="22"/>
          <w:lang w:val="fr-FR"/>
        </w:rPr>
        <w:t xml:space="preserve">Il y a eu un changement </w:t>
      </w:r>
      <w:r w:rsidRPr="00F93834">
        <w:rPr>
          <w:snapToGrid w:val="0"/>
          <w:kern w:val="22"/>
          <w:szCs w:val="22"/>
          <w:lang w:val="fr-FR"/>
        </w:rPr>
        <w:t>dans la/les caractéristique(s) écologique(s) o</w:t>
      </w:r>
      <w:r>
        <w:rPr>
          <w:snapToGrid w:val="0"/>
          <w:kern w:val="22"/>
          <w:szCs w:val="22"/>
          <w:lang w:val="fr-FR"/>
        </w:rPr>
        <w:t>u biologique(s) d’une AIEB, qui peut aboutir à un changement dans le classement de l’aire</w:t>
      </w:r>
      <w:r w:rsidRPr="00F93834">
        <w:rPr>
          <w:snapToGrid w:val="0"/>
          <w:kern w:val="22"/>
          <w:szCs w:val="22"/>
          <w:lang w:val="fr-FR"/>
        </w:rPr>
        <w:t xml:space="preserve"> selon les critères établis</w:t>
      </w:r>
      <w:r>
        <w:rPr>
          <w:snapToGrid w:val="0"/>
          <w:kern w:val="22"/>
          <w:szCs w:val="22"/>
          <w:lang w:val="fr-FR"/>
        </w:rPr>
        <w:t xml:space="preserve"> pour les AIEB</w:t>
      </w:r>
      <w:r w:rsidRPr="00F93834">
        <w:rPr>
          <w:snapToGrid w:val="0"/>
          <w:kern w:val="22"/>
          <w:szCs w:val="22"/>
          <w:lang w:val="fr-FR"/>
        </w:rPr>
        <w:t xml:space="preserve">, ou </w:t>
      </w:r>
      <w:r>
        <w:rPr>
          <w:snapToGrid w:val="0"/>
          <w:kern w:val="22"/>
          <w:szCs w:val="22"/>
          <w:lang w:val="fr-FR"/>
        </w:rPr>
        <w:t>à un changement dans le</w:t>
      </w:r>
      <w:r w:rsidRPr="00F93834">
        <w:rPr>
          <w:snapToGrid w:val="0"/>
          <w:kern w:val="22"/>
          <w:szCs w:val="22"/>
          <w:lang w:val="fr-FR"/>
        </w:rPr>
        <w:t xml:space="preserve"> polygone </w:t>
      </w:r>
      <w:r>
        <w:rPr>
          <w:snapToGrid w:val="0"/>
          <w:kern w:val="22"/>
          <w:szCs w:val="22"/>
          <w:lang w:val="fr-FR"/>
        </w:rPr>
        <w:t>de l’aire</w:t>
      </w:r>
      <w:r w:rsidRPr="00F93834">
        <w:rPr>
          <w:snapToGrid w:val="0"/>
          <w:kern w:val="22"/>
          <w:szCs w:val="22"/>
          <w:lang w:val="fr-FR"/>
        </w:rPr>
        <w:t>;</w:t>
      </w:r>
    </w:p>
    <w:p w:rsidR="009F6935" w:rsidRPr="00F93834" w:rsidRDefault="009F6935" w:rsidP="00004EAF">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sidRPr="00F93834">
        <w:rPr>
          <w:snapToGrid w:val="0"/>
          <w:kern w:val="22"/>
          <w:szCs w:val="22"/>
          <w:lang w:val="fr-FR"/>
        </w:rPr>
        <w:t>Des erreurs scientifiques ont été constatées</w:t>
      </w:r>
      <w:r>
        <w:rPr>
          <w:snapToGrid w:val="0"/>
          <w:kern w:val="22"/>
          <w:szCs w:val="22"/>
          <w:lang w:val="fr-FR"/>
        </w:rPr>
        <w:t xml:space="preserve"> dans les descriptions des AIEB</w:t>
      </w:r>
      <w:r w:rsidRPr="00F93834">
        <w:rPr>
          <w:snapToGrid w:val="0"/>
          <w:kern w:val="22"/>
          <w:szCs w:val="22"/>
          <w:lang w:val="fr-FR"/>
        </w:rPr>
        <w:t xml:space="preserve">; </w:t>
      </w:r>
    </w:p>
    <w:p w:rsidR="009F6935" w:rsidRPr="00F93834" w:rsidRDefault="009F6935" w:rsidP="00004EAF">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sidRPr="00F93834">
        <w:rPr>
          <w:snapToGrid w:val="0"/>
          <w:kern w:val="22"/>
          <w:szCs w:val="22"/>
          <w:lang w:val="fr-FR"/>
        </w:rPr>
        <w:t xml:space="preserve">Des modifications ont été apportées au </w:t>
      </w:r>
      <w:r>
        <w:rPr>
          <w:snapToGrid w:val="0"/>
          <w:kern w:val="22"/>
          <w:szCs w:val="22"/>
          <w:lang w:val="fr-FR"/>
        </w:rPr>
        <w:t>modèle de présentation des AIEB</w:t>
      </w:r>
      <w:r w:rsidRPr="00F93834">
        <w:rPr>
          <w:snapToGrid w:val="0"/>
          <w:kern w:val="22"/>
          <w:szCs w:val="22"/>
          <w:lang w:val="fr-FR"/>
        </w:rPr>
        <w:t>;</w:t>
      </w:r>
    </w:p>
    <w:p w:rsidR="009F6935" w:rsidRPr="00F93834" w:rsidRDefault="009F6935" w:rsidP="00004EAF">
      <w:pPr>
        <w:numPr>
          <w:ilvl w:val="0"/>
          <w:numId w:val="42"/>
        </w:numPr>
        <w:suppressLineNumbers/>
        <w:suppressAutoHyphens/>
        <w:kinsoku w:val="0"/>
        <w:overflowPunct w:val="0"/>
        <w:autoSpaceDE w:val="0"/>
        <w:autoSpaceDN w:val="0"/>
        <w:adjustRightInd w:val="0"/>
        <w:snapToGrid w:val="0"/>
        <w:spacing w:after="120"/>
        <w:ind w:left="0" w:firstLine="720"/>
        <w:rPr>
          <w:snapToGrid w:val="0"/>
          <w:kern w:val="22"/>
          <w:szCs w:val="22"/>
          <w:lang w:val="fr-FR"/>
        </w:rPr>
      </w:pPr>
      <w:r w:rsidRPr="00F93834">
        <w:rPr>
          <w:snapToGrid w:val="0"/>
          <w:kern w:val="22"/>
          <w:szCs w:val="22"/>
          <w:lang w:val="fr-FR"/>
        </w:rPr>
        <w:t>Toute autre raison fondée sur des informations scientifiques et techniques.</w:t>
      </w:r>
    </w:p>
    <w:p w:rsidR="009F6935" w:rsidRPr="00F93834" w:rsidRDefault="009F6935" w:rsidP="009F6935">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rPr>
          <w:snapToGrid w:val="0"/>
          <w:kern w:val="22"/>
          <w:szCs w:val="22"/>
          <w:lang w:val="fr-FR"/>
        </w:rPr>
      </w:pPr>
    </w:p>
    <w:p w:rsidR="009F6935" w:rsidRPr="00F93834" w:rsidRDefault="009F6935" w:rsidP="009F6935">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240"/>
        <w:rPr>
          <w:b w:val="0"/>
          <w:snapToGrid w:val="0"/>
          <w:kern w:val="22"/>
          <w:szCs w:val="22"/>
          <w:lang w:val="fr-FR"/>
        </w:rPr>
      </w:pPr>
      <w:bookmarkStart w:id="151" w:name="_Toc525904197"/>
      <w:bookmarkStart w:id="152" w:name="_Toc525904356"/>
      <w:bookmarkStart w:id="153" w:name="_Toc525904600"/>
      <w:r w:rsidRPr="00F93834">
        <w:rPr>
          <w:snapToGrid w:val="0"/>
          <w:kern w:val="22"/>
          <w:szCs w:val="22"/>
          <w:lang w:val="fr-FR"/>
        </w:rPr>
        <w:t>C.</w:t>
      </w:r>
      <w:r w:rsidRPr="00F93834">
        <w:rPr>
          <w:snapToGrid w:val="0"/>
          <w:kern w:val="22"/>
          <w:szCs w:val="22"/>
          <w:lang w:val="fr-FR"/>
        </w:rPr>
        <w:tab/>
        <w:t>Acteurs autorisés à proposer une modification des descriptions des AIEB</w:t>
      </w:r>
      <w:bookmarkEnd w:id="151"/>
      <w:bookmarkEnd w:id="152"/>
      <w:bookmarkEnd w:id="153"/>
    </w:p>
    <w:p w:rsidR="009F6935" w:rsidRPr="00F93834" w:rsidRDefault="009F6935" w:rsidP="009F6935">
      <w:pPr>
        <w:suppressLineNumbers/>
        <w:suppressAutoHyphens/>
        <w:kinsoku w:val="0"/>
        <w:overflowPunct w:val="0"/>
        <w:autoSpaceDE w:val="0"/>
        <w:autoSpaceDN w:val="0"/>
        <w:adjustRightInd w:val="0"/>
        <w:snapToGrid w:val="0"/>
        <w:spacing w:before="120" w:after="120"/>
        <w:rPr>
          <w:snapToGrid w:val="0"/>
          <w:kern w:val="22"/>
          <w:szCs w:val="22"/>
          <w:lang w:val="fr-FR"/>
        </w:rPr>
      </w:pPr>
      <w:r w:rsidRPr="00F93834">
        <w:rPr>
          <w:snapToGrid w:val="0"/>
          <w:kern w:val="22"/>
          <w:szCs w:val="22"/>
          <w:lang w:val="fr-FR"/>
        </w:rPr>
        <w:t>4.</w:t>
      </w:r>
      <w:r w:rsidRPr="00F93834">
        <w:rPr>
          <w:snapToGrid w:val="0"/>
          <w:kern w:val="22"/>
          <w:szCs w:val="22"/>
          <w:lang w:val="fr-FR"/>
        </w:rPr>
        <w:tab/>
        <w:t>Les acteurs suivants peuvent proposer une modification des descriptions des AIEB à tout moment :</w:t>
      </w:r>
    </w:p>
    <w:p w:rsidR="009F6935" w:rsidRPr="00F93834" w:rsidRDefault="009F6935" w:rsidP="009F6935">
      <w:pPr>
        <w:pStyle w:val="ListParagraph"/>
        <w:suppressLineNumbers/>
        <w:suppressAutoHyphens/>
        <w:kinsoku w:val="0"/>
        <w:overflowPunct w:val="0"/>
        <w:autoSpaceDE w:val="0"/>
        <w:autoSpaceDN w:val="0"/>
        <w:adjustRightInd w:val="0"/>
        <w:snapToGrid w:val="0"/>
        <w:spacing w:before="120" w:after="120"/>
        <w:ind w:left="709"/>
        <w:contextualSpacing w:val="0"/>
        <w:rPr>
          <w:b/>
          <w:iCs/>
          <w:snapToGrid w:val="0"/>
          <w:kern w:val="22"/>
          <w:lang w:val="fr-FR"/>
        </w:rPr>
      </w:pPr>
      <w:r w:rsidRPr="00F93834">
        <w:rPr>
          <w:b/>
          <w:iCs/>
          <w:snapToGrid w:val="0"/>
          <w:kern w:val="22"/>
          <w:lang w:val="fr-FR"/>
        </w:rPr>
        <w:t>Première option</w:t>
      </w:r>
    </w:p>
    <w:p w:rsidR="009F6935" w:rsidRPr="009664BA" w:rsidRDefault="009F6935" w:rsidP="009F6935">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9664BA">
        <w:rPr>
          <w:b/>
          <w:snapToGrid w:val="0"/>
          <w:kern w:val="22"/>
          <w:lang w:val="fr-FR"/>
        </w:rPr>
        <w:t>[</w:t>
      </w:r>
      <w:r w:rsidRPr="00F93834">
        <w:rPr>
          <w:snapToGrid w:val="0"/>
          <w:kern w:val="22"/>
          <w:lang w:val="fr-FR"/>
        </w:rPr>
        <w:t>a)</w:t>
      </w:r>
      <w:r w:rsidRPr="00F93834">
        <w:rPr>
          <w:snapToGrid w:val="0"/>
          <w:kern w:val="22"/>
          <w:lang w:val="fr-FR"/>
        </w:rPr>
        <w:tab/>
        <w:t xml:space="preserve">Pour les AIEB relevant de la juridiction nationale : l’État côtier </w:t>
      </w:r>
      <w:r w:rsidRPr="009664BA">
        <w:rPr>
          <w:snapToGrid w:val="0"/>
          <w:kern w:val="22"/>
          <w:szCs w:val="22"/>
          <w:lang w:val="fr-FR"/>
        </w:rPr>
        <w:t>[</w:t>
      </w:r>
      <w:r w:rsidRPr="00F93834">
        <w:rPr>
          <w:snapToGrid w:val="0"/>
          <w:kern w:val="22"/>
          <w:lang w:val="fr-FR"/>
        </w:rPr>
        <w:t xml:space="preserve">dont </w:t>
      </w:r>
      <w:r>
        <w:rPr>
          <w:snapToGrid w:val="0"/>
          <w:kern w:val="22"/>
          <w:lang w:val="fr-FR"/>
        </w:rPr>
        <w:t>la juridiction s’étend à l’aire</w:t>
      </w:r>
      <w:r w:rsidRPr="009664BA">
        <w:rPr>
          <w:snapToGrid w:val="0"/>
          <w:kern w:val="22"/>
          <w:szCs w:val="22"/>
          <w:lang w:val="fr-FR"/>
        </w:rPr>
        <w:t>]</w:t>
      </w:r>
      <w:r>
        <w:rPr>
          <w:snapToGrid w:val="0"/>
          <w:kern w:val="22"/>
          <w:szCs w:val="22"/>
          <w:lang w:val="fr-FR"/>
        </w:rPr>
        <w:t>;</w:t>
      </w:r>
    </w:p>
    <w:p w:rsidR="009F6935" w:rsidRPr="00F93834" w:rsidRDefault="009F6935" w:rsidP="009F6935">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eastAsia="Malgun Gothic"/>
          <w:snapToGrid w:val="0"/>
          <w:kern w:val="22"/>
          <w:lang w:val="fr-FR"/>
        </w:rPr>
      </w:pPr>
      <w:r w:rsidRPr="00F93834">
        <w:rPr>
          <w:bCs/>
          <w:snapToGrid w:val="0"/>
          <w:kern w:val="22"/>
          <w:lang w:val="fr-FR"/>
        </w:rPr>
        <w:t xml:space="preserve">b) </w:t>
      </w:r>
      <w:r w:rsidRPr="00F93834">
        <w:rPr>
          <w:bCs/>
          <w:snapToGrid w:val="0"/>
          <w:kern w:val="22"/>
          <w:lang w:val="fr-FR"/>
        </w:rPr>
        <w:tab/>
        <w:t xml:space="preserve">Pour les AIEB relevant de la juridiction nationale de plusieurs États : </w:t>
      </w:r>
      <w:r w:rsidRPr="00F93834">
        <w:rPr>
          <w:snapToGrid w:val="0"/>
          <w:kern w:val="22"/>
          <w:lang w:val="fr-FR"/>
        </w:rPr>
        <w:t>l’État/les États côtier(s) dans la juridiction duquel/desquels la modification est proposée, en concertation avec l’autre Éta</w:t>
      </w:r>
      <w:r>
        <w:rPr>
          <w:snapToGrid w:val="0"/>
          <w:kern w:val="22"/>
          <w:lang w:val="fr-FR"/>
        </w:rPr>
        <w:t>t/ les autres États concerné(s)</w:t>
      </w:r>
      <w:r w:rsidRPr="00F93834">
        <w:rPr>
          <w:snapToGrid w:val="0"/>
          <w:kern w:val="22"/>
          <w:lang w:val="fr-FR"/>
        </w:rPr>
        <w:t>;</w:t>
      </w:r>
    </w:p>
    <w:p w:rsidR="009F6935" w:rsidRPr="00F93834" w:rsidRDefault="009F6935" w:rsidP="009F6935">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F93834">
        <w:rPr>
          <w:bCs/>
          <w:snapToGrid w:val="0"/>
          <w:kern w:val="22"/>
          <w:lang w:val="fr-FR"/>
        </w:rPr>
        <w:t>c)</w:t>
      </w:r>
      <w:r w:rsidRPr="00F93834">
        <w:rPr>
          <w:bCs/>
          <w:snapToGrid w:val="0"/>
          <w:kern w:val="22"/>
          <w:lang w:val="fr-FR"/>
        </w:rPr>
        <w:tab/>
        <w:t xml:space="preserve">Pour les AIEB situées </w:t>
      </w:r>
      <w:r w:rsidRPr="00F93834">
        <w:rPr>
          <w:snapToGrid w:val="0"/>
          <w:kern w:val="22"/>
          <w:szCs w:val="22"/>
          <w:lang w:val="fr-FR"/>
        </w:rPr>
        <w:t>au-delà des limites de la juridiction nationale :</w:t>
      </w:r>
      <w:r w:rsidRPr="00F93834">
        <w:rPr>
          <w:snapToGrid w:val="0"/>
          <w:kern w:val="22"/>
          <w:lang w:val="fr-FR"/>
        </w:rPr>
        <w:t xml:space="preserve"> tout État ou toute organisation intergouvernementale compétente qui avise l’ensemble des États, </w:t>
      </w:r>
      <w:r>
        <w:rPr>
          <w:snapToGrid w:val="0"/>
          <w:kern w:val="22"/>
          <w:lang w:val="fr-FR"/>
        </w:rPr>
        <w:t>[</w:t>
      </w:r>
      <w:r w:rsidRPr="00F93834">
        <w:rPr>
          <w:snapToGrid w:val="0"/>
          <w:kern w:val="22"/>
          <w:lang w:val="fr-FR"/>
        </w:rPr>
        <w:t xml:space="preserve">sans préjudice de l’évolution suivie par </w:t>
      </w:r>
      <w:r>
        <w:rPr>
          <w:snapToGrid w:val="0"/>
          <w:kern w:val="22"/>
          <w:lang w:val="fr-FR"/>
        </w:rPr>
        <w:t>[</w:t>
      </w:r>
      <w:r w:rsidRPr="00F93834">
        <w:rPr>
          <w:snapToGrid w:val="0"/>
          <w:kern w:val="22"/>
          <w:lang w:val="fr-FR"/>
        </w:rPr>
        <w:t xml:space="preserve">le processus de l’Assemblée générale des </w:t>
      </w:r>
      <w:r w:rsidRPr="00F93834">
        <w:rPr>
          <w:snapToGrid w:val="0"/>
          <w:kern w:val="22"/>
          <w:szCs w:val="22"/>
          <w:lang w:val="fr-FR"/>
        </w:rPr>
        <w:t>Nations Unies</w:t>
      </w:r>
      <w:r w:rsidRPr="00F93834">
        <w:rPr>
          <w:snapToGrid w:val="0"/>
          <w:kern w:val="22"/>
          <w:lang w:val="fr-FR"/>
        </w:rPr>
        <w:t xml:space="preserve"> sur la diversité biologique dans les aires marines situées </w:t>
      </w:r>
      <w:r w:rsidRPr="00F93834">
        <w:rPr>
          <w:snapToGrid w:val="0"/>
          <w:kern w:val="22"/>
          <w:szCs w:val="22"/>
          <w:lang w:val="fr-FR"/>
        </w:rPr>
        <w:t>au-delà des limites de la juridiction nationale</w:t>
      </w:r>
      <w:r>
        <w:rPr>
          <w:snapToGrid w:val="0"/>
          <w:kern w:val="22"/>
          <w:szCs w:val="22"/>
          <w:lang w:val="fr-FR"/>
        </w:rPr>
        <w:t>]</w:t>
      </w:r>
      <w:r w:rsidRPr="00F93834">
        <w:rPr>
          <w:snapToGrid w:val="0"/>
          <w:kern w:val="22"/>
          <w:szCs w:val="22"/>
          <w:lang w:val="fr-FR"/>
        </w:rPr>
        <w:t xml:space="preserve"> </w:t>
      </w:r>
      <w:r>
        <w:rPr>
          <w:snapToGrid w:val="0"/>
          <w:kern w:val="22"/>
          <w:szCs w:val="22"/>
          <w:lang w:val="fr-FR"/>
        </w:rPr>
        <w:t>[</w:t>
      </w:r>
      <w:r w:rsidRPr="00F93834">
        <w:rPr>
          <w:i/>
          <w:iCs/>
          <w:snapToGrid w:val="0"/>
          <w:kern w:val="22"/>
          <w:szCs w:val="22"/>
          <w:lang w:val="fr-FR"/>
        </w:rPr>
        <w:t xml:space="preserve">la Conférence intergouvernementale sur l’instrument international juridiquement contraignant se rapportant à la Convention des Nations Unies sur le droit de la mer et portant sur la conservation et l’utilisation durable de la biodiversité marine des zones </w:t>
      </w:r>
      <w:r w:rsidRPr="00F93834">
        <w:rPr>
          <w:i/>
          <w:iCs/>
          <w:snapToGrid w:val="0"/>
          <w:kern w:val="22"/>
          <w:lang w:val="fr-FR"/>
        </w:rPr>
        <w:t xml:space="preserve">situées </w:t>
      </w:r>
      <w:r w:rsidRPr="00F93834">
        <w:rPr>
          <w:i/>
          <w:iCs/>
          <w:snapToGrid w:val="0"/>
          <w:kern w:val="22"/>
          <w:szCs w:val="22"/>
          <w:lang w:val="fr-FR"/>
        </w:rPr>
        <w:t>au-delà des limites de la juridiction nationale</w:t>
      </w:r>
      <w:r w:rsidRPr="009664BA">
        <w:rPr>
          <w:snapToGrid w:val="0"/>
          <w:kern w:val="22"/>
          <w:szCs w:val="22"/>
          <w:lang w:val="fr-FR"/>
        </w:rPr>
        <w:t>]]</w:t>
      </w:r>
      <w:r w:rsidRPr="009664BA">
        <w:rPr>
          <w:iCs/>
          <w:snapToGrid w:val="0"/>
          <w:kern w:val="22"/>
          <w:szCs w:val="22"/>
          <w:lang w:val="fr-FR"/>
        </w:rPr>
        <w:t>;</w:t>
      </w:r>
    </w:p>
    <w:p w:rsidR="009F6935" w:rsidRPr="00F93834" w:rsidRDefault="009F6935" w:rsidP="009F6935">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lang w:val="fr-FR"/>
        </w:rPr>
      </w:pPr>
      <w:r w:rsidRPr="00F93834">
        <w:rPr>
          <w:snapToGrid w:val="0"/>
          <w:kern w:val="22"/>
          <w:lang w:val="fr-FR"/>
        </w:rPr>
        <w:lastRenderedPageBreak/>
        <w:t>d)</w:t>
      </w:r>
      <w:r w:rsidRPr="00F93834">
        <w:rPr>
          <w:snapToGrid w:val="0"/>
          <w:kern w:val="22"/>
          <w:lang w:val="fr-FR"/>
        </w:rPr>
        <w:tab/>
        <w:t>Pour les AIEB dont les caractéristiques relèvent de la juridicti</w:t>
      </w:r>
      <w:r>
        <w:rPr>
          <w:snapToGrid w:val="0"/>
          <w:kern w:val="22"/>
          <w:lang w:val="fr-FR"/>
        </w:rPr>
        <w:t>on nationale et sont situées au-</w:t>
      </w:r>
      <w:r w:rsidRPr="00F93834">
        <w:rPr>
          <w:snapToGrid w:val="0"/>
          <w:kern w:val="22"/>
          <w:lang w:val="fr-FR"/>
        </w:rPr>
        <w:t xml:space="preserve">delà </w:t>
      </w:r>
      <w:r w:rsidRPr="00F93834">
        <w:rPr>
          <w:snapToGrid w:val="0"/>
          <w:kern w:val="22"/>
          <w:szCs w:val="22"/>
          <w:lang w:val="fr-FR"/>
        </w:rPr>
        <w:t xml:space="preserve">des limites </w:t>
      </w:r>
      <w:r w:rsidRPr="00F93834">
        <w:rPr>
          <w:snapToGrid w:val="0"/>
          <w:kern w:val="22"/>
          <w:lang w:val="fr-FR"/>
        </w:rPr>
        <w:t>de la juridiction nationale : le/les État(s) concerné(s) ou les organisations intergouvernementales compétentes, en concertation avec le/les État(s) concerné(s).</w:t>
      </w:r>
      <w:r w:rsidRPr="00E53C50">
        <w:rPr>
          <w:b/>
          <w:snapToGrid w:val="0"/>
          <w:kern w:val="22"/>
          <w:lang w:val="fr-FR"/>
        </w:rPr>
        <w:t>]</w:t>
      </w:r>
    </w:p>
    <w:p w:rsidR="009F6935" w:rsidRPr="00F93834" w:rsidRDefault="009F6935" w:rsidP="009F6935">
      <w:pPr>
        <w:pStyle w:val="ListParagraph"/>
        <w:suppressLineNumbers/>
        <w:suppressAutoHyphens/>
        <w:kinsoku w:val="0"/>
        <w:overflowPunct w:val="0"/>
        <w:autoSpaceDE w:val="0"/>
        <w:autoSpaceDN w:val="0"/>
        <w:adjustRightInd w:val="0"/>
        <w:snapToGrid w:val="0"/>
        <w:spacing w:before="120" w:after="120"/>
        <w:ind w:left="709"/>
        <w:contextualSpacing w:val="0"/>
        <w:rPr>
          <w:b/>
          <w:iCs/>
          <w:snapToGrid w:val="0"/>
          <w:kern w:val="22"/>
          <w:lang w:val="fr-FR"/>
        </w:rPr>
      </w:pPr>
      <w:r w:rsidRPr="00F93834">
        <w:rPr>
          <w:b/>
          <w:iCs/>
          <w:snapToGrid w:val="0"/>
          <w:kern w:val="22"/>
          <w:lang w:val="fr-FR"/>
        </w:rPr>
        <w:t>Deuxième option</w:t>
      </w:r>
    </w:p>
    <w:p w:rsidR="009F6935" w:rsidRPr="00F93834" w:rsidRDefault="009F6935" w:rsidP="009F6935">
      <w:pPr>
        <w:suppressLineNumbers/>
        <w:suppressAutoHyphens/>
        <w:kinsoku w:val="0"/>
        <w:overflowPunct w:val="0"/>
        <w:autoSpaceDE w:val="0"/>
        <w:autoSpaceDN w:val="0"/>
        <w:adjustRightInd w:val="0"/>
        <w:snapToGrid w:val="0"/>
        <w:spacing w:before="120" w:after="120"/>
        <w:ind w:left="710"/>
        <w:rPr>
          <w:snapToGrid w:val="0"/>
          <w:kern w:val="22"/>
          <w:lang w:val="fr-FR"/>
        </w:rPr>
      </w:pPr>
      <w:r w:rsidRPr="00CA5940">
        <w:rPr>
          <w:b/>
          <w:bCs/>
          <w:snapToGrid w:val="0"/>
          <w:kern w:val="22"/>
          <w:lang w:val="fr-FR"/>
        </w:rPr>
        <w:t>[</w:t>
      </w:r>
      <w:r w:rsidRPr="00F93834">
        <w:rPr>
          <w:bCs/>
          <w:snapToGrid w:val="0"/>
          <w:kern w:val="22"/>
          <w:lang w:val="fr-FR"/>
        </w:rPr>
        <w:t>a)</w:t>
      </w:r>
      <w:r w:rsidRPr="00F93834">
        <w:rPr>
          <w:bCs/>
          <w:snapToGrid w:val="0"/>
          <w:kern w:val="22"/>
          <w:lang w:val="fr-FR"/>
        </w:rPr>
        <w:tab/>
        <w:t>Pour les AIEB ou les zones des AIEB qui relèvent de la juridiction nationale :</w:t>
      </w:r>
      <w:r w:rsidRPr="00F93834">
        <w:rPr>
          <w:snapToGrid w:val="0"/>
          <w:kern w:val="22"/>
          <w:lang w:val="fr-FR"/>
        </w:rPr>
        <w:t xml:space="preserve"> l’État côtier </w:t>
      </w:r>
      <w:r>
        <w:rPr>
          <w:snapToGrid w:val="0"/>
          <w:kern w:val="22"/>
          <w:lang w:val="fr-FR"/>
        </w:rPr>
        <w:t>[</w:t>
      </w:r>
      <w:r w:rsidRPr="00F93834">
        <w:rPr>
          <w:snapToGrid w:val="0"/>
          <w:kern w:val="22"/>
          <w:lang w:val="fr-FR"/>
        </w:rPr>
        <w:t>qui exerce sa souveraineté, ses droits souverains ou</w:t>
      </w:r>
      <w:r>
        <w:rPr>
          <w:snapToGrid w:val="0"/>
          <w:kern w:val="22"/>
          <w:lang w:val="fr-FR"/>
        </w:rPr>
        <w:t>]</w:t>
      </w:r>
      <w:r w:rsidRPr="00F93834">
        <w:rPr>
          <w:snapToGrid w:val="0"/>
          <w:kern w:val="22"/>
          <w:lang w:val="fr-FR"/>
        </w:rPr>
        <w:t xml:space="preserve"> </w:t>
      </w:r>
      <w:r>
        <w:rPr>
          <w:snapToGrid w:val="0"/>
          <w:kern w:val="22"/>
          <w:lang w:val="fr-FR"/>
        </w:rPr>
        <w:t>[</w:t>
      </w:r>
      <w:r w:rsidRPr="00F93834">
        <w:rPr>
          <w:snapToGrid w:val="0"/>
          <w:kern w:val="22"/>
          <w:lang w:val="fr-FR"/>
        </w:rPr>
        <w:t>qui exerce</w:t>
      </w:r>
      <w:r>
        <w:rPr>
          <w:snapToGrid w:val="0"/>
          <w:kern w:val="22"/>
          <w:lang w:val="fr-FR"/>
        </w:rPr>
        <w:t>]</w:t>
      </w:r>
      <w:r w:rsidRPr="00F93834">
        <w:rPr>
          <w:snapToGrid w:val="0"/>
          <w:kern w:val="22"/>
          <w:lang w:val="fr-FR"/>
        </w:rPr>
        <w:t xml:space="preserve"> sa juridiction sur l’aire;</w:t>
      </w:r>
    </w:p>
    <w:p w:rsidR="009F6935" w:rsidRPr="00F93834" w:rsidRDefault="009F6935" w:rsidP="009F6935">
      <w:pPr>
        <w:suppressLineNumbers/>
        <w:suppressAutoHyphens/>
        <w:kinsoku w:val="0"/>
        <w:overflowPunct w:val="0"/>
        <w:autoSpaceDE w:val="0"/>
        <w:autoSpaceDN w:val="0"/>
        <w:adjustRightInd w:val="0"/>
        <w:snapToGrid w:val="0"/>
        <w:spacing w:before="120" w:after="120"/>
        <w:ind w:firstLine="709"/>
        <w:rPr>
          <w:snapToGrid w:val="0"/>
          <w:kern w:val="22"/>
          <w:lang w:val="fr-FR"/>
        </w:rPr>
      </w:pPr>
      <w:r>
        <w:rPr>
          <w:snapToGrid w:val="0"/>
          <w:kern w:val="22"/>
          <w:lang w:val="fr-FR"/>
        </w:rPr>
        <w:t>b</w:t>
      </w:r>
      <w:r w:rsidRPr="00F93834">
        <w:rPr>
          <w:snapToGrid w:val="0"/>
          <w:kern w:val="22"/>
          <w:lang w:val="fr-FR"/>
        </w:rPr>
        <w:t>)</w:t>
      </w:r>
      <w:r w:rsidRPr="00F93834">
        <w:rPr>
          <w:snapToGrid w:val="0"/>
          <w:kern w:val="22"/>
          <w:lang w:val="fr-FR"/>
        </w:rPr>
        <w:tab/>
        <w:t xml:space="preserve">Pour les AIEB ou les zones des AIEB situées au-delà </w:t>
      </w:r>
      <w:r w:rsidRPr="00F93834">
        <w:rPr>
          <w:snapToGrid w:val="0"/>
          <w:kern w:val="22"/>
          <w:szCs w:val="28"/>
          <w:lang w:val="fr-FR"/>
        </w:rPr>
        <w:t xml:space="preserve">des limites </w:t>
      </w:r>
      <w:r>
        <w:rPr>
          <w:snapToGrid w:val="0"/>
          <w:kern w:val="22"/>
          <w:lang w:val="fr-FR"/>
        </w:rPr>
        <w:t>de l</w:t>
      </w:r>
      <w:r w:rsidRPr="00F93834">
        <w:rPr>
          <w:snapToGrid w:val="0"/>
          <w:kern w:val="22"/>
          <w:lang w:val="fr-FR"/>
        </w:rPr>
        <w:t xml:space="preserve">a juridiction nationale : tout État ou toute organisation intergouvernementale compétente, </w:t>
      </w:r>
      <w:r>
        <w:rPr>
          <w:snapToGrid w:val="0"/>
          <w:kern w:val="22"/>
          <w:lang w:val="fr-FR"/>
        </w:rPr>
        <w:t xml:space="preserve">sous réserve d’aviser tous les États, </w:t>
      </w:r>
      <w:r w:rsidRPr="00F93834">
        <w:rPr>
          <w:snapToGrid w:val="0"/>
          <w:kern w:val="22"/>
          <w:lang w:val="fr-FR"/>
        </w:rPr>
        <w:t>sans préju</w:t>
      </w:r>
      <w:r>
        <w:rPr>
          <w:snapToGrid w:val="0"/>
          <w:kern w:val="22"/>
          <w:lang w:val="fr-FR"/>
        </w:rPr>
        <w:t>dice de l’évolution suivie par [</w:t>
      </w:r>
      <w:r w:rsidRPr="00F93834">
        <w:rPr>
          <w:snapToGrid w:val="0"/>
          <w:kern w:val="22"/>
          <w:lang w:val="fr-FR"/>
        </w:rPr>
        <w:t>le processus de l’Assemblée générale des Nations Unies sur la diversité biologique dans les aires marines situées au-delà des limites de la juridiction nationale</w:t>
      </w:r>
      <w:r>
        <w:rPr>
          <w:snapToGrid w:val="0"/>
          <w:kern w:val="22"/>
          <w:lang w:val="fr-FR"/>
        </w:rPr>
        <w:t>]</w:t>
      </w:r>
      <w:r w:rsidRPr="00F93834">
        <w:rPr>
          <w:snapToGrid w:val="0"/>
          <w:kern w:val="22"/>
          <w:lang w:val="fr-FR"/>
        </w:rPr>
        <w:t xml:space="preserve"> </w:t>
      </w:r>
      <w:r>
        <w:rPr>
          <w:snapToGrid w:val="0"/>
          <w:kern w:val="22"/>
          <w:lang w:val="fr-FR"/>
        </w:rPr>
        <w:t>[</w:t>
      </w:r>
      <w:r w:rsidRPr="00F93834">
        <w:rPr>
          <w:i/>
          <w:iCs/>
          <w:snapToGrid w:val="0"/>
          <w:kern w:val="22"/>
          <w:szCs w:val="22"/>
          <w:lang w:val="fr-FR"/>
        </w:rPr>
        <w:t xml:space="preserve">la Conférence intergouvernementale sur l’instrument international juridiquement contraignant se rapportant à la Convention des Nations Unies sur le droit de la mer et portant sur la conservation et l’utilisation durable de la biodiversité marine des zones </w:t>
      </w:r>
      <w:r w:rsidRPr="00F93834">
        <w:rPr>
          <w:i/>
          <w:iCs/>
          <w:snapToGrid w:val="0"/>
          <w:kern w:val="22"/>
          <w:lang w:val="fr-FR"/>
        </w:rPr>
        <w:t xml:space="preserve">situées </w:t>
      </w:r>
      <w:r w:rsidRPr="00F93834">
        <w:rPr>
          <w:i/>
          <w:iCs/>
          <w:snapToGrid w:val="0"/>
          <w:kern w:val="22"/>
          <w:szCs w:val="22"/>
          <w:lang w:val="fr-FR"/>
        </w:rPr>
        <w:t>au-delà des limites de la juridiction nationale</w:t>
      </w:r>
      <w:r>
        <w:rPr>
          <w:snapToGrid w:val="0"/>
          <w:kern w:val="22"/>
          <w:lang w:val="fr-FR"/>
        </w:rPr>
        <w:t>]</w:t>
      </w:r>
      <w:r w:rsidRPr="00F93834">
        <w:rPr>
          <w:snapToGrid w:val="0"/>
          <w:kern w:val="22"/>
          <w:lang w:val="fr-FR"/>
        </w:rPr>
        <w:t>.</w:t>
      </w:r>
      <w:r w:rsidRPr="006565C0">
        <w:rPr>
          <w:b/>
          <w:snapToGrid w:val="0"/>
          <w:kern w:val="22"/>
          <w:lang w:val="fr-FR"/>
        </w:rPr>
        <w:t>]</w:t>
      </w:r>
    </w:p>
    <w:p w:rsidR="009F6935" w:rsidRPr="0082536F" w:rsidRDefault="009F6935" w:rsidP="009F6935">
      <w:pPr>
        <w:suppressLineNumbers/>
        <w:suppressAutoHyphens/>
        <w:kinsoku w:val="0"/>
        <w:overflowPunct w:val="0"/>
        <w:autoSpaceDE w:val="0"/>
        <w:autoSpaceDN w:val="0"/>
        <w:adjustRightInd w:val="0"/>
        <w:snapToGrid w:val="0"/>
        <w:spacing w:after="240"/>
        <w:rPr>
          <w:rFonts w:eastAsia="Malgun Gothic"/>
          <w:snapToGrid w:val="0"/>
          <w:kern w:val="22"/>
          <w:lang w:val="fr-FR"/>
        </w:rPr>
      </w:pPr>
      <w:r w:rsidRPr="00F93834">
        <w:rPr>
          <w:snapToGrid w:val="0"/>
          <w:kern w:val="22"/>
          <w:lang w:val="fr-FR"/>
        </w:rPr>
        <w:t>5.</w:t>
      </w:r>
      <w:r w:rsidRPr="00F93834">
        <w:rPr>
          <w:snapToGrid w:val="0"/>
          <w:kern w:val="22"/>
          <w:lang w:val="fr-FR"/>
        </w:rPr>
        <w:tab/>
      </w:r>
      <w:r>
        <w:rPr>
          <w:rFonts w:eastAsia="Malgun Gothic"/>
          <w:snapToGrid w:val="0"/>
          <w:kern w:val="22"/>
          <w:lang w:val="fr-FR"/>
        </w:rPr>
        <w:t>Les dépositaire</w:t>
      </w:r>
      <w:r w:rsidRPr="00F93834">
        <w:rPr>
          <w:rFonts w:eastAsia="Malgun Gothic"/>
          <w:snapToGrid w:val="0"/>
          <w:kern w:val="22"/>
          <w:lang w:val="fr-FR"/>
        </w:rPr>
        <w:t>s de connaissances, y compris les organ</w:t>
      </w:r>
      <w:r>
        <w:rPr>
          <w:rFonts w:eastAsia="Malgun Gothic"/>
          <w:snapToGrid w:val="0"/>
          <w:kern w:val="22"/>
          <w:lang w:val="fr-FR"/>
        </w:rPr>
        <w:t>ismes de recherche scientifique</w:t>
      </w:r>
      <w:r w:rsidRPr="00F93834">
        <w:rPr>
          <w:rFonts w:eastAsia="Malgun Gothic"/>
          <w:snapToGrid w:val="0"/>
          <w:kern w:val="22"/>
          <w:lang w:val="fr-FR"/>
        </w:rPr>
        <w:t xml:space="preserve">, les organisations non gouvernementales et les </w:t>
      </w:r>
      <w:r>
        <w:rPr>
          <w:rFonts w:eastAsia="Malgun Gothic"/>
          <w:snapToGrid w:val="0"/>
          <w:kern w:val="22"/>
          <w:lang w:val="fr-FR"/>
        </w:rPr>
        <w:t>dépositaires de connaissances</w:t>
      </w:r>
      <w:r w:rsidRPr="00F93834">
        <w:rPr>
          <w:rFonts w:eastAsia="Malgun Gothic"/>
          <w:snapToGrid w:val="0"/>
          <w:kern w:val="22"/>
          <w:lang w:val="fr-FR"/>
        </w:rPr>
        <w:t xml:space="preserve"> </w:t>
      </w:r>
      <w:r>
        <w:rPr>
          <w:rFonts w:eastAsia="Malgun Gothic"/>
          <w:snapToGrid w:val="0"/>
          <w:kern w:val="22"/>
          <w:lang w:val="fr-FR"/>
        </w:rPr>
        <w:t>[</w:t>
      </w:r>
      <w:r w:rsidRPr="00F93834">
        <w:rPr>
          <w:rFonts w:eastAsia="Malgun Gothic"/>
          <w:snapToGrid w:val="0"/>
          <w:kern w:val="22"/>
          <w:lang w:val="fr-FR"/>
        </w:rPr>
        <w:t>autochtones et locales</w:t>
      </w:r>
      <w:r>
        <w:rPr>
          <w:rFonts w:eastAsia="Malgun Gothic"/>
          <w:snapToGrid w:val="0"/>
          <w:kern w:val="22"/>
          <w:lang w:val="fr-FR"/>
        </w:rPr>
        <w:t>] [traditionnelles]</w:t>
      </w:r>
      <w:r w:rsidRPr="00F93834">
        <w:rPr>
          <w:rFonts w:eastAsia="Malgun Gothic"/>
          <w:snapToGrid w:val="0"/>
          <w:kern w:val="22"/>
          <w:lang w:val="fr-FR"/>
        </w:rPr>
        <w:t>, devraient être encouragés à attirer l’attention des acteurs définis au paragraphe 4 de la sous-section C ci-dessus, sur les raisons de la modification des descriptions des AIEB énumérées précédemment, et à aider ces acteurs à préparer les propositions de modification lorsqu’ils le demandent</w:t>
      </w:r>
      <w:r w:rsidRPr="00F93834">
        <w:rPr>
          <w:rFonts w:eastAsia="Malgun Gothic"/>
          <w:snapToGrid w:val="0"/>
          <w:kern w:val="22"/>
          <w:szCs w:val="22"/>
          <w:lang w:val="fr-FR"/>
        </w:rPr>
        <w:t>.</w:t>
      </w:r>
    </w:p>
    <w:p w:rsidR="009F6935" w:rsidRPr="00191337" w:rsidRDefault="009F6935" w:rsidP="009F6935">
      <w:pPr>
        <w:keepNext/>
        <w:suppressLineNumbers/>
        <w:tabs>
          <w:tab w:val="left" w:pos="360"/>
        </w:tabs>
        <w:suppressAutoHyphens/>
        <w:kinsoku w:val="0"/>
        <w:overflowPunct w:val="0"/>
        <w:autoSpaceDE w:val="0"/>
        <w:autoSpaceDN w:val="0"/>
        <w:jc w:val="center"/>
        <w:outlineLvl w:val="1"/>
        <w:rPr>
          <w:bCs/>
          <w:iCs/>
          <w:snapToGrid w:val="0"/>
          <w:kern w:val="22"/>
          <w:szCs w:val="22"/>
          <w:lang w:val="fr-FR" w:eastAsia="fr-FR"/>
        </w:rPr>
      </w:pPr>
      <w:bookmarkStart w:id="154" w:name="_Toc525904198"/>
      <w:bookmarkStart w:id="155" w:name="_Toc525904357"/>
      <w:bookmarkStart w:id="156" w:name="_Toc525904601"/>
      <w:r w:rsidRPr="00191337">
        <w:rPr>
          <w:b/>
          <w:bCs/>
          <w:iCs/>
          <w:snapToGrid w:val="0"/>
          <w:kern w:val="22"/>
          <w:szCs w:val="22"/>
          <w:lang w:val="fr-FR" w:eastAsia="fr-FR"/>
        </w:rPr>
        <w:t>D.</w:t>
      </w:r>
      <w:r w:rsidRPr="00191337">
        <w:rPr>
          <w:b/>
          <w:bCs/>
          <w:iCs/>
          <w:snapToGrid w:val="0"/>
          <w:kern w:val="22"/>
          <w:szCs w:val="22"/>
          <w:lang w:val="fr-FR" w:eastAsia="fr-FR"/>
        </w:rPr>
        <w:tab/>
        <w:t>Modalités du processus de modification</w:t>
      </w:r>
      <w:bookmarkEnd w:id="154"/>
      <w:bookmarkEnd w:id="155"/>
      <w:bookmarkEnd w:id="156"/>
    </w:p>
    <w:p w:rsidR="009F6935" w:rsidRDefault="009F6935" w:rsidP="009F6935">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6.</w:t>
      </w:r>
      <w:r w:rsidRPr="00191337">
        <w:rPr>
          <w:snapToGrid w:val="0"/>
          <w:kern w:val="22"/>
          <w:szCs w:val="22"/>
          <w:lang w:val="fr-FR" w:eastAsia="fr-FR"/>
        </w:rPr>
        <w:tab/>
        <w:t>Les modalités de modification des descriptions d</w:t>
      </w:r>
      <w:r>
        <w:rPr>
          <w:snapToGrid w:val="0"/>
          <w:kern w:val="22"/>
          <w:szCs w:val="22"/>
          <w:lang w:val="fr-FR" w:eastAsia="fr-FR"/>
        </w:rPr>
        <w:t>es AIEB sont les suivantes </w:t>
      </w:r>
      <w:r w:rsidRPr="00191337">
        <w:rPr>
          <w:snapToGrid w:val="0"/>
          <w:kern w:val="22"/>
          <w:szCs w:val="22"/>
          <w:lang w:val="fr-FR" w:eastAsia="fr-FR"/>
        </w:rPr>
        <w:t>:</w:t>
      </w:r>
    </w:p>
    <w:p w:rsidR="009F6935" w:rsidRPr="00191337" w:rsidRDefault="009F6935" w:rsidP="009F6935">
      <w:pPr>
        <w:suppressLineNumbers/>
        <w:suppressAutoHyphens/>
        <w:kinsoku w:val="0"/>
        <w:overflowPunct w:val="0"/>
        <w:autoSpaceDE w:val="0"/>
        <w:autoSpaceDN w:val="0"/>
        <w:spacing w:before="120" w:after="120"/>
        <w:rPr>
          <w:i/>
          <w:snapToGrid w:val="0"/>
          <w:kern w:val="22"/>
          <w:szCs w:val="22"/>
          <w:lang w:val="fr-FR" w:eastAsia="fr-FR"/>
        </w:rPr>
      </w:pPr>
      <w:r>
        <w:rPr>
          <w:snapToGrid w:val="0"/>
          <w:kern w:val="22"/>
          <w:szCs w:val="22"/>
          <w:lang w:val="fr-FR" w:eastAsia="fr-FR"/>
        </w:rPr>
        <w:t>Pour les aires situées au-delà des limites de juridiction nationale et, lorsque les États côtiers le souhaitent, les aires relevant de la juridiction nationale :</w:t>
      </w:r>
    </w:p>
    <w:p w:rsidR="009F6935" w:rsidRPr="00191337" w:rsidRDefault="009F6935" w:rsidP="009F6935">
      <w:pPr>
        <w:suppressLineNumbers/>
        <w:suppressAutoHyphens/>
        <w:kinsoku w:val="0"/>
        <w:overflowPunct w:val="0"/>
        <w:autoSpaceDE w:val="0"/>
        <w:autoSpaceDN w:val="0"/>
        <w:spacing w:before="120" w:after="120"/>
        <w:ind w:firstLine="709"/>
        <w:rPr>
          <w:snapToGrid w:val="0"/>
          <w:kern w:val="22"/>
          <w:szCs w:val="22"/>
          <w:lang w:val="fr-FR" w:eastAsia="fr-FR"/>
        </w:rPr>
      </w:pPr>
      <w:r w:rsidRPr="00191337">
        <w:rPr>
          <w:snapToGrid w:val="0"/>
          <w:kern w:val="22"/>
          <w:szCs w:val="22"/>
          <w:lang w:val="fr-FR" w:eastAsia="fr-FR"/>
        </w:rPr>
        <w:t>a)</w:t>
      </w:r>
      <w:r w:rsidRPr="00191337">
        <w:rPr>
          <w:snapToGrid w:val="0"/>
          <w:kern w:val="22"/>
          <w:szCs w:val="22"/>
          <w:lang w:val="fr-FR" w:eastAsia="fr-FR"/>
        </w:rPr>
        <w:tab/>
      </w:r>
      <w:r>
        <w:rPr>
          <w:snapToGrid w:val="0"/>
          <w:kern w:val="22"/>
          <w:szCs w:val="22"/>
          <w:lang w:val="fr-FR" w:eastAsia="fr-FR"/>
        </w:rPr>
        <w:t>Le Secrétariat consolid</w:t>
      </w:r>
      <w:r w:rsidRPr="00191337">
        <w:rPr>
          <w:snapToGrid w:val="0"/>
          <w:kern w:val="22"/>
          <w:szCs w:val="22"/>
          <w:lang w:val="fr-FR" w:eastAsia="fr-FR"/>
        </w:rPr>
        <w:t>e les propositions de modification effectuées par les acteurs définis au paragraphe 4 de la sous-section C;</w:t>
      </w:r>
    </w:p>
    <w:p w:rsidR="009F6935" w:rsidRPr="00191337" w:rsidRDefault="009F6935" w:rsidP="009F6935">
      <w:pPr>
        <w:suppressLineNumbers/>
        <w:suppressAutoHyphens/>
        <w:kinsoku w:val="0"/>
        <w:overflowPunct w:val="0"/>
        <w:autoSpaceDE w:val="0"/>
        <w:autoSpaceDN w:val="0"/>
        <w:spacing w:before="120" w:after="120"/>
        <w:ind w:firstLine="709"/>
        <w:rPr>
          <w:snapToGrid w:val="0"/>
          <w:kern w:val="22"/>
          <w:szCs w:val="22"/>
          <w:lang w:val="fr-FR" w:eastAsia="fr-FR"/>
        </w:rPr>
      </w:pPr>
      <w:r w:rsidRPr="00191337">
        <w:rPr>
          <w:snapToGrid w:val="0"/>
          <w:kern w:val="22"/>
          <w:szCs w:val="22"/>
          <w:lang w:val="fr-FR" w:eastAsia="fr-FR"/>
        </w:rPr>
        <w:t>b)</w:t>
      </w:r>
      <w:r w:rsidRPr="00191337">
        <w:rPr>
          <w:snapToGrid w:val="0"/>
          <w:kern w:val="22"/>
          <w:szCs w:val="22"/>
          <w:lang w:val="fr-FR" w:eastAsia="fr-FR"/>
        </w:rPr>
        <w:tab/>
        <w:t>Sur</w:t>
      </w:r>
      <w:r>
        <w:rPr>
          <w:snapToGrid w:val="0"/>
          <w:kern w:val="22"/>
          <w:szCs w:val="22"/>
          <w:lang w:val="fr-FR" w:eastAsia="fr-FR"/>
        </w:rPr>
        <w:t xml:space="preserve"> la base des propositions consolid</w:t>
      </w:r>
      <w:r w:rsidRPr="00191337">
        <w:rPr>
          <w:snapToGrid w:val="0"/>
          <w:kern w:val="22"/>
          <w:szCs w:val="22"/>
          <w:lang w:val="fr-FR" w:eastAsia="fr-FR"/>
        </w:rPr>
        <w:t xml:space="preserve">ées, le groupe consultatif informel dispense des conseils à la Secrétaire exécutive sur la modification proposée, conformément aux orientations/critères concernant les modifications majeures ou mineures élaborés par le groupe consultatif informel sur les AIEB; </w:t>
      </w:r>
    </w:p>
    <w:p w:rsidR="009F6935" w:rsidRPr="00191337" w:rsidRDefault="009F6935" w:rsidP="009F6935">
      <w:pPr>
        <w:keepNext/>
        <w:suppressLineNumbers/>
        <w:tabs>
          <w:tab w:val="left" w:pos="720"/>
        </w:tabs>
        <w:suppressAutoHyphens/>
        <w:kinsoku w:val="0"/>
        <w:overflowPunct w:val="0"/>
        <w:autoSpaceDE w:val="0"/>
        <w:autoSpaceDN w:val="0"/>
        <w:spacing w:before="120" w:after="120"/>
        <w:ind w:firstLine="709"/>
        <w:outlineLvl w:val="1"/>
        <w:rPr>
          <w:bCs/>
          <w:iCs/>
          <w:snapToGrid w:val="0"/>
          <w:kern w:val="22"/>
          <w:szCs w:val="22"/>
          <w:lang w:val="fr-FR" w:eastAsia="fr-FR"/>
        </w:rPr>
      </w:pPr>
      <w:bookmarkStart w:id="157" w:name="_Toc525904199"/>
      <w:bookmarkStart w:id="158" w:name="_Toc525904358"/>
      <w:bookmarkStart w:id="159" w:name="_Toc525904602"/>
      <w:r w:rsidRPr="00191337">
        <w:rPr>
          <w:bCs/>
          <w:iCs/>
          <w:snapToGrid w:val="0"/>
          <w:kern w:val="22"/>
          <w:szCs w:val="22"/>
          <w:lang w:val="fr-FR" w:eastAsia="fr-FR"/>
        </w:rPr>
        <w:t>c)</w:t>
      </w:r>
      <w:r w:rsidRPr="00191337">
        <w:rPr>
          <w:bCs/>
          <w:iCs/>
          <w:snapToGrid w:val="0"/>
          <w:kern w:val="22"/>
          <w:szCs w:val="22"/>
          <w:lang w:val="fr-FR" w:eastAsia="fr-FR"/>
        </w:rPr>
        <w:tab/>
        <w:t>Les modalités concernant les modifications maj</w:t>
      </w:r>
      <w:r>
        <w:rPr>
          <w:bCs/>
          <w:iCs/>
          <w:snapToGrid w:val="0"/>
          <w:kern w:val="22"/>
          <w:szCs w:val="22"/>
          <w:lang w:val="fr-FR" w:eastAsia="fr-FR"/>
        </w:rPr>
        <w:t>eures ou mineures sont les suivantes </w:t>
      </w:r>
      <w:r w:rsidRPr="00191337">
        <w:rPr>
          <w:bCs/>
          <w:iCs/>
          <w:snapToGrid w:val="0"/>
          <w:kern w:val="22"/>
          <w:szCs w:val="22"/>
          <w:lang w:val="fr-FR" w:eastAsia="fr-FR"/>
        </w:rPr>
        <w:t>:</w:t>
      </w:r>
      <w:bookmarkEnd w:id="157"/>
      <w:bookmarkEnd w:id="158"/>
      <w:bookmarkEnd w:id="159"/>
    </w:p>
    <w:p w:rsidR="009F6935" w:rsidRPr="00191337" w:rsidRDefault="009F6935" w:rsidP="009F6935">
      <w:pPr>
        <w:keepNext/>
        <w:suppressLineNumbers/>
        <w:tabs>
          <w:tab w:val="left" w:pos="720"/>
        </w:tabs>
        <w:suppressAutoHyphens/>
        <w:kinsoku w:val="0"/>
        <w:overflowPunct w:val="0"/>
        <w:autoSpaceDE w:val="0"/>
        <w:autoSpaceDN w:val="0"/>
        <w:spacing w:before="120" w:after="120"/>
        <w:ind w:left="2160" w:hanging="720"/>
        <w:outlineLvl w:val="1"/>
        <w:rPr>
          <w:bCs/>
          <w:iCs/>
          <w:snapToGrid w:val="0"/>
          <w:kern w:val="22"/>
          <w:szCs w:val="22"/>
          <w:lang w:val="fr-FR" w:eastAsia="fr-FR"/>
        </w:rPr>
      </w:pPr>
      <w:bookmarkStart w:id="160" w:name="_Toc525904200"/>
      <w:bookmarkStart w:id="161" w:name="_Toc525904359"/>
      <w:bookmarkStart w:id="162" w:name="_Toc525904603"/>
      <w:r w:rsidRPr="00191337">
        <w:rPr>
          <w:bCs/>
          <w:iCs/>
          <w:snapToGrid w:val="0"/>
          <w:kern w:val="22"/>
          <w:szCs w:val="22"/>
          <w:lang w:val="fr-FR" w:eastAsia="fr-FR"/>
        </w:rPr>
        <w:t xml:space="preserve">i) </w:t>
      </w:r>
      <w:r w:rsidRPr="00191337">
        <w:rPr>
          <w:bCs/>
          <w:iCs/>
          <w:snapToGrid w:val="0"/>
          <w:kern w:val="22"/>
          <w:szCs w:val="22"/>
          <w:lang w:val="fr-FR" w:eastAsia="fr-FR"/>
        </w:rPr>
        <w:tab/>
        <w:t>Pour une modification majeure</w:t>
      </w:r>
      <w:r>
        <w:rPr>
          <w:bCs/>
          <w:iCs/>
          <w:snapToGrid w:val="0"/>
          <w:kern w:val="22"/>
          <w:szCs w:val="22"/>
          <w:lang w:val="fr-FR" w:eastAsia="fr-FR"/>
        </w:rPr>
        <w:t> : la procédure indiquée aux alinéas c) et d) du paragraphe 11 de la partie II du présent document s’applique. L</w:t>
      </w:r>
      <w:r w:rsidRPr="00191337">
        <w:rPr>
          <w:bCs/>
          <w:iCs/>
          <w:snapToGrid w:val="0"/>
          <w:kern w:val="22"/>
          <w:szCs w:val="22"/>
          <w:lang w:val="fr-FR" w:eastAsia="fr-FR"/>
        </w:rPr>
        <w:t>e Secrétariat de la CDB organise un atelier selon les procédures applicables aux ateliers régionaux énoncées dans la décisi</w:t>
      </w:r>
      <w:r>
        <w:rPr>
          <w:bCs/>
          <w:iCs/>
          <w:snapToGrid w:val="0"/>
          <w:kern w:val="22"/>
          <w:szCs w:val="22"/>
          <w:lang w:val="fr-FR" w:eastAsia="fr-FR"/>
        </w:rPr>
        <w:t>on X/29, dont le rapport est trans</w:t>
      </w:r>
      <w:r w:rsidRPr="00191337">
        <w:rPr>
          <w:bCs/>
          <w:iCs/>
          <w:snapToGrid w:val="0"/>
          <w:kern w:val="22"/>
          <w:szCs w:val="22"/>
          <w:lang w:val="fr-FR" w:eastAsia="fr-FR"/>
        </w:rPr>
        <w:t>mis à l'Organe subsidiaire chargé de fournir des avis scientifiques, techniques et technologiques et à la Conférence des Parties</w:t>
      </w:r>
      <w:r>
        <w:rPr>
          <w:bCs/>
          <w:iCs/>
          <w:snapToGrid w:val="0"/>
          <w:kern w:val="22"/>
          <w:szCs w:val="22"/>
          <w:lang w:val="fr-FR" w:eastAsia="fr-FR"/>
        </w:rPr>
        <w:t>,</w:t>
      </w:r>
      <w:r w:rsidRPr="00191337">
        <w:rPr>
          <w:bCs/>
          <w:iCs/>
          <w:snapToGrid w:val="0"/>
          <w:kern w:val="22"/>
          <w:szCs w:val="22"/>
          <w:lang w:val="fr-FR" w:eastAsia="fr-FR"/>
        </w:rPr>
        <w:t xml:space="preserve"> aux fins d'examen;</w:t>
      </w:r>
      <w:bookmarkEnd w:id="160"/>
      <w:bookmarkEnd w:id="161"/>
      <w:bookmarkEnd w:id="162"/>
      <w:r w:rsidRPr="00191337">
        <w:rPr>
          <w:bCs/>
          <w:iCs/>
          <w:snapToGrid w:val="0"/>
          <w:kern w:val="22"/>
          <w:szCs w:val="22"/>
          <w:lang w:val="fr-FR" w:eastAsia="fr-FR"/>
        </w:rPr>
        <w:t xml:space="preserve"> </w:t>
      </w:r>
    </w:p>
    <w:p w:rsidR="009F6935" w:rsidRPr="009664BA" w:rsidRDefault="009F6935" w:rsidP="009F6935">
      <w:pPr>
        <w:suppressLineNumbers/>
        <w:suppressAutoHyphens/>
        <w:kinsoku w:val="0"/>
        <w:overflowPunct w:val="0"/>
        <w:autoSpaceDE w:val="0"/>
        <w:autoSpaceDN w:val="0"/>
        <w:spacing w:before="120" w:after="240"/>
        <w:ind w:left="2160" w:hanging="720"/>
        <w:rPr>
          <w:snapToGrid w:val="0"/>
          <w:kern w:val="22"/>
          <w:szCs w:val="22"/>
          <w:lang w:val="fr-FR" w:eastAsia="fr-FR"/>
        </w:rPr>
      </w:pPr>
      <w:r w:rsidRPr="00191337">
        <w:rPr>
          <w:bCs/>
          <w:iCs/>
          <w:snapToGrid w:val="0"/>
          <w:kern w:val="22"/>
          <w:szCs w:val="22"/>
          <w:lang w:val="fr-FR" w:eastAsia="fr-FR"/>
        </w:rPr>
        <w:t>ii</w:t>
      </w:r>
      <w:r w:rsidRPr="00191337">
        <w:rPr>
          <w:snapToGrid w:val="0"/>
          <w:kern w:val="22"/>
          <w:szCs w:val="22"/>
          <w:lang w:val="fr-FR" w:eastAsia="fr-FR"/>
        </w:rPr>
        <w:t>)</w:t>
      </w:r>
      <w:r w:rsidRPr="00191337">
        <w:rPr>
          <w:snapToGrid w:val="0"/>
          <w:kern w:val="22"/>
          <w:szCs w:val="22"/>
          <w:lang w:val="fr-FR" w:eastAsia="fr-FR"/>
        </w:rPr>
        <w:tab/>
        <w:t>Pour une modification mineure</w:t>
      </w:r>
      <w:r>
        <w:rPr>
          <w:snapToGrid w:val="0"/>
          <w:kern w:val="22"/>
          <w:szCs w:val="22"/>
          <w:lang w:val="fr-FR" w:eastAsia="fr-FR"/>
        </w:rPr>
        <w:t> </w:t>
      </w:r>
      <w:r w:rsidRPr="00191337">
        <w:rPr>
          <w:snapToGrid w:val="0"/>
          <w:kern w:val="22"/>
          <w:szCs w:val="22"/>
          <w:lang w:val="fr-FR" w:eastAsia="fr-FR"/>
        </w:rPr>
        <w:t>: le Secrétariat de la CDB, après avoir consulté le</w:t>
      </w:r>
      <w:r>
        <w:rPr>
          <w:snapToGrid w:val="0"/>
          <w:kern w:val="22"/>
          <w:szCs w:val="22"/>
          <w:lang w:val="fr-FR" w:eastAsia="fr-FR"/>
        </w:rPr>
        <w:t>/les</w:t>
      </w:r>
      <w:r w:rsidRPr="00191337">
        <w:rPr>
          <w:snapToGrid w:val="0"/>
          <w:kern w:val="22"/>
          <w:szCs w:val="22"/>
          <w:lang w:val="fr-FR" w:eastAsia="fr-FR"/>
        </w:rPr>
        <w:t xml:space="preserve"> État(s) ou experts régionaux concernés, rédige un rapport sur les modifications</w:t>
      </w:r>
      <w:r>
        <w:rPr>
          <w:snapToGrid w:val="0"/>
          <w:kern w:val="22"/>
          <w:szCs w:val="22"/>
          <w:lang w:val="fr-FR" w:eastAsia="fr-FR"/>
        </w:rPr>
        <w:t>, qui est transmis</w:t>
      </w:r>
      <w:r w:rsidRPr="00191337">
        <w:rPr>
          <w:snapToGrid w:val="0"/>
          <w:kern w:val="22"/>
          <w:szCs w:val="22"/>
          <w:lang w:val="fr-FR" w:eastAsia="fr-FR"/>
        </w:rPr>
        <w:t xml:space="preserve"> à l'Organe subsidiaire chargé de fournir des avis scientifiques, techni</w:t>
      </w:r>
      <w:r>
        <w:rPr>
          <w:snapToGrid w:val="0"/>
          <w:kern w:val="22"/>
          <w:szCs w:val="22"/>
          <w:lang w:val="fr-FR" w:eastAsia="fr-FR"/>
        </w:rPr>
        <w:t>ques et technologiques et à la C</w:t>
      </w:r>
      <w:r w:rsidRPr="00191337">
        <w:rPr>
          <w:snapToGrid w:val="0"/>
          <w:kern w:val="22"/>
          <w:szCs w:val="22"/>
          <w:lang w:val="fr-FR" w:eastAsia="fr-FR"/>
        </w:rPr>
        <w:t>onférence des Parties</w:t>
      </w:r>
      <w:r>
        <w:rPr>
          <w:snapToGrid w:val="0"/>
          <w:kern w:val="22"/>
          <w:szCs w:val="22"/>
          <w:lang w:val="fr-FR" w:eastAsia="fr-FR"/>
        </w:rPr>
        <w:t>,</w:t>
      </w:r>
      <w:r w:rsidRPr="00191337">
        <w:rPr>
          <w:snapToGrid w:val="0"/>
          <w:kern w:val="22"/>
          <w:szCs w:val="22"/>
          <w:lang w:val="fr-FR" w:eastAsia="fr-FR"/>
        </w:rPr>
        <w:t xml:space="preserve"> aux fins d'examen.</w:t>
      </w:r>
    </w:p>
    <w:p w:rsidR="009F6935" w:rsidRPr="00B27B48" w:rsidRDefault="009F6935" w:rsidP="009F6935">
      <w:pPr>
        <w:suppressLineNumbers/>
        <w:suppressAutoHyphens/>
        <w:kinsoku w:val="0"/>
        <w:overflowPunct w:val="0"/>
        <w:autoSpaceDE w:val="0"/>
        <w:autoSpaceDN w:val="0"/>
        <w:spacing w:before="120" w:after="120"/>
        <w:ind w:left="720" w:hanging="720"/>
        <w:rPr>
          <w:snapToGrid w:val="0"/>
          <w:kern w:val="22"/>
          <w:szCs w:val="22"/>
          <w:lang w:val="fr-FR" w:eastAsia="fr-FR"/>
        </w:rPr>
      </w:pPr>
      <w:r w:rsidRPr="00B27B48">
        <w:rPr>
          <w:snapToGrid w:val="0"/>
          <w:kern w:val="22"/>
          <w:szCs w:val="22"/>
          <w:lang w:val="fr-FR" w:eastAsia="fr-FR"/>
        </w:rPr>
        <w:t xml:space="preserve">Pour </w:t>
      </w:r>
      <w:r>
        <w:rPr>
          <w:snapToGrid w:val="0"/>
          <w:kern w:val="22"/>
          <w:szCs w:val="22"/>
          <w:lang w:val="fr-FR" w:eastAsia="fr-FR"/>
        </w:rPr>
        <w:t>les aires relevant de la</w:t>
      </w:r>
      <w:r w:rsidRPr="00B27B48">
        <w:rPr>
          <w:snapToGrid w:val="0"/>
          <w:kern w:val="22"/>
          <w:szCs w:val="22"/>
          <w:lang w:val="fr-FR" w:eastAsia="fr-FR"/>
        </w:rPr>
        <w:t xml:space="preserve"> juridiction nationale :</w:t>
      </w:r>
    </w:p>
    <w:p w:rsidR="009F6935" w:rsidRPr="00C92615" w:rsidRDefault="009F6935" w:rsidP="009F6935">
      <w:pPr>
        <w:suppressLineNumbers/>
        <w:suppressAutoHyphens/>
        <w:kinsoku w:val="0"/>
        <w:overflowPunct w:val="0"/>
        <w:autoSpaceDE w:val="0"/>
        <w:autoSpaceDN w:val="0"/>
        <w:spacing w:before="120" w:after="240"/>
        <w:ind w:firstLine="709"/>
        <w:rPr>
          <w:snapToGrid w:val="0"/>
          <w:kern w:val="22"/>
          <w:szCs w:val="22"/>
          <w:lang w:val="fr-FR" w:eastAsia="fr-FR"/>
        </w:rPr>
      </w:pPr>
      <w:r w:rsidRPr="00217038">
        <w:rPr>
          <w:b/>
          <w:lang w:val="fr-FR" w:eastAsia="fr-FR"/>
        </w:rPr>
        <w:t>[</w:t>
      </w:r>
      <w:r>
        <w:rPr>
          <w:lang w:val="fr-FR" w:eastAsia="fr-FR"/>
        </w:rPr>
        <w:t xml:space="preserve">a) </w:t>
      </w:r>
      <w:r>
        <w:rPr>
          <w:lang w:val="fr-FR" w:eastAsia="fr-FR"/>
        </w:rPr>
        <w:tab/>
        <w:t>En s’</w:t>
      </w:r>
      <w:r w:rsidRPr="00191337">
        <w:rPr>
          <w:lang w:val="fr-FR" w:eastAsia="fr-FR"/>
        </w:rPr>
        <w:t>appuyant sur la procédure énoncée au paragraphe 7 de la décision XII/22, l'État côtier peut fournir une actualisation de la description contenue dans le registre des AIEB</w:t>
      </w:r>
      <w:r>
        <w:rPr>
          <w:lang w:val="fr-FR" w:eastAsia="fr-FR"/>
        </w:rPr>
        <w:t xml:space="preserve"> ou le mécanisme de partage d’information</w:t>
      </w:r>
      <w:r w:rsidRPr="00191337">
        <w:rPr>
          <w:lang w:val="fr-FR" w:eastAsia="fr-FR"/>
        </w:rPr>
        <w:t>, pour les raisons i</w:t>
      </w:r>
      <w:r>
        <w:rPr>
          <w:lang w:val="fr-FR" w:eastAsia="fr-FR"/>
        </w:rPr>
        <w:t>nvoquées ci-dessus, et fournir</w:t>
      </w:r>
      <w:r w:rsidRPr="00191337">
        <w:rPr>
          <w:lang w:val="fr-FR" w:eastAsia="fr-FR"/>
        </w:rPr>
        <w:t xml:space="preserve"> des informations sur le </w:t>
      </w:r>
      <w:r w:rsidRPr="00191337">
        <w:rPr>
          <w:lang w:val="fr-FR" w:eastAsia="fr-FR"/>
        </w:rPr>
        <w:lastRenderedPageBreak/>
        <w:t xml:space="preserve">processus scientifique et technique, ainsi que le processus d'examen par les pairs, à l'appui de l'actualisation, </w:t>
      </w:r>
      <w:r>
        <w:rPr>
          <w:lang w:val="fr-FR" w:eastAsia="fr-FR"/>
        </w:rPr>
        <w:t>[</w:t>
      </w:r>
      <w:r w:rsidRPr="00191337">
        <w:rPr>
          <w:snapToGrid w:val="0"/>
          <w:kern w:val="22"/>
          <w:szCs w:val="22"/>
          <w:lang w:val="fr-FR" w:eastAsia="fr-FR"/>
        </w:rPr>
        <w:t>en vue d'un examen ultérieur par l'Organe subsidiaire chargé de fournir des avis scientifiques, techniques et technologiques et par la Conférence des Parties.</w:t>
      </w:r>
      <w:r w:rsidRPr="00191337">
        <w:rPr>
          <w:b/>
          <w:snapToGrid w:val="0"/>
          <w:kern w:val="22"/>
          <w:szCs w:val="22"/>
          <w:lang w:val="fr-FR" w:eastAsia="fr-FR"/>
        </w:rPr>
        <w:t>]</w:t>
      </w:r>
      <w:r>
        <w:rPr>
          <w:b/>
          <w:snapToGrid w:val="0"/>
          <w:kern w:val="22"/>
          <w:szCs w:val="22"/>
          <w:lang w:val="fr-FR" w:eastAsia="fr-FR"/>
        </w:rPr>
        <w:t xml:space="preserve"> </w:t>
      </w:r>
      <w:r w:rsidRPr="00E77BD8">
        <w:rPr>
          <w:snapToGrid w:val="0"/>
          <w:kern w:val="22"/>
          <w:szCs w:val="22"/>
          <w:lang w:val="fr-FR" w:eastAsia="fr-FR"/>
        </w:rPr>
        <w:t>[</w:t>
      </w:r>
      <w:r w:rsidRPr="00C92615">
        <w:rPr>
          <w:snapToGrid w:val="0"/>
          <w:kern w:val="22"/>
          <w:szCs w:val="22"/>
          <w:lang w:val="fr-FR" w:eastAsia="fr-FR"/>
        </w:rPr>
        <w:t xml:space="preserve">et </w:t>
      </w:r>
      <w:r w:rsidRPr="00C92615">
        <w:rPr>
          <w:i/>
          <w:snapToGrid w:val="0"/>
          <w:kern w:val="22"/>
          <w:szCs w:val="22"/>
          <w:lang w:val="fr-FR" w:eastAsia="fr-FR"/>
        </w:rPr>
        <w:t>prie</w:t>
      </w:r>
      <w:r w:rsidRPr="00C92615">
        <w:rPr>
          <w:snapToGrid w:val="0"/>
          <w:kern w:val="22"/>
          <w:szCs w:val="22"/>
          <w:lang w:val="fr-FR" w:eastAsia="fr-FR"/>
        </w:rPr>
        <w:t xml:space="preserve"> la </w:t>
      </w:r>
      <w:r>
        <w:rPr>
          <w:snapToGrid w:val="0"/>
          <w:kern w:val="22"/>
          <w:szCs w:val="22"/>
          <w:lang w:val="fr-FR" w:eastAsia="fr-FR"/>
        </w:rPr>
        <w:t xml:space="preserve">Secrétaire exécutive de les inclure dans le registre ou le mécanisme de partage d’information et de remettre un rapport d’activités à </w:t>
      </w:r>
      <w:r w:rsidRPr="00191337">
        <w:rPr>
          <w:snapToGrid w:val="0"/>
          <w:kern w:val="22"/>
          <w:szCs w:val="22"/>
          <w:lang w:val="fr-FR" w:eastAsia="fr-FR"/>
        </w:rPr>
        <w:t xml:space="preserve">l'Organe subsidiaire chargé de fournir des avis scientifiques, techniques et technologiques et </w:t>
      </w:r>
      <w:r>
        <w:rPr>
          <w:snapToGrid w:val="0"/>
          <w:kern w:val="22"/>
          <w:szCs w:val="22"/>
          <w:lang w:val="fr-FR" w:eastAsia="fr-FR"/>
        </w:rPr>
        <w:t>à la Conférence des Parties</w:t>
      </w:r>
      <w:r w:rsidRPr="00E77BD8">
        <w:rPr>
          <w:snapToGrid w:val="0"/>
          <w:kern w:val="22"/>
          <w:szCs w:val="22"/>
          <w:lang w:val="fr-FR" w:eastAsia="fr-FR"/>
        </w:rPr>
        <w:t>]</w:t>
      </w:r>
    </w:p>
    <w:p w:rsidR="009F6935" w:rsidRPr="00191337" w:rsidRDefault="009F6935" w:rsidP="009F6935">
      <w:pPr>
        <w:pStyle w:val="Heading2"/>
        <w:keepNext w:val="0"/>
        <w:suppressLineNumbers/>
        <w:suppressAutoHyphens/>
        <w:kinsoku w:val="0"/>
        <w:overflowPunct w:val="0"/>
        <w:autoSpaceDE w:val="0"/>
        <w:autoSpaceDN w:val="0"/>
        <w:adjustRightInd w:val="0"/>
        <w:snapToGrid w:val="0"/>
        <w:spacing w:before="0" w:after="0"/>
        <w:rPr>
          <w:snapToGrid w:val="0"/>
          <w:kern w:val="22"/>
          <w:szCs w:val="22"/>
          <w:lang w:val="fr-FR"/>
        </w:rPr>
      </w:pPr>
      <w:bookmarkStart w:id="163" w:name="_Toc525904201"/>
      <w:bookmarkStart w:id="164" w:name="_Toc525904360"/>
      <w:bookmarkStart w:id="165" w:name="_Toc525904604"/>
      <w:r w:rsidRPr="00191337">
        <w:rPr>
          <w:snapToGrid w:val="0"/>
          <w:kern w:val="22"/>
          <w:szCs w:val="22"/>
          <w:lang w:val="fr-FR"/>
        </w:rPr>
        <w:t>E.</w:t>
      </w:r>
      <w:r w:rsidRPr="00191337">
        <w:rPr>
          <w:snapToGrid w:val="0"/>
          <w:kern w:val="22"/>
          <w:szCs w:val="22"/>
          <w:lang w:val="fr-FR"/>
        </w:rPr>
        <w:tab/>
        <w:t>Principales considérations relatives aux modifications</w:t>
      </w:r>
      <w:bookmarkEnd w:id="163"/>
      <w:bookmarkEnd w:id="164"/>
      <w:bookmarkEnd w:id="165"/>
    </w:p>
    <w:p w:rsidR="009F6935" w:rsidRPr="00191337" w:rsidRDefault="009F6935" w:rsidP="009F6935">
      <w:pPr>
        <w:suppressLineNumbers/>
        <w:suppressAutoHyphens/>
        <w:kinsoku w:val="0"/>
        <w:overflowPunct w:val="0"/>
        <w:autoSpaceDE w:val="0"/>
        <w:autoSpaceDN w:val="0"/>
        <w:spacing w:before="120"/>
        <w:rPr>
          <w:snapToGrid w:val="0"/>
          <w:kern w:val="22"/>
          <w:szCs w:val="22"/>
          <w:lang w:val="fr-FR" w:eastAsia="fr-FR"/>
        </w:rPr>
      </w:pPr>
      <w:r w:rsidRPr="00191337">
        <w:rPr>
          <w:snapToGrid w:val="0"/>
          <w:kern w:val="22"/>
          <w:szCs w:val="22"/>
          <w:lang w:val="fr-FR" w:eastAsia="fr-FR"/>
        </w:rPr>
        <w:t>7.</w:t>
      </w:r>
      <w:r w:rsidRPr="00191337">
        <w:rPr>
          <w:snapToGrid w:val="0"/>
          <w:kern w:val="22"/>
          <w:szCs w:val="22"/>
          <w:lang w:val="fr-FR" w:eastAsia="fr-FR"/>
        </w:rPr>
        <w:tab/>
        <w:t>Les Parties et les autres gouvernements, ainsi que les organisations intergouvernementales compétentes, devraient ê</w:t>
      </w:r>
      <w:r>
        <w:rPr>
          <w:snapToGrid w:val="0"/>
          <w:kern w:val="22"/>
          <w:szCs w:val="22"/>
          <w:lang w:val="fr-FR" w:eastAsia="fr-FR"/>
        </w:rPr>
        <w:t>tre informés de toute communication</w:t>
      </w:r>
      <w:r w:rsidRPr="00191337">
        <w:rPr>
          <w:snapToGrid w:val="0"/>
          <w:kern w:val="22"/>
          <w:szCs w:val="22"/>
          <w:lang w:val="fr-FR" w:eastAsia="fr-FR"/>
        </w:rPr>
        <w:t xml:space="preserve"> de propositions de modification des des</w:t>
      </w:r>
      <w:r>
        <w:rPr>
          <w:snapToGrid w:val="0"/>
          <w:kern w:val="22"/>
          <w:szCs w:val="22"/>
          <w:lang w:val="fr-FR" w:eastAsia="fr-FR"/>
        </w:rPr>
        <w:t xml:space="preserve">criptions des AIEB au moyen </w:t>
      </w:r>
      <w:r w:rsidRPr="00191337">
        <w:rPr>
          <w:snapToGrid w:val="0"/>
          <w:kern w:val="22"/>
          <w:szCs w:val="22"/>
          <w:lang w:val="fr-FR" w:eastAsia="fr-FR"/>
        </w:rPr>
        <w:t>d’une notification de la CDB et du site Web des AIEB (www.cbd.int/ebsa).</w:t>
      </w:r>
    </w:p>
    <w:p w:rsidR="009F6935" w:rsidRPr="00191337" w:rsidRDefault="009F6935" w:rsidP="009F6935">
      <w:pPr>
        <w:suppressLineNumbers/>
        <w:suppressAutoHyphens/>
        <w:kinsoku w:val="0"/>
        <w:overflowPunct w:val="0"/>
        <w:autoSpaceDE w:val="0"/>
        <w:autoSpaceDN w:val="0"/>
        <w:spacing w:before="120"/>
        <w:rPr>
          <w:snapToGrid w:val="0"/>
          <w:kern w:val="22"/>
          <w:szCs w:val="22"/>
          <w:lang w:val="fr-FR" w:eastAsia="fr-FR"/>
        </w:rPr>
      </w:pPr>
      <w:r w:rsidRPr="00191337">
        <w:rPr>
          <w:snapToGrid w:val="0"/>
          <w:kern w:val="22"/>
          <w:szCs w:val="22"/>
          <w:lang w:val="fr-FR" w:eastAsia="fr-FR"/>
        </w:rPr>
        <w:t>8.</w:t>
      </w:r>
      <w:r w:rsidRPr="00191337">
        <w:rPr>
          <w:snapToGrid w:val="0"/>
          <w:kern w:val="22"/>
          <w:szCs w:val="22"/>
          <w:lang w:val="fr-FR" w:eastAsia="fr-FR"/>
        </w:rPr>
        <w:tab/>
        <w:t>Il convient de tenir compte des considérations suivantes :</w:t>
      </w:r>
    </w:p>
    <w:p w:rsidR="009F6935" w:rsidRPr="00191337" w:rsidRDefault="009F6935" w:rsidP="00004EAF">
      <w:pPr>
        <w:numPr>
          <w:ilvl w:val="0"/>
          <w:numId w:val="43"/>
        </w:numPr>
        <w:suppressLineNumbers/>
        <w:suppressAutoHyphens/>
        <w:kinsoku w:val="0"/>
        <w:overflowPunct w:val="0"/>
        <w:autoSpaceDE w:val="0"/>
        <w:autoSpaceDN w:val="0"/>
        <w:spacing w:before="120" w:after="120"/>
        <w:ind w:left="0" w:firstLine="720"/>
        <w:rPr>
          <w:snapToGrid w:val="0"/>
          <w:kern w:val="22"/>
          <w:lang w:val="fr-FR" w:eastAsia="fr-FR"/>
        </w:rPr>
      </w:pPr>
      <w:r w:rsidRPr="00191337">
        <w:rPr>
          <w:snapToGrid w:val="0"/>
          <w:kern w:val="22"/>
          <w:lang w:val="fr-FR" w:eastAsia="fr-FR"/>
        </w:rPr>
        <w:t xml:space="preserve">L’importance d’intégrer les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lang w:val="fr-FR" w:eastAsia="fr-FR"/>
        </w:rPr>
        <w:t xml:space="preserve"> dans le processus de modification des descriptions des AIEB et d’assurer la participation pleine et effective des peuples autocht</w:t>
      </w:r>
      <w:r>
        <w:rPr>
          <w:snapToGrid w:val="0"/>
          <w:kern w:val="22"/>
          <w:lang w:val="fr-FR" w:eastAsia="fr-FR"/>
        </w:rPr>
        <w:t>ones et des communautés locales</w:t>
      </w:r>
      <w:r w:rsidRPr="00191337">
        <w:rPr>
          <w:snapToGrid w:val="0"/>
          <w:kern w:val="22"/>
          <w:lang w:val="fr-FR" w:eastAsia="fr-FR"/>
        </w:rPr>
        <w:t>;</w:t>
      </w:r>
    </w:p>
    <w:p w:rsidR="009F6935" w:rsidRPr="00191337" w:rsidRDefault="009F6935" w:rsidP="00004EAF">
      <w:pPr>
        <w:numPr>
          <w:ilvl w:val="0"/>
          <w:numId w:val="43"/>
        </w:numPr>
        <w:suppressLineNumbers/>
        <w:suppressAutoHyphens/>
        <w:kinsoku w:val="0"/>
        <w:overflowPunct w:val="0"/>
        <w:autoSpaceDE w:val="0"/>
        <w:autoSpaceDN w:val="0"/>
        <w:spacing w:after="120"/>
        <w:ind w:left="0" w:firstLine="720"/>
        <w:rPr>
          <w:snapToGrid w:val="0"/>
          <w:kern w:val="22"/>
          <w:lang w:val="fr-FR" w:eastAsia="fr-FR"/>
        </w:rPr>
      </w:pPr>
      <w:r w:rsidRPr="00191337">
        <w:rPr>
          <w:snapToGrid w:val="0"/>
          <w:kern w:val="22"/>
          <w:lang w:val="fr-FR" w:eastAsia="fr-FR"/>
        </w:rPr>
        <w:t xml:space="preserve">Le renforcement de l'intégration des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lang w:val="fr-FR" w:eastAsia="fr-FR"/>
        </w:rPr>
        <w:t xml:space="preserve"> peut nécessiter </w:t>
      </w:r>
      <w:r>
        <w:rPr>
          <w:snapToGrid w:val="0"/>
          <w:kern w:val="22"/>
          <w:lang w:val="fr-FR" w:eastAsia="fr-FR"/>
        </w:rPr>
        <w:t>une révision du modèle de présentation des AIEB</w:t>
      </w:r>
      <w:r w:rsidRPr="00191337">
        <w:rPr>
          <w:snapToGrid w:val="0"/>
          <w:kern w:val="22"/>
          <w:lang w:val="fr-FR" w:eastAsia="fr-FR"/>
        </w:rPr>
        <w:t>;</w:t>
      </w:r>
    </w:p>
    <w:p w:rsidR="009F6935" w:rsidRPr="00191337" w:rsidRDefault="009F6935" w:rsidP="00004EAF">
      <w:pPr>
        <w:numPr>
          <w:ilvl w:val="0"/>
          <w:numId w:val="43"/>
        </w:numPr>
        <w:suppressLineNumbers/>
        <w:suppressAutoHyphens/>
        <w:kinsoku w:val="0"/>
        <w:overflowPunct w:val="0"/>
        <w:autoSpaceDE w:val="0"/>
        <w:autoSpaceDN w:val="0"/>
        <w:spacing w:after="120"/>
        <w:ind w:left="0" w:firstLine="720"/>
        <w:rPr>
          <w:snapToGrid w:val="0"/>
          <w:kern w:val="22"/>
          <w:lang w:val="fr-FR" w:eastAsia="fr-FR"/>
        </w:rPr>
      </w:pPr>
      <w:r w:rsidRPr="00191337">
        <w:rPr>
          <w:snapToGrid w:val="0"/>
          <w:kern w:val="22"/>
          <w:lang w:val="fr-FR" w:eastAsia="fr-FR"/>
        </w:rPr>
        <w:t xml:space="preserve">La nécessité </w:t>
      </w:r>
      <w:r>
        <w:rPr>
          <w:snapToGrid w:val="0"/>
          <w:kern w:val="22"/>
          <w:lang w:val="fr-FR" w:eastAsia="fr-FR"/>
        </w:rPr>
        <w:t xml:space="preserve">de disposer </w:t>
      </w:r>
      <w:r w:rsidRPr="00191337">
        <w:rPr>
          <w:snapToGrid w:val="0"/>
          <w:kern w:val="22"/>
          <w:lang w:val="fr-FR" w:eastAsia="fr-FR"/>
        </w:rPr>
        <w:t>d’une base sc</w:t>
      </w:r>
      <w:r>
        <w:rPr>
          <w:snapToGrid w:val="0"/>
          <w:kern w:val="22"/>
          <w:lang w:val="fr-FR" w:eastAsia="fr-FR"/>
        </w:rPr>
        <w:t xml:space="preserve">ientifique et technique robuste, </w:t>
      </w:r>
      <w:r w:rsidRPr="00191337">
        <w:rPr>
          <w:snapToGrid w:val="0"/>
          <w:kern w:val="22"/>
          <w:lang w:val="fr-FR" w:eastAsia="fr-FR"/>
        </w:rPr>
        <w:t xml:space="preserve">fondée </w:t>
      </w:r>
      <w:r>
        <w:rPr>
          <w:snapToGrid w:val="0"/>
          <w:kern w:val="22"/>
          <w:lang w:val="fr-FR" w:eastAsia="fr-FR"/>
        </w:rPr>
        <w:t xml:space="preserve">notamment </w:t>
      </w:r>
      <w:r w:rsidRPr="00191337">
        <w:rPr>
          <w:snapToGrid w:val="0"/>
          <w:kern w:val="22"/>
          <w:lang w:val="fr-FR" w:eastAsia="fr-FR"/>
        </w:rPr>
        <w:t xml:space="preserve">sur les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lang w:val="fr-FR" w:eastAsia="fr-FR"/>
        </w:rPr>
        <w:t>, pour to</w:t>
      </w:r>
      <w:r>
        <w:rPr>
          <w:snapToGrid w:val="0"/>
          <w:kern w:val="22"/>
          <w:lang w:val="fr-FR" w:eastAsia="fr-FR"/>
        </w:rPr>
        <w:t>ute proposition de modification</w:t>
      </w:r>
      <w:r w:rsidRPr="00191337">
        <w:rPr>
          <w:snapToGrid w:val="0"/>
          <w:kern w:val="22"/>
          <w:lang w:val="fr-FR" w:eastAsia="fr-FR"/>
        </w:rPr>
        <w:t>;</w:t>
      </w:r>
    </w:p>
    <w:p w:rsidR="009F6935" w:rsidRPr="00191337" w:rsidRDefault="009F6935" w:rsidP="00004EAF">
      <w:pPr>
        <w:numPr>
          <w:ilvl w:val="0"/>
          <w:numId w:val="43"/>
        </w:numPr>
        <w:suppressLineNumbers/>
        <w:suppressAutoHyphens/>
        <w:kinsoku w:val="0"/>
        <w:overflowPunct w:val="0"/>
        <w:autoSpaceDE w:val="0"/>
        <w:autoSpaceDN w:val="0"/>
        <w:spacing w:after="120"/>
        <w:ind w:left="0" w:firstLine="720"/>
        <w:rPr>
          <w:snapToGrid w:val="0"/>
          <w:kern w:val="22"/>
          <w:lang w:val="fr-FR" w:eastAsia="fr-FR"/>
        </w:rPr>
      </w:pPr>
      <w:r w:rsidRPr="00191337">
        <w:rPr>
          <w:snapToGrid w:val="0"/>
          <w:kern w:val="22"/>
          <w:lang w:val="fr-FR" w:eastAsia="fr-FR"/>
        </w:rPr>
        <w:t>L’importance de la transparence da</w:t>
      </w:r>
      <w:r>
        <w:rPr>
          <w:snapToGrid w:val="0"/>
          <w:kern w:val="22"/>
          <w:lang w:val="fr-FR" w:eastAsia="fr-FR"/>
        </w:rPr>
        <w:t>ns le processus de modification</w:t>
      </w:r>
      <w:r w:rsidRPr="00191337">
        <w:rPr>
          <w:snapToGrid w:val="0"/>
          <w:kern w:val="22"/>
          <w:lang w:val="fr-FR" w:eastAsia="fr-FR"/>
        </w:rPr>
        <w:t xml:space="preserve">; </w:t>
      </w:r>
    </w:p>
    <w:p w:rsidR="009F6935" w:rsidRPr="00191337" w:rsidRDefault="009F6935" w:rsidP="00004EAF">
      <w:pPr>
        <w:numPr>
          <w:ilvl w:val="0"/>
          <w:numId w:val="43"/>
        </w:numPr>
        <w:suppressLineNumbers/>
        <w:suppressAutoHyphens/>
        <w:kinsoku w:val="0"/>
        <w:overflowPunct w:val="0"/>
        <w:autoSpaceDE w:val="0"/>
        <w:autoSpaceDN w:val="0"/>
        <w:spacing w:after="120"/>
        <w:ind w:left="0" w:firstLine="720"/>
        <w:rPr>
          <w:snapToGrid w:val="0"/>
          <w:kern w:val="22"/>
          <w:lang w:val="fr-FR" w:eastAsia="fr-FR"/>
        </w:rPr>
      </w:pPr>
      <w:r>
        <w:rPr>
          <w:snapToGrid w:val="0"/>
          <w:kern w:val="22"/>
          <w:lang w:val="fr-FR" w:eastAsia="fr-FR"/>
        </w:rPr>
        <w:t>Les possibilité</w:t>
      </w:r>
      <w:r w:rsidRPr="00191337">
        <w:rPr>
          <w:snapToGrid w:val="0"/>
          <w:kern w:val="22"/>
          <w:lang w:val="fr-FR" w:eastAsia="fr-FR"/>
        </w:rPr>
        <w:t>s d’utiliser des modali</w:t>
      </w:r>
      <w:r>
        <w:rPr>
          <w:snapToGrid w:val="0"/>
          <w:kern w:val="22"/>
          <w:lang w:val="fr-FR" w:eastAsia="fr-FR"/>
        </w:rPr>
        <w:t>tés financièrement avantageuses</w:t>
      </w:r>
      <w:r w:rsidRPr="00191337">
        <w:rPr>
          <w:snapToGrid w:val="0"/>
          <w:kern w:val="22"/>
          <w:lang w:val="fr-FR" w:eastAsia="fr-FR"/>
        </w:rPr>
        <w:t>;</w:t>
      </w:r>
    </w:p>
    <w:p w:rsidR="009F6935" w:rsidRPr="00191337" w:rsidRDefault="009F6935" w:rsidP="00004EAF">
      <w:pPr>
        <w:numPr>
          <w:ilvl w:val="0"/>
          <w:numId w:val="43"/>
        </w:numPr>
        <w:suppressLineNumbers/>
        <w:suppressAutoHyphens/>
        <w:kinsoku w:val="0"/>
        <w:overflowPunct w:val="0"/>
        <w:autoSpaceDE w:val="0"/>
        <w:autoSpaceDN w:val="0"/>
        <w:spacing w:after="120"/>
        <w:ind w:left="0" w:firstLine="720"/>
        <w:rPr>
          <w:snapToGrid w:val="0"/>
          <w:color w:val="000000"/>
          <w:lang w:val="fr-FR" w:eastAsia="fr-FR"/>
        </w:rPr>
      </w:pPr>
      <w:r w:rsidRPr="00191337">
        <w:rPr>
          <w:snapToGrid w:val="0"/>
          <w:kern w:val="22"/>
          <w:lang w:val="fr-FR" w:eastAsia="fr-FR"/>
        </w:rPr>
        <w:t>La nécessité de consigner les informations sur l'ensemble des</w:t>
      </w:r>
      <w:r>
        <w:rPr>
          <w:snapToGrid w:val="0"/>
          <w:kern w:val="22"/>
          <w:lang w:val="fr-FR" w:eastAsia="fr-FR"/>
        </w:rPr>
        <w:t xml:space="preserve"> AIEB décrites précédemment qui </w:t>
      </w:r>
      <w:r w:rsidRPr="00191337">
        <w:rPr>
          <w:snapToGrid w:val="0"/>
          <w:kern w:val="22"/>
          <w:lang w:val="fr-FR" w:eastAsia="fr-FR"/>
        </w:rPr>
        <w:t>ont été modifiées ou supprimées du registre.</w:t>
      </w:r>
    </w:p>
    <w:p w:rsidR="009F6935" w:rsidRPr="00191337" w:rsidRDefault="009F6935" w:rsidP="009F6935">
      <w:pPr>
        <w:pStyle w:val="Heading1longmultiline"/>
        <w:keepNext w:val="0"/>
        <w:suppressLineNumbers/>
        <w:tabs>
          <w:tab w:val="clear" w:pos="720"/>
        </w:tabs>
        <w:suppressAutoHyphens/>
        <w:kinsoku w:val="0"/>
        <w:overflowPunct w:val="0"/>
        <w:autoSpaceDE w:val="0"/>
        <w:autoSpaceDN w:val="0"/>
        <w:adjustRightInd w:val="0"/>
        <w:snapToGrid w:val="0"/>
        <w:ind w:left="1418" w:hanging="709"/>
        <w:rPr>
          <w:snapToGrid w:val="0"/>
          <w:kern w:val="22"/>
          <w:szCs w:val="22"/>
          <w:lang w:val="fr-FR"/>
        </w:rPr>
      </w:pPr>
      <w:bookmarkStart w:id="166" w:name="_Toc525904202"/>
      <w:bookmarkStart w:id="167" w:name="_Toc525904361"/>
      <w:bookmarkStart w:id="168" w:name="_Toc525904605"/>
      <w:r w:rsidRPr="00191337">
        <w:rPr>
          <w:snapToGrid w:val="0"/>
          <w:kern w:val="22"/>
          <w:szCs w:val="22"/>
          <w:lang w:val="fr-FR"/>
        </w:rPr>
        <w:t xml:space="preserve">II. </w:t>
      </w:r>
      <w:r w:rsidRPr="00191337">
        <w:rPr>
          <w:snapToGrid w:val="0"/>
          <w:kern w:val="22"/>
          <w:szCs w:val="22"/>
          <w:lang w:val="fr-FR"/>
        </w:rPr>
        <w:tab/>
        <w:t>Description de</w:t>
      </w:r>
      <w:r>
        <w:rPr>
          <w:snapToGrid w:val="0"/>
          <w:kern w:val="22"/>
          <w:szCs w:val="22"/>
          <w:lang w:val="fr-FR"/>
        </w:rPr>
        <w:t>s</w:t>
      </w:r>
      <w:r w:rsidRPr="00191337">
        <w:rPr>
          <w:snapToGrid w:val="0"/>
          <w:kern w:val="22"/>
          <w:szCs w:val="22"/>
          <w:lang w:val="fr-FR"/>
        </w:rPr>
        <w:t xml:space="preserve"> nouvelles aires </w:t>
      </w:r>
      <w:r>
        <w:rPr>
          <w:snapToGrid w:val="0"/>
          <w:kern w:val="22"/>
          <w:szCs w:val="22"/>
          <w:lang w:val="fr-FR"/>
        </w:rPr>
        <w:t>qui rÉponde</w:t>
      </w:r>
      <w:r w:rsidRPr="00191337">
        <w:rPr>
          <w:snapToGrid w:val="0"/>
          <w:kern w:val="22"/>
          <w:szCs w:val="22"/>
          <w:lang w:val="fr-FR"/>
        </w:rPr>
        <w:t xml:space="preserve">nt </w:t>
      </w:r>
      <w:r>
        <w:rPr>
          <w:snapToGrid w:val="0"/>
          <w:kern w:val="22"/>
          <w:szCs w:val="22"/>
          <w:lang w:val="fr-FR"/>
        </w:rPr>
        <w:t>aux critÈres Établis pour l</w:t>
      </w:r>
      <w:r w:rsidRPr="00191337">
        <w:rPr>
          <w:snapToGrid w:val="0"/>
          <w:kern w:val="22"/>
          <w:szCs w:val="22"/>
          <w:lang w:val="fr-FR"/>
        </w:rPr>
        <w:t>es AIEB</w:t>
      </w:r>
      <w:bookmarkEnd w:id="166"/>
      <w:bookmarkEnd w:id="167"/>
      <w:bookmarkEnd w:id="168"/>
    </w:p>
    <w:p w:rsidR="009F6935" w:rsidRPr="00191337" w:rsidRDefault="009F6935" w:rsidP="009F6935">
      <w:pPr>
        <w:keepNext/>
        <w:suppressLineNumbers/>
        <w:tabs>
          <w:tab w:val="left" w:pos="360"/>
        </w:tabs>
        <w:suppressAutoHyphens/>
        <w:kinsoku w:val="0"/>
        <w:overflowPunct w:val="0"/>
        <w:autoSpaceDE w:val="0"/>
        <w:autoSpaceDN w:val="0"/>
        <w:ind w:left="1134" w:hanging="567"/>
        <w:jc w:val="left"/>
        <w:outlineLvl w:val="1"/>
        <w:rPr>
          <w:bCs/>
          <w:iCs/>
          <w:snapToGrid w:val="0"/>
          <w:kern w:val="22"/>
          <w:szCs w:val="22"/>
          <w:lang w:val="fr-FR" w:eastAsia="fr-FR"/>
        </w:rPr>
      </w:pPr>
      <w:bookmarkStart w:id="169" w:name="_Toc525904203"/>
      <w:bookmarkStart w:id="170" w:name="_Toc525904362"/>
      <w:bookmarkStart w:id="171" w:name="_Toc525904606"/>
      <w:r w:rsidRPr="00191337">
        <w:rPr>
          <w:b/>
          <w:bCs/>
          <w:iCs/>
          <w:snapToGrid w:val="0"/>
          <w:kern w:val="22"/>
          <w:szCs w:val="22"/>
          <w:lang w:val="fr-FR" w:eastAsia="fr-FR"/>
        </w:rPr>
        <w:t>A.</w:t>
      </w:r>
      <w:r w:rsidRPr="00191337">
        <w:rPr>
          <w:b/>
          <w:bCs/>
          <w:iCs/>
          <w:snapToGrid w:val="0"/>
          <w:kern w:val="22"/>
          <w:szCs w:val="22"/>
          <w:lang w:val="fr-FR" w:eastAsia="fr-FR"/>
        </w:rPr>
        <w:tab/>
        <w:t xml:space="preserve">Acteurs </w:t>
      </w:r>
      <w:r>
        <w:rPr>
          <w:b/>
          <w:bCs/>
          <w:iCs/>
          <w:snapToGrid w:val="0"/>
          <w:kern w:val="22"/>
          <w:szCs w:val="22"/>
          <w:lang w:val="fr-FR" w:eastAsia="fr-FR"/>
        </w:rPr>
        <w:t>qui peuvent commencer la</w:t>
      </w:r>
      <w:r w:rsidRPr="00191337">
        <w:rPr>
          <w:b/>
          <w:bCs/>
          <w:iCs/>
          <w:snapToGrid w:val="0"/>
          <w:kern w:val="22"/>
          <w:szCs w:val="22"/>
          <w:lang w:val="fr-FR" w:eastAsia="fr-FR"/>
        </w:rPr>
        <w:t xml:space="preserve"> description de nouvelles aires </w:t>
      </w:r>
      <w:r>
        <w:rPr>
          <w:b/>
          <w:bCs/>
          <w:iCs/>
          <w:snapToGrid w:val="0"/>
          <w:kern w:val="22"/>
          <w:szCs w:val="22"/>
          <w:lang w:val="fr-FR" w:eastAsia="fr-FR"/>
        </w:rPr>
        <w:t>répondant aux critères établi</w:t>
      </w:r>
      <w:r w:rsidRPr="00191337">
        <w:rPr>
          <w:b/>
          <w:bCs/>
          <w:iCs/>
          <w:snapToGrid w:val="0"/>
          <w:kern w:val="22"/>
          <w:szCs w:val="22"/>
          <w:lang w:val="fr-FR" w:eastAsia="fr-FR"/>
        </w:rPr>
        <w:t>s pour les AIEB</w:t>
      </w:r>
      <w:bookmarkEnd w:id="169"/>
      <w:bookmarkEnd w:id="170"/>
      <w:bookmarkEnd w:id="171"/>
    </w:p>
    <w:p w:rsidR="009F6935" w:rsidRPr="00191337" w:rsidRDefault="009F6935" w:rsidP="009F6935">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 xml:space="preserve">9. </w:t>
      </w:r>
      <w:r w:rsidRPr="00191337">
        <w:rPr>
          <w:snapToGrid w:val="0"/>
          <w:kern w:val="22"/>
          <w:szCs w:val="22"/>
          <w:lang w:val="fr-FR" w:eastAsia="fr-FR"/>
        </w:rPr>
        <w:tab/>
        <w:t xml:space="preserve">Les </w:t>
      </w:r>
      <w:r>
        <w:rPr>
          <w:snapToGrid w:val="0"/>
          <w:kern w:val="22"/>
          <w:szCs w:val="22"/>
          <w:lang w:val="fr-FR" w:eastAsia="fr-FR"/>
        </w:rPr>
        <w:t>acteurs suivants peuvent commencer</w:t>
      </w:r>
      <w:r w:rsidRPr="00191337">
        <w:rPr>
          <w:snapToGrid w:val="0"/>
          <w:kern w:val="22"/>
          <w:szCs w:val="22"/>
          <w:lang w:val="fr-FR" w:eastAsia="fr-FR"/>
        </w:rPr>
        <w:t xml:space="preserve"> la description de nouvelles aires répondant aux critères arrêtés pour les AIEB</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9F6935">
      <w:pPr>
        <w:suppressLineNumbers/>
        <w:suppressAutoHyphens/>
        <w:kinsoku w:val="0"/>
        <w:overflowPunct w:val="0"/>
        <w:autoSpaceDE w:val="0"/>
        <w:autoSpaceDN w:val="0"/>
        <w:spacing w:before="120" w:after="120"/>
        <w:rPr>
          <w:b/>
          <w:snapToGrid w:val="0"/>
          <w:kern w:val="22"/>
          <w:szCs w:val="22"/>
          <w:lang w:val="fr-FR" w:eastAsia="fr-FR"/>
        </w:rPr>
      </w:pPr>
      <w:r>
        <w:rPr>
          <w:b/>
          <w:snapToGrid w:val="0"/>
          <w:kern w:val="22"/>
          <w:szCs w:val="22"/>
          <w:lang w:val="fr-FR" w:eastAsia="fr-FR"/>
        </w:rPr>
        <w:t>Première option</w:t>
      </w:r>
    </w:p>
    <w:p w:rsidR="009F6935" w:rsidRDefault="009F6935" w:rsidP="009F6935">
      <w:pPr>
        <w:pStyle w:val="ListParagraph"/>
        <w:suppressLineNumbers/>
        <w:suppressAutoHyphens/>
        <w:kinsoku w:val="0"/>
        <w:overflowPunct w:val="0"/>
        <w:autoSpaceDE w:val="0"/>
        <w:autoSpaceDN w:val="0"/>
        <w:adjustRightInd w:val="0"/>
        <w:snapToGrid w:val="0"/>
        <w:spacing w:after="120"/>
        <w:contextualSpacing w:val="0"/>
        <w:rPr>
          <w:snapToGrid w:val="0"/>
          <w:kern w:val="22"/>
          <w:lang w:val="fr-FR" w:eastAsia="fr-FR"/>
        </w:rPr>
      </w:pPr>
      <w:r w:rsidRPr="00AD00CD">
        <w:rPr>
          <w:b/>
          <w:lang w:val="fr-FR" w:eastAsia="fr-FR"/>
        </w:rPr>
        <w:t>[</w:t>
      </w:r>
      <w:r>
        <w:rPr>
          <w:lang w:val="fr-FR" w:eastAsia="fr-FR"/>
        </w:rPr>
        <w:t xml:space="preserve">a) </w:t>
      </w:r>
      <w:r>
        <w:rPr>
          <w:lang w:val="fr-FR" w:eastAsia="fr-FR"/>
        </w:rPr>
        <w:tab/>
      </w:r>
      <w:r w:rsidRPr="00191337">
        <w:rPr>
          <w:bCs/>
          <w:snapToGrid w:val="0"/>
          <w:kern w:val="22"/>
          <w:lang w:val="fr-FR" w:eastAsia="fr-FR"/>
        </w:rPr>
        <w:t>Relevant de la juridiction nationale</w:t>
      </w:r>
      <w:r>
        <w:rPr>
          <w:bCs/>
          <w:snapToGrid w:val="0"/>
          <w:kern w:val="22"/>
          <w:lang w:val="fr-FR" w:eastAsia="fr-FR"/>
        </w:rPr>
        <w:t> </w:t>
      </w:r>
      <w:r w:rsidRPr="00191337">
        <w:rPr>
          <w:bCs/>
          <w:snapToGrid w:val="0"/>
          <w:kern w:val="22"/>
          <w:lang w:val="fr-FR" w:eastAsia="fr-FR"/>
        </w:rPr>
        <w:t>:</w:t>
      </w:r>
      <w:r w:rsidRPr="00191337">
        <w:rPr>
          <w:snapToGrid w:val="0"/>
          <w:kern w:val="22"/>
          <w:lang w:val="fr-FR" w:eastAsia="fr-FR"/>
        </w:rPr>
        <w:t xml:space="preserve"> l'État côtier </w:t>
      </w:r>
      <w:r w:rsidRPr="00E77BD8">
        <w:rPr>
          <w:snapToGrid w:val="0"/>
          <w:kern w:val="22"/>
          <w:szCs w:val="22"/>
          <w:lang w:val="fr-FR"/>
        </w:rPr>
        <w:t>[</w:t>
      </w:r>
      <w:r>
        <w:rPr>
          <w:snapToGrid w:val="0"/>
          <w:kern w:val="22"/>
          <w:lang w:val="fr-FR" w:eastAsia="fr-FR"/>
        </w:rPr>
        <w:t>dont la juridiction s'étend à l'aire</w:t>
      </w:r>
      <w:r w:rsidRPr="00E77BD8">
        <w:rPr>
          <w:snapToGrid w:val="0"/>
          <w:kern w:val="22"/>
          <w:szCs w:val="22"/>
          <w:lang w:val="fr-FR"/>
        </w:rPr>
        <w:t>]</w:t>
      </w:r>
      <w:r w:rsidRPr="00191337">
        <w:rPr>
          <w:snapToGrid w:val="0"/>
          <w:kern w:val="22"/>
          <w:lang w:val="fr-FR" w:eastAsia="fr-FR"/>
        </w:rPr>
        <w:t>;</w:t>
      </w:r>
    </w:p>
    <w:p w:rsidR="009F6935" w:rsidRPr="00191337" w:rsidRDefault="009F6935" w:rsidP="009F6935">
      <w:pPr>
        <w:suppressLineNumbers/>
        <w:suppressAutoHyphens/>
        <w:kinsoku w:val="0"/>
        <w:overflowPunct w:val="0"/>
        <w:autoSpaceDE w:val="0"/>
        <w:autoSpaceDN w:val="0"/>
        <w:spacing w:after="120"/>
        <w:ind w:left="709"/>
        <w:rPr>
          <w:rFonts w:eastAsia="Malgun Gothic"/>
          <w:snapToGrid w:val="0"/>
          <w:kern w:val="22"/>
          <w:lang w:val="fr-FR" w:eastAsia="fr-FR"/>
        </w:rPr>
      </w:pPr>
      <w:r w:rsidRPr="0025206E">
        <w:rPr>
          <w:lang w:val="fr-FR" w:eastAsia="fr-FR"/>
        </w:rPr>
        <w:t>b</w:t>
      </w:r>
      <w:r>
        <w:rPr>
          <w:lang w:val="fr-FR" w:eastAsia="fr-FR"/>
        </w:rPr>
        <w:t xml:space="preserve">) </w:t>
      </w:r>
      <w:r>
        <w:rPr>
          <w:lang w:val="fr-FR" w:eastAsia="fr-FR"/>
        </w:rPr>
        <w:tab/>
      </w:r>
      <w:r w:rsidRPr="00191337">
        <w:rPr>
          <w:bCs/>
          <w:snapToGrid w:val="0"/>
          <w:kern w:val="22"/>
          <w:lang w:val="fr-FR" w:eastAsia="fr-FR"/>
        </w:rPr>
        <w:t>Relevant de la juridiction nationale de plusieurs États : tous les États côtiers dans la juridiction desquels la description est proposée</w:t>
      </w:r>
      <w:r>
        <w:rPr>
          <w:bCs/>
          <w:snapToGrid w:val="0"/>
          <w:kern w:val="22"/>
          <w:lang w:val="fr-FR" w:eastAsia="fr-FR"/>
        </w:rPr>
        <w:t> en consultation avec le/les autres État(s) concerné(s)</w:t>
      </w:r>
      <w:r w:rsidRPr="00191337">
        <w:rPr>
          <w:snapToGrid w:val="0"/>
          <w:kern w:val="22"/>
          <w:lang w:val="fr-FR" w:eastAsia="fr-FR"/>
        </w:rPr>
        <w:t xml:space="preserve">; </w:t>
      </w:r>
    </w:p>
    <w:p w:rsidR="009F6935" w:rsidRPr="00191337" w:rsidRDefault="009F6935" w:rsidP="009F6935">
      <w:pPr>
        <w:suppressLineNumbers/>
        <w:suppressAutoHyphens/>
        <w:kinsoku w:val="0"/>
        <w:overflowPunct w:val="0"/>
        <w:autoSpaceDE w:val="0"/>
        <w:autoSpaceDN w:val="0"/>
        <w:spacing w:after="120"/>
        <w:ind w:firstLine="720"/>
        <w:rPr>
          <w:snapToGrid w:val="0"/>
          <w:kern w:val="22"/>
          <w:lang w:val="fr-FR" w:eastAsia="fr-FR"/>
        </w:rPr>
      </w:pPr>
      <w:r w:rsidRPr="00503A72">
        <w:rPr>
          <w:lang w:val="fr-FR" w:eastAsia="fr-FR"/>
        </w:rPr>
        <w:t>c</w:t>
      </w:r>
      <w:r>
        <w:rPr>
          <w:lang w:val="fr-FR" w:eastAsia="fr-FR"/>
        </w:rPr>
        <w:t xml:space="preserve">) </w:t>
      </w:r>
      <w:r>
        <w:rPr>
          <w:lang w:val="fr-FR" w:eastAsia="fr-FR"/>
        </w:rPr>
        <w:tab/>
      </w:r>
      <w:r w:rsidRPr="00191337">
        <w:rPr>
          <w:snapToGrid w:val="0"/>
          <w:kern w:val="22"/>
          <w:lang w:val="fr-FR" w:eastAsia="fr-FR"/>
        </w:rPr>
        <w:t xml:space="preserve">Dans les aires </w:t>
      </w:r>
      <w:r>
        <w:rPr>
          <w:snapToGrid w:val="0"/>
          <w:kern w:val="22"/>
          <w:lang w:val="fr-FR" w:eastAsia="fr-FR"/>
        </w:rPr>
        <w:t>situées au-delà des limites</w:t>
      </w:r>
      <w:r w:rsidRPr="00191337">
        <w:rPr>
          <w:snapToGrid w:val="0"/>
          <w:kern w:val="22"/>
          <w:lang w:val="fr-FR" w:eastAsia="fr-FR"/>
        </w:rPr>
        <w:t xml:space="preserve"> de la juridiction nationale</w:t>
      </w:r>
      <w:r>
        <w:rPr>
          <w:snapToGrid w:val="0"/>
          <w:kern w:val="22"/>
          <w:lang w:val="fr-FR" w:eastAsia="fr-FR"/>
        </w:rPr>
        <w:t> </w:t>
      </w:r>
      <w:r w:rsidRPr="00191337">
        <w:rPr>
          <w:snapToGrid w:val="0"/>
          <w:kern w:val="22"/>
          <w:lang w:val="fr-FR" w:eastAsia="fr-FR"/>
        </w:rPr>
        <w:t xml:space="preserve">: tout État et/ou </w:t>
      </w:r>
      <w:r>
        <w:rPr>
          <w:snapToGrid w:val="0"/>
          <w:kern w:val="22"/>
          <w:lang w:val="fr-FR" w:eastAsia="fr-FR"/>
        </w:rPr>
        <w:t xml:space="preserve">toute </w:t>
      </w:r>
      <w:r w:rsidRPr="00191337">
        <w:rPr>
          <w:snapToGrid w:val="0"/>
          <w:kern w:val="22"/>
          <w:lang w:val="fr-FR" w:eastAsia="fr-FR"/>
        </w:rPr>
        <w:t>organisation intergouvernementale compétente</w:t>
      </w:r>
      <w:r>
        <w:rPr>
          <w:snapToGrid w:val="0"/>
          <w:kern w:val="22"/>
          <w:lang w:val="fr-FR" w:eastAsia="fr-FR"/>
        </w:rPr>
        <w:t xml:space="preserve"> qui avise l'ensemble des</w:t>
      </w:r>
      <w:r w:rsidRPr="00191337">
        <w:rPr>
          <w:snapToGrid w:val="0"/>
          <w:kern w:val="22"/>
          <w:lang w:val="fr-FR" w:eastAsia="fr-FR"/>
        </w:rPr>
        <w:t xml:space="preserve"> États, </w:t>
      </w:r>
      <w:r>
        <w:rPr>
          <w:lang w:val="fr-FR"/>
        </w:rPr>
        <w:t>[</w:t>
      </w:r>
      <w:r w:rsidRPr="00191337">
        <w:rPr>
          <w:snapToGrid w:val="0"/>
          <w:kern w:val="22"/>
          <w:lang w:val="fr-FR" w:eastAsia="fr-FR"/>
        </w:rPr>
        <w:t xml:space="preserve">sans préjudice de l'évolution </w:t>
      </w:r>
      <w:r>
        <w:rPr>
          <w:snapToGrid w:val="0"/>
          <w:kern w:val="22"/>
          <w:lang w:val="fr-FR" w:eastAsia="fr-FR"/>
        </w:rPr>
        <w:t xml:space="preserve">suivie par [le </w:t>
      </w:r>
      <w:r w:rsidRPr="00E83AC5">
        <w:rPr>
          <w:lang w:val="fr-FR"/>
        </w:rPr>
        <w:t>processus de l'Assemblée générale des Nations Unies</w:t>
      </w:r>
      <w:r>
        <w:rPr>
          <w:lang w:val="fr-FR"/>
        </w:rPr>
        <w:t xml:space="preserve"> sur la diversité biologique</w:t>
      </w:r>
      <w:r w:rsidRPr="00E83AC5">
        <w:rPr>
          <w:lang w:val="fr-FR"/>
        </w:rPr>
        <w:t xml:space="preserve"> dans les aires marines</w:t>
      </w:r>
      <w:r>
        <w:rPr>
          <w:lang w:val="fr-FR"/>
        </w:rPr>
        <w:t xml:space="preserve"> situées au-delà des limites de la juridiction nationale] [</w:t>
      </w:r>
      <w:r w:rsidRPr="00191337">
        <w:rPr>
          <w:snapToGrid w:val="0"/>
          <w:kern w:val="22"/>
          <w:lang w:val="fr-FR" w:eastAsia="fr-FR"/>
        </w:rPr>
        <w:t xml:space="preserve">la </w:t>
      </w:r>
      <w:r w:rsidRPr="00191337">
        <w:rPr>
          <w:i/>
          <w:snapToGrid w:val="0"/>
          <w:kern w:val="22"/>
          <w:lang w:val="fr-FR" w:eastAsia="fr-FR"/>
        </w:rPr>
        <w:t xml:space="preserve">Conférence intergouvernementale sur </w:t>
      </w:r>
      <w:r>
        <w:rPr>
          <w:i/>
          <w:snapToGrid w:val="0"/>
          <w:kern w:val="22"/>
          <w:lang w:val="fr-FR" w:eastAsia="fr-FR"/>
        </w:rPr>
        <w:t>l'</w:t>
      </w:r>
      <w:r w:rsidRPr="00191337">
        <w:rPr>
          <w:i/>
          <w:snapToGrid w:val="0"/>
          <w:kern w:val="22"/>
          <w:lang w:val="fr-FR" w:eastAsia="fr-FR"/>
        </w:rPr>
        <w:t xml:space="preserve">instrument international juridiquement contraignant </w:t>
      </w:r>
      <w:r>
        <w:rPr>
          <w:i/>
          <w:snapToGrid w:val="0"/>
          <w:kern w:val="22"/>
          <w:lang w:val="fr-FR" w:eastAsia="fr-FR"/>
        </w:rPr>
        <w:t>se rapportant à</w:t>
      </w:r>
      <w:r w:rsidRPr="00191337">
        <w:rPr>
          <w:i/>
          <w:snapToGrid w:val="0"/>
          <w:kern w:val="22"/>
          <w:lang w:val="fr-FR" w:eastAsia="fr-FR"/>
        </w:rPr>
        <w:t xml:space="preserve"> la Convention des Nations Unies sur le droit de la mer </w:t>
      </w:r>
      <w:r>
        <w:rPr>
          <w:i/>
          <w:snapToGrid w:val="0"/>
          <w:kern w:val="22"/>
          <w:lang w:val="fr-FR" w:eastAsia="fr-FR"/>
        </w:rPr>
        <w:t>et portant sur</w:t>
      </w:r>
      <w:r w:rsidRPr="00191337">
        <w:rPr>
          <w:i/>
          <w:snapToGrid w:val="0"/>
          <w:kern w:val="22"/>
          <w:lang w:val="fr-FR" w:eastAsia="fr-FR"/>
        </w:rPr>
        <w:t xml:space="preserve"> la conservation et l'utilisation durable de la </w:t>
      </w:r>
      <w:r>
        <w:rPr>
          <w:i/>
          <w:snapToGrid w:val="0"/>
          <w:kern w:val="22"/>
          <w:lang w:val="fr-FR" w:eastAsia="fr-FR"/>
        </w:rPr>
        <w:t>biodiversité</w:t>
      </w:r>
      <w:r w:rsidRPr="00191337">
        <w:rPr>
          <w:i/>
          <w:snapToGrid w:val="0"/>
          <w:kern w:val="22"/>
          <w:lang w:val="fr-FR" w:eastAsia="fr-FR"/>
        </w:rPr>
        <w:t xml:space="preserve"> marine des </w:t>
      </w:r>
      <w:r>
        <w:rPr>
          <w:i/>
          <w:snapToGrid w:val="0"/>
          <w:kern w:val="22"/>
          <w:lang w:val="fr-FR" w:eastAsia="fr-FR"/>
        </w:rPr>
        <w:t>zones situées au-delà des limites</w:t>
      </w:r>
      <w:r w:rsidRPr="00191337">
        <w:rPr>
          <w:i/>
          <w:snapToGrid w:val="0"/>
          <w:kern w:val="22"/>
          <w:lang w:val="fr-FR" w:eastAsia="fr-FR"/>
        </w:rPr>
        <w:t xml:space="preserve"> de la juridiction nationale</w:t>
      </w:r>
      <w:r w:rsidRPr="00191337">
        <w:rPr>
          <w:snapToGrid w:val="0"/>
          <w:kern w:val="22"/>
          <w:lang w:val="fr-FR" w:eastAsia="fr-FR"/>
        </w:rPr>
        <w:t>]];</w:t>
      </w:r>
    </w:p>
    <w:p w:rsidR="009F6935" w:rsidRPr="00191337" w:rsidRDefault="009F6935" w:rsidP="009F6935">
      <w:pPr>
        <w:suppressLineNumbers/>
        <w:suppressAutoHyphens/>
        <w:kinsoku w:val="0"/>
        <w:overflowPunct w:val="0"/>
        <w:autoSpaceDE w:val="0"/>
        <w:autoSpaceDN w:val="0"/>
        <w:spacing w:after="120"/>
        <w:ind w:firstLine="720"/>
        <w:rPr>
          <w:snapToGrid w:val="0"/>
          <w:kern w:val="22"/>
          <w:lang w:val="fr-FR" w:eastAsia="fr-FR"/>
        </w:rPr>
      </w:pPr>
      <w:r>
        <w:rPr>
          <w:snapToGrid w:val="0"/>
          <w:kern w:val="22"/>
          <w:lang w:val="fr-FR" w:eastAsia="fr-FR"/>
        </w:rPr>
        <w:t>d</w:t>
      </w:r>
      <w:r w:rsidRPr="00E96244">
        <w:rPr>
          <w:snapToGrid w:val="0"/>
          <w:kern w:val="22"/>
          <w:lang w:val="fr-FR" w:eastAsia="fr-FR"/>
        </w:rPr>
        <w:t xml:space="preserve">) </w:t>
      </w:r>
      <w:r w:rsidRPr="00E96244">
        <w:rPr>
          <w:snapToGrid w:val="0"/>
          <w:kern w:val="22"/>
          <w:lang w:val="fr-FR" w:eastAsia="fr-FR"/>
        </w:rPr>
        <w:tab/>
      </w:r>
      <w:r w:rsidRPr="00191337">
        <w:rPr>
          <w:snapToGrid w:val="0"/>
          <w:kern w:val="22"/>
          <w:lang w:val="fr-FR" w:eastAsia="fr-FR"/>
        </w:rPr>
        <w:t xml:space="preserve">Pour les aires </w:t>
      </w:r>
      <w:r>
        <w:rPr>
          <w:snapToGrid w:val="0"/>
          <w:kern w:val="22"/>
          <w:lang w:val="fr-FR" w:eastAsia="fr-FR"/>
        </w:rPr>
        <w:t>dont les</w:t>
      </w:r>
      <w:r w:rsidRPr="00191337">
        <w:rPr>
          <w:snapToGrid w:val="0"/>
          <w:kern w:val="22"/>
          <w:lang w:val="fr-FR" w:eastAsia="fr-FR"/>
        </w:rPr>
        <w:t xml:space="preserve"> caractéristiques </w:t>
      </w:r>
      <w:r>
        <w:rPr>
          <w:snapToGrid w:val="0"/>
          <w:kern w:val="22"/>
          <w:lang w:val="fr-FR" w:eastAsia="fr-FR"/>
        </w:rPr>
        <w:t>relèvent de l</w:t>
      </w:r>
      <w:r w:rsidRPr="00191337">
        <w:rPr>
          <w:snapToGrid w:val="0"/>
          <w:kern w:val="22"/>
          <w:lang w:val="fr-FR" w:eastAsia="fr-FR"/>
        </w:rPr>
        <w:t xml:space="preserve">a juridiction nationale et </w:t>
      </w:r>
      <w:r>
        <w:rPr>
          <w:snapToGrid w:val="0"/>
          <w:kern w:val="22"/>
          <w:lang w:val="fr-FR" w:eastAsia="fr-FR"/>
        </w:rPr>
        <w:t xml:space="preserve">sont situées au-delà des limites </w:t>
      </w:r>
      <w:r w:rsidRPr="00191337">
        <w:rPr>
          <w:snapToGrid w:val="0"/>
          <w:kern w:val="22"/>
          <w:lang w:val="fr-FR" w:eastAsia="fr-FR"/>
        </w:rPr>
        <w:t xml:space="preserve">de la juridiction nationale : </w:t>
      </w:r>
      <w:r>
        <w:rPr>
          <w:snapToGrid w:val="0"/>
          <w:kern w:val="22"/>
          <w:lang w:val="fr-FR" w:eastAsia="fr-FR"/>
        </w:rPr>
        <w:t xml:space="preserve">le/les </w:t>
      </w:r>
      <w:r w:rsidRPr="00191337">
        <w:rPr>
          <w:snapToGrid w:val="0"/>
          <w:kern w:val="22"/>
          <w:lang w:val="fr-FR" w:eastAsia="fr-FR"/>
        </w:rPr>
        <w:t xml:space="preserve">État(s) et/ou </w:t>
      </w:r>
      <w:r>
        <w:rPr>
          <w:snapToGrid w:val="0"/>
          <w:kern w:val="22"/>
          <w:lang w:val="fr-FR" w:eastAsia="fr-FR"/>
        </w:rPr>
        <w:t xml:space="preserve">les </w:t>
      </w:r>
      <w:r w:rsidRPr="00191337">
        <w:rPr>
          <w:snapToGrid w:val="0"/>
          <w:kern w:val="22"/>
          <w:lang w:val="fr-FR" w:eastAsia="fr-FR"/>
        </w:rPr>
        <w:t>organisations inter</w:t>
      </w:r>
      <w:r>
        <w:rPr>
          <w:snapToGrid w:val="0"/>
          <w:kern w:val="22"/>
          <w:lang w:val="fr-FR" w:eastAsia="fr-FR"/>
        </w:rPr>
        <w:t>gouvernementales compétentes ; en consultation avec le/les autres(s) État(s) concerné(s</w:t>
      </w:r>
      <w:r w:rsidRPr="00E77BD8">
        <w:rPr>
          <w:snapToGrid w:val="0"/>
          <w:kern w:val="22"/>
          <w:lang w:val="fr-FR" w:eastAsia="fr-FR"/>
        </w:rPr>
        <w:t>)];</w:t>
      </w:r>
    </w:p>
    <w:p w:rsidR="009F6935" w:rsidRPr="00191337" w:rsidRDefault="009F6935" w:rsidP="009F6935">
      <w:pPr>
        <w:suppressLineNumbers/>
        <w:suppressAutoHyphens/>
        <w:kinsoku w:val="0"/>
        <w:overflowPunct w:val="0"/>
        <w:autoSpaceDE w:val="0"/>
        <w:autoSpaceDN w:val="0"/>
        <w:spacing w:after="120"/>
        <w:rPr>
          <w:b/>
          <w:snapToGrid w:val="0"/>
          <w:kern w:val="22"/>
          <w:szCs w:val="22"/>
          <w:lang w:val="fr-FR" w:eastAsia="fr-FR"/>
        </w:rPr>
      </w:pPr>
      <w:r>
        <w:rPr>
          <w:b/>
          <w:snapToGrid w:val="0"/>
          <w:kern w:val="22"/>
          <w:szCs w:val="22"/>
          <w:lang w:val="fr-FR" w:eastAsia="fr-FR"/>
        </w:rPr>
        <w:lastRenderedPageBreak/>
        <w:t>Deuxième o</w:t>
      </w:r>
      <w:r w:rsidRPr="00191337">
        <w:rPr>
          <w:b/>
          <w:snapToGrid w:val="0"/>
          <w:kern w:val="22"/>
          <w:szCs w:val="22"/>
          <w:lang w:val="fr-FR" w:eastAsia="fr-FR"/>
        </w:rPr>
        <w:t>ption</w:t>
      </w:r>
    </w:p>
    <w:p w:rsidR="009F6935" w:rsidRPr="00191337" w:rsidRDefault="009F6935" w:rsidP="009F6935">
      <w:pPr>
        <w:suppressLineNumbers/>
        <w:suppressAutoHyphens/>
        <w:kinsoku w:val="0"/>
        <w:overflowPunct w:val="0"/>
        <w:autoSpaceDE w:val="0"/>
        <w:autoSpaceDN w:val="0"/>
        <w:spacing w:after="120"/>
        <w:ind w:firstLine="709"/>
        <w:rPr>
          <w:snapToGrid w:val="0"/>
          <w:kern w:val="22"/>
          <w:szCs w:val="22"/>
          <w:lang w:val="fr-FR" w:eastAsia="fr-FR"/>
        </w:rPr>
      </w:pPr>
      <w:r w:rsidRPr="00E77BD8">
        <w:rPr>
          <w:b/>
          <w:snapToGrid w:val="0"/>
          <w:kern w:val="22"/>
          <w:szCs w:val="22"/>
          <w:lang w:val="fr-FR" w:eastAsia="fr-FR"/>
        </w:rPr>
        <w:t>[</w:t>
      </w:r>
      <w:r w:rsidRPr="00191337">
        <w:rPr>
          <w:snapToGrid w:val="0"/>
          <w:kern w:val="22"/>
          <w:szCs w:val="22"/>
          <w:lang w:val="fr-FR" w:eastAsia="fr-FR"/>
        </w:rPr>
        <w:t>a)</w:t>
      </w:r>
      <w:r w:rsidRPr="00191337">
        <w:rPr>
          <w:snapToGrid w:val="0"/>
          <w:kern w:val="22"/>
          <w:szCs w:val="22"/>
          <w:lang w:val="fr-FR" w:eastAsia="fr-FR"/>
        </w:rPr>
        <w:tab/>
        <w:t xml:space="preserve">Relevant de la juridiction nationale : </w:t>
      </w:r>
      <w:r>
        <w:rPr>
          <w:snapToGrid w:val="0"/>
          <w:kern w:val="22"/>
          <w:szCs w:val="22"/>
          <w:lang w:val="fr-FR" w:eastAsia="fr-FR"/>
        </w:rPr>
        <w:t>l'</w:t>
      </w:r>
      <w:r w:rsidRPr="00191337">
        <w:rPr>
          <w:snapToGrid w:val="0"/>
          <w:kern w:val="22"/>
          <w:szCs w:val="22"/>
          <w:lang w:val="fr-FR" w:eastAsia="fr-FR"/>
        </w:rPr>
        <w:t>État côtier [qui exerce sa souveraineté, ses droits souverains ou] [</w:t>
      </w:r>
      <w:r>
        <w:rPr>
          <w:snapToGrid w:val="0"/>
          <w:kern w:val="22"/>
          <w:szCs w:val="22"/>
          <w:lang w:val="fr-FR" w:eastAsia="fr-FR"/>
        </w:rPr>
        <w:t>qui exerce</w:t>
      </w:r>
      <w:r w:rsidRPr="0045789B">
        <w:rPr>
          <w:snapToGrid w:val="0"/>
          <w:kern w:val="22"/>
          <w:szCs w:val="22"/>
          <w:lang w:val="fr-FR" w:eastAsia="fr-FR"/>
        </w:rPr>
        <w:t>]</w:t>
      </w:r>
      <w:r w:rsidRPr="00191337">
        <w:rPr>
          <w:snapToGrid w:val="0"/>
          <w:kern w:val="22"/>
          <w:szCs w:val="22"/>
          <w:lang w:val="fr-FR" w:eastAsia="fr-FR"/>
        </w:rPr>
        <w:t xml:space="preserve"> sa </w:t>
      </w:r>
      <w:r>
        <w:rPr>
          <w:snapToGrid w:val="0"/>
          <w:kern w:val="22"/>
          <w:szCs w:val="22"/>
          <w:lang w:val="fr-FR" w:eastAsia="fr-FR"/>
        </w:rPr>
        <w:t>juridiction sur l'aire</w:t>
      </w:r>
      <w:r w:rsidRPr="00191337">
        <w:rPr>
          <w:snapToGrid w:val="0"/>
          <w:kern w:val="22"/>
          <w:szCs w:val="22"/>
          <w:lang w:val="fr-FR" w:eastAsia="fr-FR"/>
        </w:rPr>
        <w:t>;</w:t>
      </w:r>
    </w:p>
    <w:p w:rsidR="009F6935" w:rsidRPr="00191337" w:rsidRDefault="009F6935" w:rsidP="009F6935">
      <w:pPr>
        <w:suppressLineNumbers/>
        <w:suppressAutoHyphens/>
        <w:kinsoku w:val="0"/>
        <w:overflowPunct w:val="0"/>
        <w:autoSpaceDE w:val="0"/>
        <w:autoSpaceDN w:val="0"/>
        <w:spacing w:after="120"/>
        <w:ind w:firstLine="709"/>
        <w:rPr>
          <w:snapToGrid w:val="0"/>
          <w:kern w:val="22"/>
          <w:szCs w:val="22"/>
          <w:lang w:val="fr-FR" w:eastAsia="fr-FR"/>
        </w:rPr>
      </w:pPr>
      <w:r>
        <w:rPr>
          <w:snapToGrid w:val="0"/>
          <w:kern w:val="22"/>
          <w:szCs w:val="22"/>
          <w:lang w:val="fr-FR" w:eastAsia="fr-FR"/>
        </w:rPr>
        <w:t>b)</w:t>
      </w:r>
      <w:r>
        <w:rPr>
          <w:snapToGrid w:val="0"/>
          <w:kern w:val="22"/>
          <w:szCs w:val="22"/>
          <w:lang w:val="fr-FR" w:eastAsia="fr-FR"/>
        </w:rPr>
        <w:tab/>
        <w:t>Pour</w:t>
      </w:r>
      <w:r w:rsidRPr="00191337">
        <w:rPr>
          <w:snapToGrid w:val="0"/>
          <w:kern w:val="22"/>
          <w:szCs w:val="22"/>
          <w:lang w:val="fr-FR" w:eastAsia="fr-FR"/>
        </w:rPr>
        <w:t xml:space="preserve"> les aires </w:t>
      </w:r>
      <w:r>
        <w:rPr>
          <w:snapToGrid w:val="0"/>
          <w:kern w:val="22"/>
          <w:szCs w:val="22"/>
          <w:lang w:val="fr-FR" w:eastAsia="fr-FR"/>
        </w:rPr>
        <w:t xml:space="preserve">situées au-delà </w:t>
      </w:r>
      <w:r w:rsidRPr="00191337">
        <w:rPr>
          <w:snapToGrid w:val="0"/>
          <w:kern w:val="22"/>
          <w:szCs w:val="22"/>
          <w:lang w:val="fr-FR" w:eastAsia="fr-FR"/>
        </w:rPr>
        <w:t xml:space="preserve">de la juridiction nationale : tout État et/ou toute organisation intergouvernementale compétente, </w:t>
      </w:r>
      <w:r>
        <w:rPr>
          <w:snapToGrid w:val="0"/>
          <w:kern w:val="22"/>
          <w:szCs w:val="22"/>
          <w:lang w:val="fr-FR" w:eastAsia="fr-FR"/>
        </w:rPr>
        <w:t xml:space="preserve">sous réserve d’aviser tous les États, </w:t>
      </w:r>
      <w:r w:rsidRPr="00191337">
        <w:rPr>
          <w:snapToGrid w:val="0"/>
          <w:kern w:val="22"/>
          <w:szCs w:val="22"/>
          <w:lang w:val="fr-FR" w:eastAsia="fr-FR"/>
        </w:rPr>
        <w:t xml:space="preserve">sans préjudice de l'évolution </w:t>
      </w:r>
      <w:r>
        <w:rPr>
          <w:snapToGrid w:val="0"/>
          <w:kern w:val="22"/>
          <w:szCs w:val="22"/>
          <w:lang w:val="fr-FR" w:eastAsia="fr-FR"/>
        </w:rPr>
        <w:t>suivie par</w:t>
      </w:r>
      <w:r w:rsidRPr="00191337">
        <w:rPr>
          <w:snapToGrid w:val="0"/>
          <w:kern w:val="22"/>
          <w:szCs w:val="22"/>
          <w:lang w:val="fr-FR" w:eastAsia="fr-FR"/>
        </w:rPr>
        <w:t xml:space="preserve"> </w:t>
      </w:r>
      <w:r>
        <w:rPr>
          <w:snapToGrid w:val="0"/>
          <w:kern w:val="22"/>
          <w:szCs w:val="22"/>
          <w:lang w:val="fr-FR" w:eastAsia="fr-FR"/>
        </w:rPr>
        <w:t xml:space="preserve">[le </w:t>
      </w:r>
      <w:r w:rsidRPr="00F93834">
        <w:rPr>
          <w:snapToGrid w:val="0"/>
          <w:kern w:val="22"/>
          <w:lang w:val="fr-FR"/>
        </w:rPr>
        <w:t>processus de l’Assemblée générale des Nations Unies sur la diversité biologique dans les aires marines situées au-delà des limites de la juridiction nationale</w:t>
      </w:r>
      <w:r>
        <w:rPr>
          <w:snapToGrid w:val="0"/>
          <w:kern w:val="22"/>
          <w:lang w:val="fr-FR"/>
        </w:rPr>
        <w:t>;</w:t>
      </w:r>
      <w:r>
        <w:rPr>
          <w:snapToGrid w:val="0"/>
          <w:kern w:val="22"/>
          <w:szCs w:val="22"/>
          <w:lang w:val="fr-FR" w:eastAsia="fr-FR"/>
        </w:rPr>
        <w:t>]</w:t>
      </w:r>
      <w:r w:rsidRPr="00191337">
        <w:rPr>
          <w:snapToGrid w:val="0"/>
          <w:kern w:val="22"/>
          <w:szCs w:val="22"/>
          <w:lang w:val="fr-FR" w:eastAsia="fr-FR"/>
        </w:rPr>
        <w:t xml:space="preserve"> </w:t>
      </w:r>
      <w:r>
        <w:rPr>
          <w:snapToGrid w:val="0"/>
          <w:kern w:val="22"/>
          <w:szCs w:val="22"/>
          <w:lang w:val="fr-FR" w:eastAsia="fr-FR"/>
        </w:rPr>
        <w:t>[</w:t>
      </w:r>
      <w:r w:rsidRPr="00F93834">
        <w:rPr>
          <w:i/>
          <w:iCs/>
          <w:snapToGrid w:val="0"/>
          <w:kern w:val="22"/>
          <w:szCs w:val="22"/>
          <w:lang w:val="fr-FR"/>
        </w:rPr>
        <w:t xml:space="preserve">la Conférence intergouvernementale sur l’instrument international juridiquement contraignant se rapportant à la Convention des Nations Unies sur le droit de la mer et portant sur la conservation et l’utilisation durable de la biodiversité marine des zones </w:t>
      </w:r>
      <w:r w:rsidRPr="00F93834">
        <w:rPr>
          <w:i/>
          <w:iCs/>
          <w:snapToGrid w:val="0"/>
          <w:kern w:val="22"/>
          <w:lang w:val="fr-FR"/>
        </w:rPr>
        <w:t xml:space="preserve">situées </w:t>
      </w:r>
      <w:r w:rsidRPr="00F93834">
        <w:rPr>
          <w:i/>
          <w:iCs/>
          <w:snapToGrid w:val="0"/>
          <w:kern w:val="22"/>
          <w:szCs w:val="22"/>
          <w:lang w:val="fr-FR"/>
        </w:rPr>
        <w:t>au-delà des limites de la juridiction nationale</w:t>
      </w:r>
      <w:r w:rsidRPr="00191337">
        <w:rPr>
          <w:snapToGrid w:val="0"/>
          <w:kern w:val="22"/>
          <w:szCs w:val="22"/>
          <w:lang w:val="fr-FR" w:eastAsia="fr-FR"/>
        </w:rPr>
        <w:t>]</w:t>
      </w:r>
      <w:r>
        <w:rPr>
          <w:snapToGrid w:val="0"/>
          <w:kern w:val="22"/>
          <w:szCs w:val="22"/>
          <w:lang w:val="fr-FR" w:eastAsia="fr-FR"/>
        </w:rPr>
        <w:t>;</w:t>
      </w:r>
      <w:r w:rsidRPr="00191337">
        <w:rPr>
          <w:snapToGrid w:val="0"/>
          <w:kern w:val="22"/>
          <w:szCs w:val="22"/>
          <w:lang w:val="fr-FR" w:eastAsia="fr-FR"/>
        </w:rPr>
        <w:t xml:space="preserve">] </w:t>
      </w:r>
    </w:p>
    <w:p w:rsidR="009F6935" w:rsidRPr="00191337" w:rsidRDefault="009F6935" w:rsidP="009F6935">
      <w:pPr>
        <w:suppressLineNumbers/>
        <w:suppressAutoHyphens/>
        <w:kinsoku w:val="0"/>
        <w:overflowPunct w:val="0"/>
        <w:autoSpaceDE w:val="0"/>
        <w:autoSpaceDN w:val="0"/>
        <w:spacing w:after="240"/>
        <w:rPr>
          <w:snapToGrid w:val="0"/>
          <w:kern w:val="22"/>
          <w:szCs w:val="22"/>
          <w:lang w:val="fr-FR" w:eastAsia="fr-FR"/>
        </w:rPr>
      </w:pPr>
      <w:r w:rsidRPr="00191337">
        <w:rPr>
          <w:snapToGrid w:val="0"/>
          <w:kern w:val="22"/>
          <w:szCs w:val="22"/>
          <w:lang w:val="fr-FR" w:eastAsia="fr-FR"/>
        </w:rPr>
        <w:t>10.</w:t>
      </w:r>
      <w:r w:rsidRPr="00191337">
        <w:rPr>
          <w:snapToGrid w:val="0"/>
          <w:kern w:val="22"/>
          <w:szCs w:val="22"/>
          <w:lang w:val="fr-FR" w:eastAsia="fr-FR"/>
        </w:rPr>
        <w:tab/>
        <w:t xml:space="preserve">Les </w:t>
      </w:r>
      <w:r>
        <w:rPr>
          <w:snapToGrid w:val="0"/>
          <w:kern w:val="22"/>
          <w:szCs w:val="22"/>
          <w:lang w:val="fr-FR" w:eastAsia="fr-FR"/>
        </w:rPr>
        <w:t>dépositaires de connaissances</w:t>
      </w:r>
      <w:r w:rsidRPr="00191337">
        <w:rPr>
          <w:snapToGrid w:val="0"/>
          <w:kern w:val="22"/>
          <w:szCs w:val="22"/>
          <w:lang w:val="fr-FR" w:eastAsia="fr-FR"/>
        </w:rPr>
        <w:t xml:space="preserve">, y compris les </w:t>
      </w:r>
      <w:r>
        <w:rPr>
          <w:snapToGrid w:val="0"/>
          <w:kern w:val="22"/>
          <w:szCs w:val="22"/>
          <w:lang w:val="fr-FR" w:eastAsia="fr-FR"/>
        </w:rPr>
        <w:t>organismes de r</w:t>
      </w:r>
      <w:r w:rsidRPr="00191337">
        <w:rPr>
          <w:snapToGrid w:val="0"/>
          <w:kern w:val="22"/>
          <w:szCs w:val="22"/>
          <w:lang w:val="fr-FR" w:eastAsia="fr-FR"/>
        </w:rPr>
        <w:t xml:space="preserve">echerche scientifique, les organisations non gouvernementales et les </w:t>
      </w:r>
      <w:r>
        <w:rPr>
          <w:snapToGrid w:val="0"/>
          <w:kern w:val="22"/>
          <w:szCs w:val="22"/>
          <w:lang w:val="fr-FR" w:eastAsia="fr-FR"/>
        </w:rPr>
        <w:t>dépositaires de connaissances</w:t>
      </w:r>
      <w:r w:rsidRPr="00191337">
        <w:rPr>
          <w:snapToGrid w:val="0"/>
          <w:kern w:val="22"/>
          <w:szCs w:val="22"/>
          <w:lang w:val="fr-FR" w:eastAsia="fr-FR"/>
        </w:rPr>
        <w:t xml:space="preserve">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szCs w:val="22"/>
          <w:lang w:val="fr-FR" w:eastAsia="fr-FR"/>
        </w:rPr>
        <w:t>, devraient être encouragés à attirer l'attention des acteurs définis au paragraphe 9 de la sous-section A, sur tous</w:t>
      </w:r>
      <w:r>
        <w:rPr>
          <w:snapToGrid w:val="0"/>
          <w:kern w:val="22"/>
          <w:szCs w:val="22"/>
          <w:lang w:val="fr-FR" w:eastAsia="fr-FR"/>
        </w:rPr>
        <w:t xml:space="preserve"> les besoins/raisons pour commence</w:t>
      </w:r>
      <w:r w:rsidRPr="00191337">
        <w:rPr>
          <w:snapToGrid w:val="0"/>
          <w:kern w:val="22"/>
          <w:szCs w:val="22"/>
          <w:lang w:val="fr-FR" w:eastAsia="fr-FR"/>
        </w:rPr>
        <w:t>r la description de nouvelles aires répondant aux critères arrêtés pour les AIEB.</w:t>
      </w:r>
    </w:p>
    <w:p w:rsidR="009F6935" w:rsidRPr="00191337" w:rsidRDefault="009F6935" w:rsidP="009F6935">
      <w:pPr>
        <w:pStyle w:val="Heading2"/>
        <w:keepNext w:val="0"/>
        <w:suppressLineNumbers/>
        <w:tabs>
          <w:tab w:val="clear" w:pos="720"/>
          <w:tab w:val="left" w:pos="567"/>
        </w:tabs>
        <w:suppressAutoHyphens/>
        <w:kinsoku w:val="0"/>
        <w:overflowPunct w:val="0"/>
        <w:autoSpaceDE w:val="0"/>
        <w:autoSpaceDN w:val="0"/>
        <w:adjustRightInd w:val="0"/>
        <w:snapToGrid w:val="0"/>
        <w:spacing w:before="0" w:after="0"/>
        <w:ind w:left="567" w:hanging="425"/>
        <w:jc w:val="left"/>
        <w:rPr>
          <w:snapToGrid w:val="0"/>
          <w:kern w:val="22"/>
          <w:szCs w:val="22"/>
          <w:lang w:val="fr-FR"/>
        </w:rPr>
      </w:pPr>
      <w:bookmarkStart w:id="172" w:name="_Toc525904204"/>
      <w:bookmarkStart w:id="173" w:name="_Toc525904363"/>
      <w:bookmarkStart w:id="174" w:name="_Toc525904607"/>
      <w:r w:rsidRPr="00191337">
        <w:rPr>
          <w:snapToGrid w:val="0"/>
          <w:kern w:val="22"/>
          <w:szCs w:val="22"/>
          <w:lang w:val="fr-FR"/>
        </w:rPr>
        <w:t>B.</w:t>
      </w:r>
      <w:r w:rsidRPr="00191337">
        <w:rPr>
          <w:snapToGrid w:val="0"/>
          <w:kern w:val="22"/>
          <w:szCs w:val="22"/>
          <w:lang w:val="fr-FR"/>
        </w:rPr>
        <w:tab/>
        <w:t>Modalités applicables à la description de nouvelles ai</w:t>
      </w:r>
      <w:r>
        <w:rPr>
          <w:snapToGrid w:val="0"/>
          <w:kern w:val="22"/>
          <w:szCs w:val="22"/>
          <w:lang w:val="fr-FR"/>
        </w:rPr>
        <w:t>res répondant aux critères établi</w:t>
      </w:r>
      <w:r w:rsidRPr="00191337">
        <w:rPr>
          <w:snapToGrid w:val="0"/>
          <w:kern w:val="22"/>
          <w:szCs w:val="22"/>
          <w:lang w:val="fr-FR"/>
        </w:rPr>
        <w:t>s pour les AIEB</w:t>
      </w:r>
      <w:bookmarkEnd w:id="172"/>
      <w:bookmarkEnd w:id="173"/>
      <w:bookmarkEnd w:id="174"/>
    </w:p>
    <w:p w:rsidR="009F6935" w:rsidRPr="00191337" w:rsidRDefault="009F6935" w:rsidP="009F6935">
      <w:pPr>
        <w:suppressLineNumbers/>
        <w:suppressAutoHyphens/>
        <w:kinsoku w:val="0"/>
        <w:overflowPunct w:val="0"/>
        <w:autoSpaceDE w:val="0"/>
        <w:autoSpaceDN w:val="0"/>
        <w:spacing w:before="120" w:after="120"/>
        <w:rPr>
          <w:snapToGrid w:val="0"/>
          <w:kern w:val="22"/>
          <w:szCs w:val="22"/>
          <w:lang w:val="fr-FR" w:eastAsia="fr-FR"/>
        </w:rPr>
      </w:pPr>
      <w:r>
        <w:rPr>
          <w:snapToGrid w:val="0"/>
          <w:kern w:val="22"/>
          <w:szCs w:val="22"/>
          <w:lang w:val="fr-FR" w:eastAsia="fr-FR"/>
        </w:rPr>
        <w:t>11.</w:t>
      </w:r>
      <w:r>
        <w:rPr>
          <w:snapToGrid w:val="0"/>
          <w:kern w:val="22"/>
          <w:szCs w:val="22"/>
          <w:lang w:val="fr-FR" w:eastAsia="fr-FR"/>
        </w:rPr>
        <w:tab/>
        <w:t>Les modalités applicables</w:t>
      </w:r>
      <w:r w:rsidRPr="00191337">
        <w:rPr>
          <w:snapToGrid w:val="0"/>
          <w:kern w:val="22"/>
          <w:szCs w:val="22"/>
          <w:lang w:val="fr-FR" w:eastAsia="fr-FR"/>
        </w:rPr>
        <w:t xml:space="preserve"> à la description de nouvelles aires incluent les étapes suivantes</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004EAF">
      <w:pPr>
        <w:numPr>
          <w:ilvl w:val="0"/>
          <w:numId w:val="47"/>
        </w:numPr>
        <w:spacing w:before="120" w:after="120"/>
        <w:ind w:left="0" w:firstLine="709"/>
        <w:rPr>
          <w:snapToGrid w:val="0"/>
          <w:lang w:val="fr-FR" w:eastAsia="de-DE"/>
        </w:rPr>
      </w:pPr>
      <w:r w:rsidRPr="00191337">
        <w:rPr>
          <w:snapToGrid w:val="0"/>
          <w:lang w:val="fr-FR" w:eastAsia="fr-FR"/>
        </w:rPr>
        <w:t>De</w:t>
      </w:r>
      <w:r>
        <w:rPr>
          <w:snapToGrid w:val="0"/>
          <w:lang w:val="fr-FR" w:eastAsia="fr-FR"/>
        </w:rPr>
        <w:t xml:space="preserve"> nouvelles informations sont communiquées (utilisant le</w:t>
      </w:r>
      <w:r w:rsidRPr="00191337">
        <w:rPr>
          <w:snapToGrid w:val="0"/>
          <w:lang w:val="fr-FR" w:eastAsia="fr-FR"/>
        </w:rPr>
        <w:t xml:space="preserve"> modèle </w:t>
      </w:r>
      <w:r>
        <w:rPr>
          <w:snapToGrid w:val="0"/>
          <w:lang w:val="fr-FR" w:eastAsia="fr-FR"/>
        </w:rPr>
        <w:t>de présentation des AIEB)</w:t>
      </w:r>
      <w:r w:rsidRPr="00191337">
        <w:rPr>
          <w:snapToGrid w:val="0"/>
          <w:lang w:val="fr-FR" w:eastAsia="fr-FR"/>
        </w:rPr>
        <w:t xml:space="preserve"> à tout moment, au Secrétariat; </w:t>
      </w:r>
    </w:p>
    <w:p w:rsidR="009F6935" w:rsidRPr="00191337" w:rsidRDefault="009F6935" w:rsidP="00004EAF">
      <w:pPr>
        <w:numPr>
          <w:ilvl w:val="0"/>
          <w:numId w:val="47"/>
        </w:numPr>
        <w:spacing w:before="120" w:after="120"/>
        <w:ind w:left="0" w:firstLine="709"/>
        <w:rPr>
          <w:snapToGrid w:val="0"/>
          <w:kern w:val="22"/>
          <w:lang w:val="fr-FR" w:eastAsia="fr-FR"/>
        </w:rPr>
      </w:pPr>
      <w:r w:rsidRPr="00191337">
        <w:rPr>
          <w:snapToGrid w:val="0"/>
          <w:kern w:val="22"/>
          <w:lang w:val="fr-FR" w:eastAsia="fr-FR"/>
        </w:rPr>
        <w:t xml:space="preserve">Toute proposition de description de nouvelles aires est transmise par le Secrétariat aux Parties, aux autres gouvernements, aux organisations intergouvernementales compétentes et au groupe consultatif informel sur les AIEB; </w:t>
      </w:r>
    </w:p>
    <w:p w:rsidR="009F6935" w:rsidRPr="00191337" w:rsidRDefault="009F6935" w:rsidP="00004EAF">
      <w:pPr>
        <w:numPr>
          <w:ilvl w:val="0"/>
          <w:numId w:val="47"/>
        </w:numPr>
        <w:spacing w:before="120" w:after="120"/>
        <w:ind w:left="0" w:firstLine="709"/>
        <w:rPr>
          <w:snapToGrid w:val="0"/>
          <w:kern w:val="22"/>
          <w:szCs w:val="22"/>
          <w:lang w:val="fr-FR" w:eastAsia="fr-FR"/>
        </w:rPr>
      </w:pPr>
      <w:r w:rsidRPr="00191337">
        <w:rPr>
          <w:snapToGrid w:val="0"/>
          <w:lang w:val="fr-FR" w:eastAsia="fr-FR"/>
        </w:rPr>
        <w:t>Le groupe consultatif informel sur les AIEB examine les propositions et prévient lorsqu'un nouvel atelier régional est nécessaire. Une analyse scientifique des lacunes peut guider ce processus d'examen et établir les besoins en matière d'analyse thématique, pouvant compléter les ateliers régionaux;</w:t>
      </w:r>
    </w:p>
    <w:p w:rsidR="009F6935" w:rsidRPr="00191337" w:rsidRDefault="009F6935" w:rsidP="00004EAF">
      <w:pPr>
        <w:numPr>
          <w:ilvl w:val="0"/>
          <w:numId w:val="47"/>
        </w:numPr>
        <w:spacing w:before="120" w:after="120"/>
        <w:ind w:left="0" w:firstLine="709"/>
        <w:rPr>
          <w:snapToGrid w:val="0"/>
          <w:kern w:val="22"/>
          <w:lang w:val="fr-FR" w:eastAsia="fr-FR"/>
        </w:rPr>
      </w:pPr>
      <w:r w:rsidRPr="00191337">
        <w:rPr>
          <w:snapToGrid w:val="0"/>
          <w:kern w:val="22"/>
          <w:lang w:val="fr-FR" w:eastAsia="fr-FR"/>
        </w:rPr>
        <w:t xml:space="preserve">La description de nouvelles aires dans le cadre d'ateliers régionaux suit le </w:t>
      </w:r>
      <w:r>
        <w:rPr>
          <w:snapToGrid w:val="0"/>
          <w:kern w:val="22"/>
          <w:lang w:val="fr-FR" w:eastAsia="fr-FR"/>
        </w:rPr>
        <w:t>processus existant de communication</w:t>
      </w:r>
      <w:r w:rsidRPr="00191337">
        <w:rPr>
          <w:snapToGrid w:val="0"/>
          <w:kern w:val="22"/>
          <w:lang w:val="fr-FR" w:eastAsia="fr-FR"/>
        </w:rPr>
        <w:t xml:space="preserve"> à l'Organe subsidiaire chargé de fournir des avis scientifiques, techniques et technologiques et à la Conférence des Parties</w:t>
      </w:r>
      <w:r>
        <w:rPr>
          <w:snapToGrid w:val="0"/>
          <w:kern w:val="22"/>
          <w:lang w:val="fr-FR" w:eastAsia="fr-FR"/>
        </w:rPr>
        <w:t>,</w:t>
      </w:r>
      <w:r w:rsidRPr="00191337">
        <w:rPr>
          <w:snapToGrid w:val="0"/>
          <w:kern w:val="22"/>
          <w:lang w:val="fr-FR" w:eastAsia="fr-FR"/>
        </w:rPr>
        <w:t xml:space="preserve"> aux fins d'</w:t>
      </w:r>
      <w:r>
        <w:rPr>
          <w:snapToGrid w:val="0"/>
          <w:kern w:val="22"/>
          <w:lang w:val="fr-FR" w:eastAsia="fr-FR"/>
        </w:rPr>
        <w:t>examen et d'intégration éventuelle</w:t>
      </w:r>
      <w:r w:rsidRPr="00191337">
        <w:rPr>
          <w:snapToGrid w:val="0"/>
          <w:kern w:val="22"/>
          <w:lang w:val="fr-FR" w:eastAsia="fr-FR"/>
        </w:rPr>
        <w:t xml:space="preserve"> dans le registre des AIEB.</w:t>
      </w:r>
    </w:p>
    <w:p w:rsidR="009F6935" w:rsidRPr="00191337" w:rsidRDefault="009F6935" w:rsidP="00004EAF">
      <w:pPr>
        <w:numPr>
          <w:ilvl w:val="0"/>
          <w:numId w:val="51"/>
        </w:numPr>
        <w:suppressLineNumbers/>
        <w:suppressAutoHyphens/>
        <w:kinsoku w:val="0"/>
        <w:overflowPunct w:val="0"/>
        <w:autoSpaceDE w:val="0"/>
        <w:autoSpaceDN w:val="0"/>
        <w:spacing w:before="120" w:after="240"/>
        <w:ind w:left="0" w:firstLine="0"/>
        <w:contextualSpacing/>
        <w:rPr>
          <w:snapToGrid w:val="0"/>
          <w:kern w:val="22"/>
          <w:szCs w:val="22"/>
          <w:lang w:val="fr-FR" w:eastAsia="fr-FR"/>
        </w:rPr>
      </w:pPr>
      <w:r w:rsidRPr="00191337">
        <w:rPr>
          <w:snapToGrid w:val="0"/>
          <w:kern w:val="22"/>
          <w:szCs w:val="22"/>
          <w:lang w:val="fr-FR" w:eastAsia="fr-FR"/>
        </w:rPr>
        <w:t>Les exercices nationaux de description de nouvelles aires répondant aux critères arrêtés pour les AIEB sont décrits dans la sous-section C de la section III ci-dessous.</w:t>
      </w:r>
    </w:p>
    <w:p w:rsidR="009F6935" w:rsidRPr="00191337" w:rsidRDefault="009F6935" w:rsidP="009F6935">
      <w:pPr>
        <w:pStyle w:val="Heading2"/>
        <w:keepNext w:val="0"/>
        <w:suppressLineNumbers/>
        <w:tabs>
          <w:tab w:val="clear" w:pos="720"/>
          <w:tab w:val="left" w:pos="360"/>
        </w:tabs>
        <w:suppressAutoHyphens/>
        <w:kinsoku w:val="0"/>
        <w:overflowPunct w:val="0"/>
        <w:autoSpaceDE w:val="0"/>
        <w:autoSpaceDN w:val="0"/>
        <w:adjustRightInd w:val="0"/>
        <w:snapToGrid w:val="0"/>
        <w:spacing w:before="0" w:after="0"/>
        <w:ind w:left="567" w:hanging="425"/>
        <w:jc w:val="left"/>
        <w:rPr>
          <w:snapToGrid w:val="0"/>
          <w:kern w:val="22"/>
          <w:szCs w:val="22"/>
          <w:lang w:val="fr-FR"/>
        </w:rPr>
      </w:pPr>
      <w:bookmarkStart w:id="175" w:name="_Toc525904205"/>
      <w:bookmarkStart w:id="176" w:name="_Toc525904364"/>
      <w:bookmarkStart w:id="177" w:name="_Toc525904608"/>
      <w:r w:rsidRPr="00191337">
        <w:rPr>
          <w:snapToGrid w:val="0"/>
          <w:kern w:val="22"/>
          <w:szCs w:val="22"/>
          <w:lang w:val="fr-FR"/>
        </w:rPr>
        <w:t>C.</w:t>
      </w:r>
      <w:r w:rsidRPr="00191337">
        <w:rPr>
          <w:snapToGrid w:val="0"/>
          <w:kern w:val="22"/>
          <w:szCs w:val="22"/>
          <w:lang w:val="fr-FR"/>
        </w:rPr>
        <w:tab/>
      </w:r>
      <w:r>
        <w:rPr>
          <w:snapToGrid w:val="0"/>
          <w:kern w:val="22"/>
          <w:szCs w:val="22"/>
          <w:lang w:val="fr-FR"/>
        </w:rPr>
        <w:tab/>
      </w:r>
      <w:r w:rsidRPr="00191337">
        <w:rPr>
          <w:snapToGrid w:val="0"/>
          <w:kern w:val="22"/>
          <w:szCs w:val="22"/>
          <w:lang w:val="fr-FR"/>
        </w:rPr>
        <w:t>Principales considérations relatives à la description de nouvelles air</w:t>
      </w:r>
      <w:r>
        <w:rPr>
          <w:snapToGrid w:val="0"/>
          <w:kern w:val="22"/>
          <w:szCs w:val="22"/>
          <w:lang w:val="fr-FR"/>
        </w:rPr>
        <w:t>es répondant aux critères établi</w:t>
      </w:r>
      <w:r w:rsidRPr="00191337">
        <w:rPr>
          <w:snapToGrid w:val="0"/>
          <w:kern w:val="22"/>
          <w:szCs w:val="22"/>
          <w:lang w:val="fr-FR"/>
        </w:rPr>
        <w:t>s pour les AIEB</w:t>
      </w:r>
      <w:bookmarkEnd w:id="175"/>
      <w:bookmarkEnd w:id="176"/>
      <w:bookmarkEnd w:id="177"/>
    </w:p>
    <w:p w:rsidR="009F6935" w:rsidRPr="00191337" w:rsidRDefault="009F6935" w:rsidP="009F6935">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13.</w:t>
      </w:r>
      <w:r w:rsidRPr="00191337">
        <w:rPr>
          <w:snapToGrid w:val="0"/>
          <w:kern w:val="22"/>
          <w:szCs w:val="22"/>
          <w:lang w:val="fr-FR" w:eastAsia="fr-FR"/>
        </w:rPr>
        <w:tab/>
        <w:t>Il convient de tenir compte des considérations suivantes</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004EAF">
      <w:pPr>
        <w:numPr>
          <w:ilvl w:val="0"/>
          <w:numId w:val="48"/>
        </w:numPr>
        <w:suppressLineNumbers/>
        <w:suppressAutoHyphens/>
        <w:kinsoku w:val="0"/>
        <w:overflowPunct w:val="0"/>
        <w:autoSpaceDE w:val="0"/>
        <w:autoSpaceDN w:val="0"/>
        <w:spacing w:before="120"/>
        <w:ind w:left="0" w:firstLine="709"/>
        <w:contextualSpacing/>
        <w:rPr>
          <w:snapToGrid w:val="0"/>
          <w:kern w:val="22"/>
          <w:szCs w:val="22"/>
          <w:lang w:val="fr-FR" w:eastAsia="fr-FR"/>
        </w:rPr>
      </w:pPr>
      <w:r w:rsidRPr="00191337">
        <w:rPr>
          <w:snapToGrid w:val="0"/>
          <w:kern w:val="22"/>
          <w:szCs w:val="22"/>
          <w:lang w:val="fr-FR" w:eastAsia="fr-FR"/>
        </w:rPr>
        <w:t>Les Parties et les autres gouvernements, ainsi que les organisations intergouvernementales compétentes, devraient ê</w:t>
      </w:r>
      <w:r>
        <w:rPr>
          <w:snapToGrid w:val="0"/>
          <w:kern w:val="22"/>
          <w:szCs w:val="22"/>
          <w:lang w:val="fr-FR" w:eastAsia="fr-FR"/>
        </w:rPr>
        <w:t>tre informés de toute communication</w:t>
      </w:r>
      <w:r w:rsidRPr="00191337">
        <w:rPr>
          <w:snapToGrid w:val="0"/>
          <w:kern w:val="22"/>
          <w:szCs w:val="22"/>
          <w:lang w:val="fr-FR" w:eastAsia="fr-FR"/>
        </w:rPr>
        <w:t xml:space="preserve"> de propositions de description de</w:t>
      </w:r>
      <w:r>
        <w:rPr>
          <w:snapToGrid w:val="0"/>
          <w:kern w:val="22"/>
          <w:szCs w:val="22"/>
          <w:lang w:val="fr-FR" w:eastAsia="fr-FR"/>
        </w:rPr>
        <w:t xml:space="preserve"> nouvelles aires, au moyen</w:t>
      </w:r>
      <w:r w:rsidRPr="00191337">
        <w:rPr>
          <w:snapToGrid w:val="0"/>
          <w:kern w:val="22"/>
          <w:szCs w:val="22"/>
          <w:lang w:val="fr-FR" w:eastAsia="fr-FR"/>
        </w:rPr>
        <w:t xml:space="preserve"> d’une notification de la CDB et du site Web des AIEB (www.cbd.int/ebsa);</w:t>
      </w:r>
    </w:p>
    <w:p w:rsidR="009F6935" w:rsidRPr="00191337" w:rsidRDefault="009F6935" w:rsidP="00004EAF">
      <w:pPr>
        <w:numPr>
          <w:ilvl w:val="0"/>
          <w:numId w:val="48"/>
        </w:numPr>
        <w:suppressLineNumbers/>
        <w:suppressAutoHyphens/>
        <w:kinsoku w:val="0"/>
        <w:overflowPunct w:val="0"/>
        <w:autoSpaceDE w:val="0"/>
        <w:autoSpaceDN w:val="0"/>
        <w:spacing w:before="120" w:after="120"/>
        <w:ind w:left="0" w:firstLine="709"/>
        <w:rPr>
          <w:snapToGrid w:val="0"/>
          <w:kern w:val="22"/>
          <w:lang w:val="fr-FR" w:eastAsia="fr-FR"/>
        </w:rPr>
      </w:pPr>
      <w:r w:rsidRPr="00191337">
        <w:rPr>
          <w:snapToGrid w:val="0"/>
          <w:kern w:val="22"/>
          <w:lang w:val="fr-FR" w:eastAsia="fr-FR"/>
        </w:rPr>
        <w:t xml:space="preserve">L’importance d’intégrer les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lang w:val="fr-FR" w:eastAsia="fr-FR"/>
        </w:rPr>
        <w:t xml:space="preserve"> dans le processus de descriptions de nouvelles AIEB et d’assurer la participation pleine et effective des peuples autochtones et des communautés locales;</w:t>
      </w:r>
    </w:p>
    <w:p w:rsidR="009F6935" w:rsidRPr="00191337" w:rsidRDefault="009F6935" w:rsidP="00004EAF">
      <w:pPr>
        <w:numPr>
          <w:ilvl w:val="0"/>
          <w:numId w:val="48"/>
        </w:numPr>
        <w:suppressLineNumbers/>
        <w:suppressAutoHyphens/>
        <w:kinsoku w:val="0"/>
        <w:overflowPunct w:val="0"/>
        <w:autoSpaceDE w:val="0"/>
        <w:autoSpaceDN w:val="0"/>
        <w:spacing w:after="120"/>
        <w:ind w:left="0" w:firstLine="709"/>
        <w:rPr>
          <w:snapToGrid w:val="0"/>
          <w:kern w:val="22"/>
          <w:lang w:val="fr-FR" w:eastAsia="fr-FR"/>
        </w:rPr>
      </w:pPr>
      <w:r>
        <w:rPr>
          <w:snapToGrid w:val="0"/>
          <w:kern w:val="22"/>
          <w:lang w:val="fr-FR" w:eastAsia="fr-FR"/>
        </w:rPr>
        <w:t>La nécessité de disposer d’</w:t>
      </w:r>
      <w:r w:rsidRPr="00191337">
        <w:rPr>
          <w:snapToGrid w:val="0"/>
          <w:kern w:val="22"/>
          <w:lang w:val="fr-FR" w:eastAsia="fr-FR"/>
        </w:rPr>
        <w:t xml:space="preserve">une base </w:t>
      </w:r>
      <w:r>
        <w:rPr>
          <w:snapToGrid w:val="0"/>
          <w:kern w:val="22"/>
          <w:lang w:val="fr-FR" w:eastAsia="fr-FR"/>
        </w:rPr>
        <w:t>scientifique et technique robuste</w:t>
      </w:r>
      <w:r w:rsidRPr="00191337">
        <w:rPr>
          <w:snapToGrid w:val="0"/>
          <w:kern w:val="22"/>
          <w:lang w:val="fr-FR" w:eastAsia="fr-FR"/>
        </w:rPr>
        <w:t xml:space="preserve"> pour toute nouvelle proposition;</w:t>
      </w:r>
    </w:p>
    <w:p w:rsidR="009F6935" w:rsidRPr="00191337" w:rsidRDefault="009F6935" w:rsidP="00004EAF">
      <w:pPr>
        <w:numPr>
          <w:ilvl w:val="0"/>
          <w:numId w:val="48"/>
        </w:numPr>
        <w:suppressLineNumbers/>
        <w:suppressAutoHyphens/>
        <w:kinsoku w:val="0"/>
        <w:overflowPunct w:val="0"/>
        <w:autoSpaceDE w:val="0"/>
        <w:autoSpaceDN w:val="0"/>
        <w:spacing w:after="120"/>
        <w:ind w:left="0" w:firstLine="709"/>
        <w:rPr>
          <w:snapToGrid w:val="0"/>
          <w:kern w:val="22"/>
          <w:lang w:val="fr-FR" w:eastAsia="fr-FR"/>
        </w:rPr>
      </w:pPr>
      <w:r w:rsidRPr="00191337">
        <w:rPr>
          <w:snapToGrid w:val="0"/>
          <w:kern w:val="22"/>
          <w:lang w:val="fr-FR" w:eastAsia="fr-FR"/>
        </w:rPr>
        <w:lastRenderedPageBreak/>
        <w:t xml:space="preserve">L’importance de la transparence dans le processus de la nouvelle description; </w:t>
      </w:r>
    </w:p>
    <w:p w:rsidR="009F6935" w:rsidRPr="00191337" w:rsidRDefault="009F6935" w:rsidP="00004EAF">
      <w:pPr>
        <w:numPr>
          <w:ilvl w:val="0"/>
          <w:numId w:val="48"/>
        </w:numPr>
        <w:suppressLineNumbers/>
        <w:suppressAutoHyphens/>
        <w:kinsoku w:val="0"/>
        <w:overflowPunct w:val="0"/>
        <w:autoSpaceDE w:val="0"/>
        <w:autoSpaceDN w:val="0"/>
        <w:spacing w:after="120"/>
        <w:ind w:left="0" w:firstLine="709"/>
        <w:rPr>
          <w:snapToGrid w:val="0"/>
          <w:kern w:val="22"/>
          <w:lang w:val="fr-FR" w:eastAsia="fr-FR"/>
        </w:rPr>
      </w:pPr>
      <w:r>
        <w:rPr>
          <w:snapToGrid w:val="0"/>
          <w:kern w:val="22"/>
          <w:lang w:val="fr-FR" w:eastAsia="fr-FR"/>
        </w:rPr>
        <w:t>Les possibili</w:t>
      </w:r>
      <w:r w:rsidRPr="00191337">
        <w:rPr>
          <w:snapToGrid w:val="0"/>
          <w:kern w:val="22"/>
          <w:lang w:val="fr-FR" w:eastAsia="fr-FR"/>
        </w:rPr>
        <w:t>tés d’utiliser des modalités financièrement avantageuses;</w:t>
      </w:r>
    </w:p>
    <w:p w:rsidR="009F6935" w:rsidRPr="00191337" w:rsidRDefault="009F6935" w:rsidP="00004EAF">
      <w:pPr>
        <w:numPr>
          <w:ilvl w:val="0"/>
          <w:numId w:val="48"/>
        </w:numPr>
        <w:suppressLineNumbers/>
        <w:suppressAutoHyphens/>
        <w:kinsoku w:val="0"/>
        <w:overflowPunct w:val="0"/>
        <w:autoSpaceDE w:val="0"/>
        <w:autoSpaceDN w:val="0"/>
        <w:spacing w:after="360"/>
        <w:ind w:left="0" w:firstLine="709"/>
        <w:rPr>
          <w:snapToGrid w:val="0"/>
          <w:kern w:val="22"/>
          <w:lang w:val="fr-FR" w:eastAsia="fr-FR"/>
        </w:rPr>
      </w:pPr>
      <w:r w:rsidRPr="00191337">
        <w:rPr>
          <w:snapToGrid w:val="0"/>
          <w:kern w:val="22"/>
          <w:lang w:val="fr-FR" w:eastAsia="fr-FR"/>
        </w:rPr>
        <w:t>Les différences interrégionales dans la disponibilité des données et les efforts de</w:t>
      </w:r>
      <w:r>
        <w:rPr>
          <w:snapToGrid w:val="0"/>
          <w:kern w:val="22"/>
          <w:lang w:val="fr-FR" w:eastAsia="fr-FR"/>
        </w:rPr>
        <w:t xml:space="preserve"> recherche devraient être pris</w:t>
      </w:r>
      <w:r w:rsidRPr="00191337">
        <w:rPr>
          <w:snapToGrid w:val="0"/>
          <w:kern w:val="22"/>
          <w:lang w:val="fr-FR" w:eastAsia="fr-FR"/>
        </w:rPr>
        <w:t xml:space="preserve"> en compte lors de la description de nouvelles AIEB.</w:t>
      </w:r>
    </w:p>
    <w:p w:rsidR="009F6935" w:rsidRPr="00191337" w:rsidRDefault="009F6935" w:rsidP="009F6935">
      <w:pPr>
        <w:pStyle w:val="Heading1longmultiline"/>
        <w:keepNext w:val="0"/>
        <w:suppressLineNumbers/>
        <w:tabs>
          <w:tab w:val="clear" w:pos="720"/>
        </w:tabs>
        <w:suppressAutoHyphens/>
        <w:kinsoku w:val="0"/>
        <w:overflowPunct w:val="0"/>
        <w:autoSpaceDE w:val="0"/>
        <w:autoSpaceDN w:val="0"/>
        <w:adjustRightInd w:val="0"/>
        <w:snapToGrid w:val="0"/>
        <w:spacing w:after="240"/>
        <w:ind w:left="993" w:hanging="709"/>
        <w:rPr>
          <w:snapToGrid w:val="0"/>
          <w:kern w:val="22"/>
          <w:szCs w:val="22"/>
          <w:lang w:val="fr-FR"/>
        </w:rPr>
      </w:pPr>
      <w:bookmarkStart w:id="178" w:name="_Toc525904206"/>
      <w:bookmarkStart w:id="179" w:name="_Toc525904365"/>
      <w:bookmarkStart w:id="180" w:name="_Toc525904609"/>
      <w:r w:rsidRPr="00191337">
        <w:rPr>
          <w:snapToGrid w:val="0"/>
          <w:kern w:val="22"/>
          <w:szCs w:val="22"/>
          <w:lang w:val="fr-FR"/>
        </w:rPr>
        <w:t>II</w:t>
      </w:r>
      <w:r>
        <w:rPr>
          <w:snapToGrid w:val="0"/>
          <w:kern w:val="22"/>
          <w:szCs w:val="22"/>
          <w:lang w:val="fr-FR"/>
        </w:rPr>
        <w:t>I.</w:t>
      </w:r>
      <w:r>
        <w:rPr>
          <w:snapToGrid w:val="0"/>
          <w:kern w:val="22"/>
          <w:szCs w:val="22"/>
          <w:lang w:val="fr-FR"/>
        </w:rPr>
        <w:tab/>
        <w:t>Options pour renforcer la crÉdibilitÉ</w:t>
      </w:r>
      <w:r w:rsidRPr="00191337">
        <w:rPr>
          <w:snapToGrid w:val="0"/>
          <w:kern w:val="22"/>
          <w:szCs w:val="22"/>
          <w:lang w:val="fr-FR"/>
        </w:rPr>
        <w:t xml:space="preserve"> scientifique et la transparence du processus relatif aux AIEB</w:t>
      </w:r>
      <w:bookmarkEnd w:id="178"/>
      <w:bookmarkEnd w:id="179"/>
      <w:bookmarkEnd w:id="180"/>
    </w:p>
    <w:p w:rsidR="009F6935" w:rsidRPr="00191337" w:rsidRDefault="009F6935" w:rsidP="009F6935">
      <w:pPr>
        <w:keepNext/>
        <w:suppressLineNumbers/>
        <w:tabs>
          <w:tab w:val="left" w:pos="360"/>
        </w:tabs>
        <w:suppressAutoHyphens/>
        <w:kinsoku w:val="0"/>
        <w:overflowPunct w:val="0"/>
        <w:autoSpaceDE w:val="0"/>
        <w:autoSpaceDN w:val="0"/>
        <w:jc w:val="center"/>
        <w:outlineLvl w:val="1"/>
        <w:rPr>
          <w:bCs/>
          <w:iCs/>
          <w:snapToGrid w:val="0"/>
          <w:kern w:val="22"/>
          <w:szCs w:val="22"/>
          <w:lang w:val="fr-FR" w:eastAsia="fr-FR"/>
        </w:rPr>
      </w:pPr>
      <w:bookmarkStart w:id="181" w:name="_Toc525904207"/>
      <w:bookmarkStart w:id="182" w:name="_Toc525904366"/>
      <w:bookmarkStart w:id="183" w:name="_Toc525904610"/>
      <w:r w:rsidRPr="00191337">
        <w:rPr>
          <w:b/>
          <w:bCs/>
          <w:iCs/>
          <w:snapToGrid w:val="0"/>
          <w:kern w:val="22"/>
          <w:szCs w:val="22"/>
          <w:lang w:val="fr-FR" w:eastAsia="fr-FR"/>
        </w:rPr>
        <w:t>A.</w:t>
      </w:r>
      <w:r w:rsidRPr="00191337">
        <w:rPr>
          <w:b/>
          <w:bCs/>
          <w:iCs/>
          <w:snapToGrid w:val="0"/>
          <w:kern w:val="22"/>
          <w:szCs w:val="22"/>
          <w:lang w:val="fr-FR" w:eastAsia="fr-FR"/>
        </w:rPr>
        <w:tab/>
        <w:t>Crédibilité scientifique du processus relatif aux AIEB</w:t>
      </w:r>
      <w:bookmarkEnd w:id="181"/>
      <w:bookmarkEnd w:id="182"/>
      <w:bookmarkEnd w:id="183"/>
      <w:r w:rsidRPr="00191337">
        <w:rPr>
          <w:b/>
          <w:bCs/>
          <w:iCs/>
          <w:snapToGrid w:val="0"/>
          <w:kern w:val="22"/>
          <w:szCs w:val="22"/>
          <w:lang w:val="fr-FR" w:eastAsia="fr-FR"/>
        </w:rPr>
        <w:t xml:space="preserve"> </w:t>
      </w:r>
    </w:p>
    <w:p w:rsidR="009F6935" w:rsidRPr="00191337" w:rsidRDefault="009F6935" w:rsidP="009F6935">
      <w:pPr>
        <w:suppressLineNumbers/>
        <w:suppressAutoHyphens/>
        <w:kinsoku w:val="0"/>
        <w:overflowPunct w:val="0"/>
        <w:autoSpaceDE w:val="0"/>
        <w:autoSpaceDN w:val="0"/>
        <w:spacing w:before="120" w:after="120" w:line="233" w:lineRule="auto"/>
        <w:rPr>
          <w:snapToGrid w:val="0"/>
          <w:kern w:val="22"/>
          <w:szCs w:val="22"/>
          <w:lang w:val="fr-FR" w:eastAsia="fr-FR"/>
        </w:rPr>
      </w:pPr>
      <w:r w:rsidRPr="00191337">
        <w:rPr>
          <w:snapToGrid w:val="0"/>
          <w:kern w:val="22"/>
          <w:szCs w:val="22"/>
          <w:lang w:val="fr-FR" w:eastAsia="fr-FR"/>
        </w:rPr>
        <w:t>14.</w:t>
      </w:r>
      <w:r w:rsidRPr="00191337">
        <w:rPr>
          <w:snapToGrid w:val="0"/>
          <w:kern w:val="22"/>
          <w:szCs w:val="22"/>
          <w:lang w:val="fr-FR" w:eastAsia="fr-FR"/>
        </w:rPr>
        <w:tab/>
        <w:t>S'agissant du renforcement de la crédibilité scientifique du processus relatif aux AIEB, les mesures suivantes pourraient être prises</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004EAF">
      <w:pPr>
        <w:numPr>
          <w:ilvl w:val="0"/>
          <w:numId w:val="44"/>
        </w:numPr>
        <w:suppressLineNumbers/>
        <w:tabs>
          <w:tab w:val="clear" w:pos="786"/>
        </w:tabs>
        <w:suppressAutoHyphens/>
        <w:kinsoku w:val="0"/>
        <w:overflowPunct w:val="0"/>
        <w:autoSpaceDE w:val="0"/>
        <w:autoSpaceDN w:val="0"/>
        <w:spacing w:after="120" w:line="233" w:lineRule="auto"/>
        <w:ind w:left="0" w:firstLine="709"/>
        <w:rPr>
          <w:snapToGrid w:val="0"/>
          <w:kern w:val="22"/>
          <w:szCs w:val="22"/>
          <w:lang w:val="fr-FR" w:eastAsia="fr-FR"/>
        </w:rPr>
      </w:pPr>
      <w:r w:rsidRPr="00191337">
        <w:rPr>
          <w:snapToGrid w:val="0"/>
          <w:kern w:val="22"/>
          <w:szCs w:val="22"/>
          <w:lang w:val="fr-FR" w:eastAsia="fr-FR"/>
        </w:rPr>
        <w:t xml:space="preserve">Planification d'ateliers en collaboration avec le groupe consultatif informel sur les AIEB afin de fournir des informations scientifiques et des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lang w:val="fr-FR" w:eastAsia="fr-FR"/>
        </w:rPr>
        <w:t xml:space="preserve"> à des échelles appropriées</w:t>
      </w:r>
      <w:r w:rsidRPr="00191337">
        <w:rPr>
          <w:snapToGrid w:val="0"/>
          <w:kern w:val="22"/>
          <w:szCs w:val="22"/>
          <w:lang w:val="fr-FR" w:eastAsia="fr-FR"/>
        </w:rPr>
        <w:t>;</w:t>
      </w:r>
    </w:p>
    <w:p w:rsidR="009F6935" w:rsidRPr="00191337" w:rsidRDefault="009F6935" w:rsidP="00004EAF">
      <w:pPr>
        <w:numPr>
          <w:ilvl w:val="0"/>
          <w:numId w:val="44"/>
        </w:numPr>
        <w:suppressLineNumbers/>
        <w:tabs>
          <w:tab w:val="clear" w:pos="786"/>
        </w:tabs>
        <w:suppressAutoHyphens/>
        <w:kinsoku w:val="0"/>
        <w:overflowPunct w:val="0"/>
        <w:autoSpaceDE w:val="0"/>
        <w:autoSpaceDN w:val="0"/>
        <w:spacing w:after="120" w:line="233" w:lineRule="auto"/>
        <w:ind w:left="0" w:firstLine="709"/>
        <w:rPr>
          <w:snapToGrid w:val="0"/>
          <w:kern w:val="22"/>
          <w:szCs w:val="22"/>
          <w:lang w:val="fr-FR" w:eastAsia="fr-FR"/>
        </w:rPr>
      </w:pPr>
      <w:r w:rsidRPr="00191337">
        <w:rPr>
          <w:snapToGrid w:val="0"/>
          <w:kern w:val="22"/>
          <w:szCs w:val="22"/>
          <w:lang w:val="fr-FR" w:eastAsia="fr-FR"/>
        </w:rPr>
        <w:t>Correction spécifique de tout déséquilibre entre les différents domaines d'expertise, notamment en relevant de possibles liens avec l'Initiative taxonomique mondiale de la CDB et en renforçant les réseaux avec d'autres organisations compétentes, selon qu''il convient.</w:t>
      </w:r>
    </w:p>
    <w:p w:rsidR="009F6935" w:rsidRPr="00191337" w:rsidRDefault="009F6935" w:rsidP="009F6935">
      <w:pPr>
        <w:suppressLineNumbers/>
        <w:suppressAutoHyphens/>
        <w:kinsoku w:val="0"/>
        <w:overflowPunct w:val="0"/>
        <w:autoSpaceDE w:val="0"/>
        <w:autoSpaceDN w:val="0"/>
        <w:spacing w:after="120" w:line="233" w:lineRule="auto"/>
        <w:rPr>
          <w:snapToGrid w:val="0"/>
          <w:kern w:val="22"/>
          <w:szCs w:val="22"/>
          <w:lang w:val="fr-FR" w:eastAsia="fr-FR"/>
        </w:rPr>
      </w:pPr>
      <w:r w:rsidRPr="00191337">
        <w:rPr>
          <w:snapToGrid w:val="0"/>
          <w:kern w:val="22"/>
          <w:szCs w:val="22"/>
          <w:lang w:val="fr-FR" w:eastAsia="fr-FR"/>
        </w:rPr>
        <w:t>15.</w:t>
      </w:r>
      <w:r w:rsidRPr="00191337">
        <w:rPr>
          <w:snapToGrid w:val="0"/>
          <w:kern w:val="22"/>
          <w:szCs w:val="22"/>
          <w:lang w:val="fr-FR" w:eastAsia="fr-FR"/>
        </w:rPr>
        <w:tab/>
        <w:t>Il convient de tenir compte des considérations suivantes</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004EAF">
      <w:pPr>
        <w:numPr>
          <w:ilvl w:val="0"/>
          <w:numId w:val="45"/>
        </w:numPr>
        <w:suppressLineNumbers/>
        <w:tabs>
          <w:tab w:val="clear" w:pos="360"/>
        </w:tabs>
        <w:suppressAutoHyphens/>
        <w:kinsoku w:val="0"/>
        <w:overflowPunct w:val="0"/>
        <w:autoSpaceDE w:val="0"/>
        <w:autoSpaceDN w:val="0"/>
        <w:spacing w:after="120" w:line="233" w:lineRule="auto"/>
        <w:ind w:left="0" w:firstLine="720"/>
        <w:rPr>
          <w:snapToGrid w:val="0"/>
          <w:kern w:val="22"/>
          <w:szCs w:val="22"/>
          <w:lang w:val="fr-FR" w:eastAsia="fr-FR"/>
        </w:rPr>
      </w:pPr>
      <w:r w:rsidRPr="00191337">
        <w:rPr>
          <w:snapToGrid w:val="0"/>
          <w:kern w:val="22"/>
          <w:szCs w:val="22"/>
          <w:lang w:val="fr-FR" w:eastAsia="fr-FR"/>
        </w:rPr>
        <w:t>Renforcer la coopération avec le Système d'informations biogéographiques relatives aux océans de la Commission océanographique intergouvernementale de l'UNESCO pour l'accès à des données scientifiques à l'appui des ateliers régionaux;</w:t>
      </w:r>
    </w:p>
    <w:p w:rsidR="009F6935" w:rsidRPr="00191337" w:rsidRDefault="009F6935" w:rsidP="00004EAF">
      <w:pPr>
        <w:numPr>
          <w:ilvl w:val="0"/>
          <w:numId w:val="45"/>
        </w:numPr>
        <w:suppressLineNumbers/>
        <w:suppressAutoHyphens/>
        <w:kinsoku w:val="0"/>
        <w:overflowPunct w:val="0"/>
        <w:autoSpaceDE w:val="0"/>
        <w:autoSpaceDN w:val="0"/>
        <w:spacing w:before="120" w:after="120" w:line="233" w:lineRule="auto"/>
        <w:ind w:left="0" w:firstLine="720"/>
        <w:rPr>
          <w:snapToGrid w:val="0"/>
          <w:kern w:val="22"/>
          <w:szCs w:val="22"/>
          <w:lang w:val="fr-FR" w:eastAsia="fr-FR"/>
        </w:rPr>
      </w:pPr>
      <w:r w:rsidRPr="00191337">
        <w:rPr>
          <w:snapToGrid w:val="0"/>
          <w:kern w:val="22"/>
          <w:szCs w:val="22"/>
          <w:lang w:val="fr-FR" w:eastAsia="fr-FR"/>
        </w:rPr>
        <w:t>Renforcer les orientations, et, si nécessaire, mobiliser des ressources, en vue des préparations à l'échelle nationale et régionale avant la tenue d'un at</w:t>
      </w:r>
      <w:r>
        <w:rPr>
          <w:snapToGrid w:val="0"/>
          <w:kern w:val="22"/>
          <w:szCs w:val="22"/>
          <w:lang w:val="fr-FR" w:eastAsia="fr-FR"/>
        </w:rPr>
        <w:t>elier régional, afin de recueillir en</w:t>
      </w:r>
      <w:r w:rsidRPr="00191337">
        <w:rPr>
          <w:snapToGrid w:val="0"/>
          <w:kern w:val="22"/>
          <w:szCs w:val="22"/>
          <w:lang w:val="fr-FR" w:eastAsia="fr-FR"/>
        </w:rPr>
        <w:t xml:space="preserve"> temps</w:t>
      </w:r>
      <w:r>
        <w:rPr>
          <w:snapToGrid w:val="0"/>
          <w:kern w:val="22"/>
          <w:szCs w:val="22"/>
          <w:lang w:val="fr-FR" w:eastAsia="fr-FR"/>
        </w:rPr>
        <w:t xml:space="preserve"> voulu</w:t>
      </w:r>
      <w:r w:rsidRPr="00191337">
        <w:rPr>
          <w:snapToGrid w:val="0"/>
          <w:kern w:val="22"/>
          <w:szCs w:val="22"/>
          <w:lang w:val="fr-FR" w:eastAsia="fr-FR"/>
        </w:rPr>
        <w:t xml:space="preserve"> les informations scientifiques et les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szCs w:val="22"/>
          <w:lang w:val="fr-FR" w:eastAsia="fr-FR"/>
        </w:rPr>
        <w:t>;</w:t>
      </w:r>
    </w:p>
    <w:p w:rsidR="009F6935" w:rsidRPr="00191337" w:rsidRDefault="009F6935" w:rsidP="00004EAF">
      <w:pPr>
        <w:numPr>
          <w:ilvl w:val="0"/>
          <w:numId w:val="45"/>
        </w:numPr>
        <w:suppressLineNumbers/>
        <w:suppressAutoHyphens/>
        <w:kinsoku w:val="0"/>
        <w:overflowPunct w:val="0"/>
        <w:autoSpaceDE w:val="0"/>
        <w:autoSpaceDN w:val="0"/>
        <w:spacing w:before="120" w:after="120" w:line="233" w:lineRule="auto"/>
        <w:ind w:left="0" w:firstLine="720"/>
        <w:rPr>
          <w:snapToGrid w:val="0"/>
          <w:kern w:val="22"/>
          <w:szCs w:val="22"/>
          <w:lang w:val="fr-FR" w:eastAsia="fr-FR"/>
        </w:rPr>
      </w:pPr>
      <w:r w:rsidRPr="00191337">
        <w:rPr>
          <w:snapToGrid w:val="0"/>
          <w:kern w:val="22"/>
          <w:szCs w:val="22"/>
          <w:lang w:val="fr-FR" w:eastAsia="fr-FR"/>
        </w:rPr>
        <w:t>Fournir des séances de formation pré-atelier;</w:t>
      </w:r>
    </w:p>
    <w:p w:rsidR="009F6935" w:rsidRPr="00191337" w:rsidRDefault="009F6935" w:rsidP="00004EAF">
      <w:pPr>
        <w:numPr>
          <w:ilvl w:val="0"/>
          <w:numId w:val="45"/>
        </w:numPr>
        <w:tabs>
          <w:tab w:val="clear" w:pos="360"/>
        </w:tabs>
        <w:spacing w:before="120" w:after="120"/>
        <w:ind w:left="0" w:firstLine="709"/>
        <w:rPr>
          <w:snapToGrid w:val="0"/>
          <w:kern w:val="22"/>
          <w:szCs w:val="22"/>
          <w:lang w:val="fr-FR" w:eastAsia="fr-FR"/>
        </w:rPr>
      </w:pPr>
      <w:r w:rsidRPr="00191337">
        <w:rPr>
          <w:snapToGrid w:val="0"/>
          <w:kern w:val="22"/>
          <w:szCs w:val="22"/>
          <w:lang w:val="fr-FR" w:eastAsia="fr-FR"/>
        </w:rPr>
        <w:t>Utiliser le man</w:t>
      </w:r>
      <w:r>
        <w:rPr>
          <w:snapToGrid w:val="0"/>
          <w:kern w:val="22"/>
          <w:szCs w:val="22"/>
          <w:lang w:val="fr-FR" w:eastAsia="fr-FR"/>
        </w:rPr>
        <w:t>uel de formation sur l’intégra</w:t>
      </w:r>
      <w:r w:rsidRPr="00191337">
        <w:rPr>
          <w:snapToGrid w:val="0"/>
          <w:kern w:val="22"/>
          <w:szCs w:val="22"/>
          <w:lang w:val="fr-FR" w:eastAsia="fr-FR"/>
        </w:rPr>
        <w:t>tion des connaissances traditionnelles dans la description et l'identification des AIEB (</w:t>
      </w:r>
      <w:r w:rsidRPr="00191337">
        <w:rPr>
          <w:lang w:val="fr-FR" w:eastAsia="fr-FR"/>
        </w:rPr>
        <w:t>UNEP/CBD/SBSTTA/20/INF/21)</w:t>
      </w:r>
      <w:r w:rsidRPr="00191337">
        <w:rPr>
          <w:snapToGrid w:val="0"/>
          <w:kern w:val="22"/>
          <w:szCs w:val="22"/>
          <w:lang w:val="fr-FR" w:eastAsia="fr-FR"/>
        </w:rPr>
        <w:t>;</w:t>
      </w:r>
    </w:p>
    <w:p w:rsidR="009F6935" w:rsidRPr="00191337" w:rsidRDefault="009F6935" w:rsidP="00004EAF">
      <w:pPr>
        <w:numPr>
          <w:ilvl w:val="0"/>
          <w:numId w:val="45"/>
        </w:numPr>
        <w:tabs>
          <w:tab w:val="clear" w:pos="360"/>
        </w:tabs>
        <w:spacing w:before="120" w:after="240"/>
        <w:ind w:left="0" w:firstLine="709"/>
        <w:rPr>
          <w:snapToGrid w:val="0"/>
          <w:kern w:val="22"/>
          <w:szCs w:val="22"/>
          <w:lang w:val="fr-FR" w:eastAsia="fr-FR"/>
        </w:rPr>
      </w:pPr>
      <w:r w:rsidRPr="00191337">
        <w:rPr>
          <w:snapToGrid w:val="0"/>
          <w:kern w:val="22"/>
          <w:szCs w:val="22"/>
          <w:lang w:val="fr-FR" w:eastAsia="fr-FR"/>
        </w:rPr>
        <w:t xml:space="preserve">L'application des critères arrêtés pour les AIEB peut être renforcée, dans la mesure du possible, en fonction des publications examinées par les pairs et par l'intégration de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szCs w:val="22"/>
          <w:lang w:val="fr-FR" w:eastAsia="fr-FR"/>
        </w:rPr>
        <w:t>.</w:t>
      </w:r>
    </w:p>
    <w:p w:rsidR="009F6935" w:rsidRPr="00191337" w:rsidRDefault="009F6935" w:rsidP="009F6935">
      <w:pPr>
        <w:keepNext/>
        <w:suppressLineNumbers/>
        <w:tabs>
          <w:tab w:val="left" w:pos="360"/>
        </w:tabs>
        <w:suppressAutoHyphens/>
        <w:kinsoku w:val="0"/>
        <w:overflowPunct w:val="0"/>
        <w:autoSpaceDE w:val="0"/>
        <w:autoSpaceDN w:val="0"/>
        <w:spacing w:after="120" w:line="233" w:lineRule="auto"/>
        <w:jc w:val="center"/>
        <w:outlineLvl w:val="1"/>
        <w:rPr>
          <w:bCs/>
          <w:iCs/>
          <w:snapToGrid w:val="0"/>
          <w:kern w:val="22"/>
          <w:szCs w:val="22"/>
          <w:lang w:val="fr-FR" w:eastAsia="fr-FR"/>
        </w:rPr>
      </w:pPr>
      <w:bookmarkStart w:id="184" w:name="_Toc525904208"/>
      <w:bookmarkStart w:id="185" w:name="_Toc525904367"/>
      <w:bookmarkStart w:id="186" w:name="_Toc525904611"/>
      <w:r w:rsidRPr="00191337">
        <w:rPr>
          <w:b/>
          <w:bCs/>
          <w:iCs/>
          <w:snapToGrid w:val="0"/>
          <w:kern w:val="22"/>
          <w:szCs w:val="22"/>
          <w:lang w:val="fr-FR" w:eastAsia="fr-FR"/>
        </w:rPr>
        <w:t>B.</w:t>
      </w:r>
      <w:r w:rsidRPr="00191337">
        <w:rPr>
          <w:b/>
          <w:bCs/>
          <w:iCs/>
          <w:snapToGrid w:val="0"/>
          <w:kern w:val="22"/>
          <w:szCs w:val="22"/>
          <w:lang w:val="fr-FR" w:eastAsia="fr-FR"/>
        </w:rPr>
        <w:tab/>
        <w:t>Transparence du processus relatif aux AIEB</w:t>
      </w:r>
      <w:bookmarkEnd w:id="184"/>
      <w:bookmarkEnd w:id="185"/>
      <w:bookmarkEnd w:id="186"/>
    </w:p>
    <w:p w:rsidR="009F6935" w:rsidRPr="00191337" w:rsidRDefault="009F6935" w:rsidP="009F6935">
      <w:pPr>
        <w:suppressLineNumbers/>
        <w:suppressAutoHyphens/>
        <w:kinsoku w:val="0"/>
        <w:overflowPunct w:val="0"/>
        <w:autoSpaceDE w:val="0"/>
        <w:autoSpaceDN w:val="0"/>
        <w:spacing w:before="120" w:after="120" w:line="233" w:lineRule="auto"/>
        <w:rPr>
          <w:snapToGrid w:val="0"/>
          <w:kern w:val="22"/>
          <w:szCs w:val="22"/>
          <w:lang w:val="fr-FR" w:eastAsia="fr-FR"/>
        </w:rPr>
      </w:pPr>
      <w:r w:rsidRPr="00191337">
        <w:rPr>
          <w:snapToGrid w:val="0"/>
          <w:kern w:val="22"/>
          <w:szCs w:val="22"/>
          <w:lang w:val="fr-FR" w:eastAsia="fr-FR"/>
        </w:rPr>
        <w:t>16.</w:t>
      </w:r>
      <w:r w:rsidRPr="00191337">
        <w:rPr>
          <w:snapToGrid w:val="0"/>
          <w:kern w:val="22"/>
          <w:szCs w:val="22"/>
          <w:lang w:val="fr-FR" w:eastAsia="fr-FR"/>
        </w:rPr>
        <w:tab/>
        <w:t>La transparence du processus relatif aux AIEB peut être renforcée par la mise à disposition de ce qui suit</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004EAF">
      <w:pPr>
        <w:numPr>
          <w:ilvl w:val="0"/>
          <w:numId w:val="46"/>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191337">
        <w:rPr>
          <w:snapToGrid w:val="0"/>
          <w:kern w:val="22"/>
          <w:szCs w:val="22"/>
          <w:lang w:val="fr-FR" w:eastAsia="fr-FR"/>
        </w:rPr>
        <w:t>L</w:t>
      </w:r>
      <w:r>
        <w:rPr>
          <w:snapToGrid w:val="0"/>
          <w:kern w:val="22"/>
          <w:szCs w:val="22"/>
          <w:lang w:val="fr-FR" w:eastAsia="fr-FR"/>
        </w:rPr>
        <w:t>a l</w:t>
      </w:r>
      <w:r w:rsidRPr="00191337">
        <w:rPr>
          <w:snapToGrid w:val="0"/>
          <w:kern w:val="22"/>
          <w:szCs w:val="22"/>
          <w:lang w:val="fr-FR" w:eastAsia="fr-FR"/>
        </w:rPr>
        <w:t>iste d'experts qui ont contribué à l'élaboration de nouvelles descriptions ou à l'examen de descriptions existantes;</w:t>
      </w:r>
    </w:p>
    <w:p w:rsidR="009F6935" w:rsidRPr="00191337" w:rsidRDefault="009F6935" w:rsidP="00004EAF">
      <w:pPr>
        <w:numPr>
          <w:ilvl w:val="0"/>
          <w:numId w:val="46"/>
        </w:num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Des i</w:t>
      </w:r>
      <w:r w:rsidRPr="00191337">
        <w:rPr>
          <w:snapToGrid w:val="0"/>
          <w:kern w:val="22"/>
          <w:szCs w:val="22"/>
          <w:lang w:val="fr-FR" w:eastAsia="fr-FR"/>
        </w:rPr>
        <w:t>nformations sur le consentement préalable donné librement et en connaissance de cause des peuples autochtones et communautés locales</w:t>
      </w:r>
      <w:r>
        <w:rPr>
          <w:snapToGrid w:val="0"/>
          <w:kern w:val="22"/>
          <w:szCs w:val="22"/>
          <w:lang w:val="fr-FR" w:eastAsia="fr-FR"/>
        </w:rPr>
        <w:t>,</w:t>
      </w:r>
      <w:r w:rsidRPr="00191337">
        <w:rPr>
          <w:snapToGrid w:val="0"/>
          <w:kern w:val="22"/>
          <w:szCs w:val="22"/>
          <w:lang w:val="fr-FR" w:eastAsia="fr-FR"/>
        </w:rPr>
        <w:t xml:space="preserve"> lorsque des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lang w:val="fr-FR" w:eastAsia="fr-FR"/>
        </w:rPr>
        <w:t xml:space="preserve"> </w:t>
      </w:r>
      <w:r w:rsidRPr="00191337">
        <w:rPr>
          <w:snapToGrid w:val="0"/>
          <w:kern w:val="22"/>
          <w:szCs w:val="22"/>
          <w:lang w:val="fr-FR" w:eastAsia="fr-FR"/>
        </w:rPr>
        <w:t>ont été intégrées dans la description des AIEB;</w:t>
      </w:r>
    </w:p>
    <w:p w:rsidR="009F6935" w:rsidRPr="00191337" w:rsidRDefault="009F6935" w:rsidP="00004EAF">
      <w:pPr>
        <w:numPr>
          <w:ilvl w:val="0"/>
          <w:numId w:val="46"/>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191337">
        <w:rPr>
          <w:snapToGrid w:val="0"/>
          <w:kern w:val="22"/>
          <w:szCs w:val="22"/>
          <w:lang w:val="fr-FR" w:eastAsia="fr-FR"/>
        </w:rPr>
        <w:t>L'étendue géographique des ateliers régionaux dans le registre;</w:t>
      </w:r>
    </w:p>
    <w:p w:rsidR="009F6935" w:rsidRPr="00191337" w:rsidRDefault="009F6935" w:rsidP="00004EAF">
      <w:pPr>
        <w:numPr>
          <w:ilvl w:val="0"/>
          <w:numId w:val="46"/>
        </w:numPr>
        <w:suppressLineNumbers/>
        <w:suppressAutoHyphens/>
        <w:kinsoku w:val="0"/>
        <w:overflowPunct w:val="0"/>
        <w:autoSpaceDE w:val="0"/>
        <w:autoSpaceDN w:val="0"/>
        <w:spacing w:after="120" w:line="233" w:lineRule="auto"/>
        <w:ind w:firstLine="720"/>
        <w:rPr>
          <w:snapToGrid w:val="0"/>
          <w:kern w:val="22"/>
          <w:szCs w:val="22"/>
          <w:lang w:val="fr-FR" w:eastAsia="fr-FR"/>
        </w:rPr>
      </w:pPr>
      <w:r w:rsidRPr="00191337">
        <w:rPr>
          <w:snapToGrid w:val="0"/>
          <w:kern w:val="22"/>
          <w:szCs w:val="22"/>
          <w:lang w:val="fr-FR" w:eastAsia="fr-FR"/>
        </w:rPr>
        <w:t xml:space="preserve">L'accès aux données/informations (par ex. images satellite, liens vers les travaux universitaires auxquels il est fait référence, documentation des connaissances </w:t>
      </w:r>
      <w:r>
        <w:rPr>
          <w:snapToGrid w:val="0"/>
          <w:kern w:val="22"/>
          <w:lang w:val="fr-FR" w:eastAsia="fr-FR"/>
        </w:rPr>
        <w:t>[</w:t>
      </w:r>
      <w:r w:rsidRPr="00191337">
        <w:rPr>
          <w:snapToGrid w:val="0"/>
          <w:kern w:val="22"/>
          <w:lang w:val="fr-FR" w:eastAsia="fr-FR"/>
        </w:rPr>
        <w:t>autochtones et locales</w:t>
      </w:r>
      <w:r>
        <w:rPr>
          <w:snapToGrid w:val="0"/>
          <w:kern w:val="22"/>
          <w:lang w:val="fr-FR" w:eastAsia="fr-FR"/>
        </w:rPr>
        <w:t>] [traditionnelles]</w:t>
      </w:r>
      <w:r w:rsidRPr="00191337">
        <w:rPr>
          <w:snapToGrid w:val="0"/>
          <w:kern w:val="22"/>
          <w:szCs w:val="22"/>
          <w:lang w:val="fr-FR" w:eastAsia="fr-FR"/>
        </w:rPr>
        <w:t>) utilisées dans le cadre des ateliers régionaux</w:t>
      </w:r>
      <w:r>
        <w:rPr>
          <w:snapToGrid w:val="0"/>
          <w:kern w:val="22"/>
          <w:szCs w:val="22"/>
          <w:lang w:val="fr-FR" w:eastAsia="fr-FR"/>
        </w:rPr>
        <w:t>;</w:t>
      </w:r>
    </w:p>
    <w:p w:rsidR="009F6935" w:rsidRPr="00191337" w:rsidRDefault="009F6935" w:rsidP="00004EAF">
      <w:pPr>
        <w:numPr>
          <w:ilvl w:val="0"/>
          <w:numId w:val="46"/>
        </w:numPr>
        <w:suppressLineNumbers/>
        <w:suppressAutoHyphens/>
        <w:kinsoku w:val="0"/>
        <w:overflowPunct w:val="0"/>
        <w:autoSpaceDE w:val="0"/>
        <w:autoSpaceDN w:val="0"/>
        <w:spacing w:after="240" w:line="233" w:lineRule="auto"/>
        <w:ind w:firstLine="720"/>
        <w:rPr>
          <w:snapToGrid w:val="0"/>
          <w:kern w:val="22"/>
          <w:szCs w:val="22"/>
          <w:lang w:val="fr-FR" w:eastAsia="fr-FR"/>
        </w:rPr>
      </w:pPr>
      <w:r w:rsidRPr="00191337">
        <w:rPr>
          <w:snapToGrid w:val="0"/>
          <w:kern w:val="22"/>
          <w:szCs w:val="22"/>
          <w:lang w:val="fr-FR" w:eastAsia="fr-FR"/>
        </w:rPr>
        <w:lastRenderedPageBreak/>
        <w:t xml:space="preserve">Lorsque des processus nationaux ont été utilisés pour décrire des AIEB, les descriptions doivent être accompagnées d'une explication des processus nationaux, notamment de la manière dont l'examen </w:t>
      </w:r>
      <w:r>
        <w:rPr>
          <w:snapToGrid w:val="0"/>
          <w:kern w:val="22"/>
          <w:szCs w:val="22"/>
          <w:lang w:val="fr-FR" w:eastAsia="fr-FR"/>
        </w:rPr>
        <w:t xml:space="preserve">critique </w:t>
      </w:r>
      <w:r w:rsidRPr="00191337">
        <w:rPr>
          <w:snapToGrid w:val="0"/>
          <w:kern w:val="22"/>
          <w:szCs w:val="22"/>
          <w:lang w:val="fr-FR" w:eastAsia="fr-FR"/>
        </w:rPr>
        <w:t>des résultats par les pairs a été réalisé.</w:t>
      </w:r>
    </w:p>
    <w:p w:rsidR="009F6935" w:rsidRPr="00191337" w:rsidRDefault="009F6935" w:rsidP="009F6935">
      <w:pPr>
        <w:keepNext/>
        <w:suppressLineNumbers/>
        <w:tabs>
          <w:tab w:val="left" w:pos="360"/>
        </w:tabs>
        <w:suppressAutoHyphens/>
        <w:kinsoku w:val="0"/>
        <w:overflowPunct w:val="0"/>
        <w:autoSpaceDE w:val="0"/>
        <w:autoSpaceDN w:val="0"/>
        <w:spacing w:line="233" w:lineRule="auto"/>
        <w:jc w:val="center"/>
        <w:outlineLvl w:val="1"/>
        <w:rPr>
          <w:b/>
          <w:bCs/>
          <w:iCs/>
          <w:snapToGrid w:val="0"/>
          <w:kern w:val="22"/>
          <w:szCs w:val="22"/>
          <w:lang w:val="fr-FR" w:eastAsia="fr-FR"/>
        </w:rPr>
      </w:pPr>
      <w:bookmarkStart w:id="187" w:name="_Toc525904209"/>
      <w:bookmarkStart w:id="188" w:name="_Toc525904368"/>
      <w:bookmarkStart w:id="189" w:name="_Toc525904612"/>
      <w:r w:rsidRPr="00FB2C95">
        <w:rPr>
          <w:b/>
          <w:bCs/>
          <w:iCs/>
          <w:snapToGrid w:val="0"/>
          <w:kern w:val="22"/>
          <w:szCs w:val="22"/>
          <w:lang w:val="fr-FR" w:eastAsia="fr-FR"/>
        </w:rPr>
        <w:t>C.</w:t>
      </w:r>
      <w:r w:rsidRPr="00FB2C95">
        <w:rPr>
          <w:b/>
          <w:bCs/>
          <w:iCs/>
          <w:snapToGrid w:val="0"/>
          <w:kern w:val="22"/>
          <w:szCs w:val="22"/>
          <w:lang w:val="fr-FR" w:eastAsia="fr-FR"/>
        </w:rPr>
        <w:tab/>
        <w:t>Exercices</w:t>
      </w:r>
      <w:r w:rsidRPr="00191337">
        <w:rPr>
          <w:b/>
          <w:bCs/>
          <w:iCs/>
          <w:snapToGrid w:val="0"/>
          <w:kern w:val="22"/>
          <w:szCs w:val="22"/>
          <w:lang w:val="fr-FR" w:eastAsia="fr-FR"/>
        </w:rPr>
        <w:t xml:space="preserve"> nationaux</w:t>
      </w:r>
      <w:bookmarkEnd w:id="187"/>
      <w:bookmarkEnd w:id="188"/>
      <w:bookmarkEnd w:id="189"/>
    </w:p>
    <w:p w:rsidR="009F6935" w:rsidRPr="00191337" w:rsidRDefault="009F6935" w:rsidP="009F6935">
      <w:pPr>
        <w:suppressLineNumbers/>
        <w:suppressAutoHyphens/>
        <w:kinsoku w:val="0"/>
        <w:overflowPunct w:val="0"/>
        <w:autoSpaceDE w:val="0"/>
        <w:autoSpaceDN w:val="0"/>
        <w:spacing w:before="120" w:after="120" w:line="233" w:lineRule="auto"/>
        <w:rPr>
          <w:snapToGrid w:val="0"/>
          <w:kern w:val="22"/>
          <w:szCs w:val="22"/>
          <w:lang w:val="fr-FR" w:eastAsia="fr-FR"/>
        </w:rPr>
      </w:pPr>
      <w:r w:rsidRPr="00191337">
        <w:rPr>
          <w:kern w:val="22"/>
          <w:szCs w:val="22"/>
          <w:lang w:val="fr-FR" w:eastAsia="fr-FR"/>
        </w:rPr>
        <w:t>17</w:t>
      </w:r>
      <w:r w:rsidRPr="00191337">
        <w:rPr>
          <w:snapToGrid w:val="0"/>
          <w:kern w:val="22"/>
          <w:szCs w:val="22"/>
          <w:lang w:val="fr-FR" w:eastAsia="fr-FR"/>
        </w:rPr>
        <w:t>.</w:t>
      </w:r>
      <w:r w:rsidRPr="00191337">
        <w:rPr>
          <w:snapToGrid w:val="0"/>
          <w:kern w:val="22"/>
          <w:szCs w:val="22"/>
          <w:lang w:val="fr-FR" w:eastAsia="fr-FR"/>
        </w:rPr>
        <w:tab/>
        <w:t xml:space="preserve">Les résultats des exercices nationaux peuvent être inclus dans le registre des AIEB ou dans le mécanisme d'échange d'information par l'une des méthodes suivantes : </w:t>
      </w:r>
    </w:p>
    <w:p w:rsidR="009F6935" w:rsidRPr="00191337" w:rsidRDefault="009F6935" w:rsidP="009F6935">
      <w:pPr>
        <w:suppressLineNumbers/>
        <w:suppressAutoHyphens/>
        <w:kinsoku w:val="0"/>
        <w:overflowPunct w:val="0"/>
        <w:autoSpaceDE w:val="0"/>
        <w:autoSpaceDN w:val="0"/>
        <w:spacing w:before="120" w:after="120" w:line="233" w:lineRule="auto"/>
        <w:rPr>
          <w:snapToGrid w:val="0"/>
          <w:kern w:val="22"/>
          <w:szCs w:val="22"/>
          <w:u w:val="single"/>
          <w:lang w:val="fr-FR" w:eastAsia="fr-FR"/>
        </w:rPr>
      </w:pPr>
      <w:r w:rsidRPr="00191337">
        <w:rPr>
          <w:snapToGrid w:val="0"/>
          <w:kern w:val="22"/>
          <w:szCs w:val="22"/>
          <w:u w:val="single"/>
          <w:lang w:val="fr-FR" w:eastAsia="fr-FR"/>
        </w:rPr>
        <w:t>Pour l'intégration dans le registre des AIEB</w:t>
      </w:r>
    </w:p>
    <w:p w:rsidR="009F6935" w:rsidRPr="00191337" w:rsidRDefault="009F6935" w:rsidP="00004EAF">
      <w:pPr>
        <w:numPr>
          <w:ilvl w:val="0"/>
          <w:numId w:val="49"/>
        </w:numPr>
        <w:spacing w:before="120" w:after="120"/>
        <w:ind w:left="0" w:firstLine="709"/>
        <w:rPr>
          <w:snapToGrid w:val="0"/>
          <w:kern w:val="22"/>
          <w:szCs w:val="22"/>
          <w:lang w:val="fr-FR" w:eastAsia="fr-FR"/>
        </w:rPr>
      </w:pPr>
      <w:r w:rsidRPr="00191337">
        <w:rPr>
          <w:snapToGrid w:val="0"/>
          <w:kern w:val="22"/>
          <w:szCs w:val="22"/>
          <w:lang w:val="fr-FR" w:eastAsia="fr-FR"/>
        </w:rPr>
        <w:t>Les résultats</w:t>
      </w:r>
      <w:r>
        <w:rPr>
          <w:snapToGrid w:val="0"/>
          <w:kern w:val="22"/>
          <w:szCs w:val="22"/>
          <w:lang w:val="fr-FR" w:eastAsia="fr-FR"/>
        </w:rPr>
        <w:t xml:space="preserve"> de l'exercice national sont trans</w:t>
      </w:r>
      <w:r w:rsidRPr="00191337">
        <w:rPr>
          <w:snapToGrid w:val="0"/>
          <w:kern w:val="22"/>
          <w:szCs w:val="22"/>
          <w:lang w:val="fr-FR" w:eastAsia="fr-FR"/>
        </w:rPr>
        <w:t xml:space="preserve">mis dans le cadre d'un atelier régional, puis examinés par l'Organe subsidiaire chargé de fournir des avis scientifiques, techniques et technologiques et la Conférence des Parties, en vue d'une possible intégration dans le registre des AIEB </w:t>
      </w:r>
      <w:r>
        <w:rPr>
          <w:snapToGrid w:val="0"/>
          <w:kern w:val="22"/>
          <w:szCs w:val="22"/>
          <w:lang w:val="fr-FR" w:eastAsia="fr-FR"/>
        </w:rPr>
        <w:t>[, si les Parties le souhaitent]</w:t>
      </w:r>
      <w:r w:rsidRPr="00191337">
        <w:rPr>
          <w:snapToGrid w:val="0"/>
          <w:kern w:val="22"/>
          <w:szCs w:val="22"/>
          <w:lang w:val="fr-FR" w:eastAsia="fr-FR"/>
        </w:rPr>
        <w:t>;</w:t>
      </w:r>
    </w:p>
    <w:p w:rsidR="009F6935" w:rsidRPr="00191337" w:rsidRDefault="009F6935" w:rsidP="00004EAF">
      <w:pPr>
        <w:numPr>
          <w:ilvl w:val="0"/>
          <w:numId w:val="49"/>
        </w:numPr>
        <w:suppressLineNumbers/>
        <w:suppressAutoHyphens/>
        <w:kinsoku w:val="0"/>
        <w:overflowPunct w:val="0"/>
        <w:autoSpaceDE w:val="0"/>
        <w:autoSpaceDN w:val="0"/>
        <w:spacing w:before="120" w:after="240"/>
        <w:ind w:left="0" w:firstLine="709"/>
        <w:rPr>
          <w:snapToGrid w:val="0"/>
          <w:kern w:val="22"/>
          <w:szCs w:val="22"/>
          <w:lang w:val="fr-FR" w:eastAsia="fr-FR"/>
        </w:rPr>
      </w:pPr>
      <w:r w:rsidRPr="00191337">
        <w:rPr>
          <w:lang w:val="fr-FR" w:eastAsia="fr-FR"/>
        </w:rPr>
        <w:t xml:space="preserve">S'appuyant sur la procédure énoncée au paragraphe 7 de la décision XII/22, l'État côtier peut soumettre les résultats des exercices nationaux sur la description d'aires répondant aux critères arrêtés pour les AIEB, et des informations sur le processus scientifique et technique, ainsi que le processus national d'examen par les pairs, à l'appui de la description, </w:t>
      </w:r>
      <w:r>
        <w:rPr>
          <w:lang w:val="fr-FR" w:eastAsia="fr-FR"/>
        </w:rPr>
        <w:t>[</w:t>
      </w:r>
      <w:r w:rsidRPr="00191337">
        <w:rPr>
          <w:snapToGrid w:val="0"/>
          <w:kern w:val="22"/>
          <w:szCs w:val="22"/>
          <w:lang w:val="fr-FR" w:eastAsia="fr-FR"/>
        </w:rPr>
        <w:t>en vue d'un examen par l'Organe subsidiaire chargé de fournir des avis scientifiques, techniques et technologiques et par la Conférence des Parties pour une intégration pos</w:t>
      </w:r>
      <w:r>
        <w:rPr>
          <w:snapToGrid w:val="0"/>
          <w:kern w:val="22"/>
          <w:szCs w:val="22"/>
          <w:lang w:val="fr-FR" w:eastAsia="fr-FR"/>
        </w:rPr>
        <w:t>sible dans le registre des AIEB</w:t>
      </w:r>
      <w:r w:rsidRPr="00191337">
        <w:rPr>
          <w:snapToGrid w:val="0"/>
          <w:kern w:val="22"/>
          <w:szCs w:val="22"/>
          <w:lang w:val="fr-FR" w:eastAsia="fr-FR"/>
        </w:rPr>
        <w:t>]</w:t>
      </w:r>
      <w:r>
        <w:rPr>
          <w:snapToGrid w:val="0"/>
          <w:kern w:val="22"/>
          <w:szCs w:val="22"/>
          <w:lang w:val="fr-FR" w:eastAsia="fr-FR"/>
        </w:rPr>
        <w:t xml:space="preserve"> [</w:t>
      </w:r>
      <w:r>
        <w:rPr>
          <w:lang w:val="fr-FR" w:eastAsia="fr-FR"/>
        </w:rPr>
        <w:t xml:space="preserve">et </w:t>
      </w:r>
      <w:r w:rsidRPr="00CF2246">
        <w:rPr>
          <w:i/>
          <w:lang w:val="fr-FR" w:eastAsia="fr-FR"/>
        </w:rPr>
        <w:t>prie</w:t>
      </w:r>
      <w:r w:rsidRPr="00191337">
        <w:rPr>
          <w:lang w:val="fr-FR" w:eastAsia="fr-FR"/>
        </w:rPr>
        <w:t xml:space="preserve"> la Secrétaire exécutive </w:t>
      </w:r>
      <w:r w:rsidRPr="00191337">
        <w:rPr>
          <w:snapToGrid w:val="0"/>
          <w:kern w:val="22"/>
          <w:szCs w:val="22"/>
          <w:lang w:val="fr-FR" w:eastAsia="fr-FR"/>
        </w:rPr>
        <w:t>de les inclure dans le registre et de soumettre un rapport d'activité à l'Organe subsidiaire chargé de fournir des avis scientifiques, techniques et technologiques et à la Conférence des Parties</w:t>
      </w:r>
      <w:r>
        <w:rPr>
          <w:snapToGrid w:val="0"/>
          <w:kern w:val="22"/>
          <w:szCs w:val="22"/>
          <w:lang w:val="fr-FR" w:eastAsia="fr-FR"/>
        </w:rPr>
        <w:t>.</w:t>
      </w:r>
      <w:r w:rsidRPr="00191337">
        <w:rPr>
          <w:snapToGrid w:val="0"/>
          <w:kern w:val="22"/>
          <w:szCs w:val="22"/>
          <w:lang w:val="fr-FR" w:eastAsia="fr-FR"/>
        </w:rPr>
        <w:t>]</w:t>
      </w:r>
      <w:r>
        <w:rPr>
          <w:snapToGrid w:val="0"/>
          <w:kern w:val="22"/>
          <w:szCs w:val="22"/>
          <w:lang w:val="fr-FR" w:eastAsia="fr-FR"/>
        </w:rPr>
        <w:t xml:space="preserve"> </w:t>
      </w:r>
    </w:p>
    <w:p w:rsidR="009F6935" w:rsidRPr="00191337" w:rsidRDefault="009F6935" w:rsidP="009F6935">
      <w:pPr>
        <w:suppressLineNumbers/>
        <w:suppressAutoHyphens/>
        <w:kinsoku w:val="0"/>
        <w:overflowPunct w:val="0"/>
        <w:autoSpaceDE w:val="0"/>
        <w:autoSpaceDN w:val="0"/>
        <w:adjustRightInd w:val="0"/>
        <w:snapToGrid w:val="0"/>
        <w:spacing w:before="120" w:after="120" w:line="233" w:lineRule="auto"/>
        <w:rPr>
          <w:snapToGrid w:val="0"/>
          <w:kern w:val="22"/>
          <w:szCs w:val="22"/>
          <w:u w:val="single"/>
          <w:lang w:val="fr-FR"/>
        </w:rPr>
      </w:pPr>
      <w:r w:rsidRPr="00191337">
        <w:rPr>
          <w:snapToGrid w:val="0"/>
          <w:kern w:val="22"/>
          <w:szCs w:val="22"/>
          <w:u w:val="single"/>
          <w:lang w:val="fr-FR"/>
        </w:rPr>
        <w:t>Pour l'intégration dans le mécanisme d'échange d'information sur les AIEB</w:t>
      </w:r>
    </w:p>
    <w:p w:rsidR="009F6935" w:rsidRPr="00191337" w:rsidRDefault="009F6935" w:rsidP="00004EAF">
      <w:pPr>
        <w:pStyle w:val="ListParagraph"/>
        <w:numPr>
          <w:ilvl w:val="0"/>
          <w:numId w:val="52"/>
        </w:numPr>
        <w:suppressLineNumbers/>
        <w:suppressAutoHyphens/>
        <w:kinsoku w:val="0"/>
        <w:overflowPunct w:val="0"/>
        <w:autoSpaceDE w:val="0"/>
        <w:autoSpaceDN w:val="0"/>
        <w:adjustRightInd w:val="0"/>
        <w:snapToGrid w:val="0"/>
        <w:spacing w:before="120" w:after="120" w:line="233" w:lineRule="auto"/>
        <w:ind w:left="0" w:firstLine="709"/>
        <w:contextualSpacing w:val="0"/>
        <w:rPr>
          <w:snapToGrid w:val="0"/>
          <w:kern w:val="22"/>
          <w:szCs w:val="22"/>
          <w:lang w:val="fr-FR"/>
        </w:rPr>
      </w:pPr>
      <w:r w:rsidRPr="00191337">
        <w:rPr>
          <w:snapToGrid w:val="0"/>
          <w:kern w:val="22"/>
          <w:szCs w:val="22"/>
          <w:lang w:val="fr-FR"/>
        </w:rPr>
        <w:t xml:space="preserve">Examen </w:t>
      </w:r>
      <w:r>
        <w:rPr>
          <w:snapToGrid w:val="0"/>
          <w:kern w:val="22"/>
          <w:szCs w:val="22"/>
          <w:lang w:val="fr-FR"/>
        </w:rPr>
        <w:t>critique par les Parties concernées et les</w:t>
      </w:r>
      <w:r w:rsidRPr="00191337">
        <w:rPr>
          <w:snapToGrid w:val="0"/>
          <w:kern w:val="22"/>
          <w:szCs w:val="22"/>
          <w:lang w:val="fr-FR"/>
        </w:rPr>
        <w:t xml:space="preserve"> autres gouvernements, facilité par le Secrétariat de la CDB, en vue de l'intégration dans le mécanisme d'échange d'information.</w:t>
      </w:r>
    </w:p>
    <w:p w:rsidR="009F6935" w:rsidRPr="00191337" w:rsidRDefault="009F6935" w:rsidP="009F6935">
      <w:pPr>
        <w:suppressLineNumbers/>
        <w:suppressAutoHyphens/>
        <w:kinsoku w:val="0"/>
        <w:overflowPunct w:val="0"/>
        <w:autoSpaceDE w:val="0"/>
        <w:autoSpaceDN w:val="0"/>
        <w:spacing w:after="120" w:line="233" w:lineRule="auto"/>
        <w:rPr>
          <w:snapToGrid w:val="0"/>
          <w:kern w:val="22"/>
          <w:szCs w:val="22"/>
          <w:lang w:val="fr-FR" w:eastAsia="fr-FR"/>
        </w:rPr>
      </w:pPr>
      <w:r>
        <w:rPr>
          <w:snapToGrid w:val="0"/>
          <w:kern w:val="22"/>
          <w:szCs w:val="22"/>
          <w:lang w:val="fr-FR" w:eastAsia="fr-FR"/>
        </w:rPr>
        <w:t>18.</w:t>
      </w:r>
      <w:r>
        <w:rPr>
          <w:snapToGrid w:val="0"/>
          <w:kern w:val="22"/>
          <w:szCs w:val="22"/>
          <w:lang w:val="fr-FR" w:eastAsia="fr-FR"/>
        </w:rPr>
        <w:tab/>
        <w:t xml:space="preserve">Il convient de </w:t>
      </w:r>
      <w:r w:rsidRPr="00191337">
        <w:rPr>
          <w:snapToGrid w:val="0"/>
          <w:kern w:val="22"/>
          <w:szCs w:val="22"/>
          <w:lang w:val="fr-FR" w:eastAsia="fr-FR"/>
        </w:rPr>
        <w:t>:</w:t>
      </w:r>
    </w:p>
    <w:p w:rsidR="009F6935" w:rsidRPr="00191337" w:rsidRDefault="009F6935" w:rsidP="009F6935">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a)</w:t>
      </w:r>
      <w:r>
        <w:rPr>
          <w:snapToGrid w:val="0"/>
          <w:kern w:val="22"/>
          <w:szCs w:val="22"/>
          <w:lang w:val="fr-FR" w:eastAsia="fr-FR"/>
        </w:rPr>
        <w:tab/>
        <w:t>R</w:t>
      </w:r>
      <w:r w:rsidRPr="00191337">
        <w:rPr>
          <w:snapToGrid w:val="0"/>
          <w:kern w:val="22"/>
          <w:szCs w:val="22"/>
          <w:lang w:val="fr-FR" w:eastAsia="fr-FR"/>
        </w:rPr>
        <w:t>enfor</w:t>
      </w:r>
      <w:r>
        <w:rPr>
          <w:snapToGrid w:val="0"/>
          <w:kern w:val="22"/>
          <w:szCs w:val="22"/>
          <w:lang w:val="fr-FR" w:eastAsia="fr-FR"/>
        </w:rPr>
        <w:t>cer les capacités en matière de</w:t>
      </w:r>
      <w:r w:rsidRPr="00191337">
        <w:rPr>
          <w:snapToGrid w:val="0"/>
          <w:kern w:val="22"/>
          <w:szCs w:val="22"/>
          <w:lang w:val="fr-FR" w:eastAsia="fr-FR"/>
        </w:rPr>
        <w:t xml:space="preserve"> bonnes pratiques pour l’application des critères arrêtés pour les AIEB au niveau national, en particulier</w:t>
      </w:r>
      <w:r>
        <w:rPr>
          <w:snapToGrid w:val="0"/>
          <w:kern w:val="22"/>
          <w:szCs w:val="22"/>
          <w:lang w:val="fr-FR" w:eastAsia="fr-FR"/>
        </w:rPr>
        <w:t xml:space="preserve"> dans les pays en développement</w:t>
      </w:r>
      <w:r w:rsidRPr="00191337">
        <w:rPr>
          <w:snapToGrid w:val="0"/>
          <w:kern w:val="22"/>
          <w:szCs w:val="22"/>
          <w:lang w:val="fr-FR" w:eastAsia="fr-FR"/>
        </w:rPr>
        <w:t>;</w:t>
      </w:r>
    </w:p>
    <w:p w:rsidR="009F6935" w:rsidRPr="00191337" w:rsidRDefault="009F6935" w:rsidP="009F6935">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b)</w:t>
      </w:r>
      <w:r>
        <w:rPr>
          <w:snapToGrid w:val="0"/>
          <w:kern w:val="22"/>
          <w:szCs w:val="22"/>
          <w:lang w:val="fr-FR" w:eastAsia="fr-FR"/>
        </w:rPr>
        <w:tab/>
        <w:t>F</w:t>
      </w:r>
      <w:r w:rsidRPr="00191337">
        <w:rPr>
          <w:snapToGrid w:val="0"/>
          <w:kern w:val="22"/>
          <w:szCs w:val="22"/>
          <w:lang w:val="fr-FR" w:eastAsia="fr-FR"/>
        </w:rPr>
        <w:t>ournir des mesures d'incitation pour renforcer l’accessibilité des informations locales/nationales;</w:t>
      </w:r>
    </w:p>
    <w:p w:rsidR="009F6935" w:rsidRPr="00191337" w:rsidRDefault="009F6935" w:rsidP="009F6935">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c)</w:t>
      </w:r>
      <w:r>
        <w:rPr>
          <w:snapToGrid w:val="0"/>
          <w:kern w:val="22"/>
          <w:szCs w:val="22"/>
          <w:lang w:val="fr-FR" w:eastAsia="fr-FR"/>
        </w:rPr>
        <w:tab/>
        <w:t>A</w:t>
      </w:r>
      <w:r w:rsidRPr="00191337">
        <w:rPr>
          <w:snapToGrid w:val="0"/>
          <w:kern w:val="22"/>
          <w:szCs w:val="22"/>
          <w:lang w:val="fr-FR" w:eastAsia="fr-FR"/>
        </w:rPr>
        <w:t>ssurer une coordination interinstitutions pour mener des exercices nationaux efficaces;</w:t>
      </w:r>
    </w:p>
    <w:p w:rsidR="009F6935" w:rsidRPr="00191337" w:rsidRDefault="009F6935" w:rsidP="009F6935">
      <w:pPr>
        <w:suppressLineNumbers/>
        <w:suppressAutoHyphens/>
        <w:kinsoku w:val="0"/>
        <w:overflowPunct w:val="0"/>
        <w:autoSpaceDE w:val="0"/>
        <w:autoSpaceDN w:val="0"/>
        <w:spacing w:after="120" w:line="233" w:lineRule="auto"/>
        <w:ind w:firstLine="720"/>
        <w:rPr>
          <w:snapToGrid w:val="0"/>
          <w:kern w:val="22"/>
          <w:szCs w:val="22"/>
          <w:lang w:val="fr-FR" w:eastAsia="fr-FR"/>
        </w:rPr>
      </w:pPr>
      <w:r>
        <w:rPr>
          <w:snapToGrid w:val="0"/>
          <w:kern w:val="22"/>
          <w:szCs w:val="22"/>
          <w:lang w:val="fr-FR" w:eastAsia="fr-FR"/>
        </w:rPr>
        <w:t>d)</w:t>
      </w:r>
      <w:r>
        <w:rPr>
          <w:snapToGrid w:val="0"/>
          <w:kern w:val="22"/>
          <w:szCs w:val="22"/>
          <w:lang w:val="fr-FR" w:eastAsia="fr-FR"/>
        </w:rPr>
        <w:tab/>
        <w:t>M</w:t>
      </w:r>
      <w:r w:rsidRPr="00191337">
        <w:rPr>
          <w:snapToGrid w:val="0"/>
          <w:kern w:val="22"/>
          <w:szCs w:val="22"/>
          <w:lang w:val="fr-FR" w:eastAsia="fr-FR"/>
        </w:rPr>
        <w:t>obiliser des ressources financières destinées aux exercices nationaux.</w:t>
      </w:r>
    </w:p>
    <w:p w:rsidR="009F6935" w:rsidRPr="00191337" w:rsidRDefault="009F6935" w:rsidP="009F6935">
      <w:pPr>
        <w:pStyle w:val="Heading1longmultiline"/>
        <w:keepNext w:val="0"/>
        <w:suppressLineNumbers/>
        <w:tabs>
          <w:tab w:val="clear" w:pos="720"/>
        </w:tabs>
        <w:suppressAutoHyphens/>
        <w:kinsoku w:val="0"/>
        <w:overflowPunct w:val="0"/>
        <w:autoSpaceDE w:val="0"/>
        <w:autoSpaceDN w:val="0"/>
        <w:adjustRightInd w:val="0"/>
        <w:snapToGrid w:val="0"/>
        <w:ind w:left="1418" w:hanging="851"/>
        <w:rPr>
          <w:snapToGrid w:val="0"/>
          <w:kern w:val="22"/>
          <w:szCs w:val="22"/>
          <w:lang w:val="fr-FR"/>
        </w:rPr>
      </w:pPr>
      <w:bookmarkStart w:id="190" w:name="_Toc525904210"/>
      <w:bookmarkStart w:id="191" w:name="_Toc525904369"/>
      <w:bookmarkStart w:id="192" w:name="_Toc525904613"/>
      <w:r>
        <w:rPr>
          <w:snapToGrid w:val="0"/>
          <w:kern w:val="22"/>
          <w:szCs w:val="22"/>
          <w:lang w:val="fr-FR"/>
        </w:rPr>
        <w:t>IV.</w:t>
      </w:r>
      <w:r>
        <w:rPr>
          <w:snapToGrid w:val="0"/>
          <w:kern w:val="22"/>
          <w:szCs w:val="22"/>
          <w:lang w:val="fr-FR"/>
        </w:rPr>
        <w:tab/>
        <w:t>Besoins en matiÈre de renforcement des capacitÉ</w:t>
      </w:r>
      <w:r w:rsidRPr="00191337">
        <w:rPr>
          <w:snapToGrid w:val="0"/>
          <w:kern w:val="22"/>
          <w:szCs w:val="22"/>
          <w:lang w:val="fr-FR"/>
        </w:rPr>
        <w:t>s pour la mo</w:t>
      </w:r>
      <w:r>
        <w:rPr>
          <w:snapToGrid w:val="0"/>
          <w:kern w:val="22"/>
          <w:szCs w:val="22"/>
          <w:lang w:val="fr-FR"/>
        </w:rPr>
        <w:t xml:space="preserve">dification des descriptions des </w:t>
      </w:r>
      <w:r w:rsidRPr="00191337">
        <w:rPr>
          <w:snapToGrid w:val="0"/>
          <w:kern w:val="22"/>
          <w:szCs w:val="22"/>
          <w:lang w:val="fr-FR"/>
        </w:rPr>
        <w:t>AIEB et la description des nouvelles AIEB</w:t>
      </w:r>
      <w:bookmarkEnd w:id="190"/>
      <w:bookmarkEnd w:id="191"/>
      <w:bookmarkEnd w:id="192"/>
    </w:p>
    <w:p w:rsidR="009F6935" w:rsidRPr="00191337" w:rsidRDefault="009F6935" w:rsidP="009F6935">
      <w:pPr>
        <w:suppressLineNumbers/>
        <w:suppressAutoHyphens/>
        <w:kinsoku w:val="0"/>
        <w:overflowPunct w:val="0"/>
        <w:autoSpaceDE w:val="0"/>
        <w:autoSpaceDN w:val="0"/>
        <w:spacing w:before="120" w:after="120"/>
        <w:rPr>
          <w:snapToGrid w:val="0"/>
          <w:kern w:val="22"/>
          <w:szCs w:val="22"/>
          <w:lang w:val="fr-FR" w:eastAsia="fr-FR"/>
        </w:rPr>
      </w:pPr>
      <w:r w:rsidRPr="00191337">
        <w:rPr>
          <w:snapToGrid w:val="0"/>
          <w:kern w:val="22"/>
          <w:szCs w:val="22"/>
          <w:lang w:val="fr-FR" w:eastAsia="fr-FR"/>
        </w:rPr>
        <w:t>19.</w:t>
      </w:r>
      <w:r w:rsidRPr="00191337">
        <w:rPr>
          <w:snapToGrid w:val="0"/>
          <w:kern w:val="22"/>
          <w:szCs w:val="22"/>
          <w:lang w:val="fr-FR" w:eastAsia="fr-FR"/>
        </w:rPr>
        <w:tab/>
        <w:t xml:space="preserve">Les besoins en </w:t>
      </w:r>
      <w:r>
        <w:rPr>
          <w:snapToGrid w:val="0"/>
          <w:kern w:val="22"/>
          <w:szCs w:val="22"/>
          <w:lang w:val="fr-FR" w:eastAsia="fr-FR"/>
        </w:rPr>
        <w:t xml:space="preserve">matière de </w:t>
      </w:r>
      <w:r w:rsidRPr="00191337">
        <w:rPr>
          <w:snapToGrid w:val="0"/>
          <w:kern w:val="22"/>
          <w:szCs w:val="22"/>
          <w:lang w:val="fr-FR" w:eastAsia="fr-FR"/>
        </w:rPr>
        <w:t>renforcement des capacités concernant la modification des descriptions des AIEB et la description de nouvelles AIEB comprennent</w:t>
      </w:r>
      <w:r>
        <w:rPr>
          <w:snapToGrid w:val="0"/>
          <w:kern w:val="22"/>
          <w:szCs w:val="22"/>
          <w:lang w:val="fr-FR" w:eastAsia="fr-FR"/>
        </w:rPr>
        <w:t> </w:t>
      </w:r>
      <w:r w:rsidRPr="00191337">
        <w:rPr>
          <w:snapToGrid w:val="0"/>
          <w:kern w:val="22"/>
          <w:szCs w:val="22"/>
          <w:lang w:val="fr-FR" w:eastAsia="fr-FR"/>
        </w:rPr>
        <w:t>:</w:t>
      </w:r>
    </w:p>
    <w:p w:rsidR="009F6935" w:rsidRPr="00191337" w:rsidRDefault="009F6935" w:rsidP="00004EAF">
      <w:pPr>
        <w:numPr>
          <w:ilvl w:val="0"/>
          <w:numId w:val="50"/>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191337">
        <w:rPr>
          <w:snapToGrid w:val="0"/>
          <w:color w:val="000000"/>
          <w:kern w:val="22"/>
          <w:szCs w:val="22"/>
          <w:lang w:val="fr-FR" w:eastAsia="fr-FR"/>
        </w:rPr>
        <w:t>L'utilisation d'informations scientifiques et techniques et de</w:t>
      </w:r>
      <w:r>
        <w:rPr>
          <w:snapToGrid w:val="0"/>
          <w:color w:val="000000"/>
          <w:kern w:val="22"/>
          <w:szCs w:val="22"/>
          <w:lang w:val="fr-FR" w:eastAsia="fr-FR"/>
        </w:rPr>
        <w:t>s</w:t>
      </w:r>
      <w:r w:rsidRPr="00191337">
        <w:rPr>
          <w:snapToGrid w:val="0"/>
          <w:color w:val="000000"/>
          <w:kern w:val="22"/>
          <w:szCs w:val="22"/>
          <w:lang w:val="fr-FR" w:eastAsia="fr-FR"/>
        </w:rPr>
        <w:t xml:space="preserve"> connaissances </w:t>
      </w:r>
      <w:r>
        <w:rPr>
          <w:snapToGrid w:val="0"/>
          <w:color w:val="000000"/>
          <w:kern w:val="22"/>
          <w:szCs w:val="22"/>
          <w:lang w:val="fr-FR" w:eastAsia="fr-FR"/>
        </w:rPr>
        <w:t>[</w:t>
      </w:r>
      <w:r w:rsidRPr="00191337">
        <w:rPr>
          <w:snapToGrid w:val="0"/>
          <w:color w:val="000000"/>
          <w:kern w:val="22"/>
          <w:szCs w:val="22"/>
          <w:lang w:val="fr-FR" w:eastAsia="fr-FR"/>
        </w:rPr>
        <w:t>autochtones et locales</w:t>
      </w:r>
      <w:r>
        <w:rPr>
          <w:snapToGrid w:val="0"/>
          <w:color w:val="000000"/>
          <w:kern w:val="22"/>
          <w:szCs w:val="22"/>
          <w:lang w:val="fr-FR" w:eastAsia="fr-FR"/>
        </w:rPr>
        <w:t>] [traditionnelles]</w:t>
      </w:r>
      <w:r w:rsidRPr="00191337">
        <w:rPr>
          <w:snapToGrid w:val="0"/>
          <w:color w:val="000000"/>
          <w:kern w:val="22"/>
          <w:szCs w:val="22"/>
          <w:lang w:val="fr-FR" w:eastAsia="fr-FR"/>
        </w:rPr>
        <w:t xml:space="preserve"> pour décrire les aires répondant aux critères arrêtés pour les AIEB et modifier les descriptions des AIEB;</w:t>
      </w:r>
    </w:p>
    <w:p w:rsidR="009F6935" w:rsidRPr="00191337" w:rsidRDefault="009F6935" w:rsidP="00004EAF">
      <w:pPr>
        <w:numPr>
          <w:ilvl w:val="0"/>
          <w:numId w:val="50"/>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sidRPr="00191337">
        <w:rPr>
          <w:snapToGrid w:val="0"/>
          <w:color w:val="000000"/>
          <w:kern w:val="22"/>
          <w:szCs w:val="22"/>
          <w:lang w:val="fr-FR" w:eastAsia="fr-FR"/>
        </w:rPr>
        <w:t>La sensibilisation et la compréhension du processus relatif aux AIEB;</w:t>
      </w:r>
    </w:p>
    <w:p w:rsidR="009F6935" w:rsidRPr="00191337" w:rsidRDefault="009F6935" w:rsidP="00004EAF">
      <w:pPr>
        <w:numPr>
          <w:ilvl w:val="0"/>
          <w:numId w:val="50"/>
        </w:numPr>
        <w:suppressLineNumbers/>
        <w:suppressAutoHyphens/>
        <w:kinsoku w:val="0"/>
        <w:overflowPunct w:val="0"/>
        <w:autoSpaceDE w:val="0"/>
        <w:autoSpaceDN w:val="0"/>
        <w:spacing w:before="120" w:after="120"/>
        <w:ind w:left="0" w:firstLine="709"/>
        <w:rPr>
          <w:snapToGrid w:val="0"/>
          <w:color w:val="000000"/>
          <w:kern w:val="22"/>
          <w:szCs w:val="22"/>
          <w:lang w:val="fr-FR" w:eastAsia="fr-FR"/>
        </w:rPr>
      </w:pPr>
      <w:r>
        <w:rPr>
          <w:snapToGrid w:val="0"/>
          <w:color w:val="000000"/>
          <w:kern w:val="22"/>
          <w:szCs w:val="22"/>
          <w:lang w:val="fr-FR" w:eastAsia="fr-FR"/>
        </w:rPr>
        <w:t>Le dialogue entre les dépositaire</w:t>
      </w:r>
      <w:r w:rsidRPr="00191337">
        <w:rPr>
          <w:snapToGrid w:val="0"/>
          <w:color w:val="000000"/>
          <w:kern w:val="22"/>
          <w:szCs w:val="22"/>
          <w:lang w:val="fr-FR" w:eastAsia="fr-FR"/>
        </w:rPr>
        <w:t xml:space="preserve">s des connaissances </w:t>
      </w:r>
      <w:r>
        <w:rPr>
          <w:snapToGrid w:val="0"/>
          <w:color w:val="000000"/>
          <w:kern w:val="22"/>
          <w:szCs w:val="22"/>
          <w:lang w:val="fr-FR" w:eastAsia="fr-FR"/>
        </w:rPr>
        <w:t>[</w:t>
      </w:r>
      <w:r w:rsidRPr="00191337">
        <w:rPr>
          <w:snapToGrid w:val="0"/>
          <w:color w:val="000000"/>
          <w:kern w:val="22"/>
          <w:szCs w:val="22"/>
          <w:lang w:val="fr-FR" w:eastAsia="fr-FR"/>
        </w:rPr>
        <w:t>autochtones et locales</w:t>
      </w:r>
      <w:r>
        <w:rPr>
          <w:snapToGrid w:val="0"/>
          <w:color w:val="000000"/>
          <w:kern w:val="22"/>
          <w:szCs w:val="22"/>
          <w:lang w:val="fr-FR" w:eastAsia="fr-FR"/>
        </w:rPr>
        <w:t>] [traditionnelles] et l</w:t>
      </w:r>
      <w:r w:rsidRPr="00191337">
        <w:rPr>
          <w:snapToGrid w:val="0"/>
          <w:color w:val="000000"/>
          <w:kern w:val="22"/>
          <w:szCs w:val="22"/>
          <w:lang w:val="fr-FR" w:eastAsia="fr-FR"/>
        </w:rPr>
        <w:t xml:space="preserve">es scientifiques sur l'utilisation des connaissances </w:t>
      </w:r>
      <w:r>
        <w:rPr>
          <w:snapToGrid w:val="0"/>
          <w:color w:val="000000"/>
          <w:kern w:val="22"/>
          <w:szCs w:val="22"/>
          <w:lang w:val="fr-FR" w:eastAsia="fr-FR"/>
        </w:rPr>
        <w:t>[</w:t>
      </w:r>
      <w:r w:rsidRPr="00191337">
        <w:rPr>
          <w:snapToGrid w:val="0"/>
          <w:color w:val="000000"/>
          <w:kern w:val="22"/>
          <w:szCs w:val="22"/>
          <w:lang w:val="fr-FR" w:eastAsia="fr-FR"/>
        </w:rPr>
        <w:t>autochtones et locales</w:t>
      </w:r>
      <w:r>
        <w:rPr>
          <w:snapToGrid w:val="0"/>
          <w:color w:val="000000"/>
          <w:kern w:val="22"/>
          <w:szCs w:val="22"/>
          <w:lang w:val="fr-FR" w:eastAsia="fr-FR"/>
        </w:rPr>
        <w:t>] [traditionnelles]</w:t>
      </w:r>
      <w:r w:rsidRPr="00191337">
        <w:rPr>
          <w:snapToGrid w:val="0"/>
          <w:color w:val="000000"/>
          <w:kern w:val="22"/>
          <w:szCs w:val="22"/>
          <w:lang w:val="fr-FR" w:eastAsia="fr-FR"/>
        </w:rPr>
        <w:t xml:space="preserve"> dans la description des AIEB et la modification des descriptions des AIEB</w:t>
      </w:r>
      <w:r>
        <w:rPr>
          <w:snapToGrid w:val="0"/>
          <w:color w:val="000000"/>
          <w:kern w:val="22"/>
          <w:szCs w:val="22"/>
          <w:lang w:val="fr-FR" w:eastAsia="fr-FR"/>
        </w:rPr>
        <w:t xml:space="preserve">; </w:t>
      </w:r>
    </w:p>
    <w:p w:rsidR="009F6935" w:rsidRDefault="009F6935" w:rsidP="00004EAF">
      <w:pPr>
        <w:pStyle w:val="ListParagraph"/>
        <w:numPr>
          <w:ilvl w:val="0"/>
          <w:numId w:val="50"/>
        </w:numPr>
        <w:suppressLineNumbers/>
        <w:suppressAutoHyphens/>
        <w:kinsoku w:val="0"/>
        <w:overflowPunct w:val="0"/>
        <w:autoSpaceDE w:val="0"/>
        <w:autoSpaceDN w:val="0"/>
        <w:adjustRightInd w:val="0"/>
        <w:snapToGrid w:val="0"/>
        <w:spacing w:before="120" w:after="120"/>
        <w:ind w:left="0" w:firstLine="720"/>
        <w:contextualSpacing w:val="0"/>
        <w:rPr>
          <w:snapToGrid w:val="0"/>
          <w:color w:val="000000"/>
          <w:kern w:val="22"/>
          <w:szCs w:val="22"/>
          <w:lang w:val="fr-FR"/>
        </w:rPr>
      </w:pPr>
      <w:r w:rsidRPr="00191337">
        <w:rPr>
          <w:snapToGrid w:val="0"/>
          <w:color w:val="000000"/>
          <w:kern w:val="22"/>
          <w:szCs w:val="22"/>
          <w:lang w:val="fr-FR" w:eastAsia="fr-FR"/>
        </w:rPr>
        <w:t xml:space="preserve">La compréhension des liens </w:t>
      </w:r>
      <w:r>
        <w:rPr>
          <w:snapToGrid w:val="0"/>
          <w:color w:val="000000"/>
          <w:kern w:val="22"/>
          <w:szCs w:val="22"/>
          <w:lang w:val="fr-FR" w:eastAsia="fr-FR"/>
        </w:rPr>
        <w:t xml:space="preserve">existant </w:t>
      </w:r>
      <w:r w:rsidRPr="00191337">
        <w:rPr>
          <w:snapToGrid w:val="0"/>
          <w:color w:val="000000"/>
          <w:kern w:val="22"/>
          <w:szCs w:val="22"/>
          <w:lang w:val="fr-FR" w:eastAsia="fr-FR"/>
        </w:rPr>
        <w:t xml:space="preserve">entre le processus relatif aux </w:t>
      </w:r>
      <w:r>
        <w:rPr>
          <w:snapToGrid w:val="0"/>
          <w:color w:val="000000"/>
          <w:kern w:val="22"/>
          <w:szCs w:val="22"/>
          <w:lang w:val="fr-FR" w:eastAsia="fr-FR"/>
        </w:rPr>
        <w:t>AIEB et d’</w:t>
      </w:r>
      <w:r w:rsidRPr="00191337">
        <w:rPr>
          <w:snapToGrid w:val="0"/>
          <w:color w:val="000000"/>
          <w:kern w:val="22"/>
          <w:szCs w:val="22"/>
          <w:lang w:val="fr-FR" w:eastAsia="fr-FR"/>
        </w:rPr>
        <w:t>autre processus pertinent</w:t>
      </w:r>
      <w:r>
        <w:rPr>
          <w:snapToGrid w:val="0"/>
          <w:color w:val="000000"/>
          <w:kern w:val="22"/>
          <w:szCs w:val="22"/>
          <w:lang w:val="fr-FR" w:eastAsia="fr-FR"/>
        </w:rPr>
        <w:t>s</w:t>
      </w:r>
      <w:r w:rsidRPr="004D526E">
        <w:rPr>
          <w:snapToGrid w:val="0"/>
          <w:color w:val="000000"/>
          <w:kern w:val="22"/>
          <w:szCs w:val="22"/>
          <w:lang w:val="fr-FR"/>
        </w:rPr>
        <w:t>.</w:t>
      </w:r>
    </w:p>
    <w:p w:rsidR="009F6935" w:rsidRDefault="009F6935">
      <w:pPr>
        <w:jc w:val="left"/>
        <w:rPr>
          <w:snapToGrid w:val="0"/>
          <w:kern w:val="22"/>
          <w:szCs w:val="22"/>
          <w:lang w:val="fr-FR"/>
        </w:rPr>
      </w:pPr>
    </w:p>
    <w:p w:rsidR="009F6935" w:rsidRDefault="009F6935" w:rsidP="00010EA0">
      <w:pPr>
        <w:pStyle w:val="Para10"/>
        <w:suppressLineNumbers/>
        <w:suppressAutoHyphens/>
        <w:kinsoku w:val="0"/>
        <w:overflowPunct w:val="0"/>
        <w:autoSpaceDE w:val="0"/>
        <w:autoSpaceDN w:val="0"/>
        <w:adjustRightInd w:val="0"/>
        <w:snapToGrid w:val="0"/>
        <w:spacing w:after="360"/>
        <w:jc w:val="center"/>
        <w:outlineLvl w:val="1"/>
        <w:rPr>
          <w:b/>
          <w:snapToGrid w:val="0"/>
          <w:kern w:val="22"/>
          <w:lang w:val="fr-FR"/>
        </w:rPr>
      </w:pPr>
      <w:bookmarkStart w:id="193" w:name="_Toc525904211"/>
      <w:bookmarkStart w:id="194" w:name="_Toc525904614"/>
      <w:r>
        <w:rPr>
          <w:b/>
          <w:snapToGrid w:val="0"/>
          <w:kern w:val="22"/>
          <w:lang w:val="fr-FR"/>
        </w:rPr>
        <w:t>22/7.     Diversit</w:t>
      </w:r>
      <w:r>
        <w:rPr>
          <w:rFonts w:cs="Times New Roman"/>
          <w:b/>
          <w:snapToGrid w:val="0"/>
          <w:kern w:val="22"/>
          <w:lang w:val="fr-FR"/>
        </w:rPr>
        <w:t>é</w:t>
      </w:r>
      <w:r>
        <w:rPr>
          <w:b/>
          <w:snapToGrid w:val="0"/>
          <w:kern w:val="22"/>
          <w:lang w:val="fr-FR"/>
        </w:rPr>
        <w:t xml:space="preserve"> </w:t>
      </w:r>
      <w:r w:rsidRPr="0090627E">
        <w:rPr>
          <w:b/>
          <w:snapToGrid w:val="0"/>
          <w:kern w:val="22"/>
          <w:lang w:val="fr-FR"/>
        </w:rPr>
        <w:t xml:space="preserve">biologique et changements climatiques : approches écosystémiques d'adaptation aux changements climatiques et de réduction des risques de </w:t>
      </w:r>
      <w:r>
        <w:rPr>
          <w:b/>
          <w:snapToGrid w:val="0"/>
          <w:kern w:val="22"/>
          <w:lang w:val="fr-FR"/>
        </w:rPr>
        <w:t>catastrophe naturelle</w:t>
      </w:r>
      <w:bookmarkEnd w:id="193"/>
      <w:bookmarkEnd w:id="194"/>
    </w:p>
    <w:p w:rsidR="009F6935" w:rsidRDefault="009F6935" w:rsidP="009F6935">
      <w:pPr>
        <w:pStyle w:val="Para10"/>
        <w:suppressLineNumbers/>
        <w:suppressAutoHyphens/>
        <w:kinsoku w:val="0"/>
        <w:overflowPunct w:val="0"/>
        <w:autoSpaceDE w:val="0"/>
        <w:autoSpaceDN w:val="0"/>
        <w:adjustRightInd w:val="0"/>
        <w:snapToGrid w:val="0"/>
        <w:spacing w:after="240"/>
        <w:ind w:firstLine="720"/>
        <w:rPr>
          <w:rFonts w:cs="Times New Roman"/>
          <w:i/>
          <w:snapToGrid w:val="0"/>
          <w:kern w:val="22"/>
          <w:lang w:val="fr-FR"/>
        </w:rPr>
      </w:pPr>
      <w:r>
        <w:rPr>
          <w:kern w:val="22"/>
          <w:lang w:val="fr-CA" w:bidi="fr-FR"/>
        </w:rPr>
        <w:t>L’Organe subsidiaire chargé de fournir des avis scientifiques, techniques et technologiques recommande que la Conférence des Parties adopte, à sa quatorzième réunion, une décision libellée comme suit :</w:t>
      </w:r>
      <w:r>
        <w:rPr>
          <w:rFonts w:cs="Times New Roman"/>
          <w:i/>
          <w:snapToGrid w:val="0"/>
          <w:kern w:val="22"/>
          <w:lang w:val="fr-FR"/>
        </w:rPr>
        <w:t xml:space="preserve"> </w:t>
      </w:r>
    </w:p>
    <w:p w:rsidR="009F6935" w:rsidRDefault="009F6935" w:rsidP="009F6935">
      <w:pPr>
        <w:pStyle w:val="Para10"/>
        <w:suppressLineNumbers/>
        <w:suppressAutoHyphens/>
        <w:kinsoku w:val="0"/>
        <w:overflowPunct w:val="0"/>
        <w:autoSpaceDE w:val="0"/>
        <w:autoSpaceDN w:val="0"/>
        <w:adjustRightInd w:val="0"/>
        <w:snapToGrid w:val="0"/>
        <w:ind w:firstLine="720"/>
        <w:rPr>
          <w:rFonts w:cs="Times New Roman"/>
          <w:i/>
          <w:snapToGrid w:val="0"/>
          <w:kern w:val="22"/>
          <w:lang w:val="fr-FR"/>
        </w:rPr>
      </w:pPr>
      <w:r>
        <w:rPr>
          <w:rFonts w:cs="Times New Roman"/>
          <w:i/>
          <w:snapToGrid w:val="0"/>
          <w:kern w:val="22"/>
          <w:lang w:val="fr-FR"/>
        </w:rPr>
        <w:t>La Conférence des Parties,</w:t>
      </w:r>
    </w:p>
    <w:p w:rsidR="009F6935" w:rsidRPr="0090627E" w:rsidRDefault="009F6935" w:rsidP="009F6935">
      <w:pPr>
        <w:pStyle w:val="Para10"/>
        <w:suppressLineNumbers/>
        <w:suppressAutoHyphens/>
        <w:kinsoku w:val="0"/>
        <w:overflowPunct w:val="0"/>
        <w:autoSpaceDE w:val="0"/>
        <w:autoSpaceDN w:val="0"/>
        <w:adjustRightInd w:val="0"/>
        <w:snapToGrid w:val="0"/>
        <w:ind w:firstLine="720"/>
        <w:rPr>
          <w:rFonts w:cs="Times New Roman"/>
          <w:i/>
          <w:snapToGrid w:val="0"/>
          <w:kern w:val="22"/>
          <w:lang w:val="fr-FR"/>
        </w:rPr>
      </w:pPr>
      <w:r w:rsidRPr="0090627E">
        <w:rPr>
          <w:rFonts w:cs="Times New Roman"/>
          <w:i/>
          <w:snapToGrid w:val="0"/>
          <w:kern w:val="22"/>
          <w:lang w:val="fr-FR"/>
        </w:rPr>
        <w:t xml:space="preserve">Reconnaissant </w:t>
      </w:r>
      <w:r>
        <w:rPr>
          <w:rFonts w:cs="Times New Roman"/>
          <w:snapToGrid w:val="0"/>
          <w:kern w:val="22"/>
          <w:lang w:val="fr-FR"/>
        </w:rPr>
        <w:t xml:space="preserve">le rôle crucial de </w:t>
      </w:r>
      <w:r w:rsidRPr="0090627E">
        <w:rPr>
          <w:rFonts w:cs="Times New Roman"/>
          <w:snapToGrid w:val="0"/>
          <w:kern w:val="22"/>
          <w:lang w:val="fr-FR"/>
        </w:rPr>
        <w:t xml:space="preserve">la biodiversité et des services </w:t>
      </w:r>
      <w:r>
        <w:rPr>
          <w:rFonts w:cs="Times New Roman"/>
          <w:snapToGrid w:val="0"/>
          <w:kern w:val="22"/>
          <w:lang w:val="fr-FR"/>
        </w:rPr>
        <w:t>et fonctions écosystémiques pour le bien-être humain</w:t>
      </w:r>
      <w:r w:rsidRPr="0090627E">
        <w:rPr>
          <w:rFonts w:cs="Times New Roman"/>
          <w:snapToGrid w:val="0"/>
          <w:kern w:val="22"/>
          <w:lang w:val="fr-FR"/>
        </w:rPr>
        <w:t>,</w:t>
      </w:r>
    </w:p>
    <w:p w:rsidR="009F6935" w:rsidRPr="0090627E"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sidRPr="0090627E">
        <w:rPr>
          <w:rFonts w:cs="Times New Roman"/>
          <w:i/>
          <w:snapToGrid w:val="0"/>
          <w:kern w:val="22"/>
          <w:lang w:val="fr-FR"/>
        </w:rPr>
        <w:t>Profondément préoccupée</w:t>
      </w:r>
      <w:r>
        <w:rPr>
          <w:rFonts w:cs="Times New Roman"/>
          <w:snapToGrid w:val="0"/>
          <w:kern w:val="22"/>
          <w:lang w:val="fr-FR"/>
        </w:rPr>
        <w:t xml:space="preserve"> par le fait que l’incapacité à contenir l’élévation de la tempé</w:t>
      </w:r>
      <w:r w:rsidRPr="0090627E">
        <w:rPr>
          <w:rFonts w:cs="Times New Roman"/>
          <w:snapToGrid w:val="0"/>
          <w:kern w:val="22"/>
          <w:lang w:val="fr-FR"/>
        </w:rPr>
        <w:t>rature moy</w:t>
      </w:r>
      <w:r>
        <w:rPr>
          <w:rFonts w:cs="Times New Roman"/>
          <w:snapToGrid w:val="0"/>
          <w:kern w:val="22"/>
          <w:lang w:val="fr-FR"/>
        </w:rPr>
        <w:t xml:space="preserve">enne de la planète nettement en dessous de </w:t>
      </w:r>
      <w:r w:rsidRPr="0090627E">
        <w:rPr>
          <w:rFonts w:cs="Times New Roman"/>
          <w:snapToGrid w:val="0"/>
          <w:kern w:val="22"/>
          <w:lang w:val="fr-FR"/>
        </w:rPr>
        <w:t xml:space="preserve">2°C </w:t>
      </w:r>
      <w:r>
        <w:rPr>
          <w:rFonts w:cs="Times New Roman"/>
          <w:snapToGrid w:val="0"/>
          <w:kern w:val="22"/>
          <w:lang w:val="fr-FR"/>
        </w:rPr>
        <w:t>par rapport aux niveaux préindustriels placera de nombreuses espèces et écosystè</w:t>
      </w:r>
      <w:r w:rsidRPr="0090627E">
        <w:rPr>
          <w:rFonts w:cs="Times New Roman"/>
          <w:snapToGrid w:val="0"/>
          <w:kern w:val="22"/>
          <w:lang w:val="fr-FR"/>
        </w:rPr>
        <w:t>m</w:t>
      </w:r>
      <w:r>
        <w:rPr>
          <w:rFonts w:cs="Times New Roman"/>
          <w:snapToGrid w:val="0"/>
          <w:kern w:val="22"/>
          <w:lang w:val="fr-FR"/>
        </w:rPr>
        <w:t>e</w:t>
      </w:r>
      <w:r w:rsidRPr="0090627E">
        <w:rPr>
          <w:rFonts w:cs="Times New Roman"/>
          <w:snapToGrid w:val="0"/>
          <w:kern w:val="22"/>
          <w:lang w:val="fr-FR"/>
        </w:rPr>
        <w:t>s</w:t>
      </w:r>
      <w:r>
        <w:rPr>
          <w:rFonts w:cs="Times New Roman"/>
          <w:snapToGrid w:val="0"/>
          <w:kern w:val="22"/>
          <w:lang w:val="fr-FR"/>
        </w:rPr>
        <w:t xml:space="preserve"> disposant de capacités </w:t>
      </w:r>
      <w:r w:rsidRPr="0090627E">
        <w:rPr>
          <w:rFonts w:cs="Times New Roman"/>
          <w:snapToGrid w:val="0"/>
          <w:kern w:val="22"/>
          <w:lang w:val="fr-FR"/>
        </w:rPr>
        <w:t>adap</w:t>
      </w:r>
      <w:r>
        <w:rPr>
          <w:rFonts w:cs="Times New Roman"/>
          <w:snapToGrid w:val="0"/>
          <w:kern w:val="22"/>
          <w:lang w:val="fr-FR"/>
        </w:rPr>
        <w:t>ta</w:t>
      </w:r>
      <w:r w:rsidRPr="0090627E">
        <w:rPr>
          <w:rFonts w:cs="Times New Roman"/>
          <w:snapToGrid w:val="0"/>
          <w:kern w:val="22"/>
          <w:lang w:val="fr-FR"/>
        </w:rPr>
        <w:t>tive</w:t>
      </w:r>
      <w:r>
        <w:rPr>
          <w:rFonts w:cs="Times New Roman"/>
          <w:snapToGrid w:val="0"/>
          <w:kern w:val="22"/>
          <w:lang w:val="fr-FR"/>
        </w:rPr>
        <w:t>s limitées dans une situation à très haut risque</w:t>
      </w:r>
      <w:r w:rsidRPr="0090627E">
        <w:rPr>
          <w:rFonts w:cs="Times New Roman"/>
          <w:snapToGrid w:val="0"/>
          <w:kern w:val="22"/>
          <w:lang w:val="fr-FR"/>
        </w:rPr>
        <w:t>,</w:t>
      </w:r>
    </w:p>
    <w:p w:rsidR="009F6935" w:rsidRPr="00384495"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Pr>
          <w:rFonts w:cs="Times New Roman"/>
          <w:i/>
          <w:snapToGrid w:val="0"/>
          <w:kern w:val="22"/>
          <w:lang w:val="fr-FR"/>
        </w:rPr>
        <w:t>Reconnais</w:t>
      </w:r>
      <w:r w:rsidRPr="00384495">
        <w:rPr>
          <w:rFonts w:cs="Times New Roman"/>
          <w:i/>
          <w:snapToGrid w:val="0"/>
          <w:kern w:val="22"/>
          <w:lang w:val="fr-FR"/>
        </w:rPr>
        <w:t>sant</w:t>
      </w:r>
      <w:r w:rsidRPr="00384495">
        <w:rPr>
          <w:rFonts w:cs="Times New Roman"/>
          <w:snapToGrid w:val="0"/>
          <w:kern w:val="22"/>
          <w:lang w:val="fr-FR"/>
        </w:rPr>
        <w:t xml:space="preserve"> qu</w:t>
      </w:r>
      <w:r>
        <w:rPr>
          <w:rFonts w:cs="Times New Roman"/>
          <w:snapToGrid w:val="0"/>
          <w:kern w:val="22"/>
          <w:lang w:val="fr-FR"/>
        </w:rPr>
        <w:t xml:space="preserve">e </w:t>
      </w:r>
      <w:r w:rsidRPr="00384495">
        <w:rPr>
          <w:rFonts w:cs="Times New Roman"/>
          <w:snapToGrid w:val="0"/>
          <w:kern w:val="22"/>
          <w:lang w:val="fr-FR"/>
        </w:rPr>
        <w:t>pour limiter l’</w:t>
      </w:r>
      <w:r>
        <w:rPr>
          <w:rFonts w:cs="Times New Roman"/>
          <w:snapToGrid w:val="0"/>
          <w:kern w:val="22"/>
          <w:lang w:val="fr-FR"/>
        </w:rPr>
        <w:t>élévation de la</w:t>
      </w:r>
      <w:r w:rsidRPr="00384495">
        <w:rPr>
          <w:rFonts w:cs="Times New Roman"/>
          <w:snapToGrid w:val="0"/>
          <w:kern w:val="22"/>
          <w:lang w:val="fr-FR"/>
        </w:rPr>
        <w:t xml:space="preserve"> </w:t>
      </w:r>
      <w:r>
        <w:rPr>
          <w:rFonts w:cs="Times New Roman"/>
          <w:snapToGrid w:val="0"/>
          <w:kern w:val="22"/>
          <w:lang w:val="fr-FR"/>
        </w:rPr>
        <w:t>température moyenne de la planète</w:t>
      </w:r>
      <w:r w:rsidRPr="00384495">
        <w:rPr>
          <w:rFonts w:cs="Times New Roman"/>
          <w:snapToGrid w:val="0"/>
          <w:kern w:val="22"/>
          <w:lang w:val="fr-FR"/>
        </w:rPr>
        <w:t xml:space="preserve"> à 1,5°C plutôt qu’à</w:t>
      </w:r>
      <w:r>
        <w:rPr>
          <w:rFonts w:cs="Times New Roman"/>
          <w:snapToGrid w:val="0"/>
          <w:kern w:val="22"/>
          <w:lang w:val="fr-FR"/>
        </w:rPr>
        <w:t xml:space="preserve"> 2°C par rapport aux niveaux préindustrie</w:t>
      </w:r>
      <w:r w:rsidRPr="00384495">
        <w:rPr>
          <w:rFonts w:cs="Times New Roman"/>
          <w:snapToGrid w:val="0"/>
          <w:kern w:val="22"/>
          <w:lang w:val="fr-FR"/>
        </w:rPr>
        <w:t>l</w:t>
      </w:r>
      <w:r>
        <w:rPr>
          <w:rFonts w:cs="Times New Roman"/>
          <w:snapToGrid w:val="0"/>
          <w:kern w:val="22"/>
          <w:lang w:val="fr-FR"/>
        </w:rPr>
        <w:t>s pourrait réduire les impacts négatifs sur la biodiversité</w:t>
      </w:r>
      <w:r w:rsidRPr="00384495">
        <w:rPr>
          <w:rFonts w:cs="Times New Roman"/>
          <w:snapToGrid w:val="0"/>
          <w:kern w:val="22"/>
          <w:lang w:val="fr-FR"/>
        </w:rPr>
        <w:t xml:space="preserve">, </w:t>
      </w:r>
      <w:r>
        <w:rPr>
          <w:rFonts w:cs="Times New Roman"/>
          <w:snapToGrid w:val="0"/>
          <w:kern w:val="22"/>
          <w:lang w:val="fr-FR"/>
        </w:rPr>
        <w:t>tout particulièrement dans les écosystèmes les plus vulnérable</w:t>
      </w:r>
      <w:r w:rsidRPr="00384495">
        <w:rPr>
          <w:rFonts w:cs="Times New Roman"/>
          <w:snapToGrid w:val="0"/>
          <w:kern w:val="22"/>
          <w:lang w:val="fr-FR"/>
        </w:rPr>
        <w:t>s</w:t>
      </w:r>
      <w:r>
        <w:rPr>
          <w:rFonts w:cs="Times New Roman"/>
          <w:snapToGrid w:val="0"/>
          <w:kern w:val="22"/>
          <w:lang w:val="fr-FR"/>
        </w:rPr>
        <w:t>, tels que les écosystèmes des petites îles et de la région arctique;</w:t>
      </w:r>
    </w:p>
    <w:p w:rsidR="009F6935" w:rsidRPr="00144CB9"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1.</w:t>
      </w:r>
      <w:r w:rsidRPr="00144CB9">
        <w:rPr>
          <w:rFonts w:cs="Times New Roman"/>
          <w:snapToGrid w:val="0"/>
          <w:kern w:val="22"/>
          <w:lang w:val="fr-FR"/>
        </w:rPr>
        <w:tab/>
      </w:r>
      <w:r w:rsidRPr="00144CB9">
        <w:rPr>
          <w:rFonts w:cs="Times New Roman"/>
          <w:i/>
          <w:snapToGrid w:val="0"/>
          <w:kern w:val="22"/>
          <w:lang w:val="fr-FR"/>
        </w:rPr>
        <w:t>Adopt</w:t>
      </w:r>
      <w:r>
        <w:rPr>
          <w:rFonts w:cs="Times New Roman"/>
          <w:i/>
          <w:snapToGrid w:val="0"/>
          <w:kern w:val="22"/>
          <w:lang w:val="fr-FR"/>
        </w:rPr>
        <w:t>e</w:t>
      </w:r>
      <w:r>
        <w:rPr>
          <w:rFonts w:cs="Times New Roman"/>
          <w:snapToGrid w:val="0"/>
          <w:kern w:val="22"/>
          <w:lang w:val="fr-FR"/>
        </w:rPr>
        <w:t xml:space="preserve"> les lignes directrices facultatives pour la conception et l’application effective des approches écosystémiques d’adaptation aux changements climatiques et de réduction des risques de catastrophe naturelle, figurant dans l’annexe à la présente décision;</w:t>
      </w:r>
    </w:p>
    <w:p w:rsidR="009F6935" w:rsidRPr="00144CB9"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sidRPr="00144CB9">
        <w:rPr>
          <w:rFonts w:cs="Times New Roman"/>
          <w:snapToGrid w:val="0"/>
          <w:kern w:val="22"/>
          <w:lang w:val="fr-FR"/>
        </w:rPr>
        <w:t>2.</w:t>
      </w:r>
      <w:r w:rsidRPr="00144CB9">
        <w:rPr>
          <w:rFonts w:cs="Times New Roman"/>
          <w:snapToGrid w:val="0"/>
          <w:kern w:val="22"/>
          <w:lang w:val="fr-FR"/>
        </w:rPr>
        <w:tab/>
      </w:r>
      <w:r w:rsidRPr="00144CB9">
        <w:rPr>
          <w:rFonts w:cs="Times New Roman"/>
          <w:i/>
          <w:snapToGrid w:val="0"/>
          <w:kern w:val="22"/>
          <w:lang w:val="fr-FR"/>
        </w:rPr>
        <w:t>Encourage</w:t>
      </w:r>
      <w:r w:rsidRPr="00144CB9">
        <w:rPr>
          <w:rFonts w:cs="Times New Roman"/>
          <w:snapToGrid w:val="0"/>
          <w:kern w:val="22"/>
          <w:lang w:val="fr-FR"/>
        </w:rPr>
        <w:t xml:space="preserve"> </w:t>
      </w:r>
      <w:r>
        <w:rPr>
          <w:rFonts w:cs="Times New Roman"/>
          <w:snapToGrid w:val="0"/>
          <w:kern w:val="22"/>
          <w:lang w:val="fr-FR"/>
        </w:rPr>
        <w:t xml:space="preserve">les </w:t>
      </w:r>
      <w:r w:rsidRPr="00144CB9">
        <w:rPr>
          <w:rFonts w:cs="Times New Roman"/>
          <w:snapToGrid w:val="0"/>
          <w:kern w:val="22"/>
          <w:lang w:val="fr-FR"/>
        </w:rPr>
        <w:t xml:space="preserve">Parties, </w:t>
      </w:r>
      <w:r>
        <w:rPr>
          <w:rFonts w:cs="Times New Roman"/>
          <w:snapToGrid w:val="0"/>
          <w:kern w:val="22"/>
          <w:lang w:val="fr-FR"/>
        </w:rPr>
        <w:t>les autres gouvernements et les organisations compétentes, compte tenu des priorités, des circonstances et des capacités nationales, à utiliser les lignes directrices facultatives, conformément à l’approche écosystémique</w:t>
      </w:r>
      <w:r w:rsidRPr="00010EA0">
        <w:rPr>
          <w:rStyle w:val="FootnoteReference"/>
          <w:rFonts w:cs="Times New Roman"/>
          <w:snapToGrid w:val="0"/>
          <w:kern w:val="22"/>
          <w:sz w:val="20"/>
          <w:szCs w:val="20"/>
          <w:u w:val="none"/>
          <w:vertAlign w:val="superscript"/>
          <w:lang w:val="fr-FR"/>
        </w:rPr>
        <w:footnoteReference w:id="85"/>
      </w:r>
      <w:r>
        <w:rPr>
          <w:rFonts w:cs="Times New Roman"/>
          <w:snapToGrid w:val="0"/>
          <w:kern w:val="22"/>
          <w:lang w:val="fr-FR"/>
        </w:rPr>
        <w:t>, lors de la conception et de la mise en œuvre des approches écosystémiques d’adaptation aux changements climatiques et de réduction des risques de catastrophe naturelle, en reconnaissant que ceci peut aussi contribuer à l’atténuation des changements climatiques;</w:t>
      </w:r>
    </w:p>
    <w:p w:rsidR="009F6935" w:rsidRDefault="009F6935" w:rsidP="009F693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344685">
        <w:rPr>
          <w:kern w:val="22"/>
          <w:szCs w:val="22"/>
          <w:lang w:val="fr-FR"/>
        </w:rPr>
        <w:t>3.</w:t>
      </w:r>
      <w:r w:rsidRPr="00344685">
        <w:rPr>
          <w:kern w:val="22"/>
          <w:szCs w:val="22"/>
          <w:lang w:val="fr-FR"/>
        </w:rPr>
        <w:tab/>
      </w:r>
      <w:r w:rsidRPr="00344685">
        <w:rPr>
          <w:i/>
          <w:kern w:val="22"/>
          <w:szCs w:val="22"/>
          <w:lang w:val="fr-FR"/>
        </w:rPr>
        <w:t>Encourage</w:t>
      </w:r>
      <w:r w:rsidRPr="00344685">
        <w:rPr>
          <w:kern w:val="22"/>
          <w:szCs w:val="22"/>
          <w:lang w:val="fr-FR"/>
        </w:rPr>
        <w:t xml:space="preserve"> également les Parties, </w:t>
      </w:r>
      <w:r w:rsidRPr="00344685">
        <w:rPr>
          <w:kern w:val="22"/>
          <w:lang w:val="fr-FR"/>
        </w:rPr>
        <w:t>les autres gouvernements et les organisations compétentes,</w:t>
      </w:r>
      <w:r>
        <w:rPr>
          <w:kern w:val="22"/>
          <w:lang w:val="fr-FR"/>
        </w:rPr>
        <w:t xml:space="preserve"> lors de la</w:t>
      </w:r>
      <w:r w:rsidRPr="00344685">
        <w:rPr>
          <w:kern w:val="22"/>
          <w:lang w:val="fr-FR"/>
        </w:rPr>
        <w:t xml:space="preserve"> </w:t>
      </w:r>
      <w:r>
        <w:rPr>
          <w:kern w:val="22"/>
          <w:lang w:val="fr-FR"/>
        </w:rPr>
        <w:t>conception, de l’application et du suivi des approches écosystémiques d’adaptation aux changements climatiques et de réduction des risques de catastrophe naturelle,</w:t>
      </w:r>
      <w:r>
        <w:rPr>
          <w:kern w:val="22"/>
          <w:szCs w:val="22"/>
          <w:lang w:val="fr-FR"/>
        </w:rPr>
        <w:t xml:space="preserve"> à </w:t>
      </w:r>
      <w:r w:rsidRPr="00344685">
        <w:rPr>
          <w:kern w:val="22"/>
          <w:szCs w:val="22"/>
          <w:lang w:val="fr-FR"/>
        </w:rPr>
        <w:t>:</w:t>
      </w:r>
    </w:p>
    <w:p w:rsidR="009F6935" w:rsidRPr="00344685"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a)</w:t>
      </w:r>
      <w:r>
        <w:rPr>
          <w:snapToGrid w:val="0"/>
          <w:kern w:val="22"/>
          <w:szCs w:val="22"/>
          <w:lang w:val="fr-FR"/>
        </w:rPr>
        <w:tab/>
        <w:t>Entreprendre ces activités a</w:t>
      </w:r>
      <w:r w:rsidRPr="00344685">
        <w:rPr>
          <w:snapToGrid w:val="0"/>
          <w:kern w:val="22"/>
          <w:szCs w:val="22"/>
          <w:lang w:val="fr-FR"/>
        </w:rPr>
        <w:t xml:space="preserve">vec la participation pleine et </w:t>
      </w:r>
      <w:r>
        <w:rPr>
          <w:snapToGrid w:val="0"/>
          <w:kern w:val="22"/>
          <w:szCs w:val="22"/>
          <w:lang w:val="fr-FR"/>
        </w:rPr>
        <w:t>entière</w:t>
      </w:r>
      <w:r w:rsidRPr="00344685">
        <w:rPr>
          <w:snapToGrid w:val="0"/>
          <w:kern w:val="22"/>
          <w:szCs w:val="22"/>
          <w:lang w:val="fr-FR"/>
        </w:rPr>
        <w:t xml:space="preserve"> des </w:t>
      </w:r>
      <w:r>
        <w:rPr>
          <w:snapToGrid w:val="0"/>
          <w:kern w:val="22"/>
          <w:szCs w:val="22"/>
          <w:lang w:val="fr-FR"/>
        </w:rPr>
        <w:t>peu</w:t>
      </w:r>
      <w:r w:rsidRPr="00344685">
        <w:rPr>
          <w:snapToGrid w:val="0"/>
          <w:kern w:val="22"/>
          <w:szCs w:val="22"/>
          <w:lang w:val="fr-FR"/>
        </w:rPr>
        <w:t xml:space="preserve">ples autochtones et des </w:t>
      </w:r>
      <w:r>
        <w:rPr>
          <w:snapToGrid w:val="0"/>
          <w:kern w:val="22"/>
          <w:szCs w:val="22"/>
          <w:lang w:val="fr-FR"/>
        </w:rPr>
        <w:t>communautés locales, y compris des femmes et d</w:t>
      </w:r>
      <w:r w:rsidRPr="00344685">
        <w:rPr>
          <w:snapToGrid w:val="0"/>
          <w:kern w:val="22"/>
          <w:szCs w:val="22"/>
          <w:lang w:val="fr-FR"/>
        </w:rPr>
        <w:t>es jeunes autochtones, en recon</w:t>
      </w:r>
      <w:r>
        <w:rPr>
          <w:snapToGrid w:val="0"/>
          <w:kern w:val="22"/>
          <w:szCs w:val="22"/>
          <w:lang w:val="fr-FR"/>
        </w:rPr>
        <w:t>naissant et en soutenant adé</w:t>
      </w:r>
      <w:r w:rsidRPr="00344685">
        <w:rPr>
          <w:snapToGrid w:val="0"/>
          <w:kern w:val="22"/>
          <w:szCs w:val="22"/>
          <w:lang w:val="fr-FR"/>
        </w:rPr>
        <w:t>quate</w:t>
      </w:r>
      <w:r>
        <w:rPr>
          <w:snapToGrid w:val="0"/>
          <w:kern w:val="22"/>
          <w:szCs w:val="22"/>
          <w:lang w:val="fr-FR"/>
        </w:rPr>
        <w:t>ment</w:t>
      </w:r>
      <w:r w:rsidRPr="00344685">
        <w:rPr>
          <w:snapToGrid w:val="0"/>
          <w:kern w:val="22"/>
          <w:szCs w:val="22"/>
          <w:lang w:val="fr-FR"/>
        </w:rPr>
        <w:t xml:space="preserve"> la go</w:t>
      </w:r>
      <w:r>
        <w:rPr>
          <w:snapToGrid w:val="0"/>
          <w:kern w:val="22"/>
          <w:szCs w:val="22"/>
          <w:lang w:val="fr-FR"/>
        </w:rPr>
        <w:t xml:space="preserve">uvernance, la gestion et la </w:t>
      </w:r>
      <w:r w:rsidRPr="00344685">
        <w:rPr>
          <w:snapToGrid w:val="0"/>
          <w:kern w:val="22"/>
          <w:szCs w:val="22"/>
          <w:lang w:val="fr-FR"/>
        </w:rPr>
        <w:t xml:space="preserve">conservation </w:t>
      </w:r>
      <w:r>
        <w:rPr>
          <w:snapToGrid w:val="0"/>
          <w:kern w:val="22"/>
          <w:szCs w:val="22"/>
          <w:lang w:val="fr-FR"/>
        </w:rPr>
        <w:t>des territoires et des zones appartenant aux</w:t>
      </w:r>
      <w:r w:rsidRPr="00344685">
        <w:rPr>
          <w:snapToGrid w:val="0"/>
          <w:kern w:val="22"/>
          <w:szCs w:val="22"/>
          <w:lang w:val="fr-FR"/>
        </w:rPr>
        <w:t xml:space="preserve"> </w:t>
      </w:r>
      <w:r>
        <w:rPr>
          <w:snapToGrid w:val="0"/>
          <w:kern w:val="22"/>
          <w:szCs w:val="22"/>
          <w:lang w:val="fr-FR"/>
        </w:rPr>
        <w:t>peu</w:t>
      </w:r>
      <w:r w:rsidRPr="00344685">
        <w:rPr>
          <w:snapToGrid w:val="0"/>
          <w:kern w:val="22"/>
          <w:szCs w:val="22"/>
          <w:lang w:val="fr-FR"/>
        </w:rPr>
        <w:t xml:space="preserve">ples </w:t>
      </w:r>
      <w:r>
        <w:rPr>
          <w:snapToGrid w:val="0"/>
          <w:kern w:val="22"/>
          <w:szCs w:val="22"/>
          <w:lang w:val="fr-FR"/>
        </w:rPr>
        <w:t>autochtones et communautés locales; favoriser des activités menées par les peuples autochtones et les communautés locales au niveau local; inclure la prise en compte et l’intégration des connaissances, pratiques et institutions autochtones et traditionnelles, sous réserve du consentement préalable, donné librement et en connaissance des peuples autochtone</w:t>
      </w:r>
      <w:r w:rsidRPr="00344685">
        <w:rPr>
          <w:snapToGrid w:val="0"/>
          <w:kern w:val="22"/>
          <w:szCs w:val="22"/>
          <w:lang w:val="fr-FR"/>
        </w:rPr>
        <w:t>s</w:t>
      </w:r>
      <w:r>
        <w:rPr>
          <w:snapToGrid w:val="0"/>
          <w:kern w:val="22"/>
          <w:szCs w:val="22"/>
          <w:lang w:val="fr-FR"/>
        </w:rPr>
        <w:t xml:space="preserve"> et des communautés locales, selon qu’il convient et conformément aux politiques générales, aux réglementations et aux circonstances nationales</w:t>
      </w:r>
      <w:r w:rsidRPr="00344685">
        <w:rPr>
          <w:snapToGrid w:val="0"/>
          <w:kern w:val="22"/>
          <w:szCs w:val="22"/>
          <w:lang w:val="fr-FR"/>
        </w:rPr>
        <w:t>;</w:t>
      </w:r>
    </w:p>
    <w:p w:rsidR="009F6935" w:rsidRPr="00344685"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b)</w:t>
      </w:r>
      <w:r>
        <w:rPr>
          <w:snapToGrid w:val="0"/>
          <w:kern w:val="22"/>
          <w:szCs w:val="22"/>
          <w:lang w:val="fr-FR"/>
        </w:rPr>
        <w:tab/>
        <w:t>V</w:t>
      </w:r>
      <w:r w:rsidRPr="00344685">
        <w:rPr>
          <w:snapToGrid w:val="0"/>
          <w:kern w:val="22"/>
          <w:szCs w:val="22"/>
          <w:lang w:val="fr-FR"/>
        </w:rPr>
        <w:t xml:space="preserve">eiller à ce que les activités entreprises ne contribuent pas aux facteurs d’érosion </w:t>
      </w:r>
      <w:r>
        <w:rPr>
          <w:snapToGrid w:val="0"/>
          <w:kern w:val="22"/>
          <w:szCs w:val="22"/>
          <w:lang w:val="fr-FR"/>
        </w:rPr>
        <w:t xml:space="preserve">et de détérioration </w:t>
      </w:r>
      <w:r w:rsidRPr="00344685">
        <w:rPr>
          <w:snapToGrid w:val="0"/>
          <w:kern w:val="22"/>
          <w:szCs w:val="22"/>
          <w:lang w:val="fr-FR"/>
        </w:rPr>
        <w:t>de la biodiversité</w:t>
      </w:r>
      <w:r>
        <w:rPr>
          <w:snapToGrid w:val="0"/>
          <w:kern w:val="22"/>
          <w:szCs w:val="22"/>
          <w:lang w:val="fr-FR"/>
        </w:rPr>
        <w:t xml:space="preserve"> et des écosystèmes</w:t>
      </w:r>
      <w:r w:rsidRPr="00344685">
        <w:rPr>
          <w:snapToGrid w:val="0"/>
          <w:kern w:val="22"/>
          <w:szCs w:val="22"/>
          <w:lang w:val="fr-FR"/>
        </w:rPr>
        <w:t xml:space="preserve">, </w:t>
      </w:r>
      <w:r>
        <w:rPr>
          <w:snapToGrid w:val="0"/>
          <w:kern w:val="22"/>
          <w:szCs w:val="22"/>
          <w:lang w:val="fr-FR"/>
        </w:rPr>
        <w:t>tels que l’</w:t>
      </w:r>
      <w:r w:rsidRPr="00344685">
        <w:rPr>
          <w:snapToGrid w:val="0"/>
          <w:kern w:val="22"/>
          <w:szCs w:val="22"/>
          <w:lang w:val="fr-FR"/>
        </w:rPr>
        <w:t xml:space="preserve">introduction </w:t>
      </w:r>
      <w:r>
        <w:rPr>
          <w:snapToGrid w:val="0"/>
          <w:kern w:val="22"/>
          <w:szCs w:val="22"/>
          <w:lang w:val="fr-FR"/>
        </w:rPr>
        <w:t xml:space="preserve">d’espèces exotiques envahissantes, ou une exploitation forestière et une </w:t>
      </w:r>
      <w:r w:rsidRPr="00344685">
        <w:rPr>
          <w:snapToGrid w:val="0"/>
          <w:kern w:val="22"/>
          <w:szCs w:val="22"/>
          <w:lang w:val="fr-FR"/>
        </w:rPr>
        <w:t>agriculture</w:t>
      </w:r>
      <w:r>
        <w:rPr>
          <w:snapToGrid w:val="0"/>
          <w:kern w:val="22"/>
          <w:szCs w:val="22"/>
          <w:lang w:val="fr-FR"/>
        </w:rPr>
        <w:t xml:space="preserve"> non durables, entre autres</w:t>
      </w:r>
      <w:r w:rsidRPr="00344685">
        <w:rPr>
          <w:snapToGrid w:val="0"/>
          <w:kern w:val="22"/>
          <w:szCs w:val="22"/>
          <w:lang w:val="fr-FR"/>
        </w:rPr>
        <w:t>;</w:t>
      </w:r>
    </w:p>
    <w:p w:rsidR="009F6935" w:rsidRPr="004724A4"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4724A4">
        <w:rPr>
          <w:snapToGrid w:val="0"/>
          <w:kern w:val="22"/>
          <w:szCs w:val="22"/>
          <w:lang w:val="fr-FR"/>
        </w:rPr>
        <w:t>c)</w:t>
      </w:r>
      <w:r w:rsidRPr="004724A4">
        <w:rPr>
          <w:snapToGrid w:val="0"/>
          <w:kern w:val="22"/>
          <w:szCs w:val="22"/>
          <w:lang w:val="fr-FR"/>
        </w:rPr>
        <w:tab/>
      </w:r>
      <w:r>
        <w:rPr>
          <w:snapToGrid w:val="0"/>
          <w:kern w:val="22"/>
          <w:szCs w:val="22"/>
          <w:lang w:val="fr-FR"/>
        </w:rPr>
        <w:t>Prendre en compte</w:t>
      </w:r>
      <w:r w:rsidRPr="004724A4">
        <w:rPr>
          <w:snapToGrid w:val="0"/>
          <w:kern w:val="22"/>
          <w:szCs w:val="22"/>
          <w:lang w:val="fr-FR"/>
        </w:rPr>
        <w:t xml:space="preserve"> les </w:t>
      </w:r>
      <w:r>
        <w:rPr>
          <w:snapToGrid w:val="0"/>
          <w:kern w:val="22"/>
          <w:szCs w:val="22"/>
          <w:lang w:val="fr-FR"/>
        </w:rPr>
        <w:t>appro</w:t>
      </w:r>
      <w:r w:rsidRPr="004724A4">
        <w:rPr>
          <w:snapToGrid w:val="0"/>
          <w:kern w:val="22"/>
          <w:szCs w:val="22"/>
          <w:lang w:val="fr-FR"/>
        </w:rPr>
        <w:t xml:space="preserve">ches transfrontalières au niveau </w:t>
      </w:r>
      <w:r>
        <w:rPr>
          <w:snapToGrid w:val="0"/>
          <w:kern w:val="22"/>
          <w:szCs w:val="22"/>
          <w:lang w:val="fr-FR"/>
        </w:rPr>
        <w:t>régional</w:t>
      </w:r>
      <w:r w:rsidRPr="004724A4">
        <w:rPr>
          <w:snapToGrid w:val="0"/>
          <w:kern w:val="22"/>
          <w:szCs w:val="22"/>
          <w:lang w:val="fr-FR"/>
        </w:rPr>
        <w:t>;</w:t>
      </w:r>
    </w:p>
    <w:p w:rsidR="009F6935" w:rsidRPr="004724A4"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4724A4">
        <w:rPr>
          <w:snapToGrid w:val="0"/>
          <w:kern w:val="22"/>
          <w:szCs w:val="22"/>
          <w:lang w:val="fr-FR"/>
        </w:rPr>
        <w:lastRenderedPageBreak/>
        <w:t>d)</w:t>
      </w:r>
      <w:r w:rsidRPr="004724A4">
        <w:rPr>
          <w:snapToGrid w:val="0"/>
          <w:kern w:val="22"/>
          <w:szCs w:val="22"/>
          <w:lang w:val="fr-FR"/>
        </w:rPr>
        <w:tab/>
      </w:r>
      <w:r>
        <w:rPr>
          <w:snapToGrid w:val="0"/>
          <w:kern w:val="22"/>
          <w:szCs w:val="22"/>
          <w:lang w:val="fr-FR"/>
        </w:rPr>
        <w:t>R</w:t>
      </w:r>
      <w:r w:rsidRPr="004724A4">
        <w:rPr>
          <w:snapToGrid w:val="0"/>
          <w:kern w:val="22"/>
          <w:szCs w:val="22"/>
          <w:lang w:val="fr-FR"/>
        </w:rPr>
        <w:t xml:space="preserve">enforcer les synergies </w:t>
      </w:r>
      <w:r>
        <w:rPr>
          <w:snapToGrid w:val="0"/>
          <w:kern w:val="22"/>
          <w:szCs w:val="22"/>
          <w:lang w:val="fr-FR"/>
        </w:rPr>
        <w:t>entre différentes politiques générales et stratégies de mise en œuvre</w:t>
      </w:r>
      <w:r w:rsidRPr="004724A4">
        <w:rPr>
          <w:snapToGrid w:val="0"/>
          <w:kern w:val="22"/>
          <w:szCs w:val="22"/>
          <w:lang w:val="fr-FR"/>
        </w:rPr>
        <w:t>;</w:t>
      </w:r>
    </w:p>
    <w:p w:rsidR="009F6935" w:rsidRPr="004724A4"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4724A4">
        <w:rPr>
          <w:snapToGrid w:val="0"/>
          <w:kern w:val="22"/>
          <w:szCs w:val="22"/>
          <w:lang w:val="fr-FR"/>
        </w:rPr>
        <w:t>e)</w:t>
      </w:r>
      <w:r w:rsidRPr="004724A4">
        <w:rPr>
          <w:snapToGrid w:val="0"/>
          <w:kern w:val="22"/>
          <w:szCs w:val="22"/>
          <w:lang w:val="fr-FR"/>
        </w:rPr>
        <w:tab/>
      </w:r>
      <w:r>
        <w:rPr>
          <w:snapToGrid w:val="0"/>
          <w:kern w:val="22"/>
          <w:szCs w:val="22"/>
          <w:lang w:val="fr-FR"/>
        </w:rPr>
        <w:t>A</w:t>
      </w:r>
      <w:r w:rsidRPr="004724A4">
        <w:rPr>
          <w:snapToGrid w:val="0"/>
          <w:kern w:val="22"/>
          <w:szCs w:val="22"/>
          <w:lang w:val="fr-FR"/>
        </w:rPr>
        <w:t>ssurer une participation plus large des organisations de la société civile</w:t>
      </w:r>
      <w:r>
        <w:rPr>
          <w:snapToGrid w:val="0"/>
          <w:kern w:val="22"/>
          <w:szCs w:val="22"/>
          <w:lang w:val="fr-FR"/>
        </w:rPr>
        <w:t>, du secteur privé</w:t>
      </w:r>
      <w:r w:rsidRPr="004724A4">
        <w:rPr>
          <w:snapToGrid w:val="0"/>
          <w:kern w:val="22"/>
          <w:szCs w:val="22"/>
          <w:lang w:val="fr-FR"/>
        </w:rPr>
        <w:t xml:space="preserve"> et d’</w:t>
      </w:r>
      <w:r>
        <w:rPr>
          <w:snapToGrid w:val="0"/>
          <w:kern w:val="22"/>
          <w:szCs w:val="22"/>
          <w:lang w:val="fr-FR"/>
        </w:rPr>
        <w:t>autres acteurs essentiels</w:t>
      </w:r>
      <w:r w:rsidRPr="004724A4">
        <w:rPr>
          <w:snapToGrid w:val="0"/>
          <w:kern w:val="22"/>
          <w:szCs w:val="22"/>
          <w:lang w:val="fr-FR"/>
        </w:rPr>
        <w:t>;</w:t>
      </w:r>
    </w:p>
    <w:p w:rsidR="009F6935" w:rsidRPr="004724A4" w:rsidRDefault="009F6935" w:rsidP="009F6935">
      <w:pPr>
        <w:suppressLineNumbers/>
        <w:suppressAutoHyphens/>
        <w:kinsoku w:val="0"/>
        <w:overflowPunct w:val="0"/>
        <w:autoSpaceDE w:val="0"/>
        <w:autoSpaceDN w:val="0"/>
        <w:adjustRightInd w:val="0"/>
        <w:snapToGrid w:val="0"/>
        <w:spacing w:after="240"/>
        <w:ind w:firstLine="720"/>
        <w:rPr>
          <w:snapToGrid w:val="0"/>
          <w:kern w:val="22"/>
          <w:szCs w:val="22"/>
          <w:lang w:val="fr-FR"/>
        </w:rPr>
      </w:pPr>
      <w:r w:rsidRPr="004724A4">
        <w:rPr>
          <w:snapToGrid w:val="0"/>
          <w:kern w:val="22"/>
          <w:szCs w:val="22"/>
          <w:lang w:val="fr-FR"/>
        </w:rPr>
        <w:t>f)</w:t>
      </w:r>
      <w:r w:rsidRPr="004724A4">
        <w:rPr>
          <w:snapToGrid w:val="0"/>
          <w:kern w:val="22"/>
          <w:szCs w:val="22"/>
          <w:lang w:val="fr-FR"/>
        </w:rPr>
        <w:tab/>
      </w:r>
      <w:r>
        <w:rPr>
          <w:snapToGrid w:val="0"/>
          <w:kern w:val="22"/>
          <w:szCs w:val="22"/>
          <w:lang w:val="fr-FR"/>
        </w:rPr>
        <w:t>E</w:t>
      </w:r>
      <w:r w:rsidRPr="004724A4">
        <w:rPr>
          <w:snapToGrid w:val="0"/>
          <w:kern w:val="22"/>
          <w:szCs w:val="22"/>
          <w:lang w:val="fr-FR"/>
        </w:rPr>
        <w:t xml:space="preserve">ncourager, selon qu’il convient, des activités réalisées au niveau local </w:t>
      </w:r>
      <w:r>
        <w:rPr>
          <w:snapToGrid w:val="0"/>
          <w:kern w:val="22"/>
          <w:szCs w:val="22"/>
          <w:lang w:val="fr-FR"/>
        </w:rPr>
        <w:t>qui soutiennent des groupes vulnérables, notamment les femmes, les enfants et les personnes âgées</w:t>
      </w:r>
      <w:r w:rsidRPr="004724A4">
        <w:rPr>
          <w:snapToGrid w:val="0"/>
          <w:kern w:val="22"/>
          <w:szCs w:val="22"/>
          <w:lang w:val="fr-FR"/>
        </w:rPr>
        <w:t>;</w:t>
      </w:r>
    </w:p>
    <w:p w:rsidR="009F6935" w:rsidRPr="004724A4" w:rsidRDefault="009F6935" w:rsidP="009F6935">
      <w:pPr>
        <w:pStyle w:val="Para1"/>
        <w:numPr>
          <w:ilvl w:val="0"/>
          <w:numId w:val="0"/>
        </w:numPr>
        <w:suppressLineNumbers/>
        <w:suppressAutoHyphens/>
        <w:kinsoku w:val="0"/>
        <w:overflowPunct w:val="0"/>
        <w:autoSpaceDE w:val="0"/>
        <w:autoSpaceDN w:val="0"/>
        <w:adjustRightInd w:val="0"/>
        <w:snapToGrid w:val="0"/>
        <w:ind w:firstLine="720"/>
        <w:rPr>
          <w:kern w:val="22"/>
          <w:szCs w:val="22"/>
          <w:lang w:val="fr-FR"/>
        </w:rPr>
      </w:pPr>
      <w:r w:rsidRPr="004724A4">
        <w:rPr>
          <w:kern w:val="22"/>
          <w:szCs w:val="22"/>
          <w:lang w:val="fr-FR"/>
        </w:rPr>
        <w:t>4.</w:t>
      </w:r>
      <w:r w:rsidRPr="004724A4">
        <w:rPr>
          <w:i/>
          <w:kern w:val="22"/>
          <w:szCs w:val="22"/>
          <w:lang w:val="fr-FR"/>
        </w:rPr>
        <w:tab/>
        <w:t>Encourage</w:t>
      </w:r>
      <w:r w:rsidRPr="004724A4">
        <w:rPr>
          <w:kern w:val="22"/>
          <w:szCs w:val="22"/>
          <w:lang w:val="fr-FR"/>
        </w:rPr>
        <w:t xml:space="preserve"> les Parties, en application des décisions </w:t>
      </w:r>
      <w:hyperlink r:id="rId25" w:history="1">
        <w:r w:rsidRPr="00044C63">
          <w:rPr>
            <w:rStyle w:val="Hyperlink"/>
            <w:kern w:val="22"/>
            <w:szCs w:val="22"/>
            <w:lang w:val="fr-FR"/>
          </w:rPr>
          <w:t>IX/16</w:t>
        </w:r>
      </w:hyperlink>
      <w:r w:rsidRPr="004724A4">
        <w:rPr>
          <w:kern w:val="22"/>
          <w:szCs w:val="22"/>
          <w:lang w:val="fr-FR"/>
        </w:rPr>
        <w:t xml:space="preserve">, </w:t>
      </w:r>
      <w:hyperlink r:id="rId26" w:history="1">
        <w:r w:rsidRPr="004724A4">
          <w:rPr>
            <w:rStyle w:val="Hyperlink"/>
            <w:kern w:val="22"/>
            <w:szCs w:val="22"/>
            <w:lang w:val="fr-FR"/>
          </w:rPr>
          <w:t>X/33</w:t>
        </w:r>
      </w:hyperlink>
      <w:r w:rsidRPr="004724A4">
        <w:rPr>
          <w:kern w:val="22"/>
          <w:szCs w:val="22"/>
          <w:lang w:val="fr-FR"/>
        </w:rPr>
        <w:t xml:space="preserve">, </w:t>
      </w:r>
      <w:hyperlink r:id="rId27" w:history="1">
        <w:r w:rsidRPr="00044C63">
          <w:rPr>
            <w:rStyle w:val="Hyperlink"/>
            <w:kern w:val="22"/>
            <w:szCs w:val="22"/>
            <w:lang w:val="fr-FR"/>
          </w:rPr>
          <w:t>XII/20</w:t>
        </w:r>
      </w:hyperlink>
      <w:r w:rsidRPr="004724A4">
        <w:rPr>
          <w:kern w:val="22"/>
          <w:szCs w:val="22"/>
          <w:lang w:val="fr-FR"/>
        </w:rPr>
        <w:t>,</w:t>
      </w:r>
      <w:hyperlink r:id="rId28" w:history="1">
        <w:r w:rsidRPr="004724A4" w:rsidDel="00576FCF">
          <w:rPr>
            <w:rStyle w:val="Hyperlink"/>
            <w:kern w:val="22"/>
            <w:szCs w:val="22"/>
            <w:lang w:val="fr-FR"/>
          </w:rPr>
          <w:t xml:space="preserve"> </w:t>
        </w:r>
        <w:r w:rsidRPr="004724A4">
          <w:rPr>
            <w:rStyle w:val="Hyperlink"/>
            <w:kern w:val="22"/>
            <w:szCs w:val="22"/>
            <w:lang w:val="fr-FR"/>
          </w:rPr>
          <w:t>XIII/4</w:t>
        </w:r>
      </w:hyperlink>
      <w:r w:rsidRPr="004724A4">
        <w:rPr>
          <w:kern w:val="22"/>
          <w:szCs w:val="22"/>
          <w:lang w:val="fr-FR"/>
        </w:rPr>
        <w:t xml:space="preserve"> et </w:t>
      </w:r>
      <w:hyperlink r:id="rId29" w:history="1">
        <w:r w:rsidRPr="00044C63">
          <w:rPr>
            <w:rStyle w:val="Hyperlink"/>
            <w:kern w:val="22"/>
            <w:szCs w:val="22"/>
            <w:lang w:val="fr-FR"/>
          </w:rPr>
          <w:t>XIII/5</w:t>
        </w:r>
      </w:hyperlink>
      <w:r w:rsidRPr="004724A4">
        <w:rPr>
          <w:kern w:val="22"/>
          <w:szCs w:val="22"/>
          <w:lang w:val="fr-FR"/>
        </w:rPr>
        <w:t xml:space="preserve">, </w:t>
      </w:r>
      <w:r>
        <w:rPr>
          <w:kern w:val="22"/>
          <w:szCs w:val="22"/>
          <w:lang w:val="fr-FR"/>
        </w:rPr>
        <w:t xml:space="preserve">à accroître davantage leurs efforts prodigués afin de </w:t>
      </w:r>
      <w:r w:rsidRPr="004724A4">
        <w:rPr>
          <w:kern w:val="22"/>
          <w:szCs w:val="22"/>
          <w:lang w:val="fr-FR"/>
        </w:rPr>
        <w:t>:</w:t>
      </w:r>
    </w:p>
    <w:p w:rsidR="009F6935" w:rsidRPr="00144CB9"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a)</w:t>
      </w:r>
      <w:r w:rsidRPr="00144CB9">
        <w:rPr>
          <w:snapToGrid w:val="0"/>
          <w:kern w:val="22"/>
          <w:szCs w:val="22"/>
          <w:lang w:val="fr-FR"/>
        </w:rPr>
        <w:tab/>
      </w:r>
      <w:r>
        <w:rPr>
          <w:snapToGrid w:val="0"/>
          <w:kern w:val="22"/>
          <w:szCs w:val="22"/>
          <w:lang w:val="fr-FR"/>
        </w:rPr>
        <w:t>Recenser les régions, les écosystèmes et les éléments constitutifs de la biodiversité qui sont ou deviendront vulnérables face aux changements climatiques, et évaluer les menaces et les impacts actuels et futurs sur la biodiversité et sur les moyens de subsistance fondés sur la biodiversité en conséquence des changements climatiques, tout en prenant en compte leur contribution importante à l’adaptation aux changements climatiques et à la réduction des risques de catastrophe naturelle;</w:t>
      </w:r>
    </w:p>
    <w:p w:rsidR="009F6935" w:rsidRPr="00144CB9"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b)</w:t>
      </w:r>
      <w:r w:rsidRPr="00144CB9">
        <w:rPr>
          <w:snapToGrid w:val="0"/>
          <w:kern w:val="22"/>
          <w:szCs w:val="22"/>
          <w:lang w:val="fr-FR"/>
        </w:rPr>
        <w:tab/>
      </w:r>
      <w:r>
        <w:rPr>
          <w:snapToGrid w:val="0"/>
          <w:kern w:val="22"/>
          <w:szCs w:val="22"/>
          <w:lang w:val="fr-FR"/>
        </w:rPr>
        <w:t>Intégrer les préoccupations et les priorités nationales pertinentes liées aux changements climatiques dans les stratégies et plans d’action nationaux pour la diversité biologique, et intégrer les considérations liées à la diversité biologique dans les politiques, stratégies et programmes nationaux sur les changements climatiques;</w:t>
      </w:r>
    </w:p>
    <w:p w:rsidR="009F6935" w:rsidRPr="009F6356"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144CB9">
        <w:rPr>
          <w:snapToGrid w:val="0"/>
          <w:kern w:val="22"/>
          <w:szCs w:val="22"/>
          <w:lang w:val="fr-FR"/>
        </w:rPr>
        <w:t>c)</w:t>
      </w:r>
      <w:r w:rsidRPr="00144CB9">
        <w:rPr>
          <w:snapToGrid w:val="0"/>
          <w:kern w:val="22"/>
          <w:szCs w:val="22"/>
          <w:lang w:val="fr-FR"/>
        </w:rPr>
        <w:tab/>
      </w:r>
      <w:r>
        <w:rPr>
          <w:snapToGrid w:val="0"/>
          <w:kern w:val="22"/>
          <w:szCs w:val="22"/>
          <w:lang w:val="fr-FR"/>
        </w:rPr>
        <w:t>Promouvoir la restauration des écosystèmes et la gestion durable post-restauration;</w:t>
      </w:r>
    </w:p>
    <w:p w:rsidR="009F6935" w:rsidRPr="009F6356"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d</w:t>
      </w:r>
      <w:r w:rsidRPr="009F6356">
        <w:rPr>
          <w:snapToGrid w:val="0"/>
          <w:kern w:val="22"/>
          <w:szCs w:val="22"/>
          <w:lang w:val="fr-FR"/>
        </w:rPr>
        <w:t>)</w:t>
      </w:r>
      <w:r>
        <w:rPr>
          <w:snapToGrid w:val="0"/>
          <w:kern w:val="22"/>
          <w:szCs w:val="22"/>
          <w:lang w:val="fr-FR"/>
        </w:rPr>
        <w:tab/>
        <w:t>Prendre des mesures appropriées pour gérer et réduire les impacts négatifs des changements climatiques, et pour renforcer les impacts positifs et réduire les effets négatifs des activités d’atténuation et d’adaptation aux changements climatiques sur les services et fonctions écosystémiques, la diversité biologique et les moyens de subsistance fondés sur celle-ci;</w:t>
      </w:r>
    </w:p>
    <w:p w:rsidR="009F6935" w:rsidRPr="009F6356"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Pr>
          <w:snapToGrid w:val="0"/>
          <w:kern w:val="22"/>
          <w:szCs w:val="22"/>
          <w:lang w:val="fr-FR"/>
        </w:rPr>
        <w:t>e</w:t>
      </w:r>
      <w:r w:rsidRPr="009F6356">
        <w:rPr>
          <w:snapToGrid w:val="0"/>
          <w:kern w:val="22"/>
          <w:szCs w:val="22"/>
          <w:lang w:val="fr-FR"/>
        </w:rPr>
        <w:t>)</w:t>
      </w:r>
      <w:r w:rsidRPr="009F6356">
        <w:rPr>
          <w:snapToGrid w:val="0"/>
          <w:kern w:val="22"/>
          <w:szCs w:val="22"/>
          <w:lang w:val="fr-FR"/>
        </w:rPr>
        <w:tab/>
      </w:r>
      <w:r>
        <w:rPr>
          <w:snapToGrid w:val="0"/>
          <w:kern w:val="22"/>
          <w:szCs w:val="22"/>
          <w:lang w:val="fr-FR"/>
        </w:rPr>
        <w:t>Mettre en place des systèmes et/ou des outils de suivi et évaluer les impacts des changements climatiques sur la biodiversité et sur les moyens de subsistance fondés sur celle-ci, tout particulièrement ceux des peuples autochtones et des communautés locales; évaluer également l’efficacité des approches écosystémiques d’adaptation et d’atténuation des changements climatiques et de réduction des risques de catastrophe naturelle;</w:t>
      </w:r>
    </w:p>
    <w:p w:rsidR="009F6935" w:rsidRDefault="009F6935" w:rsidP="009F6935">
      <w:pPr>
        <w:pStyle w:val="Para10"/>
        <w:suppressLineNumbers/>
        <w:suppressAutoHyphens/>
        <w:kinsoku w:val="0"/>
        <w:overflowPunct w:val="0"/>
        <w:autoSpaceDE w:val="0"/>
        <w:autoSpaceDN w:val="0"/>
        <w:adjustRightInd w:val="0"/>
        <w:snapToGrid w:val="0"/>
        <w:spacing w:before="0" w:after="240"/>
        <w:ind w:firstLine="720"/>
        <w:rPr>
          <w:rFonts w:cs="Times New Roman"/>
          <w:snapToGrid w:val="0"/>
          <w:kern w:val="22"/>
          <w:lang w:val="fr-FR"/>
        </w:rPr>
      </w:pPr>
      <w:r>
        <w:rPr>
          <w:rFonts w:cs="Times New Roman"/>
          <w:snapToGrid w:val="0"/>
          <w:kern w:val="22"/>
          <w:lang w:val="fr-FR"/>
        </w:rPr>
        <w:t>f</w:t>
      </w:r>
      <w:r w:rsidRPr="009F6356">
        <w:rPr>
          <w:rFonts w:cs="Times New Roman"/>
          <w:snapToGrid w:val="0"/>
          <w:kern w:val="22"/>
          <w:lang w:val="fr-FR"/>
        </w:rPr>
        <w:t>)</w:t>
      </w:r>
      <w:r w:rsidRPr="009F6356">
        <w:rPr>
          <w:rFonts w:cs="Times New Roman"/>
          <w:snapToGrid w:val="0"/>
          <w:kern w:val="22"/>
          <w:lang w:val="fr-FR"/>
        </w:rPr>
        <w:tab/>
      </w:r>
      <w:r>
        <w:rPr>
          <w:rFonts w:cs="Times New Roman"/>
          <w:snapToGrid w:val="0"/>
          <w:kern w:val="22"/>
          <w:lang w:val="fr-FR"/>
        </w:rPr>
        <w:t>Inclure des informations sur ce qui précède dans leurs rapports à la Convention;</w:t>
      </w:r>
    </w:p>
    <w:p w:rsidR="009F6935" w:rsidRPr="00B87314"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sidRPr="00B87314">
        <w:rPr>
          <w:rFonts w:cs="Times New Roman"/>
          <w:snapToGrid w:val="0"/>
          <w:kern w:val="22"/>
          <w:lang w:val="fr-FR"/>
        </w:rPr>
        <w:t>5.</w:t>
      </w:r>
      <w:r w:rsidRPr="00B87314">
        <w:rPr>
          <w:rFonts w:cs="Times New Roman"/>
          <w:snapToGrid w:val="0"/>
          <w:kern w:val="22"/>
          <w:lang w:val="fr-FR"/>
        </w:rPr>
        <w:tab/>
      </w:r>
      <w:r w:rsidRPr="00B87314">
        <w:rPr>
          <w:rFonts w:cs="Times New Roman"/>
          <w:i/>
          <w:snapToGrid w:val="0"/>
          <w:kern w:val="22"/>
          <w:lang w:val="fr-FR"/>
        </w:rPr>
        <w:t>Encourage aussi</w:t>
      </w:r>
      <w:r w:rsidRPr="00B87314">
        <w:rPr>
          <w:rFonts w:cs="Times New Roman"/>
          <w:snapToGrid w:val="0"/>
          <w:kern w:val="22"/>
          <w:lang w:val="fr-FR"/>
        </w:rPr>
        <w:t xml:space="preserve"> les Parties </w:t>
      </w:r>
      <w:r>
        <w:rPr>
          <w:rFonts w:cs="Times New Roman"/>
          <w:snapToGrid w:val="0"/>
          <w:kern w:val="22"/>
          <w:lang w:val="fr-FR"/>
        </w:rPr>
        <w:t xml:space="preserve">et les autres gouvernements </w:t>
      </w:r>
      <w:r w:rsidRPr="00B87314">
        <w:rPr>
          <w:rFonts w:cs="Times New Roman"/>
          <w:snapToGrid w:val="0"/>
          <w:kern w:val="22"/>
          <w:lang w:val="fr-FR"/>
        </w:rPr>
        <w:t>à :</w:t>
      </w:r>
    </w:p>
    <w:p w:rsidR="009F6935" w:rsidRPr="00C965C0"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965C0">
        <w:rPr>
          <w:snapToGrid w:val="0"/>
          <w:kern w:val="22"/>
          <w:szCs w:val="22"/>
          <w:lang w:val="fr-FR"/>
        </w:rPr>
        <w:t>a)</w:t>
      </w:r>
      <w:r w:rsidRPr="00C965C0">
        <w:rPr>
          <w:snapToGrid w:val="0"/>
          <w:kern w:val="22"/>
          <w:szCs w:val="22"/>
          <w:lang w:val="fr-FR"/>
        </w:rPr>
        <w:tab/>
      </w:r>
      <w:r>
        <w:rPr>
          <w:snapToGrid w:val="0"/>
          <w:kern w:val="22"/>
          <w:szCs w:val="22"/>
          <w:lang w:val="fr-FR"/>
        </w:rPr>
        <w:t>Favoriser la mise en œuvre</w:t>
      </w:r>
      <w:r w:rsidRPr="00C965C0">
        <w:rPr>
          <w:snapToGrid w:val="0"/>
          <w:kern w:val="22"/>
          <w:szCs w:val="22"/>
          <w:lang w:val="fr-FR"/>
        </w:rPr>
        <w:t xml:space="preserve"> cohérent</w:t>
      </w:r>
      <w:r>
        <w:rPr>
          <w:snapToGrid w:val="0"/>
          <w:kern w:val="22"/>
          <w:szCs w:val="22"/>
          <w:lang w:val="fr-FR"/>
        </w:rPr>
        <w:t>e</w:t>
      </w:r>
      <w:r w:rsidRPr="00C965C0">
        <w:rPr>
          <w:snapToGrid w:val="0"/>
          <w:kern w:val="22"/>
          <w:szCs w:val="22"/>
          <w:lang w:val="fr-FR"/>
        </w:rPr>
        <w:t>, inté</w:t>
      </w:r>
      <w:r>
        <w:rPr>
          <w:snapToGrid w:val="0"/>
          <w:kern w:val="22"/>
          <w:szCs w:val="22"/>
          <w:lang w:val="fr-FR"/>
        </w:rPr>
        <w:t>grée et mutuellement avantageuse</w:t>
      </w:r>
      <w:r w:rsidRPr="00C965C0">
        <w:rPr>
          <w:snapToGrid w:val="0"/>
          <w:kern w:val="22"/>
          <w:szCs w:val="22"/>
          <w:lang w:val="fr-FR"/>
        </w:rPr>
        <w:t xml:space="preserve"> des </w:t>
      </w:r>
      <w:r>
        <w:rPr>
          <w:snapToGrid w:val="0"/>
          <w:kern w:val="22"/>
          <w:szCs w:val="22"/>
          <w:lang w:val="fr-FR"/>
        </w:rPr>
        <w:t>mesures prévues au titre</w:t>
      </w:r>
      <w:r w:rsidRPr="00C965C0">
        <w:rPr>
          <w:snapToGrid w:val="0"/>
          <w:kern w:val="22"/>
          <w:szCs w:val="22"/>
          <w:lang w:val="fr-FR"/>
        </w:rPr>
        <w:t xml:space="preserve"> de l’Accord de </w:t>
      </w:r>
      <w:r>
        <w:rPr>
          <w:snapToGrid w:val="0"/>
          <w:kern w:val="22"/>
          <w:szCs w:val="22"/>
          <w:lang w:val="fr-FR"/>
        </w:rPr>
        <w:t>Paris</w:t>
      </w:r>
      <w:r w:rsidRPr="00010EA0">
        <w:rPr>
          <w:rStyle w:val="FootnoteReference"/>
          <w:snapToGrid w:val="0"/>
          <w:kern w:val="22"/>
          <w:sz w:val="20"/>
          <w:szCs w:val="20"/>
          <w:u w:val="none"/>
          <w:vertAlign w:val="superscript"/>
        </w:rPr>
        <w:footnoteReference w:id="86"/>
      </w:r>
      <w:r w:rsidRPr="00C965C0">
        <w:rPr>
          <w:snapToGrid w:val="0"/>
          <w:kern w:val="22"/>
          <w:szCs w:val="22"/>
          <w:lang w:val="fr-FR"/>
        </w:rPr>
        <w:t>,</w:t>
      </w:r>
      <w:r>
        <w:rPr>
          <w:snapToGrid w:val="0"/>
          <w:kern w:val="22"/>
          <w:szCs w:val="22"/>
          <w:lang w:val="fr-FR"/>
        </w:rPr>
        <w:t xml:space="preserve"> du Programme de développement durable à l’horizon 2030</w:t>
      </w:r>
      <w:r w:rsidRPr="00010EA0">
        <w:rPr>
          <w:rStyle w:val="FootnoteReference"/>
          <w:snapToGrid w:val="0"/>
          <w:kern w:val="22"/>
          <w:sz w:val="20"/>
          <w:szCs w:val="20"/>
          <w:u w:val="none"/>
          <w:vertAlign w:val="superscript"/>
        </w:rPr>
        <w:footnoteReference w:id="87"/>
      </w:r>
      <w:r w:rsidRPr="00C965C0">
        <w:rPr>
          <w:snapToGrid w:val="0"/>
          <w:kern w:val="22"/>
          <w:szCs w:val="22"/>
          <w:lang w:val="fr-FR"/>
        </w:rPr>
        <w:t>, d’autres cadres</w:t>
      </w:r>
      <w:r>
        <w:rPr>
          <w:snapToGrid w:val="0"/>
          <w:kern w:val="22"/>
          <w:szCs w:val="22"/>
          <w:lang w:val="fr-FR"/>
        </w:rPr>
        <w:t xml:space="preserve"> internationaux pertinents et de la </w:t>
      </w:r>
      <w:r w:rsidRPr="00C965C0">
        <w:rPr>
          <w:snapToGrid w:val="0"/>
          <w:kern w:val="22"/>
          <w:szCs w:val="22"/>
          <w:lang w:val="fr-FR"/>
        </w:rPr>
        <w:t>Convention</w:t>
      </w:r>
      <w:r>
        <w:rPr>
          <w:snapToGrid w:val="0"/>
          <w:kern w:val="22"/>
          <w:szCs w:val="22"/>
          <w:lang w:val="fr-FR"/>
        </w:rPr>
        <w:t xml:space="preserve"> sur la d</w:t>
      </w:r>
      <w:r w:rsidRPr="00C965C0">
        <w:rPr>
          <w:snapToGrid w:val="0"/>
          <w:kern w:val="22"/>
          <w:szCs w:val="22"/>
          <w:lang w:val="fr-FR"/>
        </w:rPr>
        <w:t>iversit</w:t>
      </w:r>
      <w:r>
        <w:rPr>
          <w:snapToGrid w:val="0"/>
          <w:kern w:val="22"/>
          <w:szCs w:val="22"/>
          <w:lang w:val="fr-FR"/>
        </w:rPr>
        <w:t>é biologique</w:t>
      </w:r>
      <w:r w:rsidRPr="00C965C0">
        <w:rPr>
          <w:snapToGrid w:val="0"/>
          <w:kern w:val="22"/>
          <w:szCs w:val="22"/>
          <w:lang w:val="fr-FR"/>
        </w:rPr>
        <w:t xml:space="preserve">, </w:t>
      </w:r>
      <w:r>
        <w:rPr>
          <w:snapToGrid w:val="0"/>
          <w:kern w:val="22"/>
          <w:szCs w:val="22"/>
          <w:lang w:val="fr-FR"/>
        </w:rPr>
        <w:t xml:space="preserve">y compris le Plan stratégique pour la diversité biologique 2011-2020 et le </w:t>
      </w:r>
      <w:r w:rsidRPr="002972C4">
        <w:rPr>
          <w:snapToGrid w:val="0"/>
          <w:kern w:val="22"/>
          <w:szCs w:val="22"/>
          <w:lang w:val="fr-FR"/>
        </w:rPr>
        <w:t xml:space="preserve">futur </w:t>
      </w:r>
      <w:r>
        <w:rPr>
          <w:snapToGrid w:val="0"/>
          <w:kern w:val="22"/>
          <w:szCs w:val="22"/>
          <w:lang w:val="fr-FR"/>
        </w:rPr>
        <w:t>cadre mondial de la biodiversité pour l’après-2020</w:t>
      </w:r>
      <w:r w:rsidRPr="00010EA0">
        <w:rPr>
          <w:rStyle w:val="FootnoteReference"/>
          <w:snapToGrid w:val="0"/>
          <w:kern w:val="22"/>
          <w:sz w:val="20"/>
          <w:szCs w:val="20"/>
          <w:u w:val="none"/>
          <w:vertAlign w:val="superscript"/>
        </w:rPr>
        <w:footnoteReference w:id="88"/>
      </w:r>
      <w:r w:rsidRPr="00C965C0">
        <w:rPr>
          <w:snapToGrid w:val="0"/>
          <w:kern w:val="22"/>
          <w:szCs w:val="22"/>
          <w:lang w:val="fr-FR"/>
        </w:rPr>
        <w:t>;</w:t>
      </w:r>
    </w:p>
    <w:p w:rsidR="009F6935" w:rsidRPr="00C965C0" w:rsidRDefault="009F6935" w:rsidP="009F6935">
      <w:pPr>
        <w:suppressLineNumbers/>
        <w:suppressAutoHyphens/>
        <w:kinsoku w:val="0"/>
        <w:overflowPunct w:val="0"/>
        <w:autoSpaceDE w:val="0"/>
        <w:autoSpaceDN w:val="0"/>
        <w:adjustRightInd w:val="0"/>
        <w:snapToGrid w:val="0"/>
        <w:spacing w:after="120"/>
        <w:ind w:firstLine="720"/>
        <w:rPr>
          <w:snapToGrid w:val="0"/>
          <w:kern w:val="22"/>
          <w:szCs w:val="22"/>
          <w:lang w:val="fr-FR"/>
        </w:rPr>
      </w:pPr>
      <w:r w:rsidRPr="00C965C0">
        <w:rPr>
          <w:snapToGrid w:val="0"/>
          <w:kern w:val="22"/>
          <w:szCs w:val="22"/>
          <w:lang w:val="fr-FR"/>
        </w:rPr>
        <w:t>b)</w:t>
      </w:r>
      <w:r w:rsidRPr="00C965C0">
        <w:rPr>
          <w:snapToGrid w:val="0"/>
          <w:kern w:val="22"/>
          <w:szCs w:val="22"/>
          <w:lang w:val="fr-FR"/>
        </w:rPr>
        <w:tab/>
        <w:t xml:space="preserve">Intégrer des </w:t>
      </w:r>
      <w:r>
        <w:rPr>
          <w:snapToGrid w:val="0"/>
          <w:kern w:val="22"/>
          <w:szCs w:val="22"/>
          <w:lang w:val="fr-FR"/>
        </w:rPr>
        <w:t>appro</w:t>
      </w:r>
      <w:r w:rsidRPr="00C965C0">
        <w:rPr>
          <w:snapToGrid w:val="0"/>
          <w:kern w:val="22"/>
          <w:szCs w:val="22"/>
          <w:lang w:val="fr-FR"/>
        </w:rPr>
        <w:t xml:space="preserve">ches écosystémiques </w:t>
      </w:r>
      <w:r>
        <w:rPr>
          <w:snapToGrid w:val="0"/>
          <w:kern w:val="22"/>
          <w:szCs w:val="22"/>
          <w:lang w:val="fr-FR"/>
        </w:rPr>
        <w:t>dans</w:t>
      </w:r>
      <w:r w:rsidRPr="00C965C0">
        <w:rPr>
          <w:snapToGrid w:val="0"/>
          <w:kern w:val="22"/>
          <w:szCs w:val="22"/>
          <w:lang w:val="fr-FR"/>
        </w:rPr>
        <w:t xml:space="preserve"> la mise à jour de leurs contributions déter</w:t>
      </w:r>
      <w:r>
        <w:rPr>
          <w:snapToGrid w:val="0"/>
          <w:kern w:val="22"/>
          <w:szCs w:val="22"/>
          <w:lang w:val="fr-FR"/>
        </w:rPr>
        <w:t xml:space="preserve">minées au niveau national, selon qu’il convient, et dans </w:t>
      </w:r>
      <w:r w:rsidRPr="00C965C0">
        <w:rPr>
          <w:snapToGrid w:val="0"/>
          <w:kern w:val="22"/>
          <w:szCs w:val="22"/>
          <w:lang w:val="fr-FR"/>
        </w:rPr>
        <w:t xml:space="preserve">la poursuite d’une action </w:t>
      </w:r>
      <w:r>
        <w:rPr>
          <w:snapToGrid w:val="0"/>
          <w:kern w:val="22"/>
          <w:szCs w:val="22"/>
          <w:lang w:val="fr-FR"/>
        </w:rPr>
        <w:t xml:space="preserve">nationale </w:t>
      </w:r>
      <w:r w:rsidRPr="00C965C0">
        <w:rPr>
          <w:snapToGrid w:val="0"/>
          <w:kern w:val="22"/>
          <w:szCs w:val="22"/>
          <w:lang w:val="fr-FR"/>
        </w:rPr>
        <w:t xml:space="preserve">sur le climat </w:t>
      </w:r>
      <w:r>
        <w:rPr>
          <w:snapToGrid w:val="0"/>
          <w:kern w:val="22"/>
          <w:szCs w:val="22"/>
          <w:lang w:val="fr-FR"/>
        </w:rPr>
        <w:t>au titre de l’Accord de Paris</w:t>
      </w:r>
      <w:r w:rsidRPr="00C965C0">
        <w:rPr>
          <w:snapToGrid w:val="0"/>
          <w:kern w:val="22"/>
          <w:szCs w:val="22"/>
          <w:lang w:val="fr-FR"/>
        </w:rPr>
        <w:t xml:space="preserve">, </w:t>
      </w:r>
      <w:r>
        <w:rPr>
          <w:snapToGrid w:val="0"/>
          <w:kern w:val="22"/>
          <w:szCs w:val="22"/>
          <w:lang w:val="fr-FR"/>
        </w:rPr>
        <w:t>en tenant compte de l’</w:t>
      </w:r>
      <w:r w:rsidRPr="00C965C0">
        <w:rPr>
          <w:snapToGrid w:val="0"/>
          <w:kern w:val="22"/>
          <w:szCs w:val="22"/>
          <w:lang w:val="fr-FR"/>
        </w:rPr>
        <w:t xml:space="preserve">importance </w:t>
      </w:r>
      <w:r>
        <w:rPr>
          <w:snapToGrid w:val="0"/>
          <w:kern w:val="22"/>
          <w:szCs w:val="22"/>
          <w:lang w:val="fr-FR"/>
        </w:rPr>
        <w:t>du maintien de l’intégrité et du bon fonctionnement de tous les écosystè</w:t>
      </w:r>
      <w:r w:rsidRPr="00C965C0">
        <w:rPr>
          <w:snapToGrid w:val="0"/>
          <w:kern w:val="22"/>
          <w:szCs w:val="22"/>
          <w:lang w:val="fr-FR"/>
        </w:rPr>
        <w:t>m</w:t>
      </w:r>
      <w:r>
        <w:rPr>
          <w:snapToGrid w:val="0"/>
          <w:kern w:val="22"/>
          <w:szCs w:val="22"/>
          <w:lang w:val="fr-FR"/>
        </w:rPr>
        <w:t>e</w:t>
      </w:r>
      <w:r w:rsidRPr="00C965C0">
        <w:rPr>
          <w:snapToGrid w:val="0"/>
          <w:kern w:val="22"/>
          <w:szCs w:val="22"/>
          <w:lang w:val="fr-FR"/>
        </w:rPr>
        <w:t xml:space="preserve">s, </w:t>
      </w:r>
      <w:r>
        <w:rPr>
          <w:snapToGrid w:val="0"/>
          <w:kern w:val="22"/>
          <w:szCs w:val="22"/>
          <w:lang w:val="fr-FR"/>
        </w:rPr>
        <w:t xml:space="preserve">y compris des océans, et de la </w:t>
      </w:r>
      <w:r w:rsidRPr="00C965C0">
        <w:rPr>
          <w:snapToGrid w:val="0"/>
          <w:kern w:val="22"/>
          <w:szCs w:val="22"/>
          <w:lang w:val="fr-FR"/>
        </w:rPr>
        <w:t>pro</w:t>
      </w:r>
      <w:r>
        <w:rPr>
          <w:snapToGrid w:val="0"/>
          <w:kern w:val="22"/>
          <w:szCs w:val="22"/>
          <w:lang w:val="fr-FR"/>
        </w:rPr>
        <w:t>tection de la diversité biologique</w:t>
      </w:r>
      <w:r w:rsidRPr="00C965C0">
        <w:rPr>
          <w:snapToGrid w:val="0"/>
          <w:kern w:val="22"/>
          <w:szCs w:val="22"/>
          <w:lang w:val="fr-FR"/>
        </w:rPr>
        <w:t>;</w:t>
      </w:r>
    </w:p>
    <w:p w:rsidR="009F6935" w:rsidRPr="00B87314"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sidRPr="00B87314">
        <w:rPr>
          <w:rFonts w:cs="Times New Roman"/>
          <w:snapToGrid w:val="0"/>
          <w:kern w:val="22"/>
          <w:lang w:val="fr-FR"/>
        </w:rPr>
        <w:t>6.</w:t>
      </w:r>
      <w:r w:rsidRPr="00B87314">
        <w:rPr>
          <w:rFonts w:cs="Times New Roman"/>
          <w:snapToGrid w:val="0"/>
          <w:kern w:val="22"/>
          <w:lang w:val="fr-FR"/>
        </w:rPr>
        <w:tab/>
      </w:r>
      <w:r>
        <w:rPr>
          <w:rFonts w:cs="Times New Roman"/>
          <w:i/>
          <w:snapToGrid w:val="0"/>
          <w:kern w:val="22"/>
          <w:lang w:val="fr-FR"/>
        </w:rPr>
        <w:t>Accueille avec satisfaction</w:t>
      </w:r>
      <w:r w:rsidRPr="00B87314">
        <w:rPr>
          <w:rFonts w:cs="Times New Roman"/>
          <w:snapToGrid w:val="0"/>
          <w:kern w:val="22"/>
          <w:lang w:val="fr-FR"/>
        </w:rPr>
        <w:t xml:space="preserve"> l’</w:t>
      </w:r>
      <w:r>
        <w:rPr>
          <w:rFonts w:cs="Times New Roman"/>
          <w:snapToGrid w:val="0"/>
          <w:kern w:val="22"/>
          <w:lang w:val="fr-FR"/>
        </w:rPr>
        <w:t>évaluation de la Plateforme i</w:t>
      </w:r>
      <w:r w:rsidRPr="00B87314">
        <w:rPr>
          <w:rFonts w:cs="Times New Roman"/>
          <w:snapToGrid w:val="0"/>
          <w:kern w:val="22"/>
          <w:lang w:val="fr-FR"/>
        </w:rPr>
        <w:t>ntergo</w:t>
      </w:r>
      <w:r>
        <w:rPr>
          <w:rFonts w:cs="Times New Roman"/>
          <w:snapToGrid w:val="0"/>
          <w:kern w:val="22"/>
          <w:lang w:val="fr-FR"/>
        </w:rPr>
        <w:t>u</w:t>
      </w:r>
      <w:r w:rsidRPr="00B87314">
        <w:rPr>
          <w:rFonts w:cs="Times New Roman"/>
          <w:snapToGrid w:val="0"/>
          <w:kern w:val="22"/>
          <w:lang w:val="fr-FR"/>
        </w:rPr>
        <w:t>vern</w:t>
      </w:r>
      <w:r>
        <w:rPr>
          <w:rFonts w:cs="Times New Roman"/>
          <w:snapToGrid w:val="0"/>
          <w:kern w:val="22"/>
          <w:lang w:val="fr-FR"/>
        </w:rPr>
        <w:t>e</w:t>
      </w:r>
      <w:r w:rsidRPr="00B87314">
        <w:rPr>
          <w:rFonts w:cs="Times New Roman"/>
          <w:snapToGrid w:val="0"/>
          <w:kern w:val="22"/>
          <w:lang w:val="fr-FR"/>
        </w:rPr>
        <w:t>mental</w:t>
      </w:r>
      <w:r>
        <w:rPr>
          <w:rFonts w:cs="Times New Roman"/>
          <w:snapToGrid w:val="0"/>
          <w:kern w:val="22"/>
          <w:lang w:val="fr-FR"/>
        </w:rPr>
        <w:t>e scientifique et politique sur la biodiversité et les s</w:t>
      </w:r>
      <w:r w:rsidRPr="00B87314">
        <w:rPr>
          <w:rFonts w:cs="Times New Roman"/>
          <w:snapToGrid w:val="0"/>
          <w:kern w:val="22"/>
          <w:lang w:val="fr-FR"/>
        </w:rPr>
        <w:t>ervices</w:t>
      </w:r>
      <w:r>
        <w:rPr>
          <w:rFonts w:cs="Times New Roman"/>
          <w:snapToGrid w:val="0"/>
          <w:kern w:val="22"/>
          <w:lang w:val="fr-FR"/>
        </w:rPr>
        <w:t xml:space="preserve"> écosystémiques</w:t>
      </w:r>
      <w:r w:rsidRPr="00B87314">
        <w:rPr>
          <w:rFonts w:cs="Times New Roman"/>
          <w:snapToGrid w:val="0"/>
          <w:kern w:val="22"/>
          <w:lang w:val="fr-FR"/>
        </w:rPr>
        <w:t xml:space="preserve"> </w:t>
      </w:r>
      <w:r>
        <w:rPr>
          <w:rFonts w:cs="Times New Roman"/>
          <w:snapToGrid w:val="0"/>
          <w:kern w:val="22"/>
          <w:lang w:val="fr-FR"/>
        </w:rPr>
        <w:t xml:space="preserve">portant </w:t>
      </w:r>
      <w:r w:rsidRPr="00B87314">
        <w:rPr>
          <w:rFonts w:cs="Times New Roman"/>
          <w:snapToGrid w:val="0"/>
          <w:kern w:val="22"/>
          <w:lang w:val="fr-FR"/>
        </w:rPr>
        <w:t xml:space="preserve">sur la dégradation et la restauration des terres, </w:t>
      </w:r>
      <w:r>
        <w:rPr>
          <w:rFonts w:cs="Times New Roman"/>
          <w:snapToGrid w:val="0"/>
          <w:kern w:val="22"/>
          <w:lang w:val="fr-FR"/>
        </w:rPr>
        <w:t xml:space="preserve">et </w:t>
      </w:r>
      <w:r w:rsidRPr="00DC02DE">
        <w:rPr>
          <w:rFonts w:cs="Times New Roman"/>
          <w:i/>
          <w:snapToGrid w:val="0"/>
          <w:kern w:val="22"/>
          <w:lang w:val="fr-FR"/>
        </w:rPr>
        <w:t xml:space="preserve">approuve </w:t>
      </w:r>
      <w:r>
        <w:rPr>
          <w:rFonts w:cs="Times New Roman"/>
          <w:snapToGrid w:val="0"/>
          <w:kern w:val="22"/>
          <w:lang w:val="fr-FR"/>
        </w:rPr>
        <w:t xml:space="preserve">ses principaux messages </w:t>
      </w:r>
      <w:r w:rsidRPr="00B87314">
        <w:rPr>
          <w:rFonts w:cs="Times New Roman"/>
          <w:snapToGrid w:val="0"/>
          <w:kern w:val="22"/>
          <w:lang w:val="fr-FR"/>
        </w:rPr>
        <w:t xml:space="preserve">qui </w:t>
      </w:r>
      <w:r>
        <w:rPr>
          <w:rFonts w:cs="Times New Roman"/>
          <w:snapToGrid w:val="0"/>
          <w:kern w:val="22"/>
          <w:lang w:val="fr-FR"/>
        </w:rPr>
        <w:t>préconisent</w:t>
      </w:r>
      <w:r w:rsidRPr="00B87314">
        <w:rPr>
          <w:rFonts w:cs="Times New Roman"/>
          <w:snapToGrid w:val="0"/>
          <w:kern w:val="22"/>
          <w:lang w:val="fr-FR"/>
        </w:rPr>
        <w:t xml:space="preserve"> des </w:t>
      </w:r>
      <w:r>
        <w:rPr>
          <w:rFonts w:cs="Times New Roman"/>
          <w:snapToGrid w:val="0"/>
          <w:kern w:val="22"/>
          <w:lang w:val="fr-FR"/>
        </w:rPr>
        <w:t>appro</w:t>
      </w:r>
      <w:r w:rsidRPr="00B87314">
        <w:rPr>
          <w:rFonts w:cs="Times New Roman"/>
          <w:snapToGrid w:val="0"/>
          <w:kern w:val="22"/>
          <w:lang w:val="fr-FR"/>
        </w:rPr>
        <w:t xml:space="preserve">ches </w:t>
      </w:r>
      <w:r w:rsidRPr="00B87314">
        <w:rPr>
          <w:rFonts w:cs="Times New Roman"/>
          <w:snapToGrid w:val="0"/>
          <w:kern w:val="22"/>
          <w:lang w:val="fr-FR"/>
        </w:rPr>
        <w:lastRenderedPageBreak/>
        <w:t>écosystémiques en matière</w:t>
      </w:r>
      <w:r>
        <w:rPr>
          <w:rFonts w:cs="Times New Roman"/>
          <w:snapToGrid w:val="0"/>
          <w:kern w:val="22"/>
          <w:lang w:val="fr-FR"/>
        </w:rPr>
        <w:t xml:space="preserve"> d’adaptation et d’atténuation des changements climatiques et de réduction des risques de catastrophe naturelle</w:t>
      </w:r>
      <w:r w:rsidRPr="00B87314">
        <w:rPr>
          <w:rFonts w:cs="Times New Roman"/>
          <w:snapToGrid w:val="0"/>
          <w:kern w:val="22"/>
          <w:lang w:val="fr-FR"/>
        </w:rPr>
        <w:t>;</w:t>
      </w:r>
    </w:p>
    <w:p w:rsidR="009F6935" w:rsidRPr="00BB4D66" w:rsidRDefault="009F6935" w:rsidP="009F6935">
      <w:pPr>
        <w:pStyle w:val="Para10"/>
        <w:suppressLineNumbers/>
        <w:suppressAutoHyphens/>
        <w:kinsoku w:val="0"/>
        <w:overflowPunct w:val="0"/>
        <w:autoSpaceDE w:val="0"/>
        <w:autoSpaceDN w:val="0"/>
        <w:adjustRightInd w:val="0"/>
        <w:snapToGrid w:val="0"/>
        <w:ind w:firstLine="720"/>
        <w:rPr>
          <w:rFonts w:cs="Times New Roman"/>
          <w:snapToGrid w:val="0"/>
          <w:kern w:val="22"/>
          <w:lang w:val="fr-FR"/>
        </w:rPr>
      </w:pPr>
      <w:r w:rsidRPr="00C965C0">
        <w:rPr>
          <w:rFonts w:cs="Times New Roman"/>
          <w:snapToGrid w:val="0"/>
          <w:kern w:val="22"/>
          <w:lang w:val="fr-FR"/>
        </w:rPr>
        <w:t>7.</w:t>
      </w:r>
      <w:r w:rsidRPr="00C965C0">
        <w:rPr>
          <w:rFonts w:cs="Times New Roman"/>
          <w:snapToGrid w:val="0"/>
          <w:kern w:val="22"/>
          <w:lang w:val="fr-FR"/>
        </w:rPr>
        <w:tab/>
      </w:r>
      <w:r w:rsidRPr="00C965C0">
        <w:rPr>
          <w:rFonts w:cs="Times New Roman"/>
          <w:i/>
          <w:snapToGrid w:val="0"/>
          <w:kern w:val="22"/>
          <w:lang w:val="fr-FR"/>
        </w:rPr>
        <w:t>Encourage</w:t>
      </w:r>
      <w:r w:rsidRPr="00C965C0">
        <w:rPr>
          <w:rFonts w:cs="Times New Roman"/>
          <w:snapToGrid w:val="0"/>
          <w:kern w:val="22"/>
          <w:lang w:val="fr-FR"/>
        </w:rPr>
        <w:t xml:space="preserve"> les Parties à</w:t>
      </w:r>
      <w:r>
        <w:rPr>
          <w:rFonts w:cs="Times New Roman"/>
          <w:snapToGrid w:val="0"/>
          <w:kern w:val="22"/>
          <w:lang w:val="fr-FR"/>
        </w:rPr>
        <w:t xml:space="preserve"> coopér</w:t>
      </w:r>
      <w:r w:rsidRPr="00C965C0">
        <w:rPr>
          <w:rFonts w:cs="Times New Roman"/>
          <w:snapToGrid w:val="0"/>
          <w:kern w:val="22"/>
          <w:lang w:val="fr-FR"/>
        </w:rPr>
        <w:t>er dans le domaine de la conservation, la restauration et l’</w:t>
      </w:r>
      <w:r>
        <w:rPr>
          <w:rFonts w:cs="Times New Roman"/>
          <w:snapToGrid w:val="0"/>
          <w:kern w:val="22"/>
          <w:lang w:val="fr-FR"/>
        </w:rPr>
        <w:t xml:space="preserve">utilisation rationnelle ou </w:t>
      </w:r>
      <w:r w:rsidRPr="00C965C0">
        <w:rPr>
          <w:rFonts w:cs="Times New Roman"/>
          <w:snapToGrid w:val="0"/>
          <w:kern w:val="22"/>
          <w:lang w:val="fr-FR"/>
        </w:rPr>
        <w:t>durable de</w:t>
      </w:r>
      <w:r>
        <w:rPr>
          <w:rFonts w:cs="Times New Roman"/>
          <w:snapToGrid w:val="0"/>
          <w:kern w:val="22"/>
          <w:lang w:val="fr-FR"/>
        </w:rPr>
        <w:t>s zones humides, de sorte que leur importance, dans le</w:t>
      </w:r>
      <w:r w:rsidRPr="00C965C0">
        <w:rPr>
          <w:rFonts w:cs="Times New Roman"/>
          <w:snapToGrid w:val="0"/>
          <w:kern w:val="22"/>
          <w:lang w:val="fr-FR"/>
        </w:rPr>
        <w:t xml:space="preserve"> context</w:t>
      </w:r>
      <w:r>
        <w:rPr>
          <w:rFonts w:cs="Times New Roman"/>
          <w:snapToGrid w:val="0"/>
          <w:kern w:val="22"/>
          <w:lang w:val="fr-FR"/>
        </w:rPr>
        <w:t>e des changements climatiques et de la ré</w:t>
      </w:r>
      <w:r w:rsidRPr="00C965C0">
        <w:rPr>
          <w:rFonts w:cs="Times New Roman"/>
          <w:snapToGrid w:val="0"/>
          <w:kern w:val="22"/>
          <w:lang w:val="fr-FR"/>
        </w:rPr>
        <w:t>duction</w:t>
      </w:r>
      <w:r>
        <w:rPr>
          <w:rFonts w:cs="Times New Roman"/>
          <w:snapToGrid w:val="0"/>
          <w:kern w:val="22"/>
          <w:lang w:val="fr-FR"/>
        </w:rPr>
        <w:t xml:space="preserve"> des risques de catastrophe naturelle, soit reconnue, et à soutenir l’</w:t>
      </w:r>
      <w:r w:rsidRPr="00C965C0">
        <w:rPr>
          <w:rFonts w:cs="Times New Roman"/>
          <w:snapToGrid w:val="0"/>
          <w:kern w:val="22"/>
          <w:lang w:val="fr-FR"/>
        </w:rPr>
        <w:t>initiative</w:t>
      </w:r>
      <w:r>
        <w:rPr>
          <w:rFonts w:cs="Times New Roman"/>
          <w:snapToGrid w:val="0"/>
          <w:kern w:val="22"/>
          <w:lang w:val="fr-FR"/>
        </w:rPr>
        <w:t xml:space="preserve"> concernant une dé</w:t>
      </w:r>
      <w:r w:rsidRPr="00C965C0">
        <w:rPr>
          <w:rFonts w:cs="Times New Roman"/>
          <w:snapToGrid w:val="0"/>
          <w:kern w:val="22"/>
          <w:lang w:val="fr-FR"/>
        </w:rPr>
        <w:t>claration</w:t>
      </w:r>
      <w:r>
        <w:rPr>
          <w:rFonts w:cs="Times New Roman"/>
          <w:snapToGrid w:val="0"/>
          <w:kern w:val="22"/>
          <w:lang w:val="fr-FR"/>
        </w:rPr>
        <w:t xml:space="preserve"> commune sur la collaboration dans le domaine de la </w:t>
      </w:r>
      <w:r w:rsidRPr="00C965C0">
        <w:rPr>
          <w:rFonts w:cs="Times New Roman"/>
          <w:snapToGrid w:val="0"/>
          <w:kern w:val="22"/>
          <w:lang w:val="fr-FR"/>
        </w:rPr>
        <w:t xml:space="preserve">conservation, </w:t>
      </w:r>
      <w:r>
        <w:rPr>
          <w:rFonts w:cs="Times New Roman"/>
          <w:snapToGrid w:val="0"/>
          <w:kern w:val="22"/>
          <w:lang w:val="fr-FR"/>
        </w:rPr>
        <w:t>la restauration et l’utilisation rationnelle des tourbières dans le</w:t>
      </w:r>
      <w:r w:rsidRPr="00C965C0">
        <w:rPr>
          <w:rFonts w:cs="Times New Roman"/>
          <w:snapToGrid w:val="0"/>
          <w:kern w:val="22"/>
          <w:lang w:val="fr-FR"/>
        </w:rPr>
        <w:t xml:space="preserve"> context</w:t>
      </w:r>
      <w:r>
        <w:rPr>
          <w:rFonts w:cs="Times New Roman"/>
          <w:snapToGrid w:val="0"/>
          <w:kern w:val="22"/>
          <w:lang w:val="fr-FR"/>
        </w:rPr>
        <w:t>e des changements climatiques et de la ré</w:t>
      </w:r>
      <w:r w:rsidRPr="00C965C0">
        <w:rPr>
          <w:rFonts w:cs="Times New Roman"/>
          <w:snapToGrid w:val="0"/>
          <w:kern w:val="22"/>
          <w:lang w:val="fr-FR"/>
        </w:rPr>
        <w:t>duction</w:t>
      </w:r>
      <w:r>
        <w:rPr>
          <w:rFonts w:cs="Times New Roman"/>
          <w:snapToGrid w:val="0"/>
          <w:kern w:val="22"/>
          <w:lang w:val="fr-FR"/>
        </w:rPr>
        <w:t xml:space="preserve"> des risques de catastrophe naturelle, entre les accords multilatéraux sur l’</w:t>
      </w:r>
      <w:r w:rsidRPr="00C965C0">
        <w:rPr>
          <w:rFonts w:cs="Times New Roman"/>
          <w:snapToGrid w:val="0"/>
          <w:kern w:val="22"/>
          <w:lang w:val="fr-FR"/>
        </w:rPr>
        <w:t>environ</w:t>
      </w:r>
      <w:r>
        <w:rPr>
          <w:rFonts w:cs="Times New Roman"/>
          <w:snapToGrid w:val="0"/>
          <w:kern w:val="22"/>
          <w:lang w:val="fr-FR"/>
        </w:rPr>
        <w:t>nement pertinents</w:t>
      </w:r>
      <w:r w:rsidRPr="00010EA0">
        <w:rPr>
          <w:rStyle w:val="FootnoteReference"/>
          <w:snapToGrid w:val="0"/>
          <w:kern w:val="22"/>
          <w:sz w:val="20"/>
          <w:szCs w:val="20"/>
          <w:u w:val="none"/>
          <w:vertAlign w:val="superscript"/>
        </w:rPr>
        <w:footnoteReference w:id="89"/>
      </w:r>
      <w:r w:rsidRPr="00BB4D66">
        <w:rPr>
          <w:rFonts w:cs="Times New Roman"/>
          <w:snapToGrid w:val="0"/>
          <w:kern w:val="22"/>
          <w:lang w:val="fr-FR"/>
        </w:rPr>
        <w:t>;</w:t>
      </w:r>
    </w:p>
    <w:p w:rsidR="009F6935" w:rsidRPr="009F6356" w:rsidRDefault="009F6935" w:rsidP="009F6935">
      <w:pPr>
        <w:pStyle w:val="Para10"/>
        <w:suppressLineNumbers/>
        <w:suppressAutoHyphens/>
        <w:kinsoku w:val="0"/>
        <w:overflowPunct w:val="0"/>
        <w:autoSpaceDE w:val="0"/>
        <w:autoSpaceDN w:val="0"/>
        <w:adjustRightInd w:val="0"/>
        <w:snapToGrid w:val="0"/>
        <w:ind w:firstLine="709"/>
        <w:rPr>
          <w:rFonts w:cs="Times New Roman"/>
          <w:snapToGrid w:val="0"/>
          <w:kern w:val="22"/>
          <w:lang w:val="fr-FR"/>
        </w:rPr>
      </w:pPr>
      <w:r>
        <w:rPr>
          <w:rFonts w:cs="Times New Roman"/>
          <w:snapToGrid w:val="0"/>
          <w:kern w:val="22"/>
          <w:lang w:val="fr-FR"/>
        </w:rPr>
        <w:t>8</w:t>
      </w:r>
      <w:r w:rsidRPr="009F6356">
        <w:rPr>
          <w:rFonts w:cs="Times New Roman"/>
          <w:snapToGrid w:val="0"/>
          <w:kern w:val="22"/>
          <w:lang w:val="fr-FR"/>
        </w:rPr>
        <w:t>.</w:t>
      </w:r>
      <w:r w:rsidRPr="009F6356">
        <w:rPr>
          <w:rFonts w:cs="Times New Roman"/>
          <w:i/>
          <w:snapToGrid w:val="0"/>
          <w:kern w:val="22"/>
          <w:lang w:val="fr-FR"/>
        </w:rPr>
        <w:tab/>
      </w:r>
      <w:r w:rsidRPr="009F6356">
        <w:rPr>
          <w:rFonts w:cs="Times New Roman"/>
          <w:i/>
          <w:iCs/>
          <w:snapToGrid w:val="0"/>
          <w:kern w:val="22"/>
          <w:lang w:val="fr-FR"/>
        </w:rPr>
        <w:t>Invite</w:t>
      </w:r>
      <w:r w:rsidRPr="009F6356">
        <w:rPr>
          <w:rFonts w:cs="Times New Roman"/>
          <w:snapToGrid w:val="0"/>
          <w:kern w:val="22"/>
          <w:lang w:val="fr-FR"/>
        </w:rPr>
        <w:t xml:space="preserve"> </w:t>
      </w:r>
      <w:r>
        <w:rPr>
          <w:rFonts w:cs="Times New Roman"/>
          <w:snapToGrid w:val="0"/>
          <w:kern w:val="22"/>
          <w:lang w:val="fr-FR"/>
        </w:rPr>
        <w:t>les Parties à fournir, sur une base facultative, des</w:t>
      </w:r>
      <w:r w:rsidRPr="009F6356">
        <w:rPr>
          <w:rFonts w:cs="Times New Roman"/>
          <w:snapToGrid w:val="0"/>
          <w:kern w:val="22"/>
          <w:lang w:val="fr-FR"/>
        </w:rPr>
        <w:t xml:space="preserve"> information</w:t>
      </w:r>
      <w:r>
        <w:rPr>
          <w:rFonts w:cs="Times New Roman"/>
          <w:snapToGrid w:val="0"/>
          <w:kern w:val="22"/>
          <w:lang w:val="fr-FR"/>
        </w:rPr>
        <w:t>s sur les activités menées pour appliquer les lignes directrices facultatives pour la conception et l’application effective des approches écosystémiques d’adaptation aux changements climatiques et de réduction des risques de catastrophe naturelle, et sur les résultats obtenus, et à mettre à disposition ces informations par le biais du Centre d’échange et d’autres plateformes pertinentes;</w:t>
      </w:r>
    </w:p>
    <w:p w:rsidR="009F6935" w:rsidRPr="009F6356" w:rsidRDefault="009F6935" w:rsidP="009F6935">
      <w:pPr>
        <w:pStyle w:val="Para10"/>
        <w:suppressLineNumbers/>
        <w:suppressAutoHyphens/>
        <w:kinsoku w:val="0"/>
        <w:overflowPunct w:val="0"/>
        <w:autoSpaceDE w:val="0"/>
        <w:autoSpaceDN w:val="0"/>
        <w:adjustRightInd w:val="0"/>
        <w:snapToGrid w:val="0"/>
        <w:ind w:firstLine="709"/>
        <w:rPr>
          <w:rFonts w:cs="Times New Roman"/>
          <w:snapToGrid w:val="0"/>
          <w:kern w:val="22"/>
          <w:lang w:val="fr-FR"/>
        </w:rPr>
      </w:pPr>
      <w:r>
        <w:rPr>
          <w:rFonts w:cs="Times New Roman"/>
          <w:snapToGrid w:val="0"/>
          <w:kern w:val="22"/>
          <w:lang w:val="fr-FR"/>
        </w:rPr>
        <w:t>9</w:t>
      </w:r>
      <w:r w:rsidRPr="009F6356">
        <w:rPr>
          <w:rFonts w:cs="Times New Roman"/>
          <w:snapToGrid w:val="0"/>
          <w:kern w:val="22"/>
          <w:lang w:val="fr-FR"/>
        </w:rPr>
        <w:t>.</w:t>
      </w:r>
      <w:r w:rsidRPr="009F6356">
        <w:rPr>
          <w:rFonts w:cs="Times New Roman"/>
          <w:i/>
          <w:snapToGrid w:val="0"/>
          <w:kern w:val="22"/>
          <w:lang w:val="fr-FR"/>
        </w:rPr>
        <w:tab/>
        <w:t>Invite</w:t>
      </w:r>
      <w:r>
        <w:rPr>
          <w:rFonts w:cs="Times New Roman"/>
          <w:i/>
          <w:snapToGrid w:val="0"/>
          <w:kern w:val="22"/>
          <w:lang w:val="fr-FR"/>
        </w:rPr>
        <w:t xml:space="preserve"> aussi</w:t>
      </w:r>
      <w:r>
        <w:rPr>
          <w:rFonts w:cs="Times New Roman"/>
          <w:snapToGrid w:val="0"/>
          <w:kern w:val="22"/>
          <w:lang w:val="fr-FR"/>
        </w:rPr>
        <w:t xml:space="preserve"> le réseau </w:t>
      </w:r>
      <w:r w:rsidRPr="0059418A">
        <w:rPr>
          <w:rFonts w:cs="Times New Roman"/>
          <w:i/>
          <w:snapToGrid w:val="0"/>
          <w:kern w:val="22"/>
          <w:lang w:val="fr-FR"/>
        </w:rPr>
        <w:t>Friends of Ecosystem-based Adaptation</w:t>
      </w:r>
      <w:r>
        <w:rPr>
          <w:rFonts w:cs="Times New Roman"/>
          <w:snapToGrid w:val="0"/>
          <w:kern w:val="22"/>
          <w:lang w:val="fr-FR"/>
        </w:rPr>
        <w:t xml:space="preserve"> (FEBA) et le </w:t>
      </w:r>
      <w:r>
        <w:rPr>
          <w:kern w:val="22"/>
          <w:lang w:val="fr-FR"/>
        </w:rPr>
        <w:t>Partenariat sur l’environnement et la r</w:t>
      </w:r>
      <w:r w:rsidRPr="00682904">
        <w:rPr>
          <w:kern w:val="22"/>
          <w:lang w:val="fr-FR"/>
        </w:rPr>
        <w:t>édu</w:t>
      </w:r>
      <w:r>
        <w:rPr>
          <w:kern w:val="22"/>
          <w:lang w:val="fr-FR"/>
        </w:rPr>
        <w:t>ction des risques de catastrophe naturelle,</w:t>
      </w:r>
      <w:r>
        <w:rPr>
          <w:rFonts w:cs="Times New Roman"/>
          <w:snapToGrid w:val="0"/>
          <w:kern w:val="22"/>
          <w:lang w:val="fr-FR"/>
        </w:rPr>
        <w:t xml:space="preserve"> et leurs membres respectifs, à continuer de soutenir les Parties dans leurs efforts prodigués pour promouvoir des approches écosystémiques d’adaptation aux changements climatiques et de réduction des risques de catastrophe naturelle;</w:t>
      </w:r>
    </w:p>
    <w:p w:rsidR="009F6935" w:rsidRPr="009F6356" w:rsidRDefault="009F6935" w:rsidP="009F6935">
      <w:pPr>
        <w:suppressLineNumbers/>
        <w:suppressAutoHyphens/>
        <w:kinsoku w:val="0"/>
        <w:overflowPunct w:val="0"/>
        <w:autoSpaceDE w:val="0"/>
        <w:autoSpaceDN w:val="0"/>
        <w:adjustRightInd w:val="0"/>
        <w:snapToGrid w:val="0"/>
        <w:spacing w:before="120" w:after="120"/>
        <w:ind w:firstLine="709"/>
        <w:rPr>
          <w:snapToGrid w:val="0"/>
          <w:kern w:val="22"/>
          <w:szCs w:val="22"/>
          <w:lang w:val="fr-FR"/>
        </w:rPr>
      </w:pPr>
      <w:r>
        <w:rPr>
          <w:snapToGrid w:val="0"/>
          <w:kern w:val="22"/>
          <w:lang w:val="fr-FR"/>
        </w:rPr>
        <w:t>10</w:t>
      </w:r>
      <w:r w:rsidRPr="009F6356">
        <w:rPr>
          <w:snapToGrid w:val="0"/>
          <w:kern w:val="22"/>
          <w:lang w:val="fr-FR"/>
        </w:rPr>
        <w:t>.</w:t>
      </w:r>
      <w:r w:rsidRPr="009F6356">
        <w:rPr>
          <w:snapToGrid w:val="0"/>
          <w:kern w:val="22"/>
          <w:lang w:val="fr-FR"/>
        </w:rPr>
        <w:tab/>
      </w:r>
      <w:r>
        <w:rPr>
          <w:i/>
          <w:iCs/>
          <w:snapToGrid w:val="0"/>
          <w:kern w:val="22"/>
          <w:szCs w:val="22"/>
          <w:lang w:val="fr-FR"/>
        </w:rPr>
        <w:t>Prie</w:t>
      </w:r>
      <w:r w:rsidRPr="009F6356">
        <w:rPr>
          <w:snapToGrid w:val="0"/>
          <w:kern w:val="22"/>
          <w:szCs w:val="22"/>
          <w:lang w:val="fr-FR"/>
        </w:rPr>
        <w:t xml:space="preserve"> </w:t>
      </w:r>
      <w:r>
        <w:rPr>
          <w:snapToGrid w:val="0"/>
          <w:kern w:val="22"/>
          <w:szCs w:val="22"/>
          <w:lang w:val="fr-FR"/>
        </w:rPr>
        <w:t xml:space="preserve">la Secrétaire exécutive, dans la limite des ressources disponibles, et </w:t>
      </w:r>
      <w:r w:rsidRPr="00BB4D66">
        <w:rPr>
          <w:i/>
          <w:snapToGrid w:val="0"/>
          <w:kern w:val="22"/>
          <w:szCs w:val="22"/>
          <w:lang w:val="fr-FR"/>
        </w:rPr>
        <w:t>invite</w:t>
      </w:r>
      <w:r>
        <w:rPr>
          <w:snapToGrid w:val="0"/>
          <w:kern w:val="22"/>
          <w:szCs w:val="22"/>
          <w:lang w:val="fr-FR"/>
        </w:rPr>
        <w:t xml:space="preserve"> les Parties, les autres gouvernements et les organisations internationales qui sont en mesure de le faire, à aider les Parties à utiliser des approches écosystémiques </w:t>
      </w:r>
      <w:r>
        <w:rPr>
          <w:snapToGrid w:val="0"/>
          <w:kern w:val="22"/>
          <w:lang w:val="fr-FR"/>
        </w:rPr>
        <w:t>d’adaptation aux changements climatiques et de réduction des risques de catastrophe naturelle</w:t>
      </w:r>
      <w:r>
        <w:rPr>
          <w:snapToGrid w:val="0"/>
          <w:kern w:val="22"/>
          <w:szCs w:val="22"/>
          <w:lang w:val="fr-FR"/>
        </w:rPr>
        <w:t>, en ayant recours, entre autres, aux lignes directrices facultatives pour la conception et l’application effective des approches écosystémiques d’adaptation aux changements climatiques et de réduction des risques de catastrophe naturelle, et notamment, à tous les niveaux pertinents :</w:t>
      </w:r>
    </w:p>
    <w:p w:rsidR="009F6935"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9F6356">
        <w:rPr>
          <w:snapToGrid w:val="0"/>
          <w:kern w:val="22"/>
          <w:szCs w:val="22"/>
          <w:lang w:val="fr-FR"/>
        </w:rPr>
        <w:t>a)</w:t>
      </w:r>
      <w:r w:rsidRPr="009F6356">
        <w:rPr>
          <w:snapToGrid w:val="0"/>
          <w:kern w:val="22"/>
          <w:szCs w:val="22"/>
          <w:lang w:val="fr-FR"/>
        </w:rPr>
        <w:tab/>
      </w:r>
      <w:r>
        <w:rPr>
          <w:snapToGrid w:val="0"/>
          <w:kern w:val="22"/>
          <w:szCs w:val="22"/>
          <w:lang w:val="fr-FR"/>
        </w:rPr>
        <w:t>Réaliser des activités de renforcement des capacités;</w:t>
      </w:r>
    </w:p>
    <w:p w:rsidR="009F6935" w:rsidRPr="007B1F99"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b)</w:t>
      </w:r>
      <w:r>
        <w:rPr>
          <w:snapToGrid w:val="0"/>
          <w:kern w:val="22"/>
          <w:szCs w:val="22"/>
          <w:lang w:val="fr-FR"/>
        </w:rPr>
        <w:tab/>
        <w:t>Favoriser des activités de sensibilisation</w:t>
      </w:r>
      <w:r w:rsidRPr="007B1F99">
        <w:rPr>
          <w:snapToGrid w:val="0"/>
          <w:kern w:val="22"/>
          <w:szCs w:val="22"/>
          <w:lang w:val="fr-FR"/>
        </w:rPr>
        <w:t>;</w:t>
      </w:r>
    </w:p>
    <w:p w:rsidR="009F6935" w:rsidRPr="007B1F99"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B1F99">
        <w:rPr>
          <w:snapToGrid w:val="0"/>
          <w:kern w:val="22"/>
          <w:szCs w:val="22"/>
          <w:lang w:val="fr-FR"/>
        </w:rPr>
        <w:t>c)</w:t>
      </w:r>
      <w:r w:rsidRPr="007B1F99">
        <w:rPr>
          <w:snapToGrid w:val="0"/>
          <w:kern w:val="22"/>
          <w:szCs w:val="22"/>
          <w:lang w:val="fr-FR"/>
        </w:rPr>
        <w:tab/>
      </w:r>
      <w:r>
        <w:rPr>
          <w:snapToGrid w:val="0"/>
          <w:kern w:val="22"/>
          <w:szCs w:val="22"/>
          <w:lang w:val="fr-FR"/>
        </w:rPr>
        <w:t>Appuyer l’utilisation</w:t>
      </w:r>
      <w:r w:rsidRPr="007B1F99">
        <w:rPr>
          <w:snapToGrid w:val="0"/>
          <w:kern w:val="22"/>
          <w:szCs w:val="22"/>
          <w:lang w:val="fr-FR"/>
        </w:rPr>
        <w:t xml:space="preserve"> d’outils, y compris des systèmes communautaires de suivi et d’in</w:t>
      </w:r>
      <w:r>
        <w:rPr>
          <w:snapToGrid w:val="0"/>
          <w:kern w:val="22"/>
          <w:szCs w:val="22"/>
          <w:lang w:val="fr-FR"/>
        </w:rPr>
        <w:t>formation des peu</w:t>
      </w:r>
      <w:r w:rsidRPr="007B1F99">
        <w:rPr>
          <w:snapToGrid w:val="0"/>
          <w:kern w:val="22"/>
          <w:szCs w:val="22"/>
          <w:lang w:val="fr-FR"/>
        </w:rPr>
        <w:t xml:space="preserve">ples </w:t>
      </w:r>
      <w:r>
        <w:rPr>
          <w:snapToGrid w:val="0"/>
          <w:kern w:val="22"/>
          <w:szCs w:val="22"/>
          <w:lang w:val="fr-FR"/>
        </w:rPr>
        <w:t>autochtones et communauté</w:t>
      </w:r>
      <w:r w:rsidRPr="007B1F99">
        <w:rPr>
          <w:snapToGrid w:val="0"/>
          <w:kern w:val="22"/>
          <w:szCs w:val="22"/>
          <w:lang w:val="fr-FR"/>
        </w:rPr>
        <w:t>s</w:t>
      </w:r>
      <w:r>
        <w:rPr>
          <w:snapToGrid w:val="0"/>
          <w:kern w:val="22"/>
          <w:szCs w:val="22"/>
          <w:lang w:val="fr-FR"/>
        </w:rPr>
        <w:t xml:space="preserve"> locales</w:t>
      </w:r>
      <w:r w:rsidRPr="007B1F99">
        <w:rPr>
          <w:snapToGrid w:val="0"/>
          <w:kern w:val="22"/>
          <w:szCs w:val="22"/>
          <w:lang w:val="fr-FR"/>
        </w:rPr>
        <w:t>;</w:t>
      </w:r>
    </w:p>
    <w:p w:rsidR="009F6935" w:rsidRPr="00861C97"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61C97">
        <w:rPr>
          <w:snapToGrid w:val="0"/>
          <w:kern w:val="22"/>
          <w:szCs w:val="22"/>
          <w:lang w:val="fr-FR"/>
        </w:rPr>
        <w:t>d)</w:t>
      </w:r>
      <w:r w:rsidRPr="00861C97">
        <w:rPr>
          <w:snapToGrid w:val="0"/>
          <w:kern w:val="22"/>
          <w:szCs w:val="22"/>
          <w:lang w:val="fr-FR"/>
        </w:rPr>
        <w:tab/>
      </w:r>
      <w:r>
        <w:rPr>
          <w:snapToGrid w:val="0"/>
          <w:kern w:val="22"/>
          <w:szCs w:val="22"/>
          <w:lang w:val="fr-FR"/>
        </w:rPr>
        <w:t xml:space="preserve">Appuyer </w:t>
      </w:r>
      <w:r w:rsidRPr="00861C97">
        <w:rPr>
          <w:snapToGrid w:val="0"/>
          <w:kern w:val="22"/>
          <w:szCs w:val="22"/>
          <w:lang w:val="fr-FR"/>
        </w:rPr>
        <w:t>notamment</w:t>
      </w:r>
      <w:r>
        <w:rPr>
          <w:snapToGrid w:val="0"/>
          <w:kern w:val="22"/>
          <w:szCs w:val="22"/>
          <w:lang w:val="fr-FR"/>
        </w:rPr>
        <w:t xml:space="preserve"> </w:t>
      </w:r>
      <w:r w:rsidRPr="00861C97">
        <w:rPr>
          <w:snapToGrid w:val="0"/>
          <w:kern w:val="22"/>
          <w:szCs w:val="22"/>
          <w:lang w:val="fr-FR"/>
        </w:rPr>
        <w:t xml:space="preserve">les pays en </w:t>
      </w:r>
      <w:r>
        <w:rPr>
          <w:snapToGrid w:val="0"/>
          <w:kern w:val="22"/>
          <w:szCs w:val="22"/>
          <w:lang w:val="fr-FR"/>
        </w:rPr>
        <w:t>dé</w:t>
      </w:r>
      <w:r w:rsidRPr="00861C97">
        <w:rPr>
          <w:snapToGrid w:val="0"/>
          <w:kern w:val="22"/>
          <w:szCs w:val="22"/>
          <w:lang w:val="fr-FR"/>
        </w:rPr>
        <w:t xml:space="preserve">veloppement, </w:t>
      </w:r>
      <w:r>
        <w:rPr>
          <w:snapToGrid w:val="0"/>
          <w:kern w:val="22"/>
          <w:szCs w:val="22"/>
          <w:lang w:val="fr-FR"/>
        </w:rPr>
        <w:t xml:space="preserve">en </w:t>
      </w:r>
      <w:r w:rsidRPr="00861C97">
        <w:rPr>
          <w:snapToGrid w:val="0"/>
          <w:kern w:val="22"/>
          <w:szCs w:val="22"/>
          <w:lang w:val="fr-FR"/>
        </w:rPr>
        <w:t>particu</w:t>
      </w:r>
      <w:r>
        <w:rPr>
          <w:snapToGrid w:val="0"/>
          <w:kern w:val="22"/>
          <w:szCs w:val="22"/>
          <w:lang w:val="fr-FR"/>
        </w:rPr>
        <w:t>lier les pays les moins avancés et</w:t>
      </w:r>
      <w:r w:rsidRPr="00861C97">
        <w:rPr>
          <w:snapToGrid w:val="0"/>
          <w:kern w:val="22"/>
          <w:szCs w:val="22"/>
          <w:lang w:val="fr-FR"/>
        </w:rPr>
        <w:t xml:space="preserve"> les petits Etats</w:t>
      </w:r>
      <w:r>
        <w:rPr>
          <w:snapToGrid w:val="0"/>
          <w:kern w:val="22"/>
          <w:szCs w:val="22"/>
          <w:lang w:val="fr-FR"/>
        </w:rPr>
        <w:t xml:space="preserve"> insulaires en développement parmi eux, en tenant compte des besoins des pays qui sont les plus vulnérables face aux changements climatiques</w:t>
      </w:r>
      <w:r w:rsidRPr="00861C97">
        <w:rPr>
          <w:snapToGrid w:val="0"/>
          <w:kern w:val="22"/>
          <w:szCs w:val="22"/>
          <w:lang w:val="fr-FR"/>
        </w:rPr>
        <w:t>;</w:t>
      </w:r>
    </w:p>
    <w:p w:rsidR="009F6935" w:rsidRPr="00861C97"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861C97">
        <w:rPr>
          <w:snapToGrid w:val="0"/>
          <w:kern w:val="22"/>
          <w:szCs w:val="22"/>
          <w:lang w:val="fr-FR"/>
        </w:rPr>
        <w:t>11.</w:t>
      </w:r>
      <w:r w:rsidRPr="00861C97">
        <w:rPr>
          <w:snapToGrid w:val="0"/>
          <w:kern w:val="22"/>
          <w:szCs w:val="22"/>
          <w:lang w:val="fr-FR"/>
        </w:rPr>
        <w:tab/>
      </w:r>
      <w:r w:rsidRPr="00861C97">
        <w:rPr>
          <w:i/>
          <w:snapToGrid w:val="0"/>
          <w:kern w:val="22"/>
          <w:szCs w:val="22"/>
          <w:lang w:val="fr-FR"/>
        </w:rPr>
        <w:t>Prie</w:t>
      </w:r>
      <w:r w:rsidRPr="00861C97">
        <w:rPr>
          <w:snapToGrid w:val="0"/>
          <w:kern w:val="22"/>
          <w:szCs w:val="22"/>
          <w:lang w:val="fr-FR"/>
        </w:rPr>
        <w:t xml:space="preserve"> la Secrétaire exécutive, en collaboration avec les</w:t>
      </w:r>
      <w:r>
        <w:rPr>
          <w:snapToGrid w:val="0"/>
          <w:kern w:val="22"/>
          <w:szCs w:val="22"/>
          <w:lang w:val="fr-FR"/>
        </w:rPr>
        <w:t xml:space="preserve"> Parties, les autres</w:t>
      </w:r>
      <w:r w:rsidRPr="00861C97">
        <w:rPr>
          <w:snapToGrid w:val="0"/>
          <w:kern w:val="22"/>
          <w:szCs w:val="22"/>
          <w:lang w:val="fr-FR"/>
        </w:rPr>
        <w:t xml:space="preserve"> go</w:t>
      </w:r>
      <w:r>
        <w:rPr>
          <w:snapToGrid w:val="0"/>
          <w:kern w:val="22"/>
          <w:szCs w:val="22"/>
          <w:lang w:val="fr-FR"/>
        </w:rPr>
        <w:t>u</w:t>
      </w:r>
      <w:r w:rsidRPr="00861C97">
        <w:rPr>
          <w:snapToGrid w:val="0"/>
          <w:kern w:val="22"/>
          <w:szCs w:val="22"/>
          <w:lang w:val="fr-FR"/>
        </w:rPr>
        <w:t>vern</w:t>
      </w:r>
      <w:r>
        <w:rPr>
          <w:snapToGrid w:val="0"/>
          <w:kern w:val="22"/>
          <w:szCs w:val="22"/>
          <w:lang w:val="fr-FR"/>
        </w:rPr>
        <w:t>ements, les secrétariats d’accords m</w:t>
      </w:r>
      <w:r w:rsidRPr="00861C97">
        <w:rPr>
          <w:snapToGrid w:val="0"/>
          <w:kern w:val="22"/>
          <w:szCs w:val="22"/>
          <w:lang w:val="fr-FR"/>
        </w:rPr>
        <w:t>ultil</w:t>
      </w:r>
      <w:r>
        <w:rPr>
          <w:snapToGrid w:val="0"/>
          <w:kern w:val="22"/>
          <w:szCs w:val="22"/>
          <w:lang w:val="fr-FR"/>
        </w:rPr>
        <w:t>atéraux sur l’e</w:t>
      </w:r>
      <w:r w:rsidRPr="00861C97">
        <w:rPr>
          <w:snapToGrid w:val="0"/>
          <w:kern w:val="22"/>
          <w:szCs w:val="22"/>
          <w:lang w:val="fr-FR"/>
        </w:rPr>
        <w:t>nviron</w:t>
      </w:r>
      <w:r>
        <w:rPr>
          <w:snapToGrid w:val="0"/>
          <w:kern w:val="22"/>
          <w:szCs w:val="22"/>
          <w:lang w:val="fr-FR"/>
        </w:rPr>
        <w:t xml:space="preserve">nement pertinents et d’autres organisations compétentes, de </w:t>
      </w:r>
      <w:r w:rsidRPr="00861C97">
        <w:rPr>
          <w:snapToGrid w:val="0"/>
          <w:kern w:val="22"/>
          <w:szCs w:val="22"/>
          <w:lang w:val="fr-FR"/>
        </w:rPr>
        <w:t>:</w:t>
      </w:r>
    </w:p>
    <w:p w:rsidR="009F6935"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snapToGrid w:val="0"/>
          <w:kern w:val="22"/>
          <w:szCs w:val="22"/>
          <w:lang w:val="fr-FR"/>
        </w:rPr>
        <w:t>a</w:t>
      </w:r>
      <w:r w:rsidRPr="009F6356">
        <w:rPr>
          <w:snapToGrid w:val="0"/>
          <w:kern w:val="22"/>
          <w:szCs w:val="22"/>
          <w:lang w:val="fr-FR"/>
        </w:rPr>
        <w:t>)</w:t>
      </w:r>
      <w:r w:rsidRPr="009F6356">
        <w:rPr>
          <w:snapToGrid w:val="0"/>
          <w:kern w:val="22"/>
          <w:szCs w:val="22"/>
          <w:lang w:val="fr-FR"/>
        </w:rPr>
        <w:tab/>
      </w:r>
      <w:r>
        <w:rPr>
          <w:snapToGrid w:val="0"/>
          <w:kern w:val="22"/>
          <w:szCs w:val="22"/>
          <w:lang w:val="fr-FR"/>
        </w:rPr>
        <w:t>Mettre à jour les orientations, outils et informations sur les initiatives disponibles dans les lignes directrices facultatives pour la conception et l’application effective des approches écosystémiques d’adaptation aux changements climatiques et de réduction des risques de catastrophe naturelle</w:t>
      </w:r>
      <w:r w:rsidRPr="00010EA0">
        <w:rPr>
          <w:rStyle w:val="FootnoteReference"/>
          <w:snapToGrid w:val="0"/>
          <w:kern w:val="22"/>
          <w:sz w:val="20"/>
          <w:szCs w:val="20"/>
          <w:u w:val="none"/>
          <w:vertAlign w:val="superscript"/>
          <w:lang w:val="fr-FR"/>
        </w:rPr>
        <w:footnoteReference w:id="90"/>
      </w:r>
      <w:r>
        <w:rPr>
          <w:snapToGrid w:val="0"/>
          <w:kern w:val="22"/>
          <w:szCs w:val="22"/>
          <w:lang w:val="fr-FR"/>
        </w:rPr>
        <w:t>, selon que de besoin et sur la base des informations fournies par les Parties, conformément au paragraphe 8 ;</w:t>
      </w:r>
    </w:p>
    <w:p w:rsidR="009F6935" w:rsidRPr="00EE07A0"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lang w:val="fr-FR"/>
        </w:rPr>
      </w:pPr>
      <w:r w:rsidRPr="00EE07A0">
        <w:rPr>
          <w:snapToGrid w:val="0"/>
          <w:kern w:val="22"/>
          <w:lang w:val="fr-FR"/>
        </w:rPr>
        <w:t>b)</w:t>
      </w:r>
      <w:r w:rsidRPr="00EE07A0">
        <w:rPr>
          <w:snapToGrid w:val="0"/>
          <w:kern w:val="22"/>
          <w:lang w:val="fr-FR"/>
        </w:rPr>
        <w:tab/>
        <w:t>Consolider des études de cas au</w:t>
      </w:r>
      <w:r>
        <w:rPr>
          <w:snapToGrid w:val="0"/>
          <w:kern w:val="22"/>
          <w:lang w:val="fr-FR"/>
        </w:rPr>
        <w:t>x</w:t>
      </w:r>
      <w:r w:rsidRPr="00EE07A0">
        <w:rPr>
          <w:snapToGrid w:val="0"/>
          <w:kern w:val="22"/>
          <w:lang w:val="fr-FR"/>
        </w:rPr>
        <w:t xml:space="preserve"> niveau</w:t>
      </w:r>
      <w:r>
        <w:rPr>
          <w:snapToGrid w:val="0"/>
          <w:kern w:val="22"/>
          <w:lang w:val="fr-FR"/>
        </w:rPr>
        <w:t>x national, régional et international sur l’application des approches écosystémiques d’adaptation aux changements climatiques et</w:t>
      </w:r>
      <w:r w:rsidRPr="00EE07A0">
        <w:rPr>
          <w:snapToGrid w:val="0"/>
          <w:kern w:val="22"/>
          <w:lang w:val="fr-FR"/>
        </w:rPr>
        <w:t xml:space="preserve"> </w:t>
      </w:r>
      <w:r>
        <w:rPr>
          <w:snapToGrid w:val="0"/>
          <w:kern w:val="22"/>
          <w:lang w:val="fr-FR"/>
        </w:rPr>
        <w:t>de réduction des risques de catastrophe naturelle</w:t>
      </w:r>
      <w:r w:rsidRPr="00EE07A0">
        <w:rPr>
          <w:snapToGrid w:val="0"/>
          <w:kern w:val="22"/>
          <w:lang w:val="fr-FR"/>
        </w:rPr>
        <w:t>;</w:t>
      </w:r>
    </w:p>
    <w:p w:rsidR="009F6935" w:rsidRPr="00EE07A0" w:rsidRDefault="009F6935" w:rsidP="009F6935">
      <w:pPr>
        <w:suppressLineNumbers/>
        <w:suppressAutoHyphens/>
        <w:kinsoku w:val="0"/>
        <w:overflowPunct w:val="0"/>
        <w:autoSpaceDE w:val="0"/>
        <w:autoSpaceDN w:val="0"/>
        <w:adjustRightInd w:val="0"/>
        <w:snapToGrid w:val="0"/>
        <w:spacing w:before="120" w:after="240"/>
        <w:ind w:firstLine="720"/>
        <w:rPr>
          <w:snapToGrid w:val="0"/>
          <w:kern w:val="22"/>
          <w:lang w:val="fr-FR"/>
        </w:rPr>
      </w:pPr>
      <w:r w:rsidRPr="00EE07A0">
        <w:rPr>
          <w:snapToGrid w:val="0"/>
          <w:kern w:val="22"/>
          <w:lang w:val="fr-FR"/>
        </w:rPr>
        <w:lastRenderedPageBreak/>
        <w:t>c)</w:t>
      </w:r>
      <w:r w:rsidRPr="00EE07A0">
        <w:rPr>
          <w:snapToGrid w:val="0"/>
          <w:kern w:val="22"/>
          <w:lang w:val="fr-FR"/>
        </w:rPr>
        <w:tab/>
        <w:t xml:space="preserve">Mettre à disposition les informations </w:t>
      </w:r>
      <w:r>
        <w:rPr>
          <w:snapToGrid w:val="0"/>
          <w:kern w:val="22"/>
          <w:lang w:val="fr-FR"/>
        </w:rPr>
        <w:t xml:space="preserve">fournies </w:t>
      </w:r>
      <w:r w:rsidRPr="00EE07A0">
        <w:rPr>
          <w:snapToGrid w:val="0"/>
          <w:kern w:val="22"/>
          <w:lang w:val="fr-FR"/>
        </w:rPr>
        <w:t>sur ce qui précède</w:t>
      </w:r>
      <w:r>
        <w:rPr>
          <w:snapToGrid w:val="0"/>
          <w:kern w:val="22"/>
          <w:lang w:val="fr-FR"/>
        </w:rPr>
        <w:t>, par le biais du C</w:t>
      </w:r>
      <w:r w:rsidRPr="00EE07A0">
        <w:rPr>
          <w:snapToGrid w:val="0"/>
          <w:kern w:val="22"/>
          <w:lang w:val="fr-FR"/>
        </w:rPr>
        <w:t>entre d’</w:t>
      </w:r>
      <w:r>
        <w:rPr>
          <w:snapToGrid w:val="0"/>
          <w:kern w:val="22"/>
          <w:lang w:val="fr-FR"/>
        </w:rPr>
        <w:t>échange</w:t>
      </w:r>
      <w:r w:rsidRPr="00EE07A0">
        <w:rPr>
          <w:snapToGrid w:val="0"/>
          <w:kern w:val="22"/>
          <w:lang w:val="fr-FR"/>
        </w:rPr>
        <w:t>;</w:t>
      </w:r>
    </w:p>
    <w:p w:rsidR="009F6935"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Pr>
          <w:iCs/>
          <w:snapToGrid w:val="0"/>
          <w:kern w:val="22"/>
          <w:szCs w:val="22"/>
          <w:lang w:val="fr-FR"/>
        </w:rPr>
        <w:t>12</w:t>
      </w:r>
      <w:r w:rsidRPr="009F6356">
        <w:rPr>
          <w:iCs/>
          <w:snapToGrid w:val="0"/>
          <w:kern w:val="22"/>
          <w:szCs w:val="22"/>
          <w:lang w:val="fr-FR"/>
        </w:rPr>
        <w:t>.</w:t>
      </w:r>
      <w:r w:rsidRPr="009F6356">
        <w:rPr>
          <w:iCs/>
          <w:snapToGrid w:val="0"/>
          <w:kern w:val="22"/>
          <w:szCs w:val="22"/>
          <w:lang w:val="fr-FR"/>
        </w:rPr>
        <w:tab/>
      </w:r>
      <w:r w:rsidRPr="00A539A4">
        <w:rPr>
          <w:iCs/>
          <w:snapToGrid w:val="0"/>
          <w:kern w:val="22"/>
          <w:szCs w:val="22"/>
          <w:lang w:val="fr-FR"/>
        </w:rPr>
        <w:t>[</w:t>
      </w:r>
      <w:r>
        <w:rPr>
          <w:i/>
          <w:snapToGrid w:val="0"/>
          <w:kern w:val="22"/>
          <w:szCs w:val="22"/>
          <w:lang w:val="fr-FR"/>
        </w:rPr>
        <w:t>Prie également</w:t>
      </w:r>
      <w:r>
        <w:rPr>
          <w:snapToGrid w:val="0"/>
          <w:kern w:val="22"/>
          <w:szCs w:val="22"/>
          <w:lang w:val="fr-FR"/>
        </w:rPr>
        <w:t xml:space="preserve"> la Secrétaire exécutive, dans la limite des ressources disponibles, de :</w:t>
      </w:r>
    </w:p>
    <w:p w:rsidR="009F6935" w:rsidRDefault="009F6935" w:rsidP="009F6935">
      <w:pPr>
        <w:suppressLineNumbers/>
        <w:suppressAutoHyphens/>
        <w:kinsoku w:val="0"/>
        <w:overflowPunct w:val="0"/>
        <w:autoSpaceDE w:val="0"/>
        <w:autoSpaceDN w:val="0"/>
        <w:adjustRightInd w:val="0"/>
        <w:snapToGrid w:val="0"/>
        <w:spacing w:before="120" w:after="120"/>
        <w:ind w:firstLine="708"/>
        <w:rPr>
          <w:snapToGrid w:val="0"/>
          <w:kern w:val="22"/>
          <w:szCs w:val="22"/>
          <w:lang w:val="fr-FR"/>
        </w:rPr>
      </w:pPr>
      <w:r>
        <w:rPr>
          <w:snapToGrid w:val="0"/>
          <w:kern w:val="22"/>
          <w:szCs w:val="22"/>
          <w:lang w:val="fr-FR"/>
        </w:rPr>
        <w:t>a)</w:t>
      </w:r>
      <w:r>
        <w:rPr>
          <w:snapToGrid w:val="0"/>
          <w:kern w:val="22"/>
          <w:szCs w:val="22"/>
          <w:lang w:val="fr-FR"/>
        </w:rPr>
        <w:tab/>
        <w:t>Examiner les nouvelles informations scientifiques et techniques concernant les impacts des changements climatiques sur la diversité biologique, le rôle des écosystèmes dans l’adaptation et l’atténuation des changements climatiques et la réduction des risques de catastrophe naturelle, et la restauration des écosystèmes et la gestion durable des terres, y compris en tenant compte des conclusions du rapport spécial sur les effets d’un réchauffement planétaire de 1,5°C au-dessus des niveaux préindustriels et les profils d’évolution des émissions mondiales de gaz à effet de serre connexes,</w:t>
      </w:r>
      <w:r w:rsidRPr="009F6356">
        <w:rPr>
          <w:snapToGrid w:val="0"/>
          <w:kern w:val="22"/>
          <w:szCs w:val="22"/>
          <w:lang w:val="fr-FR"/>
        </w:rPr>
        <w:t xml:space="preserve"> </w:t>
      </w:r>
      <w:r>
        <w:rPr>
          <w:snapToGrid w:val="0"/>
          <w:kern w:val="22"/>
          <w:szCs w:val="22"/>
          <w:lang w:val="fr-FR"/>
        </w:rPr>
        <w:t>dans le contexte du renforcement d’une riposte mondiale contre la menace du changement climatique, du développement durable et des initiatives visant à éliminer la pauvreté, publiées par le Groupe d’experts intergouvernemental sur l’évolution du climat, afin d’identifier les conséquences potentielles pour les travaux de la Convention, aux fins d’examen par l’Organe subsidiaire chargé de fournir des avis scientifiques, techniques et technologiques;</w:t>
      </w:r>
    </w:p>
    <w:p w:rsidR="009F6935" w:rsidRPr="00A539A4"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b)</w:t>
      </w:r>
      <w:r w:rsidRPr="007657A1">
        <w:rPr>
          <w:snapToGrid w:val="0"/>
          <w:kern w:val="22"/>
          <w:szCs w:val="22"/>
          <w:lang w:val="fr-FR"/>
        </w:rPr>
        <w:tab/>
      </w:r>
      <w:r>
        <w:rPr>
          <w:snapToGrid w:val="0"/>
          <w:kern w:val="22"/>
          <w:szCs w:val="22"/>
          <w:lang w:val="fr-FR"/>
        </w:rPr>
        <w:t>Etabli</w:t>
      </w:r>
      <w:r w:rsidRPr="007657A1">
        <w:rPr>
          <w:snapToGrid w:val="0"/>
          <w:kern w:val="22"/>
          <w:szCs w:val="22"/>
          <w:lang w:val="fr-FR"/>
        </w:rPr>
        <w:t>r</w:t>
      </w:r>
      <w:r>
        <w:rPr>
          <w:snapToGrid w:val="0"/>
          <w:kern w:val="22"/>
          <w:szCs w:val="22"/>
          <w:lang w:val="fr-FR"/>
        </w:rPr>
        <w:t xml:space="preserve"> un rapport sur les conséquence</w:t>
      </w:r>
      <w:r w:rsidRPr="007657A1">
        <w:rPr>
          <w:snapToGrid w:val="0"/>
          <w:kern w:val="22"/>
          <w:szCs w:val="22"/>
          <w:lang w:val="fr-FR"/>
        </w:rPr>
        <w:t xml:space="preserve">s potentielles </w:t>
      </w:r>
      <w:r>
        <w:rPr>
          <w:snapToGrid w:val="0"/>
          <w:kern w:val="22"/>
          <w:szCs w:val="22"/>
          <w:lang w:val="fr-FR"/>
        </w:rPr>
        <w:t xml:space="preserve">de ce qui précède pour </w:t>
      </w:r>
      <w:r w:rsidRPr="007657A1">
        <w:rPr>
          <w:snapToGrid w:val="0"/>
          <w:kern w:val="22"/>
          <w:szCs w:val="22"/>
          <w:lang w:val="fr-FR"/>
        </w:rPr>
        <w:t xml:space="preserve">les travaux de la Convention, aux fins d’examen par l’Organe subsidiaire chargé de fournir des avis scientifiques, techniques et technologiques </w:t>
      </w:r>
      <w:r>
        <w:rPr>
          <w:snapToGrid w:val="0"/>
          <w:kern w:val="22"/>
          <w:szCs w:val="22"/>
          <w:lang w:val="fr-FR"/>
        </w:rPr>
        <w:t>à une réunion qui se tiendra avant la quinzième réunion de la Conférence des</w:t>
      </w:r>
      <w:r w:rsidRPr="007657A1">
        <w:rPr>
          <w:snapToGrid w:val="0"/>
          <w:kern w:val="22"/>
          <w:szCs w:val="22"/>
          <w:lang w:val="fr-FR"/>
        </w:rPr>
        <w:t xml:space="preserve"> Parties;</w:t>
      </w:r>
      <w:r w:rsidRPr="00A539A4">
        <w:rPr>
          <w:snapToGrid w:val="0"/>
          <w:kern w:val="22"/>
          <w:szCs w:val="22"/>
          <w:lang w:val="fr-FR"/>
        </w:rPr>
        <w:t>]</w:t>
      </w:r>
    </w:p>
    <w:p w:rsidR="009F6935" w:rsidRPr="007657A1"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13.</w:t>
      </w:r>
      <w:r w:rsidRPr="007657A1">
        <w:rPr>
          <w:snapToGrid w:val="0"/>
          <w:kern w:val="22"/>
          <w:szCs w:val="22"/>
          <w:lang w:val="fr-FR"/>
        </w:rPr>
        <w:tab/>
      </w:r>
      <w:r>
        <w:rPr>
          <w:snapToGrid w:val="0"/>
          <w:kern w:val="22"/>
          <w:szCs w:val="22"/>
          <w:lang w:val="fr-FR"/>
        </w:rPr>
        <w:t>[</w:t>
      </w:r>
      <w:r w:rsidRPr="007657A1">
        <w:rPr>
          <w:i/>
          <w:snapToGrid w:val="0"/>
          <w:kern w:val="22"/>
          <w:szCs w:val="22"/>
          <w:lang w:val="fr-FR"/>
        </w:rPr>
        <w:t>Demande en out</w:t>
      </w:r>
      <w:r>
        <w:rPr>
          <w:i/>
          <w:snapToGrid w:val="0"/>
          <w:kern w:val="22"/>
          <w:szCs w:val="22"/>
          <w:lang w:val="fr-FR"/>
        </w:rPr>
        <w:t>r</w:t>
      </w:r>
      <w:r w:rsidRPr="007657A1">
        <w:rPr>
          <w:i/>
          <w:snapToGrid w:val="0"/>
          <w:kern w:val="22"/>
          <w:szCs w:val="22"/>
          <w:lang w:val="fr-FR"/>
        </w:rPr>
        <w:t>e</w:t>
      </w:r>
      <w:r w:rsidRPr="007657A1">
        <w:rPr>
          <w:snapToGrid w:val="0"/>
          <w:kern w:val="22"/>
          <w:szCs w:val="22"/>
          <w:lang w:val="fr-FR"/>
        </w:rPr>
        <w:t xml:space="preserve"> à la Secrétaire </w:t>
      </w:r>
      <w:r>
        <w:rPr>
          <w:snapToGrid w:val="0"/>
          <w:kern w:val="22"/>
          <w:szCs w:val="22"/>
          <w:lang w:val="fr-FR"/>
        </w:rPr>
        <w:t>exé</w:t>
      </w:r>
      <w:r w:rsidRPr="007657A1">
        <w:rPr>
          <w:snapToGrid w:val="0"/>
          <w:kern w:val="22"/>
          <w:szCs w:val="22"/>
          <w:lang w:val="fr-FR"/>
        </w:rPr>
        <w:t>cutive d’</w:t>
      </w:r>
      <w:r>
        <w:rPr>
          <w:snapToGrid w:val="0"/>
          <w:kern w:val="22"/>
          <w:szCs w:val="22"/>
          <w:lang w:val="fr-FR"/>
        </w:rPr>
        <w:t>examiner les liens existant entre la diversité biologique et les changements climatiques dans le contexte de l’élaboration du cadre mondial de la biodiversité pour l’après-2020</w:t>
      </w:r>
      <w:r w:rsidRPr="007657A1">
        <w:rPr>
          <w:snapToGrid w:val="0"/>
          <w:kern w:val="22"/>
          <w:szCs w:val="22"/>
          <w:lang w:val="fr-FR"/>
        </w:rPr>
        <w:t>;</w:t>
      </w:r>
      <w:r>
        <w:rPr>
          <w:snapToGrid w:val="0"/>
          <w:kern w:val="22"/>
          <w:szCs w:val="22"/>
          <w:lang w:val="fr-FR"/>
        </w:rPr>
        <w:t>]</w:t>
      </w:r>
    </w:p>
    <w:p w:rsidR="009F6935" w:rsidRPr="007657A1"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7657A1">
        <w:rPr>
          <w:snapToGrid w:val="0"/>
          <w:kern w:val="22"/>
          <w:szCs w:val="22"/>
          <w:lang w:val="fr-FR"/>
        </w:rPr>
        <w:t>14.</w:t>
      </w:r>
      <w:r w:rsidRPr="007657A1">
        <w:rPr>
          <w:snapToGrid w:val="0"/>
          <w:kern w:val="22"/>
          <w:szCs w:val="22"/>
          <w:lang w:val="fr-FR"/>
        </w:rPr>
        <w:tab/>
      </w:r>
      <w:r w:rsidRPr="007657A1">
        <w:rPr>
          <w:i/>
          <w:snapToGrid w:val="0"/>
          <w:kern w:val="22"/>
          <w:szCs w:val="22"/>
          <w:lang w:val="fr-FR"/>
        </w:rPr>
        <w:t xml:space="preserve">Prie </w:t>
      </w:r>
      <w:r w:rsidRPr="007657A1">
        <w:rPr>
          <w:snapToGrid w:val="0"/>
          <w:kern w:val="22"/>
          <w:szCs w:val="22"/>
          <w:lang w:val="fr-FR"/>
        </w:rPr>
        <w:t xml:space="preserve">la Secrétaire </w:t>
      </w:r>
      <w:r>
        <w:rPr>
          <w:snapToGrid w:val="0"/>
          <w:kern w:val="22"/>
          <w:szCs w:val="22"/>
          <w:lang w:val="fr-FR"/>
        </w:rPr>
        <w:t>exé</w:t>
      </w:r>
      <w:r w:rsidRPr="007657A1">
        <w:rPr>
          <w:snapToGrid w:val="0"/>
          <w:kern w:val="22"/>
          <w:szCs w:val="22"/>
          <w:lang w:val="fr-FR"/>
        </w:rPr>
        <w:t>cutive d’assurer une liaison avec les secrétariats des accords multilatéraux sur l’environnement pertinents, y compris le Groupe de liaison conjoint des Conventions de Rio et le Groupe de li</w:t>
      </w:r>
      <w:r>
        <w:rPr>
          <w:snapToGrid w:val="0"/>
          <w:kern w:val="22"/>
          <w:szCs w:val="22"/>
          <w:lang w:val="fr-FR"/>
        </w:rPr>
        <w:t>aison des c</w:t>
      </w:r>
      <w:r w:rsidRPr="007657A1">
        <w:rPr>
          <w:snapToGrid w:val="0"/>
          <w:kern w:val="22"/>
          <w:szCs w:val="22"/>
          <w:lang w:val="fr-FR"/>
        </w:rPr>
        <w:t>onventions</w:t>
      </w:r>
      <w:r>
        <w:rPr>
          <w:snapToGrid w:val="0"/>
          <w:kern w:val="22"/>
          <w:szCs w:val="22"/>
          <w:lang w:val="fr-FR"/>
        </w:rPr>
        <w:t xml:space="preserve"> relatives à la diversité biologique, de favoriser des</w:t>
      </w:r>
      <w:r w:rsidRPr="007657A1">
        <w:rPr>
          <w:snapToGrid w:val="0"/>
          <w:kern w:val="22"/>
          <w:szCs w:val="22"/>
          <w:lang w:val="fr-FR"/>
        </w:rPr>
        <w:t xml:space="preserve"> synergies </w:t>
      </w:r>
      <w:r>
        <w:rPr>
          <w:snapToGrid w:val="0"/>
          <w:kern w:val="22"/>
          <w:szCs w:val="22"/>
          <w:lang w:val="fr-FR"/>
        </w:rPr>
        <w:t>et de coordonner des activité</w:t>
      </w:r>
      <w:r w:rsidRPr="007657A1">
        <w:rPr>
          <w:snapToGrid w:val="0"/>
          <w:kern w:val="22"/>
          <w:szCs w:val="22"/>
          <w:lang w:val="fr-FR"/>
        </w:rPr>
        <w:t>s</w:t>
      </w:r>
      <w:r>
        <w:rPr>
          <w:snapToGrid w:val="0"/>
          <w:kern w:val="22"/>
          <w:szCs w:val="22"/>
          <w:lang w:val="fr-FR"/>
        </w:rPr>
        <w:t xml:space="preserve"> d’</w:t>
      </w:r>
      <w:r w:rsidRPr="007657A1">
        <w:rPr>
          <w:snapToGrid w:val="0"/>
          <w:kern w:val="22"/>
          <w:szCs w:val="22"/>
          <w:lang w:val="fr-FR"/>
        </w:rPr>
        <w:t>adaptation</w:t>
      </w:r>
      <w:r>
        <w:rPr>
          <w:snapToGrid w:val="0"/>
          <w:kern w:val="22"/>
          <w:szCs w:val="22"/>
          <w:lang w:val="fr-FR"/>
        </w:rPr>
        <w:t xml:space="preserve"> et d’atténuation des changements climatiques, y compris l’organis</w:t>
      </w:r>
      <w:r w:rsidRPr="007657A1">
        <w:rPr>
          <w:snapToGrid w:val="0"/>
          <w:kern w:val="22"/>
          <w:szCs w:val="22"/>
          <w:lang w:val="fr-FR"/>
        </w:rPr>
        <w:t>ation</w:t>
      </w:r>
      <w:r>
        <w:rPr>
          <w:snapToGrid w:val="0"/>
          <w:kern w:val="22"/>
          <w:szCs w:val="22"/>
          <w:lang w:val="fr-FR"/>
        </w:rPr>
        <w:t xml:space="preserve"> de réunions consécutives et d’activité</w:t>
      </w:r>
      <w:r w:rsidRPr="007657A1">
        <w:rPr>
          <w:snapToGrid w:val="0"/>
          <w:kern w:val="22"/>
          <w:szCs w:val="22"/>
          <w:lang w:val="fr-FR"/>
        </w:rPr>
        <w:t>s</w:t>
      </w:r>
      <w:r>
        <w:rPr>
          <w:snapToGrid w:val="0"/>
          <w:kern w:val="22"/>
          <w:szCs w:val="22"/>
          <w:lang w:val="fr-FR"/>
        </w:rPr>
        <w:t xml:space="preserve"> conjointes</w:t>
      </w:r>
      <w:r w:rsidRPr="007657A1">
        <w:rPr>
          <w:snapToGrid w:val="0"/>
          <w:kern w:val="22"/>
          <w:szCs w:val="22"/>
          <w:lang w:val="fr-FR"/>
        </w:rPr>
        <w:t xml:space="preserve">, </w:t>
      </w:r>
      <w:r>
        <w:rPr>
          <w:snapToGrid w:val="0"/>
          <w:kern w:val="22"/>
          <w:szCs w:val="22"/>
          <w:lang w:val="fr-FR"/>
        </w:rPr>
        <w:t>selon qu’il convient</w:t>
      </w:r>
      <w:r w:rsidRPr="007657A1">
        <w:rPr>
          <w:snapToGrid w:val="0"/>
          <w:kern w:val="22"/>
          <w:szCs w:val="22"/>
          <w:lang w:val="fr-FR"/>
        </w:rPr>
        <w:t>;</w:t>
      </w:r>
    </w:p>
    <w:p w:rsidR="009F6935" w:rsidRPr="003918B2" w:rsidRDefault="009F6935" w:rsidP="009F6935">
      <w:pPr>
        <w:suppressLineNumbers/>
        <w:suppressAutoHyphens/>
        <w:kinsoku w:val="0"/>
        <w:overflowPunct w:val="0"/>
        <w:autoSpaceDE w:val="0"/>
        <w:autoSpaceDN w:val="0"/>
        <w:adjustRightInd w:val="0"/>
        <w:snapToGrid w:val="0"/>
        <w:spacing w:before="120" w:after="120"/>
        <w:ind w:firstLine="720"/>
        <w:rPr>
          <w:snapToGrid w:val="0"/>
          <w:kern w:val="22"/>
          <w:szCs w:val="22"/>
          <w:lang w:val="fr-FR"/>
        </w:rPr>
      </w:pPr>
      <w:r w:rsidRPr="003918B2">
        <w:rPr>
          <w:snapToGrid w:val="0"/>
          <w:kern w:val="22"/>
          <w:szCs w:val="22"/>
          <w:lang w:val="fr-FR"/>
        </w:rPr>
        <w:t>15.</w:t>
      </w:r>
      <w:r w:rsidRPr="003918B2">
        <w:rPr>
          <w:snapToGrid w:val="0"/>
          <w:kern w:val="22"/>
          <w:szCs w:val="22"/>
          <w:lang w:val="fr-FR"/>
        </w:rPr>
        <w:tab/>
      </w:r>
      <w:r w:rsidRPr="003918B2">
        <w:rPr>
          <w:i/>
          <w:snapToGrid w:val="0"/>
          <w:kern w:val="22"/>
          <w:szCs w:val="22"/>
          <w:lang w:val="fr-FR"/>
        </w:rPr>
        <w:t>Invite</w:t>
      </w:r>
      <w:r w:rsidRPr="003918B2">
        <w:rPr>
          <w:snapToGrid w:val="0"/>
          <w:kern w:val="22"/>
          <w:szCs w:val="22"/>
          <w:lang w:val="fr-FR"/>
        </w:rPr>
        <w:t xml:space="preserve"> les Parties, les autres gouvernements, les organismes de financement et les </w:t>
      </w:r>
      <w:r>
        <w:rPr>
          <w:snapToGrid w:val="0"/>
          <w:kern w:val="22"/>
          <w:szCs w:val="22"/>
          <w:lang w:val="fr-FR"/>
        </w:rPr>
        <w:t>organis</w:t>
      </w:r>
      <w:r w:rsidRPr="003918B2">
        <w:rPr>
          <w:snapToGrid w:val="0"/>
          <w:kern w:val="22"/>
          <w:szCs w:val="22"/>
          <w:lang w:val="fr-FR"/>
        </w:rPr>
        <w:t>ations</w:t>
      </w:r>
      <w:r>
        <w:rPr>
          <w:snapToGrid w:val="0"/>
          <w:kern w:val="22"/>
          <w:szCs w:val="22"/>
          <w:lang w:val="fr-FR"/>
        </w:rPr>
        <w:t xml:space="preserve"> compétentes qui sont en mesure de le faire à apporter un soutien aux activité</w:t>
      </w:r>
      <w:r w:rsidRPr="003918B2">
        <w:rPr>
          <w:snapToGrid w:val="0"/>
          <w:kern w:val="22"/>
          <w:szCs w:val="22"/>
          <w:lang w:val="fr-FR"/>
        </w:rPr>
        <w:t>s</w:t>
      </w:r>
      <w:r>
        <w:rPr>
          <w:snapToGrid w:val="0"/>
          <w:kern w:val="22"/>
          <w:szCs w:val="22"/>
          <w:lang w:val="fr-FR"/>
        </w:rPr>
        <w:t xml:space="preserve"> concernant les approches écosystémiques d’adaptation aux changements climatiques et de réduction des risques de catastrophe naturelle.</w:t>
      </w:r>
    </w:p>
    <w:p w:rsidR="009F6935" w:rsidRPr="003918B2" w:rsidRDefault="009F6935" w:rsidP="009F6935">
      <w:pPr>
        <w:suppressLineNumbers/>
        <w:suppressAutoHyphens/>
        <w:kinsoku w:val="0"/>
        <w:overflowPunct w:val="0"/>
        <w:autoSpaceDE w:val="0"/>
        <w:autoSpaceDN w:val="0"/>
        <w:adjustRightInd w:val="0"/>
        <w:snapToGrid w:val="0"/>
        <w:spacing w:before="120" w:after="120"/>
        <w:rPr>
          <w:snapToGrid w:val="0"/>
          <w:kern w:val="22"/>
          <w:szCs w:val="22"/>
          <w:lang w:val="fr-FR"/>
        </w:rPr>
      </w:pPr>
    </w:p>
    <w:p w:rsidR="009F6935" w:rsidRPr="003918B2" w:rsidRDefault="009F6935" w:rsidP="009F6935">
      <w:pPr>
        <w:suppressLineNumbers/>
        <w:suppressAutoHyphens/>
        <w:kinsoku w:val="0"/>
        <w:overflowPunct w:val="0"/>
        <w:autoSpaceDE w:val="0"/>
        <w:autoSpaceDN w:val="0"/>
        <w:adjustRightInd w:val="0"/>
        <w:snapToGrid w:val="0"/>
        <w:jc w:val="left"/>
        <w:rPr>
          <w:b/>
          <w:snapToGrid w:val="0"/>
          <w:kern w:val="22"/>
          <w:szCs w:val="22"/>
          <w:lang w:val="fr-FR"/>
        </w:rPr>
      </w:pPr>
      <w:r w:rsidRPr="003918B2">
        <w:rPr>
          <w:b/>
          <w:snapToGrid w:val="0"/>
          <w:kern w:val="22"/>
          <w:szCs w:val="22"/>
          <w:lang w:val="fr-FR"/>
        </w:rPr>
        <w:br w:type="page"/>
      </w:r>
    </w:p>
    <w:p w:rsidR="009F6935" w:rsidRPr="00377E20" w:rsidRDefault="009F6935" w:rsidP="009F6935">
      <w:pPr>
        <w:pStyle w:val="Para1"/>
        <w:numPr>
          <w:ilvl w:val="0"/>
          <w:numId w:val="0"/>
        </w:numPr>
        <w:suppressLineNumbers/>
        <w:suppressAutoHyphens/>
        <w:kinsoku w:val="0"/>
        <w:overflowPunct w:val="0"/>
        <w:autoSpaceDE w:val="0"/>
        <w:autoSpaceDN w:val="0"/>
        <w:adjustRightInd w:val="0"/>
        <w:snapToGrid w:val="0"/>
        <w:spacing w:before="0" w:after="240"/>
        <w:jc w:val="center"/>
        <w:rPr>
          <w:i/>
          <w:kern w:val="22"/>
          <w:szCs w:val="22"/>
          <w:lang w:val="fr-FR"/>
        </w:rPr>
      </w:pPr>
      <w:r w:rsidRPr="00377E20">
        <w:rPr>
          <w:i/>
          <w:kern w:val="22"/>
          <w:szCs w:val="22"/>
          <w:lang w:val="fr-FR"/>
        </w:rPr>
        <w:lastRenderedPageBreak/>
        <w:t>Annexe</w:t>
      </w:r>
    </w:p>
    <w:p w:rsidR="009F6935" w:rsidRPr="00EE68A3" w:rsidRDefault="009F6935" w:rsidP="009F6935">
      <w:pPr>
        <w:pStyle w:val="Heading1"/>
        <w:keepNext w:val="0"/>
        <w:suppressLineNumbers/>
        <w:suppressAutoHyphens/>
        <w:kinsoku w:val="0"/>
        <w:overflowPunct w:val="0"/>
        <w:autoSpaceDE w:val="0"/>
        <w:autoSpaceDN w:val="0"/>
        <w:adjustRightInd w:val="0"/>
        <w:snapToGrid w:val="0"/>
        <w:spacing w:before="120" w:after="480"/>
        <w:rPr>
          <w:rFonts w:ascii="Times New Roman Bold" w:eastAsia="Calibri" w:hAnsi="Times New Roman Bold" w:cs="Times New Roman Bold"/>
          <w:bCs/>
          <w:snapToGrid w:val="0"/>
          <w:kern w:val="22"/>
          <w:szCs w:val="22"/>
          <w:lang w:val="fr-FR"/>
        </w:rPr>
      </w:pPr>
      <w:bookmarkStart w:id="195" w:name="_Toc504402377"/>
      <w:bookmarkStart w:id="196" w:name="Guidelines"/>
      <w:bookmarkStart w:id="197" w:name="_Toc525904212"/>
      <w:bookmarkStart w:id="198" w:name="_Toc525904371"/>
      <w:bookmarkStart w:id="199" w:name="_Toc525904615"/>
      <w:r w:rsidRPr="00031631">
        <w:rPr>
          <w:rFonts w:ascii="Times New Roman Bold" w:eastAsia="Calibri" w:hAnsi="Times New Roman Bold" w:cs="Times New Roman Bold"/>
          <w:bCs/>
          <w:snapToGrid w:val="0"/>
          <w:kern w:val="22"/>
          <w:szCs w:val="22"/>
          <w:lang w:val="fr-FR"/>
        </w:rPr>
        <w:t xml:space="preserve">lignes directrices facultatives pour la conception et </w:t>
      </w:r>
      <w:r>
        <w:rPr>
          <w:rFonts w:ascii="Times New Roman Bold" w:eastAsia="Calibri" w:hAnsi="Times New Roman Bold" w:cs="Times New Roman Bold"/>
          <w:bCs/>
          <w:snapToGrid w:val="0"/>
          <w:kern w:val="22"/>
          <w:szCs w:val="22"/>
          <w:lang w:val="fr-FR"/>
        </w:rPr>
        <w:t xml:space="preserve">l’application effective des </w:t>
      </w:r>
      <w:r w:rsidRPr="00031631">
        <w:rPr>
          <w:rFonts w:ascii="Times New Roman Bold" w:eastAsia="Calibri" w:hAnsi="Times New Roman Bold" w:cs="Times New Roman Bold"/>
          <w:bCs/>
          <w:snapToGrid w:val="0"/>
          <w:kern w:val="22"/>
          <w:szCs w:val="22"/>
          <w:lang w:val="fr-FR"/>
        </w:rPr>
        <w:t xml:space="preserve">approches ÉcosystÉmiques d’adaptation aux changements climatiques et de rÉduction des risques de </w:t>
      </w:r>
      <w:r>
        <w:rPr>
          <w:rFonts w:ascii="Times New Roman Bold" w:eastAsia="Calibri" w:hAnsi="Times New Roman Bold" w:cs="Times New Roman Bold"/>
          <w:bCs/>
          <w:snapToGrid w:val="0"/>
          <w:kern w:val="22"/>
          <w:szCs w:val="22"/>
          <w:lang w:val="fr-FR"/>
        </w:rPr>
        <w:t>catastrophe naturelle</w:t>
      </w:r>
      <w:bookmarkStart w:id="200" w:name="_Toc518553084"/>
      <w:bookmarkEnd w:id="195"/>
      <w:bookmarkEnd w:id="197"/>
      <w:bookmarkEnd w:id="198"/>
      <w:bookmarkEnd w:id="199"/>
    </w:p>
    <w:p w:rsidR="009F6935" w:rsidRPr="00C061DF" w:rsidRDefault="009F6935" w:rsidP="009F6935">
      <w:pPr>
        <w:pStyle w:val="Heading2"/>
        <w:jc w:val="left"/>
        <w:rPr>
          <w:rFonts w:eastAsia="Calibri"/>
          <w:snapToGrid w:val="0"/>
          <w:kern w:val="22"/>
          <w:lang w:val="fr-FR"/>
        </w:rPr>
      </w:pPr>
      <w:bookmarkStart w:id="201" w:name="_Toc525904213"/>
      <w:bookmarkStart w:id="202" w:name="_Toc525904372"/>
      <w:bookmarkStart w:id="203" w:name="_Toc525904616"/>
      <w:r w:rsidRPr="00C061DF">
        <w:rPr>
          <w:rFonts w:eastAsia="Calibri"/>
          <w:snapToGrid w:val="0"/>
          <w:kern w:val="22"/>
          <w:lang w:val="fr-FR"/>
        </w:rPr>
        <w:t xml:space="preserve">Table </w:t>
      </w:r>
      <w:bookmarkEnd w:id="200"/>
      <w:r w:rsidRPr="00C061DF">
        <w:rPr>
          <w:rFonts w:eastAsia="Calibri"/>
          <w:snapToGrid w:val="0"/>
          <w:kern w:val="22"/>
          <w:lang w:val="fr-FR"/>
        </w:rPr>
        <w:t>des matières</w:t>
      </w:r>
      <w:bookmarkEnd w:id="201"/>
      <w:bookmarkEnd w:id="202"/>
      <w:bookmarkEnd w:id="203"/>
    </w:p>
    <w:p w:rsidR="009F6935" w:rsidRPr="00C061DF" w:rsidRDefault="009F6935" w:rsidP="009F6935">
      <w:pPr>
        <w:pStyle w:val="Heading2"/>
        <w:jc w:val="left"/>
        <w:rPr>
          <w:rFonts w:eastAsia="Calibri"/>
          <w:snapToGrid w:val="0"/>
          <w:kern w:val="22"/>
          <w:lang w:val="fr-FR"/>
        </w:rPr>
      </w:pPr>
    </w:p>
    <w:p w:rsidR="009F6935" w:rsidRPr="00C061DF" w:rsidRDefault="009F6935" w:rsidP="009F6935">
      <w:pPr>
        <w:pStyle w:val="Heading2"/>
        <w:jc w:val="left"/>
        <w:rPr>
          <w:rFonts w:eastAsia="Calibri"/>
          <w:snapToGrid w:val="0"/>
          <w:kern w:val="22"/>
          <w:lang w:val="fr-FR"/>
        </w:rPr>
      </w:pPr>
      <w:bookmarkStart w:id="204" w:name="_Toc518553085"/>
      <w:bookmarkStart w:id="205" w:name="_Toc525904214"/>
      <w:bookmarkStart w:id="206" w:name="_Toc525904373"/>
      <w:bookmarkStart w:id="207" w:name="_Toc525904617"/>
      <w:r w:rsidRPr="00C061DF">
        <w:rPr>
          <w:rFonts w:eastAsia="Calibri"/>
          <w:snapToGrid w:val="0"/>
          <w:kern w:val="22"/>
          <w:lang w:val="fr-FR"/>
        </w:rPr>
        <w:t>1. Introduction</w:t>
      </w:r>
      <w:bookmarkEnd w:id="204"/>
      <w:bookmarkEnd w:id="205"/>
      <w:bookmarkEnd w:id="206"/>
      <w:bookmarkEnd w:id="207"/>
    </w:p>
    <w:p w:rsidR="009F6935" w:rsidRPr="00EE68A3" w:rsidRDefault="009F6935" w:rsidP="009F6935">
      <w:pPr>
        <w:pStyle w:val="Heading2"/>
        <w:ind w:left="720"/>
        <w:jc w:val="left"/>
        <w:rPr>
          <w:rFonts w:eastAsia="Calibri"/>
          <w:snapToGrid w:val="0"/>
          <w:kern w:val="22"/>
          <w:lang w:val="fr-FR"/>
        </w:rPr>
      </w:pPr>
      <w:bookmarkStart w:id="208" w:name="_Toc518553086"/>
      <w:bookmarkStart w:id="209" w:name="_Toc525904215"/>
      <w:bookmarkStart w:id="210" w:name="_Toc525904374"/>
      <w:bookmarkStart w:id="211" w:name="_Toc525904618"/>
      <w:r w:rsidRPr="00EE68A3">
        <w:rPr>
          <w:rFonts w:eastAsia="Calibri"/>
          <w:snapToGrid w:val="0"/>
          <w:kern w:val="22"/>
          <w:lang w:val="fr-FR"/>
        </w:rPr>
        <w:t>1.1.</w:t>
      </w:r>
      <w:bookmarkEnd w:id="208"/>
      <w:r w:rsidRPr="00EE68A3">
        <w:rPr>
          <w:rFonts w:eastAsia="Calibri"/>
          <w:snapToGrid w:val="0"/>
          <w:kern w:val="22"/>
          <w:lang w:val="fr-FR"/>
        </w:rPr>
        <w:t xml:space="preserve"> Vue d’ensemble des Lignes directrices facultatives</w:t>
      </w:r>
      <w:bookmarkEnd w:id="209"/>
      <w:bookmarkEnd w:id="210"/>
      <w:bookmarkEnd w:id="211"/>
    </w:p>
    <w:p w:rsidR="009F6935" w:rsidRPr="00EE68A3" w:rsidRDefault="009F6935" w:rsidP="009F6935">
      <w:pPr>
        <w:pStyle w:val="Heading2"/>
        <w:ind w:left="720"/>
        <w:jc w:val="left"/>
        <w:rPr>
          <w:rFonts w:eastAsia="Calibri"/>
          <w:snapToGrid w:val="0"/>
          <w:kern w:val="22"/>
          <w:lang w:val="fr-FR"/>
        </w:rPr>
      </w:pPr>
      <w:bookmarkStart w:id="212" w:name="_Toc518553087"/>
      <w:bookmarkStart w:id="213" w:name="_Toc525904216"/>
      <w:bookmarkStart w:id="214" w:name="_Toc525904375"/>
      <w:bookmarkStart w:id="215" w:name="_Toc525904619"/>
      <w:r w:rsidRPr="00EE68A3">
        <w:rPr>
          <w:rFonts w:eastAsia="Calibri"/>
          <w:snapToGrid w:val="0"/>
          <w:kern w:val="22"/>
          <w:lang w:val="fr-FR"/>
        </w:rPr>
        <w:t xml:space="preserve">1.2. Que sont les </w:t>
      </w:r>
      <w:r>
        <w:rPr>
          <w:snapToGrid w:val="0"/>
          <w:kern w:val="22"/>
          <w:szCs w:val="22"/>
          <w:lang w:val="fr-FR"/>
        </w:rPr>
        <w:t>approches écosystémiques d’adaptation aux changements climatiques et de réduction des risques de catastrophe naturelle</w:t>
      </w:r>
      <w:r w:rsidRPr="00EE68A3">
        <w:rPr>
          <w:rFonts w:eastAsia="Calibri"/>
          <w:snapToGrid w:val="0"/>
          <w:kern w:val="22"/>
          <w:lang w:val="fr-FR"/>
        </w:rPr>
        <w:t>?</w:t>
      </w:r>
      <w:bookmarkEnd w:id="212"/>
      <w:bookmarkEnd w:id="213"/>
      <w:bookmarkEnd w:id="214"/>
      <w:bookmarkEnd w:id="215"/>
      <w:r w:rsidRPr="00EE68A3">
        <w:rPr>
          <w:rFonts w:eastAsia="Calibri"/>
          <w:snapToGrid w:val="0"/>
          <w:kern w:val="22"/>
          <w:lang w:val="fr-FR"/>
        </w:rPr>
        <w:t xml:space="preserve"> </w:t>
      </w:r>
    </w:p>
    <w:p w:rsidR="009F6935" w:rsidRPr="00EE68A3" w:rsidRDefault="009F6935" w:rsidP="009F6935">
      <w:pPr>
        <w:pStyle w:val="Heading2"/>
        <w:jc w:val="left"/>
        <w:rPr>
          <w:rFonts w:eastAsia="Calibri"/>
          <w:snapToGrid w:val="0"/>
          <w:kern w:val="22"/>
          <w:lang w:val="fr-FR"/>
        </w:rPr>
      </w:pPr>
      <w:bookmarkStart w:id="216" w:name="_Toc518553088"/>
      <w:bookmarkStart w:id="217" w:name="_Toc525904217"/>
      <w:bookmarkStart w:id="218" w:name="_Toc525904376"/>
      <w:bookmarkStart w:id="219" w:name="_Toc525904620"/>
      <w:r w:rsidRPr="00EE68A3">
        <w:rPr>
          <w:rFonts w:eastAsia="Calibri"/>
          <w:snapToGrid w:val="0"/>
          <w:kern w:val="22"/>
          <w:lang w:val="fr-FR"/>
        </w:rPr>
        <w:t>2. Principe</w:t>
      </w:r>
      <w:bookmarkEnd w:id="216"/>
      <w:r w:rsidRPr="00EE68A3">
        <w:rPr>
          <w:rFonts w:eastAsia="Calibri"/>
          <w:snapToGrid w:val="0"/>
          <w:kern w:val="22"/>
          <w:lang w:val="fr-FR"/>
        </w:rPr>
        <w:t xml:space="preserve">s et </w:t>
      </w:r>
      <w:r>
        <w:rPr>
          <w:rFonts w:eastAsia="Calibri"/>
          <w:snapToGrid w:val="0"/>
          <w:kern w:val="22"/>
          <w:lang w:val="fr-FR"/>
        </w:rPr>
        <w:t>garanties</w:t>
      </w:r>
      <w:bookmarkEnd w:id="217"/>
      <w:bookmarkEnd w:id="218"/>
      <w:bookmarkEnd w:id="219"/>
    </w:p>
    <w:p w:rsidR="009F6935" w:rsidRPr="00EE68A3" w:rsidRDefault="009F6935" w:rsidP="009F6935">
      <w:pPr>
        <w:pStyle w:val="Heading2"/>
        <w:ind w:left="720"/>
        <w:jc w:val="left"/>
        <w:rPr>
          <w:rFonts w:eastAsia="Calibri"/>
          <w:snapToGrid w:val="0"/>
          <w:kern w:val="22"/>
          <w:lang w:val="fr-FR"/>
        </w:rPr>
      </w:pPr>
      <w:bookmarkStart w:id="220" w:name="_Toc518553089"/>
      <w:bookmarkStart w:id="221" w:name="_Toc525904218"/>
      <w:bookmarkStart w:id="222" w:name="_Toc525904377"/>
      <w:bookmarkStart w:id="223" w:name="_Toc525904621"/>
      <w:r w:rsidRPr="00EE68A3">
        <w:rPr>
          <w:rFonts w:eastAsia="Calibri"/>
          <w:snapToGrid w:val="0"/>
          <w:kern w:val="22"/>
          <w:lang w:val="fr-FR"/>
        </w:rPr>
        <w:t>2.1. Principes</w:t>
      </w:r>
      <w:bookmarkEnd w:id="220"/>
      <w:bookmarkEnd w:id="221"/>
      <w:bookmarkEnd w:id="222"/>
      <w:bookmarkEnd w:id="223"/>
    </w:p>
    <w:p w:rsidR="009F6935" w:rsidRPr="00EE68A3" w:rsidRDefault="009F6935" w:rsidP="009F6935">
      <w:pPr>
        <w:pStyle w:val="Heading2"/>
        <w:jc w:val="left"/>
        <w:rPr>
          <w:rFonts w:eastAsia="Calibri"/>
          <w:snapToGrid w:val="0"/>
          <w:kern w:val="22"/>
          <w:lang w:val="fr-FR"/>
        </w:rPr>
      </w:pPr>
      <w:bookmarkStart w:id="224" w:name="_Toc518553090"/>
      <w:bookmarkStart w:id="225" w:name="_Toc525904219"/>
      <w:bookmarkStart w:id="226" w:name="_Toc525904378"/>
      <w:bookmarkStart w:id="227" w:name="_Toc525904622"/>
      <w:r w:rsidRPr="00EE68A3">
        <w:rPr>
          <w:rFonts w:eastAsia="Calibri"/>
          <w:snapToGrid w:val="0"/>
          <w:kern w:val="22"/>
          <w:lang w:val="fr-FR"/>
        </w:rPr>
        <w:t>3. Considérations de base pour la conception et l’application de</w:t>
      </w:r>
      <w:r>
        <w:rPr>
          <w:rFonts w:eastAsia="Calibri"/>
          <w:snapToGrid w:val="0"/>
          <w:kern w:val="22"/>
          <w:lang w:val="fr-FR"/>
        </w:rPr>
        <w:t>s approches écosystémiques d’adaptation aux changements climatiques et de réduction des risques de catastrophe naturelle</w:t>
      </w:r>
      <w:bookmarkEnd w:id="225"/>
      <w:bookmarkEnd w:id="226"/>
      <w:bookmarkEnd w:id="227"/>
      <w:r>
        <w:rPr>
          <w:rFonts w:eastAsia="Calibri"/>
          <w:snapToGrid w:val="0"/>
          <w:kern w:val="22"/>
          <w:lang w:val="fr-FR"/>
        </w:rPr>
        <w:t xml:space="preserve"> </w:t>
      </w:r>
      <w:bookmarkEnd w:id="224"/>
    </w:p>
    <w:p w:rsidR="009F6935" w:rsidRPr="00EE68A3" w:rsidRDefault="009F6935" w:rsidP="009F6935">
      <w:pPr>
        <w:pStyle w:val="Heading2"/>
        <w:ind w:left="720"/>
        <w:jc w:val="left"/>
        <w:rPr>
          <w:rFonts w:eastAsia="Calibri"/>
          <w:snapToGrid w:val="0"/>
          <w:kern w:val="22"/>
          <w:lang w:val="fr-FR"/>
        </w:rPr>
      </w:pPr>
      <w:bookmarkStart w:id="228" w:name="_Toc518553091"/>
      <w:bookmarkStart w:id="229" w:name="_Toc525904220"/>
      <w:bookmarkStart w:id="230" w:name="_Toc525904379"/>
      <w:bookmarkStart w:id="231" w:name="_Toc525904623"/>
      <w:r w:rsidRPr="00EE68A3">
        <w:rPr>
          <w:rFonts w:eastAsia="Calibri"/>
          <w:snapToGrid w:val="0"/>
          <w:kern w:val="22"/>
          <w:lang w:val="fr-FR"/>
        </w:rPr>
        <w:t>3.1. Intégrer les connaissances, technologies, pratiqu</w:t>
      </w:r>
      <w:r>
        <w:rPr>
          <w:rFonts w:eastAsia="Calibri"/>
          <w:snapToGrid w:val="0"/>
          <w:kern w:val="22"/>
          <w:lang w:val="fr-FR"/>
        </w:rPr>
        <w:t>es et initiatives des peuples autochtones et des communautés locales</w:t>
      </w:r>
      <w:bookmarkEnd w:id="228"/>
      <w:bookmarkEnd w:id="229"/>
      <w:bookmarkEnd w:id="230"/>
      <w:bookmarkEnd w:id="231"/>
    </w:p>
    <w:p w:rsidR="009F6935" w:rsidRPr="00BF5790" w:rsidRDefault="009F6935" w:rsidP="009F6935">
      <w:pPr>
        <w:pStyle w:val="Heading2"/>
        <w:ind w:left="720"/>
        <w:jc w:val="left"/>
        <w:rPr>
          <w:rFonts w:eastAsia="Calibri"/>
          <w:snapToGrid w:val="0"/>
          <w:kern w:val="22"/>
          <w:lang w:val="fr-FR"/>
        </w:rPr>
      </w:pPr>
      <w:bookmarkStart w:id="232" w:name="_Toc518553092"/>
      <w:bookmarkStart w:id="233" w:name="_Toc525904221"/>
      <w:bookmarkStart w:id="234" w:name="_Toc525904380"/>
      <w:bookmarkStart w:id="235" w:name="_Toc525904624"/>
      <w:r w:rsidRPr="00BF5790">
        <w:rPr>
          <w:rFonts w:eastAsia="Calibri"/>
          <w:snapToGrid w:val="0"/>
          <w:kern w:val="22"/>
          <w:lang w:val="fr-FR"/>
        </w:rPr>
        <w:t xml:space="preserve">3.2 Intégrer </w:t>
      </w:r>
      <w:r>
        <w:rPr>
          <w:rFonts w:eastAsia="Calibri"/>
          <w:snapToGrid w:val="0"/>
          <w:kern w:val="22"/>
          <w:lang w:val="fr-FR"/>
        </w:rPr>
        <w:t>l</w:t>
      </w:r>
      <w:r w:rsidRPr="00EE68A3">
        <w:rPr>
          <w:rFonts w:eastAsia="Calibri"/>
          <w:snapToGrid w:val="0"/>
          <w:kern w:val="22"/>
          <w:lang w:val="fr-FR"/>
        </w:rPr>
        <w:t>e</w:t>
      </w:r>
      <w:r>
        <w:rPr>
          <w:rFonts w:eastAsia="Calibri"/>
          <w:snapToGrid w:val="0"/>
          <w:kern w:val="22"/>
          <w:lang w:val="fr-FR"/>
        </w:rPr>
        <w:t>s approches écosystémiques d’adaptation aux changements climatiques et de réduction des risques de catastrophe naturelle</w:t>
      </w:r>
      <w:bookmarkEnd w:id="233"/>
      <w:bookmarkEnd w:id="234"/>
      <w:bookmarkEnd w:id="235"/>
      <w:r>
        <w:rPr>
          <w:rFonts w:eastAsia="Calibri"/>
          <w:snapToGrid w:val="0"/>
          <w:kern w:val="22"/>
          <w:lang w:val="fr-FR"/>
        </w:rPr>
        <w:t xml:space="preserve"> </w:t>
      </w:r>
      <w:bookmarkEnd w:id="232"/>
    </w:p>
    <w:p w:rsidR="009F6935" w:rsidRPr="00EE68A3" w:rsidRDefault="009F6935" w:rsidP="009F6935">
      <w:pPr>
        <w:pStyle w:val="Heading2"/>
        <w:ind w:left="720"/>
        <w:jc w:val="left"/>
        <w:rPr>
          <w:rFonts w:eastAsia="Calibri"/>
          <w:snapToGrid w:val="0"/>
          <w:kern w:val="22"/>
          <w:lang w:val="fr-FR"/>
        </w:rPr>
      </w:pPr>
      <w:bookmarkStart w:id="236" w:name="_Toc518553093"/>
      <w:bookmarkStart w:id="237" w:name="_Toc525904222"/>
      <w:bookmarkStart w:id="238" w:name="_Toc525904381"/>
      <w:bookmarkStart w:id="239" w:name="_Toc525904625"/>
      <w:r w:rsidRPr="00EE68A3">
        <w:rPr>
          <w:rFonts w:eastAsia="Calibri"/>
          <w:snapToGrid w:val="0"/>
          <w:kern w:val="22"/>
          <w:lang w:val="fr-FR"/>
        </w:rPr>
        <w:t>3.3. Accroître la sensibilisation et renforcer les capacités</w:t>
      </w:r>
      <w:bookmarkEnd w:id="236"/>
      <w:bookmarkEnd w:id="237"/>
      <w:bookmarkEnd w:id="238"/>
      <w:bookmarkEnd w:id="239"/>
    </w:p>
    <w:p w:rsidR="009F6935" w:rsidRPr="00BF5790" w:rsidRDefault="009F6935" w:rsidP="009F6935">
      <w:pPr>
        <w:pStyle w:val="Heading2"/>
        <w:jc w:val="left"/>
        <w:rPr>
          <w:rFonts w:eastAsia="Calibri"/>
          <w:snapToGrid w:val="0"/>
          <w:kern w:val="22"/>
          <w:lang w:val="fr-FR"/>
        </w:rPr>
      </w:pPr>
      <w:bookmarkStart w:id="240" w:name="_Toc518553094"/>
      <w:bookmarkStart w:id="241" w:name="_Toc525904223"/>
      <w:bookmarkStart w:id="242" w:name="_Toc525904382"/>
      <w:bookmarkStart w:id="243" w:name="_Toc525904626"/>
      <w:r w:rsidRPr="00BF5790">
        <w:rPr>
          <w:rFonts w:eastAsia="Calibri"/>
          <w:snapToGrid w:val="0"/>
          <w:kern w:val="22"/>
          <w:lang w:val="fr-FR"/>
        </w:rPr>
        <w:t>4. Approche par étape pour la conception et l’application effective</w:t>
      </w:r>
      <w:r w:rsidRPr="00A539A4">
        <w:rPr>
          <w:rFonts w:eastAsia="Calibri"/>
          <w:snapToGrid w:val="0"/>
          <w:kern w:val="22"/>
          <w:lang w:val="fr-FR"/>
        </w:rPr>
        <w:t xml:space="preserve"> </w:t>
      </w:r>
      <w:r w:rsidRPr="00EE68A3">
        <w:rPr>
          <w:rFonts w:eastAsia="Calibri"/>
          <w:snapToGrid w:val="0"/>
          <w:kern w:val="22"/>
          <w:lang w:val="fr-FR"/>
        </w:rPr>
        <w:t>de</w:t>
      </w:r>
      <w:r>
        <w:rPr>
          <w:rFonts w:eastAsia="Calibri"/>
          <w:snapToGrid w:val="0"/>
          <w:kern w:val="22"/>
          <w:lang w:val="fr-FR"/>
        </w:rPr>
        <w:t>s approches écosystémiques d’adaptation aux changements climatiques et de réduction des risques de catastrophe naturelle</w:t>
      </w:r>
      <w:bookmarkEnd w:id="240"/>
      <w:bookmarkEnd w:id="241"/>
      <w:bookmarkEnd w:id="242"/>
      <w:bookmarkEnd w:id="243"/>
    </w:p>
    <w:p w:rsidR="009F6935" w:rsidRPr="00BF5790" w:rsidRDefault="009F6935" w:rsidP="009F6935">
      <w:pPr>
        <w:pStyle w:val="Heading2"/>
        <w:ind w:left="720"/>
        <w:jc w:val="left"/>
        <w:rPr>
          <w:rFonts w:eastAsia="Calibri"/>
          <w:snapToGrid w:val="0"/>
          <w:kern w:val="22"/>
          <w:lang w:val="fr-FR"/>
        </w:rPr>
      </w:pPr>
      <w:bookmarkStart w:id="244" w:name="_Toc518553095"/>
      <w:bookmarkStart w:id="245" w:name="_Toc525904224"/>
      <w:bookmarkStart w:id="246" w:name="_Toc525904383"/>
      <w:bookmarkStart w:id="247" w:name="_Toc525904627"/>
      <w:r>
        <w:rPr>
          <w:rFonts w:eastAsia="Calibri"/>
          <w:snapToGrid w:val="0"/>
          <w:kern w:val="22"/>
          <w:lang w:val="fr-FR"/>
        </w:rPr>
        <w:t>Etape</w:t>
      </w:r>
      <w:r w:rsidRPr="00BF5790">
        <w:rPr>
          <w:rFonts w:eastAsia="Calibri"/>
          <w:snapToGrid w:val="0"/>
          <w:kern w:val="22"/>
          <w:lang w:val="fr-FR"/>
        </w:rPr>
        <w:t xml:space="preserve"> A. Comprendre le système socio-écologi</w:t>
      </w:r>
      <w:bookmarkEnd w:id="244"/>
      <w:r w:rsidRPr="00BF5790">
        <w:rPr>
          <w:rFonts w:eastAsia="Calibri"/>
          <w:snapToGrid w:val="0"/>
          <w:kern w:val="22"/>
          <w:lang w:val="fr-FR"/>
        </w:rPr>
        <w:t>que</w:t>
      </w:r>
      <w:bookmarkEnd w:id="245"/>
      <w:bookmarkEnd w:id="246"/>
      <w:bookmarkEnd w:id="247"/>
    </w:p>
    <w:p w:rsidR="009F6935" w:rsidRPr="00BF5790" w:rsidRDefault="009F6935" w:rsidP="009F6935">
      <w:pPr>
        <w:pStyle w:val="Heading2"/>
        <w:ind w:left="720"/>
        <w:jc w:val="left"/>
        <w:rPr>
          <w:rFonts w:eastAsia="Calibri"/>
          <w:snapToGrid w:val="0"/>
          <w:kern w:val="22"/>
          <w:lang w:val="fr-FR"/>
        </w:rPr>
      </w:pPr>
      <w:bookmarkStart w:id="248" w:name="_Toc518553096"/>
      <w:bookmarkStart w:id="249" w:name="_Toc525904225"/>
      <w:bookmarkStart w:id="250" w:name="_Toc525904384"/>
      <w:bookmarkStart w:id="251" w:name="_Toc525904628"/>
      <w:r w:rsidRPr="00BF5790">
        <w:rPr>
          <w:rFonts w:eastAsia="Calibri"/>
          <w:snapToGrid w:val="0"/>
          <w:kern w:val="22"/>
          <w:lang w:val="fr-FR"/>
        </w:rPr>
        <w:t>Etape B. Evaluer les vulnérabilités et les r</w:t>
      </w:r>
      <w:r>
        <w:rPr>
          <w:rFonts w:eastAsia="Calibri"/>
          <w:snapToGrid w:val="0"/>
          <w:kern w:val="22"/>
          <w:lang w:val="fr-FR"/>
        </w:rPr>
        <w:t>isque</w:t>
      </w:r>
      <w:r w:rsidRPr="00BF5790">
        <w:rPr>
          <w:rFonts w:eastAsia="Calibri"/>
          <w:snapToGrid w:val="0"/>
          <w:kern w:val="22"/>
          <w:lang w:val="fr-FR"/>
        </w:rPr>
        <w:t>s</w:t>
      </w:r>
      <w:bookmarkEnd w:id="248"/>
      <w:bookmarkEnd w:id="249"/>
      <w:bookmarkEnd w:id="250"/>
      <w:bookmarkEnd w:id="251"/>
    </w:p>
    <w:p w:rsidR="009F6935" w:rsidRDefault="009F6935" w:rsidP="009F6935">
      <w:pPr>
        <w:pStyle w:val="Heading2"/>
        <w:ind w:left="720"/>
        <w:jc w:val="left"/>
        <w:rPr>
          <w:rFonts w:eastAsia="Calibri"/>
          <w:snapToGrid w:val="0"/>
          <w:kern w:val="22"/>
          <w:lang w:val="fr-FR"/>
        </w:rPr>
      </w:pPr>
      <w:bookmarkStart w:id="252" w:name="_Toc518553097"/>
      <w:bookmarkStart w:id="253" w:name="_Toc525904226"/>
      <w:bookmarkStart w:id="254" w:name="_Toc525904385"/>
      <w:bookmarkStart w:id="255" w:name="_Toc525904629"/>
      <w:r w:rsidRPr="00BF5790">
        <w:rPr>
          <w:rFonts w:eastAsia="Calibri"/>
          <w:snapToGrid w:val="0"/>
          <w:kern w:val="22"/>
          <w:lang w:val="fr-FR"/>
        </w:rPr>
        <w:t xml:space="preserve">Etape C. Identifier les options </w:t>
      </w:r>
      <w:r>
        <w:rPr>
          <w:rFonts w:eastAsia="Calibri"/>
          <w:snapToGrid w:val="0"/>
          <w:kern w:val="22"/>
          <w:lang w:val="fr-FR"/>
        </w:rPr>
        <w:t xml:space="preserve">pour </w:t>
      </w:r>
      <w:r w:rsidRPr="00EE68A3">
        <w:rPr>
          <w:rFonts w:eastAsia="Calibri"/>
          <w:snapToGrid w:val="0"/>
          <w:kern w:val="22"/>
          <w:lang w:val="fr-FR"/>
        </w:rPr>
        <w:t>de</w:t>
      </w:r>
      <w:r>
        <w:rPr>
          <w:rFonts w:eastAsia="Calibri"/>
          <w:snapToGrid w:val="0"/>
          <w:kern w:val="22"/>
          <w:lang w:val="fr-FR"/>
        </w:rPr>
        <w:t>s approches écosystémiques d’adaptation aux changements climatiques et de réduction des risques de catastrophe naturelle</w:t>
      </w:r>
      <w:bookmarkEnd w:id="253"/>
      <w:bookmarkEnd w:id="254"/>
      <w:bookmarkEnd w:id="255"/>
      <w:r>
        <w:rPr>
          <w:rFonts w:eastAsia="Calibri"/>
          <w:snapToGrid w:val="0"/>
          <w:kern w:val="22"/>
          <w:lang w:val="fr-FR"/>
        </w:rPr>
        <w:t xml:space="preserve"> </w:t>
      </w:r>
      <w:bookmarkEnd w:id="252"/>
    </w:p>
    <w:p w:rsidR="009F6935" w:rsidRPr="00680EF4" w:rsidRDefault="009F6935" w:rsidP="009F6935">
      <w:pPr>
        <w:ind w:left="709"/>
        <w:rPr>
          <w:rFonts w:eastAsia="Calibri"/>
          <w:b/>
          <w:lang w:val="fr-FR"/>
        </w:rPr>
      </w:pPr>
      <w:r>
        <w:rPr>
          <w:rFonts w:eastAsia="Calibri"/>
          <w:b/>
          <w:lang w:val="fr-FR"/>
        </w:rPr>
        <w:t>Etape D. Hiérarchi</w:t>
      </w:r>
      <w:r w:rsidRPr="00680EF4">
        <w:rPr>
          <w:rFonts w:eastAsia="Calibri"/>
          <w:b/>
          <w:lang w:val="fr-FR"/>
        </w:rPr>
        <w:t xml:space="preserve">ser, évaluer et sélectionner </w:t>
      </w:r>
      <w:r w:rsidRPr="00680EF4">
        <w:rPr>
          <w:b/>
          <w:snapToGrid w:val="0"/>
          <w:kern w:val="22"/>
          <w:lang w:val="fr-FR"/>
        </w:rPr>
        <w:t xml:space="preserve">les options pour </w:t>
      </w:r>
      <w:r w:rsidRPr="00A539A4">
        <w:rPr>
          <w:b/>
          <w:snapToGrid w:val="0"/>
          <w:kern w:val="22"/>
          <w:lang w:val="fr-FR"/>
        </w:rPr>
        <w:t xml:space="preserve">les </w:t>
      </w:r>
      <w:r w:rsidRPr="00A539A4">
        <w:rPr>
          <w:rFonts w:eastAsia="Calibri"/>
          <w:b/>
          <w:snapToGrid w:val="0"/>
          <w:kern w:val="22"/>
          <w:lang w:val="fr-FR"/>
        </w:rPr>
        <w:t>approches écosystémiques d’adaptation aux changements climatiques et de réduction des risques de catastrophe naturelle</w:t>
      </w:r>
    </w:p>
    <w:p w:rsidR="009F6935" w:rsidRPr="00BF5790" w:rsidRDefault="009F6935" w:rsidP="009F6935">
      <w:pPr>
        <w:pStyle w:val="Heading2"/>
        <w:ind w:left="720"/>
        <w:jc w:val="left"/>
        <w:rPr>
          <w:rFonts w:eastAsia="Calibri"/>
          <w:snapToGrid w:val="0"/>
          <w:kern w:val="22"/>
          <w:lang w:val="fr-FR"/>
        </w:rPr>
      </w:pPr>
      <w:bookmarkStart w:id="256" w:name="_Toc518553098"/>
      <w:bookmarkStart w:id="257" w:name="_Toc525904227"/>
      <w:bookmarkStart w:id="258" w:name="_Toc525904386"/>
      <w:bookmarkStart w:id="259" w:name="_Toc525904630"/>
      <w:r w:rsidRPr="00BF5790">
        <w:rPr>
          <w:rFonts w:eastAsia="Calibri"/>
          <w:snapToGrid w:val="0"/>
          <w:kern w:val="22"/>
          <w:lang w:val="fr-FR"/>
        </w:rPr>
        <w:t xml:space="preserve">Etape E. Conception et </w:t>
      </w:r>
      <w:r>
        <w:rPr>
          <w:rFonts w:eastAsia="Calibri"/>
          <w:snapToGrid w:val="0"/>
          <w:kern w:val="22"/>
          <w:lang w:val="fr-FR"/>
        </w:rPr>
        <w:t>réalis</w:t>
      </w:r>
      <w:r w:rsidRPr="00BF5790">
        <w:rPr>
          <w:rFonts w:eastAsia="Calibri"/>
          <w:snapToGrid w:val="0"/>
          <w:kern w:val="22"/>
          <w:lang w:val="fr-FR"/>
        </w:rPr>
        <w:t>ation des projets</w:t>
      </w:r>
      <w:bookmarkEnd w:id="256"/>
      <w:bookmarkEnd w:id="257"/>
      <w:bookmarkEnd w:id="258"/>
      <w:bookmarkEnd w:id="259"/>
    </w:p>
    <w:p w:rsidR="009F6935" w:rsidRPr="00BF5790" w:rsidRDefault="009F6935" w:rsidP="009F6935">
      <w:pPr>
        <w:pStyle w:val="Heading2"/>
        <w:ind w:left="720"/>
        <w:jc w:val="left"/>
        <w:rPr>
          <w:rFonts w:eastAsia="Calibri"/>
          <w:snapToGrid w:val="0"/>
          <w:kern w:val="22"/>
          <w:lang w:val="fr-FR"/>
        </w:rPr>
      </w:pPr>
      <w:bookmarkStart w:id="260" w:name="_Toc518553099"/>
      <w:bookmarkStart w:id="261" w:name="_Toc525904228"/>
      <w:bookmarkStart w:id="262" w:name="_Toc525904387"/>
      <w:bookmarkStart w:id="263" w:name="_Toc525904631"/>
      <w:r w:rsidRPr="00BF5790">
        <w:rPr>
          <w:rFonts w:eastAsia="Calibri"/>
          <w:snapToGrid w:val="0"/>
          <w:kern w:val="22"/>
          <w:lang w:val="fr-FR"/>
        </w:rPr>
        <w:t>Etape F. Suivi et évaluation d</w:t>
      </w:r>
      <w:bookmarkEnd w:id="260"/>
      <w:r>
        <w:rPr>
          <w:rFonts w:eastAsia="Calibri"/>
          <w:snapToGrid w:val="0"/>
          <w:kern w:val="22"/>
          <w:lang w:val="fr-FR"/>
        </w:rPr>
        <w:t>es</w:t>
      </w:r>
      <w:r w:rsidRPr="00A539A4">
        <w:rPr>
          <w:rFonts w:eastAsia="Calibri"/>
          <w:snapToGrid w:val="0"/>
          <w:kern w:val="22"/>
          <w:lang w:val="fr-FR"/>
        </w:rPr>
        <w:t xml:space="preserve"> </w:t>
      </w:r>
      <w:r>
        <w:rPr>
          <w:rFonts w:eastAsia="Calibri"/>
          <w:snapToGrid w:val="0"/>
          <w:kern w:val="22"/>
          <w:lang w:val="fr-FR"/>
        </w:rPr>
        <w:t>approches écosystémiques d’adaptation aux changements climatiques et de réduction des risques de catastrophe naturelle</w:t>
      </w:r>
      <w:bookmarkEnd w:id="261"/>
      <w:bookmarkEnd w:id="262"/>
      <w:bookmarkEnd w:id="263"/>
    </w:p>
    <w:p w:rsidR="009F6935" w:rsidRPr="00BF5790" w:rsidRDefault="009F6935" w:rsidP="009F6935">
      <w:pPr>
        <w:rPr>
          <w:rFonts w:eastAsia="Calibri"/>
          <w:lang w:val="fr-FR"/>
        </w:rPr>
      </w:pPr>
    </w:p>
    <w:p w:rsidR="009F6935" w:rsidRPr="00BF5790" w:rsidRDefault="009F6935" w:rsidP="009F6935">
      <w:pPr>
        <w:rPr>
          <w:rFonts w:eastAsia="Calibri"/>
          <w:lang w:val="fr-FR"/>
        </w:rPr>
      </w:pPr>
    </w:p>
    <w:p w:rsidR="009F6935" w:rsidRPr="00BF5790" w:rsidRDefault="009F6935" w:rsidP="009F6935">
      <w:pPr>
        <w:rPr>
          <w:rFonts w:eastAsia="Calibri"/>
          <w:lang w:val="fr-FR"/>
        </w:rPr>
      </w:pPr>
    </w:p>
    <w:p w:rsidR="009F6935" w:rsidRPr="00031631" w:rsidRDefault="009F6935" w:rsidP="00004EAF">
      <w:pPr>
        <w:pStyle w:val="ListParagraph"/>
        <w:numPr>
          <w:ilvl w:val="0"/>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64" w:name="_Toc504402378"/>
      <w:bookmarkStart w:id="265" w:name="_Toc525904229"/>
      <w:bookmarkStart w:id="266" w:name="_Toc525904388"/>
      <w:bookmarkStart w:id="267" w:name="_Toc525904632"/>
      <w:bookmarkEnd w:id="196"/>
      <w:r w:rsidRPr="00031631">
        <w:rPr>
          <w:b/>
          <w:snapToGrid w:val="0"/>
          <w:kern w:val="22"/>
          <w:szCs w:val="22"/>
          <w:lang w:val="fr-FR"/>
        </w:rPr>
        <w:t>Introduction</w:t>
      </w:r>
      <w:bookmarkEnd w:id="264"/>
      <w:bookmarkEnd w:id="265"/>
      <w:bookmarkEnd w:id="266"/>
      <w:bookmarkEnd w:id="267"/>
    </w:p>
    <w:p w:rsidR="009F6935" w:rsidRPr="0003163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lang w:val="fr-FR"/>
        </w:rPr>
      </w:pPr>
      <w:r w:rsidRPr="00031631">
        <w:rPr>
          <w:rFonts w:eastAsia="Calibri"/>
          <w:snapToGrid w:val="0"/>
          <w:kern w:val="22"/>
          <w:lang w:val="fr-FR"/>
        </w:rPr>
        <w:t>Les approches</w:t>
      </w:r>
      <w:r>
        <w:rPr>
          <w:rFonts w:eastAsia="Calibri"/>
          <w:snapToGrid w:val="0"/>
          <w:kern w:val="22"/>
          <w:lang w:val="fr-FR"/>
        </w:rPr>
        <w:t xml:space="preserve"> écosystémiques d’adaptation aux changements climatiques et de réduction des risques de catastrophe naturelle sont des approches intégrées qui utilisent la biodiversité et les fonctions et services écosystémiques pour gérer les risques liés aux effets des changements climatiques et aux catastrophes naturelles. L’adaptation fondée sur les écosystèmes consiste à utiliser la biodiversité et les fonctions et services écosystémiques dans le cadre d’une stratégie d’adaptation globale, contribuant au bien-être des sociétés, y compris des peuples autochtones et communautés locales, et aidant les gens à </w:t>
      </w:r>
      <w:r>
        <w:rPr>
          <w:rFonts w:eastAsia="Calibri"/>
          <w:snapToGrid w:val="0"/>
          <w:kern w:val="22"/>
          <w:lang w:val="fr-FR"/>
        </w:rPr>
        <w:lastRenderedPageBreak/>
        <w:t>s’adapter aux effets défavorables liés à l’évolution du climat. L’adaptation fondée sur les écosystèmes vise à préserver et augmenter la résilience et à réduire la vulnérabilité des écosystèmes et des personnes face aux effets défavorables des changements climatiques</w:t>
      </w:r>
      <w:r w:rsidRPr="00AF0185">
        <w:rPr>
          <w:rStyle w:val="FootnoteReference"/>
          <w:rFonts w:eastAsia="Calibri"/>
          <w:snapToGrid w:val="0"/>
          <w:kern w:val="22"/>
          <w:sz w:val="20"/>
          <w:szCs w:val="20"/>
          <w:u w:val="none"/>
          <w:vertAlign w:val="superscript"/>
          <w:lang w:val="fr-FR"/>
        </w:rPr>
        <w:footnoteReference w:id="91"/>
      </w:r>
      <w:r w:rsidR="00AF0185">
        <w:rPr>
          <w:rFonts w:eastAsia="Calibri"/>
          <w:snapToGrid w:val="0"/>
          <w:kern w:val="22"/>
          <w:lang w:val="fr-FR"/>
        </w:rPr>
        <w:t>.</w:t>
      </w:r>
    </w:p>
    <w:p w:rsidR="009F6935" w:rsidRPr="0003163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réduction des risques de catastrophe naturelle fondée sur les écosystèmes consiste en une gestion, conservation et restauration globales et durables des écosystèmes en vue de réduire les risques de catastrophe naturelle et de parvenir à un développement durable et résilient</w:t>
      </w:r>
      <w:r w:rsidRPr="00AF0185">
        <w:rPr>
          <w:rStyle w:val="FootnoteReference"/>
          <w:rFonts w:eastAsia="Calibri"/>
          <w:snapToGrid w:val="0"/>
          <w:kern w:val="22"/>
          <w:sz w:val="20"/>
          <w:szCs w:val="20"/>
          <w:u w:val="none"/>
          <w:vertAlign w:val="superscript"/>
          <w:lang w:val="fr-FR"/>
        </w:rPr>
        <w:footnoteReference w:id="92"/>
      </w:r>
      <w:r>
        <w:rPr>
          <w:rFonts w:eastAsia="Calibri"/>
          <w:snapToGrid w:val="0"/>
          <w:kern w:val="22"/>
          <w:szCs w:val="22"/>
          <w:lang w:val="fr-FR"/>
        </w:rPr>
        <w:t>.</w:t>
      </w:r>
    </w:p>
    <w:p w:rsidR="009F6935" w:rsidRPr="0003163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présentes lignes directrices pour la conception et l’application effective des approches écosystémiques d’adaptation aux changements climatiques et de réduction des risques de catastrophe naturelle ont été élaborées en application du paragraphe 10 de la </w:t>
      </w:r>
      <w:hyperlink r:id="rId30" w:history="1">
        <w:r w:rsidRPr="00541854">
          <w:rPr>
            <w:rStyle w:val="Hyperlink"/>
            <w:rFonts w:eastAsia="Calibri"/>
            <w:snapToGrid w:val="0"/>
            <w:kern w:val="22"/>
            <w:szCs w:val="22"/>
            <w:lang w:val="fr-FR"/>
          </w:rPr>
          <w:t>décision XIII/4</w:t>
        </w:r>
      </w:hyperlink>
      <w:r w:rsidRPr="00031631">
        <w:rPr>
          <w:rFonts w:eastAsia="Calibri"/>
          <w:snapToGrid w:val="0"/>
          <w:kern w:val="22"/>
          <w:szCs w:val="22"/>
          <w:lang w:val="fr-FR"/>
        </w:rPr>
        <w:t xml:space="preserve">. </w:t>
      </w:r>
      <w:r>
        <w:rPr>
          <w:rFonts w:eastAsia="Calibri"/>
          <w:snapToGrid w:val="0"/>
          <w:kern w:val="22"/>
          <w:szCs w:val="22"/>
          <w:lang w:val="fr-FR"/>
        </w:rPr>
        <w:t>Elles visent à être utilisées par les Parties, les autres gouvernements, les organisations compétentes et les peuples autochtones et communautés locales, les entreprises, le secteur privé et la société civile, comme cadre souple de planification et de mise en œuvre des approches écosystémiques d’adaptation aux changements climatiques et de réduction des risques de catastrophe naturelle</w:t>
      </w:r>
      <w:r w:rsidRPr="00031631">
        <w:rPr>
          <w:rFonts w:eastAsia="Calibri"/>
          <w:snapToGrid w:val="0"/>
          <w:kern w:val="22"/>
          <w:szCs w:val="22"/>
          <w:lang w:val="fr-FR"/>
        </w:rPr>
        <w:t>.</w:t>
      </w:r>
      <w:r>
        <w:rPr>
          <w:rFonts w:eastAsia="Calibri"/>
          <w:snapToGrid w:val="0"/>
          <w:kern w:val="22"/>
          <w:szCs w:val="22"/>
          <w:lang w:val="fr-FR"/>
        </w:rPr>
        <w:t xml:space="preserve"> Les lignes directrices facultatives peuvent aussi contribuer à un objectif des lignes directrices pour un plan d’adaptation national au titre de la Convention-cadre des Nations Unies sur les changements climatiques visant à réduire la vulnérabilité face aux impacts des changements climatiques, en renforçant la résilience et les capacités adaptatives.</w:t>
      </w:r>
    </w:p>
    <w:p w:rsidR="009F6935" w:rsidRPr="00031631" w:rsidRDefault="009F6935" w:rsidP="00004EAF">
      <w:pPr>
        <w:pStyle w:val="ListParagraph"/>
        <w:numPr>
          <w:ilvl w:val="1"/>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68" w:name="_Toc525904230"/>
      <w:bookmarkStart w:id="269" w:name="_Toc525904389"/>
      <w:bookmarkStart w:id="270" w:name="_Toc525904633"/>
      <w:r>
        <w:rPr>
          <w:b/>
          <w:snapToGrid w:val="0"/>
          <w:kern w:val="22"/>
          <w:szCs w:val="22"/>
          <w:lang w:val="fr-FR"/>
        </w:rPr>
        <w:t>Aperçu général des lignes directrices facultatives</w:t>
      </w:r>
      <w:bookmarkEnd w:id="268"/>
      <w:bookmarkEnd w:id="269"/>
      <w:bookmarkEnd w:id="270"/>
    </w:p>
    <w:p w:rsidR="009F6935" w:rsidRPr="0003163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lignes directrices commencent par une introduction générale sur le mandat et la terminologie de base des approches écosystémiques d’adaptation aux changements climatiques et de réduction des risques de catastrophe naturelle. La partie 2 présente les principes et les garanties, qui sont les normes et les mesures à garder à l’esprit tout au long des différentes étapes de la planification et de la mise en œuvre présentées dans la partie 4. La partie 3 contient d’autres considérations fondamentales sur l’intégration des connaissances, technologies, pratiques et travaux des peuples autochtones et des communautés locales, ainsi que l’intégration, la sensibilisation du public et le renforcement des capacités. Ces considérations fondamentales doivent également être gardées à l’esprit lors de chaque étape de la planification et de la mise en œuvre présentée dans la partie 4. La partie 4 décrit une approche progressive destinée à fonctionner de façon itérative pour la planification et la mise en œuvre des approches écosystémiques d’adaptation aux changements climatiques et de réduction des risques de catastrophe naturelle, ainsi que des suggestions de mesures concrètes. Une note supplémentaire</w:t>
      </w:r>
      <w:r w:rsidRPr="00AF0185">
        <w:rPr>
          <w:rStyle w:val="FootnoteReference"/>
          <w:rFonts w:eastAsia="Calibri"/>
          <w:snapToGrid w:val="0"/>
          <w:kern w:val="22"/>
          <w:sz w:val="20"/>
          <w:szCs w:val="20"/>
          <w:u w:val="none"/>
          <w:vertAlign w:val="superscript"/>
        </w:rPr>
        <w:footnoteReference w:id="93"/>
      </w:r>
      <w:r>
        <w:rPr>
          <w:rFonts w:eastAsia="Calibri"/>
          <w:snapToGrid w:val="0"/>
          <w:kern w:val="22"/>
          <w:szCs w:val="22"/>
          <w:lang w:val="fr-FR"/>
        </w:rPr>
        <w:t>, y compris un résumé à l’intention des décideurs, des outils relatifs au processus progressif, des mesures plus détaillées, des orientations pour une sensibilisation plus efficace des secteurs pertinents, ainsi que des références d’appui, un glossaire, des listes de politiques générales et d’autres lignes directrices pertinentes sont aussi disponibles. Elle comprend aussi un diagramme et un tableau pour illustrer comment les principes, les garanties, les considérations générales, et l’approche en plusieurs étapes fonctionnent ensemble.</w:t>
      </w:r>
    </w:p>
    <w:p w:rsidR="009F6935" w:rsidRPr="00031631" w:rsidRDefault="009F6935" w:rsidP="00004EAF">
      <w:pPr>
        <w:pStyle w:val="ListParagraph"/>
        <w:keepNext/>
        <w:numPr>
          <w:ilvl w:val="1"/>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71" w:name="_Toc525904231"/>
      <w:bookmarkStart w:id="272" w:name="_Toc525904390"/>
      <w:bookmarkStart w:id="273" w:name="_Toc525904634"/>
      <w:r>
        <w:rPr>
          <w:b/>
          <w:snapToGrid w:val="0"/>
          <w:kern w:val="22"/>
          <w:szCs w:val="22"/>
          <w:lang w:val="fr-FR"/>
        </w:rPr>
        <w:t>Que sont les approches écosystémiques d’adaptation aux changements climatiques et de réduction des risques de catastrophe naturelle ?</w:t>
      </w:r>
      <w:bookmarkEnd w:id="271"/>
      <w:bookmarkEnd w:id="272"/>
      <w:bookmarkEnd w:id="273"/>
    </w:p>
    <w:p w:rsidR="009F6935" w:rsidRPr="0003163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Convention sur la diversité biologique a publié le Cahier technique n</w:t>
      </w:r>
      <w:r>
        <w:rPr>
          <w:rFonts w:eastAsia="Calibri"/>
          <w:snapToGrid w:val="0"/>
          <w:kern w:val="22"/>
          <w:szCs w:val="22"/>
          <w:vertAlign w:val="superscript"/>
          <w:lang w:val="fr-FR"/>
        </w:rPr>
        <w:t>o</w:t>
      </w:r>
      <w:r>
        <w:rPr>
          <w:rFonts w:eastAsia="Calibri"/>
          <w:snapToGrid w:val="0"/>
          <w:kern w:val="22"/>
          <w:szCs w:val="22"/>
          <w:lang w:val="fr-FR"/>
        </w:rPr>
        <w:t xml:space="preserve"> </w:t>
      </w:r>
      <w:r w:rsidRPr="00031631">
        <w:rPr>
          <w:rFonts w:eastAsia="Calibri"/>
          <w:snapToGrid w:val="0"/>
          <w:kern w:val="22"/>
          <w:szCs w:val="22"/>
          <w:lang w:val="fr-FR"/>
        </w:rPr>
        <w:t>85</w:t>
      </w:r>
      <w:r w:rsidRPr="008966A7">
        <w:rPr>
          <w:rStyle w:val="FootnoteReference"/>
          <w:rFonts w:eastAsia="Calibri"/>
          <w:snapToGrid w:val="0"/>
          <w:kern w:val="22"/>
          <w:sz w:val="20"/>
          <w:szCs w:val="20"/>
          <w:u w:val="none"/>
          <w:vertAlign w:val="superscript"/>
          <w:lang w:val="fr-FR"/>
        </w:rPr>
        <w:footnoteReference w:id="94"/>
      </w:r>
      <w:r>
        <w:rPr>
          <w:rFonts w:eastAsia="Calibri"/>
          <w:snapToGrid w:val="0"/>
          <w:kern w:val="22"/>
          <w:szCs w:val="22"/>
          <w:lang w:val="fr-FR"/>
        </w:rPr>
        <w:t xml:space="preserve">, qui contient un rapport de synthèse sur les expériences de mise en œuvre des approches écosystémiques d’adaptation aux changements climatiques et de réduction des risques de catastrophe naturelle. Il fournit des informations détaillées sur l’expérience acquise dans le contexte des cadres politiques et juridiques, de l’intégration, de l’intégration de l’égalité entre les sexes, et de la contribution des peuples autochtones et des communautés </w:t>
      </w:r>
      <w:r>
        <w:rPr>
          <w:rFonts w:eastAsia="Calibri"/>
          <w:snapToGrid w:val="0"/>
          <w:kern w:val="22"/>
          <w:szCs w:val="22"/>
          <w:lang w:val="fr-FR"/>
        </w:rPr>
        <w:lastRenderedPageBreak/>
        <w:t>locales. D’autres exemples d’activités d’adaptation aux changements climatiques et de réduction des risques de catastrophe naturelle fondées sur les écosystèmes sont présentés dans le tableau ci-dessous.</w:t>
      </w:r>
    </w:p>
    <w:p w:rsidR="009F6935" w:rsidRPr="00031631" w:rsidRDefault="009F6935" w:rsidP="009F6935">
      <w:pPr>
        <w:keepNext/>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A91994">
        <w:rPr>
          <w:rFonts w:eastAsia="Calibri"/>
          <w:b/>
          <w:snapToGrid w:val="0"/>
          <w:kern w:val="22"/>
          <w:szCs w:val="22"/>
          <w:lang w:val="fr-FR"/>
        </w:rPr>
        <w:t>T</w:t>
      </w:r>
      <w:r>
        <w:rPr>
          <w:rFonts w:eastAsia="Calibri"/>
          <w:b/>
          <w:snapToGrid w:val="0"/>
          <w:kern w:val="22"/>
          <w:szCs w:val="22"/>
          <w:lang w:val="fr-FR"/>
        </w:rPr>
        <w:t>ableau. Exemples de mesures</w:t>
      </w:r>
      <w:r w:rsidRPr="00A91994">
        <w:rPr>
          <w:rFonts w:eastAsia="Calibri"/>
          <w:b/>
          <w:snapToGrid w:val="0"/>
          <w:kern w:val="22"/>
          <w:szCs w:val="22"/>
          <w:lang w:val="fr-FR"/>
        </w:rPr>
        <w:t xml:space="preserve"> </w:t>
      </w:r>
      <w:r>
        <w:rPr>
          <w:rFonts w:eastAsia="Calibri"/>
          <w:b/>
          <w:snapToGrid w:val="0"/>
          <w:kern w:val="22"/>
          <w:szCs w:val="22"/>
          <w:lang w:val="fr-FR"/>
        </w:rPr>
        <w:t>d’adaptation aux changements climatiques et de réduction des risques de catastrophe naturelle fondées sur les écosystèmes,</w:t>
      </w:r>
      <w:r w:rsidRPr="00A91994">
        <w:rPr>
          <w:rFonts w:eastAsia="Calibri"/>
          <w:b/>
          <w:snapToGrid w:val="0"/>
          <w:kern w:val="22"/>
          <w:szCs w:val="22"/>
          <w:lang w:val="fr-FR"/>
        </w:rPr>
        <w:t xml:space="preserve"> et résultats</w:t>
      </w:r>
      <w:r>
        <w:rPr>
          <w:rFonts w:eastAsia="Calibri"/>
          <w:b/>
          <w:snapToGrid w:val="0"/>
          <w:kern w:val="22"/>
          <w:szCs w:val="22"/>
          <w:lang w:val="fr-FR"/>
        </w:rPr>
        <w:t xml:space="preserve"> obtenus</w:t>
      </w:r>
      <w:r w:rsidRPr="008966A7">
        <w:rPr>
          <w:rStyle w:val="FootnoteReference"/>
          <w:rFonts w:eastAsia="Calibri"/>
          <w:snapToGrid w:val="0"/>
          <w:kern w:val="22"/>
          <w:sz w:val="20"/>
          <w:szCs w:val="20"/>
          <w:u w:val="none"/>
          <w:vertAlign w:val="superscript"/>
          <w:lang w:val="fr-FR"/>
        </w:rPr>
        <w:footnoteReference w:id="95"/>
      </w:r>
    </w:p>
    <w:tbl>
      <w:tblPr>
        <w:tblStyle w:val="TableGrid"/>
        <w:tblW w:w="9355" w:type="dxa"/>
        <w:jc w:val="center"/>
        <w:tblLook w:val="04A0" w:firstRow="1" w:lastRow="0" w:firstColumn="1" w:lastColumn="0" w:noHBand="0" w:noVBand="1"/>
      </w:tblPr>
      <w:tblGrid>
        <w:gridCol w:w="1791"/>
        <w:gridCol w:w="1389"/>
        <w:gridCol w:w="3658"/>
        <w:gridCol w:w="2517"/>
      </w:tblGrid>
      <w:tr w:rsidR="009F6935" w:rsidRPr="008966A7" w:rsidTr="003D3017">
        <w:trPr>
          <w:cantSplit/>
          <w:jc w:val="center"/>
        </w:trPr>
        <w:tc>
          <w:tcPr>
            <w:tcW w:w="1795" w:type="dxa"/>
          </w:tcPr>
          <w:p w:rsidR="009F6935" w:rsidRPr="008966A7" w:rsidRDefault="009F6935" w:rsidP="003D3017">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sidRPr="008966A7">
              <w:rPr>
                <w:rFonts w:ascii="Times New Roman" w:eastAsia="Calibri" w:hAnsi="Times New Roman" w:cs="Times New Roman"/>
                <w:bCs/>
                <w:i/>
                <w:iCs/>
                <w:snapToGrid w:val="0"/>
                <w:kern w:val="22"/>
                <w:szCs w:val="22"/>
                <w:lang w:val="fr-FR"/>
              </w:rPr>
              <w:t>Risque/effet du changement climatique</w:t>
            </w:r>
          </w:p>
        </w:tc>
        <w:tc>
          <w:tcPr>
            <w:tcW w:w="1350" w:type="dxa"/>
          </w:tcPr>
          <w:p w:rsidR="009F6935" w:rsidRPr="008966A7" w:rsidRDefault="009F6935" w:rsidP="003D3017">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sidRPr="008966A7">
              <w:rPr>
                <w:rFonts w:ascii="Times New Roman" w:eastAsia="Calibri" w:hAnsi="Times New Roman" w:cs="Times New Roman"/>
                <w:bCs/>
                <w:i/>
                <w:iCs/>
                <w:snapToGrid w:val="0"/>
                <w:kern w:val="22"/>
                <w:szCs w:val="22"/>
                <w:lang w:val="fr-FR"/>
              </w:rPr>
              <w:t>Type d’écosystème</w:t>
            </w: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sidRPr="008966A7">
              <w:rPr>
                <w:rFonts w:ascii="Times New Roman" w:eastAsia="Calibri" w:hAnsi="Times New Roman" w:cs="Times New Roman"/>
                <w:bCs/>
                <w:i/>
                <w:iCs/>
                <w:snapToGrid w:val="0"/>
                <w:kern w:val="22"/>
                <w:szCs w:val="22"/>
                <w:lang w:val="fr-FR"/>
              </w:rPr>
              <w:t>Options pour les mesures d’adaptation aux changements climatiques ou de réduction des risques de catastrophe naturelle fondées sur les écosystèmes</w:t>
            </w:r>
          </w:p>
        </w:tc>
        <w:tc>
          <w:tcPr>
            <w:tcW w:w="2525" w:type="dxa"/>
          </w:tcPr>
          <w:p w:rsidR="009F6935" w:rsidRPr="008966A7" w:rsidRDefault="009F6935" w:rsidP="003D3017">
            <w:pPr>
              <w:suppressLineNumbers/>
              <w:suppressAutoHyphens/>
              <w:kinsoku w:val="0"/>
              <w:overflowPunct w:val="0"/>
              <w:autoSpaceDE w:val="0"/>
              <w:autoSpaceDN w:val="0"/>
              <w:adjustRightInd w:val="0"/>
              <w:snapToGrid w:val="0"/>
              <w:jc w:val="center"/>
              <w:rPr>
                <w:rFonts w:ascii="Times New Roman" w:eastAsia="Calibri" w:hAnsi="Times New Roman" w:cs="Times New Roman"/>
                <w:bCs/>
                <w:i/>
                <w:iCs/>
                <w:snapToGrid w:val="0"/>
                <w:kern w:val="22"/>
                <w:szCs w:val="22"/>
                <w:lang w:val="fr-FR"/>
              </w:rPr>
            </w:pPr>
            <w:r w:rsidRPr="008966A7">
              <w:rPr>
                <w:rFonts w:ascii="Times New Roman" w:eastAsia="Calibri" w:hAnsi="Times New Roman" w:cs="Times New Roman"/>
                <w:bCs/>
                <w:i/>
                <w:iCs/>
                <w:snapToGrid w:val="0"/>
                <w:kern w:val="22"/>
                <w:szCs w:val="22"/>
                <w:lang w:val="fr-FR"/>
              </w:rPr>
              <w:t>Résultat</w:t>
            </w:r>
          </w:p>
        </w:tc>
      </w:tr>
      <w:tr w:rsidR="009F6935" w:rsidRPr="008966A7" w:rsidTr="003D3017">
        <w:trPr>
          <w:cantSplit/>
          <w:jc w:val="center"/>
        </w:trPr>
        <w:tc>
          <w:tcPr>
            <w:tcW w:w="179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Sécheresse</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Érosion du sol</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Précipitations imprévisibles</w:t>
            </w:r>
          </w:p>
        </w:tc>
        <w:tc>
          <w:tcPr>
            <w:tcW w:w="1350"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Montagnes et forêts</w:t>
            </w: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Gestion durable des zones humides de montagne</w:t>
            </w:r>
          </w:p>
        </w:tc>
        <w:tc>
          <w:tcPr>
            <w:tcW w:w="252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Meilleure régulation de l’eau</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Prévention de l’érosion</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Capacité accrue de stockage de l’eau</w:t>
            </w: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forêts et des pâturages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pâturages au moyen d’espèces indigènes ayant des racines profondes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b/>
                <w:snapToGrid w:val="0"/>
                <w:kern w:val="22"/>
                <w:szCs w:val="22"/>
                <w:lang w:val="fr-FR"/>
              </w:rPr>
            </w:pPr>
          </w:p>
        </w:tc>
      </w:tr>
      <w:tr w:rsidR="009F6935" w:rsidRPr="008966A7" w:rsidTr="003D3017">
        <w:trPr>
          <w:cantSplit/>
          <w:jc w:val="center"/>
        </w:trPr>
        <w:tc>
          <w:tcPr>
            <w:tcW w:w="179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Précipitations imprévisibles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Inondations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Sécheresse</w:t>
            </w:r>
          </w:p>
        </w:tc>
        <w:tc>
          <w:tcPr>
            <w:tcW w:w="1350"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Eaux intérieures</w:t>
            </w: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Conservation des zones humides et des tourbières</w:t>
            </w:r>
          </w:p>
        </w:tc>
        <w:tc>
          <w:tcPr>
            <w:tcW w:w="252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Capacité accrue de stockage de l’eau</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Réduction des risques d’inondation</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Meilleur approvisionnement en eau</w:t>
            </w: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bassins versants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Bonne gestion des ressources hydriques et restauration des écosystèmes transfrontières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Précipitations imprévisibles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Augmentation des températures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Changements dans les saisons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Sécheresse</w:t>
            </w:r>
          </w:p>
        </w:tc>
        <w:tc>
          <w:tcPr>
            <w:tcW w:w="1350"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Agriculture et terres arides</w:t>
            </w: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écosystèmes et agroforesterie</w:t>
            </w:r>
          </w:p>
        </w:tc>
        <w:tc>
          <w:tcPr>
            <w:tcW w:w="252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Capacité accrue de stockage de l’eau</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Adaptation à des températures plus élevées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Adaptation aux changements dans les saisons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Meilleur approvisionnement en eau</w:t>
            </w: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Cultures intercalaires d’espèces adaptées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Emploi des arbres pour s’adapter aux saisons sèches en évolution</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Gestion durable de l’élevage et restauration des pâturages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Résilience face à la sécheresse et gestion durable des terres arides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trHeight w:val="256"/>
          <w:jc w:val="center"/>
        </w:trPr>
        <w:tc>
          <w:tcPr>
            <w:tcW w:w="179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Chaleur extrême</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Augmentation des températures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Inondations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Précipitations imprévisibles</w:t>
            </w:r>
          </w:p>
        </w:tc>
        <w:tc>
          <w:tcPr>
            <w:tcW w:w="1350"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Urbain</w:t>
            </w: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Corridors verts d’aération dans les villes</w:t>
            </w:r>
          </w:p>
        </w:tc>
        <w:tc>
          <w:tcPr>
            <w:tcW w:w="252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Limitation des canicules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Adaptation à des températures plus élevées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Réduction des risques d’inondation</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Meilleure régulation de l’eau</w:t>
            </w:r>
          </w:p>
        </w:tc>
      </w:tr>
      <w:tr w:rsidR="009F6935" w:rsidRPr="008966A7" w:rsidTr="003D3017">
        <w:trPr>
          <w:cantSplit/>
          <w:trHeight w:val="107"/>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Gestion des eaux pluviales au moyen d’espaces verts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fleuves dans les zones urbaines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 xml:space="preserve">Façades en verdure pour les bâtiments </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Ondes de tempête</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Cyclones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Elévation du niveau de la mer</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Salinisation</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Augmentation des températures</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Acidification des océans</w:t>
            </w:r>
          </w:p>
        </w:tc>
        <w:tc>
          <w:tcPr>
            <w:tcW w:w="1350"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Marin et côtier</w:t>
            </w: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mangroves et protection du littoral</w:t>
            </w:r>
          </w:p>
        </w:tc>
        <w:tc>
          <w:tcPr>
            <w:tcW w:w="2525" w:type="dxa"/>
            <w:vMerge w:val="restart"/>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Réduction des risques de tempête et de cyclone</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Réduction des risques d’inondation</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Meilleure qualité de l’eau</w:t>
            </w:r>
          </w:p>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Adaptation à des températures plus élevées</w:t>
            </w:r>
          </w:p>
        </w:tc>
      </w:tr>
      <w:tr w:rsidR="009F6935" w:rsidRPr="008966A7" w:rsidTr="003D3017">
        <w:trPr>
          <w:cantSplit/>
          <w:trHeight w:val="268"/>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Réalignement de la côte</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r>
      <w:tr w:rsidR="009F6935" w:rsidRPr="008966A7" w:rsidTr="003D3017">
        <w:trPr>
          <w:cantSplit/>
          <w:trHeight w:val="530"/>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Pêche durable et réhabilitation des mangroves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r>
      <w:tr w:rsidR="009F6935" w:rsidRPr="008966A7" w:rsidTr="003D3017">
        <w:trPr>
          <w:cantSplit/>
          <w:jc w:val="center"/>
        </w:trPr>
        <w:tc>
          <w:tcPr>
            <w:tcW w:w="1795"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1350"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c>
          <w:tcPr>
            <w:tcW w:w="3685" w:type="dxa"/>
          </w:tcPr>
          <w:p w:rsidR="009F6935" w:rsidRPr="008966A7" w:rsidRDefault="009F6935" w:rsidP="003D3017">
            <w:pPr>
              <w:suppressLineNumbers/>
              <w:suppressAutoHyphens/>
              <w:kinsoku w:val="0"/>
              <w:overflowPunct w:val="0"/>
              <w:autoSpaceDE w:val="0"/>
              <w:autoSpaceDN w:val="0"/>
              <w:adjustRightInd w:val="0"/>
              <w:snapToGrid w:val="0"/>
              <w:jc w:val="left"/>
              <w:rPr>
                <w:rFonts w:ascii="Times New Roman" w:eastAsia="Calibri" w:hAnsi="Times New Roman" w:cs="Times New Roman"/>
                <w:snapToGrid w:val="0"/>
                <w:kern w:val="22"/>
                <w:szCs w:val="22"/>
                <w:lang w:val="fr-FR"/>
              </w:rPr>
            </w:pPr>
            <w:r w:rsidRPr="008966A7">
              <w:rPr>
                <w:rFonts w:ascii="Times New Roman" w:eastAsia="Calibri" w:hAnsi="Times New Roman" w:cs="Times New Roman"/>
                <w:snapToGrid w:val="0"/>
                <w:kern w:val="22"/>
                <w:szCs w:val="22"/>
                <w:lang w:val="fr-FR"/>
              </w:rPr>
              <w:t>Restauration des récifs coralliens</w:t>
            </w:r>
          </w:p>
        </w:tc>
        <w:tc>
          <w:tcPr>
            <w:tcW w:w="2525" w:type="dxa"/>
            <w:vMerge/>
          </w:tcPr>
          <w:p w:rsidR="009F6935" w:rsidRPr="008966A7" w:rsidRDefault="009F6935" w:rsidP="003D3017">
            <w:pPr>
              <w:suppressLineNumbers/>
              <w:suppressAutoHyphens/>
              <w:kinsoku w:val="0"/>
              <w:overflowPunct w:val="0"/>
              <w:autoSpaceDE w:val="0"/>
              <w:autoSpaceDN w:val="0"/>
              <w:adjustRightInd w:val="0"/>
              <w:snapToGrid w:val="0"/>
              <w:rPr>
                <w:rFonts w:ascii="Times New Roman" w:eastAsia="Calibri" w:hAnsi="Times New Roman" w:cs="Times New Roman"/>
                <w:snapToGrid w:val="0"/>
                <w:kern w:val="22"/>
                <w:szCs w:val="22"/>
                <w:lang w:val="fr-FR"/>
              </w:rPr>
            </w:pPr>
          </w:p>
        </w:tc>
      </w:tr>
    </w:tbl>
    <w:p w:rsidR="009F6935" w:rsidRPr="0003163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360" w:after="120"/>
        <w:ind w:left="0" w:firstLine="0"/>
        <w:contextualSpacing w:val="0"/>
        <w:rPr>
          <w:rFonts w:eastAsia="Calibri"/>
          <w:snapToGrid w:val="0"/>
          <w:kern w:val="22"/>
          <w:szCs w:val="22"/>
          <w:lang w:val="fr-FR"/>
        </w:rPr>
      </w:pPr>
      <w:r w:rsidRPr="0032278F">
        <w:rPr>
          <w:rFonts w:eastAsia="Calibri"/>
          <w:snapToGrid w:val="0"/>
          <w:kern w:val="22"/>
          <w:szCs w:val="22"/>
          <w:lang w:val="fr-FR"/>
        </w:rPr>
        <w:lastRenderedPageBreak/>
        <w:t>L</w:t>
      </w:r>
      <w:r>
        <w:rPr>
          <w:rFonts w:eastAsia="Calibri"/>
          <w:snapToGrid w:val="0"/>
          <w:kern w:val="22"/>
          <w:szCs w:val="22"/>
          <w:lang w:val="fr-FR"/>
        </w:rPr>
        <w:t>es activités d’adaptation aux changements climatiques et de réduction des risques de catastrophe naturelle fondées sur les écosystèmes doivent comprendre les caractéristiques suivantes :</w:t>
      </w:r>
    </w:p>
    <w:p w:rsidR="009F6935" w:rsidRPr="00031631" w:rsidRDefault="009F6935" w:rsidP="00004EAF">
      <w:pPr>
        <w:numPr>
          <w:ilvl w:val="0"/>
          <w:numId w:val="61"/>
        </w:numPr>
        <w:suppressLineNumbers/>
        <w:suppressAutoHyphens/>
        <w:kinsoku w:val="0"/>
        <w:overflowPunct w:val="0"/>
        <w:autoSpaceDE w:val="0"/>
        <w:autoSpaceDN w:val="0"/>
        <w:adjustRightInd w:val="0"/>
        <w:snapToGrid w:val="0"/>
        <w:spacing w:before="60" w:after="60"/>
        <w:ind w:left="0" w:firstLine="720"/>
        <w:rPr>
          <w:rFonts w:eastAsia="Calibri"/>
          <w:snapToGrid w:val="0"/>
          <w:kern w:val="22"/>
          <w:szCs w:val="22"/>
          <w:lang w:val="fr-FR"/>
        </w:rPr>
      </w:pPr>
      <w:r>
        <w:rPr>
          <w:rFonts w:eastAsia="Calibri"/>
          <w:snapToGrid w:val="0"/>
          <w:kern w:val="22"/>
          <w:szCs w:val="22"/>
          <w:lang w:val="fr-FR"/>
        </w:rPr>
        <w:t>Augmenter la résilience et les capacités d’adaptation, et réduire les vulnérabilités sociales et environnementales face aux risques associés aux impacts des changements climatiques, contribuant ainsi à l’adaptation progressive et transformative et à la réduction des risques de catastrophe naturelle ;</w:t>
      </w:r>
    </w:p>
    <w:p w:rsidR="009F6935" w:rsidRPr="00031631" w:rsidRDefault="009F6935" w:rsidP="00004EAF">
      <w:pPr>
        <w:numPr>
          <w:ilvl w:val="0"/>
          <w:numId w:val="61"/>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Produire des avantages pour la société, contribuant à un développement durable et résilient en utilisant des approches équitables, transparentes et participatives ;</w:t>
      </w:r>
    </w:p>
    <w:p w:rsidR="009F6935" w:rsidRPr="00031631" w:rsidRDefault="009F6935" w:rsidP="00004EAF">
      <w:pPr>
        <w:numPr>
          <w:ilvl w:val="0"/>
          <w:numId w:val="61"/>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Utiliser la biodiversité et les services et fonctions écosystémiques en gérant, conservant et restaurant les écosystèmes ;</w:t>
      </w:r>
    </w:p>
    <w:p w:rsidR="009F6935" w:rsidRPr="00377E20" w:rsidRDefault="009F6935" w:rsidP="00004EAF">
      <w:pPr>
        <w:numPr>
          <w:ilvl w:val="0"/>
          <w:numId w:val="61"/>
        </w:numPr>
        <w:suppressLineNumbers/>
        <w:suppressAutoHyphens/>
        <w:kinsoku w:val="0"/>
        <w:overflowPunct w:val="0"/>
        <w:autoSpaceDE w:val="0"/>
        <w:autoSpaceDN w:val="0"/>
        <w:adjustRightInd w:val="0"/>
        <w:snapToGrid w:val="0"/>
        <w:spacing w:before="60" w:after="60"/>
        <w:ind w:left="0" w:firstLine="720"/>
        <w:rPr>
          <w:snapToGrid w:val="0"/>
          <w:kern w:val="22"/>
          <w:szCs w:val="22"/>
          <w:lang w:val="fr-FR" w:eastAsia="en-CA"/>
        </w:rPr>
      </w:pPr>
      <w:r>
        <w:rPr>
          <w:rFonts w:eastAsia="Calibri"/>
          <w:snapToGrid w:val="0"/>
          <w:kern w:val="22"/>
          <w:szCs w:val="22"/>
          <w:lang w:val="fr-FR"/>
        </w:rPr>
        <w:t>Faire partie de stratégies globales d’adaptation aux changements climatiques et de réduction des risques de catastrophe naturelle qui sont soutenues par des politiques à multiples niveaux, et encourager la gouvernance équitable tout en augmentant les capacités</w:t>
      </w:r>
      <w:r w:rsidRPr="00031631">
        <w:rPr>
          <w:rFonts w:eastAsia="Calibri"/>
          <w:snapToGrid w:val="0"/>
          <w:kern w:val="22"/>
          <w:szCs w:val="22"/>
          <w:lang w:val="fr-FR"/>
        </w:rPr>
        <w:t>.</w:t>
      </w:r>
    </w:p>
    <w:p w:rsidR="009F6935" w:rsidRPr="00473F77" w:rsidRDefault="009F6935" w:rsidP="00004EAF">
      <w:pPr>
        <w:pStyle w:val="ListParagraph"/>
        <w:keepNext/>
        <w:numPr>
          <w:ilvl w:val="0"/>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74" w:name="_Toc525904232"/>
      <w:bookmarkStart w:id="275" w:name="_Toc525904391"/>
      <w:bookmarkStart w:id="276" w:name="_Toc525904635"/>
      <w:r w:rsidRPr="00473F77">
        <w:rPr>
          <w:b/>
          <w:snapToGrid w:val="0"/>
          <w:kern w:val="22"/>
          <w:szCs w:val="22"/>
          <w:lang w:val="fr-FR"/>
        </w:rPr>
        <w:t>Principes et garanties</w:t>
      </w:r>
      <w:bookmarkEnd w:id="274"/>
      <w:bookmarkEnd w:id="275"/>
      <w:bookmarkEnd w:id="276"/>
    </w:p>
    <w:p w:rsidR="009F6935" w:rsidRPr="00473F77"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lignes directrices facultatives sont sous-tendues par des principes et des garanties élaborées en s’appuyant sur la documentation et les lignes directrices existantes sur les approches écosystémiques d’adaptation aux changements climatiques et de réduction des risques de catastrophe naturelle</w:t>
      </w:r>
      <w:r w:rsidRPr="008966A7">
        <w:rPr>
          <w:rStyle w:val="FootnoteReference"/>
          <w:rFonts w:eastAsia="Calibri"/>
          <w:snapToGrid w:val="0"/>
          <w:kern w:val="22"/>
          <w:sz w:val="20"/>
          <w:szCs w:val="20"/>
          <w:u w:val="none"/>
          <w:vertAlign w:val="superscript"/>
          <w:lang w:val="fr-FR"/>
        </w:rPr>
        <w:footnoteReference w:id="96"/>
      </w:r>
      <w:r>
        <w:rPr>
          <w:rFonts w:eastAsia="Calibri"/>
          <w:snapToGrid w:val="0"/>
          <w:kern w:val="22"/>
          <w:szCs w:val="22"/>
          <w:lang w:val="fr-FR"/>
        </w:rPr>
        <w:t xml:space="preserve">, et complètent d’autres principes et lignes directrices </w:t>
      </w:r>
      <w:r w:rsidRPr="00473F77">
        <w:rPr>
          <w:rFonts w:eastAsia="Calibri"/>
          <w:snapToGrid w:val="0"/>
          <w:kern w:val="22"/>
          <w:szCs w:val="22"/>
          <w:vertAlign w:val="superscript"/>
          <w:lang w:val="fr-FR"/>
        </w:rPr>
        <w:footnoteReference w:id="97"/>
      </w:r>
      <w:r w:rsidRPr="00473F77">
        <w:rPr>
          <w:rFonts w:eastAsia="Calibri"/>
          <w:snapToGrid w:val="0"/>
          <w:kern w:val="22"/>
          <w:szCs w:val="22"/>
          <w:lang w:val="fr-FR"/>
        </w:rPr>
        <w:t xml:space="preserve"> </w:t>
      </w:r>
      <w:r>
        <w:rPr>
          <w:rFonts w:eastAsia="Calibri"/>
          <w:snapToGrid w:val="0"/>
          <w:kern w:val="22"/>
          <w:szCs w:val="22"/>
          <w:lang w:val="fr-FR"/>
        </w:rPr>
        <w:t>adoptés en vertu de la Convention ou au titre d’autres organes. Les garanties sont des mesures sociales et environnementales visant à éviter les conséquences involontaires des approches écosystémiques d’adaptation aux changements climatiques et de réduction des risques de catastrophe naturelle</w:t>
      </w:r>
      <w:r w:rsidRPr="00473F77">
        <w:rPr>
          <w:rFonts w:eastAsia="Calibri"/>
          <w:snapToGrid w:val="0"/>
          <w:kern w:val="22"/>
          <w:szCs w:val="22"/>
          <w:lang w:val="fr-FR"/>
        </w:rPr>
        <w:t xml:space="preserve"> </w:t>
      </w:r>
      <w:r>
        <w:rPr>
          <w:rFonts w:eastAsia="Calibri"/>
          <w:snapToGrid w:val="0"/>
          <w:kern w:val="22"/>
          <w:szCs w:val="22"/>
          <w:lang w:val="fr-FR"/>
        </w:rPr>
        <w:t>pour les populations, les écosystèmes et la biodiversité; elles facilitent la transparence à tous les stades de planification et de mise en œuvre et favorisent des avantages découlant de la mise en œuvre.</w:t>
      </w:r>
    </w:p>
    <w:p w:rsidR="009F6935" w:rsidRPr="00473F77" w:rsidRDefault="009F6935" w:rsidP="00004EAF">
      <w:pPr>
        <w:pStyle w:val="ListParagraph"/>
        <w:keepNext/>
        <w:numPr>
          <w:ilvl w:val="1"/>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77" w:name="_Toc496697784"/>
      <w:bookmarkStart w:id="278" w:name="_Toc504402380"/>
      <w:bookmarkStart w:id="279" w:name="_Toc525904233"/>
      <w:bookmarkStart w:id="280" w:name="_Toc525904392"/>
      <w:bookmarkStart w:id="281" w:name="_Toc525904636"/>
      <w:r w:rsidRPr="00473F77">
        <w:rPr>
          <w:b/>
          <w:snapToGrid w:val="0"/>
          <w:kern w:val="22"/>
          <w:szCs w:val="22"/>
          <w:lang w:val="fr-FR"/>
        </w:rPr>
        <w:t>Princip</w:t>
      </w:r>
      <w:bookmarkEnd w:id="277"/>
      <w:bookmarkEnd w:id="278"/>
      <w:r>
        <w:rPr>
          <w:b/>
          <w:snapToGrid w:val="0"/>
          <w:kern w:val="22"/>
          <w:szCs w:val="22"/>
          <w:lang w:val="fr-FR"/>
        </w:rPr>
        <w:t>es</w:t>
      </w:r>
      <w:bookmarkEnd w:id="279"/>
      <w:bookmarkEnd w:id="280"/>
      <w:bookmarkEnd w:id="281"/>
    </w:p>
    <w:p w:rsidR="009F693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principes intègrent des éléments concrets des approches écosystémiques d’adaptation aux changements climatiques et de réduction des risques de catastrophe naturelle et servent de normes de haut niveau pour orienter la planification et la mise en œuvre. Ils sont regroupés par thème, à savoir : le renforcement de la résilience  et de la capacité d’adaptation, l’inclusion et l’équité, la prise en compte de multiples échelles, l’efficacité et l’efficience. Dans la partie 3, les lignes directrices contiennent des suggestions d’approches, des méthodologies et des outils connexes pour mettre en œuvre les mesures d’adaptation aux changements climatiques et de réduction des risques de catastrophe naturelle fondées sur les écosystèmes, conformément aux principes et aux garanties.</w:t>
      </w: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Pr="00163286"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163286">
        <w:rPr>
          <w:rFonts w:eastAsia="Calibri"/>
          <w:snapToGrid w:val="0"/>
          <w:kern w:val="22"/>
          <w:szCs w:val="22"/>
          <w:lang w:val="fr-FR"/>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16"/>
        <w:gridCol w:w="8860"/>
      </w:tblGrid>
      <w:tr w:rsidR="009F6935" w:rsidRPr="00AF7D0C" w:rsidTr="003D3017">
        <w:trPr>
          <w:jc w:val="center"/>
        </w:trPr>
        <w:tc>
          <w:tcPr>
            <w:tcW w:w="9576" w:type="dxa"/>
            <w:gridSpan w:val="2"/>
            <w:tcBorders>
              <w:top w:val="single" w:sz="4" w:space="0" w:color="auto"/>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Principes pour le renforcement de la résilience et de la capacité d’adaptation au moyen d’approches écosystémiques d’adaptation aux changements climatiques et de réduction des risques de catastrophe naturelle</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1</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Examiner une gamme complète d’approches écosystémiques pour augmenter la résilience des systèmes sociaux et écologiques dans le cadre de stratégies globales d’adaptation aux changements climatiques et de réduction des risques de catastrophe naturelle.</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2</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Utiliser des mesures d’intervention en cas de catastrophe naturelle, comme occasions de mieux reconstruire pour augmenter la capacité d’adaptation et la résilience</w:t>
            </w:r>
            <w:r w:rsidRPr="00473F77">
              <w:rPr>
                <w:rFonts w:eastAsia="Calibri"/>
                <w:snapToGrid w:val="0"/>
                <w:kern w:val="22"/>
                <w:sz w:val="21"/>
                <w:szCs w:val="21"/>
                <w:vertAlign w:val="superscript"/>
                <w:lang w:val="fr-FR"/>
              </w:rPr>
              <w:footnoteReference w:id="98"/>
            </w:r>
            <w:r>
              <w:rPr>
                <w:rFonts w:eastAsia="Calibri"/>
                <w:snapToGrid w:val="0"/>
                <w:kern w:val="22"/>
                <w:sz w:val="21"/>
                <w:szCs w:val="21"/>
                <w:lang w:val="fr-FR"/>
              </w:rPr>
              <w:t>, et intégrer les considérations relatives aux écosystèmes dans tous les stades de gestion des catastrophe naturelles.</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3</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sidRPr="00473F77">
              <w:rPr>
                <w:rFonts w:eastAsia="Calibri"/>
                <w:snapToGrid w:val="0"/>
                <w:kern w:val="22"/>
                <w:sz w:val="21"/>
                <w:szCs w:val="21"/>
                <w:lang w:val="fr-FR"/>
              </w:rPr>
              <w:t>Appl</w:t>
            </w:r>
            <w:r>
              <w:rPr>
                <w:rFonts w:eastAsia="Calibri"/>
                <w:snapToGrid w:val="0"/>
                <w:kern w:val="22"/>
                <w:sz w:val="21"/>
                <w:szCs w:val="21"/>
                <w:lang w:val="fr-FR"/>
              </w:rPr>
              <w:t>iquer l’approche de précaution</w:t>
            </w:r>
            <w:r w:rsidRPr="00473F77">
              <w:rPr>
                <w:rFonts w:eastAsia="Calibri"/>
                <w:snapToGrid w:val="0"/>
                <w:kern w:val="22"/>
                <w:sz w:val="21"/>
                <w:szCs w:val="21"/>
                <w:vertAlign w:val="superscript"/>
                <w:lang w:val="fr-FR"/>
              </w:rPr>
              <w:footnoteReference w:id="99"/>
            </w:r>
            <w:r>
              <w:rPr>
                <w:rFonts w:eastAsia="Calibri"/>
                <w:snapToGrid w:val="0"/>
                <w:kern w:val="22"/>
                <w:sz w:val="21"/>
                <w:szCs w:val="21"/>
                <w:lang w:val="fr-FR"/>
              </w:rPr>
              <w:t xml:space="preserve"> à la planification et à la mise en œuvre des mesures </w:t>
            </w:r>
            <w:r>
              <w:rPr>
                <w:rFonts w:eastAsia="Calibri"/>
                <w:snapToGrid w:val="0"/>
                <w:kern w:val="22"/>
                <w:szCs w:val="22"/>
                <w:lang w:val="fr-FR"/>
              </w:rPr>
              <w:t>d’adaptation aux changements climatiques et de réduction des risques de catastrophe naturelle fondées sur les écosystèmes,</w:t>
            </w:r>
            <w:r>
              <w:rPr>
                <w:rFonts w:eastAsia="Calibri"/>
                <w:snapToGrid w:val="0"/>
                <w:kern w:val="22"/>
                <w:sz w:val="21"/>
                <w:szCs w:val="21"/>
                <w:lang w:val="fr-FR"/>
              </w:rPr>
              <w:t xml:space="preserve"> et à leur mise en œuvre.</w:t>
            </w:r>
          </w:p>
        </w:tc>
      </w:tr>
      <w:tr w:rsidR="009F6935" w:rsidRPr="00AF7D0C" w:rsidTr="003D3017">
        <w:trPr>
          <w:jc w:val="center"/>
        </w:trPr>
        <w:tc>
          <w:tcPr>
            <w:tcW w:w="9576" w:type="dxa"/>
            <w:gridSpan w:val="2"/>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sidRPr="00473F77">
              <w:rPr>
                <w:rFonts w:eastAsia="Calibri"/>
                <w:b/>
                <w:snapToGrid w:val="0"/>
                <w:kern w:val="22"/>
                <w:sz w:val="21"/>
                <w:szCs w:val="21"/>
                <w:lang w:val="fr-FR"/>
              </w:rPr>
              <w:t>Princip</w:t>
            </w:r>
            <w:r>
              <w:rPr>
                <w:rFonts w:eastAsia="Calibri"/>
                <w:b/>
                <w:snapToGrid w:val="0"/>
                <w:kern w:val="22"/>
                <w:sz w:val="21"/>
                <w:szCs w:val="21"/>
                <w:lang w:val="fr-FR"/>
              </w:rPr>
              <w:t>es pour assurer l’inclusion et l’équité dans la planification et la mise en œuvre</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ind w:left="1440" w:hanging="1440"/>
              <w:jc w:val="center"/>
              <w:rPr>
                <w:rFonts w:eastAsia="Calibri"/>
                <w:snapToGrid w:val="0"/>
                <w:kern w:val="22"/>
                <w:sz w:val="21"/>
                <w:szCs w:val="21"/>
                <w:lang w:val="fr-FR"/>
              </w:rPr>
            </w:pPr>
            <w:r w:rsidRPr="00473F77">
              <w:rPr>
                <w:rFonts w:eastAsia="Calibri"/>
                <w:snapToGrid w:val="0"/>
                <w:kern w:val="22"/>
                <w:sz w:val="21"/>
                <w:szCs w:val="21"/>
                <w:lang w:val="fr-FR"/>
              </w:rPr>
              <w:t>4</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fr-FR"/>
              </w:rPr>
            </w:pPr>
            <w:r>
              <w:rPr>
                <w:rFonts w:eastAsia="Calibri"/>
                <w:snapToGrid w:val="0"/>
                <w:kern w:val="22"/>
                <w:sz w:val="21"/>
                <w:szCs w:val="21"/>
                <w:lang w:val="fr-FR"/>
              </w:rPr>
              <w:t>Planifier et mettre en œuvre les activités d’adaptation aux changements climatiques</w:t>
            </w:r>
            <w:r w:rsidRPr="00700B50">
              <w:rPr>
                <w:rFonts w:eastAsia="Calibri"/>
                <w:snapToGrid w:val="0"/>
                <w:kern w:val="22"/>
                <w:sz w:val="21"/>
                <w:szCs w:val="21"/>
                <w:lang w:val="fr-FR"/>
              </w:rPr>
              <w:t xml:space="preserve"> et </w:t>
            </w:r>
            <w:r>
              <w:rPr>
                <w:rFonts w:eastAsia="Calibri"/>
                <w:snapToGrid w:val="0"/>
                <w:kern w:val="22"/>
                <w:sz w:val="21"/>
                <w:szCs w:val="21"/>
                <w:lang w:val="fr-FR"/>
              </w:rPr>
              <w:t>de réduction des risques de catastrophe naturelle fondées sur les écosystèmes,</w:t>
            </w:r>
            <w:r w:rsidRPr="00700B50">
              <w:rPr>
                <w:rFonts w:eastAsia="Calibri"/>
                <w:snapToGrid w:val="0"/>
                <w:kern w:val="22"/>
                <w:sz w:val="21"/>
                <w:szCs w:val="21"/>
                <w:lang w:val="fr-FR"/>
              </w:rPr>
              <w:t xml:space="preserve"> afin d’empêcher et éviter les effets disproportionnés </w:t>
            </w:r>
            <w:r>
              <w:rPr>
                <w:rFonts w:eastAsia="Calibri"/>
                <w:snapToGrid w:val="0"/>
                <w:kern w:val="22"/>
                <w:sz w:val="21"/>
                <w:szCs w:val="21"/>
                <w:lang w:val="fr-FR"/>
              </w:rPr>
              <w:t>des changements climatiques et d</w:t>
            </w:r>
            <w:r w:rsidRPr="00700B50">
              <w:rPr>
                <w:rFonts w:eastAsia="Calibri"/>
                <w:snapToGrid w:val="0"/>
                <w:kern w:val="22"/>
                <w:sz w:val="21"/>
                <w:szCs w:val="21"/>
                <w:lang w:val="fr-FR"/>
              </w:rPr>
              <w:t xml:space="preserve">es risques de </w:t>
            </w:r>
            <w:r>
              <w:rPr>
                <w:rFonts w:eastAsia="Calibri"/>
                <w:snapToGrid w:val="0"/>
                <w:kern w:val="22"/>
                <w:sz w:val="21"/>
                <w:szCs w:val="21"/>
                <w:lang w:val="fr-FR"/>
              </w:rPr>
              <w:t>catastrophe naturelle</w:t>
            </w:r>
            <w:r w:rsidRPr="00700B50">
              <w:rPr>
                <w:rFonts w:eastAsia="Calibri"/>
                <w:snapToGrid w:val="0"/>
                <w:kern w:val="22"/>
                <w:sz w:val="21"/>
                <w:szCs w:val="21"/>
                <w:lang w:val="fr-FR"/>
              </w:rPr>
              <w:t xml:space="preserve"> </w:t>
            </w:r>
            <w:r>
              <w:rPr>
                <w:rFonts w:eastAsia="Calibri"/>
                <w:snapToGrid w:val="0"/>
                <w:kern w:val="22"/>
                <w:sz w:val="21"/>
                <w:szCs w:val="21"/>
                <w:lang w:val="fr-FR"/>
              </w:rPr>
              <w:t>sur les écosystèmes, ainsi que sur les groupes vulnérables</w:t>
            </w:r>
            <w:r w:rsidRPr="00700B50">
              <w:rPr>
                <w:rFonts w:eastAsia="Calibri"/>
                <w:snapToGrid w:val="0"/>
                <w:kern w:val="22"/>
                <w:sz w:val="21"/>
                <w:szCs w:val="21"/>
                <w:lang w:val="fr-FR"/>
              </w:rPr>
              <w:t xml:space="preserve">, </w:t>
            </w:r>
            <w:r>
              <w:rPr>
                <w:rFonts w:eastAsia="Calibri"/>
                <w:snapToGrid w:val="0"/>
                <w:kern w:val="22"/>
                <w:sz w:val="21"/>
                <w:szCs w:val="21"/>
                <w:lang w:val="fr-FR"/>
              </w:rPr>
              <w:t>les peuples autochtones et</w:t>
            </w:r>
            <w:r w:rsidRPr="00700B50">
              <w:rPr>
                <w:rFonts w:eastAsia="Calibri"/>
                <w:snapToGrid w:val="0"/>
                <w:kern w:val="22"/>
                <w:sz w:val="21"/>
                <w:szCs w:val="21"/>
                <w:lang w:val="fr-FR"/>
              </w:rPr>
              <w:t xml:space="preserve"> communautés locales</w:t>
            </w:r>
            <w:r>
              <w:rPr>
                <w:rFonts w:eastAsia="Calibri"/>
                <w:snapToGrid w:val="0"/>
                <w:kern w:val="22"/>
                <w:sz w:val="21"/>
                <w:szCs w:val="21"/>
                <w:lang w:val="fr-FR"/>
              </w:rPr>
              <w:t>, les femmes et les filles</w:t>
            </w:r>
            <w:r w:rsidRPr="00700B50">
              <w:rPr>
                <w:rFonts w:eastAsia="Calibri"/>
                <w:snapToGrid w:val="0"/>
                <w:kern w:val="22"/>
                <w:sz w:val="21"/>
                <w:szCs w:val="21"/>
                <w:lang w:val="fr-FR"/>
              </w:rPr>
              <w:t>.</w:t>
            </w:r>
          </w:p>
        </w:tc>
      </w:tr>
      <w:tr w:rsidR="009F6935" w:rsidRPr="00AF7D0C" w:rsidTr="003D3017">
        <w:trPr>
          <w:jc w:val="center"/>
        </w:trPr>
        <w:tc>
          <w:tcPr>
            <w:tcW w:w="9576" w:type="dxa"/>
            <w:gridSpan w:val="2"/>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 xml:space="preserve">Principes pour mettre en œuvre des </w:t>
            </w:r>
            <w:r>
              <w:rPr>
                <w:rFonts w:eastAsia="Calibri"/>
                <w:b/>
                <w:snapToGrid w:val="0"/>
                <w:kern w:val="22"/>
                <w:szCs w:val="22"/>
                <w:lang w:val="fr-FR"/>
              </w:rPr>
              <w:t>approches écosystémiques d’adaptation aux changements climatiques et de réduction des risques de catastrophe naturelle à des échelles multiples</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5</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ind w:left="-2" w:firstLine="2"/>
              <w:jc w:val="left"/>
              <w:rPr>
                <w:rFonts w:eastAsia="Calibri"/>
                <w:snapToGrid w:val="0"/>
                <w:kern w:val="22"/>
                <w:sz w:val="21"/>
                <w:szCs w:val="21"/>
                <w:lang w:val="fr-FR"/>
              </w:rPr>
            </w:pPr>
            <w:r>
              <w:rPr>
                <w:rFonts w:eastAsia="Calibri"/>
                <w:snapToGrid w:val="0"/>
                <w:kern w:val="22"/>
                <w:sz w:val="21"/>
                <w:szCs w:val="21"/>
                <w:lang w:val="fr-FR"/>
              </w:rPr>
              <w:t>Concevoir des mesures d’adaptation aux changements climatiques</w:t>
            </w:r>
            <w:r w:rsidRPr="00700B50">
              <w:rPr>
                <w:rFonts w:eastAsia="Calibri"/>
                <w:snapToGrid w:val="0"/>
                <w:kern w:val="22"/>
                <w:sz w:val="21"/>
                <w:szCs w:val="21"/>
                <w:lang w:val="fr-FR"/>
              </w:rPr>
              <w:t xml:space="preserve"> et </w:t>
            </w:r>
            <w:r>
              <w:rPr>
                <w:rFonts w:eastAsia="Calibri"/>
                <w:snapToGrid w:val="0"/>
                <w:kern w:val="22"/>
                <w:sz w:val="21"/>
                <w:szCs w:val="21"/>
                <w:lang w:val="fr-FR"/>
              </w:rPr>
              <w:t>de réduction des risques de catastrophe naturelle fondées sur les écosystèmes</w:t>
            </w:r>
            <w:r w:rsidRPr="00700B50">
              <w:rPr>
                <w:rFonts w:eastAsia="Calibri"/>
                <w:snapToGrid w:val="0"/>
                <w:kern w:val="22"/>
                <w:sz w:val="21"/>
                <w:szCs w:val="21"/>
                <w:lang w:val="fr-FR"/>
              </w:rPr>
              <w:t xml:space="preserve"> à des échelles appropriées</w:t>
            </w:r>
            <w:r>
              <w:rPr>
                <w:rFonts w:eastAsia="Calibri"/>
                <w:snapToGrid w:val="0"/>
                <w:kern w:val="22"/>
                <w:sz w:val="21"/>
                <w:szCs w:val="21"/>
                <w:lang w:val="fr-FR"/>
              </w:rPr>
              <w:t>, en reconnaissant que certains des avantages de ces approches sont seulement apparents à des échelles temporelles et spatiales plus grandes</w:t>
            </w:r>
            <w:r w:rsidRPr="00473F77">
              <w:rPr>
                <w:rFonts w:eastAsia="Calibri"/>
                <w:snapToGrid w:val="0"/>
                <w:kern w:val="22"/>
                <w:sz w:val="21"/>
                <w:szCs w:val="21"/>
                <w:lang w:val="fr-FR"/>
              </w:rPr>
              <w:t>.</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6</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Veiller à ce que les approches écosystémiques d’adaptation aux changements climatiques</w:t>
            </w:r>
            <w:r w:rsidRPr="00700B50">
              <w:rPr>
                <w:rFonts w:eastAsia="Calibri"/>
                <w:snapToGrid w:val="0"/>
                <w:kern w:val="22"/>
                <w:sz w:val="21"/>
                <w:szCs w:val="21"/>
                <w:lang w:val="fr-FR"/>
              </w:rPr>
              <w:t xml:space="preserve"> et </w:t>
            </w:r>
            <w:r>
              <w:rPr>
                <w:rFonts w:eastAsia="Calibri"/>
                <w:snapToGrid w:val="0"/>
                <w:kern w:val="22"/>
                <w:sz w:val="21"/>
                <w:szCs w:val="21"/>
                <w:lang w:val="fr-FR"/>
              </w:rPr>
              <w:t>de réduction des risques de catastrophe naturelle soient intersectorielles et impliquent la collaboration, la coordination et la coopération des parties prenantes et des détenteurs de droits.</w:t>
            </w:r>
          </w:p>
        </w:tc>
      </w:tr>
      <w:tr w:rsidR="009F6935" w:rsidRPr="00AF7D0C" w:rsidTr="003D3017">
        <w:trPr>
          <w:jc w:val="center"/>
        </w:trPr>
        <w:tc>
          <w:tcPr>
            <w:tcW w:w="9576" w:type="dxa"/>
            <w:gridSpan w:val="2"/>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b/>
                <w:snapToGrid w:val="0"/>
                <w:kern w:val="22"/>
                <w:sz w:val="21"/>
                <w:szCs w:val="21"/>
                <w:lang w:val="fr-FR"/>
              </w:rPr>
            </w:pPr>
            <w:r>
              <w:rPr>
                <w:rFonts w:eastAsia="Calibri"/>
                <w:b/>
                <w:snapToGrid w:val="0"/>
                <w:kern w:val="22"/>
                <w:sz w:val="21"/>
                <w:szCs w:val="21"/>
                <w:lang w:val="fr-FR"/>
              </w:rPr>
              <w:t>Princip</w:t>
            </w:r>
            <w:r w:rsidRPr="00473F77">
              <w:rPr>
                <w:rFonts w:eastAsia="Calibri"/>
                <w:b/>
                <w:snapToGrid w:val="0"/>
                <w:kern w:val="22"/>
                <w:sz w:val="21"/>
                <w:szCs w:val="21"/>
                <w:lang w:val="fr-FR"/>
              </w:rPr>
              <w:t xml:space="preserve">es </w:t>
            </w:r>
            <w:r>
              <w:rPr>
                <w:rFonts w:eastAsia="Calibri"/>
                <w:b/>
                <w:snapToGrid w:val="0"/>
                <w:kern w:val="22"/>
                <w:sz w:val="21"/>
                <w:szCs w:val="21"/>
                <w:lang w:val="fr-FR"/>
              </w:rPr>
              <w:t xml:space="preserve">pour assurer l’efficacité et l’efficience des approches écosystémiques d’adaptation aux changements climatiques et de réduction des risques de catastrophe naturelle </w:t>
            </w:r>
          </w:p>
        </w:tc>
      </w:tr>
      <w:tr w:rsidR="009F6935" w:rsidRPr="00AF7D0C" w:rsidTr="003D3017">
        <w:trPr>
          <w:jc w:val="center"/>
        </w:trPr>
        <w:tc>
          <w:tcPr>
            <w:tcW w:w="716"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7</w:t>
            </w:r>
          </w:p>
        </w:tc>
        <w:tc>
          <w:tcPr>
            <w:tcW w:w="8860" w:type="dxa"/>
            <w:tcBorders>
              <w:top w:val="nil"/>
              <w:bottom w:val="nil"/>
            </w:tcBorders>
            <w:shd w:val="clear" w:color="auto" w:fill="auto"/>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 xml:space="preserve">Veiller à ce que les mesures d’adaptation aux changements climatiques </w:t>
            </w:r>
            <w:r w:rsidRPr="00700B50">
              <w:rPr>
                <w:rFonts w:eastAsia="Calibri"/>
                <w:snapToGrid w:val="0"/>
                <w:kern w:val="22"/>
                <w:sz w:val="21"/>
                <w:szCs w:val="21"/>
                <w:lang w:val="fr-FR"/>
              </w:rPr>
              <w:t xml:space="preserve">et </w:t>
            </w:r>
            <w:r>
              <w:rPr>
                <w:rFonts w:eastAsia="Calibri"/>
                <w:snapToGrid w:val="0"/>
                <w:kern w:val="22"/>
                <w:sz w:val="21"/>
                <w:szCs w:val="21"/>
                <w:lang w:val="fr-FR"/>
              </w:rPr>
              <w:t>de réduction des risques de catastrophe naturelle fondées sur les écosystèmes</w:t>
            </w:r>
            <w:r w:rsidRPr="00473F77">
              <w:rPr>
                <w:rFonts w:eastAsia="Calibri"/>
                <w:snapToGrid w:val="0"/>
                <w:kern w:val="22"/>
                <w:sz w:val="21"/>
                <w:szCs w:val="21"/>
                <w:lang w:val="fr-FR"/>
              </w:rPr>
              <w:t xml:space="preserve"> </w:t>
            </w:r>
            <w:r>
              <w:rPr>
                <w:rFonts w:eastAsia="Calibri"/>
                <w:snapToGrid w:val="0"/>
                <w:kern w:val="22"/>
                <w:sz w:val="21"/>
                <w:szCs w:val="21"/>
                <w:lang w:val="fr-FR"/>
              </w:rPr>
              <w:t>soient basées sur des éléments concrets et sur les connaissances traditionnelles disponibles des peuples autochtones et des communautés locales, et soient appuyées par les meilleures données scientifiques et issues de la recherche, l’expérience pratique et des systèmes de connaissance divers.</w:t>
            </w:r>
          </w:p>
        </w:tc>
      </w:tr>
      <w:tr w:rsidR="009F6935" w:rsidRPr="00AF7D0C" w:rsidTr="003D3017">
        <w:trPr>
          <w:jc w:val="center"/>
        </w:trPr>
        <w:tc>
          <w:tcPr>
            <w:tcW w:w="716" w:type="dxa"/>
            <w:tcBorders>
              <w:top w:val="nil"/>
            </w:tcBorders>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8</w:t>
            </w:r>
          </w:p>
        </w:tc>
        <w:tc>
          <w:tcPr>
            <w:tcW w:w="8860" w:type="dxa"/>
            <w:tcBorders>
              <w:top w:val="nil"/>
            </w:tcBorders>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 xml:space="preserve">Intégrer des mécanismes qui facilitent la gestion adaptative et l’apprentissage actif dans les approches écosystémiques d’adaptation aux changements climatiques </w:t>
            </w:r>
            <w:r w:rsidRPr="00700B50">
              <w:rPr>
                <w:rFonts w:eastAsia="Calibri"/>
                <w:snapToGrid w:val="0"/>
                <w:kern w:val="22"/>
                <w:sz w:val="21"/>
                <w:szCs w:val="21"/>
                <w:lang w:val="fr-FR"/>
              </w:rPr>
              <w:t xml:space="preserve">et </w:t>
            </w:r>
            <w:r>
              <w:rPr>
                <w:rFonts w:eastAsia="Calibri"/>
                <w:snapToGrid w:val="0"/>
                <w:kern w:val="22"/>
                <w:sz w:val="21"/>
                <w:szCs w:val="21"/>
                <w:lang w:val="fr-FR"/>
              </w:rPr>
              <w:t>la réduction des risques de catastrophe naturelle, y compris le suivi et l’évaluation de tous les stades de la planification et de la mise en œuvre.</w:t>
            </w:r>
          </w:p>
        </w:tc>
      </w:tr>
      <w:tr w:rsidR="009F6935" w:rsidRPr="00AF7D0C" w:rsidTr="003D3017">
        <w:trPr>
          <w:jc w:val="center"/>
        </w:trPr>
        <w:tc>
          <w:tcPr>
            <w:tcW w:w="716" w:type="dxa"/>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t>9</w:t>
            </w:r>
          </w:p>
        </w:tc>
        <w:tc>
          <w:tcPr>
            <w:tcW w:w="8860" w:type="dxa"/>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Identifier et évaluer les limites et réduire au minimum les compromis possibles des mesures d’adaptation aux changements climatiques</w:t>
            </w:r>
            <w:r w:rsidRPr="00700B50">
              <w:rPr>
                <w:rFonts w:eastAsia="Calibri"/>
                <w:snapToGrid w:val="0"/>
                <w:kern w:val="22"/>
                <w:sz w:val="21"/>
                <w:szCs w:val="21"/>
                <w:lang w:val="fr-FR"/>
              </w:rPr>
              <w:t xml:space="preserve"> et </w:t>
            </w:r>
            <w:r>
              <w:rPr>
                <w:rFonts w:eastAsia="Calibri"/>
                <w:snapToGrid w:val="0"/>
                <w:kern w:val="22"/>
                <w:sz w:val="21"/>
                <w:szCs w:val="21"/>
                <w:lang w:val="fr-FR"/>
              </w:rPr>
              <w:t>de réduction des risques de catastrophe naturelle fondées sur les écosystèmes.</w:t>
            </w:r>
          </w:p>
        </w:tc>
      </w:tr>
      <w:tr w:rsidR="009F6935" w:rsidRPr="00AF7D0C" w:rsidTr="003D3017">
        <w:trPr>
          <w:jc w:val="center"/>
        </w:trPr>
        <w:tc>
          <w:tcPr>
            <w:tcW w:w="716" w:type="dxa"/>
          </w:tcPr>
          <w:p w:rsidR="009F6935" w:rsidRPr="00473F77" w:rsidRDefault="009F6935" w:rsidP="003D3017">
            <w:pPr>
              <w:suppressLineNumbers/>
              <w:suppressAutoHyphens/>
              <w:kinsoku w:val="0"/>
              <w:overflowPunct w:val="0"/>
              <w:autoSpaceDE w:val="0"/>
              <w:autoSpaceDN w:val="0"/>
              <w:adjustRightInd w:val="0"/>
              <w:snapToGrid w:val="0"/>
              <w:jc w:val="center"/>
              <w:rPr>
                <w:rFonts w:eastAsia="Calibri"/>
                <w:snapToGrid w:val="0"/>
                <w:kern w:val="22"/>
                <w:sz w:val="21"/>
                <w:szCs w:val="21"/>
                <w:lang w:val="fr-FR"/>
              </w:rPr>
            </w:pPr>
            <w:r w:rsidRPr="00473F77">
              <w:rPr>
                <w:rFonts w:eastAsia="Calibri"/>
                <w:snapToGrid w:val="0"/>
                <w:kern w:val="22"/>
                <w:sz w:val="21"/>
                <w:szCs w:val="21"/>
                <w:lang w:val="fr-FR"/>
              </w:rPr>
              <w:lastRenderedPageBreak/>
              <w:t>10</w:t>
            </w:r>
          </w:p>
        </w:tc>
        <w:tc>
          <w:tcPr>
            <w:tcW w:w="8860" w:type="dxa"/>
          </w:tcPr>
          <w:p w:rsidR="009F6935" w:rsidRPr="00473F77" w:rsidRDefault="009F6935" w:rsidP="003D3017">
            <w:pPr>
              <w:suppressLineNumbers/>
              <w:suppressAutoHyphens/>
              <w:kinsoku w:val="0"/>
              <w:overflowPunct w:val="0"/>
              <w:autoSpaceDE w:val="0"/>
              <w:autoSpaceDN w:val="0"/>
              <w:adjustRightInd w:val="0"/>
              <w:snapToGrid w:val="0"/>
              <w:jc w:val="left"/>
              <w:rPr>
                <w:rFonts w:eastAsia="Calibri"/>
                <w:snapToGrid w:val="0"/>
                <w:kern w:val="22"/>
                <w:sz w:val="21"/>
                <w:szCs w:val="21"/>
                <w:lang w:val="fr-FR"/>
              </w:rPr>
            </w:pPr>
            <w:r>
              <w:rPr>
                <w:rFonts w:eastAsia="Calibri"/>
                <w:snapToGrid w:val="0"/>
                <w:kern w:val="22"/>
                <w:sz w:val="21"/>
                <w:szCs w:val="21"/>
                <w:lang w:val="fr-FR"/>
              </w:rPr>
              <w:t>Optimiser les synergies afin d’obtenir de multiples avantages, notamment pour la biodiversité, la conservation, le développement durable, l’égalité des sexes, la santé, l’adaptation et la réduction des risques</w:t>
            </w:r>
            <w:r w:rsidRPr="00473F77">
              <w:rPr>
                <w:rFonts w:eastAsia="Calibri"/>
                <w:snapToGrid w:val="0"/>
                <w:kern w:val="22"/>
                <w:sz w:val="21"/>
                <w:szCs w:val="21"/>
                <w:lang w:val="fr-FR"/>
              </w:rPr>
              <w:t>.</w:t>
            </w:r>
          </w:p>
        </w:tc>
      </w:tr>
    </w:tbl>
    <w:p w:rsidR="009F6935" w:rsidRPr="00473F77" w:rsidRDefault="009F6935" w:rsidP="009F6935">
      <w:pPr>
        <w:suppressLineNumbers/>
        <w:suppressAutoHyphens/>
        <w:kinsoku w:val="0"/>
        <w:overflowPunct w:val="0"/>
        <w:autoSpaceDE w:val="0"/>
        <w:autoSpaceDN w:val="0"/>
        <w:adjustRightInd w:val="0"/>
        <w:snapToGrid w:val="0"/>
        <w:rPr>
          <w:rFonts w:eastAsia="Calibri"/>
          <w:snapToGrid w:val="0"/>
          <w:kern w:val="22"/>
          <w:szCs w:val="22"/>
          <w:lang w:val="fr-FR"/>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453"/>
        <w:gridCol w:w="7082"/>
      </w:tblGrid>
      <w:tr w:rsidR="009F6935" w:rsidRPr="00AF7D0C" w:rsidTr="003D3017">
        <w:trPr>
          <w:cantSplit/>
          <w:jc w:val="center"/>
        </w:trPr>
        <w:tc>
          <w:tcPr>
            <w:tcW w:w="9535" w:type="dxa"/>
            <w:gridSpan w:val="2"/>
            <w:shd w:val="clear" w:color="auto" w:fill="auto"/>
          </w:tcPr>
          <w:p w:rsidR="009F6935" w:rsidRPr="00473F77" w:rsidRDefault="009F6935" w:rsidP="003D3017">
            <w:pPr>
              <w:keepNext/>
              <w:suppressLineNumbers/>
              <w:suppressAutoHyphens/>
              <w:kinsoku w:val="0"/>
              <w:overflowPunct w:val="0"/>
              <w:autoSpaceDE w:val="0"/>
              <w:autoSpaceDN w:val="0"/>
              <w:adjustRightInd w:val="0"/>
              <w:snapToGrid w:val="0"/>
              <w:spacing w:before="40" w:after="40"/>
              <w:jc w:val="left"/>
              <w:rPr>
                <w:rFonts w:eastAsia="Calibri"/>
                <w:b/>
                <w:snapToGrid w:val="0"/>
                <w:kern w:val="22"/>
                <w:szCs w:val="22"/>
                <w:lang w:val="fr-FR"/>
              </w:rPr>
            </w:pPr>
            <w:r>
              <w:rPr>
                <w:rFonts w:eastAsia="Calibri"/>
                <w:b/>
                <w:snapToGrid w:val="0"/>
                <w:kern w:val="22"/>
                <w:szCs w:val="22"/>
                <w:lang w:val="fr-FR"/>
              </w:rPr>
              <w:t xml:space="preserve">Garanties pour la planification et l’application effective des approches écosystémiques </w:t>
            </w:r>
            <w:r>
              <w:rPr>
                <w:rFonts w:eastAsia="Calibri"/>
                <w:b/>
                <w:snapToGrid w:val="0"/>
                <w:kern w:val="22"/>
                <w:sz w:val="21"/>
                <w:szCs w:val="21"/>
                <w:lang w:val="fr-FR"/>
              </w:rPr>
              <w:t xml:space="preserve">d’adaptation aux changements climatiques </w:t>
            </w:r>
            <w:r w:rsidRPr="00105563">
              <w:rPr>
                <w:rFonts w:eastAsia="Calibri"/>
                <w:b/>
                <w:snapToGrid w:val="0"/>
                <w:kern w:val="22"/>
                <w:sz w:val="21"/>
                <w:szCs w:val="21"/>
                <w:lang w:val="fr-FR"/>
              </w:rPr>
              <w:t xml:space="preserve">et </w:t>
            </w:r>
            <w:r>
              <w:rPr>
                <w:rFonts w:eastAsia="Calibri"/>
                <w:b/>
                <w:snapToGrid w:val="0"/>
                <w:kern w:val="22"/>
                <w:sz w:val="21"/>
                <w:szCs w:val="21"/>
                <w:lang w:val="fr-FR"/>
              </w:rPr>
              <w:t>de réduction des risques de catastrophe naturelle</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Utiliser des évaluations de l’impact sur l’environnement et des systèmes de suivi et d’évaluation robustes</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devraient inclure, selon qu’il convient, des évaluations de l’impact sur l’environnement, y compris des évaluations sociales et culturelles (en se référant aux  lignes directrices  Akwé: Kon) dès le premier stade de conception du projet, et moyennant des systèmes de suivi et d’évaluation robustes.</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sidRPr="00473F77">
              <w:rPr>
                <w:rFonts w:eastAsia="Calibri"/>
                <w:i/>
                <w:snapToGrid w:val="0"/>
                <w:kern w:val="22"/>
                <w:szCs w:val="22"/>
                <w:lang w:val="fr-FR"/>
              </w:rPr>
              <w:t>Pr</w:t>
            </w:r>
            <w:r>
              <w:rPr>
                <w:rFonts w:eastAsia="Calibri"/>
                <w:i/>
                <w:snapToGrid w:val="0"/>
                <w:kern w:val="22"/>
                <w:szCs w:val="22"/>
                <w:lang w:val="fr-FR"/>
              </w:rPr>
              <w:t>évention du transfert des risques et effets</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devraient éviter des effets défavorables sur la biodiversité ou les populations humaines, et ne devraient pas entraîner un déplacement des risques ou des effets d’une zone à une autre ou d’un groupe à un autre.</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Prévention des dommages causés à la biodiversité, aux écosystèmes et à leurs services et fonctions</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y compris les mesures d’intervention en cas de catastrophe naturelle et les mesures de reconstruction, devraient empêcher la dégradation de l’habitat naturel, l’appauvrissement de la biodiversité ou l’introduction d’espèces envahissantes, et ne devraient pas créer ou exacerber la vulnérabilité face aux catastrophes naturelles futures.</w:t>
            </w:r>
          </w:p>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 xml:space="preserve">Les approches écosystémiques d’adaptation aux changements climatiques et de réduction des risques de catastrophe naturelle devraient favoriser et augmenter la biodiversité et les services et fonctions écosystémiques, notamment grâce à des mesures de réhabilitation ou restauration et </w:t>
            </w:r>
            <w:r w:rsidRPr="00473F77">
              <w:rPr>
                <w:rFonts w:eastAsia="Calibri"/>
                <w:snapToGrid w:val="0"/>
                <w:kern w:val="22"/>
                <w:szCs w:val="22"/>
                <w:lang w:val="fr-FR"/>
              </w:rPr>
              <w:t>de</w:t>
            </w:r>
            <w:r>
              <w:rPr>
                <w:rFonts w:eastAsia="Calibri"/>
                <w:snapToGrid w:val="0"/>
                <w:kern w:val="22"/>
                <w:szCs w:val="22"/>
                <w:lang w:val="fr-FR"/>
              </w:rPr>
              <w:t xml:space="preserve"> conservation, dans le cadre de l’évaluation des besoins après une catastrophe naturelle et de plans de récupération et reconstruction.</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Utilisation durable des ressources</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ne devraient ni conduire à une utilisation non durable des ressources, ni accroître les facteurs de changement climatique ou les risques de catastrophe naturelle, et devraient œuvrer pour optimiser l’efficacité énergétique et réduire au minimum l’utilisation de ressources matérielles.</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t>Promotion d’une participation effective et</w:t>
            </w:r>
            <w:r w:rsidRPr="00473F77">
              <w:rPr>
                <w:rFonts w:eastAsia="Calibri"/>
                <w:i/>
                <w:snapToGrid w:val="0"/>
                <w:kern w:val="22"/>
                <w:szCs w:val="22"/>
                <w:lang w:val="fr-FR"/>
              </w:rPr>
              <w:t xml:space="preserve"> inclusive</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devraient assurer la participation pleine et effective des personnes concernées, notamment les peuples autochtones et les communautés locales, les femmes, les minorités et les populations les plus vulnérables, y compris en fournissant des opportunités adéquates de participation en connaissance de cause</w:t>
            </w:r>
            <w:r w:rsidRPr="00473F77">
              <w:rPr>
                <w:rFonts w:eastAsia="Calibri"/>
                <w:snapToGrid w:val="0"/>
                <w:kern w:val="22"/>
                <w:szCs w:val="22"/>
                <w:lang w:val="fr-FR"/>
              </w:rPr>
              <w:t>.</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snapToGrid w:val="0"/>
                <w:kern w:val="22"/>
                <w:szCs w:val="22"/>
                <w:lang w:val="fr-FR"/>
              </w:rPr>
            </w:pPr>
            <w:r>
              <w:rPr>
                <w:rFonts w:eastAsia="Calibri"/>
                <w:i/>
                <w:snapToGrid w:val="0"/>
                <w:kern w:val="22"/>
                <w:szCs w:val="22"/>
                <w:lang w:val="fr-FR"/>
              </w:rPr>
              <w:lastRenderedPageBreak/>
              <w:t>Accès juste et équitable aux avantages</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devraient favoriser l’accès juste et équitable aux avantages et ne devraient pas aggraver les inégalités existantes, en particulier pour les groupes marginalisés ou vulnérables. Les mesures d’adaptation aux changements climatiques et de réduction des risques de catastrophe naturelle fondées sur les écosystèmes</w:t>
            </w:r>
            <w:r w:rsidRPr="00473F77">
              <w:rPr>
                <w:rFonts w:eastAsia="Calibri"/>
                <w:snapToGrid w:val="0"/>
                <w:kern w:val="22"/>
                <w:szCs w:val="22"/>
                <w:lang w:val="fr-FR"/>
              </w:rPr>
              <w:t xml:space="preserve"> </w:t>
            </w:r>
            <w:r>
              <w:rPr>
                <w:rFonts w:eastAsia="Calibri"/>
                <w:snapToGrid w:val="0"/>
                <w:kern w:val="22"/>
                <w:szCs w:val="22"/>
                <w:lang w:val="fr-FR"/>
              </w:rPr>
              <w:t>devraient respecter les réglementations nationales relatives au travail, en protégeant les participants contre les pratiques abusives, la discrimination et les travaux dangereux pour leur santé.</w:t>
            </w:r>
            <w:r w:rsidRPr="00473F77">
              <w:rPr>
                <w:rFonts w:eastAsia="Calibri"/>
                <w:snapToGrid w:val="0"/>
                <w:kern w:val="22"/>
                <w:szCs w:val="22"/>
                <w:lang w:val="fr-FR"/>
              </w:rPr>
              <w:t xml:space="preserve"> </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Gouvernance transparente et accès à l’information</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approches écosystémiques d’adaptation aux changements climatiques et de réduction des risques de catastrophe naturelle devraient encourager la gouvernance transparente en soutenant les droits à l’accès à l’information, fournissant à toutes les parties prenantes et les détenteurs de droits, en particulier les peuples autochtones et les communautés locales, des informations ponctuelles, et soutenant la poursuite de la collecte et de la diffusion des connaissances</w:t>
            </w:r>
            <w:r w:rsidRPr="00473F77">
              <w:rPr>
                <w:rFonts w:eastAsia="Calibri"/>
                <w:snapToGrid w:val="0"/>
                <w:kern w:val="22"/>
                <w:szCs w:val="22"/>
                <w:lang w:val="fr-FR"/>
              </w:rPr>
              <w:t>.</w:t>
            </w:r>
          </w:p>
        </w:tc>
      </w:tr>
      <w:tr w:rsidR="009F6935" w:rsidRPr="00AF7D0C" w:rsidTr="003D3017">
        <w:trPr>
          <w:cantSplit/>
          <w:jc w:val="center"/>
        </w:trPr>
        <w:tc>
          <w:tcPr>
            <w:tcW w:w="2453" w:type="dxa"/>
            <w:shd w:val="clear" w:color="auto" w:fill="auto"/>
          </w:tcPr>
          <w:p w:rsidR="009F6935" w:rsidRPr="00473F77" w:rsidRDefault="009F6935" w:rsidP="003D3017">
            <w:pPr>
              <w:suppressLineNumbers/>
              <w:suppressAutoHyphens/>
              <w:kinsoku w:val="0"/>
              <w:overflowPunct w:val="0"/>
              <w:autoSpaceDE w:val="0"/>
              <w:autoSpaceDN w:val="0"/>
              <w:adjustRightInd w:val="0"/>
              <w:snapToGrid w:val="0"/>
              <w:spacing w:before="40" w:after="40"/>
              <w:jc w:val="left"/>
              <w:rPr>
                <w:rFonts w:eastAsia="Calibri"/>
                <w:i/>
                <w:snapToGrid w:val="0"/>
                <w:kern w:val="22"/>
                <w:szCs w:val="22"/>
                <w:lang w:val="fr-FR"/>
              </w:rPr>
            </w:pPr>
            <w:r>
              <w:rPr>
                <w:rFonts w:eastAsia="Calibri"/>
                <w:i/>
                <w:snapToGrid w:val="0"/>
                <w:kern w:val="22"/>
                <w:szCs w:val="22"/>
                <w:lang w:val="fr-FR"/>
              </w:rPr>
              <w:t>Respect des droits des femmes et des hommes appartenant à des peuples autochtones et communautés locales</w:t>
            </w:r>
          </w:p>
        </w:tc>
        <w:tc>
          <w:tcPr>
            <w:tcW w:w="7082" w:type="dxa"/>
            <w:shd w:val="clear" w:color="auto" w:fill="auto"/>
          </w:tcPr>
          <w:p w:rsidR="009F6935" w:rsidRPr="00473F77" w:rsidRDefault="009F6935" w:rsidP="00004EAF">
            <w:pPr>
              <w:numPr>
                <w:ilvl w:val="0"/>
                <w:numId w:val="56"/>
              </w:numPr>
              <w:suppressLineNumbers/>
              <w:suppressAutoHyphens/>
              <w:kinsoku w:val="0"/>
              <w:overflowPunct w:val="0"/>
              <w:autoSpaceDE w:val="0"/>
              <w:autoSpaceDN w:val="0"/>
              <w:adjustRightInd w:val="0"/>
              <w:snapToGrid w:val="0"/>
              <w:spacing w:before="40" w:after="40"/>
              <w:ind w:left="0" w:firstLine="0"/>
              <w:jc w:val="left"/>
              <w:rPr>
                <w:rFonts w:eastAsia="Calibri"/>
                <w:snapToGrid w:val="0"/>
                <w:kern w:val="22"/>
                <w:szCs w:val="22"/>
                <w:lang w:val="fr-FR"/>
              </w:rPr>
            </w:pPr>
            <w:r>
              <w:rPr>
                <w:rFonts w:eastAsia="Calibri"/>
                <w:snapToGrid w:val="0"/>
                <w:kern w:val="22"/>
                <w:szCs w:val="22"/>
                <w:lang w:val="fr-FR"/>
              </w:rPr>
              <w:t>Les mesures d’adaptation aux changements climatiques et de réduction des risques de catastrophe naturelle fondées sur les écosystèmes devraient respecter les droits des femmes et des hommes appartenant à des peuples autochtones et communautés locales, y compris l’accès au patrimoine physique et culturel et son utilisation</w:t>
            </w:r>
            <w:r w:rsidRPr="00473F77">
              <w:rPr>
                <w:rFonts w:eastAsia="Calibri"/>
                <w:snapToGrid w:val="0"/>
                <w:kern w:val="22"/>
                <w:szCs w:val="22"/>
                <w:lang w:val="fr-FR"/>
              </w:rPr>
              <w:t>.</w:t>
            </w:r>
          </w:p>
        </w:tc>
      </w:tr>
    </w:tbl>
    <w:p w:rsidR="009F6935" w:rsidRPr="00F45B73" w:rsidRDefault="009F6935" w:rsidP="00004EAF">
      <w:pPr>
        <w:pStyle w:val="ListParagraph"/>
        <w:keepNext/>
        <w:numPr>
          <w:ilvl w:val="0"/>
          <w:numId w:val="57"/>
        </w:numPr>
        <w:suppressLineNumbers/>
        <w:suppressAutoHyphens/>
        <w:kinsoku w:val="0"/>
        <w:overflowPunct w:val="0"/>
        <w:autoSpaceDE w:val="0"/>
        <w:autoSpaceDN w:val="0"/>
        <w:adjustRightInd w:val="0"/>
        <w:snapToGrid w:val="0"/>
        <w:spacing w:before="240" w:after="120"/>
        <w:contextualSpacing w:val="0"/>
        <w:jc w:val="left"/>
        <w:outlineLvl w:val="0"/>
        <w:rPr>
          <w:b/>
          <w:snapToGrid w:val="0"/>
          <w:kern w:val="22"/>
          <w:szCs w:val="22"/>
          <w:lang w:val="fr-FR"/>
        </w:rPr>
      </w:pPr>
      <w:bookmarkStart w:id="282" w:name="_Toc504402382"/>
      <w:bookmarkStart w:id="283" w:name="_Toc525904234"/>
      <w:bookmarkStart w:id="284" w:name="_Toc525904393"/>
      <w:bookmarkStart w:id="285" w:name="_Toc525904637"/>
      <w:r w:rsidRPr="00F45B73">
        <w:rPr>
          <w:b/>
          <w:snapToGrid w:val="0"/>
          <w:kern w:val="22"/>
          <w:szCs w:val="22"/>
          <w:lang w:val="fr-FR"/>
        </w:rPr>
        <w:t xml:space="preserve">Considérations fondamentales pour la conception et l’application des stratégies </w:t>
      </w:r>
      <w:r>
        <w:rPr>
          <w:b/>
          <w:snapToGrid w:val="0"/>
          <w:kern w:val="22"/>
          <w:szCs w:val="22"/>
          <w:lang w:val="fr-FR"/>
        </w:rPr>
        <w:t xml:space="preserve">d’adaptation aux changements climatiques </w:t>
      </w:r>
      <w:r w:rsidRPr="00F45B73">
        <w:rPr>
          <w:b/>
          <w:snapToGrid w:val="0"/>
          <w:kern w:val="22"/>
          <w:szCs w:val="22"/>
          <w:lang w:val="fr-FR"/>
        </w:rPr>
        <w:t xml:space="preserve">et </w:t>
      </w:r>
      <w:r>
        <w:rPr>
          <w:b/>
          <w:snapToGrid w:val="0"/>
          <w:kern w:val="22"/>
          <w:szCs w:val="22"/>
          <w:lang w:val="fr-FR"/>
        </w:rPr>
        <w:t>de réduction des risques de catastrophe naturelle fondées sur les écosystèmes</w:t>
      </w:r>
      <w:bookmarkEnd w:id="283"/>
      <w:bookmarkEnd w:id="284"/>
      <w:bookmarkEnd w:id="285"/>
      <w:r w:rsidRPr="00F45B73">
        <w:rPr>
          <w:b/>
          <w:snapToGrid w:val="0"/>
          <w:kern w:val="22"/>
          <w:szCs w:val="22"/>
          <w:lang w:val="fr-FR"/>
        </w:rPr>
        <w:t xml:space="preserve"> </w:t>
      </w:r>
    </w:p>
    <w:p w:rsidR="009F6935" w:rsidRPr="00F45B73"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snapToGrid w:val="0"/>
          <w:kern w:val="22"/>
          <w:szCs w:val="22"/>
          <w:lang w:val="fr-FR"/>
        </w:rPr>
      </w:pPr>
      <w:r>
        <w:rPr>
          <w:snapToGrid w:val="0"/>
          <w:kern w:val="22"/>
          <w:szCs w:val="22"/>
          <w:lang w:val="fr-FR"/>
        </w:rPr>
        <w:t>En engageant un</w:t>
      </w:r>
      <w:r w:rsidRPr="00F45B73">
        <w:rPr>
          <w:snapToGrid w:val="0"/>
          <w:kern w:val="22"/>
          <w:szCs w:val="22"/>
          <w:lang w:val="fr-FR"/>
        </w:rPr>
        <w:t xml:space="preserve"> processus progressif de planification et de mise en œuvre de</w:t>
      </w:r>
      <w:r>
        <w:rPr>
          <w:snapToGrid w:val="0"/>
          <w:kern w:val="22"/>
          <w:szCs w:val="22"/>
          <w:lang w:val="fr-FR"/>
        </w:rPr>
        <w:t>s</w:t>
      </w:r>
      <w:r w:rsidRPr="00F45B73">
        <w:rPr>
          <w:snapToGrid w:val="0"/>
          <w:kern w:val="22"/>
          <w:szCs w:val="22"/>
          <w:lang w:val="fr-FR"/>
        </w:rPr>
        <w:t xml:space="preserve"> </w:t>
      </w:r>
      <w:r>
        <w:rPr>
          <w:snapToGrid w:val="0"/>
          <w:kern w:val="22"/>
          <w:szCs w:val="22"/>
          <w:lang w:val="fr-FR"/>
        </w:rPr>
        <w:t xml:space="preserve">approches écosystémiques d’adaptation aux changements climatiques et de réduction des risques de catastrophe naturelle, tel que </w:t>
      </w:r>
      <w:r>
        <w:rPr>
          <w:rFonts w:eastAsia="Calibri"/>
          <w:snapToGrid w:val="0"/>
          <w:kern w:val="22"/>
          <w:szCs w:val="22"/>
          <w:lang w:val="fr-FR"/>
        </w:rPr>
        <w:t>prévu dans la partie</w:t>
      </w:r>
      <w:r w:rsidRPr="00F45B73">
        <w:rPr>
          <w:rFonts w:eastAsia="Calibri"/>
          <w:snapToGrid w:val="0"/>
          <w:kern w:val="22"/>
          <w:szCs w:val="22"/>
          <w:lang w:val="fr-FR"/>
        </w:rPr>
        <w:t xml:space="preserve"> 4, les trois considérations suivantes sont </w:t>
      </w:r>
      <w:r>
        <w:rPr>
          <w:rFonts w:eastAsia="Calibri"/>
          <w:snapToGrid w:val="0"/>
          <w:kern w:val="22"/>
          <w:szCs w:val="22"/>
          <w:lang w:val="fr-FR"/>
        </w:rPr>
        <w:t>à garder à l’esprit à chaque étape</w:t>
      </w:r>
      <w:r w:rsidRPr="00F45B73">
        <w:rPr>
          <w:rFonts w:eastAsia="Calibri"/>
          <w:snapToGrid w:val="0"/>
          <w:kern w:val="22"/>
          <w:szCs w:val="22"/>
          <w:lang w:val="fr-FR"/>
        </w:rPr>
        <w:t> : l’intégration des connaissances, technologies, pratiques et travaux des peuples autocht</w:t>
      </w:r>
      <w:r>
        <w:rPr>
          <w:rFonts w:eastAsia="Calibri"/>
          <w:snapToGrid w:val="0"/>
          <w:kern w:val="22"/>
          <w:szCs w:val="22"/>
          <w:lang w:val="fr-FR"/>
        </w:rPr>
        <w:t>ones et des communautés locales</w:t>
      </w:r>
      <w:r w:rsidRPr="00F45B73">
        <w:rPr>
          <w:rFonts w:eastAsia="Calibri"/>
          <w:snapToGrid w:val="0"/>
          <w:kern w:val="22"/>
          <w:szCs w:val="22"/>
          <w:lang w:val="fr-FR"/>
        </w:rPr>
        <w:t>; l’intégration de</w:t>
      </w:r>
      <w:r>
        <w:rPr>
          <w:rFonts w:eastAsia="Calibri"/>
          <w:snapToGrid w:val="0"/>
          <w:kern w:val="22"/>
          <w:szCs w:val="22"/>
          <w:lang w:val="fr-FR"/>
        </w:rPr>
        <w:t>s</w:t>
      </w:r>
      <w:r w:rsidRPr="00F45B73">
        <w:rPr>
          <w:rFonts w:eastAsia="Calibri"/>
          <w:snapToGrid w:val="0"/>
          <w:kern w:val="22"/>
          <w:szCs w:val="22"/>
          <w:lang w:val="fr-FR"/>
        </w:rPr>
        <w:t xml:space="preserve"> </w:t>
      </w:r>
      <w:r>
        <w:rPr>
          <w:rFonts w:eastAsia="Calibri"/>
          <w:snapToGrid w:val="0"/>
          <w:kern w:val="22"/>
          <w:szCs w:val="22"/>
          <w:lang w:val="fr-FR"/>
        </w:rPr>
        <w:t>approches écosystémiques d’adaptation aux changements climatiques et de réduction des risques de catastrophe naturelle</w:t>
      </w:r>
      <w:r w:rsidRPr="00F45B73">
        <w:rPr>
          <w:rFonts w:eastAsia="Calibri"/>
          <w:snapToGrid w:val="0"/>
          <w:kern w:val="22"/>
          <w:szCs w:val="22"/>
          <w:lang w:val="fr-FR"/>
        </w:rPr>
        <w:t>; et la sensibilisation du public et le renforcement des capacités. La prise en comp</w:t>
      </w:r>
      <w:r>
        <w:rPr>
          <w:rFonts w:eastAsia="Calibri"/>
          <w:snapToGrid w:val="0"/>
          <w:kern w:val="22"/>
          <w:szCs w:val="22"/>
          <w:lang w:val="fr-FR"/>
        </w:rPr>
        <w:t>te de ces mesures peut accroître</w:t>
      </w:r>
      <w:r w:rsidRPr="00F45B73">
        <w:rPr>
          <w:rFonts w:eastAsia="Calibri"/>
          <w:snapToGrid w:val="0"/>
          <w:kern w:val="22"/>
          <w:szCs w:val="22"/>
          <w:lang w:val="fr-FR"/>
        </w:rPr>
        <w:t xml:space="preserve"> l’adoption des approches</w:t>
      </w:r>
      <w:r>
        <w:rPr>
          <w:rFonts w:eastAsia="Calibri"/>
          <w:snapToGrid w:val="0"/>
          <w:kern w:val="22"/>
          <w:szCs w:val="22"/>
          <w:lang w:val="fr-FR"/>
        </w:rPr>
        <w:t xml:space="preserve"> écosystémiques</w:t>
      </w:r>
      <w:r w:rsidRPr="00F45B73">
        <w:rPr>
          <w:rFonts w:eastAsia="Calibri"/>
          <w:snapToGrid w:val="0"/>
          <w:kern w:val="22"/>
          <w:szCs w:val="22"/>
          <w:lang w:val="fr-FR"/>
        </w:rPr>
        <w:t xml:space="preserve"> </w:t>
      </w:r>
      <w:r>
        <w:rPr>
          <w:rFonts w:eastAsia="Calibri"/>
          <w:snapToGrid w:val="0"/>
          <w:kern w:val="22"/>
          <w:szCs w:val="22"/>
          <w:lang w:val="fr-FR"/>
        </w:rPr>
        <w:t>d’adaptation aux changements climatiques</w:t>
      </w:r>
      <w:r w:rsidRPr="00F45B73">
        <w:rPr>
          <w:rFonts w:eastAsia="Calibri"/>
          <w:snapToGrid w:val="0"/>
          <w:kern w:val="22"/>
          <w:szCs w:val="22"/>
          <w:lang w:val="fr-FR"/>
        </w:rPr>
        <w:t xml:space="preserve"> et </w:t>
      </w:r>
      <w:r>
        <w:rPr>
          <w:rFonts w:eastAsia="Calibri"/>
          <w:snapToGrid w:val="0"/>
          <w:kern w:val="22"/>
          <w:szCs w:val="22"/>
          <w:lang w:val="fr-FR"/>
        </w:rPr>
        <w:t>de réduction des risques de catastrophe naturelle</w:t>
      </w:r>
      <w:r w:rsidRPr="00F45B73">
        <w:rPr>
          <w:rFonts w:eastAsia="Calibri"/>
          <w:snapToGrid w:val="0"/>
          <w:kern w:val="22"/>
          <w:szCs w:val="22"/>
          <w:lang w:val="fr-FR"/>
        </w:rPr>
        <w:t xml:space="preserve"> et améliorer l’efficacité et la productivité et</w:t>
      </w:r>
      <w:r>
        <w:rPr>
          <w:rFonts w:eastAsia="Calibri"/>
          <w:snapToGrid w:val="0"/>
          <w:kern w:val="22"/>
          <w:szCs w:val="22"/>
          <w:lang w:val="fr-FR"/>
        </w:rPr>
        <w:t>,</w:t>
      </w:r>
      <w:r w:rsidRPr="00F45B73">
        <w:rPr>
          <w:rFonts w:eastAsia="Calibri"/>
          <w:snapToGrid w:val="0"/>
          <w:kern w:val="22"/>
          <w:szCs w:val="22"/>
          <w:lang w:val="fr-FR"/>
        </w:rPr>
        <w:t xml:space="preserve"> par conséquent</w:t>
      </w:r>
      <w:r>
        <w:rPr>
          <w:rFonts w:eastAsia="Calibri"/>
          <w:snapToGrid w:val="0"/>
          <w:kern w:val="22"/>
          <w:szCs w:val="22"/>
          <w:lang w:val="fr-FR"/>
        </w:rPr>
        <w:t>,</w:t>
      </w:r>
      <w:r w:rsidRPr="00F45B73">
        <w:rPr>
          <w:rFonts w:eastAsia="Calibri"/>
          <w:snapToGrid w:val="0"/>
          <w:kern w:val="22"/>
          <w:szCs w:val="22"/>
          <w:lang w:val="fr-FR"/>
        </w:rPr>
        <w:t xml:space="preserve"> les résultats des </w:t>
      </w:r>
      <w:r>
        <w:rPr>
          <w:rFonts w:eastAsia="Calibri"/>
          <w:snapToGrid w:val="0"/>
          <w:kern w:val="22"/>
          <w:szCs w:val="22"/>
          <w:lang w:val="fr-FR"/>
        </w:rPr>
        <w:t>mesures d’intervention</w:t>
      </w:r>
      <w:r w:rsidRPr="00F45B73">
        <w:rPr>
          <w:rFonts w:eastAsia="Calibri"/>
          <w:snapToGrid w:val="0"/>
          <w:kern w:val="22"/>
          <w:szCs w:val="22"/>
          <w:lang w:val="fr-FR"/>
        </w:rPr>
        <w:t>.</w:t>
      </w:r>
    </w:p>
    <w:p w:rsidR="009F6935" w:rsidRPr="00F45B73" w:rsidRDefault="009F6935" w:rsidP="00004EAF">
      <w:pPr>
        <w:pStyle w:val="ListParagraph"/>
        <w:keepNext/>
        <w:numPr>
          <w:ilvl w:val="1"/>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286" w:name="_Toc525904235"/>
      <w:bookmarkStart w:id="287" w:name="_Toc525904394"/>
      <w:bookmarkStart w:id="288" w:name="_Toc525904638"/>
      <w:r w:rsidRPr="00F45B73">
        <w:rPr>
          <w:b/>
          <w:snapToGrid w:val="0"/>
          <w:kern w:val="22"/>
          <w:szCs w:val="22"/>
          <w:lang w:val="fr-FR"/>
        </w:rPr>
        <w:t>Intégrer les connaissances, te</w:t>
      </w:r>
      <w:r>
        <w:rPr>
          <w:b/>
          <w:snapToGrid w:val="0"/>
          <w:kern w:val="22"/>
          <w:szCs w:val="22"/>
          <w:lang w:val="fr-FR"/>
        </w:rPr>
        <w:t>chnologies, pratiques et initiatives</w:t>
      </w:r>
      <w:r w:rsidRPr="00F45B73">
        <w:rPr>
          <w:b/>
          <w:snapToGrid w:val="0"/>
          <w:kern w:val="22"/>
          <w:szCs w:val="22"/>
          <w:lang w:val="fr-FR"/>
        </w:rPr>
        <w:t xml:space="preserve"> des </w:t>
      </w:r>
      <w:r>
        <w:rPr>
          <w:b/>
          <w:snapToGrid w:val="0"/>
          <w:kern w:val="22"/>
          <w:szCs w:val="22"/>
          <w:lang w:val="fr-FR"/>
        </w:rPr>
        <w:t>peuples</w:t>
      </w:r>
      <w:r w:rsidRPr="00F45B73">
        <w:rPr>
          <w:b/>
          <w:snapToGrid w:val="0"/>
          <w:kern w:val="22"/>
          <w:szCs w:val="22"/>
          <w:lang w:val="fr-FR"/>
        </w:rPr>
        <w:t xml:space="preserve"> autochtones et des communautés locales</w:t>
      </w:r>
      <w:bookmarkEnd w:id="286"/>
      <w:bookmarkEnd w:id="287"/>
      <w:bookmarkEnd w:id="288"/>
    </w:p>
    <w:p w:rsidR="009F6935" w:rsidRPr="00F45B73"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peuples autochtones et les communautés locales ont géré la variabilité, l’incertitude et le changement au fil de nombreuses générations et d’histoires d’interaction avec l’environnement. Les connaissances autochtones et traditionnelles et les stratégies d’adaptation peuvent ainsi former une base importante des mesures d’adaptation aux changements climatiques et de réduction des risques de catastrophe naturelle, complétant les données probantes obtenues et comblant les lacunes dans les informations. Les systèmes de connaissances autochtones, traditionnels et locaux – et formes d’analyse et de documentation, telles que la cartographie communautaire – peuvent jouer un rôle important, semblable à celui des systèmes d’alerte rapide, dans le repérage et le suivi des changements climatiques, météorologiques et de la biodiversité, ainsi que des dangers naturels imminents</w:t>
      </w:r>
      <w:r w:rsidRPr="00F45B73">
        <w:rPr>
          <w:rFonts w:eastAsia="Calibri"/>
          <w:snapToGrid w:val="0"/>
          <w:kern w:val="22"/>
          <w:szCs w:val="22"/>
          <w:lang w:val="fr-FR"/>
        </w:rPr>
        <w:t xml:space="preserve">. </w:t>
      </w:r>
      <w:r>
        <w:rPr>
          <w:rFonts w:eastAsia="Calibri"/>
          <w:snapToGrid w:val="0"/>
          <w:kern w:val="22"/>
          <w:szCs w:val="22"/>
          <w:lang w:val="fr-FR"/>
        </w:rPr>
        <w:t>Les approches écosystémiques peuvent aussi servir à rétablir des pratiques abandonnées, comme par exemple les pratiques agricoles autochtones et traditionnelles</w:t>
      </w:r>
      <w:r w:rsidRPr="00F45B73">
        <w:rPr>
          <w:rFonts w:eastAsia="Calibri"/>
          <w:snapToGrid w:val="0"/>
          <w:kern w:val="22"/>
          <w:szCs w:val="22"/>
          <w:lang w:val="fr-FR"/>
        </w:rPr>
        <w:t xml:space="preserve">. </w:t>
      </w:r>
      <w:r>
        <w:rPr>
          <w:rFonts w:eastAsia="Calibri"/>
          <w:snapToGrid w:val="0"/>
          <w:kern w:val="22"/>
          <w:szCs w:val="22"/>
          <w:lang w:val="fr-FR"/>
        </w:rPr>
        <w:t xml:space="preserve">L’intégration des connaissances des peuples </w:t>
      </w:r>
      <w:r>
        <w:rPr>
          <w:rFonts w:eastAsia="Calibri"/>
          <w:snapToGrid w:val="0"/>
          <w:kern w:val="22"/>
          <w:szCs w:val="22"/>
          <w:lang w:val="fr-FR"/>
        </w:rPr>
        <w:lastRenderedPageBreak/>
        <w:t>autochtones et des communautés locales implique aussi une compréhension de leur vision du monde</w:t>
      </w:r>
      <w:r w:rsidRPr="00F45B73">
        <w:rPr>
          <w:rFonts w:eastAsia="Calibri"/>
          <w:snapToGrid w:val="0"/>
          <w:kern w:val="22"/>
          <w:szCs w:val="22"/>
          <w:vertAlign w:val="superscript"/>
          <w:lang w:val="fr-FR"/>
        </w:rPr>
        <w:footnoteReference w:id="100"/>
      </w:r>
      <w:r>
        <w:rPr>
          <w:rFonts w:eastAsia="Calibri"/>
          <w:snapToGrid w:val="0"/>
          <w:kern w:val="22"/>
          <w:szCs w:val="22"/>
          <w:lang w:val="fr-FR"/>
        </w:rPr>
        <w:t xml:space="preserve"> et la reconnaissance de leur rôle de détenteurs de connaissances et de droits. Les moyens d’intégrer les connaissances et les pratiques autochtones et traditionnelles dans tous les stades de la planification et de l’application des approches écosystémiques d’adaptation aux changements climatiques et de réduction des risques de catastrophe naturelle comprennent notamment :</w:t>
      </w:r>
    </w:p>
    <w:p w:rsidR="009F6935" w:rsidRPr="00F45B73" w:rsidRDefault="009F6935" w:rsidP="009F6935">
      <w:pPr>
        <w:keepNext/>
        <w:suppressLineNumbers/>
        <w:suppressAutoHyphens/>
        <w:kinsoku w:val="0"/>
        <w:overflowPunct w:val="0"/>
        <w:autoSpaceDE w:val="0"/>
        <w:autoSpaceDN w:val="0"/>
        <w:adjustRightInd w:val="0"/>
        <w:snapToGrid w:val="0"/>
        <w:spacing w:before="120" w:after="120"/>
        <w:ind w:firstLine="360"/>
        <w:jc w:val="left"/>
        <w:outlineLvl w:val="0"/>
        <w:rPr>
          <w:rFonts w:eastAsia="Calibri"/>
          <w:b/>
          <w:snapToGrid w:val="0"/>
          <w:kern w:val="22"/>
          <w:szCs w:val="22"/>
          <w:lang w:val="fr-FR"/>
        </w:rPr>
      </w:pPr>
      <w:bookmarkStart w:id="289" w:name="_Toc525904236"/>
      <w:bookmarkStart w:id="290" w:name="_Toc525904395"/>
      <w:bookmarkStart w:id="291" w:name="_Toc525904639"/>
      <w:r>
        <w:rPr>
          <w:rFonts w:eastAsia="Calibri"/>
          <w:b/>
          <w:snapToGrid w:val="0"/>
          <w:kern w:val="22"/>
          <w:szCs w:val="22"/>
          <w:lang w:val="fr-FR"/>
        </w:rPr>
        <w:t>Mesures clés</w:t>
      </w:r>
      <w:bookmarkEnd w:id="289"/>
      <w:bookmarkEnd w:id="290"/>
      <w:bookmarkEnd w:id="291"/>
    </w:p>
    <w:p w:rsidR="009F6935" w:rsidRPr="00F45B73" w:rsidRDefault="009F6935" w:rsidP="00004EAF">
      <w:pPr>
        <w:numPr>
          <w:ilvl w:val="0"/>
          <w:numId w:val="6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292" w:name="_Toc525904237"/>
      <w:bookmarkStart w:id="293" w:name="_Toc525904396"/>
      <w:bookmarkStart w:id="294" w:name="_Toc525904640"/>
      <w:r>
        <w:rPr>
          <w:rFonts w:eastAsia="Calibri"/>
          <w:snapToGrid w:val="0"/>
          <w:kern w:val="22"/>
          <w:szCs w:val="22"/>
          <w:lang w:val="fr-FR"/>
        </w:rPr>
        <w:t>Identifier et documenter les liens entre les connaissances et les pratiques locales, autochtones et traditionnelles, ainsi que les buts et objectifs de l’adaptation aux changements climatiques et de la réduction des risques de catastrophe naturelle;</w:t>
      </w:r>
      <w:bookmarkEnd w:id="292"/>
      <w:bookmarkEnd w:id="293"/>
      <w:bookmarkEnd w:id="294"/>
    </w:p>
    <w:p w:rsidR="009F6935" w:rsidRPr="00F45B73" w:rsidRDefault="009F6935" w:rsidP="00004EAF">
      <w:pPr>
        <w:numPr>
          <w:ilvl w:val="0"/>
          <w:numId w:val="6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295" w:name="_Toc525904238"/>
      <w:bookmarkStart w:id="296" w:name="_Toc525904397"/>
      <w:bookmarkStart w:id="297" w:name="_Toc525904641"/>
      <w:r>
        <w:rPr>
          <w:rFonts w:eastAsia="Calibri"/>
          <w:snapToGrid w:val="0"/>
          <w:kern w:val="22"/>
          <w:szCs w:val="22"/>
          <w:lang w:val="fr-FR"/>
        </w:rPr>
        <w:t>Consulter des groupes de travail multipartites, en particulier des peuples autochtones et des communautés locales, afin de faciliter le partage d’information entre différents secteurs, sur le rôle des écosystèmes dans l’adaptation aux changements climatiques et la réduction des risques de catastrophe naturelle;</w:t>
      </w:r>
      <w:bookmarkEnd w:id="295"/>
      <w:bookmarkEnd w:id="296"/>
      <w:bookmarkEnd w:id="297"/>
    </w:p>
    <w:p w:rsidR="009F6935" w:rsidRPr="00F45B73" w:rsidRDefault="009F6935" w:rsidP="00004EAF">
      <w:pPr>
        <w:numPr>
          <w:ilvl w:val="0"/>
          <w:numId w:val="6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298" w:name="_Toc525904239"/>
      <w:bookmarkStart w:id="299" w:name="_Toc525904398"/>
      <w:bookmarkStart w:id="300" w:name="_Toc525904642"/>
      <w:r>
        <w:rPr>
          <w:rFonts w:eastAsia="Calibri"/>
          <w:snapToGrid w:val="0"/>
          <w:kern w:val="22"/>
          <w:szCs w:val="22"/>
          <w:lang w:val="fr-FR"/>
        </w:rPr>
        <w:t>Mettre en place des mécanismes participatifs et transparents, pour obtenir les meilleures données probantes disponibles;</w:t>
      </w:r>
      <w:bookmarkEnd w:id="298"/>
      <w:bookmarkEnd w:id="299"/>
      <w:bookmarkEnd w:id="300"/>
    </w:p>
    <w:p w:rsidR="009F6935" w:rsidRPr="00F45B73" w:rsidRDefault="009F6935" w:rsidP="00004EAF">
      <w:pPr>
        <w:numPr>
          <w:ilvl w:val="0"/>
          <w:numId w:val="62"/>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01" w:name="_Toc525904240"/>
      <w:bookmarkStart w:id="302" w:name="_Toc525904399"/>
      <w:bookmarkStart w:id="303" w:name="_Toc525904643"/>
      <w:r>
        <w:rPr>
          <w:rFonts w:eastAsia="Calibri"/>
          <w:snapToGrid w:val="0"/>
          <w:kern w:val="22"/>
          <w:szCs w:val="22"/>
          <w:lang w:val="fr-FR"/>
        </w:rPr>
        <w:t>Intégrer les connaissances des peuples autochtones et des communautés locales dans les évaluations, après avoir obtenu leur consentement libre, préalable et en connaissance de cause</w:t>
      </w:r>
      <w:r w:rsidRPr="00F45B73">
        <w:rPr>
          <w:rFonts w:eastAsia="Calibri"/>
          <w:snapToGrid w:val="0"/>
          <w:kern w:val="22"/>
          <w:szCs w:val="22"/>
          <w:lang w:val="fr-FR"/>
        </w:rPr>
        <w:t>.</w:t>
      </w:r>
      <w:bookmarkEnd w:id="301"/>
      <w:bookmarkEnd w:id="302"/>
      <w:bookmarkEnd w:id="303"/>
    </w:p>
    <w:p w:rsidR="009F6935" w:rsidRPr="00F45B73" w:rsidRDefault="009F6935" w:rsidP="00004EAF">
      <w:pPr>
        <w:pStyle w:val="ListParagraph"/>
        <w:keepNext/>
        <w:numPr>
          <w:ilvl w:val="1"/>
          <w:numId w:val="57"/>
        </w:numPr>
        <w:suppressLineNumbers/>
        <w:suppressAutoHyphens/>
        <w:kinsoku w:val="0"/>
        <w:overflowPunct w:val="0"/>
        <w:autoSpaceDE w:val="0"/>
        <w:autoSpaceDN w:val="0"/>
        <w:adjustRightInd w:val="0"/>
        <w:snapToGrid w:val="0"/>
        <w:spacing w:before="120" w:after="120"/>
        <w:contextualSpacing w:val="0"/>
        <w:jc w:val="left"/>
        <w:outlineLvl w:val="0"/>
        <w:rPr>
          <w:b/>
          <w:snapToGrid w:val="0"/>
          <w:kern w:val="22"/>
          <w:szCs w:val="22"/>
          <w:lang w:val="fr-FR"/>
        </w:rPr>
      </w:pPr>
      <w:bookmarkStart w:id="304" w:name="_Toc525904241"/>
      <w:bookmarkStart w:id="305" w:name="_Toc525904400"/>
      <w:bookmarkStart w:id="306" w:name="_Toc525904644"/>
      <w:r>
        <w:rPr>
          <w:b/>
          <w:snapToGrid w:val="0"/>
          <w:kern w:val="22"/>
          <w:szCs w:val="22"/>
          <w:lang w:val="fr-FR"/>
        </w:rPr>
        <w:t xml:space="preserve">Intégrer </w:t>
      </w:r>
      <w:r>
        <w:rPr>
          <w:rFonts w:eastAsia="Calibri"/>
          <w:b/>
          <w:snapToGrid w:val="0"/>
          <w:kern w:val="22"/>
          <w:szCs w:val="22"/>
          <w:lang w:val="fr-FR"/>
        </w:rPr>
        <w:t>les approches écosystémiques d’adaptation aux changements climatiques et</w:t>
      </w:r>
      <w:r w:rsidRPr="008E1D4D">
        <w:rPr>
          <w:rFonts w:eastAsia="Calibri"/>
          <w:b/>
          <w:snapToGrid w:val="0"/>
          <w:kern w:val="22"/>
          <w:szCs w:val="22"/>
          <w:lang w:val="fr-FR"/>
        </w:rPr>
        <w:t xml:space="preserve"> </w:t>
      </w:r>
      <w:r>
        <w:rPr>
          <w:rFonts w:eastAsia="Calibri"/>
          <w:b/>
          <w:snapToGrid w:val="0"/>
          <w:kern w:val="22"/>
          <w:szCs w:val="22"/>
          <w:lang w:val="fr-FR"/>
        </w:rPr>
        <w:t>de réduction des risques de catastrophe naturelle</w:t>
      </w:r>
      <w:bookmarkEnd w:id="304"/>
      <w:bookmarkEnd w:id="305"/>
      <w:bookmarkEnd w:id="306"/>
    </w:p>
    <w:p w:rsidR="009F6935" w:rsidRPr="00F45B73" w:rsidRDefault="009F6935" w:rsidP="009F6935">
      <w:pPr>
        <w:keepNext/>
        <w:suppressLineNumbers/>
        <w:suppressAutoHyphens/>
        <w:kinsoku w:val="0"/>
        <w:overflowPunct w:val="0"/>
        <w:autoSpaceDE w:val="0"/>
        <w:autoSpaceDN w:val="0"/>
        <w:adjustRightInd w:val="0"/>
        <w:snapToGrid w:val="0"/>
        <w:spacing w:before="120" w:after="120"/>
        <w:jc w:val="left"/>
        <w:outlineLvl w:val="0"/>
        <w:rPr>
          <w:rFonts w:eastAsia="Calibri"/>
          <w:b/>
          <w:snapToGrid w:val="0"/>
          <w:kern w:val="22"/>
          <w:szCs w:val="22"/>
          <w:lang w:val="fr-FR"/>
        </w:rPr>
      </w:pPr>
      <w:bookmarkStart w:id="307" w:name="_Toc525904242"/>
      <w:bookmarkStart w:id="308" w:name="_Toc525904401"/>
      <w:bookmarkStart w:id="309" w:name="_Toc525904645"/>
      <w:r>
        <w:rPr>
          <w:rFonts w:eastAsia="Calibri"/>
          <w:b/>
          <w:snapToGrid w:val="0"/>
          <w:kern w:val="22"/>
          <w:szCs w:val="22"/>
          <w:lang w:val="fr-FR"/>
        </w:rPr>
        <w:t>Objet</w:t>
      </w:r>
      <w:bookmarkEnd w:id="307"/>
      <w:bookmarkEnd w:id="308"/>
      <w:bookmarkEnd w:id="309"/>
    </w:p>
    <w:p w:rsidR="009F6935" w:rsidRPr="00F45B73"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L’intégration des approches écosystémiques d’adaptation aux changements climatiques et de réduction des risques de catastrophe naturelle consiste à intégrer les approches écosystémiques dans les processus de planification et de prise de décisions relatifs aux changements climatiques et aux risques de catastrophe naturelles à tous les niveaux. Elle peut commencer par l’intégration des considérations relatives aux écosystèmes dans les objectifs, politiques, mesures ou activités d’adaptation aux changement climatiques et de réduction des risques de catastrophe naturelle, afin qu’elles fassent partie intégrante des politiques, processus et budgets de développement national et régional à tous les niveaux et tous les stades. L’intégration augmente l’efficacité et la longévité des initiatives en matière d’adaptation aux changements climatiques et de réduction des risques de catastrophe naturelle fondées sur les écosystèmes, en intégrant leurs principes dans les politiques générales, la planification, les évaluations, le financement, la formation et les campagnes de sensibilisation locales, municipales et nationales, entre autres instruments de politique général</w:t>
      </w:r>
      <w:r w:rsidRPr="00F45B73">
        <w:rPr>
          <w:rFonts w:eastAsia="Calibri"/>
          <w:snapToGrid w:val="0"/>
          <w:kern w:val="22"/>
          <w:szCs w:val="22"/>
          <w:lang w:val="fr-FR"/>
        </w:rPr>
        <w:t xml:space="preserve">. </w:t>
      </w:r>
      <w:r>
        <w:rPr>
          <w:rFonts w:eastAsia="Calibri"/>
          <w:snapToGrid w:val="0"/>
          <w:kern w:val="22"/>
          <w:szCs w:val="22"/>
          <w:lang w:val="fr-FR"/>
        </w:rPr>
        <w:t>Le but général est d’accroître le soutien et l’application des approches écosystémiques d’adaptation aux changements climatiques et de réduction des risques de catastrophe naturelle dans les cas où cela s’avère efficace</w:t>
      </w:r>
      <w:r w:rsidRPr="00F45B73">
        <w:rPr>
          <w:rFonts w:eastAsia="Calibri"/>
          <w:snapToGrid w:val="0"/>
          <w:kern w:val="22"/>
          <w:szCs w:val="22"/>
          <w:lang w:val="fr-FR"/>
        </w:rPr>
        <w:t>.</w:t>
      </w:r>
    </w:p>
    <w:p w:rsidR="009F6935" w:rsidRPr="00F45B73"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L’intégration se poursuit tout au long de la planification et de la mise en œuvre des approches écosystémiques d’adaptation aux changements climatiques et de réduction des risques de catastrophe naturelle. Le processus commence par l’étape A, avec la réalisation d’une vaste compréhension de la structure politique et institutionnelle du système cible, ce qui permet d’identifier les points d’accès potentiels pour l’intégration. Parmi les autres éléments de l’intégration, figurent le renforcement du rayonnement sectoriel, la sensibilisation et le renforcement des capacités.</w:t>
      </w:r>
    </w:p>
    <w:p w:rsidR="009F6935" w:rsidRPr="00F45B73"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Il est important d’aligner l’intégration des approches écosystémiques d’adaptation aux changements climatiques et de réduction des risques de catastrophe naturelle sur les cadres nationaux et infranationaux de développement et de les intégrer dans les plans, politiques et pratiques pertinents à des échelles multiples afin d’accroître la durabilité à long terme ainsi que les possibilités de financement </w:t>
      </w:r>
      <w:r w:rsidRPr="00F45B73">
        <w:rPr>
          <w:rFonts w:eastAsia="Calibri"/>
          <w:snapToGrid w:val="0"/>
          <w:kern w:val="22"/>
          <w:szCs w:val="22"/>
          <w:lang w:val="fr-FR"/>
        </w:rPr>
        <w:t>(f</w:t>
      </w:r>
      <w:r>
        <w:rPr>
          <w:rFonts w:eastAsia="Calibri"/>
          <w:snapToGrid w:val="0"/>
          <w:kern w:val="22"/>
          <w:szCs w:val="22"/>
          <w:lang w:val="fr-FR"/>
        </w:rPr>
        <w:t xml:space="preserve">igure 1 et encadré 1). Il importe aussi de les aligner sur les cadres et les conventions internationaux, tels </w:t>
      </w:r>
      <w:r>
        <w:rPr>
          <w:rFonts w:eastAsia="Calibri"/>
          <w:snapToGrid w:val="0"/>
          <w:kern w:val="22"/>
          <w:szCs w:val="22"/>
          <w:lang w:val="fr-FR"/>
        </w:rPr>
        <w:lastRenderedPageBreak/>
        <w:t>que les Objectifs de développement durable et l</w:t>
      </w:r>
      <w:r w:rsidRPr="00F45B73">
        <w:rPr>
          <w:rFonts w:eastAsia="Calibri"/>
          <w:snapToGrid w:val="0"/>
          <w:kern w:val="22"/>
          <w:szCs w:val="22"/>
          <w:lang w:val="fr-FR"/>
        </w:rPr>
        <w:t xml:space="preserve">e </w:t>
      </w:r>
      <w:hyperlink r:id="rId31" w:history="1">
        <w:r>
          <w:rPr>
            <w:rStyle w:val="Hyperlink"/>
            <w:rFonts w:eastAsia="Calibri"/>
            <w:snapToGrid w:val="0"/>
            <w:kern w:val="22"/>
            <w:lang w:val="fr-FR"/>
          </w:rPr>
          <w:t xml:space="preserve">Plan stratégique pour la diversité biologique </w:t>
        </w:r>
        <w:r w:rsidRPr="00F45B73">
          <w:rPr>
            <w:rStyle w:val="Hyperlink"/>
            <w:rFonts w:eastAsia="Calibri"/>
            <w:snapToGrid w:val="0"/>
            <w:kern w:val="22"/>
            <w:lang w:val="fr-FR"/>
          </w:rPr>
          <w:t>2011-2020</w:t>
        </w:r>
      </w:hyperlink>
      <w:r>
        <w:rPr>
          <w:rFonts w:eastAsia="Calibri"/>
          <w:snapToGrid w:val="0"/>
          <w:kern w:val="22"/>
          <w:szCs w:val="22"/>
          <w:lang w:val="fr-FR"/>
        </w:rPr>
        <w:t>, et d’inclure un objectif de réduction des risques climatiques et de catastrophes naturelles dans la conduite des évaluations de l’impact sur l’environnement et des évaluations environnementales stratégiques, afin d’empêcher des effets non escomptés susceptibles d’aggraver les risques, et de favoriser des mesures d’adaptation aux changements climatiques et de réduction des risques de catastrophe naturelle fondées sur les écosystèmes.</w:t>
      </w:r>
    </w:p>
    <w:p w:rsidR="009F6935" w:rsidRPr="00F45B73"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Un exemple de cadre d’intégration est donné dans la figure 1. Des informations plus détaillées sur les outils et les mesures accompagnant cette étape figurent dans la « boîte à outils pour l’intégration des approches écosystémiques d’adaptation aux changements climatiques et de réduction des risques de catastrophe naturelle »</w:t>
      </w:r>
      <w:r w:rsidRPr="008966A7">
        <w:rPr>
          <w:rStyle w:val="FootnoteReference"/>
          <w:rFonts w:eastAsia="Calibri"/>
          <w:snapToGrid w:val="0"/>
          <w:kern w:val="22"/>
          <w:sz w:val="20"/>
          <w:szCs w:val="20"/>
          <w:u w:val="none"/>
          <w:vertAlign w:val="superscript"/>
          <w:lang w:val="fr-FR"/>
        </w:rPr>
        <w:footnoteReference w:id="101"/>
      </w:r>
      <w:r>
        <w:rPr>
          <w:rFonts w:eastAsia="Calibri"/>
          <w:snapToGrid w:val="0"/>
          <w:kern w:val="22"/>
          <w:szCs w:val="22"/>
          <w:lang w:val="fr-FR"/>
        </w:rPr>
        <w:t>.</w:t>
      </w:r>
    </w:p>
    <w:p w:rsidR="009F6935" w:rsidRPr="00E57075" w:rsidRDefault="009F6935" w:rsidP="009F6935">
      <w:pPr>
        <w:keepNext/>
        <w:keepLines/>
        <w:suppressLineNumbers/>
        <w:suppressAutoHyphens/>
        <w:kinsoku w:val="0"/>
        <w:overflowPunct w:val="0"/>
        <w:autoSpaceDE w:val="0"/>
        <w:autoSpaceDN w:val="0"/>
        <w:adjustRightInd w:val="0"/>
        <w:snapToGrid w:val="0"/>
        <w:spacing w:before="120" w:after="120"/>
        <w:jc w:val="left"/>
        <w:rPr>
          <w:rFonts w:eastAsia="Calibri"/>
          <w:snapToGrid w:val="0"/>
          <w:kern w:val="22"/>
          <w:szCs w:val="22"/>
          <w:lang w:val="fr-FR"/>
        </w:rPr>
      </w:pPr>
      <w:r w:rsidRPr="00E57075">
        <w:rPr>
          <w:rFonts w:eastAsia="Calibri"/>
          <w:b/>
          <w:snapToGrid w:val="0"/>
          <w:kern w:val="22"/>
          <w:szCs w:val="22"/>
          <w:lang w:val="fr-FR"/>
        </w:rPr>
        <w:t>Figure 1. Exemple de cadre</w:t>
      </w:r>
      <w:r>
        <w:rPr>
          <w:rFonts w:eastAsia="Calibri"/>
          <w:b/>
          <w:snapToGrid w:val="0"/>
          <w:kern w:val="22"/>
          <w:szCs w:val="22"/>
          <w:lang w:val="fr-FR"/>
        </w:rPr>
        <w:t xml:space="preserve"> opérationnel</w:t>
      </w:r>
      <w:r w:rsidRPr="00E57075">
        <w:rPr>
          <w:rFonts w:eastAsia="Calibri"/>
          <w:b/>
          <w:snapToGrid w:val="0"/>
          <w:kern w:val="22"/>
          <w:szCs w:val="22"/>
          <w:lang w:val="fr-FR"/>
        </w:rPr>
        <w:t xml:space="preserve"> pour l’intégration </w:t>
      </w:r>
      <w:r>
        <w:rPr>
          <w:rFonts w:eastAsia="Calibri"/>
          <w:b/>
          <w:snapToGrid w:val="0"/>
          <w:kern w:val="22"/>
          <w:szCs w:val="22"/>
          <w:lang w:val="fr-FR"/>
        </w:rPr>
        <w:t xml:space="preserve">des approches écosystémiques d’adaptation aux changements climatiques et de réduction des risques de catastrophe naturelle </w:t>
      </w:r>
      <w:r w:rsidRPr="00E57075">
        <w:rPr>
          <w:rFonts w:eastAsia="Calibri"/>
          <w:b/>
          <w:snapToGrid w:val="0"/>
          <w:kern w:val="22"/>
          <w:szCs w:val="22"/>
          <w:lang w:val="fr-FR"/>
        </w:rPr>
        <w:t xml:space="preserve"> dans la planification du développement</w:t>
      </w:r>
    </w:p>
    <w:p w:rsidR="009F6935" w:rsidRPr="00E57075"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r w:rsidRPr="00E57075">
        <w:rPr>
          <w:rFonts w:eastAsia="Calibri"/>
          <w:noProof/>
          <w:snapToGrid w:val="0"/>
          <w:kern w:val="22"/>
          <w:szCs w:val="22"/>
          <w:lang w:val="fr-FR" w:eastAsia="fr-FR"/>
        </w:rPr>
        <mc:AlternateContent>
          <mc:Choice Requires="wps">
            <w:drawing>
              <wp:anchor distT="45720" distB="45720" distL="114300" distR="114300" simplePos="0" relativeHeight="251657216" behindDoc="0" locked="0" layoutInCell="1" allowOverlap="1" wp14:anchorId="3BA038AA" wp14:editId="0CAAB4E4">
                <wp:simplePos x="0" y="0"/>
                <wp:positionH relativeFrom="column">
                  <wp:posOffset>1057701</wp:posOffset>
                </wp:positionH>
                <wp:positionV relativeFrom="paragraph">
                  <wp:posOffset>3216284</wp:posOffset>
                </wp:positionV>
                <wp:extent cx="4684395" cy="306649"/>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06649"/>
                        </a:xfrm>
                        <a:prstGeom prst="rect">
                          <a:avLst/>
                        </a:prstGeom>
                        <a:noFill/>
                        <a:ln w="9525">
                          <a:noFill/>
                          <a:miter lim="800000"/>
                          <a:headEnd/>
                          <a:tailEnd/>
                        </a:ln>
                      </wps:spPr>
                      <wps:txbx>
                        <w:txbxContent>
                          <w:p w:rsidR="00E62BFB" w:rsidRPr="0042363F" w:rsidRDefault="00E62BFB" w:rsidP="009F6935">
                            <w:pPr>
                              <w:rPr>
                                <w:b/>
                                <w:sz w:val="28"/>
                                <w:szCs w:val="28"/>
                                <w:lang w:val="fr-FR"/>
                              </w:rPr>
                            </w:pPr>
                            <w:r w:rsidRPr="0042363F">
                              <w:rPr>
                                <w:b/>
                                <w:sz w:val="28"/>
                                <w:szCs w:val="28"/>
                                <w:lang w:val="fr-FR"/>
                              </w:rPr>
                              <w:t>Participation multipartite et intersectorielle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038AA" id="_x0000_t202" coordsize="21600,21600" o:spt="202" path="m,l,21600r21600,l21600,xe">
                <v:stroke joinstyle="miter"/>
                <v:path gradientshapeok="t" o:connecttype="rect"/>
              </v:shapetype>
              <v:shape id="_x0000_s1026" type="#_x0000_t202" style="position:absolute;left:0;text-align:left;margin-left:83.3pt;margin-top:253.25pt;width:368.85pt;height:24.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" filled="f" stroked="f">
                <v:textbox>
                  <w:txbxContent>
                    <w:p w:rsidR="00E62BFB" w:rsidRPr="0042363F" w:rsidRDefault="00E62BFB" w:rsidP="009F6935">
                      <w:pPr>
                        <w:rPr>
                          <w:b/>
                          <w:sz w:val="28"/>
                          <w:szCs w:val="28"/>
                          <w:lang w:val="fr-FR"/>
                        </w:rPr>
                      </w:pPr>
                      <w:r w:rsidRPr="0042363F">
                        <w:rPr>
                          <w:b/>
                          <w:sz w:val="28"/>
                          <w:szCs w:val="28"/>
                          <w:lang w:val="fr-FR"/>
                        </w:rPr>
                        <w:t>Participation multipartite et intersectorielle</w:t>
                      </w:r>
                    </w:p>
                  </w:txbxContent>
                </v:textbox>
              </v:shape>
            </w:pict>
          </mc:Fallback>
        </mc:AlternateContent>
      </w:r>
      <w:r w:rsidRPr="00E57075">
        <w:rPr>
          <w:rFonts w:eastAsia="Calibri"/>
          <w:noProof/>
          <w:snapToGrid w:val="0"/>
          <w:kern w:val="22"/>
          <w:szCs w:val="22"/>
          <w:lang w:val="fr-FR" w:eastAsia="fr-FR"/>
        </w:rPr>
        <mc:AlternateContent>
          <mc:Choice Requires="wps">
            <w:drawing>
              <wp:anchor distT="0" distB="0" distL="114300" distR="114300" simplePos="0" relativeHeight="251649024" behindDoc="0" locked="0" layoutInCell="1" allowOverlap="1" wp14:anchorId="0BEA4E39" wp14:editId="36C78772">
                <wp:simplePos x="0" y="0"/>
                <wp:positionH relativeFrom="column">
                  <wp:posOffset>95250</wp:posOffset>
                </wp:positionH>
                <wp:positionV relativeFrom="paragraph">
                  <wp:posOffset>165100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2B3CED" id="Rectangle: Rounded Corners 10" o:spid="_x0000_s1026" style="position:absolute;margin-left:7.5pt;margin-top:13pt;width:140.85pt;height:15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" fillcolor="white [3201]" strokecolor="#ffc000 [3207]" strokeweight="1pt">
                <v:stroke joinstyle="miter"/>
              </v:roundrect>
            </w:pict>
          </mc:Fallback>
        </mc:AlternateContent>
      </w:r>
      <w:r w:rsidRPr="00E57075">
        <w:rPr>
          <w:rFonts w:eastAsia="Calibri"/>
          <w:noProof/>
          <w:snapToGrid w:val="0"/>
          <w:kern w:val="22"/>
          <w:szCs w:val="22"/>
          <w:lang w:val="fr-FR" w:eastAsia="fr-FR"/>
        </w:rPr>
        <mc:AlternateContent>
          <mc:Choice Requires="wps">
            <w:drawing>
              <wp:anchor distT="45720" distB="45720" distL="114300" distR="114300" simplePos="0" relativeHeight="251661312" behindDoc="0" locked="0" layoutInCell="1" allowOverlap="1" wp14:anchorId="1FA3F6BC" wp14:editId="703D475C">
                <wp:simplePos x="0" y="0"/>
                <wp:positionH relativeFrom="column">
                  <wp:posOffset>2101755</wp:posOffset>
                </wp:positionH>
                <wp:positionV relativeFrom="paragraph">
                  <wp:posOffset>118243</wp:posOffset>
                </wp:positionV>
                <wp:extent cx="1788795" cy="206763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2067636"/>
                        </a:xfrm>
                        <a:prstGeom prst="rect">
                          <a:avLst/>
                        </a:prstGeom>
                        <a:noFill/>
                        <a:ln w="9525">
                          <a:noFill/>
                          <a:miter lim="800000"/>
                          <a:headEnd/>
                          <a:tailEnd/>
                        </a:ln>
                      </wps:spPr>
                      <wps:txbx>
                        <w:txbxContent>
                          <w:p w:rsidR="00E62BFB" w:rsidRPr="00402539"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 xml:space="preserve">Évaluation des risques et de la vulnérabilité, analyses socioéconomiques </w:t>
                            </w:r>
                          </w:p>
                          <w:p w:rsidR="00E62BFB" w:rsidRPr="00402539"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Influence des processus et de la planification de la politique nationale, infranationale et sectorielle</w:t>
                            </w:r>
                          </w:p>
                          <w:p w:rsidR="00E62BFB"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Élaboration de me</w:t>
                            </w:r>
                            <w:r>
                              <w:rPr>
                                <w:sz w:val="16"/>
                                <w:szCs w:val="16"/>
                                <w:lang w:val="fr-FR"/>
                              </w:rPr>
                              <w:t>sures en faveur de l’</w:t>
                            </w:r>
                            <w:r w:rsidRPr="00402539">
                              <w:rPr>
                                <w:sz w:val="16"/>
                                <w:szCs w:val="16"/>
                                <w:lang w:val="fr-FR"/>
                              </w:rPr>
                              <w:t xml:space="preserve">adaptation </w:t>
                            </w:r>
                            <w:r>
                              <w:rPr>
                                <w:sz w:val="16"/>
                                <w:szCs w:val="16"/>
                                <w:lang w:val="fr-FR"/>
                              </w:rPr>
                              <w:t>aux changements climatiques et de</w:t>
                            </w:r>
                            <w:r w:rsidRPr="00402539">
                              <w:rPr>
                                <w:sz w:val="16"/>
                                <w:szCs w:val="16"/>
                                <w:lang w:val="fr-FR"/>
                              </w:rPr>
                              <w:t xml:space="preserve"> réduction des risques de catast</w:t>
                            </w:r>
                            <w:r>
                              <w:rPr>
                                <w:sz w:val="16"/>
                                <w:szCs w:val="16"/>
                                <w:lang w:val="fr-FR"/>
                              </w:rPr>
                              <w:t>rophe naturelle fondées sur les écosystèmes.</w:t>
                            </w:r>
                          </w:p>
                          <w:p w:rsidR="00E62BFB" w:rsidRPr="00402539"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Renforcement des institutions et des capacités ; apprentissage par la pratique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3F6BC" id="_x0000_s1027" type="#_x0000_t202" style="position:absolute;left:0;text-align:left;margin-left:165.5pt;margin-top:9.3pt;width:140.85pt;height:16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" filled="f" stroked="f">
                <v:textbox>
                  <w:txbxContent>
                    <w:p w:rsidR="00E62BFB" w:rsidRPr="00402539"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 xml:space="preserve">Évaluation des risques et de la vulnérabilité, analyses socioéconomiques </w:t>
                      </w:r>
                    </w:p>
                    <w:p w:rsidR="00E62BFB" w:rsidRPr="00402539"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Influence des processus et de la planification de la politique nationale, infranationale et sectorielle</w:t>
                      </w:r>
                    </w:p>
                    <w:p w:rsidR="00E62BFB"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Élaboration de me</w:t>
                      </w:r>
                      <w:r>
                        <w:rPr>
                          <w:sz w:val="16"/>
                          <w:szCs w:val="16"/>
                          <w:lang w:val="fr-FR"/>
                        </w:rPr>
                        <w:t>sures en faveur de l’</w:t>
                      </w:r>
                      <w:r w:rsidRPr="00402539">
                        <w:rPr>
                          <w:sz w:val="16"/>
                          <w:szCs w:val="16"/>
                          <w:lang w:val="fr-FR"/>
                        </w:rPr>
                        <w:t xml:space="preserve">adaptation </w:t>
                      </w:r>
                      <w:r>
                        <w:rPr>
                          <w:sz w:val="16"/>
                          <w:szCs w:val="16"/>
                          <w:lang w:val="fr-FR"/>
                        </w:rPr>
                        <w:t>aux changements climatiques et de</w:t>
                      </w:r>
                      <w:r w:rsidRPr="00402539">
                        <w:rPr>
                          <w:sz w:val="16"/>
                          <w:szCs w:val="16"/>
                          <w:lang w:val="fr-FR"/>
                        </w:rPr>
                        <w:t xml:space="preserve"> réduction des risques de catast</w:t>
                      </w:r>
                      <w:r>
                        <w:rPr>
                          <w:sz w:val="16"/>
                          <w:szCs w:val="16"/>
                          <w:lang w:val="fr-FR"/>
                        </w:rPr>
                        <w:t>rophe naturelle fondées sur les écosystèmes.</w:t>
                      </w:r>
                    </w:p>
                    <w:p w:rsidR="00E62BFB" w:rsidRPr="00402539" w:rsidRDefault="00E62BFB" w:rsidP="00004EAF">
                      <w:pPr>
                        <w:pStyle w:val="ListParagraph"/>
                        <w:numPr>
                          <w:ilvl w:val="0"/>
                          <w:numId w:val="58"/>
                        </w:numPr>
                        <w:spacing w:after="160" w:line="259" w:lineRule="auto"/>
                        <w:ind w:left="284" w:hanging="284"/>
                        <w:jc w:val="left"/>
                        <w:rPr>
                          <w:sz w:val="16"/>
                          <w:szCs w:val="16"/>
                          <w:lang w:val="fr-FR"/>
                        </w:rPr>
                      </w:pPr>
                      <w:r w:rsidRPr="00402539">
                        <w:rPr>
                          <w:sz w:val="16"/>
                          <w:szCs w:val="16"/>
                          <w:lang w:val="fr-FR"/>
                        </w:rPr>
                        <w:t>Renforcement des institutions et des capacités ; apprentissage par la pratique</w:t>
                      </w:r>
                    </w:p>
                  </w:txbxContent>
                </v:textbox>
              </v:shape>
            </w:pict>
          </mc:Fallback>
        </mc:AlternateContent>
      </w:r>
      <w:r w:rsidRPr="00E57075">
        <w:rPr>
          <w:rFonts w:eastAsia="Calibri"/>
          <w:noProof/>
          <w:snapToGrid w:val="0"/>
          <w:kern w:val="22"/>
          <w:szCs w:val="22"/>
          <w:lang w:val="fr-FR" w:eastAsia="fr-FR"/>
        </w:rPr>
        <mc:AlternateContent>
          <mc:Choice Requires="wps">
            <w:drawing>
              <wp:anchor distT="45720" distB="45720" distL="114300" distR="114300" simplePos="0" relativeHeight="251667456" behindDoc="0" locked="0" layoutInCell="1" allowOverlap="1" wp14:anchorId="79E7960B" wp14:editId="44742D7D">
                <wp:simplePos x="0" y="0"/>
                <wp:positionH relativeFrom="column">
                  <wp:posOffset>4067175</wp:posOffset>
                </wp:positionH>
                <wp:positionV relativeFrom="paragraph">
                  <wp:posOffset>175261</wp:posOffset>
                </wp:positionV>
                <wp:extent cx="1788795" cy="1981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81200"/>
                        </a:xfrm>
                        <a:prstGeom prst="rect">
                          <a:avLst/>
                        </a:prstGeom>
                        <a:noFill/>
                        <a:ln w="9525">
                          <a:noFill/>
                          <a:miter lim="800000"/>
                          <a:headEnd/>
                          <a:tailEnd/>
                        </a:ln>
                      </wps:spPr>
                      <wps:txbx>
                        <w:txbxContent>
                          <w:p w:rsidR="00E62BFB" w:rsidRPr="009C4643" w:rsidRDefault="00E62BFB" w:rsidP="00004EAF">
                            <w:pPr>
                              <w:pStyle w:val="ListParagraph"/>
                              <w:numPr>
                                <w:ilvl w:val="0"/>
                                <w:numId w:val="58"/>
                              </w:numPr>
                              <w:spacing w:after="160" w:line="259" w:lineRule="auto"/>
                              <w:ind w:left="284" w:hanging="284"/>
                              <w:jc w:val="left"/>
                              <w:rPr>
                                <w:sz w:val="18"/>
                                <w:szCs w:val="18"/>
                                <w:lang w:val="fr-FR"/>
                              </w:rPr>
                            </w:pPr>
                            <w:r>
                              <w:rPr>
                                <w:sz w:val="18"/>
                                <w:szCs w:val="18"/>
                                <w:lang w:val="fr-FR"/>
                              </w:rPr>
                              <w:t xml:space="preserve">Renforcer les systèmes de suivi des approches écosystémiques d’adaptation aux changements climatiques et de réduction des risques de catastrophe naturelle </w:t>
                            </w:r>
                          </w:p>
                          <w:p w:rsidR="00E62BFB" w:rsidRPr="009C4643" w:rsidRDefault="00E62BFB" w:rsidP="00004EAF">
                            <w:pPr>
                              <w:pStyle w:val="ListParagraph"/>
                              <w:numPr>
                                <w:ilvl w:val="0"/>
                                <w:numId w:val="58"/>
                              </w:numPr>
                              <w:spacing w:after="160" w:line="259" w:lineRule="auto"/>
                              <w:ind w:left="284" w:hanging="284"/>
                              <w:jc w:val="left"/>
                              <w:rPr>
                                <w:sz w:val="18"/>
                                <w:szCs w:val="18"/>
                                <w:lang w:val="fr-FR"/>
                              </w:rPr>
                            </w:pPr>
                            <w:r>
                              <w:rPr>
                                <w:sz w:val="18"/>
                                <w:szCs w:val="18"/>
                                <w:lang w:val="fr-FR"/>
                              </w:rPr>
                              <w:t>Encourager les investissements en matière d’adaptation aux changements climatiques et de réduction des risques de catastrophe naturelle fondées sur les écosystèmes</w:t>
                            </w:r>
                          </w:p>
                          <w:p w:rsidR="00E62BFB" w:rsidRPr="00FF48C9" w:rsidRDefault="00E62BFB" w:rsidP="00004EAF">
                            <w:pPr>
                              <w:pStyle w:val="ListParagraph"/>
                              <w:numPr>
                                <w:ilvl w:val="0"/>
                                <w:numId w:val="58"/>
                              </w:numPr>
                              <w:spacing w:after="160" w:line="259" w:lineRule="auto"/>
                              <w:ind w:left="284" w:hanging="284"/>
                              <w:jc w:val="left"/>
                              <w:rPr>
                                <w:sz w:val="18"/>
                                <w:szCs w:val="18"/>
                                <w:lang w:val="fr-FR"/>
                              </w:rPr>
                            </w:pPr>
                            <w:r w:rsidRPr="00FF48C9">
                              <w:rPr>
                                <w:sz w:val="18"/>
                                <w:szCs w:val="18"/>
                                <w:lang w:val="fr-FR"/>
                              </w:rPr>
                              <w:t>Renforcer le soutien des mesures de politique nationale, infranationale et sectorielles</w:t>
                            </w:r>
                          </w:p>
                          <w:p w:rsidR="00E62BFB" w:rsidRPr="00FF48C9" w:rsidRDefault="00E62BFB" w:rsidP="00004EAF">
                            <w:pPr>
                              <w:pStyle w:val="ListParagraph"/>
                              <w:numPr>
                                <w:ilvl w:val="0"/>
                                <w:numId w:val="58"/>
                              </w:numPr>
                              <w:spacing w:after="160" w:line="259" w:lineRule="auto"/>
                              <w:ind w:left="284" w:hanging="284"/>
                              <w:jc w:val="left"/>
                              <w:rPr>
                                <w:sz w:val="16"/>
                                <w:szCs w:val="16"/>
                                <w:lang w:val="fr-FR"/>
                              </w:rPr>
                            </w:pPr>
                            <w:r w:rsidRPr="00FF48C9">
                              <w:rPr>
                                <w:sz w:val="16"/>
                                <w:szCs w:val="16"/>
                                <w:lang w:val="fr-FR"/>
                              </w:rPr>
                              <w:t>Renforcer les institutions et les capacités : l’intégration comme pratique stamdard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7960B" id="_x0000_s1028" type="#_x0000_t202" style="position:absolute;left:0;text-align:left;margin-left:320.25pt;margin-top:13.8pt;width:140.85pt;height:15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" filled="f" stroked="f">
                <v:textbox>
                  <w:txbxContent>
                    <w:p w:rsidR="00E62BFB" w:rsidRPr="009C4643" w:rsidRDefault="00E62BFB" w:rsidP="00004EAF">
                      <w:pPr>
                        <w:pStyle w:val="ListParagraph"/>
                        <w:numPr>
                          <w:ilvl w:val="0"/>
                          <w:numId w:val="58"/>
                        </w:numPr>
                        <w:spacing w:after="160" w:line="259" w:lineRule="auto"/>
                        <w:ind w:left="284" w:hanging="284"/>
                        <w:jc w:val="left"/>
                        <w:rPr>
                          <w:sz w:val="18"/>
                          <w:szCs w:val="18"/>
                          <w:lang w:val="fr-FR"/>
                        </w:rPr>
                      </w:pPr>
                      <w:r>
                        <w:rPr>
                          <w:sz w:val="18"/>
                          <w:szCs w:val="18"/>
                          <w:lang w:val="fr-FR"/>
                        </w:rPr>
                        <w:t xml:space="preserve">Renforcer les systèmes de suivi des approches écosystémiques d’adaptation aux changements climatiques et de réduction des risques de catastrophe naturelle </w:t>
                      </w:r>
                    </w:p>
                    <w:p w:rsidR="00E62BFB" w:rsidRPr="009C4643" w:rsidRDefault="00E62BFB" w:rsidP="00004EAF">
                      <w:pPr>
                        <w:pStyle w:val="ListParagraph"/>
                        <w:numPr>
                          <w:ilvl w:val="0"/>
                          <w:numId w:val="58"/>
                        </w:numPr>
                        <w:spacing w:after="160" w:line="259" w:lineRule="auto"/>
                        <w:ind w:left="284" w:hanging="284"/>
                        <w:jc w:val="left"/>
                        <w:rPr>
                          <w:sz w:val="18"/>
                          <w:szCs w:val="18"/>
                          <w:lang w:val="fr-FR"/>
                        </w:rPr>
                      </w:pPr>
                      <w:r>
                        <w:rPr>
                          <w:sz w:val="18"/>
                          <w:szCs w:val="18"/>
                          <w:lang w:val="fr-FR"/>
                        </w:rPr>
                        <w:t>Encourager les investissements en matière d’adaptation aux changements climatiques et de réduction des risques de catastrophe naturelle fondées sur les écosystèmes</w:t>
                      </w:r>
                    </w:p>
                    <w:p w:rsidR="00E62BFB" w:rsidRPr="00FF48C9" w:rsidRDefault="00E62BFB" w:rsidP="00004EAF">
                      <w:pPr>
                        <w:pStyle w:val="ListParagraph"/>
                        <w:numPr>
                          <w:ilvl w:val="0"/>
                          <w:numId w:val="58"/>
                        </w:numPr>
                        <w:spacing w:after="160" w:line="259" w:lineRule="auto"/>
                        <w:ind w:left="284" w:hanging="284"/>
                        <w:jc w:val="left"/>
                        <w:rPr>
                          <w:sz w:val="18"/>
                          <w:szCs w:val="18"/>
                          <w:lang w:val="fr-FR"/>
                        </w:rPr>
                      </w:pPr>
                      <w:r w:rsidRPr="00FF48C9">
                        <w:rPr>
                          <w:sz w:val="18"/>
                          <w:szCs w:val="18"/>
                          <w:lang w:val="fr-FR"/>
                        </w:rPr>
                        <w:t>Renforcer le soutien des mesures de politique nationale, infranationale et sectorielles</w:t>
                      </w:r>
                    </w:p>
                    <w:p w:rsidR="00E62BFB" w:rsidRPr="00FF48C9" w:rsidRDefault="00E62BFB" w:rsidP="00004EAF">
                      <w:pPr>
                        <w:pStyle w:val="ListParagraph"/>
                        <w:numPr>
                          <w:ilvl w:val="0"/>
                          <w:numId w:val="58"/>
                        </w:numPr>
                        <w:spacing w:after="160" w:line="259" w:lineRule="auto"/>
                        <w:ind w:left="284" w:hanging="284"/>
                        <w:jc w:val="left"/>
                        <w:rPr>
                          <w:sz w:val="16"/>
                          <w:szCs w:val="16"/>
                          <w:lang w:val="fr-FR"/>
                        </w:rPr>
                      </w:pPr>
                      <w:r w:rsidRPr="00FF48C9">
                        <w:rPr>
                          <w:sz w:val="16"/>
                          <w:szCs w:val="16"/>
                          <w:lang w:val="fr-FR"/>
                        </w:rPr>
                        <w:t>Renforcer les institutions et les capacités : l’intégration comme pratique stamdard</w:t>
                      </w:r>
                    </w:p>
                  </w:txbxContent>
                </v:textbox>
              </v:shape>
            </w:pict>
          </mc:Fallback>
        </mc:AlternateContent>
      </w:r>
      <w:r w:rsidRPr="00E57075">
        <w:rPr>
          <w:rFonts w:eastAsia="Calibri"/>
          <w:noProof/>
          <w:snapToGrid w:val="0"/>
          <w:kern w:val="22"/>
          <w:szCs w:val="22"/>
          <w:lang w:val="fr-FR" w:eastAsia="fr-FR"/>
        </w:rPr>
        <mc:AlternateContent>
          <mc:Choice Requires="wps">
            <w:drawing>
              <wp:anchor distT="45720" distB="45720" distL="114300" distR="114300" simplePos="0" relativeHeight="251652096" behindDoc="0" locked="0" layoutInCell="1" allowOverlap="1" wp14:anchorId="3801FA3D" wp14:editId="3EE9CA3B">
                <wp:simplePos x="0" y="0"/>
                <wp:positionH relativeFrom="column">
                  <wp:posOffset>95250</wp:posOffset>
                </wp:positionH>
                <wp:positionV relativeFrom="paragraph">
                  <wp:posOffset>118110</wp:posOffset>
                </wp:positionV>
                <wp:extent cx="1788795" cy="19621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215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rsidR="00E62BFB" w:rsidRPr="009C4643" w:rsidRDefault="00E62BFB" w:rsidP="00004EAF">
                            <w:pPr>
                              <w:pStyle w:val="ListParagraph"/>
                              <w:numPr>
                                <w:ilvl w:val="0"/>
                                <w:numId w:val="58"/>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E62BFB" w:rsidRPr="009C4643" w:rsidRDefault="00E62BFB" w:rsidP="00004EAF">
                            <w:pPr>
                              <w:pStyle w:val="ListParagraph"/>
                              <w:numPr>
                                <w:ilvl w:val="0"/>
                                <w:numId w:val="58"/>
                              </w:numPr>
                              <w:spacing w:after="160" w:line="259" w:lineRule="auto"/>
                              <w:ind w:left="142" w:hanging="142"/>
                              <w:jc w:val="left"/>
                              <w:rPr>
                                <w:sz w:val="18"/>
                                <w:szCs w:val="18"/>
                                <w:lang w:val="fr-FR"/>
                              </w:rPr>
                            </w:pPr>
                            <w:r>
                              <w:rPr>
                                <w:sz w:val="18"/>
                                <w:szCs w:val="18"/>
                                <w:lang w:val="fr-FR"/>
                              </w:rPr>
                              <w:t>Connaissance des contextes politique, gouvernemental</w:t>
                            </w:r>
                          </w:p>
                          <w:p w:rsidR="00E62BFB" w:rsidRPr="009C4643" w:rsidRDefault="00E62BFB" w:rsidP="00004EAF">
                            <w:pPr>
                              <w:pStyle w:val="ListParagraph"/>
                              <w:numPr>
                                <w:ilvl w:val="0"/>
                                <w:numId w:val="58"/>
                              </w:numPr>
                              <w:spacing w:after="160" w:line="259" w:lineRule="auto"/>
                              <w:ind w:left="142" w:hanging="142"/>
                              <w:jc w:val="left"/>
                              <w:rPr>
                                <w:sz w:val="18"/>
                                <w:szCs w:val="18"/>
                                <w:lang w:val="fr-FR"/>
                              </w:rPr>
                            </w:pPr>
                            <w:r>
                              <w:rPr>
                                <w:sz w:val="18"/>
                                <w:szCs w:val="18"/>
                                <w:lang w:val="fr-FR"/>
                              </w:rPr>
                              <w:t>Sensibilisation et création de partenariats</w:t>
                            </w:r>
                          </w:p>
                          <w:p w:rsidR="00E62BFB" w:rsidRPr="009C4643" w:rsidRDefault="00E62BFB" w:rsidP="00004EAF">
                            <w:pPr>
                              <w:pStyle w:val="ListParagraph"/>
                              <w:numPr>
                                <w:ilvl w:val="0"/>
                                <w:numId w:val="58"/>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E62BFB" w:rsidRPr="009C4643" w:rsidRDefault="00E62BFB" w:rsidP="009F6935">
                            <w:pPr>
                              <w:jc w:val="center"/>
                              <w:rPr>
                                <w:b/>
                                <w:color w:val="ED7D31" w:themeColor="accent2"/>
                                <w:sz w:val="18"/>
                                <w:szCs w:val="18"/>
                                <w:lang w:val="fr-FR"/>
                              </w:rPr>
                            </w:pPr>
                            <w:r w:rsidRPr="009C4643">
                              <w:rPr>
                                <w:b/>
                                <w:color w:val="ED7D31" w:themeColor="accent2"/>
                                <w:sz w:val="18"/>
                                <w:szCs w:val="18"/>
                                <w:lang w:val="fr-FR"/>
                              </w:rPr>
                              <w:t>STEP A</w:t>
                            </w:r>
                          </w:p>
                          <w:p w:rsidR="00E62BFB" w:rsidRPr="006D025C" w:rsidRDefault="00E62BFB" w:rsidP="009F6935">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1FA3D" id="_x0000_s1029" type="#_x0000_t202" style="position:absolute;left:0;text-align:left;margin-left:7.5pt;margin-top:9.3pt;width:140.85pt;height:154.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" filled="f" stroked="f" strokeweight="1pt">
                <v:textbox>
                  <w:txbxContent>
                    <w:p w:rsidR="00E62BFB" w:rsidRPr="009C4643" w:rsidRDefault="00E62BFB" w:rsidP="00004EAF">
                      <w:pPr>
                        <w:pStyle w:val="ListParagraph"/>
                        <w:numPr>
                          <w:ilvl w:val="0"/>
                          <w:numId w:val="58"/>
                        </w:numPr>
                        <w:spacing w:after="160" w:line="259" w:lineRule="auto"/>
                        <w:ind w:left="142" w:hanging="142"/>
                        <w:jc w:val="left"/>
                        <w:rPr>
                          <w:sz w:val="18"/>
                          <w:szCs w:val="18"/>
                          <w:lang w:val="fr-FR"/>
                        </w:rPr>
                      </w:pPr>
                      <w:r w:rsidRPr="009C4643">
                        <w:rPr>
                          <w:sz w:val="18"/>
                          <w:szCs w:val="18"/>
                          <w:lang w:val="fr-FR"/>
                        </w:rPr>
                        <w:t>C</w:t>
                      </w:r>
                      <w:r>
                        <w:rPr>
                          <w:sz w:val="18"/>
                          <w:szCs w:val="18"/>
                          <w:lang w:val="fr-FR"/>
                        </w:rPr>
                        <w:t>onnaissance</w:t>
                      </w:r>
                      <w:r w:rsidRPr="009C4643">
                        <w:rPr>
                          <w:sz w:val="18"/>
                          <w:szCs w:val="18"/>
                          <w:lang w:val="fr-FR"/>
                        </w:rPr>
                        <w:t xml:space="preserve"> des syst</w:t>
                      </w:r>
                      <w:r>
                        <w:rPr>
                          <w:sz w:val="18"/>
                          <w:szCs w:val="18"/>
                          <w:lang w:val="fr-FR"/>
                        </w:rPr>
                        <w:t>èmes socio-écologiques et intégration des connaissances, technologies, pratiques et travaux des peuples autochtones et communautés locales</w:t>
                      </w:r>
                      <w:r w:rsidRPr="009C4643">
                        <w:rPr>
                          <w:sz w:val="18"/>
                          <w:szCs w:val="18"/>
                          <w:lang w:val="fr-FR"/>
                        </w:rPr>
                        <w:t xml:space="preserve"> </w:t>
                      </w:r>
                    </w:p>
                    <w:p w:rsidR="00E62BFB" w:rsidRPr="009C4643" w:rsidRDefault="00E62BFB" w:rsidP="00004EAF">
                      <w:pPr>
                        <w:pStyle w:val="ListParagraph"/>
                        <w:numPr>
                          <w:ilvl w:val="0"/>
                          <w:numId w:val="58"/>
                        </w:numPr>
                        <w:spacing w:after="160" w:line="259" w:lineRule="auto"/>
                        <w:ind w:left="142" w:hanging="142"/>
                        <w:jc w:val="left"/>
                        <w:rPr>
                          <w:sz w:val="18"/>
                          <w:szCs w:val="18"/>
                          <w:lang w:val="fr-FR"/>
                        </w:rPr>
                      </w:pPr>
                      <w:r>
                        <w:rPr>
                          <w:sz w:val="18"/>
                          <w:szCs w:val="18"/>
                          <w:lang w:val="fr-FR"/>
                        </w:rPr>
                        <w:t>Connaissance des contextes politique, gouvernemental</w:t>
                      </w:r>
                    </w:p>
                    <w:p w:rsidR="00E62BFB" w:rsidRPr="009C4643" w:rsidRDefault="00E62BFB" w:rsidP="00004EAF">
                      <w:pPr>
                        <w:pStyle w:val="ListParagraph"/>
                        <w:numPr>
                          <w:ilvl w:val="0"/>
                          <w:numId w:val="58"/>
                        </w:numPr>
                        <w:spacing w:after="160" w:line="259" w:lineRule="auto"/>
                        <w:ind w:left="142" w:hanging="142"/>
                        <w:jc w:val="left"/>
                        <w:rPr>
                          <w:sz w:val="18"/>
                          <w:szCs w:val="18"/>
                          <w:lang w:val="fr-FR"/>
                        </w:rPr>
                      </w:pPr>
                      <w:r>
                        <w:rPr>
                          <w:sz w:val="18"/>
                          <w:szCs w:val="18"/>
                          <w:lang w:val="fr-FR"/>
                        </w:rPr>
                        <w:t>Sensibilisation et création de partenariats</w:t>
                      </w:r>
                    </w:p>
                    <w:p w:rsidR="00E62BFB" w:rsidRPr="009C4643" w:rsidRDefault="00E62BFB" w:rsidP="00004EAF">
                      <w:pPr>
                        <w:pStyle w:val="ListParagraph"/>
                        <w:numPr>
                          <w:ilvl w:val="0"/>
                          <w:numId w:val="58"/>
                        </w:numPr>
                        <w:spacing w:line="259" w:lineRule="auto"/>
                        <w:ind w:left="142" w:hanging="142"/>
                        <w:jc w:val="left"/>
                        <w:rPr>
                          <w:sz w:val="18"/>
                          <w:szCs w:val="18"/>
                          <w:lang w:val="fr-FR"/>
                        </w:rPr>
                      </w:pPr>
                      <w:r>
                        <w:rPr>
                          <w:sz w:val="18"/>
                          <w:szCs w:val="18"/>
                          <w:lang w:val="fr-FR"/>
                        </w:rPr>
                        <w:t>Évaluation des besoins institutionnels et de renforcement des capacités</w:t>
                      </w:r>
                    </w:p>
                    <w:p w:rsidR="00E62BFB" w:rsidRPr="009C4643" w:rsidRDefault="00E62BFB" w:rsidP="009F6935">
                      <w:pPr>
                        <w:jc w:val="center"/>
                        <w:rPr>
                          <w:b/>
                          <w:color w:val="ED7D31" w:themeColor="accent2"/>
                          <w:sz w:val="18"/>
                          <w:szCs w:val="18"/>
                          <w:lang w:val="fr-FR"/>
                        </w:rPr>
                      </w:pPr>
                      <w:r w:rsidRPr="009C4643">
                        <w:rPr>
                          <w:b/>
                          <w:color w:val="ED7D31" w:themeColor="accent2"/>
                          <w:sz w:val="18"/>
                          <w:szCs w:val="18"/>
                          <w:lang w:val="fr-FR"/>
                        </w:rPr>
                        <w:t>STEP A</w:t>
                      </w:r>
                    </w:p>
                    <w:p w:rsidR="00E62BFB" w:rsidRPr="006D025C" w:rsidRDefault="00E62BFB" w:rsidP="009F6935">
                      <w:pPr>
                        <w:jc w:val="center"/>
                        <w:rPr>
                          <w:sz w:val="18"/>
                          <w:szCs w:val="18"/>
                        </w:rPr>
                      </w:pPr>
                    </w:p>
                  </w:txbxContent>
                </v:textbox>
              </v:shape>
            </w:pict>
          </mc:Fallback>
        </mc:AlternateContent>
      </w:r>
      <w:r w:rsidRPr="00E57075">
        <w:rPr>
          <w:rFonts w:eastAsia="Calibri"/>
          <w:noProof/>
          <w:snapToGrid w:val="0"/>
          <w:kern w:val="22"/>
          <w:szCs w:val="22"/>
          <w:lang w:val="fr-FR" w:eastAsia="fr-FR"/>
        </w:rPr>
        <mc:AlternateContent>
          <mc:Choice Requires="wps">
            <w:drawing>
              <wp:anchor distT="0" distB="0" distL="114300" distR="114300" simplePos="0" relativeHeight="251664384" behindDoc="0" locked="0" layoutInCell="1" allowOverlap="1" wp14:anchorId="2A000BA2" wp14:editId="5ECB034B">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D967A" id="Rectangle: Rounded Corners 12" o:spid="_x0000_s1026" style="position:absolute;margin-left:320.25pt;margin-top:9pt;width:140.85pt;height:15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Pr="00E57075">
        <w:rPr>
          <w:rFonts w:eastAsia="Calibri"/>
          <w:noProof/>
          <w:snapToGrid w:val="0"/>
          <w:kern w:val="22"/>
          <w:szCs w:val="22"/>
          <w:lang w:val="fr-FR" w:eastAsia="fr-FR"/>
        </w:rPr>
        <mc:AlternateContent>
          <mc:Choice Requires="wps">
            <w:drawing>
              <wp:anchor distT="0" distB="0" distL="114300" distR="114300" simplePos="0" relativeHeight="251654144" behindDoc="0" locked="0" layoutInCell="1" allowOverlap="1" wp14:anchorId="2D4A2BFD" wp14:editId="1186574A">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92623" id="Rectangle: Rounded Corners 11" o:spid="_x0000_s1026" style="position:absolute;margin-left:165.75pt;margin-top:9.05pt;width:140.85pt;height:15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Pr="00E57075">
        <w:rPr>
          <w:rFonts w:eastAsia="Calibri"/>
          <w:noProof/>
          <w:snapToGrid w:val="0"/>
          <w:kern w:val="22"/>
          <w:szCs w:val="22"/>
          <w:lang w:val="fr-FR" w:eastAsia="fr-FR"/>
        </w:rPr>
        <w:drawing>
          <wp:inline distT="0" distB="0" distL="0" distR="0" wp14:anchorId="69CF6535" wp14:editId="546A8C5A">
            <wp:extent cx="5924550" cy="3886200"/>
            <wp:effectExtent l="0" t="0" r="1905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9F6935" w:rsidRPr="00377E20" w:rsidRDefault="009F6935" w:rsidP="009F6935">
      <w:pPr>
        <w:keepLines/>
        <w:suppressLineNumbers/>
        <w:suppressAutoHyphens/>
        <w:kinsoku w:val="0"/>
        <w:overflowPunct w:val="0"/>
        <w:autoSpaceDE w:val="0"/>
        <w:autoSpaceDN w:val="0"/>
        <w:adjustRightInd w:val="0"/>
        <w:snapToGrid w:val="0"/>
        <w:spacing w:after="360"/>
        <w:jc w:val="left"/>
        <w:rPr>
          <w:rFonts w:eastAsia="Calibri"/>
          <w:noProof/>
          <w:snapToGrid w:val="0"/>
          <w:kern w:val="22"/>
          <w:szCs w:val="22"/>
          <w:lang w:val="en-US"/>
        </w:rPr>
      </w:pPr>
      <w:r w:rsidRPr="00377E20">
        <w:rPr>
          <w:rFonts w:eastAsia="Calibri"/>
          <w:bCs/>
          <w:i/>
          <w:iCs/>
          <w:noProof/>
          <w:snapToGrid w:val="0"/>
          <w:kern w:val="22"/>
          <w:sz w:val="20"/>
          <w:szCs w:val="20"/>
          <w:lang w:val="en-US"/>
        </w:rPr>
        <w:t>Note</w:t>
      </w:r>
      <w:r w:rsidRPr="00377E20">
        <w:rPr>
          <w:rFonts w:eastAsia="Calibri"/>
          <w:bCs/>
          <w:noProof/>
          <w:snapToGrid w:val="0"/>
          <w:kern w:val="22"/>
          <w:sz w:val="20"/>
          <w:szCs w:val="20"/>
          <w:lang w:val="en-US"/>
        </w:rPr>
        <w:t>: Adapté de: World Wildlife Fund (2013</w:t>
      </w:r>
      <w:r w:rsidRPr="00377E20">
        <w:rPr>
          <w:noProof/>
          <w:sz w:val="20"/>
          <w:szCs w:val="20"/>
          <w:lang w:val="en-US"/>
        </w:rPr>
        <w:t>),</w:t>
      </w:r>
      <w:r w:rsidRPr="00377E20">
        <w:rPr>
          <w:rFonts w:eastAsia="Calibri"/>
          <w:bCs/>
          <w:noProof/>
          <w:snapToGrid w:val="0"/>
          <w:kern w:val="22"/>
          <w:sz w:val="20"/>
          <w:szCs w:val="20"/>
          <w:lang w:val="en-US"/>
        </w:rPr>
        <w:t xml:space="preserve"> </w:t>
      </w:r>
      <w:hyperlink r:id="rId37" w:history="1">
        <w:r w:rsidRPr="008966A7">
          <w:rPr>
            <w:rStyle w:val="Hyperlink"/>
            <w:rFonts w:eastAsia="Calibri"/>
            <w:i/>
            <w:iCs/>
            <w:noProof/>
            <w:sz w:val="20"/>
            <w:szCs w:val="20"/>
            <w:lang w:val="en-US"/>
          </w:rPr>
          <w:t>Operational Framework for Ecosystem-based Adaptation: Implementing and Mainstreaming Ecosystem-based Adaptation Responses in the Greater Mekong Sub-Region</w:t>
        </w:r>
      </w:hyperlink>
      <w:r w:rsidRPr="008966A7">
        <w:rPr>
          <w:rFonts w:eastAsia="Calibri"/>
          <w:bCs/>
          <w:noProof/>
          <w:snapToGrid w:val="0"/>
          <w:kern w:val="22"/>
          <w:sz w:val="20"/>
          <w:szCs w:val="20"/>
          <w:lang w:val="en-US"/>
        </w:rPr>
        <w:t xml:space="preserve">; et de </w:t>
      </w:r>
      <w:r w:rsidRPr="008966A7">
        <w:rPr>
          <w:rFonts w:eastAsia="Calibri"/>
          <w:noProof/>
          <w:snapToGrid w:val="0"/>
          <w:kern w:val="22"/>
          <w:sz w:val="20"/>
          <w:szCs w:val="20"/>
          <w:lang w:val="en-US"/>
        </w:rPr>
        <w:t xml:space="preserve">UNDP-UNEP (2011), </w:t>
      </w:r>
      <w:hyperlink r:id="rId38" w:history="1">
        <w:r w:rsidRPr="008966A7">
          <w:rPr>
            <w:rStyle w:val="Hyperlink"/>
            <w:rFonts w:eastAsia="Calibri"/>
            <w:bCs/>
            <w:i/>
            <w:iCs/>
            <w:noProof/>
            <w:snapToGrid w:val="0"/>
            <w:kern w:val="22"/>
            <w:sz w:val="20"/>
            <w:szCs w:val="20"/>
            <w:lang w:val="en-US"/>
          </w:rPr>
          <w:t>M</w:t>
        </w:r>
        <w:r w:rsidRPr="008966A7">
          <w:rPr>
            <w:rStyle w:val="Hyperlink"/>
            <w:rFonts w:eastAsia="Calibri"/>
            <w:i/>
            <w:iCs/>
            <w:noProof/>
            <w:snapToGrid w:val="0"/>
            <w:kern w:val="22"/>
            <w:sz w:val="20"/>
            <w:szCs w:val="20"/>
            <w:lang w:val="en-US"/>
          </w:rPr>
          <w:t xml:space="preserve">ainstreaming </w:t>
        </w:r>
        <w:r w:rsidRPr="008966A7">
          <w:rPr>
            <w:rStyle w:val="Hyperlink"/>
            <w:rFonts w:eastAsia="Calibri"/>
            <w:bCs/>
            <w:i/>
            <w:iCs/>
            <w:noProof/>
            <w:snapToGrid w:val="0"/>
            <w:kern w:val="22"/>
            <w:sz w:val="20"/>
            <w:szCs w:val="20"/>
            <w:lang w:val="en-US"/>
          </w:rPr>
          <w:t>Climate Change A</w:t>
        </w:r>
        <w:r w:rsidRPr="008966A7">
          <w:rPr>
            <w:rStyle w:val="Hyperlink"/>
            <w:rFonts w:eastAsia="Calibri"/>
            <w:i/>
            <w:iCs/>
            <w:noProof/>
            <w:snapToGrid w:val="0"/>
            <w:kern w:val="22"/>
            <w:sz w:val="20"/>
            <w:szCs w:val="20"/>
            <w:lang w:val="en-US"/>
          </w:rPr>
          <w:t xml:space="preserve">daptation into </w:t>
        </w:r>
        <w:r w:rsidRPr="008966A7">
          <w:rPr>
            <w:rStyle w:val="Hyperlink"/>
            <w:rFonts w:eastAsia="Calibri"/>
            <w:bCs/>
            <w:i/>
            <w:iCs/>
            <w:noProof/>
            <w:snapToGrid w:val="0"/>
            <w:kern w:val="22"/>
            <w:sz w:val="20"/>
            <w:szCs w:val="20"/>
            <w:lang w:val="en-US"/>
          </w:rPr>
          <w:t>D</w:t>
        </w:r>
        <w:r w:rsidRPr="008966A7">
          <w:rPr>
            <w:rStyle w:val="Hyperlink"/>
            <w:rFonts w:eastAsia="Calibri"/>
            <w:i/>
            <w:iCs/>
            <w:noProof/>
            <w:snapToGrid w:val="0"/>
            <w:kern w:val="22"/>
            <w:sz w:val="20"/>
            <w:szCs w:val="20"/>
            <w:lang w:val="en-US"/>
          </w:rPr>
          <w:t xml:space="preserve">evelopment </w:t>
        </w:r>
        <w:r w:rsidRPr="008966A7">
          <w:rPr>
            <w:rStyle w:val="Hyperlink"/>
            <w:rFonts w:eastAsia="Calibri"/>
            <w:bCs/>
            <w:i/>
            <w:iCs/>
            <w:noProof/>
            <w:snapToGrid w:val="0"/>
            <w:kern w:val="22"/>
            <w:sz w:val="20"/>
            <w:szCs w:val="20"/>
            <w:lang w:val="en-US"/>
          </w:rPr>
          <w:t>P</w:t>
        </w:r>
        <w:r w:rsidRPr="008966A7">
          <w:rPr>
            <w:rStyle w:val="Hyperlink"/>
            <w:rFonts w:eastAsia="Calibri"/>
            <w:i/>
            <w:iCs/>
            <w:noProof/>
            <w:snapToGrid w:val="0"/>
            <w:kern w:val="22"/>
            <w:sz w:val="20"/>
            <w:szCs w:val="20"/>
            <w:lang w:val="en-US"/>
          </w:rPr>
          <w:t>lanning</w:t>
        </w:r>
        <w:r w:rsidRPr="008966A7">
          <w:rPr>
            <w:rStyle w:val="Hyperlink"/>
            <w:rFonts w:eastAsia="Calibri"/>
            <w:i/>
            <w:iCs/>
            <w:noProof/>
            <w:sz w:val="20"/>
            <w:szCs w:val="20"/>
            <w:lang w:val="en-US"/>
          </w:rPr>
          <w:t>: A Guide for</w:t>
        </w:r>
        <w:r w:rsidRPr="008966A7">
          <w:rPr>
            <w:rStyle w:val="Hyperlink"/>
            <w:rFonts w:eastAsia="Calibri"/>
            <w:noProof/>
            <w:sz w:val="20"/>
            <w:szCs w:val="20"/>
            <w:lang w:val="en-US"/>
          </w:rPr>
          <w:t xml:space="preserve"> </w:t>
        </w:r>
        <w:r w:rsidRPr="008966A7">
          <w:rPr>
            <w:rStyle w:val="Hyperlink"/>
            <w:rFonts w:eastAsia="Calibri"/>
            <w:i/>
            <w:iCs/>
            <w:noProof/>
            <w:sz w:val="20"/>
            <w:szCs w:val="20"/>
            <w:lang w:val="en-US"/>
          </w:rPr>
          <w:t>Practitioners</w:t>
        </w:r>
      </w:hyperlink>
      <w:r w:rsidRPr="008966A7">
        <w:rPr>
          <w:rFonts w:eastAsia="Calibri"/>
          <w:bCs/>
          <w:noProof/>
          <w:snapToGrid w:val="0"/>
          <w:kern w:val="22"/>
          <w:sz w:val="20"/>
          <w:szCs w:val="20"/>
          <w:lang w:val="en-US"/>
        </w:rPr>
        <w:t>.</w:t>
      </w:r>
    </w:p>
    <w:p w:rsidR="009F6935" w:rsidRPr="00E5707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L’identification de points d’accès appropriés est un élément clé de l’intégration des approches écosystémiques d’adaptation aux changements climatiques et de réduction des risques de catastrophe naturelle dans les cadres de politique générale et de planification, et dans les processus de prise de décisions concrets mais aussi souvent complexes. Les points d’accès, qui peuvent être dynamiques, dépendent des trois principaux aspects suivants :</w:t>
      </w:r>
    </w:p>
    <w:p w:rsidR="009F6935" w:rsidRPr="00E57075" w:rsidRDefault="009F6935" w:rsidP="00004EAF">
      <w:pPr>
        <w:numPr>
          <w:ilvl w:val="0"/>
          <w:numId w:val="59"/>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bookmarkStart w:id="310" w:name="_Toc525904243"/>
      <w:bookmarkStart w:id="311" w:name="_Toc525904402"/>
      <w:bookmarkStart w:id="312" w:name="_Toc525904646"/>
      <w:r>
        <w:rPr>
          <w:rFonts w:eastAsia="Calibri"/>
          <w:snapToGrid w:val="0"/>
          <w:kern w:val="22"/>
          <w:szCs w:val="22"/>
          <w:lang w:val="fr-FR"/>
        </w:rPr>
        <w:t>La connaissance des parties prenantes d’un problème, défi ou risque existant;</w:t>
      </w:r>
      <w:bookmarkEnd w:id="310"/>
      <w:bookmarkEnd w:id="311"/>
      <w:bookmarkEnd w:id="312"/>
    </w:p>
    <w:p w:rsidR="009F6935" w:rsidRPr="00E57075" w:rsidRDefault="009F6935" w:rsidP="00004EAF">
      <w:pPr>
        <w:numPr>
          <w:ilvl w:val="0"/>
          <w:numId w:val="59"/>
        </w:numPr>
        <w:suppressLineNumbers/>
        <w:suppressAutoHyphens/>
        <w:kinsoku w:val="0"/>
        <w:overflowPunct w:val="0"/>
        <w:autoSpaceDE w:val="0"/>
        <w:autoSpaceDN w:val="0"/>
        <w:adjustRightInd w:val="0"/>
        <w:snapToGrid w:val="0"/>
        <w:spacing w:after="120"/>
        <w:ind w:left="0" w:firstLine="720"/>
        <w:jc w:val="left"/>
        <w:outlineLvl w:val="0"/>
        <w:rPr>
          <w:rFonts w:eastAsia="Calibri"/>
          <w:snapToGrid w:val="0"/>
          <w:kern w:val="22"/>
          <w:szCs w:val="22"/>
          <w:lang w:val="fr-FR"/>
        </w:rPr>
      </w:pPr>
      <w:bookmarkStart w:id="313" w:name="_Toc525904244"/>
      <w:bookmarkStart w:id="314" w:name="_Toc525904403"/>
      <w:bookmarkStart w:id="315" w:name="_Toc525904647"/>
      <w:r>
        <w:rPr>
          <w:rFonts w:eastAsia="Calibri"/>
          <w:snapToGrid w:val="0"/>
          <w:kern w:val="22"/>
          <w:szCs w:val="22"/>
          <w:lang w:val="fr-FR"/>
        </w:rPr>
        <w:lastRenderedPageBreak/>
        <w:t>Les solutions, propositions, outils et connaissances disponibles;</w:t>
      </w:r>
      <w:bookmarkEnd w:id="313"/>
      <w:bookmarkEnd w:id="314"/>
      <w:bookmarkEnd w:id="315"/>
    </w:p>
    <w:p w:rsidR="009F6935" w:rsidRPr="00E57075" w:rsidRDefault="009F6935" w:rsidP="00004EAF">
      <w:pPr>
        <w:numPr>
          <w:ilvl w:val="0"/>
          <w:numId w:val="59"/>
        </w:numPr>
        <w:suppressLineNumbers/>
        <w:suppressAutoHyphens/>
        <w:kinsoku w:val="0"/>
        <w:overflowPunct w:val="0"/>
        <w:autoSpaceDE w:val="0"/>
        <w:autoSpaceDN w:val="0"/>
        <w:adjustRightInd w:val="0"/>
        <w:snapToGrid w:val="0"/>
        <w:spacing w:after="240"/>
        <w:ind w:left="0" w:firstLine="720"/>
        <w:jc w:val="left"/>
        <w:outlineLvl w:val="0"/>
        <w:rPr>
          <w:rFonts w:eastAsia="Calibri"/>
          <w:snapToGrid w:val="0"/>
          <w:kern w:val="22"/>
          <w:szCs w:val="22"/>
          <w:lang w:val="fr-FR"/>
        </w:rPr>
      </w:pPr>
      <w:bookmarkStart w:id="316" w:name="_Toc525904245"/>
      <w:bookmarkStart w:id="317" w:name="_Toc525904404"/>
      <w:bookmarkStart w:id="318" w:name="_Toc525904648"/>
      <w:r>
        <w:rPr>
          <w:rFonts w:eastAsia="Calibri"/>
          <w:snapToGrid w:val="0"/>
          <w:kern w:val="22"/>
          <w:szCs w:val="22"/>
          <w:lang w:val="fr-FR"/>
        </w:rPr>
        <w:t>La volonté politique d’agir, les mandats et les rôles.</w:t>
      </w:r>
      <w:bookmarkEnd w:id="316"/>
      <w:bookmarkEnd w:id="317"/>
      <w:bookmarkEnd w:id="318"/>
    </w:p>
    <w:p w:rsidR="009F6935" w:rsidRPr="008966A7" w:rsidRDefault="009F6935" w:rsidP="009F6935">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Si ces trois aspects sont réunis de manière favorable, il y a un élan en faveur d’un changement de politique. Dans les cas de catastrophe naturelle et de situation d’urgence, on constate en général un esprit d’ouverture à l’égard des besoins des parties prenantes, des approches et des outils innovants, des recherches conjointes des meilleures solutions disponibles, et une volonté d’investir et de reconstruire en mieux. Il s’agit là d’occasions importantes d’inclure des aspects des approches écosystémiques d’adaptation aux changements climatiques ou de réduction des risques de catastrophe naturelle fondée</w:t>
      </w:r>
      <w:r w:rsidRPr="00E57075">
        <w:rPr>
          <w:rFonts w:eastAsia="Calibri"/>
          <w:snapToGrid w:val="0"/>
          <w:kern w:val="22"/>
          <w:szCs w:val="22"/>
          <w:lang w:val="fr-FR"/>
        </w:rPr>
        <w:t xml:space="preserve">. </w:t>
      </w:r>
      <w:r>
        <w:rPr>
          <w:rFonts w:eastAsia="Calibri"/>
          <w:bCs/>
          <w:snapToGrid w:val="0"/>
          <w:kern w:val="22"/>
          <w:szCs w:val="22"/>
          <w:lang w:val="fr-FR"/>
        </w:rPr>
        <w:t>Des points d’accès peuvent être identifiés à tous les niveaux de gouvernement et peuvent impliquer différents niveaux de gouvernance ou une collaboration avec le secteur privé.</w:t>
      </w:r>
    </w:p>
    <w:p w:rsidR="009F6935" w:rsidRPr="00E5707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Dans l’ensemble, les points d’accès de l’intégration se trouvent dans :</w:t>
      </w:r>
    </w:p>
    <w:p w:rsidR="009F6935" w:rsidRPr="00E57075" w:rsidRDefault="009F6935" w:rsidP="00004EAF">
      <w:pPr>
        <w:numPr>
          <w:ilvl w:val="0"/>
          <w:numId w:val="6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19" w:name="_Toc525904246"/>
      <w:bookmarkStart w:id="320" w:name="_Toc525904405"/>
      <w:bookmarkStart w:id="321" w:name="_Toc525904649"/>
      <w:r>
        <w:rPr>
          <w:rFonts w:eastAsia="Calibri"/>
          <w:snapToGrid w:val="0"/>
          <w:kern w:val="22"/>
          <w:szCs w:val="22"/>
          <w:lang w:val="fr-FR"/>
        </w:rPr>
        <w:t>L’élaboration ou la révision de politiques ou de plans, par exemple les plans de développement ou les plans sectoriels, les contributions déterminées au niveau national, les plans nationaux d’adaptation, les stratégies et plans d’action nationaux pour la diversité biologique, les évaluations environnementales stratégiques, les plans d’aménagement du territoire;</w:t>
      </w:r>
      <w:bookmarkEnd w:id="319"/>
      <w:bookmarkEnd w:id="320"/>
      <w:bookmarkEnd w:id="321"/>
    </w:p>
    <w:p w:rsidR="009F6935" w:rsidRPr="00E57075" w:rsidRDefault="009F6935" w:rsidP="00004EAF">
      <w:pPr>
        <w:numPr>
          <w:ilvl w:val="0"/>
          <w:numId w:val="6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22" w:name="_Toc525904247"/>
      <w:bookmarkStart w:id="323" w:name="_Toc525904406"/>
      <w:bookmarkStart w:id="324" w:name="_Toc525904650"/>
      <w:r>
        <w:rPr>
          <w:rFonts w:eastAsia="Calibri"/>
          <w:snapToGrid w:val="0"/>
          <w:kern w:val="22"/>
          <w:szCs w:val="22"/>
          <w:lang w:val="fr-FR"/>
        </w:rPr>
        <w:t>Les instruments de réglementation et de contrôle, par exemple, les lois et normes relatives aux changements climatiques et à l’environnement, les évaluations de l’impact sur l’environnement et la gestion des risques de catastrophe naturelle;</w:t>
      </w:r>
      <w:bookmarkEnd w:id="322"/>
      <w:bookmarkEnd w:id="323"/>
      <w:bookmarkEnd w:id="324"/>
    </w:p>
    <w:p w:rsidR="009F6935" w:rsidRPr="00E57075" w:rsidRDefault="009F6935" w:rsidP="00004EAF">
      <w:pPr>
        <w:numPr>
          <w:ilvl w:val="0"/>
          <w:numId w:val="6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25" w:name="_Toc525904248"/>
      <w:bookmarkStart w:id="326" w:name="_Toc525904407"/>
      <w:bookmarkStart w:id="327" w:name="_Toc525904651"/>
      <w:r>
        <w:rPr>
          <w:rFonts w:eastAsia="Calibri"/>
          <w:snapToGrid w:val="0"/>
          <w:kern w:val="22"/>
          <w:szCs w:val="22"/>
          <w:lang w:val="fr-FR"/>
        </w:rPr>
        <w:t>Les instruments économiques et fiscaux, par exemple, les programmes d’investissement, les fonds, les subventions, les impôts, les frais;</w:t>
      </w:r>
      <w:bookmarkEnd w:id="325"/>
      <w:bookmarkEnd w:id="326"/>
      <w:bookmarkEnd w:id="327"/>
    </w:p>
    <w:p w:rsidR="009F6935" w:rsidRPr="00E57075" w:rsidRDefault="009F6935" w:rsidP="00004EAF">
      <w:pPr>
        <w:numPr>
          <w:ilvl w:val="0"/>
          <w:numId w:val="6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28" w:name="_Toc525904249"/>
      <w:bookmarkStart w:id="329" w:name="_Toc525904408"/>
      <w:bookmarkStart w:id="330" w:name="_Toc525904652"/>
      <w:r>
        <w:rPr>
          <w:rFonts w:eastAsia="Calibri"/>
          <w:snapToGrid w:val="0"/>
          <w:kern w:val="22"/>
          <w:szCs w:val="22"/>
          <w:lang w:val="fr-FR"/>
        </w:rPr>
        <w:t>Les mesures d’éducation et de sensibilisation, par exemple l’éducation environnementale, les programmes de vulgarisation, les carrières techniques et les programmes universitaires;</w:t>
      </w:r>
      <w:bookmarkEnd w:id="328"/>
      <w:bookmarkEnd w:id="329"/>
      <w:bookmarkEnd w:id="330"/>
    </w:p>
    <w:p w:rsidR="009F6935" w:rsidRDefault="009F6935" w:rsidP="00004EAF">
      <w:pPr>
        <w:numPr>
          <w:ilvl w:val="0"/>
          <w:numId w:val="6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31" w:name="_Toc525904250"/>
      <w:bookmarkStart w:id="332" w:name="_Toc525904409"/>
      <w:bookmarkStart w:id="333" w:name="_Toc525904653"/>
      <w:r>
        <w:rPr>
          <w:rFonts w:eastAsia="Calibri"/>
          <w:snapToGrid w:val="0"/>
          <w:kern w:val="22"/>
          <w:szCs w:val="22"/>
          <w:lang w:val="fr-FR"/>
        </w:rPr>
        <w:t>Les mesures volontaires, par exemple, les accords environnementaux avec des propriétaires fonciers, ou la définition de normes;</w:t>
      </w:r>
      <w:bookmarkEnd w:id="331"/>
      <w:bookmarkEnd w:id="332"/>
      <w:bookmarkEnd w:id="333"/>
    </w:p>
    <w:p w:rsidR="009F6935" w:rsidRDefault="009F6935" w:rsidP="00004EAF">
      <w:pPr>
        <w:numPr>
          <w:ilvl w:val="0"/>
          <w:numId w:val="60"/>
        </w:numPr>
        <w:suppressLineNumbers/>
        <w:suppressAutoHyphens/>
        <w:kinsoku w:val="0"/>
        <w:overflowPunct w:val="0"/>
        <w:autoSpaceDE w:val="0"/>
        <w:autoSpaceDN w:val="0"/>
        <w:adjustRightInd w:val="0"/>
        <w:snapToGrid w:val="0"/>
        <w:spacing w:after="120"/>
        <w:ind w:left="0" w:firstLine="720"/>
        <w:outlineLvl w:val="0"/>
        <w:rPr>
          <w:rFonts w:eastAsia="Calibri"/>
          <w:snapToGrid w:val="0"/>
          <w:kern w:val="22"/>
          <w:szCs w:val="22"/>
          <w:lang w:val="fr-FR"/>
        </w:rPr>
      </w:pPr>
      <w:bookmarkStart w:id="334" w:name="_Toc525904251"/>
      <w:bookmarkStart w:id="335" w:name="_Toc525904410"/>
      <w:bookmarkStart w:id="336" w:name="_Toc525904654"/>
      <w:r>
        <w:rPr>
          <w:rFonts w:eastAsia="Calibri"/>
          <w:snapToGrid w:val="0"/>
          <w:kern w:val="22"/>
          <w:szCs w:val="22"/>
          <w:lang w:val="fr-FR"/>
        </w:rPr>
        <w:t>Des mesures propres à assurer le consentement préalable, libre et éclairé des peuples autochtones, selon qu’il convient;</w:t>
      </w:r>
      <w:bookmarkEnd w:id="334"/>
      <w:bookmarkEnd w:id="335"/>
      <w:bookmarkEnd w:id="336"/>
    </w:p>
    <w:p w:rsidR="009F6935" w:rsidRPr="00E57075" w:rsidRDefault="009F6935" w:rsidP="00004EAF">
      <w:pPr>
        <w:numPr>
          <w:ilvl w:val="0"/>
          <w:numId w:val="60"/>
        </w:numPr>
        <w:suppressLineNumbers/>
        <w:suppressAutoHyphens/>
        <w:kinsoku w:val="0"/>
        <w:overflowPunct w:val="0"/>
        <w:autoSpaceDE w:val="0"/>
        <w:autoSpaceDN w:val="0"/>
        <w:adjustRightInd w:val="0"/>
        <w:snapToGrid w:val="0"/>
        <w:spacing w:after="240"/>
        <w:ind w:left="0" w:firstLine="720"/>
        <w:outlineLvl w:val="0"/>
        <w:rPr>
          <w:rFonts w:eastAsia="Calibri"/>
          <w:snapToGrid w:val="0"/>
          <w:kern w:val="22"/>
          <w:szCs w:val="22"/>
          <w:lang w:val="fr-FR"/>
        </w:rPr>
      </w:pPr>
      <w:bookmarkStart w:id="337" w:name="_Toc525904252"/>
      <w:bookmarkStart w:id="338" w:name="_Toc525904411"/>
      <w:bookmarkStart w:id="339" w:name="_Toc525904655"/>
      <w:r>
        <w:rPr>
          <w:rFonts w:eastAsia="Calibri"/>
          <w:snapToGrid w:val="0"/>
          <w:kern w:val="22"/>
          <w:szCs w:val="22"/>
          <w:lang w:val="fr-FR"/>
        </w:rPr>
        <w:t>Des partenariats qui permettent d’assurer une participation pleine et effective des organisations de la société civile, des peuples autochtones et communautés locales, des femmes et des jeunes.</w:t>
      </w:r>
      <w:bookmarkEnd w:id="337"/>
      <w:bookmarkEnd w:id="338"/>
      <w:bookmarkEnd w:id="339"/>
    </w:p>
    <w:p w:rsidR="009F6935" w:rsidRPr="00E5707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Comme souligné dans l’ensemble du processus de planification et de mise en œuvre des approches écosystémiques d’adaptation aux changements climatiques et/ou de réduction des risques de catastrophe naturelle, la sensibilisation des secteurs pertinents est essentielle pour faire mieux connaître les approches écosystémiques d’adaptation aux changements climatiques et de réduction des risques de catastrophe naturelle et les intégrer dans les plans sectoriels et la planification au niveau national, et pour encourager une collaboration intersectorielle dans une mise en œuvre conjointe.</w:t>
      </w:r>
    </w:p>
    <w:p w:rsidR="009F6935" w:rsidRPr="00E57075" w:rsidRDefault="009F6935" w:rsidP="009F6935">
      <w:pPr>
        <w:pStyle w:val="ListParagraph"/>
        <w:ind w:left="0"/>
        <w:rPr>
          <w:b/>
          <w:snapToGrid w:val="0"/>
          <w:lang w:val="fr-FR"/>
        </w:rPr>
      </w:pPr>
    </w:p>
    <w:p w:rsidR="009F6935" w:rsidRPr="00E57075" w:rsidRDefault="009F6935" w:rsidP="009F6935">
      <w:pPr>
        <w:suppressLineNumbers/>
        <w:suppressAutoHyphens/>
        <w:kinsoku w:val="0"/>
        <w:overflowPunct w:val="0"/>
        <w:autoSpaceDE w:val="0"/>
        <w:autoSpaceDN w:val="0"/>
        <w:adjustRightInd w:val="0"/>
        <w:snapToGrid w:val="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rPr>
          <w:rFonts w:eastAsia="Calibri"/>
          <w:snapToGrid w:val="0"/>
          <w:kern w:val="22"/>
          <w:szCs w:val="22"/>
          <w:lang w:val="fr-FR"/>
        </w:rPr>
      </w:pPr>
      <w:r w:rsidRPr="00E57075">
        <w:rPr>
          <w:rFonts w:eastAsia="Calibri"/>
          <w:noProof/>
          <w:snapToGrid w:val="0"/>
          <w:kern w:val="22"/>
          <w:szCs w:val="22"/>
          <w:lang w:val="fr-FR" w:eastAsia="fr-FR"/>
        </w:rPr>
        <w:lastRenderedPageBreak/>
        <mc:AlternateContent>
          <mc:Choice Requires="wps">
            <w:drawing>
              <wp:inline distT="0" distB="0" distL="0" distR="0" wp14:anchorId="16973A54" wp14:editId="42A575FE">
                <wp:extent cx="5924550" cy="6632811"/>
                <wp:effectExtent l="0" t="0" r="19050" b="15875"/>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632811"/>
                        </a:xfrm>
                        <a:prstGeom prst="rect">
                          <a:avLst/>
                        </a:prstGeom>
                        <a:noFill/>
                        <a:ln w="9525">
                          <a:solidFill>
                            <a:sysClr val="windowText" lastClr="000000">
                              <a:lumMod val="65000"/>
                              <a:lumOff val="35000"/>
                            </a:sysClr>
                          </a:solidFill>
                          <a:miter lim="800000"/>
                          <a:headEnd/>
                          <a:tailEnd/>
                        </a:ln>
                      </wps:spPr>
                      <wps:txbx>
                        <w:txbxContent>
                          <w:p w:rsidR="00E62BFB" w:rsidRPr="00E57075" w:rsidRDefault="00E62BFB" w:rsidP="009F6935">
                            <w:pPr>
                              <w:spacing w:after="120"/>
                              <w:ind w:left="1276" w:hanging="1276"/>
                              <w:rPr>
                                <w:rFonts w:ascii="Century Gothic" w:hAnsi="Century Gothic"/>
                                <w:b/>
                                <w:bCs/>
                                <w:color w:val="4F81BD"/>
                                <w:lang w:val="fr-FR"/>
                              </w:rPr>
                            </w:pPr>
                            <w:r>
                              <w:rPr>
                                <w:rFonts w:ascii="Century Gothic" w:hAnsi="Century Gothic"/>
                                <w:b/>
                                <w:bCs/>
                                <w:color w:val="4F81BD"/>
                                <w:lang w:val="fr-FR"/>
                              </w:rPr>
                              <w:t>Encadré</w:t>
                            </w:r>
                            <w:r w:rsidRPr="00E57075">
                              <w:rPr>
                                <w:rFonts w:ascii="Century Gothic" w:hAnsi="Century Gothic"/>
                                <w:b/>
                                <w:bCs/>
                                <w:color w:val="4F81BD"/>
                                <w:lang w:val="fr-FR"/>
                              </w:rPr>
                              <w:t xml:space="preserve"> 1</w:t>
                            </w:r>
                            <w:r>
                              <w:rPr>
                                <w:rFonts w:ascii="Century Gothic" w:hAnsi="Century Gothic"/>
                                <w:b/>
                                <w:color w:val="4F81BD"/>
                                <w:lang w:val="fr-FR"/>
                              </w:rPr>
                              <w:t>. Possibilités d’intégration des approches écosystémiques d’adaptation aux changements climatiques et de réduction des risques de catastrophe naturelle dans les priorités en matière de financement</w:t>
                            </w:r>
                          </w:p>
                          <w:p w:rsidR="00E62BFB" w:rsidRPr="00E57075" w:rsidRDefault="00E62BFB" w:rsidP="009F6935">
                            <w:pPr>
                              <w:spacing w:after="60"/>
                              <w:rPr>
                                <w:rFonts w:eastAsia="BatangChe"/>
                                <w:sz w:val="20"/>
                                <w:szCs w:val="20"/>
                                <w:lang w:val="fr-FR"/>
                              </w:rPr>
                            </w:pPr>
                            <w:r>
                              <w:rPr>
                                <w:rFonts w:eastAsia="BatangChe"/>
                                <w:sz w:val="20"/>
                                <w:szCs w:val="20"/>
                                <w:lang w:val="fr-FR"/>
                              </w:rPr>
                              <w:t>Les approches écosystémiques d’adaptation aux changements climatiques et de réduction des risques de catastrophe naturelle contribuent à de nombreux objectifs, notamment le développement, la réduction des risques, l’adaptation, l’atténuation, la sécurité alimentaire et hydrique, et à assurer des investissements qui tiennent compte du risque. Les approches intersectorielles et transdisciplinaires d’adaptation aux changements climatiques et de réduction des risques de catastrophe naturelle fondées sur les écosystèmes, et la réalisation potentielle de nombreux avantages offrent des opportunités d’attirer et d’augmenter le financement.</w:t>
                            </w:r>
                            <w:r w:rsidRPr="00E57075">
                              <w:rPr>
                                <w:rFonts w:eastAsia="BatangChe"/>
                                <w:sz w:val="20"/>
                                <w:szCs w:val="20"/>
                                <w:lang w:val="fr-FR"/>
                              </w:rPr>
                              <w:t xml:space="preserve"> </w:t>
                            </w:r>
                          </w:p>
                          <w:p w:rsidR="00E62BFB" w:rsidRPr="00E57075"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Favoris</w:t>
                            </w:r>
                            <w:r w:rsidRPr="00E57075">
                              <w:rPr>
                                <w:rFonts w:eastAsia="BatangChe"/>
                                <w:sz w:val="20"/>
                                <w:szCs w:val="20"/>
                                <w:lang w:val="fr-FR"/>
                              </w:rPr>
                              <w:t>e</w:t>
                            </w:r>
                            <w:r>
                              <w:rPr>
                                <w:rFonts w:eastAsia="BatangChe"/>
                                <w:sz w:val="20"/>
                                <w:szCs w:val="20"/>
                                <w:lang w:val="fr-FR"/>
                              </w:rPr>
                              <w:t>r des nouvelles mesures d’incitation pour investir dans la gestion durable des écosystèmes, qui soulignent que les écosystèmes font partie de la planification de l’adaptation aux changements climatiques et de la réduction des risques de catastrophe naturelle, par exemple, en élaborant des programmes d’incitation pour que les agriculteurs emploient des pratiques qui contribuent au maintien de la résilience des écosystèmes, tels que l’agroforesterie et l’agriculture de conservation.</w:t>
                            </w:r>
                          </w:p>
                          <w:p w:rsidR="00E62BFB" w:rsidRPr="00E57075"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Mobiliser des nouveaux investissements pour les approches écosystémiques d’adaptation aux changements climatiques et de réduction des risques de catastrophe naturelle, en adaptant les portefeuilles d’investissement existant au changement climatique.</w:t>
                            </w:r>
                          </w:p>
                          <w:p w:rsidR="00E62BFB" w:rsidRPr="00E57075"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contribue à encourager et augmenter les investissements dans approches écosystémiques d’adaptation aux changements climatiques et de réduction des risques de catastrophe naturelle, et à identifier les partenariats public-privé</w:t>
                            </w:r>
                            <w:r w:rsidRPr="00E57075">
                              <w:rPr>
                                <w:rFonts w:eastAsia="BatangChe"/>
                                <w:sz w:val="20"/>
                                <w:szCs w:val="20"/>
                                <w:lang w:val="fr-FR"/>
                              </w:rPr>
                              <w:t>.</w:t>
                            </w:r>
                          </w:p>
                          <w:p w:rsidR="00E62BFB" w:rsidRPr="00786113"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Assurer la participation</w:t>
                            </w:r>
                            <w:r w:rsidRPr="00786113">
                              <w:rPr>
                                <w:rFonts w:eastAsia="BatangChe"/>
                                <w:sz w:val="20"/>
                                <w:szCs w:val="20"/>
                                <w:lang w:val="fr-FR"/>
                              </w:rPr>
                              <w:t xml:space="preserve"> des organismes gouvernementaux de réglementation pour appuyer et approuver les investis</w:t>
                            </w:r>
                            <w:r>
                              <w:rPr>
                                <w:rFonts w:eastAsia="BatangChe"/>
                                <w:sz w:val="20"/>
                                <w:szCs w:val="20"/>
                                <w:lang w:val="fr-FR"/>
                              </w:rPr>
                              <w:t xml:space="preserve">sements du secteur privé dans les </w:t>
                            </w:r>
                            <w:r w:rsidRPr="00786113">
                              <w:rPr>
                                <w:rFonts w:eastAsia="BatangChe"/>
                                <w:sz w:val="20"/>
                                <w:szCs w:val="20"/>
                                <w:lang w:val="fr-FR"/>
                              </w:rPr>
                              <w:t>infrastructure</w:t>
                            </w:r>
                            <w:r>
                              <w:rPr>
                                <w:rFonts w:eastAsia="BatangChe"/>
                                <w:sz w:val="20"/>
                                <w:szCs w:val="20"/>
                                <w:lang w:val="fr-FR"/>
                              </w:rPr>
                              <w:t>s</w:t>
                            </w:r>
                            <w:r w:rsidRPr="00786113">
                              <w:rPr>
                                <w:rFonts w:eastAsia="BatangChe"/>
                                <w:sz w:val="20"/>
                                <w:szCs w:val="20"/>
                                <w:lang w:val="fr-FR"/>
                              </w:rPr>
                              <w:t xml:space="preserve"> naturelle</w:t>
                            </w:r>
                            <w:r>
                              <w:rPr>
                                <w:rFonts w:eastAsia="BatangChe"/>
                                <w:sz w:val="20"/>
                                <w:szCs w:val="20"/>
                                <w:lang w:val="fr-FR"/>
                              </w:rPr>
                              <w:t>s et dans les mesures d</w:t>
                            </w:r>
                            <w:r w:rsidRPr="00786113">
                              <w:rPr>
                                <w:rFonts w:eastAsia="BatangChe"/>
                                <w:sz w:val="20"/>
                                <w:szCs w:val="20"/>
                                <w:lang w:val="fr-FR"/>
                              </w:rPr>
                              <w:t>’</w:t>
                            </w:r>
                            <w:r>
                              <w:rPr>
                                <w:rFonts w:eastAsia="BatangChe"/>
                                <w:sz w:val="20"/>
                                <w:szCs w:val="20"/>
                                <w:lang w:val="fr-FR"/>
                              </w:rPr>
                              <w:t xml:space="preserve">adaptation aux changements climatiques </w:t>
                            </w:r>
                            <w:r w:rsidRPr="00786113">
                              <w:rPr>
                                <w:rFonts w:eastAsia="BatangChe"/>
                                <w:sz w:val="20"/>
                                <w:szCs w:val="20"/>
                                <w:lang w:val="fr-FR"/>
                              </w:rPr>
                              <w:t xml:space="preserve">et </w:t>
                            </w:r>
                            <w:r>
                              <w:rPr>
                                <w:rFonts w:eastAsia="BatangChe"/>
                                <w:sz w:val="20"/>
                                <w:szCs w:val="20"/>
                                <w:lang w:val="fr-FR"/>
                              </w:rPr>
                              <w:t>de réduction des risques de catastrophe naturelle fondées sur les écosystèmes</w:t>
                            </w:r>
                            <w:r w:rsidRPr="00786113">
                              <w:rPr>
                                <w:rFonts w:eastAsia="BatangChe"/>
                                <w:sz w:val="20"/>
                                <w:szCs w:val="20"/>
                                <w:lang w:val="fr-FR"/>
                              </w:rPr>
                              <w:t>.</w:t>
                            </w:r>
                          </w:p>
                          <w:p w:rsidR="00E62BFB" w:rsidRPr="00786113" w:rsidRDefault="00E62BFB" w:rsidP="00004EAF">
                            <w:pPr>
                              <w:pStyle w:val="ListParagraph"/>
                              <w:numPr>
                                <w:ilvl w:val="0"/>
                                <w:numId w:val="53"/>
                              </w:numPr>
                              <w:spacing w:after="60"/>
                              <w:contextualSpacing w:val="0"/>
                              <w:jc w:val="left"/>
                              <w:rPr>
                                <w:rFonts w:eastAsia="BatangChe"/>
                                <w:sz w:val="20"/>
                                <w:szCs w:val="20"/>
                                <w:lang w:val="fr-FR"/>
                              </w:rPr>
                            </w:pPr>
                            <w:r w:rsidRPr="00786113">
                              <w:rPr>
                                <w:rFonts w:eastAsia="BatangChe"/>
                                <w:sz w:val="20"/>
                                <w:szCs w:val="20"/>
                                <w:lang w:val="fr-FR"/>
                              </w:rPr>
                              <w:t>Identifier des partenariats avec des associations industrie</w:t>
                            </w:r>
                            <w:r>
                              <w:rPr>
                                <w:rFonts w:eastAsia="BatangChe"/>
                                <w:sz w:val="20"/>
                                <w:szCs w:val="20"/>
                                <w:lang w:val="fr-FR"/>
                              </w:rPr>
                              <w:t>lles qui peuvent aider à identifier</w:t>
                            </w:r>
                            <w:r w:rsidRPr="00786113">
                              <w:rPr>
                                <w:rFonts w:eastAsia="BatangChe"/>
                                <w:sz w:val="20"/>
                                <w:szCs w:val="20"/>
                                <w:lang w:val="fr-FR"/>
                              </w:rPr>
                              <w:t xml:space="preserve"> les risques et les effets du </w:t>
                            </w:r>
                            <w:r>
                              <w:rPr>
                                <w:rFonts w:eastAsia="BatangChe"/>
                                <w:sz w:val="20"/>
                                <w:szCs w:val="20"/>
                                <w:lang w:val="fr-FR"/>
                              </w:rPr>
                              <w:t xml:space="preserve">réchauffement </w:t>
                            </w:r>
                            <w:r w:rsidRPr="00786113">
                              <w:rPr>
                                <w:rFonts w:eastAsia="BatangChe"/>
                                <w:sz w:val="20"/>
                                <w:szCs w:val="20"/>
                                <w:lang w:val="fr-FR"/>
                              </w:rPr>
                              <w:t>climat</w:t>
                            </w:r>
                            <w:r>
                              <w:rPr>
                                <w:rFonts w:eastAsia="BatangChe"/>
                                <w:sz w:val="20"/>
                                <w:szCs w:val="20"/>
                                <w:lang w:val="fr-FR"/>
                              </w:rPr>
                              <w:t>ique</w:t>
                            </w:r>
                            <w:r w:rsidRPr="00786113">
                              <w:rPr>
                                <w:rFonts w:eastAsia="BatangChe"/>
                                <w:sz w:val="20"/>
                                <w:szCs w:val="20"/>
                                <w:lang w:val="fr-FR"/>
                              </w:rPr>
                              <w: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r>
                              <w:rPr>
                                <w:rFonts w:eastAsia="BatangChe"/>
                                <w:sz w:val="20"/>
                                <w:szCs w:val="20"/>
                                <w:lang w:val="fr-FR"/>
                              </w:rPr>
                              <w:t>adaptation aux changements climatiques et de réduction des risques de catastrophe naturelle fondées sur les écosystèmes,</w:t>
                            </w:r>
                            <w:r w:rsidRPr="00786113">
                              <w:rPr>
                                <w:rFonts w:eastAsia="BatangChe"/>
                                <w:sz w:val="20"/>
                                <w:szCs w:val="20"/>
                                <w:lang w:val="fr-FR"/>
                              </w:rPr>
                              <w:t xml:space="preserve"> telles que la restauration des écosystèmes.</w:t>
                            </w:r>
                          </w:p>
                          <w:p w:rsidR="00E62BFB" w:rsidRPr="00786113" w:rsidRDefault="00E62BFB" w:rsidP="00004EAF">
                            <w:pPr>
                              <w:pStyle w:val="ListParagraph"/>
                              <w:numPr>
                                <w:ilvl w:val="0"/>
                                <w:numId w:val="53"/>
                              </w:numPr>
                              <w:spacing w:after="60"/>
                              <w:contextualSpacing w:val="0"/>
                              <w:jc w:val="left"/>
                              <w:rPr>
                                <w:rFonts w:eastAsia="BatangChe"/>
                                <w:sz w:val="20"/>
                                <w:szCs w:val="20"/>
                                <w:lang w:val="fr-FR"/>
                              </w:rPr>
                            </w:pPr>
                            <w:r w:rsidRPr="00786113">
                              <w:rPr>
                                <w:rFonts w:eastAsia="BatangChe"/>
                                <w:sz w:val="20"/>
                                <w:szCs w:val="20"/>
                                <w:lang w:val="fr-FR"/>
                              </w:rPr>
                              <w:t>Crée</w:t>
                            </w:r>
                            <w:r>
                              <w:rPr>
                                <w:rFonts w:eastAsia="BatangChe"/>
                                <w:sz w:val="20"/>
                                <w:szCs w:val="20"/>
                                <w:lang w:val="fr-FR"/>
                              </w:rPr>
                              <w:t>r des structures d’incitation au niveau national pour les approches écosystémiques d’adaptation aux changements climatiques</w:t>
                            </w:r>
                            <w:r w:rsidRPr="00786113">
                              <w:rPr>
                                <w:rFonts w:eastAsia="BatangChe"/>
                                <w:sz w:val="20"/>
                                <w:szCs w:val="20"/>
                                <w:lang w:val="fr-FR"/>
                              </w:rPr>
                              <w:t xml:space="preserve"> et </w:t>
                            </w:r>
                            <w:r>
                              <w:rPr>
                                <w:rFonts w:eastAsia="BatangChe"/>
                                <w:sz w:val="20"/>
                                <w:szCs w:val="20"/>
                                <w:lang w:val="fr-FR"/>
                              </w:rPr>
                              <w:t>de réduction des risques de catastrophe naturelle</w:t>
                            </w:r>
                            <w:r w:rsidRPr="00786113">
                              <w:rPr>
                                <w:rFonts w:eastAsia="BatangChe"/>
                                <w:sz w:val="20"/>
                                <w:szCs w:val="20"/>
                                <w:lang w:val="fr-FR"/>
                              </w:rPr>
                              <w:t>, en particulier pour les propriétaires fonciers et les entreprises privées.</w:t>
                            </w:r>
                          </w:p>
                          <w:p w:rsidR="00E62BFB" w:rsidRPr="00E57075" w:rsidRDefault="00E62BFB" w:rsidP="009F6935">
                            <w:pPr>
                              <w:spacing w:after="60"/>
                              <w:rPr>
                                <w:rFonts w:eastAsia="BatangChe"/>
                                <w:sz w:val="20"/>
                                <w:szCs w:val="20"/>
                                <w:lang w:val="fr-FR"/>
                              </w:rPr>
                            </w:pPr>
                            <w:r w:rsidRPr="00786113">
                              <w:rPr>
                                <w:rFonts w:eastAsia="BatangChe"/>
                                <w:sz w:val="20"/>
                                <w:szCs w:val="20"/>
                                <w:lang w:val="fr-FR"/>
                              </w:rPr>
                              <w:t xml:space="preserve">L’intégration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dans les priorités </w:t>
                            </w:r>
                            <w:r>
                              <w:rPr>
                                <w:rFonts w:eastAsia="BatangChe"/>
                                <w:sz w:val="20"/>
                                <w:szCs w:val="20"/>
                                <w:lang w:val="fr-FR"/>
                              </w:rPr>
                              <w:t>en matière de financement doit faire en sorte</w:t>
                            </w:r>
                            <w:r w:rsidRPr="00786113">
                              <w:rPr>
                                <w:rFonts w:eastAsia="BatangChe"/>
                                <w:sz w:val="20"/>
                                <w:szCs w:val="20"/>
                                <w:lang w:val="fr-FR"/>
                              </w:rPr>
                              <w:t xml:space="preserve"> que les initiatives respectent les principes et les garanties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ave</w:t>
                            </w:r>
                            <w:r>
                              <w:rPr>
                                <w:rFonts w:eastAsia="BatangChe"/>
                                <w:sz w:val="20"/>
                                <w:szCs w:val="20"/>
                                <w:lang w:val="fr-FR"/>
                              </w:rPr>
                              <w:t>c l’intention claire de parvenir à</w:t>
                            </w:r>
                            <w:r w:rsidRPr="00786113">
                              <w:rPr>
                                <w:rFonts w:eastAsia="BatangChe"/>
                                <w:sz w:val="20"/>
                                <w:szCs w:val="20"/>
                                <w:lang w:val="fr-FR"/>
                              </w:rPr>
                              <w:t xml:space="preserve"> une </w:t>
                            </w:r>
                            <w:r>
                              <w:rPr>
                                <w:rFonts w:eastAsia="BatangChe"/>
                                <w:sz w:val="20"/>
                                <w:szCs w:val="20"/>
                                <w:lang w:val="fr-FR"/>
                              </w:rPr>
                              <w:t xml:space="preserve">plus grande </w:t>
                            </w:r>
                            <w:r w:rsidRPr="00786113">
                              <w:rPr>
                                <w:rFonts w:eastAsia="BatangChe"/>
                                <w:sz w:val="20"/>
                                <w:szCs w:val="20"/>
                                <w:lang w:val="fr-FR"/>
                              </w:rPr>
                              <w:t>rés</w:t>
                            </w:r>
                            <w:r>
                              <w:rPr>
                                <w:rFonts w:eastAsia="BatangChe"/>
                                <w:sz w:val="20"/>
                                <w:szCs w:val="20"/>
                                <w:lang w:val="fr-FR"/>
                              </w:rPr>
                              <w:t xml:space="preserve">ilience socio-écologique </w:t>
                            </w:r>
                            <w:r w:rsidRPr="00786113">
                              <w:rPr>
                                <w:rFonts w:eastAsia="BatangChe"/>
                                <w:sz w:val="20"/>
                                <w:szCs w:val="20"/>
                                <w:lang w:val="fr-FR"/>
                              </w:rPr>
                              <w:t xml:space="preserve">face aux effets du changement climatique et aux </w:t>
                            </w:r>
                            <w:r>
                              <w:rPr>
                                <w:rFonts w:eastAsia="BatangChe"/>
                                <w:sz w:val="20"/>
                                <w:szCs w:val="20"/>
                                <w:lang w:val="fr-FR"/>
                              </w:rPr>
                              <w:t>catastrophe naturelle</w:t>
                            </w:r>
                            <w:r w:rsidRPr="00786113">
                              <w:rPr>
                                <w:rFonts w:eastAsia="BatangChe"/>
                                <w:sz w:val="20"/>
                                <w:szCs w:val="20"/>
                                <w:lang w:val="fr-FR"/>
                              </w:rPr>
                              <w:t>s.</w:t>
                            </w:r>
                          </w:p>
                        </w:txbxContent>
                      </wps:txbx>
                      <wps:bodyPr rot="0" vert="horz" wrap="square" lIns="91440" tIns="45720" rIns="91440" bIns="45720" anchor="t" anchorCtr="0">
                        <a:noAutofit/>
                      </wps:bodyPr>
                    </wps:wsp>
                  </a:graphicData>
                </a:graphic>
              </wp:inline>
            </w:drawing>
          </mc:Choice>
          <mc:Fallback>
            <w:pict>
              <v:shape w14:anchorId="16973A54" id="Casella di testo 2" o:spid="_x0000_s1030" type="#_x0000_t202" style="width:466.5pt;height:5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" filled="f" strokecolor="#595959">
                <v:textbox>
                  <w:txbxContent>
                    <w:p w:rsidR="00E62BFB" w:rsidRPr="00E57075" w:rsidRDefault="00E62BFB" w:rsidP="009F6935">
                      <w:pPr>
                        <w:spacing w:after="120"/>
                        <w:ind w:left="1276" w:hanging="1276"/>
                        <w:rPr>
                          <w:rFonts w:ascii="Century Gothic" w:hAnsi="Century Gothic"/>
                          <w:b/>
                          <w:bCs/>
                          <w:color w:val="4F81BD"/>
                          <w:lang w:val="fr-FR"/>
                        </w:rPr>
                      </w:pPr>
                      <w:r>
                        <w:rPr>
                          <w:rFonts w:ascii="Century Gothic" w:hAnsi="Century Gothic"/>
                          <w:b/>
                          <w:bCs/>
                          <w:color w:val="4F81BD"/>
                          <w:lang w:val="fr-FR"/>
                        </w:rPr>
                        <w:t>Encadré</w:t>
                      </w:r>
                      <w:r w:rsidRPr="00E57075">
                        <w:rPr>
                          <w:rFonts w:ascii="Century Gothic" w:hAnsi="Century Gothic"/>
                          <w:b/>
                          <w:bCs/>
                          <w:color w:val="4F81BD"/>
                          <w:lang w:val="fr-FR"/>
                        </w:rPr>
                        <w:t xml:space="preserve"> 1</w:t>
                      </w:r>
                      <w:r>
                        <w:rPr>
                          <w:rFonts w:ascii="Century Gothic" w:hAnsi="Century Gothic"/>
                          <w:b/>
                          <w:color w:val="4F81BD"/>
                          <w:lang w:val="fr-FR"/>
                        </w:rPr>
                        <w:t>. Possibilités d’intégration des approches écosystémiques d’adaptation aux changements climatiques et de réduction des risques de catastrophe naturelle dans les priorités en matière de financement</w:t>
                      </w:r>
                    </w:p>
                    <w:p w:rsidR="00E62BFB" w:rsidRPr="00E57075" w:rsidRDefault="00E62BFB" w:rsidP="009F6935">
                      <w:pPr>
                        <w:spacing w:after="60"/>
                        <w:rPr>
                          <w:rFonts w:eastAsia="BatangChe"/>
                          <w:sz w:val="20"/>
                          <w:szCs w:val="20"/>
                          <w:lang w:val="fr-FR"/>
                        </w:rPr>
                      </w:pPr>
                      <w:r>
                        <w:rPr>
                          <w:rFonts w:eastAsia="BatangChe"/>
                          <w:sz w:val="20"/>
                          <w:szCs w:val="20"/>
                          <w:lang w:val="fr-FR"/>
                        </w:rPr>
                        <w:t>Les approches écosystémiques d’adaptation aux changements climatiques et de réduction des risques de catastrophe naturelle contribuent à de nombreux objectifs, notamment le développement, la réduction des risques, l’adaptation, l’atténuation, la sécurité alimentaire et hydrique, et à assurer des investissements qui tiennent compte du risque. Les approches intersectorielles et transdisciplinaires d’adaptation aux changements climatiques et de réduction des risques de catastrophe naturelle fondées sur les écosystèmes, et la réalisation potentielle de nombreux avantages offrent des opportunités d’attirer et d’augmenter le financement.</w:t>
                      </w:r>
                      <w:r w:rsidRPr="00E57075">
                        <w:rPr>
                          <w:rFonts w:eastAsia="BatangChe"/>
                          <w:sz w:val="20"/>
                          <w:szCs w:val="20"/>
                          <w:lang w:val="fr-FR"/>
                        </w:rPr>
                        <w:t xml:space="preserve"> </w:t>
                      </w:r>
                    </w:p>
                    <w:p w:rsidR="00E62BFB" w:rsidRPr="00E57075"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Favoris</w:t>
                      </w:r>
                      <w:r w:rsidRPr="00E57075">
                        <w:rPr>
                          <w:rFonts w:eastAsia="BatangChe"/>
                          <w:sz w:val="20"/>
                          <w:szCs w:val="20"/>
                          <w:lang w:val="fr-FR"/>
                        </w:rPr>
                        <w:t>e</w:t>
                      </w:r>
                      <w:r>
                        <w:rPr>
                          <w:rFonts w:eastAsia="BatangChe"/>
                          <w:sz w:val="20"/>
                          <w:szCs w:val="20"/>
                          <w:lang w:val="fr-FR"/>
                        </w:rPr>
                        <w:t>r des nouvelles mesures d’incitation pour investir dans la gestion durable des écosystèmes, qui soulignent que les écosystèmes font partie de la planification de l’adaptation aux changements climatiques et de la réduction des risques de catastrophe naturelle, par exemple, en élaborant des programmes d’incitation pour que les agriculteurs emploient des pratiques qui contribuent au maintien de la résilience des écosystèmes, tels que l’agroforesterie et l’agriculture de conservation.</w:t>
                      </w:r>
                    </w:p>
                    <w:p w:rsidR="00E62BFB" w:rsidRPr="00E57075"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Mobiliser des nouveaux investissements pour les approches écosystémiques d’adaptation aux changements climatiques et de réduction des risques de catastrophe naturelle, en adaptant les portefeuilles d’investissement existant au changement climatique.</w:t>
                      </w:r>
                    </w:p>
                    <w:p w:rsidR="00E62BFB" w:rsidRPr="00E57075"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Collaborer avec le secteur privé (y compris les secteurs des assurances, du tourisme, de l’agriculture et de l’eau) pour exploiter leurs connaissances spécialisées, leurs ressources et leurs réseaux. Cela contribue à encourager et augmenter les investissements dans approches écosystémiques d’adaptation aux changements climatiques et de réduction des risques de catastrophe naturelle, et à identifier les partenariats public-privé</w:t>
                      </w:r>
                      <w:r w:rsidRPr="00E57075">
                        <w:rPr>
                          <w:rFonts w:eastAsia="BatangChe"/>
                          <w:sz w:val="20"/>
                          <w:szCs w:val="20"/>
                          <w:lang w:val="fr-FR"/>
                        </w:rPr>
                        <w:t>.</w:t>
                      </w:r>
                    </w:p>
                    <w:p w:rsidR="00E62BFB" w:rsidRPr="00786113" w:rsidRDefault="00E62BFB" w:rsidP="00004EAF">
                      <w:pPr>
                        <w:pStyle w:val="ListParagraph"/>
                        <w:numPr>
                          <w:ilvl w:val="0"/>
                          <w:numId w:val="53"/>
                        </w:numPr>
                        <w:spacing w:after="60"/>
                        <w:contextualSpacing w:val="0"/>
                        <w:jc w:val="left"/>
                        <w:rPr>
                          <w:rFonts w:eastAsia="BatangChe"/>
                          <w:sz w:val="20"/>
                          <w:szCs w:val="20"/>
                          <w:lang w:val="fr-FR"/>
                        </w:rPr>
                      </w:pPr>
                      <w:r>
                        <w:rPr>
                          <w:rFonts w:eastAsia="BatangChe"/>
                          <w:sz w:val="20"/>
                          <w:szCs w:val="20"/>
                          <w:lang w:val="fr-FR"/>
                        </w:rPr>
                        <w:t>Assurer la participation</w:t>
                      </w:r>
                      <w:r w:rsidRPr="00786113">
                        <w:rPr>
                          <w:rFonts w:eastAsia="BatangChe"/>
                          <w:sz w:val="20"/>
                          <w:szCs w:val="20"/>
                          <w:lang w:val="fr-FR"/>
                        </w:rPr>
                        <w:t xml:space="preserve"> des organismes gouvernementaux de réglementation pour appuyer et approuver les investis</w:t>
                      </w:r>
                      <w:r>
                        <w:rPr>
                          <w:rFonts w:eastAsia="BatangChe"/>
                          <w:sz w:val="20"/>
                          <w:szCs w:val="20"/>
                          <w:lang w:val="fr-FR"/>
                        </w:rPr>
                        <w:t xml:space="preserve">sements du secteur privé dans les </w:t>
                      </w:r>
                      <w:r w:rsidRPr="00786113">
                        <w:rPr>
                          <w:rFonts w:eastAsia="BatangChe"/>
                          <w:sz w:val="20"/>
                          <w:szCs w:val="20"/>
                          <w:lang w:val="fr-FR"/>
                        </w:rPr>
                        <w:t>infrastructure</w:t>
                      </w:r>
                      <w:r>
                        <w:rPr>
                          <w:rFonts w:eastAsia="BatangChe"/>
                          <w:sz w:val="20"/>
                          <w:szCs w:val="20"/>
                          <w:lang w:val="fr-FR"/>
                        </w:rPr>
                        <w:t>s</w:t>
                      </w:r>
                      <w:r w:rsidRPr="00786113">
                        <w:rPr>
                          <w:rFonts w:eastAsia="BatangChe"/>
                          <w:sz w:val="20"/>
                          <w:szCs w:val="20"/>
                          <w:lang w:val="fr-FR"/>
                        </w:rPr>
                        <w:t xml:space="preserve"> naturelle</w:t>
                      </w:r>
                      <w:r>
                        <w:rPr>
                          <w:rFonts w:eastAsia="BatangChe"/>
                          <w:sz w:val="20"/>
                          <w:szCs w:val="20"/>
                          <w:lang w:val="fr-FR"/>
                        </w:rPr>
                        <w:t>s et dans les mesures d</w:t>
                      </w:r>
                      <w:r w:rsidRPr="00786113">
                        <w:rPr>
                          <w:rFonts w:eastAsia="BatangChe"/>
                          <w:sz w:val="20"/>
                          <w:szCs w:val="20"/>
                          <w:lang w:val="fr-FR"/>
                        </w:rPr>
                        <w:t>’</w:t>
                      </w:r>
                      <w:r>
                        <w:rPr>
                          <w:rFonts w:eastAsia="BatangChe"/>
                          <w:sz w:val="20"/>
                          <w:szCs w:val="20"/>
                          <w:lang w:val="fr-FR"/>
                        </w:rPr>
                        <w:t xml:space="preserve">adaptation aux changements climatiques </w:t>
                      </w:r>
                      <w:r w:rsidRPr="00786113">
                        <w:rPr>
                          <w:rFonts w:eastAsia="BatangChe"/>
                          <w:sz w:val="20"/>
                          <w:szCs w:val="20"/>
                          <w:lang w:val="fr-FR"/>
                        </w:rPr>
                        <w:t xml:space="preserve">et </w:t>
                      </w:r>
                      <w:r>
                        <w:rPr>
                          <w:rFonts w:eastAsia="BatangChe"/>
                          <w:sz w:val="20"/>
                          <w:szCs w:val="20"/>
                          <w:lang w:val="fr-FR"/>
                        </w:rPr>
                        <w:t>de réduction des risques de catastrophe naturelle fondées sur les écosystèmes</w:t>
                      </w:r>
                      <w:r w:rsidRPr="00786113">
                        <w:rPr>
                          <w:rFonts w:eastAsia="BatangChe"/>
                          <w:sz w:val="20"/>
                          <w:szCs w:val="20"/>
                          <w:lang w:val="fr-FR"/>
                        </w:rPr>
                        <w:t>.</w:t>
                      </w:r>
                    </w:p>
                    <w:p w:rsidR="00E62BFB" w:rsidRPr="00786113" w:rsidRDefault="00E62BFB" w:rsidP="00004EAF">
                      <w:pPr>
                        <w:pStyle w:val="ListParagraph"/>
                        <w:numPr>
                          <w:ilvl w:val="0"/>
                          <w:numId w:val="53"/>
                        </w:numPr>
                        <w:spacing w:after="60"/>
                        <w:contextualSpacing w:val="0"/>
                        <w:jc w:val="left"/>
                        <w:rPr>
                          <w:rFonts w:eastAsia="BatangChe"/>
                          <w:sz w:val="20"/>
                          <w:szCs w:val="20"/>
                          <w:lang w:val="fr-FR"/>
                        </w:rPr>
                      </w:pPr>
                      <w:r w:rsidRPr="00786113">
                        <w:rPr>
                          <w:rFonts w:eastAsia="BatangChe"/>
                          <w:sz w:val="20"/>
                          <w:szCs w:val="20"/>
                          <w:lang w:val="fr-FR"/>
                        </w:rPr>
                        <w:t>Identifier des partenariats avec des associations industrie</w:t>
                      </w:r>
                      <w:r>
                        <w:rPr>
                          <w:rFonts w:eastAsia="BatangChe"/>
                          <w:sz w:val="20"/>
                          <w:szCs w:val="20"/>
                          <w:lang w:val="fr-FR"/>
                        </w:rPr>
                        <w:t>lles qui peuvent aider à identifier</w:t>
                      </w:r>
                      <w:r w:rsidRPr="00786113">
                        <w:rPr>
                          <w:rFonts w:eastAsia="BatangChe"/>
                          <w:sz w:val="20"/>
                          <w:szCs w:val="20"/>
                          <w:lang w:val="fr-FR"/>
                        </w:rPr>
                        <w:t xml:space="preserve"> les risques et les effets du </w:t>
                      </w:r>
                      <w:r>
                        <w:rPr>
                          <w:rFonts w:eastAsia="BatangChe"/>
                          <w:sz w:val="20"/>
                          <w:szCs w:val="20"/>
                          <w:lang w:val="fr-FR"/>
                        </w:rPr>
                        <w:t xml:space="preserve">réchauffement </w:t>
                      </w:r>
                      <w:r w:rsidRPr="00786113">
                        <w:rPr>
                          <w:rFonts w:eastAsia="BatangChe"/>
                          <w:sz w:val="20"/>
                          <w:szCs w:val="20"/>
                          <w:lang w:val="fr-FR"/>
                        </w:rPr>
                        <w:t>climat</w:t>
                      </w:r>
                      <w:r>
                        <w:rPr>
                          <w:rFonts w:eastAsia="BatangChe"/>
                          <w:sz w:val="20"/>
                          <w:szCs w:val="20"/>
                          <w:lang w:val="fr-FR"/>
                        </w:rPr>
                        <w:t>ique</w:t>
                      </w:r>
                      <w:r w:rsidRPr="00786113">
                        <w:rPr>
                          <w:rFonts w:eastAsia="BatangChe"/>
                          <w:sz w:val="20"/>
                          <w:szCs w:val="20"/>
                          <w:lang w:val="fr-FR"/>
                        </w:rPr>
                        <w:t>, et à formuler des stratégies d’adaptation, par exemple, l’élaboration d’outils d’évaluation des risques climatiques à l’usage des investisseurs et des compagnies d’assurance du secteur privé, l’adoption de services d’informations hydrométéorologiques et climatiques, et la collaboration avec les promoteurs pour améliorer l’aménagement du territoire, y compris des activités d’</w:t>
                      </w:r>
                      <w:r>
                        <w:rPr>
                          <w:rFonts w:eastAsia="BatangChe"/>
                          <w:sz w:val="20"/>
                          <w:szCs w:val="20"/>
                          <w:lang w:val="fr-FR"/>
                        </w:rPr>
                        <w:t>adaptation aux changements climatiques et de réduction des risques de catastrophe naturelle fondées sur les écosystèmes,</w:t>
                      </w:r>
                      <w:r w:rsidRPr="00786113">
                        <w:rPr>
                          <w:rFonts w:eastAsia="BatangChe"/>
                          <w:sz w:val="20"/>
                          <w:szCs w:val="20"/>
                          <w:lang w:val="fr-FR"/>
                        </w:rPr>
                        <w:t xml:space="preserve"> telles que la restauration des écosystèmes.</w:t>
                      </w:r>
                    </w:p>
                    <w:p w:rsidR="00E62BFB" w:rsidRPr="00786113" w:rsidRDefault="00E62BFB" w:rsidP="00004EAF">
                      <w:pPr>
                        <w:pStyle w:val="ListParagraph"/>
                        <w:numPr>
                          <w:ilvl w:val="0"/>
                          <w:numId w:val="53"/>
                        </w:numPr>
                        <w:spacing w:after="60"/>
                        <w:contextualSpacing w:val="0"/>
                        <w:jc w:val="left"/>
                        <w:rPr>
                          <w:rFonts w:eastAsia="BatangChe"/>
                          <w:sz w:val="20"/>
                          <w:szCs w:val="20"/>
                          <w:lang w:val="fr-FR"/>
                        </w:rPr>
                      </w:pPr>
                      <w:r w:rsidRPr="00786113">
                        <w:rPr>
                          <w:rFonts w:eastAsia="BatangChe"/>
                          <w:sz w:val="20"/>
                          <w:szCs w:val="20"/>
                          <w:lang w:val="fr-FR"/>
                        </w:rPr>
                        <w:t>Crée</w:t>
                      </w:r>
                      <w:r>
                        <w:rPr>
                          <w:rFonts w:eastAsia="BatangChe"/>
                          <w:sz w:val="20"/>
                          <w:szCs w:val="20"/>
                          <w:lang w:val="fr-FR"/>
                        </w:rPr>
                        <w:t>r des structures d’incitation au niveau national pour les approches écosystémiques d’adaptation aux changements climatiques</w:t>
                      </w:r>
                      <w:r w:rsidRPr="00786113">
                        <w:rPr>
                          <w:rFonts w:eastAsia="BatangChe"/>
                          <w:sz w:val="20"/>
                          <w:szCs w:val="20"/>
                          <w:lang w:val="fr-FR"/>
                        </w:rPr>
                        <w:t xml:space="preserve"> et </w:t>
                      </w:r>
                      <w:r>
                        <w:rPr>
                          <w:rFonts w:eastAsia="BatangChe"/>
                          <w:sz w:val="20"/>
                          <w:szCs w:val="20"/>
                          <w:lang w:val="fr-FR"/>
                        </w:rPr>
                        <w:t>de réduction des risques de catastrophe naturelle</w:t>
                      </w:r>
                      <w:r w:rsidRPr="00786113">
                        <w:rPr>
                          <w:rFonts w:eastAsia="BatangChe"/>
                          <w:sz w:val="20"/>
                          <w:szCs w:val="20"/>
                          <w:lang w:val="fr-FR"/>
                        </w:rPr>
                        <w:t>, en particulier pour les propriétaires fonciers et les entreprises privées.</w:t>
                      </w:r>
                    </w:p>
                    <w:p w:rsidR="00E62BFB" w:rsidRPr="00E57075" w:rsidRDefault="00E62BFB" w:rsidP="009F6935">
                      <w:pPr>
                        <w:spacing w:after="60"/>
                        <w:rPr>
                          <w:rFonts w:eastAsia="BatangChe"/>
                          <w:sz w:val="20"/>
                          <w:szCs w:val="20"/>
                          <w:lang w:val="fr-FR"/>
                        </w:rPr>
                      </w:pPr>
                      <w:r w:rsidRPr="00786113">
                        <w:rPr>
                          <w:rFonts w:eastAsia="BatangChe"/>
                          <w:sz w:val="20"/>
                          <w:szCs w:val="20"/>
                          <w:lang w:val="fr-FR"/>
                        </w:rPr>
                        <w:t xml:space="preserve">L’intégration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dans les priorités </w:t>
                      </w:r>
                      <w:r>
                        <w:rPr>
                          <w:rFonts w:eastAsia="BatangChe"/>
                          <w:sz w:val="20"/>
                          <w:szCs w:val="20"/>
                          <w:lang w:val="fr-FR"/>
                        </w:rPr>
                        <w:t>en matière de financement doit faire en sorte</w:t>
                      </w:r>
                      <w:r w:rsidRPr="00786113">
                        <w:rPr>
                          <w:rFonts w:eastAsia="BatangChe"/>
                          <w:sz w:val="20"/>
                          <w:szCs w:val="20"/>
                          <w:lang w:val="fr-FR"/>
                        </w:rPr>
                        <w:t xml:space="preserve"> que les initiatives respectent les principes et les garanties </w:t>
                      </w:r>
                      <w:r>
                        <w:rPr>
                          <w:rFonts w:eastAsia="BatangChe"/>
                          <w:sz w:val="20"/>
                          <w:szCs w:val="20"/>
                          <w:lang w:val="fr-FR"/>
                        </w:rPr>
                        <w:t>des approches écosystémiques d’adaptation aux changements climatiques et de réduction des risques de catastrophe naturelle,</w:t>
                      </w:r>
                      <w:r w:rsidRPr="00786113">
                        <w:rPr>
                          <w:rFonts w:eastAsia="BatangChe"/>
                          <w:sz w:val="20"/>
                          <w:szCs w:val="20"/>
                          <w:lang w:val="fr-FR"/>
                        </w:rPr>
                        <w:t xml:space="preserve"> ave</w:t>
                      </w:r>
                      <w:r>
                        <w:rPr>
                          <w:rFonts w:eastAsia="BatangChe"/>
                          <w:sz w:val="20"/>
                          <w:szCs w:val="20"/>
                          <w:lang w:val="fr-FR"/>
                        </w:rPr>
                        <w:t>c l’intention claire de parvenir à</w:t>
                      </w:r>
                      <w:r w:rsidRPr="00786113">
                        <w:rPr>
                          <w:rFonts w:eastAsia="BatangChe"/>
                          <w:sz w:val="20"/>
                          <w:szCs w:val="20"/>
                          <w:lang w:val="fr-FR"/>
                        </w:rPr>
                        <w:t xml:space="preserve"> une </w:t>
                      </w:r>
                      <w:r>
                        <w:rPr>
                          <w:rFonts w:eastAsia="BatangChe"/>
                          <w:sz w:val="20"/>
                          <w:szCs w:val="20"/>
                          <w:lang w:val="fr-FR"/>
                        </w:rPr>
                        <w:t xml:space="preserve">plus grande </w:t>
                      </w:r>
                      <w:r w:rsidRPr="00786113">
                        <w:rPr>
                          <w:rFonts w:eastAsia="BatangChe"/>
                          <w:sz w:val="20"/>
                          <w:szCs w:val="20"/>
                          <w:lang w:val="fr-FR"/>
                        </w:rPr>
                        <w:t>rés</w:t>
                      </w:r>
                      <w:r>
                        <w:rPr>
                          <w:rFonts w:eastAsia="BatangChe"/>
                          <w:sz w:val="20"/>
                          <w:szCs w:val="20"/>
                          <w:lang w:val="fr-FR"/>
                        </w:rPr>
                        <w:t xml:space="preserve">ilience socio-écologique </w:t>
                      </w:r>
                      <w:r w:rsidRPr="00786113">
                        <w:rPr>
                          <w:rFonts w:eastAsia="BatangChe"/>
                          <w:sz w:val="20"/>
                          <w:szCs w:val="20"/>
                          <w:lang w:val="fr-FR"/>
                        </w:rPr>
                        <w:t xml:space="preserve">face aux effets du changement climatique et aux </w:t>
                      </w:r>
                      <w:r>
                        <w:rPr>
                          <w:rFonts w:eastAsia="BatangChe"/>
                          <w:sz w:val="20"/>
                          <w:szCs w:val="20"/>
                          <w:lang w:val="fr-FR"/>
                        </w:rPr>
                        <w:t>catastrophe naturelle</w:t>
                      </w:r>
                      <w:r w:rsidRPr="00786113">
                        <w:rPr>
                          <w:rFonts w:eastAsia="BatangChe"/>
                          <w:sz w:val="20"/>
                          <w:szCs w:val="20"/>
                          <w:lang w:val="fr-FR"/>
                        </w:rPr>
                        <w:t>s.</w:t>
                      </w:r>
                    </w:p>
                  </w:txbxContent>
                </v:textbox>
                <w10:anchorlock/>
              </v:shape>
            </w:pict>
          </mc:Fallback>
        </mc:AlternateContent>
      </w:r>
    </w:p>
    <w:p w:rsidR="009F6935" w:rsidRDefault="009F6935" w:rsidP="009F6935">
      <w:pPr>
        <w:suppressLineNumbers/>
        <w:suppressAutoHyphens/>
        <w:kinsoku w:val="0"/>
        <w:overflowPunct w:val="0"/>
        <w:autoSpaceDE w:val="0"/>
        <w:autoSpaceDN w:val="0"/>
        <w:adjustRightInd w:val="0"/>
        <w:snapToGrid w:val="0"/>
        <w:rPr>
          <w:rFonts w:eastAsia="Calibri"/>
          <w:snapToGrid w:val="0"/>
          <w:kern w:val="22"/>
          <w:szCs w:val="22"/>
          <w:lang w:val="fr-FR"/>
        </w:rPr>
      </w:pPr>
    </w:p>
    <w:p w:rsidR="009F6935" w:rsidRPr="00E57075" w:rsidRDefault="009F6935" w:rsidP="009F6935">
      <w:pPr>
        <w:suppressLineNumbers/>
        <w:suppressAutoHyphens/>
        <w:kinsoku w:val="0"/>
        <w:overflowPunct w:val="0"/>
        <w:autoSpaceDE w:val="0"/>
        <w:autoSpaceDN w:val="0"/>
        <w:adjustRightInd w:val="0"/>
        <w:snapToGrid w:val="0"/>
        <w:rPr>
          <w:rFonts w:eastAsia="Calibri"/>
          <w:snapToGrid w:val="0"/>
          <w:kern w:val="22"/>
          <w:szCs w:val="22"/>
          <w:lang w:val="fr-FR"/>
        </w:rPr>
      </w:pPr>
    </w:p>
    <w:p w:rsidR="009F6935" w:rsidRPr="00E5707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Une mesure clé dans ce sens est d’envisager d’intégrer les approches écosystémiques d’adaptation aux changements climatiques et de réduction des risques de catastrophe naturelle dans les plans de développement sectoriels à des échelles locales, nationales et régionales, par exemple dans la gestion de l’affectation des terres et des eaux, dans des contextes urbains et ruraux.</w:t>
      </w:r>
      <w:r w:rsidRPr="00E57075">
        <w:rPr>
          <w:rFonts w:eastAsia="Calibri"/>
          <w:snapToGrid w:val="0"/>
          <w:kern w:val="22"/>
          <w:szCs w:val="22"/>
          <w:lang w:val="fr-FR"/>
        </w:rPr>
        <w:t xml:space="preserve"> </w:t>
      </w:r>
      <w:r>
        <w:rPr>
          <w:rFonts w:eastAsia="Calibri"/>
          <w:snapToGrid w:val="0"/>
          <w:kern w:val="22"/>
          <w:szCs w:val="22"/>
          <w:lang w:val="fr-FR"/>
        </w:rPr>
        <w:t>Des mesures additionnelles, ainsi que des résumés destinés à aider les professionnels à entreprendre des activités de rayonnement dans les différents secteurs, sont fournies à titre d’outils d’information supplémentaires</w:t>
      </w:r>
      <w:r w:rsidRPr="00E57075">
        <w:rPr>
          <w:rFonts w:eastAsia="Calibri"/>
          <w:snapToGrid w:val="0"/>
          <w:kern w:val="22"/>
          <w:szCs w:val="22"/>
          <w:lang w:val="fr-FR"/>
        </w:rPr>
        <w:t>.</w:t>
      </w:r>
      <w:r w:rsidRPr="00E57075">
        <w:rPr>
          <w:rFonts w:eastAsia="Calibri"/>
          <w:snapToGrid w:val="0"/>
          <w:kern w:val="22"/>
          <w:szCs w:val="22"/>
          <w:vertAlign w:val="superscript"/>
          <w:lang w:val="fr-FR"/>
        </w:rPr>
        <w:footnoteReference w:id="102"/>
      </w:r>
    </w:p>
    <w:p w:rsidR="009F6935" w:rsidRPr="00E5707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lastRenderedPageBreak/>
        <w:t>Compte tenu des informations fournies ci-dessus, un cadre simple pour l’intégration des approches écosystémiques d’adaptation aux changements climatiques et de réduction des risques de catastrophe naturelle dans les plans sectoriels est fourni dans la figure 2, à titre d’information supplémentaire</w:t>
      </w:r>
      <w:r w:rsidRPr="008966A7">
        <w:rPr>
          <w:rStyle w:val="FootnoteReference"/>
          <w:rFonts w:eastAsia="Calibri"/>
          <w:snapToGrid w:val="0"/>
          <w:kern w:val="22"/>
          <w:sz w:val="20"/>
          <w:szCs w:val="20"/>
          <w:u w:val="none"/>
          <w:vertAlign w:val="superscript"/>
          <w:lang w:val="fr-FR"/>
        </w:rPr>
        <w:footnoteReference w:id="103"/>
      </w:r>
      <w:r w:rsidRPr="00E57075">
        <w:rPr>
          <w:rFonts w:eastAsia="Calibri"/>
          <w:snapToGrid w:val="0"/>
          <w:kern w:val="22"/>
          <w:szCs w:val="22"/>
          <w:lang w:val="fr-FR"/>
        </w:rPr>
        <w:t>.</w:t>
      </w:r>
    </w:p>
    <w:p w:rsidR="009F6935" w:rsidRPr="00E57075" w:rsidRDefault="009F6935" w:rsidP="009F6935">
      <w:pPr>
        <w:keepNext/>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9F6935" w:rsidRPr="00377E20" w:rsidRDefault="009F6935" w:rsidP="009F6935">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Pr>
          <w:rFonts w:eastAsia="Calibri"/>
          <w:b/>
          <w:bCs/>
          <w:snapToGrid w:val="0"/>
          <w:kern w:val="22"/>
          <w:szCs w:val="22"/>
          <w:lang w:val="fr-FR"/>
        </w:rPr>
        <w:t>Figure 2.</w:t>
      </w:r>
      <w:r>
        <w:rPr>
          <w:rFonts w:eastAsia="Calibri"/>
          <w:b/>
          <w:bCs/>
          <w:snapToGrid w:val="0"/>
          <w:kern w:val="22"/>
          <w:szCs w:val="22"/>
          <w:lang w:val="fr-FR"/>
        </w:rPr>
        <w:tab/>
        <w:t xml:space="preserve">Points d’accès pour l’intégration des approches écosystémiques d’adaptation aux changements climatiques et de réduction des risques de catastrophe naturelle </w:t>
      </w:r>
      <w:r w:rsidRPr="00E57075">
        <w:rPr>
          <w:rFonts w:eastAsia="Calibri"/>
          <w:b/>
          <w:bCs/>
          <w:snapToGrid w:val="0"/>
          <w:kern w:val="22"/>
          <w:szCs w:val="22"/>
          <w:lang w:val="fr-FR"/>
        </w:rPr>
        <w:t xml:space="preserve"> </w:t>
      </w:r>
      <w:r>
        <w:rPr>
          <w:rFonts w:eastAsia="Calibri"/>
          <w:b/>
          <w:bCs/>
          <w:snapToGrid w:val="0"/>
          <w:kern w:val="22"/>
          <w:szCs w:val="22"/>
          <w:lang w:val="fr-FR"/>
        </w:rPr>
        <w:t>dans les stratégies sectorielles et de développement clés, en intégrant les approches fondées sur les écosystèmes dans les instruments et méthodologies existants, en sélectionnant des indicateurs appropriés pour le suivi et l’évaluation et en assurant un impact positif par l’élaboration d’une théorie du changement</w:t>
      </w:r>
    </w:p>
    <w:p w:rsidR="009F6935" w:rsidRDefault="009F6935" w:rsidP="009F6935">
      <w:pPr>
        <w:suppressLineNumbers/>
        <w:suppressAutoHyphens/>
        <w:kinsoku w:val="0"/>
        <w:overflowPunct w:val="0"/>
        <w:autoSpaceDE w:val="0"/>
        <w:autoSpaceDN w:val="0"/>
        <w:adjustRightInd w:val="0"/>
        <w:snapToGrid w:val="0"/>
        <w:rPr>
          <w:rFonts w:eastAsia="Calibri"/>
          <w:snapToGrid w:val="0"/>
          <w:kern w:val="22"/>
          <w:szCs w:val="22"/>
          <w:lang w:val="fr-FR"/>
        </w:rPr>
      </w:pPr>
    </w:p>
    <w:p w:rsidR="009F6935" w:rsidRPr="00891ECF" w:rsidRDefault="009F6935" w:rsidP="009F6935">
      <w:pPr>
        <w:suppressLineNumbers/>
        <w:suppressAutoHyphens/>
        <w:kinsoku w:val="0"/>
        <w:overflowPunct w:val="0"/>
        <w:autoSpaceDE w:val="0"/>
        <w:autoSpaceDN w:val="0"/>
        <w:adjustRightInd w:val="0"/>
        <w:snapToGrid w:val="0"/>
        <w:jc w:val="center"/>
        <w:rPr>
          <w:rFonts w:eastAsia="Calibri"/>
          <w:snapToGrid w:val="0"/>
          <w:kern w:val="22"/>
          <w:szCs w:val="22"/>
          <w:lang w:val="fr-FR"/>
        </w:rPr>
      </w:pPr>
      <w:r>
        <w:rPr>
          <w:rFonts w:eastAsia="Calibri"/>
          <w:noProof/>
          <w:snapToGrid w:val="0"/>
          <w:kern w:val="22"/>
          <w:szCs w:val="22"/>
          <w:lang w:val="fr-FR" w:eastAsia="fr-FR"/>
        </w:rPr>
        <w:drawing>
          <wp:inline distT="0" distB="0" distL="0" distR="0" wp14:anchorId="60AC6411" wp14:editId="5087D55D">
            <wp:extent cx="4699050" cy="4483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725034" cy="4508529"/>
                    </a:xfrm>
                    <a:prstGeom prst="rect">
                      <a:avLst/>
                    </a:prstGeom>
                    <a:noFill/>
                  </pic:spPr>
                </pic:pic>
              </a:graphicData>
            </a:graphic>
          </wp:inline>
        </w:drawing>
      </w:r>
    </w:p>
    <w:p w:rsidR="009F6935" w:rsidRPr="005D0D05" w:rsidRDefault="009F6935" w:rsidP="00004EAF">
      <w:pPr>
        <w:pStyle w:val="ListParagraph"/>
        <w:keepNext/>
        <w:numPr>
          <w:ilvl w:val="1"/>
          <w:numId w:val="57"/>
        </w:numPr>
        <w:suppressLineNumbers/>
        <w:suppressAutoHyphens/>
        <w:kinsoku w:val="0"/>
        <w:overflowPunct w:val="0"/>
        <w:autoSpaceDE w:val="0"/>
        <w:autoSpaceDN w:val="0"/>
        <w:adjustRightInd w:val="0"/>
        <w:snapToGrid w:val="0"/>
        <w:spacing w:before="360" w:after="120"/>
        <w:contextualSpacing w:val="0"/>
        <w:jc w:val="left"/>
        <w:outlineLvl w:val="0"/>
        <w:rPr>
          <w:b/>
          <w:snapToGrid w:val="0"/>
          <w:kern w:val="22"/>
          <w:szCs w:val="22"/>
          <w:lang w:val="fr-FR"/>
        </w:rPr>
      </w:pPr>
      <w:bookmarkStart w:id="340" w:name="_Toc525904253"/>
      <w:bookmarkStart w:id="341" w:name="_Toc525904412"/>
      <w:bookmarkStart w:id="342" w:name="_Toc525904656"/>
      <w:r w:rsidRPr="005D0D05">
        <w:rPr>
          <w:b/>
          <w:snapToGrid w:val="0"/>
          <w:kern w:val="22"/>
          <w:szCs w:val="22"/>
          <w:lang w:val="fr-FR"/>
        </w:rPr>
        <w:t>Sensibilisation et renforcement des capacités</w:t>
      </w:r>
      <w:bookmarkEnd w:id="340"/>
      <w:bookmarkEnd w:id="341"/>
      <w:bookmarkEnd w:id="342"/>
    </w:p>
    <w:p w:rsidR="009F6935" w:rsidRPr="005D0D0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sidRPr="005D0D05">
        <w:rPr>
          <w:rFonts w:eastAsia="Calibri"/>
          <w:snapToGrid w:val="0"/>
          <w:kern w:val="22"/>
          <w:szCs w:val="22"/>
          <w:lang w:val="fr-FR"/>
        </w:rPr>
        <w:t>La communication des nombreux avantages</w:t>
      </w:r>
      <w:r>
        <w:rPr>
          <w:rFonts w:eastAsia="Calibri"/>
          <w:snapToGrid w:val="0"/>
          <w:kern w:val="22"/>
          <w:szCs w:val="22"/>
          <w:lang w:val="fr-FR"/>
        </w:rPr>
        <w:t xml:space="preserve"> procurés par les approches écosystémiques d’adaptation aux changements climatiques et de réduction des risques de catastrophe naturelle aux différents secteurs, communautés de pratique et disciplines est cruciale pour renforcer la mise en œuvre et la durabilité des initiatives, et ouvrir des perspectives de financement. Les accords de politique nationaux et internationaux offrent une occasion de combler le fossé entre les différentes communautés de pratique. Les liens réciproques entre la gestion des écosystèmes, les changements climatiques et la réduction des </w:t>
      </w:r>
      <w:r>
        <w:rPr>
          <w:rFonts w:eastAsia="Calibri"/>
          <w:snapToGrid w:val="0"/>
          <w:kern w:val="22"/>
          <w:szCs w:val="22"/>
          <w:lang w:val="fr-FR"/>
        </w:rPr>
        <w:lastRenderedPageBreak/>
        <w:t>risques de catastrophe naturelle sont tous reflétés dans les Objectifs de développement durable,</w:t>
      </w:r>
      <w:r w:rsidRPr="005D0D05">
        <w:rPr>
          <w:rFonts w:eastAsia="Calibri"/>
          <w:snapToGrid w:val="0"/>
          <w:kern w:val="22"/>
          <w:szCs w:val="22"/>
          <w:lang w:val="fr-FR"/>
        </w:rPr>
        <w:t xml:space="preserve"> </w:t>
      </w:r>
      <w:r>
        <w:rPr>
          <w:rFonts w:eastAsia="Calibri"/>
          <w:snapToGrid w:val="0"/>
          <w:kern w:val="22"/>
          <w:szCs w:val="22"/>
          <w:lang w:val="fr-FR"/>
        </w:rPr>
        <w:t>le Cadre de Sendai pour la réduction des risques de catastrophe naturelle, l’Accord de Paris sur les changements climatiques, les décisions des Parties aux Conventions de Rio, et les résolutions des Parties à la Convention de Ramsar</w:t>
      </w:r>
      <w:r w:rsidRPr="005D0D05">
        <w:rPr>
          <w:rFonts w:eastAsia="Calibri"/>
          <w:snapToGrid w:val="0"/>
          <w:kern w:val="22"/>
          <w:szCs w:val="22"/>
          <w:lang w:val="fr-FR"/>
        </w:rPr>
        <w:t>.</w:t>
      </w:r>
      <w:r w:rsidRPr="005D0D05">
        <w:rPr>
          <w:rFonts w:eastAsia="Calibri"/>
          <w:snapToGrid w:val="0"/>
          <w:kern w:val="22"/>
          <w:szCs w:val="22"/>
          <w:vertAlign w:val="superscript"/>
          <w:lang w:val="fr-FR"/>
        </w:rPr>
        <w:footnoteReference w:id="104"/>
      </w:r>
    </w:p>
    <w:p w:rsidR="009F6935" w:rsidRPr="008D2DF8"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Des informations supplémentaires sont fournies dans une </w:t>
      </w:r>
      <w:r w:rsidRPr="008D2DF8">
        <w:rPr>
          <w:rFonts w:eastAsia="Calibri"/>
          <w:snapToGrid w:val="0"/>
          <w:kern w:val="22"/>
          <w:szCs w:val="22"/>
          <w:lang w:val="fr-FR"/>
        </w:rPr>
        <w:t>liste détaillée</w:t>
      </w:r>
      <w:r>
        <w:rPr>
          <w:rFonts w:eastAsia="Calibri"/>
          <w:snapToGrid w:val="0"/>
          <w:kern w:val="22"/>
          <w:szCs w:val="22"/>
          <w:lang w:val="fr-FR"/>
        </w:rPr>
        <w:t xml:space="preserve"> de suggestions de mesures de sensibilisation et de renforcement des capacités</w:t>
      </w:r>
      <w:r w:rsidRPr="008D2DF8">
        <w:rPr>
          <w:rFonts w:eastAsia="Calibri"/>
          <w:vertAlign w:val="superscript"/>
          <w:lang w:val="fr-FR"/>
        </w:rPr>
        <w:footnoteReference w:id="105"/>
      </w:r>
      <w:r>
        <w:rPr>
          <w:rFonts w:eastAsia="Calibri"/>
          <w:snapToGrid w:val="0"/>
          <w:kern w:val="22"/>
          <w:szCs w:val="22"/>
          <w:lang w:val="fr-FR"/>
        </w:rPr>
        <w:t>. Les mesures importantes comprennent notamment la conduite d’évaluations de base sur : a) les compétences et la capacité existantes des décideurs pour combler les lacunes et répondre aux besoins; b) les capacités institutionnelles et les mécanismes de coordination existants pour identifier les besoins liés à l’intégration durable et à l’application des approches écosystémiques d’adaptation aux changements climatiques et de réduction des risques de catastrophe naturelle</w:t>
      </w:r>
      <w:r w:rsidRPr="008D2DF8">
        <w:rPr>
          <w:rFonts w:eastAsia="Calibri"/>
          <w:snapToGrid w:val="0"/>
          <w:kern w:val="22"/>
          <w:szCs w:val="22"/>
          <w:lang w:val="fr-FR"/>
        </w:rPr>
        <w:t xml:space="preserve">. </w:t>
      </w:r>
      <w:r>
        <w:rPr>
          <w:rFonts w:eastAsia="Calibri"/>
          <w:snapToGrid w:val="0"/>
          <w:kern w:val="22"/>
          <w:szCs w:val="22"/>
          <w:lang w:val="fr-FR"/>
        </w:rPr>
        <w:t>Il est utile de tenir compte des besoins d’information et de communication des différents groupes de parties prenantes, afin de développer des activités de sensibilisation efficaces et une base de connaissances commune, et de chercher à identifier un langage commun entre les parties prenantes pour appuyer leur coopération. Pour soutenir ces travaux, il existe de nombreux réseaux qui offrent des plateformes d’échange d’information et d’expérience</w:t>
      </w:r>
      <w:r w:rsidRPr="008966A7">
        <w:rPr>
          <w:rStyle w:val="FootnoteReference"/>
          <w:rFonts w:eastAsia="Calibri"/>
          <w:snapToGrid w:val="0"/>
          <w:kern w:val="22"/>
          <w:sz w:val="20"/>
          <w:szCs w:val="20"/>
          <w:u w:val="none"/>
          <w:vertAlign w:val="superscript"/>
          <w:lang w:val="fr-FR"/>
        </w:rPr>
        <w:footnoteReference w:id="106"/>
      </w:r>
      <w:r w:rsidR="008966A7">
        <w:rPr>
          <w:rFonts w:eastAsia="Calibri"/>
          <w:snapToGrid w:val="0"/>
          <w:kern w:val="22"/>
          <w:szCs w:val="22"/>
          <w:lang w:val="fr-FR"/>
        </w:rPr>
        <w:t>.</w:t>
      </w:r>
    </w:p>
    <w:p w:rsidR="009F6935" w:rsidRPr="008D2DF8" w:rsidRDefault="009F6935" w:rsidP="00004EAF">
      <w:pPr>
        <w:pStyle w:val="ListParagraph"/>
        <w:keepNext/>
        <w:numPr>
          <w:ilvl w:val="0"/>
          <w:numId w:val="57"/>
        </w:numPr>
        <w:suppressLineNumbers/>
        <w:suppressAutoHyphens/>
        <w:kinsoku w:val="0"/>
        <w:overflowPunct w:val="0"/>
        <w:autoSpaceDE w:val="0"/>
        <w:autoSpaceDN w:val="0"/>
        <w:adjustRightInd w:val="0"/>
        <w:snapToGrid w:val="0"/>
        <w:spacing w:before="120" w:after="120"/>
        <w:contextualSpacing w:val="0"/>
        <w:jc w:val="left"/>
        <w:outlineLvl w:val="0"/>
        <w:rPr>
          <w:rFonts w:eastAsia="Calibri"/>
          <w:snapToGrid w:val="0"/>
          <w:kern w:val="22"/>
          <w:szCs w:val="22"/>
          <w:lang w:val="fr-FR"/>
        </w:rPr>
      </w:pPr>
      <w:bookmarkStart w:id="343" w:name="_Toc525904254"/>
      <w:bookmarkStart w:id="344" w:name="_Toc525904413"/>
      <w:bookmarkStart w:id="345" w:name="_Toc525904657"/>
      <w:r>
        <w:rPr>
          <w:b/>
          <w:snapToGrid w:val="0"/>
          <w:kern w:val="22"/>
          <w:szCs w:val="22"/>
          <w:lang w:val="fr-FR"/>
        </w:rPr>
        <w:t>Approche progressive pour la conception et l’application effective des approches écosystémiques d’adaptation aux changements climatiques et de réduction des risques de catastrophe naturelle</w:t>
      </w:r>
      <w:bookmarkEnd w:id="343"/>
      <w:bookmarkEnd w:id="344"/>
      <w:bookmarkEnd w:id="345"/>
      <w:r>
        <w:rPr>
          <w:b/>
          <w:snapToGrid w:val="0"/>
          <w:kern w:val="22"/>
          <w:szCs w:val="22"/>
          <w:lang w:val="fr-FR"/>
        </w:rPr>
        <w:t xml:space="preserve"> </w:t>
      </w:r>
      <w:bookmarkEnd w:id="282"/>
    </w:p>
    <w:p w:rsidR="009F6935" w:rsidRPr="008D2DF8"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Lors de l’élaboration d’un cadre conceptuel pour les présentes lignes directrices, divers processus d’adaptation aux changements climatiques et de réduction des risques de catastrophe naturelle ont été considérés, en plus de stratégies plus larges de résolution des problèmes, telles que les cadres des approches paysagère et </w:t>
      </w:r>
      <w:r>
        <w:rPr>
          <w:rFonts w:eastAsia="Calibri"/>
          <w:noProof/>
          <w:snapToGrid w:val="0"/>
          <w:kern w:val="22"/>
          <w:szCs w:val="22"/>
          <w:lang w:val="fr-FR"/>
        </w:rPr>
        <w:t>systémique</w:t>
      </w:r>
      <w:r w:rsidRPr="008966A7">
        <w:rPr>
          <w:rFonts w:eastAsia="Calibri"/>
          <w:noProof/>
          <w:snapToGrid w:val="0"/>
          <w:kern w:val="22"/>
          <w:sz w:val="20"/>
          <w:szCs w:val="20"/>
          <w:vertAlign w:val="superscript"/>
          <w:lang w:val="fr-FR"/>
        </w:rPr>
        <w:footnoteReference w:id="107"/>
      </w:r>
      <w:r w:rsidRPr="008966A7">
        <w:rPr>
          <w:rFonts w:eastAsia="Calibri"/>
          <w:noProof/>
          <w:snapToGrid w:val="0"/>
          <w:kern w:val="22"/>
          <w:sz w:val="20"/>
          <w:szCs w:val="20"/>
          <w:vertAlign w:val="superscript"/>
          <w:lang w:val="fr-FR"/>
        </w:rPr>
        <w:t>,</w:t>
      </w:r>
      <w:r w:rsidRPr="008966A7">
        <w:rPr>
          <w:rStyle w:val="FootnoteReference"/>
          <w:rFonts w:eastAsia="Calibri"/>
          <w:noProof/>
          <w:snapToGrid w:val="0"/>
          <w:kern w:val="22"/>
          <w:sz w:val="20"/>
          <w:szCs w:val="20"/>
          <w:u w:val="none"/>
          <w:vertAlign w:val="superscript"/>
          <w:lang w:val="fr-FR"/>
        </w:rPr>
        <w:footnoteReference w:id="108"/>
      </w:r>
      <w:r>
        <w:rPr>
          <w:rFonts w:eastAsia="Calibri"/>
          <w:noProof/>
          <w:snapToGrid w:val="0"/>
          <w:kern w:val="22"/>
          <w:szCs w:val="22"/>
          <w:lang w:val="fr-FR"/>
        </w:rPr>
        <w:t>.</w:t>
      </w:r>
      <w:r>
        <w:rPr>
          <w:rFonts w:eastAsia="Calibri"/>
          <w:snapToGrid w:val="0"/>
          <w:kern w:val="22"/>
          <w:szCs w:val="22"/>
          <w:lang w:val="fr-FR"/>
        </w:rPr>
        <w:t xml:space="preserve"> Les présentes lignes directrices utilisent une perspective globale de tous les écosystèmes et comprennent des considérations pour l’intégration des approches écosystémiques d’adaptation aux changements climatiques et de réduction des risques de catastrophe naturelle</w:t>
      </w:r>
      <w:r w:rsidRPr="008D2DF8">
        <w:rPr>
          <w:rFonts w:eastAsia="Calibri"/>
          <w:snapToGrid w:val="0"/>
          <w:kern w:val="22"/>
          <w:szCs w:val="22"/>
          <w:lang w:val="fr-FR"/>
        </w:rPr>
        <w:t xml:space="preserve">. </w:t>
      </w:r>
      <w:r>
        <w:rPr>
          <w:rFonts w:eastAsia="Calibri"/>
          <w:snapToGrid w:val="0"/>
          <w:kern w:val="22"/>
          <w:szCs w:val="22"/>
          <w:lang w:val="fr-FR"/>
        </w:rPr>
        <w:t>Elles intègrent ces approches dans une série de démarches itératives, un processus qui a pour but d’être souple et adapté aux besoins d’un projet, programme, pays, région ou paysage terrestre ou marin. Les principes et les garanties des approches écosystémiques d’adaptation aux changements climatiques et de réduction des risques de catastrophe naturelle sont au centre du processus de planification et de mise en œuvre, et les considérations fondamentales sont destinées à améliorer l’efficacité et les résultats. Les étapes sont reliées à une ‘boîte à outils’ qui offre une sélection non exhaustive d’orientations et d’outils supplémentaires</w:t>
      </w:r>
      <w:r w:rsidRPr="008966A7">
        <w:rPr>
          <w:rStyle w:val="FootnoteReference"/>
          <w:rFonts w:eastAsia="Calibri"/>
          <w:snapToGrid w:val="0"/>
          <w:kern w:val="22"/>
          <w:sz w:val="20"/>
          <w:szCs w:val="20"/>
          <w:u w:val="none"/>
          <w:vertAlign w:val="superscript"/>
          <w:lang w:val="fr-FR"/>
        </w:rPr>
        <w:footnoteReference w:id="109"/>
      </w:r>
      <w:r>
        <w:rPr>
          <w:rFonts w:eastAsia="Calibri"/>
          <w:snapToGrid w:val="0"/>
          <w:kern w:val="22"/>
          <w:szCs w:val="22"/>
          <w:lang w:val="fr-FR"/>
        </w:rPr>
        <w:t>.</w:t>
      </w:r>
      <w:r w:rsidRPr="008D2DF8">
        <w:rPr>
          <w:rFonts w:eastAsia="Calibri"/>
          <w:snapToGrid w:val="0"/>
          <w:kern w:val="22"/>
          <w:szCs w:val="22"/>
          <w:lang w:val="fr-FR"/>
        </w:rPr>
        <w:t xml:space="preserve"> </w:t>
      </w:r>
      <w:r>
        <w:rPr>
          <w:rFonts w:eastAsia="Calibri"/>
          <w:snapToGrid w:val="0"/>
          <w:kern w:val="22"/>
          <w:szCs w:val="22"/>
          <w:lang w:val="fr-FR"/>
        </w:rPr>
        <w:t>Il convient d’assurer la participation des parties prenantes, l’intégration, le renforcement des capacités et le suivi tout au long du processus.</w:t>
      </w:r>
      <w:bookmarkStart w:id="346" w:name="_Toc504402383"/>
    </w:p>
    <w:p w:rsidR="009F6935" w:rsidRPr="008D2DF8" w:rsidRDefault="009F6935" w:rsidP="009F6935">
      <w:pPr>
        <w:keepNext/>
        <w:suppressLineNumbers/>
        <w:suppressAutoHyphens/>
        <w:kinsoku w:val="0"/>
        <w:overflowPunct w:val="0"/>
        <w:autoSpaceDE w:val="0"/>
        <w:autoSpaceDN w:val="0"/>
        <w:adjustRightInd w:val="0"/>
        <w:snapToGrid w:val="0"/>
        <w:spacing w:before="120" w:after="120"/>
        <w:outlineLvl w:val="1"/>
        <w:rPr>
          <w:b/>
          <w:snapToGrid w:val="0"/>
          <w:kern w:val="22"/>
          <w:szCs w:val="22"/>
          <w:lang w:val="fr-FR"/>
        </w:rPr>
      </w:pPr>
      <w:bookmarkStart w:id="347" w:name="_Toc525904255"/>
      <w:bookmarkStart w:id="348" w:name="_Toc525904414"/>
      <w:bookmarkStart w:id="349" w:name="_Toc525904658"/>
      <w:r>
        <w:rPr>
          <w:b/>
          <w:snapToGrid w:val="0"/>
          <w:kern w:val="22"/>
          <w:szCs w:val="22"/>
          <w:lang w:val="fr-FR"/>
        </w:rPr>
        <w:t>Étape A. Compréhension du système socio-écologique</w:t>
      </w:r>
      <w:bookmarkEnd w:id="347"/>
      <w:bookmarkEnd w:id="348"/>
      <w:bookmarkEnd w:id="349"/>
    </w:p>
    <w:p w:rsidR="009F6935" w:rsidRPr="008D2DF8"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Objet</w:t>
      </w:r>
    </w:p>
    <w:p w:rsidR="009F6935" w:rsidRPr="008D2DF8"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Cette étape exploratoire a pour but d’accroître la compréhension du système socio-écologique ciblé pour des mesures d’adaptation aux changements climatiques et de réduction des risques de catastrophe naturelle.  Elle comprend l’identification de caractéristiques importantes de l’écosystème ou </w:t>
      </w:r>
      <w:r>
        <w:rPr>
          <w:rFonts w:eastAsia="Calibri"/>
          <w:snapToGrid w:val="0"/>
          <w:kern w:val="22"/>
          <w:szCs w:val="22"/>
          <w:lang w:val="fr-FR"/>
        </w:rPr>
        <w:lastRenderedPageBreak/>
        <w:t>paysage, entre autres, la biodiversité et les services et fonctions écosystémiques, et les liens entre ceux-ci et la population. L’Étape A permet de s’attaquer aux causes fondamentales des risques et de s’adapter aux effets actuels et futurs des changements climatiques. En outre, elle produit des informations de base utiles pour s’assurer que les mesures d’adaptation aux changements climatiques de réduction des risques de catastrophe naturelle fondées sur les écosystèmes réconcilient les besoins de conservation et de développement et ne nuisent pas à la biodiversité, à la diversité culturelle, aux services et fonctions écosystémiques ou aux communautés et aux moyens de subsistance qui dépendent de ces services et fonctions, conformément aux principes et aux garanties.</w:t>
      </w:r>
    </w:p>
    <w:p w:rsidR="009F6935" w:rsidRPr="008D2DF8"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En outre, l’Étape A comprend une analyse approfondie des parties prenantes et des processus multipartites et participatifs qui alimentent les étapes suivantes et, par conséquent, des mesures plus détaillées sont présentées pour entreprendre ces analyses (encadré 2).</w:t>
      </w:r>
    </w:p>
    <w:p w:rsidR="009F6935" w:rsidRPr="008D2DF8"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Résultats</w:t>
      </w:r>
    </w:p>
    <w:p w:rsidR="009F6935" w:rsidRPr="008D2DF8" w:rsidRDefault="009F6935" w:rsidP="00004EAF">
      <w:pPr>
        <w:numPr>
          <w:ilvl w:val="0"/>
          <w:numId w:val="6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Un système socio-écologique concerné est défini (biodiversité, écosystèmes et services, caractéristiques socioéconomiques et dépendances) et des buts et objectifs connexes pour l’adaptation et la réduction des risques de catastrophe naturelle sont établis;</w:t>
      </w:r>
    </w:p>
    <w:p w:rsidR="009F6935" w:rsidRPr="008D2DF8" w:rsidRDefault="009F6935" w:rsidP="00004EAF">
      <w:pPr>
        <w:numPr>
          <w:ilvl w:val="0"/>
          <w:numId w:val="6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Les parties prenantes et les détenteurs de droits sont déterminés; </w:t>
      </w:r>
    </w:p>
    <w:p w:rsidR="009F6935" w:rsidRPr="008D2DF8" w:rsidRDefault="009F6935" w:rsidP="00004EAF">
      <w:pPr>
        <w:numPr>
          <w:ilvl w:val="0"/>
          <w:numId w:val="6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Les points d’accès politiques et institutionnels pour les approches écosystémiques d’adaptation aux changements climatiques et/ou de réduction des risques de catastrophe naturelle au sein du système sont identifiés</w:t>
      </w:r>
      <w:r w:rsidRPr="008D2DF8">
        <w:rPr>
          <w:rFonts w:eastAsia="Calibri"/>
          <w:snapToGrid w:val="0"/>
          <w:kern w:val="22"/>
          <w:szCs w:val="22"/>
          <w:lang w:val="fr-FR"/>
        </w:rPr>
        <w:t>.</w:t>
      </w:r>
    </w:p>
    <w:bookmarkEnd w:id="346"/>
    <w:p w:rsidR="009F6935" w:rsidRPr="008D2DF8"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9F6935" w:rsidRPr="008D2DF8" w:rsidRDefault="009F6935" w:rsidP="00004EAF">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Entreprendre une auto-évaluation organisationnelle afin de comprendre les points forts, les faiblesses, les capacités (y compris technique et financière) et les possibilités de partenariat en matière d’approches écosystémiques d’adaptation aux changements climatiques et de réduction des risques de catastrophe naturelle. Sur la base de cette évaluation, une équipe multidisciplinaire (composée, entre autres, de peuples autochtones et communautés locales, d’autres experts, de représentants des secteurs pertinents et d’organes gouvernementaux, sans s’y limiter) est organisée en vue de la planification et de la mise en œuvre des approches écosystémiques d’adaptation aux changements climatiques et de réduction des risques de catastrophe naturelle</w:t>
      </w:r>
      <w:r w:rsidRPr="008D2DF8">
        <w:rPr>
          <w:rFonts w:eastAsia="Calibri"/>
          <w:snapToGrid w:val="0"/>
          <w:kern w:val="22"/>
          <w:szCs w:val="22"/>
          <w:lang w:val="fr-FR"/>
        </w:rPr>
        <w:t>;</w:t>
      </w:r>
    </w:p>
    <w:p w:rsidR="009F6935" w:rsidRPr="008D2DF8" w:rsidRDefault="009F6935" w:rsidP="00004EAF">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Identifier et définir le système socio-écologique concerné (par exemple, un bassin versant, un secteur ou une politique générale);</w:t>
      </w:r>
    </w:p>
    <w:p w:rsidR="009F6935" w:rsidRPr="008D2DF8" w:rsidRDefault="009F6935" w:rsidP="00004EAF">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Effectuer des analyses et mener des consultations, en utilisant l’équipe multidisciplinaire, pour comprendre les facteurs de risque, les capacités et les actifs des communautés, sociétés et économies, ainsi que le milieu social et les milieux naturels plus larges; </w:t>
      </w:r>
    </w:p>
    <w:p w:rsidR="009F6935" w:rsidRPr="008D2DF8" w:rsidRDefault="009F6935" w:rsidP="00004EAF">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8D2DF8">
        <w:rPr>
          <w:rFonts w:eastAsia="Calibri"/>
          <w:snapToGrid w:val="0"/>
          <w:kern w:val="22"/>
          <w:szCs w:val="22"/>
          <w:lang w:val="fr-FR"/>
        </w:rPr>
        <w:t>Analys</w:t>
      </w:r>
      <w:r>
        <w:rPr>
          <w:rFonts w:eastAsia="Calibri"/>
          <w:snapToGrid w:val="0"/>
          <w:kern w:val="22"/>
          <w:szCs w:val="22"/>
          <w:lang w:val="fr-FR"/>
        </w:rPr>
        <w:t>er le problème, déterminer sa portée (géographique et temporelle) en définissant les limites du système (voir les orientations à l’appui dans la boîte à outils associée</w:t>
      </w:r>
      <w:r w:rsidRPr="008966A7">
        <w:rPr>
          <w:rStyle w:val="FootnoteReference"/>
          <w:rFonts w:eastAsia="Calibri"/>
          <w:snapToGrid w:val="0"/>
          <w:kern w:val="22"/>
          <w:sz w:val="20"/>
          <w:szCs w:val="20"/>
          <w:u w:val="none"/>
          <w:vertAlign w:val="superscript"/>
          <w:lang w:val="fr-FR"/>
        </w:rPr>
        <w:footnoteReference w:id="110"/>
      </w:r>
      <w:r>
        <w:rPr>
          <w:rFonts w:eastAsia="Calibri"/>
          <w:snapToGrid w:val="0"/>
          <w:kern w:val="22"/>
          <w:szCs w:val="22"/>
          <w:lang w:val="fr-FR"/>
        </w:rPr>
        <w:t>) et fixer les buts et les objectifs de l’adaptation aux changements climatiques et de la réduction des risques de catastrophe naturelle sans nuire à la biodiversité ou aux services et fonctions écosystémiques. L’échelle spatiale de la gestion des risques associés aux impacts des changements climatiques doit être assez grande pour s’attaquer aux causes fondamentales des risques et procurer de multiples</w:t>
      </w:r>
      <w:r w:rsidRPr="008D2DF8">
        <w:rPr>
          <w:rFonts w:eastAsia="Calibri"/>
          <w:snapToGrid w:val="0"/>
          <w:kern w:val="22"/>
          <w:szCs w:val="22"/>
          <w:lang w:val="fr-FR"/>
        </w:rPr>
        <w:t xml:space="preserve"> </w:t>
      </w:r>
      <w:r>
        <w:rPr>
          <w:rFonts w:eastAsia="Calibri"/>
          <w:snapToGrid w:val="0"/>
          <w:kern w:val="22"/>
          <w:szCs w:val="22"/>
          <w:lang w:val="fr-FR"/>
        </w:rPr>
        <w:t>fonctions à des parties prenantes ayant différents intérêts, et suffisamment petite pour permettre une mise en œuvre;</w:t>
      </w:r>
    </w:p>
    <w:p w:rsidR="009F6935" w:rsidRPr="008D2DF8" w:rsidRDefault="009F6935" w:rsidP="00004EAF">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Recenser et cartographier les principaux services d’approvisionnement, de régulation, de soutien et culturels dans l’écosystème, qui contribuent à la résilience. Étant donné que 90% des catastrophes naturelles sont liées à l’eau, y compris les sécheresses et les inondations, une bonne connaissance de l’hydrologie du paysage est essentielle à l’étude préliminaire et à la conception des mesures d’adaptation aux changements climatiques ou de réduction des risques de catastrophe naturelle;</w:t>
      </w:r>
    </w:p>
    <w:p w:rsidR="009F6935" w:rsidRPr="008D2DF8" w:rsidRDefault="009F6935" w:rsidP="00004EAF">
      <w:pPr>
        <w:numPr>
          <w:ilvl w:val="0"/>
          <w:numId w:val="64"/>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lastRenderedPageBreak/>
        <w:t>Déterminer les premiers points d’accès pour les mesures d’adaptation aux changements climatiques et de réduction des risques de catastrophe naturelle;</w:t>
      </w:r>
    </w:p>
    <w:p w:rsidR="009F6935" w:rsidRPr="008D2DF8" w:rsidRDefault="009F6935" w:rsidP="00004EAF">
      <w:pPr>
        <w:pStyle w:val="ListParagraph"/>
        <w:numPr>
          <w:ilvl w:val="0"/>
          <w:numId w:val="64"/>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Pr>
          <w:rFonts w:eastAsia="Calibri"/>
          <w:snapToGrid w:val="0"/>
          <w:kern w:val="22"/>
          <w:szCs w:val="22"/>
          <w:lang w:val="fr-FR"/>
        </w:rPr>
        <w:t>Sélectionner des points d’accès pertinents pour les mesures d’adaptation aux changements climatiques et de réduction des risques de catastrophe naturelle, en particulier dans un cycle politique, de planification ou budgétaire donné, à différents niveaux et échelles où les considérations relatives à l’adaptation aux changements climatiques et à la réduction des risques de catastrophe naturelle pourraient être intégrées;</w:t>
      </w:r>
    </w:p>
    <w:p w:rsidR="009F6935" w:rsidRPr="008D2DF8" w:rsidRDefault="009F6935" w:rsidP="00004EAF">
      <w:pPr>
        <w:pStyle w:val="ListParagraph"/>
        <w:numPr>
          <w:ilvl w:val="0"/>
          <w:numId w:val="64"/>
        </w:numPr>
        <w:suppressLineNumbers/>
        <w:suppressAutoHyphens/>
        <w:kinsoku w:val="0"/>
        <w:overflowPunct w:val="0"/>
        <w:autoSpaceDE w:val="0"/>
        <w:autoSpaceDN w:val="0"/>
        <w:adjustRightInd w:val="0"/>
        <w:snapToGrid w:val="0"/>
        <w:spacing w:after="120"/>
        <w:ind w:left="0" w:firstLine="720"/>
        <w:contextualSpacing w:val="0"/>
        <w:rPr>
          <w:rFonts w:eastAsia="Calibri"/>
          <w:snapToGrid w:val="0"/>
          <w:kern w:val="22"/>
          <w:szCs w:val="22"/>
          <w:lang w:val="fr-FR"/>
        </w:rPr>
      </w:pPr>
      <w:r>
        <w:rPr>
          <w:rFonts w:eastAsia="Calibri"/>
          <w:snapToGrid w:val="0"/>
          <w:kern w:val="22"/>
          <w:szCs w:val="22"/>
          <w:lang w:val="fr-FR"/>
        </w:rPr>
        <w:t>Définir les responsabilités institutionnelles à l’interface du développement, de la conservation, de l’adaptation aux changements climatiques et de la réduction des risques de catastrophe naturelle, y compris dans les secteurs pertinents;</w:t>
      </w:r>
    </w:p>
    <w:p w:rsidR="009F6935" w:rsidRPr="00377E20" w:rsidRDefault="009F6935" w:rsidP="00004EAF">
      <w:pPr>
        <w:numPr>
          <w:ilvl w:val="0"/>
          <w:numId w:val="64"/>
        </w:numPr>
        <w:suppressLineNumbers/>
        <w:suppressAutoHyphens/>
        <w:kinsoku w:val="0"/>
        <w:overflowPunct w:val="0"/>
        <w:autoSpaceDE w:val="0"/>
        <w:autoSpaceDN w:val="0"/>
        <w:adjustRightInd w:val="0"/>
        <w:snapToGrid w:val="0"/>
        <w:spacing w:after="240"/>
        <w:ind w:left="0" w:firstLine="720"/>
        <w:rPr>
          <w:rFonts w:eastAsia="Calibri"/>
          <w:snapToGrid w:val="0"/>
          <w:kern w:val="22"/>
          <w:szCs w:val="22"/>
          <w:lang w:val="fr-FR"/>
        </w:rPr>
      </w:pPr>
      <w:r>
        <w:rPr>
          <w:rFonts w:eastAsia="Calibri"/>
          <w:snapToGrid w:val="0"/>
          <w:kern w:val="22"/>
          <w:szCs w:val="22"/>
          <w:lang w:val="fr-FR"/>
        </w:rPr>
        <w:t>Effectuer une analyse approfondie des parties prenantes (encadré 2).</w:t>
      </w:r>
    </w:p>
    <w:p w:rsidR="009F6935" w:rsidRPr="00E96C13" w:rsidRDefault="009F6935" w:rsidP="009F6935">
      <w:pPr>
        <w:suppressLineNumbers/>
        <w:suppressAutoHyphens/>
        <w:kinsoku w:val="0"/>
        <w:overflowPunct w:val="0"/>
        <w:autoSpaceDE w:val="0"/>
        <w:autoSpaceDN w:val="0"/>
        <w:adjustRightInd w:val="0"/>
        <w:snapToGrid w:val="0"/>
        <w:spacing w:before="40" w:after="40"/>
        <w:rPr>
          <w:rFonts w:eastAsia="Calibri"/>
          <w:snapToGrid w:val="0"/>
          <w:kern w:val="22"/>
          <w:szCs w:val="22"/>
        </w:rPr>
      </w:pPr>
      <w:r w:rsidRPr="00E96C13">
        <w:rPr>
          <w:rFonts w:eastAsia="Calibri"/>
          <w:noProof/>
          <w:snapToGrid w:val="0"/>
          <w:kern w:val="22"/>
          <w:szCs w:val="22"/>
          <w:lang w:val="fr-FR" w:eastAsia="fr-FR"/>
        </w:rPr>
        <mc:AlternateContent>
          <mc:Choice Requires="wps">
            <w:drawing>
              <wp:inline distT="0" distB="0" distL="0" distR="0" wp14:anchorId="06112DED" wp14:editId="5C1B881B">
                <wp:extent cx="5943600" cy="4858603"/>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58603"/>
                        </a:xfrm>
                        <a:prstGeom prst="rect">
                          <a:avLst/>
                        </a:prstGeom>
                        <a:solidFill>
                          <a:srgbClr val="FFFFFF"/>
                        </a:solidFill>
                        <a:ln w="9525">
                          <a:solidFill>
                            <a:srgbClr val="000000"/>
                          </a:solidFill>
                          <a:miter lim="800000"/>
                          <a:headEnd/>
                          <a:tailEnd/>
                        </a:ln>
                      </wps:spPr>
                      <wps:txbx>
                        <w:txbxContent>
                          <w:p w:rsidR="00E62BFB" w:rsidRPr="004273A5" w:rsidRDefault="00E62BFB" w:rsidP="009F6935">
                            <w:pPr>
                              <w:spacing w:after="120"/>
                              <w:jc w:val="center"/>
                              <w:rPr>
                                <w:rFonts w:ascii="Century Gothic" w:hAnsi="Century Gothic"/>
                                <w:b/>
                                <w:bCs/>
                                <w:color w:val="4F81BD"/>
                                <w:lang w:val="fr-FR"/>
                              </w:rPr>
                            </w:pPr>
                            <w:r w:rsidRPr="004273A5">
                              <w:rPr>
                                <w:rFonts w:ascii="Century Gothic" w:hAnsi="Century Gothic"/>
                                <w:b/>
                                <w:bCs/>
                                <w:color w:val="4F81BD"/>
                                <w:lang w:val="fr-FR"/>
                              </w:rPr>
                              <w:t>Encadré 2. .Analyse des parties prenantes et des détenteurs de droits, et mise en place de mécanismes participatifs</w:t>
                            </w:r>
                          </w:p>
                          <w:p w:rsidR="00E62BFB" w:rsidRPr="006F1366" w:rsidRDefault="00E62BFB" w:rsidP="009F6935">
                            <w:pPr>
                              <w:spacing w:before="40" w:after="120"/>
                              <w:rPr>
                                <w:sz w:val="20"/>
                                <w:szCs w:val="20"/>
                                <w:lang w:val="fr-FR"/>
                              </w:rPr>
                            </w:pPr>
                            <w:r>
                              <w:rPr>
                                <w:sz w:val="20"/>
                                <w:szCs w:val="20"/>
                                <w:lang w:val="fr-FR"/>
                              </w:rPr>
                              <w:t>Une évaluation de l’écos</w:t>
                            </w:r>
                            <w:r w:rsidRPr="006F1366">
                              <w:rPr>
                                <w:sz w:val="20"/>
                                <w:szCs w:val="20"/>
                                <w:lang w:val="fr-FR"/>
                              </w:rPr>
                              <w:t xml:space="preserve">ystème ou </w:t>
                            </w:r>
                            <w:r>
                              <w:rPr>
                                <w:sz w:val="20"/>
                                <w:szCs w:val="20"/>
                                <w:lang w:val="fr-FR"/>
                              </w:rPr>
                              <w:t xml:space="preserve">du </w:t>
                            </w:r>
                            <w:r w:rsidRPr="006F1366">
                              <w:rPr>
                                <w:sz w:val="20"/>
                                <w:szCs w:val="20"/>
                                <w:lang w:val="fr-FR"/>
                              </w:rPr>
                              <w:t xml:space="preserve">paysage aide à analyser le problème, </w:t>
                            </w:r>
                            <w:r>
                              <w:rPr>
                                <w:sz w:val="20"/>
                                <w:szCs w:val="20"/>
                                <w:lang w:val="fr-FR"/>
                              </w:rPr>
                              <w:t xml:space="preserve">à </w:t>
                            </w:r>
                            <w:r w:rsidRPr="006F1366">
                              <w:rPr>
                                <w:sz w:val="20"/>
                                <w:szCs w:val="20"/>
                                <w:lang w:val="fr-FR"/>
                              </w:rPr>
                              <w:t>défi</w:t>
                            </w:r>
                            <w:r>
                              <w:rPr>
                                <w:sz w:val="20"/>
                                <w:szCs w:val="20"/>
                                <w:lang w:val="fr-FR"/>
                              </w:rPr>
                              <w:t>nir les limites des mesure</w:t>
                            </w:r>
                            <w:r w:rsidRPr="006F1366">
                              <w:rPr>
                                <w:sz w:val="20"/>
                                <w:szCs w:val="20"/>
                                <w:lang w:val="fr-FR"/>
                              </w:rPr>
                              <w:t xml:space="preserve">s d’adaptation aux changements climatiques et de réduction des risques de </w:t>
                            </w:r>
                            <w:r>
                              <w:rPr>
                                <w:sz w:val="20"/>
                                <w:szCs w:val="20"/>
                                <w:lang w:val="fr-FR"/>
                              </w:rPr>
                              <w:t>catastrophe naturelle</w:t>
                            </w:r>
                            <w:r w:rsidRPr="006F1366">
                              <w:rPr>
                                <w:sz w:val="20"/>
                                <w:szCs w:val="20"/>
                                <w:lang w:val="fr-FR"/>
                              </w:rPr>
                              <w:t xml:space="preserve">, et </w:t>
                            </w:r>
                            <w:r>
                              <w:rPr>
                                <w:sz w:val="20"/>
                                <w:szCs w:val="20"/>
                                <w:lang w:val="fr-FR"/>
                              </w:rPr>
                              <w:t>à sélectionner d</w:t>
                            </w:r>
                            <w:r w:rsidRPr="006F1366">
                              <w:rPr>
                                <w:sz w:val="20"/>
                                <w:szCs w:val="20"/>
                                <w:lang w:val="fr-FR"/>
                              </w:rPr>
                              <w:t xml:space="preserve">es </w:t>
                            </w:r>
                            <w:r>
                              <w:rPr>
                                <w:sz w:val="20"/>
                                <w:szCs w:val="20"/>
                                <w:lang w:val="fr-FR"/>
                              </w:rPr>
                              <w:t>points d’accès</w:t>
                            </w:r>
                            <w:r w:rsidRPr="006F1366">
                              <w:rPr>
                                <w:sz w:val="20"/>
                                <w:szCs w:val="20"/>
                                <w:lang w:val="fr-FR"/>
                              </w:rPr>
                              <w:t xml:space="preserve"> </w:t>
                            </w:r>
                            <w:r>
                              <w:rPr>
                                <w:sz w:val="20"/>
                                <w:szCs w:val="20"/>
                                <w:lang w:val="fr-FR"/>
                              </w:rPr>
                              <w:t>pour les approches écosystémiques d’adaptation aux changements climatiques et de réduction des risques de catastrophe naturelle</w:t>
                            </w:r>
                            <w:r w:rsidRPr="006F1366">
                              <w:rPr>
                                <w:sz w:val="20"/>
                                <w:szCs w:val="20"/>
                                <w:lang w:val="fr-FR"/>
                              </w:rPr>
                              <w:t>. Ces informations devraient alimenter une analyse approfondie des part</w:t>
                            </w:r>
                            <w:r>
                              <w:rPr>
                                <w:sz w:val="20"/>
                                <w:szCs w:val="20"/>
                                <w:lang w:val="fr-FR"/>
                              </w:rPr>
                              <w:t>ies prenantes avant d’assurer leur participation</w:t>
                            </w:r>
                            <w:r w:rsidRPr="006F1366">
                              <w:rPr>
                                <w:sz w:val="20"/>
                                <w:szCs w:val="20"/>
                                <w:lang w:val="fr-FR"/>
                              </w:rPr>
                              <w:t xml:space="preserve"> à l’ensemble du processus d’adaptation </w:t>
                            </w:r>
                            <w:r>
                              <w:rPr>
                                <w:sz w:val="20"/>
                                <w:szCs w:val="20"/>
                                <w:lang w:val="fr-FR"/>
                              </w:rPr>
                              <w:t xml:space="preserve">aux changements climatiques </w:t>
                            </w:r>
                            <w:r w:rsidRPr="006F1366">
                              <w:rPr>
                                <w:sz w:val="20"/>
                                <w:szCs w:val="20"/>
                                <w:lang w:val="fr-FR"/>
                              </w:rPr>
                              <w:t xml:space="preserve">et de réduction des risques de </w:t>
                            </w:r>
                            <w:r>
                              <w:rPr>
                                <w:sz w:val="20"/>
                                <w:szCs w:val="20"/>
                                <w:lang w:val="fr-FR"/>
                              </w:rPr>
                              <w:t>catastrophe naturelle</w:t>
                            </w:r>
                            <w:r w:rsidRPr="006F1366">
                              <w:rPr>
                                <w:sz w:val="20"/>
                                <w:szCs w:val="20"/>
                                <w:lang w:val="fr-FR"/>
                              </w:rPr>
                              <w:t xml:space="preserve">, et bénéficie aussi itérativement des informations fournies par les parties prenantes. La participation des parties prenantes et des détenteurs de droits </w:t>
                            </w:r>
                            <w:r>
                              <w:rPr>
                                <w:sz w:val="20"/>
                                <w:szCs w:val="20"/>
                                <w:lang w:val="fr-FR"/>
                              </w:rPr>
                              <w:t>augmentera la responsabilisation, et probablement aussi les</w:t>
                            </w:r>
                            <w:r w:rsidRPr="006F1366">
                              <w:rPr>
                                <w:sz w:val="20"/>
                                <w:szCs w:val="20"/>
                                <w:lang w:val="fr-FR"/>
                              </w:rPr>
                              <w:t xml:space="preserve"> chance</w:t>
                            </w:r>
                            <w:r>
                              <w:rPr>
                                <w:sz w:val="20"/>
                                <w:szCs w:val="20"/>
                                <w:lang w:val="fr-FR"/>
                              </w:rPr>
                              <w:t>s de succès de toute mesure d’adaptation aux changements climatiques ou de réduction des risques de catastrophe naturelle. La réalisation d’</w:t>
                            </w:r>
                            <w:r w:rsidRPr="006F1366">
                              <w:rPr>
                                <w:sz w:val="20"/>
                                <w:szCs w:val="20"/>
                                <w:lang w:val="fr-FR"/>
                              </w:rPr>
                              <w:t xml:space="preserve">analyses approfondies de parties prenantes </w:t>
                            </w:r>
                            <w:r>
                              <w:rPr>
                                <w:sz w:val="20"/>
                                <w:szCs w:val="20"/>
                                <w:lang w:val="fr-FR"/>
                              </w:rPr>
                              <w:t>et l’élaboration</w:t>
                            </w:r>
                            <w:r w:rsidRPr="006F1366">
                              <w:rPr>
                                <w:sz w:val="20"/>
                                <w:szCs w:val="20"/>
                                <w:lang w:val="fr-FR"/>
                              </w:rPr>
                              <w:t xml:space="preserve"> de processus multipartites et de mécanism</w:t>
                            </w:r>
                            <w:r>
                              <w:rPr>
                                <w:sz w:val="20"/>
                                <w:szCs w:val="20"/>
                                <w:lang w:val="fr-FR"/>
                              </w:rPr>
                              <w:t>es participatifs sont essentielles</w:t>
                            </w:r>
                            <w:r w:rsidRPr="006F1366">
                              <w:rPr>
                                <w:sz w:val="20"/>
                                <w:szCs w:val="20"/>
                                <w:lang w:val="fr-FR"/>
                              </w:rPr>
                              <w:t xml:space="preserve"> pou</w:t>
                            </w:r>
                            <w:r>
                              <w:rPr>
                                <w:sz w:val="20"/>
                                <w:szCs w:val="20"/>
                                <w:lang w:val="fr-FR"/>
                              </w:rPr>
                              <w:t>r satisfaire aux principes d’équité et d</w:t>
                            </w:r>
                            <w:r w:rsidRPr="006F1366">
                              <w:rPr>
                                <w:sz w:val="20"/>
                                <w:szCs w:val="20"/>
                                <w:lang w:val="fr-FR"/>
                              </w:rPr>
                              <w:t>’inclusion, et aux garanties connexes. Les Lignes directrices Akwé: Kon (</w:t>
                            </w:r>
                            <w:hyperlink r:id="rId40" w:history="1">
                              <w:r w:rsidRPr="006F1366">
                                <w:rPr>
                                  <w:rStyle w:val="Hyperlink"/>
                                  <w:sz w:val="20"/>
                                  <w:szCs w:val="20"/>
                                  <w:lang w:val="fr-FR"/>
                                </w:rPr>
                                <w:t>https://www.cbd.int/traditional/guidelines.shtml</w:t>
                              </w:r>
                            </w:hyperlink>
                            <w:r w:rsidRPr="006F1366">
                              <w:rPr>
                                <w:sz w:val="20"/>
                                <w:szCs w:val="20"/>
                                <w:lang w:val="fr-FR"/>
                              </w:rPr>
                              <w:t xml:space="preserve">) décrivent </w:t>
                            </w:r>
                            <w:r>
                              <w:rPr>
                                <w:sz w:val="20"/>
                                <w:szCs w:val="20"/>
                                <w:lang w:val="fr-FR"/>
                              </w:rPr>
                              <w:t>des considérations de procédure</w:t>
                            </w:r>
                            <w:r w:rsidRPr="006F1366">
                              <w:rPr>
                                <w:sz w:val="20"/>
                                <w:szCs w:val="20"/>
                                <w:lang w:val="fr-FR"/>
                              </w:rPr>
                              <w:t xml:space="preserve"> pour la conduite d’études de l’impact culturel, environnemental et social qui sont largement </w:t>
                            </w:r>
                            <w:r w:rsidRPr="00FD6F59">
                              <w:rPr>
                                <w:sz w:val="20"/>
                                <w:szCs w:val="20"/>
                                <w:lang w:val="fr-FR"/>
                              </w:rPr>
                              <w:t xml:space="preserve">applicables </w:t>
                            </w:r>
                            <w:r>
                              <w:rPr>
                                <w:rFonts w:eastAsia="Calibri"/>
                                <w:snapToGrid w:val="0"/>
                                <w:kern w:val="22"/>
                                <w:sz w:val="20"/>
                                <w:szCs w:val="20"/>
                                <w:lang w:val="fr-FR"/>
                              </w:rPr>
                              <w:t>aux approches écosystémiques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w:t>
                            </w:r>
                          </w:p>
                          <w:p w:rsidR="00E62BFB" w:rsidRPr="006F1366" w:rsidRDefault="00E62BFB" w:rsidP="009F6935">
                            <w:pPr>
                              <w:spacing w:before="40" w:after="40"/>
                              <w:jc w:val="left"/>
                              <w:rPr>
                                <w:b/>
                                <w:bCs/>
                                <w:color w:val="4F81BD"/>
                                <w:sz w:val="20"/>
                                <w:szCs w:val="20"/>
                                <w:lang w:val="fr-FR"/>
                              </w:rPr>
                            </w:pPr>
                            <w:r w:rsidRPr="006F1366">
                              <w:rPr>
                                <w:b/>
                                <w:bCs/>
                                <w:color w:val="4F81BD"/>
                                <w:sz w:val="20"/>
                                <w:szCs w:val="20"/>
                                <w:lang w:val="fr-FR"/>
                              </w:rPr>
                              <w:t>Mesures clés</w:t>
                            </w:r>
                          </w:p>
                          <w:p w:rsidR="00E62BFB" w:rsidRPr="006F1366" w:rsidRDefault="00E62BFB" w:rsidP="00004EAF">
                            <w:pPr>
                              <w:pStyle w:val="ListParagraph"/>
                              <w:numPr>
                                <w:ilvl w:val="0"/>
                                <w:numId w:val="53"/>
                              </w:numPr>
                              <w:spacing w:before="40" w:after="40"/>
                              <w:jc w:val="left"/>
                              <w:rPr>
                                <w:sz w:val="20"/>
                                <w:szCs w:val="20"/>
                                <w:lang w:val="fr-FR"/>
                              </w:rPr>
                            </w:pPr>
                            <w:r w:rsidRPr="006F1366">
                              <w:rPr>
                                <w:sz w:val="20"/>
                                <w:szCs w:val="20"/>
                                <w:lang w:val="fr-FR"/>
                              </w:rPr>
                              <w:t xml:space="preserve">Identifier les peuples autochtones, les communautés locales, les parties prenantes et les détenteurs de </w:t>
                            </w:r>
                            <w:r>
                              <w:rPr>
                                <w:sz w:val="20"/>
                                <w:szCs w:val="20"/>
                                <w:lang w:val="fr-FR"/>
                              </w:rPr>
                              <w:t xml:space="preserve">droits susceptibles d’être affectés par les </w:t>
                            </w:r>
                            <w:r w:rsidRPr="00FD6F59">
                              <w:rPr>
                                <w:sz w:val="20"/>
                                <w:szCs w:val="20"/>
                                <w:lang w:val="fr-FR"/>
                              </w:rPr>
                              <w:t>mesures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E62BFB" w:rsidRPr="006F1366" w:rsidRDefault="00E62BFB" w:rsidP="00004EAF">
                            <w:pPr>
                              <w:pStyle w:val="ListParagraph"/>
                              <w:numPr>
                                <w:ilvl w:val="0"/>
                                <w:numId w:val="53"/>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Pr>
                                <w:sz w:val="20"/>
                                <w:szCs w:val="20"/>
                                <w:lang w:val="fr-FR"/>
                              </w:rPr>
                              <w:t>s</w:t>
                            </w:r>
                            <w:r w:rsidRPr="006F1366">
                              <w:rPr>
                                <w:sz w:val="20"/>
                                <w:szCs w:val="20"/>
                                <w:lang w:val="fr-FR"/>
                              </w:rPr>
                              <w:t xml:space="preserve">, y compris les </w:t>
                            </w:r>
                            <w:r>
                              <w:rPr>
                                <w:sz w:val="20"/>
                                <w:szCs w:val="20"/>
                                <w:lang w:val="fr-FR"/>
                              </w:rPr>
                              <w:t xml:space="preserve">peuples autochtones et communautés locales, les populations </w:t>
                            </w:r>
                            <w:r w:rsidRPr="006F1366">
                              <w:rPr>
                                <w:sz w:val="20"/>
                                <w:szCs w:val="20"/>
                                <w:lang w:val="fr-FR"/>
                              </w:rPr>
                              <w:t xml:space="preserve">pauvres, les femmes, les jeunes et les personnes âgées, </w:t>
                            </w:r>
                            <w:r>
                              <w:rPr>
                                <w:sz w:val="20"/>
                                <w:szCs w:val="20"/>
                                <w:lang w:val="fr-FR"/>
                              </w:rPr>
                              <w:t>en veillant à ce qu’ils aient les</w:t>
                            </w:r>
                            <w:r w:rsidRPr="006F1366">
                              <w:rPr>
                                <w:sz w:val="20"/>
                                <w:szCs w:val="20"/>
                                <w:lang w:val="fr-FR"/>
                              </w:rPr>
                              <w:t xml:space="preserve"> capacité</w:t>
                            </w:r>
                            <w:r>
                              <w:rPr>
                                <w:sz w:val="20"/>
                                <w:szCs w:val="20"/>
                                <w:lang w:val="fr-FR"/>
                              </w:rPr>
                              <w:t>s</w:t>
                            </w:r>
                            <w:r w:rsidRPr="006F1366">
                              <w:rPr>
                                <w:sz w:val="20"/>
                                <w:szCs w:val="20"/>
                                <w:lang w:val="fr-FR"/>
                              </w:rPr>
                              <w:t xml:space="preserve"> et des ressources humaines, techniques, financières et juridiques suffisantes pour le faire (conformément aux garanties).</w:t>
                            </w:r>
                          </w:p>
                          <w:p w:rsidR="00E62BFB" w:rsidRPr="006F1366" w:rsidRDefault="00E62BFB" w:rsidP="00004EAF">
                            <w:pPr>
                              <w:pStyle w:val="ListParagraph"/>
                              <w:numPr>
                                <w:ilvl w:val="0"/>
                                <w:numId w:val="53"/>
                              </w:numPr>
                              <w:spacing w:after="160" w:line="259" w:lineRule="auto"/>
                              <w:jc w:val="left"/>
                              <w:rPr>
                                <w:sz w:val="20"/>
                                <w:szCs w:val="20"/>
                                <w:lang w:val="fr-FR"/>
                              </w:rPr>
                            </w:pPr>
                            <w:r>
                              <w:rPr>
                                <w:sz w:val="20"/>
                                <w:szCs w:val="20"/>
                                <w:lang w:val="fr-FR"/>
                              </w:rPr>
                              <w:t>Engager un</w:t>
                            </w:r>
                            <w:r w:rsidRPr="006F1366">
                              <w:rPr>
                                <w:sz w:val="20"/>
                                <w:szCs w:val="20"/>
                                <w:lang w:val="fr-FR"/>
                              </w:rPr>
                              <w:t xml:space="preserve"> dialogue avec les organisations de la société civiles et/ou organisations communautaires afin de permettre leur participation effective.</w:t>
                            </w:r>
                          </w:p>
                          <w:p w:rsidR="00E62BFB" w:rsidRPr="004273A5" w:rsidRDefault="00E62BFB" w:rsidP="00004EAF">
                            <w:pPr>
                              <w:pStyle w:val="ListParagraph"/>
                              <w:numPr>
                                <w:ilvl w:val="0"/>
                                <w:numId w:val="53"/>
                              </w:numPr>
                              <w:spacing w:after="160" w:line="259" w:lineRule="auto"/>
                              <w:jc w:val="left"/>
                              <w:rPr>
                                <w:sz w:val="20"/>
                                <w:szCs w:val="20"/>
                                <w:lang w:val="fr-FR"/>
                              </w:rPr>
                            </w:pPr>
                            <w:r w:rsidRPr="006F1366">
                              <w:rPr>
                                <w:sz w:val="20"/>
                                <w:szCs w:val="20"/>
                                <w:lang w:val="fr-FR"/>
                              </w:rPr>
                              <w:t>Le cas échéant, recenser et protéger les droits foncie</w:t>
                            </w:r>
                            <w:r>
                              <w:rPr>
                                <w:sz w:val="20"/>
                                <w:szCs w:val="20"/>
                                <w:lang w:val="fr-FR"/>
                              </w:rPr>
                              <w:t>rs et d’accès à des zones aux fins d</w:t>
                            </w:r>
                            <w:r w:rsidRPr="006F1366">
                              <w:rPr>
                                <w:sz w:val="20"/>
                                <w:szCs w:val="20"/>
                                <w:lang w:val="fr-FR"/>
                              </w:rPr>
                              <w:t>’utilisation de ressources biologiques.</w:t>
                            </w:r>
                          </w:p>
                        </w:txbxContent>
                      </wps:txbx>
                      <wps:bodyPr rot="0" vert="horz" wrap="square" lIns="91440" tIns="45720" rIns="91440" bIns="45720" anchor="t" anchorCtr="0">
                        <a:noAutofit/>
                      </wps:bodyPr>
                    </wps:wsp>
                  </a:graphicData>
                </a:graphic>
              </wp:inline>
            </w:drawing>
          </mc:Choice>
          <mc:Fallback>
            <w:pict>
              <v:shape w14:anchorId="06112DED" id="Text Box 2" o:spid="_x0000_s1031" type="#_x0000_t202" style="width:468pt;height:38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x+1KQIAAE4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">
                <v:textbox>
                  <w:txbxContent>
                    <w:p w:rsidR="00E62BFB" w:rsidRPr="004273A5" w:rsidRDefault="00E62BFB" w:rsidP="009F6935">
                      <w:pPr>
                        <w:spacing w:after="120"/>
                        <w:jc w:val="center"/>
                        <w:rPr>
                          <w:rFonts w:ascii="Century Gothic" w:hAnsi="Century Gothic"/>
                          <w:b/>
                          <w:bCs/>
                          <w:color w:val="4F81BD"/>
                          <w:lang w:val="fr-FR"/>
                        </w:rPr>
                      </w:pPr>
                      <w:r w:rsidRPr="004273A5">
                        <w:rPr>
                          <w:rFonts w:ascii="Century Gothic" w:hAnsi="Century Gothic"/>
                          <w:b/>
                          <w:bCs/>
                          <w:color w:val="4F81BD"/>
                          <w:lang w:val="fr-FR"/>
                        </w:rPr>
                        <w:t>Encadré 2. .Analyse des parties prenantes et des détenteurs de droits, et mise en place de mécanismes participatifs</w:t>
                      </w:r>
                    </w:p>
                    <w:p w:rsidR="00E62BFB" w:rsidRPr="006F1366" w:rsidRDefault="00E62BFB" w:rsidP="009F6935">
                      <w:pPr>
                        <w:spacing w:before="40" w:after="120"/>
                        <w:rPr>
                          <w:sz w:val="20"/>
                          <w:szCs w:val="20"/>
                          <w:lang w:val="fr-FR"/>
                        </w:rPr>
                      </w:pPr>
                      <w:r>
                        <w:rPr>
                          <w:sz w:val="20"/>
                          <w:szCs w:val="20"/>
                          <w:lang w:val="fr-FR"/>
                        </w:rPr>
                        <w:t>Une évaluation de l’écos</w:t>
                      </w:r>
                      <w:r w:rsidRPr="006F1366">
                        <w:rPr>
                          <w:sz w:val="20"/>
                          <w:szCs w:val="20"/>
                          <w:lang w:val="fr-FR"/>
                        </w:rPr>
                        <w:t xml:space="preserve">ystème ou </w:t>
                      </w:r>
                      <w:r>
                        <w:rPr>
                          <w:sz w:val="20"/>
                          <w:szCs w:val="20"/>
                          <w:lang w:val="fr-FR"/>
                        </w:rPr>
                        <w:t xml:space="preserve">du </w:t>
                      </w:r>
                      <w:r w:rsidRPr="006F1366">
                        <w:rPr>
                          <w:sz w:val="20"/>
                          <w:szCs w:val="20"/>
                          <w:lang w:val="fr-FR"/>
                        </w:rPr>
                        <w:t xml:space="preserve">paysage aide à analyser le problème, </w:t>
                      </w:r>
                      <w:r>
                        <w:rPr>
                          <w:sz w:val="20"/>
                          <w:szCs w:val="20"/>
                          <w:lang w:val="fr-FR"/>
                        </w:rPr>
                        <w:t xml:space="preserve">à </w:t>
                      </w:r>
                      <w:r w:rsidRPr="006F1366">
                        <w:rPr>
                          <w:sz w:val="20"/>
                          <w:szCs w:val="20"/>
                          <w:lang w:val="fr-FR"/>
                        </w:rPr>
                        <w:t>défi</w:t>
                      </w:r>
                      <w:r>
                        <w:rPr>
                          <w:sz w:val="20"/>
                          <w:szCs w:val="20"/>
                          <w:lang w:val="fr-FR"/>
                        </w:rPr>
                        <w:t>nir les limites des mesure</w:t>
                      </w:r>
                      <w:r w:rsidRPr="006F1366">
                        <w:rPr>
                          <w:sz w:val="20"/>
                          <w:szCs w:val="20"/>
                          <w:lang w:val="fr-FR"/>
                        </w:rPr>
                        <w:t xml:space="preserve">s d’adaptation aux changements climatiques et de réduction des risques de </w:t>
                      </w:r>
                      <w:r>
                        <w:rPr>
                          <w:sz w:val="20"/>
                          <w:szCs w:val="20"/>
                          <w:lang w:val="fr-FR"/>
                        </w:rPr>
                        <w:t>catastrophe naturelle</w:t>
                      </w:r>
                      <w:r w:rsidRPr="006F1366">
                        <w:rPr>
                          <w:sz w:val="20"/>
                          <w:szCs w:val="20"/>
                          <w:lang w:val="fr-FR"/>
                        </w:rPr>
                        <w:t xml:space="preserve">, et </w:t>
                      </w:r>
                      <w:r>
                        <w:rPr>
                          <w:sz w:val="20"/>
                          <w:szCs w:val="20"/>
                          <w:lang w:val="fr-FR"/>
                        </w:rPr>
                        <w:t>à sélectionner d</w:t>
                      </w:r>
                      <w:r w:rsidRPr="006F1366">
                        <w:rPr>
                          <w:sz w:val="20"/>
                          <w:szCs w:val="20"/>
                          <w:lang w:val="fr-FR"/>
                        </w:rPr>
                        <w:t xml:space="preserve">es </w:t>
                      </w:r>
                      <w:r>
                        <w:rPr>
                          <w:sz w:val="20"/>
                          <w:szCs w:val="20"/>
                          <w:lang w:val="fr-FR"/>
                        </w:rPr>
                        <w:t>points d’accès</w:t>
                      </w:r>
                      <w:r w:rsidRPr="006F1366">
                        <w:rPr>
                          <w:sz w:val="20"/>
                          <w:szCs w:val="20"/>
                          <w:lang w:val="fr-FR"/>
                        </w:rPr>
                        <w:t xml:space="preserve"> </w:t>
                      </w:r>
                      <w:r>
                        <w:rPr>
                          <w:sz w:val="20"/>
                          <w:szCs w:val="20"/>
                          <w:lang w:val="fr-FR"/>
                        </w:rPr>
                        <w:t>pour les approches écosystémiques d’adaptation aux changements climatiques et de réduction des risques de catastrophe naturelle</w:t>
                      </w:r>
                      <w:r w:rsidRPr="006F1366">
                        <w:rPr>
                          <w:sz w:val="20"/>
                          <w:szCs w:val="20"/>
                          <w:lang w:val="fr-FR"/>
                        </w:rPr>
                        <w:t>. Ces informations devraient alimenter une analyse approfondie des part</w:t>
                      </w:r>
                      <w:r>
                        <w:rPr>
                          <w:sz w:val="20"/>
                          <w:szCs w:val="20"/>
                          <w:lang w:val="fr-FR"/>
                        </w:rPr>
                        <w:t>ies prenantes avant d’assurer leur participation</w:t>
                      </w:r>
                      <w:r w:rsidRPr="006F1366">
                        <w:rPr>
                          <w:sz w:val="20"/>
                          <w:szCs w:val="20"/>
                          <w:lang w:val="fr-FR"/>
                        </w:rPr>
                        <w:t xml:space="preserve"> à l’ensemble du processus d’adaptation </w:t>
                      </w:r>
                      <w:r>
                        <w:rPr>
                          <w:sz w:val="20"/>
                          <w:szCs w:val="20"/>
                          <w:lang w:val="fr-FR"/>
                        </w:rPr>
                        <w:t xml:space="preserve">aux changements climatiques </w:t>
                      </w:r>
                      <w:r w:rsidRPr="006F1366">
                        <w:rPr>
                          <w:sz w:val="20"/>
                          <w:szCs w:val="20"/>
                          <w:lang w:val="fr-FR"/>
                        </w:rPr>
                        <w:t xml:space="preserve">et de réduction des risques de </w:t>
                      </w:r>
                      <w:r>
                        <w:rPr>
                          <w:sz w:val="20"/>
                          <w:szCs w:val="20"/>
                          <w:lang w:val="fr-FR"/>
                        </w:rPr>
                        <w:t>catastrophe naturelle</w:t>
                      </w:r>
                      <w:r w:rsidRPr="006F1366">
                        <w:rPr>
                          <w:sz w:val="20"/>
                          <w:szCs w:val="20"/>
                          <w:lang w:val="fr-FR"/>
                        </w:rPr>
                        <w:t xml:space="preserve">, et bénéficie aussi itérativement des informations fournies par les parties prenantes. La participation des parties prenantes et des détenteurs de droits </w:t>
                      </w:r>
                      <w:r>
                        <w:rPr>
                          <w:sz w:val="20"/>
                          <w:szCs w:val="20"/>
                          <w:lang w:val="fr-FR"/>
                        </w:rPr>
                        <w:t>augmentera la responsabilisation, et probablement aussi les</w:t>
                      </w:r>
                      <w:r w:rsidRPr="006F1366">
                        <w:rPr>
                          <w:sz w:val="20"/>
                          <w:szCs w:val="20"/>
                          <w:lang w:val="fr-FR"/>
                        </w:rPr>
                        <w:t xml:space="preserve"> chance</w:t>
                      </w:r>
                      <w:r>
                        <w:rPr>
                          <w:sz w:val="20"/>
                          <w:szCs w:val="20"/>
                          <w:lang w:val="fr-FR"/>
                        </w:rPr>
                        <w:t>s de succès de toute mesure d’adaptation aux changements climatiques ou de réduction des risques de catastrophe naturelle. La réalisation d’</w:t>
                      </w:r>
                      <w:r w:rsidRPr="006F1366">
                        <w:rPr>
                          <w:sz w:val="20"/>
                          <w:szCs w:val="20"/>
                          <w:lang w:val="fr-FR"/>
                        </w:rPr>
                        <w:t xml:space="preserve">analyses approfondies de parties prenantes </w:t>
                      </w:r>
                      <w:r>
                        <w:rPr>
                          <w:sz w:val="20"/>
                          <w:szCs w:val="20"/>
                          <w:lang w:val="fr-FR"/>
                        </w:rPr>
                        <w:t>et l’élaboration</w:t>
                      </w:r>
                      <w:r w:rsidRPr="006F1366">
                        <w:rPr>
                          <w:sz w:val="20"/>
                          <w:szCs w:val="20"/>
                          <w:lang w:val="fr-FR"/>
                        </w:rPr>
                        <w:t xml:space="preserve"> de processus multipartites et de mécanism</w:t>
                      </w:r>
                      <w:r>
                        <w:rPr>
                          <w:sz w:val="20"/>
                          <w:szCs w:val="20"/>
                          <w:lang w:val="fr-FR"/>
                        </w:rPr>
                        <w:t>es participatifs sont essentielles</w:t>
                      </w:r>
                      <w:r w:rsidRPr="006F1366">
                        <w:rPr>
                          <w:sz w:val="20"/>
                          <w:szCs w:val="20"/>
                          <w:lang w:val="fr-FR"/>
                        </w:rPr>
                        <w:t xml:space="preserve"> pou</w:t>
                      </w:r>
                      <w:r>
                        <w:rPr>
                          <w:sz w:val="20"/>
                          <w:szCs w:val="20"/>
                          <w:lang w:val="fr-FR"/>
                        </w:rPr>
                        <w:t>r satisfaire aux principes d’équité et d</w:t>
                      </w:r>
                      <w:r w:rsidRPr="006F1366">
                        <w:rPr>
                          <w:sz w:val="20"/>
                          <w:szCs w:val="20"/>
                          <w:lang w:val="fr-FR"/>
                        </w:rPr>
                        <w:t>’inclusion, et aux garanties connexes. Les Lignes directrices Akwé: Kon (</w:t>
                      </w:r>
                      <w:hyperlink r:id="rId41" w:history="1">
                        <w:r w:rsidRPr="006F1366">
                          <w:rPr>
                            <w:rStyle w:val="Hyperlink"/>
                            <w:sz w:val="20"/>
                            <w:szCs w:val="20"/>
                            <w:lang w:val="fr-FR"/>
                          </w:rPr>
                          <w:t>https://www.cbd.int/traditional/guidelines.shtml</w:t>
                        </w:r>
                      </w:hyperlink>
                      <w:r w:rsidRPr="006F1366">
                        <w:rPr>
                          <w:sz w:val="20"/>
                          <w:szCs w:val="20"/>
                          <w:lang w:val="fr-FR"/>
                        </w:rPr>
                        <w:t xml:space="preserve">) décrivent </w:t>
                      </w:r>
                      <w:r>
                        <w:rPr>
                          <w:sz w:val="20"/>
                          <w:szCs w:val="20"/>
                          <w:lang w:val="fr-FR"/>
                        </w:rPr>
                        <w:t>des considérations de procédure</w:t>
                      </w:r>
                      <w:r w:rsidRPr="006F1366">
                        <w:rPr>
                          <w:sz w:val="20"/>
                          <w:szCs w:val="20"/>
                          <w:lang w:val="fr-FR"/>
                        </w:rPr>
                        <w:t xml:space="preserve"> pour la conduite d’études de l’impact culturel, environnemental et social qui sont largement </w:t>
                      </w:r>
                      <w:r w:rsidRPr="00FD6F59">
                        <w:rPr>
                          <w:sz w:val="20"/>
                          <w:szCs w:val="20"/>
                          <w:lang w:val="fr-FR"/>
                        </w:rPr>
                        <w:t xml:space="preserve">applicables </w:t>
                      </w:r>
                      <w:r>
                        <w:rPr>
                          <w:rFonts w:eastAsia="Calibri"/>
                          <w:snapToGrid w:val="0"/>
                          <w:kern w:val="22"/>
                          <w:sz w:val="20"/>
                          <w:szCs w:val="20"/>
                          <w:lang w:val="fr-FR"/>
                        </w:rPr>
                        <w:t>aux approches écosystémiques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w:t>
                      </w:r>
                    </w:p>
                    <w:p w:rsidR="00E62BFB" w:rsidRPr="006F1366" w:rsidRDefault="00E62BFB" w:rsidP="009F6935">
                      <w:pPr>
                        <w:spacing w:before="40" w:after="40"/>
                        <w:jc w:val="left"/>
                        <w:rPr>
                          <w:b/>
                          <w:bCs/>
                          <w:color w:val="4F81BD"/>
                          <w:sz w:val="20"/>
                          <w:szCs w:val="20"/>
                          <w:lang w:val="fr-FR"/>
                        </w:rPr>
                      </w:pPr>
                      <w:r w:rsidRPr="006F1366">
                        <w:rPr>
                          <w:b/>
                          <w:bCs/>
                          <w:color w:val="4F81BD"/>
                          <w:sz w:val="20"/>
                          <w:szCs w:val="20"/>
                          <w:lang w:val="fr-FR"/>
                        </w:rPr>
                        <w:t>Mesures clés</w:t>
                      </w:r>
                    </w:p>
                    <w:p w:rsidR="00E62BFB" w:rsidRPr="006F1366" w:rsidRDefault="00E62BFB" w:rsidP="00004EAF">
                      <w:pPr>
                        <w:pStyle w:val="ListParagraph"/>
                        <w:numPr>
                          <w:ilvl w:val="0"/>
                          <w:numId w:val="53"/>
                        </w:numPr>
                        <w:spacing w:before="40" w:after="40"/>
                        <w:jc w:val="left"/>
                        <w:rPr>
                          <w:sz w:val="20"/>
                          <w:szCs w:val="20"/>
                          <w:lang w:val="fr-FR"/>
                        </w:rPr>
                      </w:pPr>
                      <w:r w:rsidRPr="006F1366">
                        <w:rPr>
                          <w:sz w:val="20"/>
                          <w:szCs w:val="20"/>
                          <w:lang w:val="fr-FR"/>
                        </w:rPr>
                        <w:t xml:space="preserve">Identifier les peuples autochtones, les communautés locales, les parties prenantes et les détenteurs de </w:t>
                      </w:r>
                      <w:r>
                        <w:rPr>
                          <w:sz w:val="20"/>
                          <w:szCs w:val="20"/>
                          <w:lang w:val="fr-FR"/>
                        </w:rPr>
                        <w:t xml:space="preserve">droits susceptibles d’être affectés par les </w:t>
                      </w:r>
                      <w:r w:rsidRPr="00FD6F59">
                        <w:rPr>
                          <w:sz w:val="20"/>
                          <w:szCs w:val="20"/>
                          <w:lang w:val="fr-FR"/>
                        </w:rPr>
                        <w:t>mesures</w:t>
                      </w:r>
                      <w:r w:rsidRPr="00FD6F59">
                        <w:rPr>
                          <w:rFonts w:eastAsia="Calibri"/>
                          <w:snapToGrid w:val="0"/>
                          <w:kern w:val="22"/>
                          <w:sz w:val="20"/>
                          <w:szCs w:val="20"/>
                          <w:lang w:val="fr-FR"/>
                        </w:rPr>
                        <w:t xml:space="preserve"> d’adaptation aux changements climatiques et de réduction des risques de catastrophe naturelle</w:t>
                      </w:r>
                      <w:r w:rsidRPr="006F1366">
                        <w:rPr>
                          <w:sz w:val="20"/>
                          <w:szCs w:val="20"/>
                          <w:lang w:val="fr-FR"/>
                        </w:rPr>
                        <w:t>, ainsi que les personnes, les organisations et les secteurs qui exercent une influence sur la planification et la mise en œuvre, en utilisant des processus transparents et participatifs.</w:t>
                      </w:r>
                    </w:p>
                    <w:p w:rsidR="00E62BFB" w:rsidRPr="006F1366" w:rsidRDefault="00E62BFB" w:rsidP="00004EAF">
                      <w:pPr>
                        <w:pStyle w:val="ListParagraph"/>
                        <w:numPr>
                          <w:ilvl w:val="0"/>
                          <w:numId w:val="53"/>
                        </w:numPr>
                        <w:spacing w:after="160" w:line="259" w:lineRule="auto"/>
                        <w:jc w:val="left"/>
                        <w:rPr>
                          <w:sz w:val="20"/>
                          <w:szCs w:val="20"/>
                          <w:lang w:val="fr-FR"/>
                        </w:rPr>
                      </w:pPr>
                      <w:r w:rsidRPr="006F1366">
                        <w:rPr>
                          <w:sz w:val="20"/>
                          <w:szCs w:val="20"/>
                          <w:lang w:val="fr-FR"/>
                        </w:rPr>
                        <w:t>Assurer la participation pleine et effective de toutes les parties prenantes et détenteurs de droits pertinent</w:t>
                      </w:r>
                      <w:r>
                        <w:rPr>
                          <w:sz w:val="20"/>
                          <w:szCs w:val="20"/>
                          <w:lang w:val="fr-FR"/>
                        </w:rPr>
                        <w:t>s</w:t>
                      </w:r>
                      <w:r w:rsidRPr="006F1366">
                        <w:rPr>
                          <w:sz w:val="20"/>
                          <w:szCs w:val="20"/>
                          <w:lang w:val="fr-FR"/>
                        </w:rPr>
                        <w:t xml:space="preserve">, y compris les </w:t>
                      </w:r>
                      <w:r>
                        <w:rPr>
                          <w:sz w:val="20"/>
                          <w:szCs w:val="20"/>
                          <w:lang w:val="fr-FR"/>
                        </w:rPr>
                        <w:t xml:space="preserve">peuples autochtones et communautés locales, les populations </w:t>
                      </w:r>
                      <w:r w:rsidRPr="006F1366">
                        <w:rPr>
                          <w:sz w:val="20"/>
                          <w:szCs w:val="20"/>
                          <w:lang w:val="fr-FR"/>
                        </w:rPr>
                        <w:t xml:space="preserve">pauvres, les femmes, les jeunes et les personnes âgées, </w:t>
                      </w:r>
                      <w:r>
                        <w:rPr>
                          <w:sz w:val="20"/>
                          <w:szCs w:val="20"/>
                          <w:lang w:val="fr-FR"/>
                        </w:rPr>
                        <w:t>en veillant à ce qu’ils aient les</w:t>
                      </w:r>
                      <w:r w:rsidRPr="006F1366">
                        <w:rPr>
                          <w:sz w:val="20"/>
                          <w:szCs w:val="20"/>
                          <w:lang w:val="fr-FR"/>
                        </w:rPr>
                        <w:t xml:space="preserve"> capacité</w:t>
                      </w:r>
                      <w:r>
                        <w:rPr>
                          <w:sz w:val="20"/>
                          <w:szCs w:val="20"/>
                          <w:lang w:val="fr-FR"/>
                        </w:rPr>
                        <w:t>s</w:t>
                      </w:r>
                      <w:r w:rsidRPr="006F1366">
                        <w:rPr>
                          <w:sz w:val="20"/>
                          <w:szCs w:val="20"/>
                          <w:lang w:val="fr-FR"/>
                        </w:rPr>
                        <w:t xml:space="preserve"> et des ressources humaines, techniques, financières et juridiques suffisantes pour le faire (conformément aux garanties).</w:t>
                      </w:r>
                    </w:p>
                    <w:p w:rsidR="00E62BFB" w:rsidRPr="006F1366" w:rsidRDefault="00E62BFB" w:rsidP="00004EAF">
                      <w:pPr>
                        <w:pStyle w:val="ListParagraph"/>
                        <w:numPr>
                          <w:ilvl w:val="0"/>
                          <w:numId w:val="53"/>
                        </w:numPr>
                        <w:spacing w:after="160" w:line="259" w:lineRule="auto"/>
                        <w:jc w:val="left"/>
                        <w:rPr>
                          <w:sz w:val="20"/>
                          <w:szCs w:val="20"/>
                          <w:lang w:val="fr-FR"/>
                        </w:rPr>
                      </w:pPr>
                      <w:r>
                        <w:rPr>
                          <w:sz w:val="20"/>
                          <w:szCs w:val="20"/>
                          <w:lang w:val="fr-FR"/>
                        </w:rPr>
                        <w:t>Engager un</w:t>
                      </w:r>
                      <w:r w:rsidRPr="006F1366">
                        <w:rPr>
                          <w:sz w:val="20"/>
                          <w:szCs w:val="20"/>
                          <w:lang w:val="fr-FR"/>
                        </w:rPr>
                        <w:t xml:space="preserve"> dialogue avec les organisations de la société civiles et/ou organisations communautaires afin de permettre leur participation effective.</w:t>
                      </w:r>
                    </w:p>
                    <w:p w:rsidR="00E62BFB" w:rsidRPr="004273A5" w:rsidRDefault="00E62BFB" w:rsidP="00004EAF">
                      <w:pPr>
                        <w:pStyle w:val="ListParagraph"/>
                        <w:numPr>
                          <w:ilvl w:val="0"/>
                          <w:numId w:val="53"/>
                        </w:numPr>
                        <w:spacing w:after="160" w:line="259" w:lineRule="auto"/>
                        <w:jc w:val="left"/>
                        <w:rPr>
                          <w:sz w:val="20"/>
                          <w:szCs w:val="20"/>
                          <w:lang w:val="fr-FR"/>
                        </w:rPr>
                      </w:pPr>
                      <w:r w:rsidRPr="006F1366">
                        <w:rPr>
                          <w:sz w:val="20"/>
                          <w:szCs w:val="20"/>
                          <w:lang w:val="fr-FR"/>
                        </w:rPr>
                        <w:t>Le cas échéant, recenser et protéger les droits foncie</w:t>
                      </w:r>
                      <w:r>
                        <w:rPr>
                          <w:sz w:val="20"/>
                          <w:szCs w:val="20"/>
                          <w:lang w:val="fr-FR"/>
                        </w:rPr>
                        <w:t>rs et d’accès à des zones aux fins d</w:t>
                      </w:r>
                      <w:r w:rsidRPr="006F1366">
                        <w:rPr>
                          <w:sz w:val="20"/>
                          <w:szCs w:val="20"/>
                          <w:lang w:val="fr-FR"/>
                        </w:rPr>
                        <w:t>’utilisation de ressources biologiques.</w:t>
                      </w:r>
                    </w:p>
                  </w:txbxContent>
                </v:textbox>
                <w10:anchorlock/>
              </v:shape>
            </w:pict>
          </mc:Fallback>
        </mc:AlternateContent>
      </w:r>
    </w:p>
    <w:p w:rsidR="009F6935" w:rsidRDefault="009F6935" w:rsidP="009F6935">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350" w:name="_Toc504402387"/>
    </w:p>
    <w:p w:rsidR="009F6935" w:rsidRPr="00692EC0" w:rsidRDefault="009F6935" w:rsidP="009F6935">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351" w:name="_Toc525904256"/>
      <w:bookmarkStart w:id="352" w:name="_Toc525904415"/>
      <w:bookmarkStart w:id="353" w:name="_Toc525904659"/>
      <w:r w:rsidRPr="00692EC0">
        <w:rPr>
          <w:b/>
          <w:snapToGrid w:val="0"/>
          <w:kern w:val="22"/>
          <w:szCs w:val="22"/>
          <w:lang w:val="fr-FR"/>
        </w:rPr>
        <w:t xml:space="preserve">Étape B. </w:t>
      </w:r>
      <w:bookmarkEnd w:id="350"/>
      <w:r>
        <w:rPr>
          <w:b/>
          <w:snapToGrid w:val="0"/>
          <w:kern w:val="22"/>
          <w:szCs w:val="22"/>
          <w:lang w:val="fr-FR"/>
        </w:rPr>
        <w:t>Évaluation des vulnérabilités et des risques</w:t>
      </w:r>
      <w:bookmarkEnd w:id="351"/>
      <w:bookmarkEnd w:id="352"/>
      <w:bookmarkEnd w:id="353"/>
    </w:p>
    <w:p w:rsidR="009F6935" w:rsidRPr="00692EC0" w:rsidRDefault="009F6935" w:rsidP="009F6935">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9F6935" w:rsidRPr="004A7B59"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évaluations des vulnérabilités et des risques sont entreprises pour identifier les principaux risques et impacts des changements climatiques et des catastrophes naturelles sur un système socio-écologique concerné, par exemple, en faisant un bilan des informations sur la biodiversité et les services écosystémiques, afin d’identifier les espèces ou les écosystèmes qui sont particulièrement vulnérables aux </w:t>
      </w:r>
      <w:r>
        <w:rPr>
          <w:rFonts w:eastAsia="Calibri"/>
          <w:snapToGrid w:val="0"/>
          <w:kern w:val="22"/>
          <w:szCs w:val="22"/>
          <w:lang w:val="fr-FR"/>
        </w:rPr>
        <w:lastRenderedPageBreak/>
        <w:t xml:space="preserve">effets néfastes des changements climatiques. Les évaluations sont ensuite utilisées pour déterminer, évaluer et sélectionner des mesures ciblées d’adaptation aux changements climatiques et de réduction des risques de catastrophe naturelle dans la planification et la conception. Les évaluations des vulnérabilités et des risques aident aussi à allouer des ressources là </w:t>
      </w:r>
      <w:r w:rsidRPr="004A7B59">
        <w:rPr>
          <w:rFonts w:eastAsia="Calibri"/>
          <w:snapToGrid w:val="0"/>
          <w:kern w:val="22"/>
          <w:szCs w:val="22"/>
          <w:lang w:val="fr-FR"/>
        </w:rPr>
        <w:t>où elles sont le plus né</w:t>
      </w:r>
      <w:r>
        <w:rPr>
          <w:rFonts w:eastAsia="Calibri"/>
          <w:snapToGrid w:val="0"/>
          <w:kern w:val="22"/>
          <w:szCs w:val="22"/>
          <w:lang w:val="fr-FR"/>
        </w:rPr>
        <w:t>cessaires, et à établir des données de référence pour assurer un suivi des résultats des mesures d’intervention</w:t>
      </w:r>
      <w:r w:rsidRPr="004A7B59">
        <w:rPr>
          <w:rFonts w:eastAsia="Calibri"/>
          <w:snapToGrid w:val="0"/>
          <w:kern w:val="22"/>
          <w:szCs w:val="22"/>
          <w:lang w:val="fr-FR"/>
        </w:rPr>
        <w:t>.</w:t>
      </w:r>
    </w:p>
    <w:p w:rsidR="009F6935" w:rsidRPr="00692EC0"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La vulnérabilité est définie comme la propension ou la prédisposition à subir des effets défavorables. La vulnérabilité englobe différents concepts et éléments, dont la sensibilité ou la susceptibilité à subir un dommage et le manque de capacités pour y faire face et s’y adapter</w:t>
      </w:r>
      <w:r w:rsidRPr="00692EC0">
        <w:rPr>
          <w:rFonts w:eastAsia="Calibri"/>
          <w:vertAlign w:val="superscript"/>
          <w:lang w:val="fr-FR"/>
        </w:rPr>
        <w:footnoteReference w:id="111"/>
      </w:r>
      <w:r>
        <w:rPr>
          <w:rFonts w:eastAsia="Calibri"/>
          <w:snapToGrid w:val="0"/>
          <w:kern w:val="22"/>
          <w:szCs w:val="22"/>
          <w:lang w:val="fr-FR"/>
        </w:rPr>
        <w:t>. Ensemble, la vulnérabilité, l’exposition et les dangers déterminent les risques d’impacts liés au climat (figure 3). Bien qu’ils aient des définitions et hypothèses sous-jacentes différentes, les évaluations des risques et des vulnérabilités suivent une logique semblable.</w:t>
      </w:r>
    </w:p>
    <w:p w:rsidR="009F6935" w:rsidRPr="00377E20" w:rsidRDefault="009F6935" w:rsidP="009F6935">
      <w:pPr>
        <w:suppressLineNumbers/>
        <w:suppressAutoHyphens/>
        <w:kinsoku w:val="0"/>
        <w:overflowPunct w:val="0"/>
        <w:autoSpaceDE w:val="0"/>
        <w:autoSpaceDN w:val="0"/>
        <w:adjustRightInd w:val="0"/>
        <w:snapToGrid w:val="0"/>
        <w:spacing w:before="120" w:after="120"/>
        <w:rPr>
          <w:rFonts w:eastAsia="Calibri"/>
          <w:snapToGrid w:val="0"/>
          <w:kern w:val="22"/>
          <w:szCs w:val="22"/>
          <w:lang w:val="fr-FR"/>
        </w:rPr>
      </w:pPr>
    </w:p>
    <w:p w:rsidR="009F6935" w:rsidRPr="00FF6914" w:rsidRDefault="009F6935" w:rsidP="009F6935">
      <w:pPr>
        <w:keepNext/>
        <w:suppressLineNumbers/>
        <w:suppressAutoHyphens/>
        <w:kinsoku w:val="0"/>
        <w:overflowPunct w:val="0"/>
        <w:autoSpaceDE w:val="0"/>
        <w:autoSpaceDN w:val="0"/>
        <w:adjustRightInd w:val="0"/>
        <w:snapToGrid w:val="0"/>
        <w:spacing w:before="120" w:after="120"/>
        <w:ind w:left="1008" w:hanging="1008"/>
        <w:jc w:val="left"/>
        <w:rPr>
          <w:rFonts w:eastAsia="Calibri"/>
          <w:b/>
          <w:bCs/>
          <w:snapToGrid w:val="0"/>
          <w:kern w:val="22"/>
          <w:szCs w:val="22"/>
          <w:lang w:val="fr-FR"/>
        </w:rPr>
      </w:pPr>
      <w:r w:rsidRPr="00FF6914">
        <w:rPr>
          <w:rFonts w:eastAsia="Calibri"/>
          <w:b/>
          <w:bCs/>
          <w:snapToGrid w:val="0"/>
          <w:kern w:val="22"/>
          <w:szCs w:val="22"/>
          <w:lang w:val="fr-FR"/>
        </w:rPr>
        <w:t>Figure 3.</w:t>
      </w:r>
      <w:r w:rsidRPr="00FF6914">
        <w:rPr>
          <w:rFonts w:eastAsia="Calibri"/>
          <w:b/>
          <w:bCs/>
          <w:snapToGrid w:val="0"/>
          <w:kern w:val="22"/>
          <w:szCs w:val="22"/>
          <w:lang w:val="fr-FR"/>
        </w:rPr>
        <w:tab/>
      </w:r>
      <w:r w:rsidRPr="00FF6914">
        <w:rPr>
          <w:b/>
          <w:bCs/>
          <w:snapToGrid w:val="0"/>
          <w:kern w:val="22"/>
          <w:szCs w:val="22"/>
          <w:lang w:val="fr-FR"/>
        </w:rPr>
        <w:t>I</w:t>
      </w:r>
      <w:r>
        <w:rPr>
          <w:b/>
          <w:bCs/>
          <w:snapToGrid w:val="0"/>
          <w:kern w:val="22"/>
          <w:szCs w:val="22"/>
          <w:lang w:val="fr-FR"/>
        </w:rPr>
        <w:t>llustration des concepts utilisés dans la contribution du Groupe de travail II au cinquième rapport d’évaluation du Groupe d’experts intergouvernemental sur l’évolution du climat</w:t>
      </w:r>
    </w:p>
    <w:p w:rsidR="009F6935" w:rsidRPr="00E96C13" w:rsidRDefault="009F6935" w:rsidP="009F6935">
      <w:pPr>
        <w:suppressLineNumbers/>
        <w:suppressAutoHyphens/>
        <w:kinsoku w:val="0"/>
        <w:overflowPunct w:val="0"/>
        <w:autoSpaceDE w:val="0"/>
        <w:autoSpaceDN w:val="0"/>
        <w:adjustRightInd w:val="0"/>
        <w:snapToGrid w:val="0"/>
        <w:spacing w:after="160"/>
        <w:jc w:val="center"/>
        <w:rPr>
          <w:rFonts w:eastAsia="Calibri"/>
          <w:snapToGrid w:val="0"/>
          <w:kern w:val="22"/>
          <w:szCs w:val="22"/>
        </w:rPr>
      </w:pPr>
      <w:r w:rsidRPr="00377E20">
        <w:rPr>
          <w:rFonts w:eastAsia="Calibri"/>
          <w:noProof/>
          <w:snapToGrid w:val="0"/>
          <w:kern w:val="22"/>
          <w:szCs w:val="22"/>
          <w:lang w:val="fr-FR" w:eastAsia="fr-FR"/>
        </w:rPr>
        <w:drawing>
          <wp:inline distT="0" distB="0" distL="0" distR="0" wp14:anchorId="274157B1" wp14:editId="10CDD9A6">
            <wp:extent cx="5743575" cy="35345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50251" cy="3538615"/>
                    </a:xfrm>
                    <a:prstGeom prst="rect">
                      <a:avLst/>
                    </a:prstGeom>
                    <a:noFill/>
                    <a:ln>
                      <a:noFill/>
                    </a:ln>
                  </pic:spPr>
                </pic:pic>
              </a:graphicData>
            </a:graphic>
          </wp:inline>
        </w:drawing>
      </w:r>
    </w:p>
    <w:p w:rsidR="009F6935" w:rsidRDefault="009F6935" w:rsidP="009F6935">
      <w:pPr>
        <w:pStyle w:val="Default"/>
        <w:jc w:val="both"/>
        <w:rPr>
          <w:snapToGrid w:val="0"/>
          <w:kern w:val="22"/>
          <w:sz w:val="20"/>
          <w:szCs w:val="20"/>
          <w:lang w:val="fr-FR"/>
        </w:rPr>
      </w:pPr>
      <w:bookmarkStart w:id="354" w:name="_Toc504400998"/>
      <w:r w:rsidRPr="00751BAA">
        <w:rPr>
          <w:i/>
          <w:iCs/>
          <w:snapToGrid w:val="0"/>
          <w:kern w:val="22"/>
          <w:sz w:val="20"/>
          <w:szCs w:val="20"/>
          <w:lang w:val="fr-FR"/>
        </w:rPr>
        <w:t>Note</w:t>
      </w:r>
      <w:r w:rsidRPr="00751BAA">
        <w:rPr>
          <w:snapToGrid w:val="0"/>
          <w:kern w:val="22"/>
          <w:sz w:val="20"/>
          <w:szCs w:val="20"/>
          <w:lang w:val="fr-FR"/>
        </w:rPr>
        <w:t>:</w:t>
      </w:r>
      <w:r>
        <w:rPr>
          <w:sz w:val="20"/>
          <w:szCs w:val="20"/>
          <w:lang w:val="fr-FR"/>
        </w:rPr>
        <w:t xml:space="preserve"> Le risque d'impacts lié</w:t>
      </w:r>
      <w:r w:rsidRPr="00751BAA">
        <w:rPr>
          <w:sz w:val="20"/>
          <w:szCs w:val="20"/>
          <w:lang w:val="fr-FR"/>
        </w:rPr>
        <w:t xml:space="preserve">s au climat découle de l'interaction entre des aléas climatiques (y compris les tendances et les phénomènes dangereux) et la vulnérabilité et l'exposition des systèmes anthropiques et naturels. Les changements qui touchent à la fois le système climatique (à gauche) et les processus socio-économiques, y compris l'adaptation et l'atténuation (à droite), sont les principales causes des aléas, de l'exposition et de la vulnérabilité (Groupe d’experts </w:t>
      </w:r>
      <w:r w:rsidRPr="00E8655F">
        <w:rPr>
          <w:sz w:val="20"/>
          <w:szCs w:val="20"/>
          <w:lang w:val="fr-FR"/>
        </w:rPr>
        <w:t xml:space="preserve">intergouvernemental sur l’évolution du climat, </w:t>
      </w:r>
      <w:hyperlink r:id="rId43" w:history="1">
        <w:r w:rsidRPr="00E8655F">
          <w:rPr>
            <w:rStyle w:val="Hyperlink"/>
            <w:i/>
            <w:iCs/>
            <w:sz w:val="20"/>
            <w:szCs w:val="20"/>
            <w:lang w:val="fr-FR"/>
          </w:rPr>
          <w:t>Changements climatiques 2014: Incidences, Adaptation et vulnérabilité</w:t>
        </w:r>
      </w:hyperlink>
      <w:r w:rsidRPr="00E8655F">
        <w:rPr>
          <w:snapToGrid w:val="0"/>
          <w:kern w:val="22"/>
          <w:sz w:val="20"/>
          <w:szCs w:val="20"/>
          <w:lang w:val="fr-FR"/>
        </w:rPr>
        <w:t>,</w:t>
      </w:r>
      <w:r w:rsidRPr="00751BAA">
        <w:rPr>
          <w:snapToGrid w:val="0"/>
          <w:kern w:val="22"/>
          <w:sz w:val="22"/>
          <w:szCs w:val="22"/>
          <w:lang w:val="fr-FR"/>
        </w:rPr>
        <w:t xml:space="preserve"> 2014)</w:t>
      </w:r>
      <w:r w:rsidRPr="00751BAA">
        <w:rPr>
          <w:snapToGrid w:val="0"/>
          <w:kern w:val="22"/>
          <w:sz w:val="20"/>
          <w:szCs w:val="20"/>
          <w:lang w:val="fr-FR"/>
        </w:rPr>
        <w:t>.</w:t>
      </w:r>
      <w:bookmarkEnd w:id="354"/>
    </w:p>
    <w:p w:rsidR="009F6935" w:rsidRPr="00751BAA" w:rsidRDefault="009F6935" w:rsidP="009F6935">
      <w:pPr>
        <w:pStyle w:val="Default"/>
        <w:jc w:val="both"/>
        <w:rPr>
          <w:rFonts w:eastAsia="Calibri"/>
          <w:snapToGrid w:val="0"/>
          <w:kern w:val="22"/>
          <w:sz w:val="20"/>
          <w:szCs w:val="20"/>
          <w:lang w:val="fr-FR"/>
        </w:rPr>
      </w:pPr>
    </w:p>
    <w:p w:rsidR="009F6935" w:rsidRPr="00751BAA"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 xml:space="preserve">Les évaluations des risques consistent généralement en trois démarches : identification du risque (trouver, reconnaître et décrire le risque); analyse des risques (estimation de la probabilité de son occurrence et de la sévérité des incidences potentielles); et évaluation des risques (comparer le degré de risque et les critères de risque pour déterminer si le risque et/ou sa magnitude sont tolérables). Ces </w:t>
      </w:r>
      <w:r>
        <w:rPr>
          <w:rFonts w:eastAsia="Calibri"/>
          <w:snapToGrid w:val="0"/>
          <w:kern w:val="22"/>
          <w:szCs w:val="22"/>
          <w:lang w:val="fr-FR"/>
        </w:rPr>
        <w:lastRenderedPageBreak/>
        <w:t>démarches tiennent compte des facteurs climatiques et non climatiques qui produisent un risque climatique ou de catastrophe naturelle.</w:t>
      </w:r>
    </w:p>
    <w:p w:rsidR="009F6935" w:rsidRPr="00751BAA"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avantages d’une approche intégrée en matière d’évaluation des risques et de la vulnérabilité par rapport à une simple évaluation de la vulnérabilité sont qu’elle aborde un pourcentage élevé des incidences suscitées par des événements dangereux, et qu’elle intègre également des approches d’adaptation aux changements climatiques et de réduction des risques de catastrophe naturelle. Une pratique relativement nouvelle consiste à passer d’une évaluation d’un seul phénomène dangereux à l’évaluation de dangers et de risques multiples. Cette approche peut tenir compte de régions ou de catégories d’objets exposés à des dangers multiples (p. ex. les tempêtes et les inondations) ainsi que des effets de domino, lorsqu’un danger en entraîne un autre.</w:t>
      </w:r>
    </w:p>
    <w:p w:rsidR="009F6935" w:rsidRPr="00751BAA"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kern w:val="22"/>
          <w:szCs w:val="22"/>
          <w:lang w:val="fr-FR"/>
        </w:rPr>
      </w:pPr>
      <w:r>
        <w:rPr>
          <w:rFonts w:eastAsia="Calibri"/>
          <w:snapToGrid w:val="0"/>
          <w:kern w:val="22"/>
          <w:szCs w:val="22"/>
          <w:lang w:val="fr-FR"/>
        </w:rPr>
        <w:t>Les principales considérations et les activités générales des évaluations des risques et de la vulnérabilité sont examinées ci-dessous. Des outils, des exemples et des orientations par étape plus détaillées sont fournis dans la boîte à outils de l’Étape B : Conduite d’évaluations des risques et de la vulnérabilité, qui figurent dans un document d’information</w:t>
      </w:r>
      <w:r w:rsidRPr="00A962AB">
        <w:rPr>
          <w:rFonts w:eastAsia="Calibri"/>
          <w:vertAlign w:val="superscript"/>
          <w:lang w:val="fr-FR"/>
        </w:rPr>
        <w:footnoteReference w:id="112"/>
      </w:r>
      <w:r>
        <w:rPr>
          <w:rFonts w:eastAsia="Calibri"/>
          <w:snapToGrid w:val="0"/>
          <w:kern w:val="22"/>
          <w:szCs w:val="22"/>
          <w:lang w:val="fr-FR"/>
        </w:rPr>
        <w:t>.</w:t>
      </w:r>
    </w:p>
    <w:p w:rsidR="009F6935" w:rsidRPr="00751BAA"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Résultats</w:t>
      </w:r>
    </w:p>
    <w:p w:rsidR="009F6935" w:rsidRPr="00751BAA" w:rsidRDefault="009F6935" w:rsidP="00004EAF">
      <w:pPr>
        <w:numPr>
          <w:ilvl w:val="0"/>
          <w:numId w:val="6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Profil de risques et de vulnérabilité dans les scénarios climatiques actuels et futurs du système socio-écologique, couvrant les dangers, l’exposition et les vulnérabilités (y compris les sensibilités et les capacités d’adaptation.</w:t>
      </w:r>
    </w:p>
    <w:p w:rsidR="009F6935" w:rsidRPr="00751BAA" w:rsidRDefault="009F6935" w:rsidP="00004EAF">
      <w:pPr>
        <w:numPr>
          <w:ilvl w:val="0"/>
          <w:numId w:val="65"/>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Principaux facteurs de risques et causes sous-jacentes.</w:t>
      </w:r>
    </w:p>
    <w:p w:rsidR="009F6935" w:rsidRPr="00751BAA"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9F6935" w:rsidRPr="00751BAA" w:rsidRDefault="009F6935" w:rsidP="00004EAF">
      <w:pPr>
        <w:numPr>
          <w:ilvl w:val="0"/>
          <w:numId w:val="6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ou utiliser des cadres et des concepts qui reconnaissent les liens entre les populations et les écosystèmes en tant que systèmes socio-écologiques intégrés, plutôt que de considérer l’adaptation aux changements climatiques et la réduction des risques de catastrophe naturelle seulement du point de vue humain;</w:t>
      </w:r>
    </w:p>
    <w:p w:rsidR="009F6935" w:rsidRPr="00751BAA" w:rsidRDefault="009F6935" w:rsidP="00004EAF">
      <w:pPr>
        <w:numPr>
          <w:ilvl w:val="0"/>
          <w:numId w:val="6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Évaluer les risques climatiques et non climatiques passés et présents qui menacent le système socio-écologique au moyen de critères souples qui tiennent compte des liens entre les systèmes humains et environnementaux :</w:t>
      </w:r>
    </w:p>
    <w:p w:rsidR="009F6935" w:rsidRPr="00751BAA" w:rsidRDefault="009F6935" w:rsidP="00004EAF">
      <w:pPr>
        <w:numPr>
          <w:ilvl w:val="1"/>
          <w:numId w:val="6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sidRPr="00751BAA">
        <w:rPr>
          <w:rFonts w:eastAsia="Calibri"/>
          <w:snapToGrid w:val="0"/>
          <w:kern w:val="22"/>
          <w:szCs w:val="22"/>
          <w:lang w:val="fr-FR"/>
        </w:rPr>
        <w:t>Consult</w:t>
      </w:r>
      <w:r>
        <w:rPr>
          <w:rFonts w:eastAsia="Calibri"/>
          <w:snapToGrid w:val="0"/>
          <w:kern w:val="22"/>
          <w:szCs w:val="22"/>
          <w:lang w:val="fr-FR"/>
        </w:rPr>
        <w:t>er les évaluations antérieures des incidences des changements climatiques sur la biodiversité et les services et fonctions écosystémiques, par exemple, les évaluations nationales de l’impact et de la vulnérabilité effectuées pour la CCNUCC, ou les évaluations de la vulnérabilité des secteurs forestier, agricole, de la pêche ou d’autres secteurs pertinents;</w:t>
      </w:r>
    </w:p>
    <w:p w:rsidR="009F6935" w:rsidRPr="00751BAA" w:rsidRDefault="009F6935" w:rsidP="00004EAF">
      <w:pPr>
        <w:numPr>
          <w:ilvl w:val="1"/>
          <w:numId w:val="6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Réaliser des études de terrain sur le plan socioéconomique et écologique, afin d’identifier les vulnérabilités dans les communautés et les écosystèmes (y compris les écosystèmes qui fournissent des fonctions et services essentiels pour l’adaptation aux changements climatiques ou la réduction des risques de catastrophe naturelle) (pour de plus amples renseignements, voir les informations supplémentaires</w:t>
      </w:r>
      <w:r w:rsidRPr="008966A7">
        <w:rPr>
          <w:rStyle w:val="FootnoteReference"/>
          <w:rFonts w:eastAsia="Calibri"/>
          <w:snapToGrid w:val="0"/>
          <w:kern w:val="22"/>
          <w:sz w:val="20"/>
          <w:szCs w:val="20"/>
          <w:u w:val="none"/>
          <w:vertAlign w:val="superscript"/>
          <w:lang w:val="fr-FR"/>
        </w:rPr>
        <w:footnoteReference w:id="113"/>
      </w:r>
      <w:r w:rsidRPr="00751BAA">
        <w:rPr>
          <w:rFonts w:eastAsia="Calibri"/>
          <w:snapToGrid w:val="0"/>
          <w:kern w:val="22"/>
          <w:szCs w:val="22"/>
          <w:lang w:val="fr-FR"/>
        </w:rPr>
        <w:t>);</w:t>
      </w:r>
    </w:p>
    <w:p w:rsidR="009F6935" w:rsidRPr="00751BAA" w:rsidRDefault="009F6935" w:rsidP="00004EAF">
      <w:pPr>
        <w:numPr>
          <w:ilvl w:val="1"/>
          <w:numId w:val="67"/>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Évaluer les facteurs de risque et de vulnérabilité actuels et, si possible, les risques futurs, à partir de prévisions ou scénarios de changements climatiques à une échelle appropriée, par exemple réduite au niveau local, le cas échéant;</w:t>
      </w:r>
    </w:p>
    <w:p w:rsidR="009F6935" w:rsidRPr="00751BAA" w:rsidRDefault="009F6935" w:rsidP="00004EAF">
      <w:pPr>
        <w:numPr>
          <w:ilvl w:val="0"/>
          <w:numId w:val="66"/>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Intégrer des approches quantitatives (basées sur des modèles scientifiques) et qualitatives, qui sont fondées sur des avis d’experts et des connaissances traditionnelles, autochtones et locales (on trouvera de plus amples renseignements ci-dessous). Employer, par exemple, des évaluations rurales participatives pour comprendre les perceptions et les expériences passées locales;</w:t>
      </w:r>
    </w:p>
    <w:p w:rsidR="009F6935" w:rsidRPr="00751BAA" w:rsidRDefault="009F6935" w:rsidP="00004EAF">
      <w:pPr>
        <w:numPr>
          <w:ilvl w:val="0"/>
          <w:numId w:val="66"/>
        </w:numPr>
        <w:suppressLineNumbers/>
        <w:suppressAutoHyphens/>
        <w:kinsoku w:val="0"/>
        <w:overflowPunct w:val="0"/>
        <w:autoSpaceDE w:val="0"/>
        <w:autoSpaceDN w:val="0"/>
        <w:adjustRightInd w:val="0"/>
        <w:snapToGrid w:val="0"/>
        <w:spacing w:after="240"/>
        <w:ind w:left="0" w:firstLine="720"/>
        <w:rPr>
          <w:rFonts w:eastAsia="Calibri"/>
          <w:b/>
          <w:snapToGrid w:val="0"/>
          <w:kern w:val="22"/>
          <w:szCs w:val="22"/>
          <w:lang w:val="fr-FR"/>
        </w:rPr>
      </w:pPr>
      <w:r>
        <w:rPr>
          <w:rFonts w:eastAsia="Calibri"/>
          <w:snapToGrid w:val="0"/>
          <w:spacing w:val="-6"/>
          <w:kern w:val="22"/>
          <w:szCs w:val="22"/>
          <w:lang w:val="fr-FR"/>
        </w:rPr>
        <w:lastRenderedPageBreak/>
        <w:t xml:space="preserve">Élaborer des cartes de dangers et de risques, notamment en employant la modélisation participative </w:t>
      </w:r>
      <w:r>
        <w:rPr>
          <w:rFonts w:eastAsia="Calibri"/>
          <w:noProof/>
          <w:snapToGrid w:val="0"/>
          <w:spacing w:val="-6"/>
          <w:kern w:val="22"/>
          <w:szCs w:val="22"/>
          <w:lang w:val="fr-FR"/>
        </w:rPr>
        <w:t>tridimentionnelle</w:t>
      </w:r>
      <w:r>
        <w:rPr>
          <w:rFonts w:eastAsia="Calibri"/>
          <w:snapToGrid w:val="0"/>
          <w:spacing w:val="-6"/>
          <w:kern w:val="22"/>
          <w:szCs w:val="22"/>
          <w:lang w:val="fr-FR"/>
        </w:rPr>
        <w:t xml:space="preserve"> des risques</w:t>
      </w:r>
      <w:r w:rsidRPr="00751BAA">
        <w:rPr>
          <w:rFonts w:eastAsia="Calibri"/>
          <w:snapToGrid w:val="0"/>
          <w:spacing w:val="-6"/>
          <w:kern w:val="22"/>
          <w:szCs w:val="22"/>
          <w:lang w:val="fr-FR"/>
        </w:rPr>
        <w:t>.</w:t>
      </w:r>
    </w:p>
    <w:p w:rsidR="009F6935" w:rsidRPr="00FE61DA" w:rsidRDefault="009F6935" w:rsidP="009F6935">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355" w:name="_Toc504402391"/>
      <w:bookmarkStart w:id="356" w:name="_Toc525904257"/>
      <w:bookmarkStart w:id="357" w:name="_Toc525904416"/>
      <w:bookmarkStart w:id="358" w:name="_Toc525904660"/>
      <w:r>
        <w:rPr>
          <w:b/>
          <w:snapToGrid w:val="0"/>
          <w:kern w:val="22"/>
          <w:szCs w:val="22"/>
          <w:lang w:val="fr-FR"/>
        </w:rPr>
        <w:t>Étape</w:t>
      </w:r>
      <w:r w:rsidRPr="00751BAA">
        <w:rPr>
          <w:b/>
          <w:snapToGrid w:val="0"/>
          <w:kern w:val="22"/>
          <w:szCs w:val="22"/>
          <w:lang w:val="fr-FR"/>
        </w:rPr>
        <w:t xml:space="preserve"> C. Identif</w:t>
      </w:r>
      <w:bookmarkEnd w:id="355"/>
      <w:r>
        <w:rPr>
          <w:b/>
          <w:snapToGrid w:val="0"/>
          <w:kern w:val="22"/>
          <w:szCs w:val="22"/>
          <w:lang w:val="fr-FR"/>
        </w:rPr>
        <w:t>ication des options en matière d’</w:t>
      </w:r>
      <w:r>
        <w:rPr>
          <w:rFonts w:eastAsia="Calibri"/>
          <w:b/>
          <w:snapToGrid w:val="0"/>
          <w:color w:val="242021"/>
          <w:kern w:val="22"/>
          <w:szCs w:val="22"/>
          <w:lang w:val="fr-FR"/>
        </w:rPr>
        <w:t xml:space="preserve">adaptation aux changements climatiques </w:t>
      </w:r>
      <w:r w:rsidRPr="00FE61DA">
        <w:rPr>
          <w:rFonts w:eastAsia="Calibri"/>
          <w:b/>
          <w:snapToGrid w:val="0"/>
          <w:color w:val="242021"/>
          <w:kern w:val="22"/>
          <w:szCs w:val="22"/>
          <w:lang w:val="fr-FR"/>
        </w:rPr>
        <w:t xml:space="preserve">et </w:t>
      </w:r>
      <w:r>
        <w:rPr>
          <w:rFonts w:eastAsia="Calibri"/>
          <w:b/>
          <w:snapToGrid w:val="0"/>
          <w:color w:val="242021"/>
          <w:kern w:val="22"/>
          <w:szCs w:val="22"/>
          <w:lang w:val="fr-FR"/>
        </w:rPr>
        <w:t>de réduction des risques de catastrophe naturelle fondées sur les écosystèmes</w:t>
      </w:r>
      <w:bookmarkEnd w:id="356"/>
      <w:bookmarkEnd w:id="357"/>
      <w:bookmarkEnd w:id="358"/>
    </w:p>
    <w:p w:rsidR="009F6935" w:rsidRPr="00751BAA" w:rsidRDefault="009F6935" w:rsidP="009F6935">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9F6935" w:rsidRPr="0057530F"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b/>
          <w:snapToGrid w:val="0"/>
          <w:color w:val="242021"/>
          <w:kern w:val="22"/>
          <w:szCs w:val="22"/>
          <w:lang w:val="fr-FR"/>
        </w:rPr>
      </w:pPr>
      <w:r w:rsidRPr="0057530F">
        <w:rPr>
          <w:rFonts w:eastAsia="Calibri"/>
          <w:snapToGrid w:val="0"/>
          <w:color w:val="242021"/>
          <w:kern w:val="22"/>
          <w:szCs w:val="22"/>
          <w:lang w:val="fr-FR"/>
        </w:rPr>
        <w:t>Ayant défini les limites du système socio-écologique ou paysage et id</w:t>
      </w:r>
      <w:r>
        <w:rPr>
          <w:rFonts w:eastAsia="Calibri"/>
          <w:snapToGrid w:val="0"/>
          <w:color w:val="242021"/>
          <w:kern w:val="22"/>
          <w:szCs w:val="22"/>
          <w:lang w:val="fr-FR"/>
        </w:rPr>
        <w:t xml:space="preserve">entifié des points d’accès pour les approches écosystémiques </w:t>
      </w:r>
      <w:r>
        <w:rPr>
          <w:rFonts w:eastAsia="Calibri"/>
          <w:snapToGrid w:val="0"/>
          <w:kern w:val="22"/>
          <w:szCs w:val="22"/>
          <w:lang w:val="fr-FR"/>
        </w:rPr>
        <w:t>d’adaptation aux changements climatiques et de réduction des risques de catastrophe naturelle</w:t>
      </w:r>
      <w:r w:rsidRPr="0057530F">
        <w:rPr>
          <w:rFonts w:eastAsia="Calibri"/>
          <w:snapToGrid w:val="0"/>
          <w:color w:val="242021"/>
          <w:kern w:val="22"/>
          <w:szCs w:val="22"/>
          <w:lang w:val="fr-FR"/>
        </w:rPr>
        <w:t>, ainsi que les vulnérabilités et les risques (Étape A), des options potentielles sont identifiées par le groupe de parties prenantes multipartite dans le cadre d’une stratégie globale d’adaptation aux changements climatiques et de réduction des risques de catastrophe naturelle</w:t>
      </w:r>
      <w:r>
        <w:rPr>
          <w:rFonts w:eastAsia="Calibri"/>
          <w:snapToGrid w:val="0"/>
          <w:color w:val="242021"/>
          <w:kern w:val="22"/>
          <w:szCs w:val="22"/>
          <w:lang w:val="fr-FR"/>
        </w:rPr>
        <w:t xml:space="preserve"> fondées sur les écosystèmes</w:t>
      </w:r>
      <w:r w:rsidRPr="0057530F">
        <w:rPr>
          <w:rFonts w:eastAsia="Calibri"/>
          <w:snapToGrid w:val="0"/>
          <w:color w:val="242021"/>
          <w:kern w:val="22"/>
          <w:szCs w:val="22"/>
          <w:lang w:val="fr-FR"/>
        </w:rPr>
        <w:t xml:space="preserve">. Une liste des outils pertinents relatifs à cette étape figure dans la boîte à outils de l’étape C : identification des stratégies d’adaptation </w:t>
      </w:r>
      <w:r>
        <w:rPr>
          <w:rFonts w:eastAsia="Calibri"/>
          <w:snapToGrid w:val="0"/>
          <w:color w:val="242021"/>
          <w:kern w:val="22"/>
          <w:szCs w:val="22"/>
          <w:lang w:val="fr-FR"/>
        </w:rPr>
        <w:t xml:space="preserve">aux changements climatiques </w:t>
      </w:r>
      <w:r w:rsidRPr="0057530F">
        <w:rPr>
          <w:rFonts w:eastAsia="Calibri"/>
          <w:snapToGrid w:val="0"/>
          <w:color w:val="242021"/>
          <w:kern w:val="22"/>
          <w:szCs w:val="22"/>
          <w:lang w:val="fr-FR"/>
        </w:rPr>
        <w:t>et de réduction des risques de catastrophe naturelle fondée</w:t>
      </w:r>
      <w:r>
        <w:rPr>
          <w:rFonts w:eastAsia="Calibri"/>
          <w:snapToGrid w:val="0"/>
          <w:color w:val="242021"/>
          <w:kern w:val="22"/>
          <w:szCs w:val="22"/>
          <w:lang w:val="fr-FR"/>
        </w:rPr>
        <w:t>s</w:t>
      </w:r>
      <w:r w:rsidRPr="0057530F">
        <w:rPr>
          <w:rFonts w:eastAsia="Calibri"/>
          <w:snapToGrid w:val="0"/>
          <w:color w:val="242021"/>
          <w:kern w:val="22"/>
          <w:szCs w:val="22"/>
          <w:lang w:val="fr-FR"/>
        </w:rPr>
        <w:t xml:space="preserve"> sur les écosystèmes, disponible à titre d’information supplémentaire</w:t>
      </w:r>
      <w:r w:rsidRPr="008966A7">
        <w:rPr>
          <w:rStyle w:val="FootnoteReference"/>
          <w:rFonts w:eastAsia="Calibri"/>
          <w:snapToGrid w:val="0"/>
          <w:color w:val="242021"/>
          <w:kern w:val="22"/>
          <w:sz w:val="20"/>
          <w:szCs w:val="20"/>
          <w:u w:val="none"/>
          <w:vertAlign w:val="superscript"/>
          <w:lang w:val="fr-FR"/>
        </w:rPr>
        <w:footnoteReference w:id="114"/>
      </w:r>
      <w:r w:rsidR="008966A7" w:rsidRPr="008966A7">
        <w:rPr>
          <w:rFonts w:eastAsia="Calibri"/>
          <w:snapToGrid w:val="0"/>
          <w:color w:val="242021"/>
          <w:kern w:val="22"/>
          <w:szCs w:val="22"/>
          <w:lang w:val="fr-FR"/>
        </w:rPr>
        <w:t>.</w:t>
      </w:r>
    </w:p>
    <w:p w:rsidR="009F6935" w:rsidRPr="0057530F" w:rsidRDefault="009F6935" w:rsidP="009F6935">
      <w:pPr>
        <w:pStyle w:val="ListParagraph"/>
        <w:suppressLineNumbers/>
        <w:suppressAutoHyphens/>
        <w:kinsoku w:val="0"/>
        <w:overflowPunct w:val="0"/>
        <w:autoSpaceDE w:val="0"/>
        <w:autoSpaceDN w:val="0"/>
        <w:adjustRightInd w:val="0"/>
        <w:snapToGrid w:val="0"/>
        <w:spacing w:before="120" w:after="120"/>
        <w:ind w:left="0"/>
        <w:contextualSpacing w:val="0"/>
        <w:rPr>
          <w:rFonts w:eastAsia="Calibri"/>
          <w:b/>
          <w:snapToGrid w:val="0"/>
          <w:color w:val="242021"/>
          <w:kern w:val="22"/>
          <w:szCs w:val="22"/>
          <w:lang w:val="fr-FR"/>
        </w:rPr>
      </w:pPr>
      <w:r w:rsidRPr="0057530F">
        <w:rPr>
          <w:rFonts w:eastAsia="Calibri"/>
          <w:b/>
          <w:snapToGrid w:val="0"/>
          <w:color w:val="242021"/>
          <w:kern w:val="22"/>
          <w:szCs w:val="22"/>
          <w:lang w:val="fr-FR"/>
        </w:rPr>
        <w:t>Résultat</w:t>
      </w:r>
      <w:r>
        <w:rPr>
          <w:rFonts w:eastAsia="Calibri"/>
          <w:b/>
          <w:snapToGrid w:val="0"/>
          <w:color w:val="242021"/>
          <w:kern w:val="22"/>
          <w:szCs w:val="22"/>
          <w:lang w:val="fr-FR"/>
        </w:rPr>
        <w:t>s</w:t>
      </w:r>
    </w:p>
    <w:p w:rsidR="009F6935" w:rsidRPr="00751BAA" w:rsidRDefault="009F6935" w:rsidP="009F6935">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Pr>
          <w:rFonts w:eastAsia="Calibri"/>
          <w:snapToGrid w:val="0"/>
          <w:kern w:val="22"/>
          <w:szCs w:val="22"/>
          <w:lang w:val="fr-FR"/>
        </w:rPr>
        <w:t>Une liste des stratégies et options disponibles pour réduire l’exposition et la sensibilité des systèmes socio-écologiques aux dangers climatiques et augmenter leur capacité d’adaptation.</w:t>
      </w:r>
    </w:p>
    <w:p w:rsidR="009F6935" w:rsidRPr="00751BAA"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color w:val="242021"/>
          <w:kern w:val="22"/>
          <w:szCs w:val="22"/>
          <w:lang w:val="fr-FR"/>
        </w:rPr>
        <w:t>Mesures clés</w:t>
      </w:r>
    </w:p>
    <w:p w:rsidR="009F6935" w:rsidRPr="00751BAA" w:rsidRDefault="009F6935" w:rsidP="00004EAF">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Recenser les stratégies d’adaptation et les mesures prises pour gérer les risques associés aux impacts des changements climatiques et les risques de catastrophe naturelle, et/ou celles utilisées pour gérer la variabilité climatique actuelle et les pressions socioéconomiques exercées sur les écosystèmes et les sociétés, et analyser leur viabilité pour les futurs effets et risques climatiques;</w:t>
      </w:r>
    </w:p>
    <w:p w:rsidR="009F6935" w:rsidRPr="00751BAA" w:rsidRDefault="009F6935" w:rsidP="00004EAF">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Affiner les points d’accès initiaux identifiés pour les approches écosystémiques d’adaptation aux changements climatiques ou de réduction des risques de catastrophe naturelle. Les critères de sélection des points d’accès peuvent inclure :</w:t>
      </w:r>
    </w:p>
    <w:p w:rsidR="009F6935" w:rsidRPr="00751BAA" w:rsidRDefault="009F6935" w:rsidP="00004EAF">
      <w:pPr>
        <w:numPr>
          <w:ilvl w:val="1"/>
          <w:numId w:val="69"/>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Une probabilité d’efficacité élevée d’après les expériences antérieures dans un cadre socio-écologique semblable;</w:t>
      </w:r>
    </w:p>
    <w:p w:rsidR="009F6935" w:rsidRPr="00751BAA" w:rsidRDefault="009F6935" w:rsidP="00004EAF">
      <w:pPr>
        <w:numPr>
          <w:ilvl w:val="1"/>
          <w:numId w:val="69"/>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Un grand soutien des parties prenantes;</w:t>
      </w:r>
    </w:p>
    <w:p w:rsidR="009F6935" w:rsidRPr="00377E20" w:rsidRDefault="009F6935" w:rsidP="00004EAF">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 collaboration avec des groupes multipartites comprenant des parties prenantes, des détenteurs de droits et des experts, élaborer des stratégies appropriées, dans le cadre d’une stratégie globale d’adaptation pour traiter les risques et les vulnérabilités relevées dans l’étape B;</w:t>
      </w:r>
    </w:p>
    <w:p w:rsidR="009F6935" w:rsidRPr="005643B5" w:rsidRDefault="009F6935" w:rsidP="00004EAF">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5643B5">
        <w:rPr>
          <w:rFonts w:eastAsia="Calibri"/>
          <w:snapToGrid w:val="0"/>
          <w:kern w:val="22"/>
          <w:szCs w:val="22"/>
          <w:lang w:val="fr-FR"/>
        </w:rPr>
        <w:t>Évaluer</w:t>
      </w:r>
      <w:r>
        <w:rPr>
          <w:rFonts w:eastAsia="Calibri"/>
          <w:snapToGrid w:val="0"/>
          <w:kern w:val="22"/>
          <w:szCs w:val="22"/>
          <w:lang w:val="fr-FR"/>
        </w:rPr>
        <w:t xml:space="preserve"> les questions et les priorités spécifiques des groupes, secteurs et écosystèmes vulnérables;</w:t>
      </w:r>
    </w:p>
    <w:p w:rsidR="009F6935" w:rsidRPr="005643B5" w:rsidRDefault="009F6935" w:rsidP="00004EAF">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Veiller à ce que les approches écosystémiques d’adaptation aux changements climatiques et de réduction des risques de catastrophe naturelle soient planifiées au niveau local, communautaire et des ménages, ainsi qu’au niveau du paysage ou bassin versant, selon qu’il convient;</w:t>
      </w:r>
      <w:r w:rsidRPr="005643B5">
        <w:rPr>
          <w:rFonts w:eastAsia="Calibri"/>
          <w:snapToGrid w:val="0"/>
          <w:kern w:val="22"/>
          <w:szCs w:val="22"/>
          <w:lang w:val="fr-FR"/>
        </w:rPr>
        <w:t xml:space="preserve"> </w:t>
      </w:r>
    </w:p>
    <w:p w:rsidR="009F6935" w:rsidRPr="005643B5" w:rsidRDefault="009F6935" w:rsidP="00004EAF">
      <w:pPr>
        <w:numPr>
          <w:ilvl w:val="0"/>
          <w:numId w:val="68"/>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Identifier les stratégies d’adaptation aux changements climatiques et de réduction des risques de catastrophe naturelle fondées sur les écosystèmes</w:t>
      </w:r>
      <w:r w:rsidRPr="005643B5">
        <w:rPr>
          <w:rFonts w:eastAsia="Calibri"/>
          <w:snapToGrid w:val="0"/>
          <w:kern w:val="22"/>
          <w:szCs w:val="22"/>
          <w:lang w:val="fr-FR"/>
        </w:rPr>
        <w:t xml:space="preserve"> </w:t>
      </w:r>
      <w:r>
        <w:rPr>
          <w:rFonts w:eastAsia="Calibri"/>
          <w:snapToGrid w:val="0"/>
          <w:kern w:val="22"/>
          <w:szCs w:val="22"/>
          <w:lang w:val="fr-FR"/>
        </w:rPr>
        <w:t>qui répondent aux objectifs fixés dans l’étape A, et qui respectent ses principaux éléments;</w:t>
      </w:r>
    </w:p>
    <w:p w:rsidR="009F6935" w:rsidRPr="005643B5" w:rsidRDefault="009F6935" w:rsidP="00004EAF">
      <w:pPr>
        <w:numPr>
          <w:ilvl w:val="0"/>
          <w:numId w:val="68"/>
        </w:numPr>
        <w:suppressLineNumbers/>
        <w:suppressAutoHyphens/>
        <w:kinsoku w:val="0"/>
        <w:overflowPunct w:val="0"/>
        <w:autoSpaceDE w:val="0"/>
        <w:autoSpaceDN w:val="0"/>
        <w:adjustRightInd w:val="0"/>
        <w:snapToGrid w:val="0"/>
        <w:spacing w:after="240"/>
        <w:ind w:left="0" w:firstLine="720"/>
        <w:rPr>
          <w:rFonts w:eastAsia="Calibri"/>
          <w:snapToGrid w:val="0"/>
          <w:kern w:val="22"/>
          <w:szCs w:val="22"/>
          <w:lang w:val="fr-FR"/>
        </w:rPr>
      </w:pPr>
      <w:bookmarkStart w:id="359" w:name="_Ref512860107"/>
      <w:r>
        <w:rPr>
          <w:rFonts w:eastAsia="Calibri"/>
          <w:snapToGrid w:val="0"/>
          <w:kern w:val="22"/>
          <w:szCs w:val="22"/>
          <w:lang w:val="fr-FR"/>
        </w:rPr>
        <w:t>Examiner les critères de qualification et les normes d’adaptation fondée sur les écosystèmes</w:t>
      </w:r>
      <w:r w:rsidRPr="005643B5">
        <w:rPr>
          <w:rFonts w:eastAsia="Calibri"/>
          <w:snapToGrid w:val="0"/>
          <w:kern w:val="22"/>
          <w:szCs w:val="22"/>
          <w:vertAlign w:val="superscript"/>
          <w:lang w:val="fr-FR"/>
        </w:rPr>
        <w:footnoteReference w:id="115"/>
      </w:r>
      <w:bookmarkEnd w:id="359"/>
      <w:r>
        <w:rPr>
          <w:rFonts w:eastAsia="Calibri"/>
          <w:snapToGrid w:val="0"/>
          <w:kern w:val="22"/>
          <w:szCs w:val="22"/>
          <w:lang w:val="fr-FR"/>
        </w:rPr>
        <w:t>.</w:t>
      </w:r>
    </w:p>
    <w:p w:rsidR="009F6935" w:rsidRPr="005643B5"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bookmarkStart w:id="360" w:name="_Toc504402393"/>
      <w:r>
        <w:rPr>
          <w:rFonts w:eastAsia="Calibri"/>
          <w:b/>
          <w:snapToGrid w:val="0"/>
          <w:kern w:val="22"/>
          <w:szCs w:val="22"/>
          <w:lang w:val="fr-FR"/>
        </w:rPr>
        <w:lastRenderedPageBreak/>
        <w:t>Étape</w:t>
      </w:r>
      <w:r w:rsidRPr="005643B5">
        <w:rPr>
          <w:rFonts w:eastAsia="Calibri"/>
          <w:b/>
          <w:snapToGrid w:val="0"/>
          <w:kern w:val="22"/>
          <w:szCs w:val="22"/>
          <w:lang w:val="fr-FR"/>
        </w:rPr>
        <w:t xml:space="preserve"> D. </w:t>
      </w:r>
      <w:bookmarkEnd w:id="360"/>
      <w:r>
        <w:rPr>
          <w:rFonts w:eastAsia="Calibri"/>
          <w:b/>
          <w:snapToGrid w:val="0"/>
          <w:kern w:val="22"/>
          <w:szCs w:val="22"/>
          <w:lang w:val="fr-FR"/>
        </w:rPr>
        <w:t>Hiérarchisation, évaluation et sélection des options en matière d’adaptation aux changements climatiques</w:t>
      </w:r>
      <w:r w:rsidRPr="00E837E9">
        <w:rPr>
          <w:rFonts w:eastAsia="Calibri"/>
          <w:b/>
          <w:snapToGrid w:val="0"/>
          <w:kern w:val="22"/>
          <w:szCs w:val="22"/>
          <w:lang w:val="fr-FR"/>
        </w:rPr>
        <w:t xml:space="preserve"> et </w:t>
      </w:r>
      <w:r>
        <w:rPr>
          <w:rFonts w:eastAsia="Calibri"/>
          <w:b/>
          <w:snapToGrid w:val="0"/>
          <w:kern w:val="22"/>
          <w:szCs w:val="22"/>
          <w:lang w:val="fr-FR"/>
        </w:rPr>
        <w:t>de réduction des risques de catastrophe naturelle fondées sur les écosystèmes</w:t>
      </w:r>
    </w:p>
    <w:p w:rsidR="009F6935" w:rsidRPr="005643B5"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Objet</w:t>
      </w:r>
    </w:p>
    <w:p w:rsidR="009F6935" w:rsidRPr="005643B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 xml:space="preserve">Dans cette étape, les options en matière d’adaptation aux changements climatiques et de réduction des risques de catastrophe naturelle fondées sur les écosystèmes identifiées dans l’étape C sont hiérarchisées, évaluées et sélectionnées en vue d’atteindre les objectifs énoncés dans l’étape A, dans le cadre d’une stratégie globale d’adaptation aux changements climatiques et de réduction des risques de catastrophe naturelle pour le système concerné. Une liste des outils pertinents figure dans la boîte à outils D : </w:t>
      </w:r>
      <w:r w:rsidRPr="00E837E9">
        <w:rPr>
          <w:rFonts w:eastAsia="Calibri"/>
          <w:snapToGrid w:val="0"/>
          <w:kern w:val="22"/>
          <w:szCs w:val="22"/>
          <w:lang w:val="fr-FR"/>
        </w:rPr>
        <w:t xml:space="preserve">Hiérarchisation, évaluation et sélection des options </w:t>
      </w:r>
      <w:r>
        <w:rPr>
          <w:rFonts w:eastAsia="Calibri"/>
          <w:snapToGrid w:val="0"/>
          <w:kern w:val="22"/>
          <w:szCs w:val="22"/>
          <w:lang w:val="fr-FR"/>
        </w:rPr>
        <w:t>en matière d’adaptation aux changements climatiques</w:t>
      </w:r>
      <w:r w:rsidRPr="00E837E9">
        <w:rPr>
          <w:rFonts w:eastAsia="Calibri"/>
          <w:snapToGrid w:val="0"/>
          <w:kern w:val="22"/>
          <w:szCs w:val="22"/>
          <w:lang w:val="fr-FR"/>
        </w:rPr>
        <w:t xml:space="preserve"> et </w:t>
      </w:r>
      <w:r>
        <w:rPr>
          <w:rFonts w:eastAsia="Calibri"/>
          <w:snapToGrid w:val="0"/>
          <w:kern w:val="22"/>
          <w:szCs w:val="22"/>
          <w:lang w:val="fr-FR"/>
        </w:rPr>
        <w:t>de réduction des risques de catastrophe naturelle fondées sur les écosystèmes, à titre d’information supplémentaire</w:t>
      </w:r>
      <w:r w:rsidRPr="00C72DFA">
        <w:rPr>
          <w:rFonts w:eastAsia="Calibri"/>
          <w:color w:val="242021"/>
          <w:vertAlign w:val="superscript"/>
          <w:lang w:val="fr-FR"/>
        </w:rPr>
        <w:footnoteReference w:id="116"/>
      </w:r>
      <w:r w:rsidRPr="005643B5">
        <w:rPr>
          <w:rFonts w:eastAsia="Calibri"/>
          <w:snapToGrid w:val="0"/>
          <w:color w:val="242021"/>
          <w:kern w:val="22"/>
          <w:szCs w:val="22"/>
          <w:lang w:val="fr-FR"/>
        </w:rPr>
        <w:t>.</w:t>
      </w:r>
    </w:p>
    <w:p w:rsidR="009F6935" w:rsidRPr="005643B5"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Vu qu’il est important d’évaluer les compromis et les limites, des mesures supplémentaires détaillées sont présentées dans l’encadré 3.</w:t>
      </w:r>
      <w:r w:rsidRPr="005643B5">
        <w:rPr>
          <w:rFonts w:eastAsia="Calibri"/>
          <w:snapToGrid w:val="0"/>
          <w:color w:val="242021"/>
          <w:kern w:val="22"/>
          <w:szCs w:val="22"/>
          <w:lang w:val="fr-FR"/>
        </w:rPr>
        <w:t xml:space="preserve"> </w:t>
      </w:r>
      <w:r>
        <w:rPr>
          <w:rFonts w:eastAsia="Calibri"/>
          <w:snapToGrid w:val="0"/>
          <w:color w:val="242021"/>
          <w:kern w:val="22"/>
          <w:szCs w:val="22"/>
          <w:lang w:val="fr-FR"/>
        </w:rPr>
        <w:t xml:space="preserve">Des informations supplémentaires sur les outils connexes figurent dans la boîte à outils D : </w:t>
      </w:r>
      <w:r w:rsidRPr="00E837E9">
        <w:rPr>
          <w:rFonts w:eastAsia="Calibri"/>
          <w:snapToGrid w:val="0"/>
          <w:kern w:val="22"/>
          <w:szCs w:val="22"/>
          <w:lang w:val="fr-FR"/>
        </w:rPr>
        <w:t>Hiérarchisation, évaluation et sélection des op</w:t>
      </w:r>
      <w:r>
        <w:rPr>
          <w:rFonts w:eastAsia="Calibri"/>
          <w:snapToGrid w:val="0"/>
          <w:kern w:val="22"/>
          <w:szCs w:val="22"/>
          <w:lang w:val="fr-FR"/>
        </w:rPr>
        <w:t>tions en matière d’adaptation aux changements climatiques</w:t>
      </w:r>
      <w:r w:rsidRPr="00E837E9">
        <w:rPr>
          <w:rFonts w:eastAsia="Calibri"/>
          <w:snapToGrid w:val="0"/>
          <w:kern w:val="22"/>
          <w:szCs w:val="22"/>
          <w:lang w:val="fr-FR"/>
        </w:rPr>
        <w:t xml:space="preserve"> et </w:t>
      </w:r>
      <w:r>
        <w:rPr>
          <w:rFonts w:eastAsia="Calibri"/>
          <w:snapToGrid w:val="0"/>
          <w:kern w:val="22"/>
          <w:szCs w:val="22"/>
          <w:lang w:val="fr-FR"/>
        </w:rPr>
        <w:t>de réduction des risques de catastrophe naturelle fondées sur les écosystèmes et identification des compromis</w:t>
      </w:r>
      <w:r w:rsidRPr="00C72DFA">
        <w:rPr>
          <w:rFonts w:eastAsia="Calibri"/>
          <w:color w:val="242021"/>
          <w:vertAlign w:val="superscript"/>
          <w:lang w:val="fr-FR"/>
        </w:rPr>
        <w:footnoteReference w:id="117"/>
      </w:r>
      <w:r>
        <w:rPr>
          <w:rFonts w:eastAsia="Calibri"/>
          <w:snapToGrid w:val="0"/>
          <w:kern w:val="22"/>
          <w:szCs w:val="22"/>
          <w:lang w:val="fr-FR"/>
        </w:rPr>
        <w:t>. Des informations supplémentaires sur les moyens d’accroître les connaissances scientifiques et techniques sur les approches écosystémiques d’</w:t>
      </w:r>
      <w:r>
        <w:rPr>
          <w:rFonts w:eastAsia="Calibri"/>
          <w:snapToGrid w:val="0"/>
          <w:color w:val="242021"/>
          <w:kern w:val="22"/>
          <w:szCs w:val="22"/>
          <w:lang w:val="fr-FR"/>
        </w:rPr>
        <w:t>adaptation aux changements climatiques et de réduction des risques de catastrophe naturelle sont fournies dans le même document</w:t>
      </w:r>
      <w:r w:rsidRPr="005643B5">
        <w:rPr>
          <w:rFonts w:eastAsia="Calibri"/>
          <w:snapToGrid w:val="0"/>
          <w:color w:val="242021"/>
          <w:kern w:val="22"/>
          <w:szCs w:val="22"/>
          <w:lang w:val="fr-FR"/>
        </w:rPr>
        <w:t>.</w:t>
      </w:r>
      <w:r w:rsidRPr="00C72DFA">
        <w:rPr>
          <w:rFonts w:eastAsia="Calibri"/>
          <w:color w:val="242021"/>
          <w:vertAlign w:val="superscript"/>
          <w:lang w:val="fr-FR"/>
        </w:rPr>
        <w:footnoteReference w:id="118"/>
      </w:r>
    </w:p>
    <w:p w:rsidR="009F6935" w:rsidRPr="005643B5" w:rsidRDefault="009F6935" w:rsidP="009F6935">
      <w:pPr>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Résultats</w:t>
      </w:r>
    </w:p>
    <w:p w:rsidR="009F6935" w:rsidRPr="005643B5" w:rsidRDefault="009F6935" w:rsidP="00004EAF">
      <w:pPr>
        <w:numPr>
          <w:ilvl w:val="0"/>
          <w:numId w:val="7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Liste des options par ordre de priorité et basées sur des critères sélectionnés;</w:t>
      </w:r>
    </w:p>
    <w:p w:rsidR="009F6935" w:rsidRPr="005643B5" w:rsidRDefault="009F6935" w:rsidP="00004EAF">
      <w:pPr>
        <w:numPr>
          <w:ilvl w:val="0"/>
          <w:numId w:val="70"/>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Sélection des options finales en vue de leur mise en œuvre</w:t>
      </w:r>
      <w:r w:rsidRPr="005643B5">
        <w:rPr>
          <w:rFonts w:eastAsia="Calibri"/>
          <w:snapToGrid w:val="0"/>
          <w:kern w:val="22"/>
          <w:szCs w:val="22"/>
          <w:lang w:val="fr-FR"/>
        </w:rPr>
        <w:t>.</w:t>
      </w:r>
    </w:p>
    <w:p w:rsidR="009F6935" w:rsidRPr="005643B5" w:rsidRDefault="009F6935" w:rsidP="009F6935">
      <w:pPr>
        <w:suppressLineNumbers/>
        <w:suppressAutoHyphens/>
        <w:kinsoku w:val="0"/>
        <w:overflowPunct w:val="0"/>
        <w:autoSpaceDE w:val="0"/>
        <w:autoSpaceDN w:val="0"/>
        <w:adjustRightInd w:val="0"/>
        <w:snapToGrid w:val="0"/>
        <w:spacing w:before="40" w:after="40"/>
        <w:rPr>
          <w:rFonts w:eastAsia="Calibri"/>
          <w:b/>
          <w:snapToGrid w:val="0"/>
          <w:kern w:val="22"/>
          <w:szCs w:val="22"/>
          <w:lang w:val="fr-FR"/>
        </w:rPr>
      </w:pPr>
      <w:r>
        <w:rPr>
          <w:rFonts w:eastAsia="Calibri"/>
          <w:b/>
          <w:snapToGrid w:val="0"/>
          <w:kern w:val="22"/>
          <w:szCs w:val="22"/>
          <w:lang w:val="fr-FR"/>
        </w:rPr>
        <w:t>Mesures clés</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 utilisant une approche participative (Étape A), identifier les critères et les indicateurs à appliquer pour hiérarchiser et évaluer les options en matière d’adaptation aux changements climatiques et de réduction des risques de catastrophe naturelle fondées sur les écosystèmes, telles qu’identifiées dans l’étape C, par exemple, en utilisant une analyse multicritères ou coût-efficacité pour évaluer les options en matière d’adaptation</w:t>
      </w:r>
      <w:r w:rsidRPr="005643B5">
        <w:rPr>
          <w:rFonts w:eastAsia="Calibri"/>
          <w:snapToGrid w:val="0"/>
          <w:kern w:val="22"/>
          <w:szCs w:val="22"/>
          <w:vertAlign w:val="superscript"/>
          <w:lang w:val="fr-FR"/>
        </w:rPr>
        <w:footnoteReference w:id="119"/>
      </w:r>
      <w:r>
        <w:rPr>
          <w:rFonts w:eastAsia="Calibri"/>
          <w:snapToGrid w:val="0"/>
          <w:kern w:val="22"/>
          <w:szCs w:val="22"/>
          <w:lang w:val="fr-FR"/>
        </w:rPr>
        <w:t>;</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 xml:space="preserve">Veiller à ce que les compromis et les limites des options fassent partie du processus d’évaluation </w:t>
      </w:r>
      <w:r w:rsidRPr="005643B5">
        <w:rPr>
          <w:rFonts w:eastAsia="Calibri"/>
          <w:snapToGrid w:val="0"/>
          <w:kern w:val="22"/>
          <w:szCs w:val="22"/>
          <w:lang w:val="fr-FR"/>
        </w:rPr>
        <w:t>(</w:t>
      </w:r>
      <w:r>
        <w:rPr>
          <w:rFonts w:eastAsia="Calibri"/>
          <w:snapToGrid w:val="0"/>
          <w:kern w:val="22"/>
          <w:szCs w:val="22"/>
          <w:lang w:val="fr-FR"/>
        </w:rPr>
        <w:t>encadré 3), et inclure l’examen de solutions vertes ou hybrides avant les mesures d’infrastructure ‘grises’, lorsqu’elles sont plus efficaces;</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multiples valeurs et avantages, y compris les avantages non monétaires, afin de saisir la pleine valeur des différentes options</w:t>
      </w:r>
      <w:r w:rsidRPr="0065626E">
        <w:rPr>
          <w:rFonts w:eastAsia="Calibri"/>
          <w:snapToGrid w:val="0"/>
          <w:kern w:val="22"/>
          <w:szCs w:val="22"/>
          <w:lang w:val="fr-FR"/>
        </w:rPr>
        <w:t xml:space="preserve"> </w:t>
      </w:r>
      <w:r>
        <w:rPr>
          <w:rFonts w:eastAsia="Calibri"/>
          <w:snapToGrid w:val="0"/>
          <w:kern w:val="22"/>
          <w:szCs w:val="22"/>
          <w:lang w:val="fr-FR"/>
        </w:rPr>
        <w:t>en matière d’adaptation aux changements climatiques et de réduction des risques de catastrophe naturelle fondées sur les écosystèmes;</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Pondérer les critères proposés et utiliser ces critères pour classer les options</w:t>
      </w:r>
      <w:r w:rsidRPr="0065626E">
        <w:rPr>
          <w:rFonts w:eastAsia="Calibri"/>
          <w:snapToGrid w:val="0"/>
          <w:kern w:val="22"/>
          <w:szCs w:val="22"/>
          <w:lang w:val="fr-FR"/>
        </w:rPr>
        <w:t xml:space="preserve"> </w:t>
      </w:r>
      <w:r>
        <w:rPr>
          <w:rFonts w:eastAsia="Calibri"/>
          <w:snapToGrid w:val="0"/>
          <w:kern w:val="22"/>
          <w:szCs w:val="22"/>
          <w:lang w:val="fr-FR"/>
        </w:rPr>
        <w:t>en matière d’adaptation aux changements climatiques et de réduction des risques de catastrophe naturelle fondées sur les écosystèmes;</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lastRenderedPageBreak/>
        <w:t>Classer par ordre de priorité et présélectionner les options en matière d’adaptation aux changements climatiques et de réduction des risques de catastrophe naturelle fondées sur les écosystèmes selon les critères convenus;</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Avoir recours au groupe multipartite et consulter d’autres détenteurs de droits afin d’identifier les meilleures options, et élaborer un dossier commercial;</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Analyser les coûts, avantages, effets et compromis de différents scénarios de gestion des risques ainsi que les coûts de l’inaction, afin de saisir les gains ou les pertes de fourniture de services et fonctions écosystémiques qui ont une incidence sur l’adaptation aux changements climatiques, la réduction des risques de catastrophe naturelle et la résilience (p. ex. prise en compte des zones humides);</w:t>
      </w:r>
      <w:r w:rsidRPr="005643B5">
        <w:rPr>
          <w:rFonts w:eastAsia="Calibri"/>
          <w:snapToGrid w:val="0"/>
          <w:kern w:val="22"/>
          <w:szCs w:val="22"/>
          <w:lang w:val="fr-FR"/>
        </w:rPr>
        <w:t xml:space="preserve"> </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Envisager l’utilisation durable des écosystèmes, des services et/ou des matériaux locaux dans les options pour l’adaptation aux changements climatiques et/ou la réduction des risques de catastrophe naturelle fondées sur les écosystèmes, qui pourraient procurer des avantages locaux additionnels et réduire les émissions de carbone liées au transport, plutôt qu’une main d’œuvre et des matériaux extérieurs;</w:t>
      </w:r>
    </w:p>
    <w:p w:rsidR="009F6935" w:rsidRPr="005643B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 évaluant les options, tenir compte des coûts et des avantages des mesures d’intervention à long terme, la période de temps étant importante dans la comparaison économique des différentes options, et prendre en compte aussi bien le capital initial que les coûts de maintenance à plus long terme. Par exemple, les structures d’ingénierie, comme les digues, peuvent être relativement peu coûteuses en investissement, mais peuvent inclure des coûts d’entretien élevés, alors que les approches écosystémiques, telles que la restauration des zones humides, peuvent coûter moins cher à long terme et procurer de multiples avantages;</w:t>
      </w:r>
    </w:p>
    <w:p w:rsidR="009F693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Évaluer la robustesse des mesures proposées en matière d’adaptation aux changements climatiques et de réduction des risques de catastrophe naturelle fondées sur les écosystèmes, en examinant comment elles respectent les éléments, les principes et les garanties, compte tenu des critères et des normes disponibles;</w:t>
      </w:r>
    </w:p>
    <w:p w:rsidR="009F6935" w:rsidRDefault="009F6935" w:rsidP="00004EAF">
      <w:pPr>
        <w:numPr>
          <w:ilvl w:val="0"/>
          <w:numId w:val="71"/>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sidRPr="00026DDE">
        <w:rPr>
          <w:rFonts w:eastAsia="Calibri"/>
          <w:snapToGrid w:val="0"/>
          <w:kern w:val="22"/>
          <w:szCs w:val="22"/>
          <w:lang w:val="fr-FR"/>
        </w:rPr>
        <w:t>Avant de concevoir et de mettre en œuvre des projets sélectionnés (Étape E), mener des évaluations de l’impact sur l’environnement (EIE) des options recommandées, en s’assurant que les incidences sociales et environnementales éventuelles ont été clairement identifiées et évaluées; ii) des mesures adéquates ont été prises pour éviter ou, lorsque cela n’est pas possible, réduire les risques; iii) les mesures prises pour éviter ou réduire les risques font elles-mêmes l’objet d’un suivi et de rapports pendant toute la durée de vie des projets. L’évaluation de l’impact sur l’environnement devrait inclure un résumé des recommandations de projets antérieurs, en cours ou planifiés, à l’intérieur de la juridiction géographique pertinente.</w:t>
      </w: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r w:rsidRPr="00E96C13">
        <w:rPr>
          <w:rFonts w:eastAsia="Calibri"/>
          <w:b/>
          <w:i/>
          <w:noProof/>
          <w:snapToGrid w:val="0"/>
          <w:kern w:val="22"/>
          <w:szCs w:val="22"/>
          <w:lang w:val="fr-FR" w:eastAsia="fr-FR"/>
        </w:rPr>
        <w:lastRenderedPageBreak/>
        <mc:AlternateContent>
          <mc:Choice Requires="wps">
            <w:drawing>
              <wp:anchor distT="45720" distB="45720" distL="114300" distR="114300" simplePos="0" relativeHeight="251645952" behindDoc="0" locked="0" layoutInCell="1" allowOverlap="1" wp14:anchorId="44237F8F" wp14:editId="20E16B04">
                <wp:simplePos x="0" y="0"/>
                <wp:positionH relativeFrom="margin">
                  <wp:posOffset>-203200</wp:posOffset>
                </wp:positionH>
                <wp:positionV relativeFrom="paragraph">
                  <wp:posOffset>422275</wp:posOffset>
                </wp:positionV>
                <wp:extent cx="6393180" cy="6410960"/>
                <wp:effectExtent l="0" t="0" r="26670" b="2794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6410960"/>
                        </a:xfrm>
                        <a:prstGeom prst="rect">
                          <a:avLst/>
                        </a:prstGeom>
                        <a:solidFill>
                          <a:srgbClr val="FFFFFF"/>
                        </a:solidFill>
                        <a:ln w="9525">
                          <a:solidFill>
                            <a:srgbClr val="000000"/>
                          </a:solidFill>
                          <a:miter lim="800000"/>
                          <a:headEnd/>
                          <a:tailEnd/>
                        </a:ln>
                      </wps:spPr>
                      <wps:txbx>
                        <w:txbxContent>
                          <w:p w:rsidR="00E62BFB" w:rsidRPr="00DF0E24" w:rsidRDefault="00E62BFB" w:rsidP="009F6935">
                            <w:pPr>
                              <w:spacing w:after="120"/>
                              <w:jc w:val="center"/>
                              <w:rPr>
                                <w:rFonts w:ascii="Century Gothic" w:hAnsi="Century Gothic"/>
                                <w:b/>
                                <w:bCs/>
                                <w:color w:val="4F81BD"/>
                                <w:kern w:val="20"/>
                                <w:lang w:val="fr-FR"/>
                              </w:rPr>
                            </w:pPr>
                            <w:r w:rsidRPr="00DF0E24">
                              <w:rPr>
                                <w:rFonts w:ascii="Century Gothic" w:hAnsi="Century Gothic"/>
                                <w:b/>
                                <w:bCs/>
                                <w:color w:val="4F81BD"/>
                                <w:kern w:val="20"/>
                                <w:lang w:val="fr-FR"/>
                              </w:rPr>
                              <w:t>Encadré 3. Évaluation</w:t>
                            </w:r>
                            <w:r>
                              <w:rPr>
                                <w:rFonts w:ascii="Century Gothic" w:hAnsi="Century Gothic"/>
                                <w:b/>
                                <w:bCs/>
                                <w:color w:val="4F81BD"/>
                                <w:kern w:val="20"/>
                                <w:lang w:val="fr-FR"/>
                              </w:rPr>
                              <w:t xml:space="preserve"> des compromis</w:t>
                            </w:r>
                            <w:r w:rsidRPr="00DF0E24">
                              <w:rPr>
                                <w:rFonts w:ascii="Century Gothic" w:hAnsi="Century Gothic"/>
                                <w:b/>
                                <w:bCs/>
                                <w:color w:val="4F81BD"/>
                                <w:kern w:val="20"/>
                                <w:lang w:val="fr-FR"/>
                              </w:rPr>
                              <w:t xml:space="preserve"> et des limites</w:t>
                            </w:r>
                          </w:p>
                          <w:p w:rsidR="00E62BFB" w:rsidRPr="00774D7B" w:rsidRDefault="00E62BFB" w:rsidP="009F6935">
                            <w:pPr>
                              <w:spacing w:before="120" w:after="120"/>
                              <w:rPr>
                                <w:kern w:val="20"/>
                                <w:sz w:val="20"/>
                                <w:szCs w:val="20"/>
                                <w:lang w:val="fr-FR"/>
                              </w:rPr>
                            </w:pPr>
                            <w:r w:rsidRPr="00774D7B">
                              <w:rPr>
                                <w:kern w:val="20"/>
                                <w:sz w:val="20"/>
                                <w:szCs w:val="20"/>
                                <w:lang w:val="fr-FR"/>
                              </w:rPr>
                              <w:t xml:space="preserve">Une partie du processus de hiérarchisation, évaluation et sélection des options </w:t>
                            </w:r>
                            <w:r>
                              <w:rPr>
                                <w:kern w:val="20"/>
                                <w:sz w:val="20"/>
                                <w:szCs w:val="20"/>
                                <w:lang w:val="fr-FR"/>
                              </w:rPr>
                              <w:t xml:space="preserve">en matière </w:t>
                            </w:r>
                            <w:r w:rsidRPr="00774D7B">
                              <w:rPr>
                                <w:kern w:val="20"/>
                                <w:sz w:val="20"/>
                                <w:szCs w:val="20"/>
                                <w:lang w:val="fr-FR"/>
                              </w:rPr>
                              <w:t xml:space="preserve">d’adaptation </w:t>
                            </w:r>
                            <w:r>
                              <w:rPr>
                                <w:kern w:val="20"/>
                                <w:sz w:val="20"/>
                                <w:szCs w:val="20"/>
                                <w:lang w:val="fr-FR"/>
                              </w:rPr>
                              <w:t xml:space="preserve">aux changements climatiques </w:t>
                            </w:r>
                            <w:r w:rsidRPr="00774D7B">
                              <w:rPr>
                                <w:kern w:val="20"/>
                                <w:sz w:val="20"/>
                                <w:szCs w:val="20"/>
                                <w:lang w:val="fr-FR"/>
                              </w:rPr>
                              <w:t xml:space="preserve">et de réduction des risques de </w:t>
                            </w:r>
                            <w:r>
                              <w:rPr>
                                <w:kern w:val="20"/>
                                <w:sz w:val="20"/>
                                <w:szCs w:val="20"/>
                                <w:lang w:val="fr-FR"/>
                              </w:rPr>
                              <w:t>catastrophe naturelle consiste à identifi</w:t>
                            </w:r>
                            <w:r w:rsidRPr="00774D7B">
                              <w:rPr>
                                <w:kern w:val="20"/>
                                <w:sz w:val="20"/>
                                <w:szCs w:val="20"/>
                                <w:lang w:val="fr-FR"/>
                              </w:rPr>
                              <w:t>er et évaluer les compromis potentiels. Les compromis peuvent survenir lorsqu’une activité protège un groupe de personnes aux dépens d’un autre, ou favorise un service écosystémique particulier plutôt qu’un autre. Certains compromis sont le r</w:t>
                            </w:r>
                            <w:r>
                              <w:rPr>
                                <w:kern w:val="20"/>
                                <w:sz w:val="20"/>
                                <w:szCs w:val="20"/>
                                <w:lang w:val="fr-FR"/>
                              </w:rPr>
                              <w:t>ésultat de décisions délibérées</w:t>
                            </w:r>
                            <w:r w:rsidRPr="00774D7B">
                              <w:rPr>
                                <w:kern w:val="20"/>
                                <w:sz w:val="20"/>
                                <w:szCs w:val="20"/>
                                <w:lang w:val="fr-FR"/>
                              </w:rPr>
                              <w:t>; d’autres se produisent sans que personne n’en ait connaissance. Par</w:t>
                            </w:r>
                            <w:r>
                              <w:rPr>
                                <w:kern w:val="20"/>
                                <w:sz w:val="20"/>
                                <w:szCs w:val="20"/>
                                <w:lang w:val="fr-FR"/>
                              </w:rPr>
                              <w:t xml:space="preserve"> exemple, l’application</w:t>
                            </w:r>
                            <w:r w:rsidRPr="00774D7B">
                              <w:rPr>
                                <w:kern w:val="20"/>
                                <w:sz w:val="20"/>
                                <w:szCs w:val="20"/>
                                <w:lang w:val="fr-FR"/>
                              </w:rPr>
                              <w:t xml:space="preserve"> de mesures d’adaptation en a</w:t>
                            </w:r>
                            <w:r>
                              <w:rPr>
                                <w:kern w:val="20"/>
                                <w:sz w:val="20"/>
                                <w:szCs w:val="20"/>
                                <w:lang w:val="fr-FR"/>
                              </w:rPr>
                              <w:t>mont peut avoir des effets sur d</w:t>
                            </w:r>
                            <w:r w:rsidRPr="00774D7B">
                              <w:rPr>
                                <w:kern w:val="20"/>
                                <w:sz w:val="20"/>
                                <w:szCs w:val="20"/>
                                <w:lang w:val="fr-FR"/>
                              </w:rPr>
                              <w:t xml:space="preserve">es communautés </w:t>
                            </w:r>
                            <w:r>
                              <w:rPr>
                                <w:kern w:val="20"/>
                                <w:sz w:val="20"/>
                                <w:szCs w:val="20"/>
                                <w:lang w:val="fr-FR"/>
                              </w:rPr>
                              <w:t xml:space="preserve">situées </w:t>
                            </w:r>
                            <w:r w:rsidRPr="00774D7B">
                              <w:rPr>
                                <w:kern w:val="20"/>
                                <w:sz w:val="20"/>
                                <w:szCs w:val="20"/>
                                <w:lang w:val="fr-FR"/>
                              </w:rPr>
                              <w:t>en aval, et à des moments différents. Parce que les écosystèmes sont soumis aux changements climatiques, les approches</w:t>
                            </w:r>
                            <w:r>
                              <w:rPr>
                                <w:kern w:val="20"/>
                                <w:sz w:val="20"/>
                                <w:szCs w:val="20"/>
                                <w:lang w:val="fr-FR"/>
                              </w:rPr>
                              <w:t xml:space="preserve"> écosystémiques</w:t>
                            </w:r>
                            <w:r w:rsidRPr="00774D7B">
                              <w:rPr>
                                <w:kern w:val="20"/>
                                <w:sz w:val="20"/>
                                <w:szCs w:val="20"/>
                                <w:lang w:val="fr-FR"/>
                              </w:rPr>
                              <w:t xml:space="preserve"> d’</w:t>
                            </w:r>
                            <w:r>
                              <w:rPr>
                                <w:kern w:val="20"/>
                                <w:sz w:val="20"/>
                                <w:szCs w:val="20"/>
                                <w:lang w:val="fr-FR"/>
                              </w:rPr>
                              <w:t xml:space="preserve">adaptation aux changements climatiques </w:t>
                            </w:r>
                            <w:r w:rsidRPr="00774D7B">
                              <w:rPr>
                                <w:kern w:val="20"/>
                                <w:sz w:val="20"/>
                                <w:szCs w:val="20"/>
                                <w:lang w:val="fr-FR"/>
                              </w:rPr>
                              <w:t xml:space="preserve">et </w:t>
                            </w:r>
                            <w:r>
                              <w:rPr>
                                <w:kern w:val="20"/>
                                <w:sz w:val="20"/>
                                <w:szCs w:val="20"/>
                                <w:lang w:val="fr-FR"/>
                              </w:rPr>
                              <w:t xml:space="preserve">de réduction des risques de catastrophe naturelle </w:t>
                            </w:r>
                            <w:r w:rsidRPr="00774D7B">
                              <w:rPr>
                                <w:kern w:val="20"/>
                                <w:sz w:val="20"/>
                                <w:szCs w:val="20"/>
                                <w:lang w:val="fr-FR"/>
                              </w:rPr>
                              <w:t xml:space="preserve">et les autres approches fondées sur les écosystèmes doivent être conçues pour être robustes </w:t>
                            </w:r>
                            <w:r>
                              <w:rPr>
                                <w:kern w:val="20"/>
                                <w:sz w:val="20"/>
                                <w:szCs w:val="20"/>
                                <w:lang w:val="fr-FR"/>
                              </w:rPr>
                              <w:t>face aux effets actuels et anticipé</w:t>
                            </w:r>
                            <w:r w:rsidRPr="00774D7B">
                              <w:rPr>
                                <w:kern w:val="20"/>
                                <w:sz w:val="20"/>
                                <w:szCs w:val="20"/>
                                <w:lang w:val="fr-FR"/>
                              </w:rPr>
                              <w:t xml:space="preserve">s des changements climatiques. Les compromis et les </w:t>
                            </w:r>
                            <w:r>
                              <w:rPr>
                                <w:kern w:val="20"/>
                                <w:sz w:val="20"/>
                                <w:szCs w:val="20"/>
                                <w:lang w:val="fr-FR"/>
                              </w:rPr>
                              <w:t>limites devraient être examiné</w:t>
                            </w:r>
                            <w:r w:rsidRPr="00774D7B">
                              <w:rPr>
                                <w:kern w:val="20"/>
                                <w:sz w:val="20"/>
                                <w:szCs w:val="20"/>
                                <w:lang w:val="fr-FR"/>
                              </w:rPr>
                              <w:t xml:space="preserve">s et intégrés dans la planification globale de l’adaptation </w:t>
                            </w:r>
                            <w:r>
                              <w:rPr>
                                <w:kern w:val="20"/>
                                <w:sz w:val="20"/>
                                <w:szCs w:val="20"/>
                                <w:lang w:val="fr-FR"/>
                              </w:rPr>
                              <w:t xml:space="preserve">aux changements climatiques </w:t>
                            </w:r>
                            <w:r w:rsidRPr="00774D7B">
                              <w:rPr>
                                <w:kern w:val="20"/>
                                <w:sz w:val="20"/>
                                <w:szCs w:val="20"/>
                                <w:lang w:val="fr-FR"/>
                              </w:rPr>
                              <w:t xml:space="preserve">et de la réduction des risques de </w:t>
                            </w:r>
                            <w:r>
                              <w:rPr>
                                <w:kern w:val="20"/>
                                <w:sz w:val="20"/>
                                <w:szCs w:val="20"/>
                                <w:lang w:val="fr-FR"/>
                              </w:rPr>
                              <w:t>catastrophe naturelle,</w:t>
                            </w:r>
                            <w:r w:rsidRPr="00774D7B">
                              <w:rPr>
                                <w:kern w:val="20"/>
                                <w:sz w:val="20"/>
                                <w:szCs w:val="20"/>
                                <w:lang w:val="fr-FR"/>
                              </w:rPr>
                              <w:t xml:space="preserve"> et alignés sur les politiques et les stratégies </w:t>
                            </w:r>
                            <w:r>
                              <w:rPr>
                                <w:kern w:val="20"/>
                                <w:sz w:val="20"/>
                                <w:szCs w:val="20"/>
                                <w:lang w:val="fr-FR"/>
                              </w:rPr>
                              <w:t xml:space="preserve">nationales. Ils devraient </w:t>
                            </w:r>
                            <w:r w:rsidRPr="00774D7B">
                              <w:rPr>
                                <w:kern w:val="20"/>
                                <w:sz w:val="20"/>
                                <w:szCs w:val="20"/>
                                <w:lang w:val="fr-FR"/>
                              </w:rPr>
                              <w:t xml:space="preserve">être appliqués </w:t>
                            </w:r>
                            <w:r>
                              <w:rPr>
                                <w:kern w:val="20"/>
                                <w:sz w:val="20"/>
                                <w:szCs w:val="20"/>
                                <w:lang w:val="fr-FR"/>
                              </w:rPr>
                              <w:t xml:space="preserve">conjointement </w:t>
                            </w:r>
                            <w:r w:rsidRPr="00774D7B">
                              <w:rPr>
                                <w:kern w:val="20"/>
                                <w:sz w:val="20"/>
                                <w:szCs w:val="20"/>
                                <w:lang w:val="fr-FR"/>
                              </w:rPr>
                              <w:t>avec d’autres mesures de réduction des risques, y compris l’évitement des zones à haut risque, des codes de construction a</w:t>
                            </w:r>
                            <w:r>
                              <w:rPr>
                                <w:kern w:val="20"/>
                                <w:sz w:val="20"/>
                                <w:szCs w:val="20"/>
                                <w:lang w:val="fr-FR"/>
                              </w:rPr>
                              <w:t>méliorés, des procédures d’alert</w:t>
                            </w:r>
                            <w:r w:rsidRPr="00774D7B">
                              <w:rPr>
                                <w:kern w:val="20"/>
                                <w:sz w:val="20"/>
                                <w:szCs w:val="20"/>
                                <w:lang w:val="fr-FR"/>
                              </w:rPr>
                              <w:t>e précoce et d’évacuation. Une analyse des compromis à toutes les échelles et tenant compte de</w:t>
                            </w:r>
                            <w:r>
                              <w:rPr>
                                <w:kern w:val="20"/>
                                <w:sz w:val="20"/>
                                <w:szCs w:val="20"/>
                                <w:lang w:val="fr-FR"/>
                              </w:rPr>
                              <w:t>s</w:t>
                            </w:r>
                            <w:r w:rsidRPr="00774D7B">
                              <w:rPr>
                                <w:kern w:val="20"/>
                                <w:sz w:val="20"/>
                                <w:szCs w:val="20"/>
                                <w:lang w:val="fr-FR"/>
                              </w:rPr>
                              <w:t xml:space="preserve"> mult</w:t>
                            </w:r>
                            <w:r>
                              <w:rPr>
                                <w:kern w:val="20"/>
                                <w:sz w:val="20"/>
                                <w:szCs w:val="20"/>
                                <w:lang w:val="fr-FR"/>
                              </w:rPr>
                              <w:t>iples avantages procurés peut aider à favoriser d</w:t>
                            </w:r>
                            <w:r w:rsidRPr="00774D7B">
                              <w:rPr>
                                <w:kern w:val="20"/>
                                <w:sz w:val="20"/>
                                <w:szCs w:val="20"/>
                                <w:lang w:val="fr-FR"/>
                              </w:rPr>
                              <w:t xml:space="preserve">es options </w:t>
                            </w:r>
                            <w:r>
                              <w:rPr>
                                <w:kern w:val="20"/>
                                <w:sz w:val="20"/>
                                <w:szCs w:val="20"/>
                                <w:lang w:val="fr-FR"/>
                              </w:rPr>
                              <w:t xml:space="preserve">en matière </w:t>
                            </w:r>
                            <w:r w:rsidRPr="00774D7B">
                              <w:rPr>
                                <w:kern w:val="20"/>
                                <w:sz w:val="20"/>
                                <w:szCs w:val="20"/>
                                <w:lang w:val="fr-FR"/>
                              </w:rPr>
                              <w:t>d’</w:t>
                            </w:r>
                            <w:r>
                              <w:rPr>
                                <w:kern w:val="20"/>
                                <w:sz w:val="20"/>
                                <w:szCs w:val="20"/>
                                <w:lang w:val="fr-FR"/>
                              </w:rPr>
                              <w:t>adaptation aux changements climatiques</w:t>
                            </w:r>
                            <w:r w:rsidRPr="00774D7B">
                              <w:rPr>
                                <w:kern w:val="20"/>
                                <w:sz w:val="20"/>
                                <w:szCs w:val="20"/>
                                <w:lang w:val="fr-FR"/>
                              </w:rPr>
                              <w:t xml:space="preserve"> et </w:t>
                            </w:r>
                            <w:r>
                              <w:rPr>
                                <w:kern w:val="20"/>
                                <w:sz w:val="20"/>
                                <w:szCs w:val="20"/>
                                <w:lang w:val="fr-FR"/>
                              </w:rPr>
                              <w:t>de réduction des risques de catastrophe naturelle fondées sur les écosystèmes</w:t>
                            </w:r>
                            <w:r w:rsidRPr="00774D7B">
                              <w:rPr>
                                <w:kern w:val="20"/>
                                <w:sz w:val="20"/>
                                <w:szCs w:val="20"/>
                                <w:lang w:val="fr-FR"/>
                              </w:rPr>
                              <w:t>.</w:t>
                            </w:r>
                          </w:p>
                          <w:p w:rsidR="00E62BFB" w:rsidRPr="00774D7B" w:rsidRDefault="00E62BFB" w:rsidP="009F6935">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w:t>
                            </w:r>
                            <w:r>
                              <w:rPr>
                                <w:rFonts w:eastAsia="Calibri"/>
                                <w:kern w:val="20"/>
                                <w:sz w:val="20"/>
                                <w:szCs w:val="20"/>
                                <w:lang w:val="fr-FR"/>
                              </w:rPr>
                              <w:t>s</w:t>
                            </w:r>
                            <w:r w:rsidRPr="00774D7B">
                              <w:rPr>
                                <w:rFonts w:eastAsia="Calibri"/>
                                <w:kern w:val="20"/>
                                <w:sz w:val="20"/>
                                <w:szCs w:val="20"/>
                                <w:lang w:val="fr-FR"/>
                              </w:rPr>
                              <w:t xml:space="preserve"> </w:t>
                            </w:r>
                            <w:r>
                              <w:rPr>
                                <w:rFonts w:eastAsia="Calibri"/>
                                <w:kern w:val="20"/>
                                <w:sz w:val="20"/>
                                <w:szCs w:val="20"/>
                                <w:lang w:val="fr-FR"/>
                              </w:rPr>
                              <w:t xml:space="preserve">approches écosystémiques d’adaptation aux changements climatiques et de réduction des risques de catastrophe naturelle </w:t>
                            </w:r>
                            <w:r w:rsidRPr="00774D7B">
                              <w:rPr>
                                <w:rFonts w:eastAsia="Calibri"/>
                                <w:kern w:val="20"/>
                                <w:sz w:val="20"/>
                                <w:szCs w:val="20"/>
                                <w:lang w:val="fr-FR"/>
                              </w:rPr>
                              <w:t>(pour de plus amples renseignements, voir l’étape F)</w:t>
                            </w:r>
                            <w:r>
                              <w:rPr>
                                <w:rFonts w:eastAsia="Calibri"/>
                                <w:kern w:val="20"/>
                                <w:sz w:val="20"/>
                                <w:szCs w:val="20"/>
                                <w:lang w:val="fr-FR"/>
                              </w:rPr>
                              <w:t>.</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InVEST</w:t>
                            </w:r>
                            <w:r w:rsidRPr="00774D7B">
                              <w:rPr>
                                <w:spacing w:val="-8"/>
                                <w:kern w:val="20"/>
                                <w:sz w:val="20"/>
                                <w:szCs w:val="20"/>
                                <w:lang w:val="fr-FR"/>
                              </w:rPr>
                              <w:t xml:space="preserve"> (</w:t>
                            </w:r>
                            <w:hyperlink r:id="rId44" w:history="1">
                              <w:r w:rsidRPr="00774D7B">
                                <w:rPr>
                                  <w:rStyle w:val="Hyperlink"/>
                                  <w:rFonts w:eastAsia="Calibri"/>
                                  <w:spacing w:val="-8"/>
                                  <w:kern w:val="20"/>
                                  <w:sz w:val="20"/>
                                  <w:szCs w:val="20"/>
                                  <w:lang w:val="fr-FR"/>
                                </w:rPr>
                                <w:t>https://www.naturalcapitalproject.org/invest</w:t>
                              </w:r>
                            </w:hyperlink>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w:t>
                            </w:r>
                            <w:r>
                              <w:rPr>
                                <w:rFonts w:eastAsia="Calibri"/>
                                <w:kern w:val="20"/>
                                <w:sz w:val="20"/>
                                <w:szCs w:val="20"/>
                                <w:lang w:val="fr-FR"/>
                              </w:rPr>
                              <w:t>n des écosystèmes qui résultent des mesures</w:t>
                            </w:r>
                            <w:r w:rsidRPr="00774D7B">
                              <w:rPr>
                                <w:rFonts w:eastAsia="Calibri"/>
                                <w:kern w:val="20"/>
                                <w:sz w:val="20"/>
                                <w:szCs w:val="20"/>
                                <w:lang w:val="fr-FR"/>
                              </w:rPr>
                              <w:t xml:space="preserve">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 auront un impact</w:t>
                            </w:r>
                            <w:r w:rsidRPr="00774D7B">
                              <w:rPr>
                                <w:rFonts w:eastAsia="Calibri"/>
                                <w:kern w:val="20"/>
                                <w:sz w:val="20"/>
                                <w:szCs w:val="20"/>
                                <w:lang w:val="fr-FR"/>
                              </w:rPr>
                              <w:t xml:space="preserve"> sur les services </w:t>
                            </w:r>
                            <w:r>
                              <w:rPr>
                                <w:rFonts w:eastAsia="Calibri"/>
                                <w:kern w:val="20"/>
                                <w:sz w:val="20"/>
                                <w:szCs w:val="20"/>
                                <w:lang w:val="fr-FR"/>
                              </w:rPr>
                              <w:t xml:space="preserve">et fonctions </w:t>
                            </w:r>
                            <w:r w:rsidRPr="00774D7B">
                              <w:rPr>
                                <w:rFonts w:eastAsia="Calibri"/>
                                <w:kern w:val="20"/>
                                <w:sz w:val="20"/>
                                <w:szCs w:val="20"/>
                                <w:lang w:val="fr-FR"/>
                              </w:rPr>
                              <w:t>écosystémiques dans un paysage terrestre ou marin</w:t>
                            </w:r>
                            <w:r>
                              <w:rPr>
                                <w:rFonts w:eastAsia="Calibri"/>
                                <w:kern w:val="20"/>
                                <w:sz w:val="20"/>
                                <w:szCs w:val="20"/>
                                <w:lang w:val="fr-FR"/>
                              </w:rPr>
                              <w:t xml:space="preserve"> donné.</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Pr>
                                <w:rFonts w:eastAsia="Calibri"/>
                                <w:kern w:val="20"/>
                                <w:sz w:val="20"/>
                                <w:szCs w:val="20"/>
                                <w:lang w:val="fr-FR"/>
                              </w:rPr>
                              <w:t>Examin</w:t>
                            </w:r>
                            <w:r w:rsidRPr="00774D7B">
                              <w:rPr>
                                <w:rFonts w:eastAsia="Calibri"/>
                                <w:kern w:val="20"/>
                                <w:sz w:val="20"/>
                                <w:szCs w:val="20"/>
                                <w:lang w:val="fr-FR"/>
                              </w:rPr>
                              <w:t xml:space="preserve">er </w:t>
                            </w:r>
                            <w:r>
                              <w:rPr>
                                <w:rFonts w:eastAsia="Calibri"/>
                                <w:kern w:val="20"/>
                                <w:sz w:val="20"/>
                                <w:szCs w:val="20"/>
                                <w:lang w:val="fr-FR"/>
                              </w:rPr>
                              <w:t xml:space="preserve">toute la gamme </w:t>
                            </w:r>
                            <w:r w:rsidRPr="00774D7B">
                              <w:rPr>
                                <w:rFonts w:eastAsia="Calibri"/>
                                <w:kern w:val="20"/>
                                <w:sz w:val="20"/>
                                <w:szCs w:val="20"/>
                                <w:lang w:val="fr-FR"/>
                              </w:rPr>
                              <w:t xml:space="preserve">des options </w:t>
                            </w:r>
                            <w:r>
                              <w:rPr>
                                <w:rFonts w:eastAsia="Calibri"/>
                                <w:kern w:val="20"/>
                                <w:sz w:val="20"/>
                                <w:szCs w:val="20"/>
                                <w:lang w:val="fr-FR"/>
                              </w:rPr>
                              <w:t xml:space="preserve">en matière </w:t>
                            </w:r>
                            <w:r w:rsidRPr="00774D7B">
                              <w:rPr>
                                <w:rFonts w:eastAsia="Calibri"/>
                                <w:kern w:val="20"/>
                                <w:sz w:val="20"/>
                                <w:szCs w:val="20"/>
                                <w:lang w:val="fr-FR"/>
                              </w:rPr>
                              <w:t>d’infrastructure</w:t>
                            </w:r>
                            <w:r>
                              <w:rPr>
                                <w:rFonts w:eastAsia="Calibri"/>
                                <w:kern w:val="20"/>
                                <w:sz w:val="20"/>
                                <w:szCs w:val="20"/>
                                <w:lang w:val="fr-FR"/>
                              </w:rPr>
                              <w:t>s, de</w:t>
                            </w:r>
                            <w:r w:rsidRPr="00774D7B">
                              <w:rPr>
                                <w:rFonts w:eastAsia="Calibri"/>
                                <w:kern w:val="20"/>
                                <w:sz w:val="20"/>
                                <w:szCs w:val="20"/>
                                <w:lang w:val="fr-FR"/>
                              </w:rPr>
                              <w:t xml:space="preserve"> solutions « vertes » ou « hybrides » aux infrastructures « grises » et leur compatibilité, en reconnaissant que différentes combinaison</w:t>
                            </w:r>
                            <w:r>
                              <w:rPr>
                                <w:rFonts w:eastAsia="Calibri"/>
                                <w:kern w:val="20"/>
                                <w:sz w:val="20"/>
                                <w:szCs w:val="20"/>
                                <w:lang w:val="fr-FR"/>
                              </w:rPr>
                              <w:t>s</w:t>
                            </w:r>
                            <w:r w:rsidRPr="00774D7B">
                              <w:rPr>
                                <w:rFonts w:eastAsia="Calibri"/>
                                <w:kern w:val="20"/>
                                <w:sz w:val="20"/>
                                <w:szCs w:val="20"/>
                                <w:lang w:val="fr-FR"/>
                              </w:rPr>
                              <w:t xml:space="preserve"> s</w:t>
                            </w:r>
                            <w:r>
                              <w:rPr>
                                <w:rFonts w:eastAsia="Calibri"/>
                                <w:kern w:val="20"/>
                                <w:sz w:val="20"/>
                                <w:szCs w:val="20"/>
                                <w:lang w:val="fr-FR"/>
                              </w:rPr>
                              <w:t>er</w:t>
                            </w:r>
                            <w:r w:rsidRPr="00774D7B">
                              <w:rPr>
                                <w:rFonts w:eastAsia="Calibri"/>
                                <w:kern w:val="20"/>
                                <w:sz w:val="20"/>
                                <w:szCs w:val="20"/>
                                <w:lang w:val="fr-FR"/>
                              </w:rPr>
                              <w:t>ont nécessaires dans différentes situations</w:t>
                            </w:r>
                            <w:r>
                              <w:rPr>
                                <w:rFonts w:eastAsia="Calibri"/>
                                <w:kern w:val="20"/>
                                <w:sz w:val="20"/>
                                <w:szCs w:val="20"/>
                                <w:lang w:val="fr-FR"/>
                              </w:rPr>
                              <w:t>.</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sidRPr="00774D7B">
                              <w:rPr>
                                <w:rFonts w:eastAsia="Calibri"/>
                                <w:kern w:val="20"/>
                                <w:sz w:val="20"/>
                                <w:szCs w:val="20"/>
                                <w:lang w:val="fr-FR"/>
                              </w:rPr>
                              <w:t xml:space="preserve">Veiller à ce que </w:t>
                            </w:r>
                            <w:r>
                              <w:rPr>
                                <w:rFonts w:eastAsia="Calibri"/>
                                <w:kern w:val="20"/>
                                <w:sz w:val="20"/>
                                <w:szCs w:val="20"/>
                                <w:lang w:val="fr-FR"/>
                              </w:rPr>
                              <w:t>les approches écosystémiques d’adaptation aux changements climatiques et de réduction des risques de catastrophe naturelle soient éclairées par les</w:t>
                            </w:r>
                            <w:r w:rsidRPr="00774D7B">
                              <w:rPr>
                                <w:rFonts w:eastAsia="Calibri"/>
                                <w:kern w:val="20"/>
                                <w:sz w:val="20"/>
                                <w:szCs w:val="20"/>
                                <w:lang w:val="fr-FR"/>
                              </w:rPr>
                              <w:t xml:space="preserve"> meilleure</w:t>
                            </w:r>
                            <w:r>
                              <w:rPr>
                                <w:rFonts w:eastAsia="Calibri"/>
                                <w:kern w:val="20"/>
                                <w:sz w:val="20"/>
                                <w:szCs w:val="20"/>
                                <w:lang w:val="fr-FR"/>
                              </w:rPr>
                              <w:t>s données scientifiques</w:t>
                            </w:r>
                            <w:r w:rsidRPr="00774D7B">
                              <w:rPr>
                                <w:rFonts w:eastAsia="Calibri"/>
                                <w:kern w:val="20"/>
                                <w:sz w:val="20"/>
                                <w:szCs w:val="20"/>
                                <w:lang w:val="fr-FR"/>
                              </w:rPr>
                              <w:t xml:space="preserve"> disponible</w:t>
                            </w:r>
                            <w:r>
                              <w:rPr>
                                <w:rFonts w:eastAsia="Calibri"/>
                                <w:kern w:val="20"/>
                                <w:sz w:val="20"/>
                                <w:szCs w:val="20"/>
                                <w:lang w:val="fr-FR"/>
                              </w:rPr>
                              <w:t>s</w:t>
                            </w:r>
                            <w:r w:rsidRPr="00774D7B">
                              <w:rPr>
                                <w:rFonts w:eastAsia="Calibri"/>
                                <w:kern w:val="20"/>
                                <w:sz w:val="20"/>
                                <w:szCs w:val="20"/>
                                <w:lang w:val="fr-FR"/>
                              </w:rPr>
                              <w:t xml:space="preserve"> et les connaissances autochtones et locales</w:t>
                            </w:r>
                            <w:r>
                              <w:rPr>
                                <w:rFonts w:eastAsia="Calibri"/>
                                <w:kern w:val="20"/>
                                <w:sz w:val="20"/>
                                <w:szCs w:val="20"/>
                                <w:lang w:val="fr-FR"/>
                              </w:rPr>
                              <w:t>,</w:t>
                            </w:r>
                            <w:r w:rsidRPr="00774D7B">
                              <w:rPr>
                                <w:rFonts w:eastAsia="Calibri"/>
                                <w:kern w:val="20"/>
                                <w:sz w:val="20"/>
                                <w:szCs w:val="20"/>
                                <w:lang w:val="fr-FR"/>
                              </w:rPr>
                              <w:t xml:space="preserve"> pour expliquer pleinement les compromis et les limites éventuels</w:t>
                            </w:r>
                            <w:r>
                              <w:rPr>
                                <w:rFonts w:eastAsia="Calibri"/>
                                <w:kern w:val="20"/>
                                <w:sz w:val="20"/>
                                <w:szCs w:val="20"/>
                                <w:lang w:val="fr-FR"/>
                              </w:rPr>
                              <w:t>.</w:t>
                            </w:r>
                          </w:p>
                          <w:p w:rsidR="00E62BFB" w:rsidRDefault="00E62BFB" w:rsidP="00004EAF">
                            <w:pPr>
                              <w:numPr>
                                <w:ilvl w:val="0"/>
                                <w:numId w:val="55"/>
                              </w:numPr>
                              <w:contextualSpacing/>
                              <w:jc w:val="left"/>
                              <w:rPr>
                                <w:rFonts w:eastAsia="Calibri"/>
                                <w:kern w:val="20"/>
                                <w:sz w:val="20"/>
                                <w:szCs w:val="20"/>
                                <w:lang w:val="fr-FR"/>
                              </w:rPr>
                            </w:pPr>
                            <w:r w:rsidRPr="00774D7B">
                              <w:rPr>
                                <w:rFonts w:eastAsia="Calibri"/>
                                <w:kern w:val="20"/>
                                <w:sz w:val="20"/>
                                <w:szCs w:val="20"/>
                                <w:lang w:val="fr-FR"/>
                              </w:rPr>
                              <w:t xml:space="preserve">Assurer l’intégration </w:t>
                            </w:r>
                            <w:r>
                              <w:rPr>
                                <w:rFonts w:eastAsia="Calibri"/>
                                <w:kern w:val="20"/>
                                <w:sz w:val="20"/>
                                <w:szCs w:val="20"/>
                                <w:lang w:val="fr-FR"/>
                              </w:rPr>
                              <w:t>des approches écosystémiques d’adaptation aux changements climatiques et de réduction des risques de catastrophe naturelle</w:t>
                            </w:r>
                            <w:r w:rsidRPr="00774D7B">
                              <w:rPr>
                                <w:rFonts w:eastAsia="Calibri"/>
                                <w:kern w:val="20"/>
                                <w:sz w:val="20"/>
                                <w:szCs w:val="20"/>
                                <w:lang w:val="fr-FR"/>
                              </w:rPr>
                              <w:t xml:space="preserve"> dans les stratégies globales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w:t>
                            </w:r>
                            <w:r w:rsidRPr="00774D7B">
                              <w:rPr>
                                <w:rFonts w:eastAsia="Calibri"/>
                                <w:kern w:val="20"/>
                                <w:sz w:val="20"/>
                                <w:szCs w:val="20"/>
                                <w:lang w:val="fr-FR"/>
                              </w:rPr>
                              <w:t>, compte tenu des</w:t>
                            </w:r>
                            <w:r>
                              <w:rPr>
                                <w:rFonts w:eastAsia="Calibri"/>
                                <w:kern w:val="20"/>
                                <w:sz w:val="20"/>
                                <w:szCs w:val="20"/>
                                <w:lang w:val="fr-FR"/>
                              </w:rPr>
                              <w:t xml:space="preserve"> multiples avantages et des</w:t>
                            </w:r>
                            <w:r w:rsidRPr="00774D7B">
                              <w:rPr>
                                <w:rFonts w:eastAsia="Calibri"/>
                                <w:kern w:val="20"/>
                                <w:sz w:val="20"/>
                                <w:szCs w:val="20"/>
                                <w:lang w:val="fr-FR"/>
                              </w:rPr>
                              <w:t xml:space="preserve"> limites potentielles des approches fondées sur les écosystèmes</w:t>
                            </w:r>
                            <w:r>
                              <w:rPr>
                                <w:rFonts w:eastAsia="Calibri"/>
                                <w:kern w:val="20"/>
                                <w:sz w:val="20"/>
                                <w:szCs w:val="20"/>
                                <w:lang w:val="fr-FR"/>
                              </w:rPr>
                              <w:t>.</w:t>
                            </w:r>
                          </w:p>
                          <w:p w:rsidR="00E62BFB" w:rsidRPr="005757ED" w:rsidRDefault="00E62BFB" w:rsidP="00004EAF">
                            <w:pPr>
                              <w:numPr>
                                <w:ilvl w:val="0"/>
                                <w:numId w:val="55"/>
                              </w:numPr>
                              <w:contextualSpacing/>
                              <w:jc w:val="left"/>
                              <w:rPr>
                                <w:rFonts w:eastAsia="Calibri"/>
                                <w:kern w:val="20"/>
                                <w:sz w:val="20"/>
                                <w:szCs w:val="20"/>
                                <w:lang w:val="fr-FR"/>
                              </w:rPr>
                            </w:pPr>
                            <w:r w:rsidRPr="005757ED">
                              <w:rPr>
                                <w:rFonts w:eastAsia="Calibri"/>
                                <w:kern w:val="20"/>
                                <w:sz w:val="20"/>
                                <w:szCs w:val="20"/>
                                <w:lang w:val="fr-FR"/>
                              </w:rPr>
                              <w:t>Optimiser les multiples avan</w:t>
                            </w:r>
                            <w:r>
                              <w:rPr>
                                <w:rFonts w:eastAsia="Calibri"/>
                                <w:kern w:val="20"/>
                                <w:sz w:val="20"/>
                                <w:szCs w:val="20"/>
                                <w:lang w:val="fr-FR"/>
                              </w:rPr>
                              <w:t>tages, et examiner et réduire à un</w:t>
                            </w:r>
                            <w:r w:rsidRPr="005757ED">
                              <w:rPr>
                                <w:rFonts w:eastAsia="Calibri"/>
                                <w:kern w:val="20"/>
                                <w:sz w:val="20"/>
                                <w:szCs w:val="20"/>
                                <w:lang w:val="fr-FR"/>
                              </w:rPr>
                              <w:t xml:space="preserve"> minimum les compromis</w:t>
                            </w:r>
                            <w:r>
                              <w:rPr>
                                <w:rFonts w:eastAsia="Calibri"/>
                                <w:kern w:val="20"/>
                                <w:sz w:val="20"/>
                                <w:szCs w:val="20"/>
                                <w:lang w:val="fr-FR"/>
                              </w:rPr>
                              <w:t xml:space="preserve"> ou les effets non escomptés</w:t>
                            </w:r>
                            <w:r w:rsidRPr="005757ED">
                              <w:rPr>
                                <w:rFonts w:eastAsia="Calibri"/>
                                <w:kern w:val="20"/>
                                <w:sz w:val="20"/>
                                <w:szCs w:val="20"/>
                                <w:lang w:val="fr-FR"/>
                              </w:rPr>
                              <w:t xml:space="preserve"> </w:t>
                            </w:r>
                            <w:r>
                              <w:rPr>
                                <w:rFonts w:eastAsia="Calibri"/>
                                <w:kern w:val="20"/>
                                <w:sz w:val="20"/>
                                <w:szCs w:val="20"/>
                                <w:lang w:val="fr-FR"/>
                              </w:rPr>
                              <w:t>des approches écosystémiques d’adaptation aux changements climatiques et de réduction des risques de catastrophe naturelle</w:t>
                            </w:r>
                            <w:r w:rsidRPr="005757ED">
                              <w:rPr>
                                <w:rFonts w:eastAsia="Calibri"/>
                                <w:kern w:val="20"/>
                                <w:sz w:val="20"/>
                                <w:szCs w:val="20"/>
                                <w:lang w:val="fr-FR"/>
                              </w:rPr>
                              <w:t xml:space="preserve"> à tous les stades de la planification et de la mise en œuvre, compte tenu des incertitudes dans les prévisions climatiques et les différents scénarios.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237F8F" id="Text Box 7" o:spid="_x0000_s1032" type="#_x0000_t202" style="position:absolute;left:0;text-align:left;margin-left:-16pt;margin-top:33.25pt;width:503.4pt;height:504.8pt;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GkKAIAAE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">
                <v:textbox>
                  <w:txbxContent>
                    <w:p w:rsidR="00E62BFB" w:rsidRPr="00DF0E24" w:rsidRDefault="00E62BFB" w:rsidP="009F6935">
                      <w:pPr>
                        <w:spacing w:after="120"/>
                        <w:jc w:val="center"/>
                        <w:rPr>
                          <w:rFonts w:ascii="Century Gothic" w:hAnsi="Century Gothic"/>
                          <w:b/>
                          <w:bCs/>
                          <w:color w:val="4F81BD"/>
                          <w:kern w:val="20"/>
                          <w:lang w:val="fr-FR"/>
                        </w:rPr>
                      </w:pPr>
                      <w:r w:rsidRPr="00DF0E24">
                        <w:rPr>
                          <w:rFonts w:ascii="Century Gothic" w:hAnsi="Century Gothic"/>
                          <w:b/>
                          <w:bCs/>
                          <w:color w:val="4F81BD"/>
                          <w:kern w:val="20"/>
                          <w:lang w:val="fr-FR"/>
                        </w:rPr>
                        <w:t>Encadré 3. Évaluation</w:t>
                      </w:r>
                      <w:r>
                        <w:rPr>
                          <w:rFonts w:ascii="Century Gothic" w:hAnsi="Century Gothic"/>
                          <w:b/>
                          <w:bCs/>
                          <w:color w:val="4F81BD"/>
                          <w:kern w:val="20"/>
                          <w:lang w:val="fr-FR"/>
                        </w:rPr>
                        <w:t xml:space="preserve"> des compromis</w:t>
                      </w:r>
                      <w:r w:rsidRPr="00DF0E24">
                        <w:rPr>
                          <w:rFonts w:ascii="Century Gothic" w:hAnsi="Century Gothic"/>
                          <w:b/>
                          <w:bCs/>
                          <w:color w:val="4F81BD"/>
                          <w:kern w:val="20"/>
                          <w:lang w:val="fr-FR"/>
                        </w:rPr>
                        <w:t xml:space="preserve"> et des limites</w:t>
                      </w:r>
                    </w:p>
                    <w:p w:rsidR="00E62BFB" w:rsidRPr="00774D7B" w:rsidRDefault="00E62BFB" w:rsidP="009F6935">
                      <w:pPr>
                        <w:spacing w:before="120" w:after="120"/>
                        <w:rPr>
                          <w:kern w:val="20"/>
                          <w:sz w:val="20"/>
                          <w:szCs w:val="20"/>
                          <w:lang w:val="fr-FR"/>
                        </w:rPr>
                      </w:pPr>
                      <w:r w:rsidRPr="00774D7B">
                        <w:rPr>
                          <w:kern w:val="20"/>
                          <w:sz w:val="20"/>
                          <w:szCs w:val="20"/>
                          <w:lang w:val="fr-FR"/>
                        </w:rPr>
                        <w:t xml:space="preserve">Une partie du processus de hiérarchisation, évaluation et sélection des options </w:t>
                      </w:r>
                      <w:r>
                        <w:rPr>
                          <w:kern w:val="20"/>
                          <w:sz w:val="20"/>
                          <w:szCs w:val="20"/>
                          <w:lang w:val="fr-FR"/>
                        </w:rPr>
                        <w:t xml:space="preserve">en matière </w:t>
                      </w:r>
                      <w:r w:rsidRPr="00774D7B">
                        <w:rPr>
                          <w:kern w:val="20"/>
                          <w:sz w:val="20"/>
                          <w:szCs w:val="20"/>
                          <w:lang w:val="fr-FR"/>
                        </w:rPr>
                        <w:t xml:space="preserve">d’adaptation </w:t>
                      </w:r>
                      <w:r>
                        <w:rPr>
                          <w:kern w:val="20"/>
                          <w:sz w:val="20"/>
                          <w:szCs w:val="20"/>
                          <w:lang w:val="fr-FR"/>
                        </w:rPr>
                        <w:t xml:space="preserve">aux changements climatiques </w:t>
                      </w:r>
                      <w:r w:rsidRPr="00774D7B">
                        <w:rPr>
                          <w:kern w:val="20"/>
                          <w:sz w:val="20"/>
                          <w:szCs w:val="20"/>
                          <w:lang w:val="fr-FR"/>
                        </w:rPr>
                        <w:t xml:space="preserve">et de réduction des risques de </w:t>
                      </w:r>
                      <w:r>
                        <w:rPr>
                          <w:kern w:val="20"/>
                          <w:sz w:val="20"/>
                          <w:szCs w:val="20"/>
                          <w:lang w:val="fr-FR"/>
                        </w:rPr>
                        <w:t>catastrophe naturelle consiste à identifi</w:t>
                      </w:r>
                      <w:r w:rsidRPr="00774D7B">
                        <w:rPr>
                          <w:kern w:val="20"/>
                          <w:sz w:val="20"/>
                          <w:szCs w:val="20"/>
                          <w:lang w:val="fr-FR"/>
                        </w:rPr>
                        <w:t>er et évaluer les compromis potentiels. Les compromis peuvent survenir lorsqu’une activité protège un groupe de personnes aux dépens d’un autre, ou favorise un service écosystémique particulier plutôt qu’un autre. Certains compromis sont le r</w:t>
                      </w:r>
                      <w:r>
                        <w:rPr>
                          <w:kern w:val="20"/>
                          <w:sz w:val="20"/>
                          <w:szCs w:val="20"/>
                          <w:lang w:val="fr-FR"/>
                        </w:rPr>
                        <w:t>ésultat de décisions délibérées</w:t>
                      </w:r>
                      <w:r w:rsidRPr="00774D7B">
                        <w:rPr>
                          <w:kern w:val="20"/>
                          <w:sz w:val="20"/>
                          <w:szCs w:val="20"/>
                          <w:lang w:val="fr-FR"/>
                        </w:rPr>
                        <w:t>; d’autres se produisent sans que personne n’en ait connaissance. Par</w:t>
                      </w:r>
                      <w:r>
                        <w:rPr>
                          <w:kern w:val="20"/>
                          <w:sz w:val="20"/>
                          <w:szCs w:val="20"/>
                          <w:lang w:val="fr-FR"/>
                        </w:rPr>
                        <w:t xml:space="preserve"> exemple, l’application</w:t>
                      </w:r>
                      <w:r w:rsidRPr="00774D7B">
                        <w:rPr>
                          <w:kern w:val="20"/>
                          <w:sz w:val="20"/>
                          <w:szCs w:val="20"/>
                          <w:lang w:val="fr-FR"/>
                        </w:rPr>
                        <w:t xml:space="preserve"> de mesures d’adaptation en a</w:t>
                      </w:r>
                      <w:r>
                        <w:rPr>
                          <w:kern w:val="20"/>
                          <w:sz w:val="20"/>
                          <w:szCs w:val="20"/>
                          <w:lang w:val="fr-FR"/>
                        </w:rPr>
                        <w:t>mont peut avoir des effets sur d</w:t>
                      </w:r>
                      <w:r w:rsidRPr="00774D7B">
                        <w:rPr>
                          <w:kern w:val="20"/>
                          <w:sz w:val="20"/>
                          <w:szCs w:val="20"/>
                          <w:lang w:val="fr-FR"/>
                        </w:rPr>
                        <w:t xml:space="preserve">es communautés </w:t>
                      </w:r>
                      <w:r>
                        <w:rPr>
                          <w:kern w:val="20"/>
                          <w:sz w:val="20"/>
                          <w:szCs w:val="20"/>
                          <w:lang w:val="fr-FR"/>
                        </w:rPr>
                        <w:t xml:space="preserve">situées </w:t>
                      </w:r>
                      <w:r w:rsidRPr="00774D7B">
                        <w:rPr>
                          <w:kern w:val="20"/>
                          <w:sz w:val="20"/>
                          <w:szCs w:val="20"/>
                          <w:lang w:val="fr-FR"/>
                        </w:rPr>
                        <w:t>en aval, et à des moments différents. Parce que les écosystèmes sont soumis aux changements climatiques, les approches</w:t>
                      </w:r>
                      <w:r>
                        <w:rPr>
                          <w:kern w:val="20"/>
                          <w:sz w:val="20"/>
                          <w:szCs w:val="20"/>
                          <w:lang w:val="fr-FR"/>
                        </w:rPr>
                        <w:t xml:space="preserve"> écosystémiques</w:t>
                      </w:r>
                      <w:r w:rsidRPr="00774D7B">
                        <w:rPr>
                          <w:kern w:val="20"/>
                          <w:sz w:val="20"/>
                          <w:szCs w:val="20"/>
                          <w:lang w:val="fr-FR"/>
                        </w:rPr>
                        <w:t xml:space="preserve"> d’</w:t>
                      </w:r>
                      <w:r>
                        <w:rPr>
                          <w:kern w:val="20"/>
                          <w:sz w:val="20"/>
                          <w:szCs w:val="20"/>
                          <w:lang w:val="fr-FR"/>
                        </w:rPr>
                        <w:t xml:space="preserve">adaptation aux changements climatiques </w:t>
                      </w:r>
                      <w:r w:rsidRPr="00774D7B">
                        <w:rPr>
                          <w:kern w:val="20"/>
                          <w:sz w:val="20"/>
                          <w:szCs w:val="20"/>
                          <w:lang w:val="fr-FR"/>
                        </w:rPr>
                        <w:t xml:space="preserve">et </w:t>
                      </w:r>
                      <w:r>
                        <w:rPr>
                          <w:kern w:val="20"/>
                          <w:sz w:val="20"/>
                          <w:szCs w:val="20"/>
                          <w:lang w:val="fr-FR"/>
                        </w:rPr>
                        <w:t xml:space="preserve">de réduction des risques de catastrophe naturelle </w:t>
                      </w:r>
                      <w:r w:rsidRPr="00774D7B">
                        <w:rPr>
                          <w:kern w:val="20"/>
                          <w:sz w:val="20"/>
                          <w:szCs w:val="20"/>
                          <w:lang w:val="fr-FR"/>
                        </w:rPr>
                        <w:t xml:space="preserve">et les autres approches fondées sur les écosystèmes doivent être conçues pour être robustes </w:t>
                      </w:r>
                      <w:r>
                        <w:rPr>
                          <w:kern w:val="20"/>
                          <w:sz w:val="20"/>
                          <w:szCs w:val="20"/>
                          <w:lang w:val="fr-FR"/>
                        </w:rPr>
                        <w:t>face aux effets actuels et anticipé</w:t>
                      </w:r>
                      <w:r w:rsidRPr="00774D7B">
                        <w:rPr>
                          <w:kern w:val="20"/>
                          <w:sz w:val="20"/>
                          <w:szCs w:val="20"/>
                          <w:lang w:val="fr-FR"/>
                        </w:rPr>
                        <w:t xml:space="preserve">s des changements climatiques. Les compromis et les </w:t>
                      </w:r>
                      <w:r>
                        <w:rPr>
                          <w:kern w:val="20"/>
                          <w:sz w:val="20"/>
                          <w:szCs w:val="20"/>
                          <w:lang w:val="fr-FR"/>
                        </w:rPr>
                        <w:t>limites devraient être examiné</w:t>
                      </w:r>
                      <w:r w:rsidRPr="00774D7B">
                        <w:rPr>
                          <w:kern w:val="20"/>
                          <w:sz w:val="20"/>
                          <w:szCs w:val="20"/>
                          <w:lang w:val="fr-FR"/>
                        </w:rPr>
                        <w:t xml:space="preserve">s et intégrés dans la planification globale de l’adaptation </w:t>
                      </w:r>
                      <w:r>
                        <w:rPr>
                          <w:kern w:val="20"/>
                          <w:sz w:val="20"/>
                          <w:szCs w:val="20"/>
                          <w:lang w:val="fr-FR"/>
                        </w:rPr>
                        <w:t xml:space="preserve">aux changements climatiques </w:t>
                      </w:r>
                      <w:r w:rsidRPr="00774D7B">
                        <w:rPr>
                          <w:kern w:val="20"/>
                          <w:sz w:val="20"/>
                          <w:szCs w:val="20"/>
                          <w:lang w:val="fr-FR"/>
                        </w:rPr>
                        <w:t xml:space="preserve">et de la réduction des risques de </w:t>
                      </w:r>
                      <w:r>
                        <w:rPr>
                          <w:kern w:val="20"/>
                          <w:sz w:val="20"/>
                          <w:szCs w:val="20"/>
                          <w:lang w:val="fr-FR"/>
                        </w:rPr>
                        <w:t>catastrophe naturelle,</w:t>
                      </w:r>
                      <w:r w:rsidRPr="00774D7B">
                        <w:rPr>
                          <w:kern w:val="20"/>
                          <w:sz w:val="20"/>
                          <w:szCs w:val="20"/>
                          <w:lang w:val="fr-FR"/>
                        </w:rPr>
                        <w:t xml:space="preserve"> et alignés sur les politiques et les stratégies </w:t>
                      </w:r>
                      <w:r>
                        <w:rPr>
                          <w:kern w:val="20"/>
                          <w:sz w:val="20"/>
                          <w:szCs w:val="20"/>
                          <w:lang w:val="fr-FR"/>
                        </w:rPr>
                        <w:t xml:space="preserve">nationales. Ils devraient </w:t>
                      </w:r>
                      <w:r w:rsidRPr="00774D7B">
                        <w:rPr>
                          <w:kern w:val="20"/>
                          <w:sz w:val="20"/>
                          <w:szCs w:val="20"/>
                          <w:lang w:val="fr-FR"/>
                        </w:rPr>
                        <w:t xml:space="preserve">être appliqués </w:t>
                      </w:r>
                      <w:r>
                        <w:rPr>
                          <w:kern w:val="20"/>
                          <w:sz w:val="20"/>
                          <w:szCs w:val="20"/>
                          <w:lang w:val="fr-FR"/>
                        </w:rPr>
                        <w:t xml:space="preserve">conjointement </w:t>
                      </w:r>
                      <w:r w:rsidRPr="00774D7B">
                        <w:rPr>
                          <w:kern w:val="20"/>
                          <w:sz w:val="20"/>
                          <w:szCs w:val="20"/>
                          <w:lang w:val="fr-FR"/>
                        </w:rPr>
                        <w:t>avec d’autres mesures de réduction des risques, y compris l’évitement des zones à haut risque, des codes de construction a</w:t>
                      </w:r>
                      <w:r>
                        <w:rPr>
                          <w:kern w:val="20"/>
                          <w:sz w:val="20"/>
                          <w:szCs w:val="20"/>
                          <w:lang w:val="fr-FR"/>
                        </w:rPr>
                        <w:t>méliorés, des procédures d’alert</w:t>
                      </w:r>
                      <w:r w:rsidRPr="00774D7B">
                        <w:rPr>
                          <w:kern w:val="20"/>
                          <w:sz w:val="20"/>
                          <w:szCs w:val="20"/>
                          <w:lang w:val="fr-FR"/>
                        </w:rPr>
                        <w:t>e précoce et d’évacuation. Une analyse des compromis à toutes les échelles et tenant compte de</w:t>
                      </w:r>
                      <w:r>
                        <w:rPr>
                          <w:kern w:val="20"/>
                          <w:sz w:val="20"/>
                          <w:szCs w:val="20"/>
                          <w:lang w:val="fr-FR"/>
                        </w:rPr>
                        <w:t>s</w:t>
                      </w:r>
                      <w:r w:rsidRPr="00774D7B">
                        <w:rPr>
                          <w:kern w:val="20"/>
                          <w:sz w:val="20"/>
                          <w:szCs w:val="20"/>
                          <w:lang w:val="fr-FR"/>
                        </w:rPr>
                        <w:t xml:space="preserve"> mult</w:t>
                      </w:r>
                      <w:r>
                        <w:rPr>
                          <w:kern w:val="20"/>
                          <w:sz w:val="20"/>
                          <w:szCs w:val="20"/>
                          <w:lang w:val="fr-FR"/>
                        </w:rPr>
                        <w:t>iples avantages procurés peut aider à favoriser d</w:t>
                      </w:r>
                      <w:r w:rsidRPr="00774D7B">
                        <w:rPr>
                          <w:kern w:val="20"/>
                          <w:sz w:val="20"/>
                          <w:szCs w:val="20"/>
                          <w:lang w:val="fr-FR"/>
                        </w:rPr>
                        <w:t xml:space="preserve">es options </w:t>
                      </w:r>
                      <w:r>
                        <w:rPr>
                          <w:kern w:val="20"/>
                          <w:sz w:val="20"/>
                          <w:szCs w:val="20"/>
                          <w:lang w:val="fr-FR"/>
                        </w:rPr>
                        <w:t xml:space="preserve">en matière </w:t>
                      </w:r>
                      <w:r w:rsidRPr="00774D7B">
                        <w:rPr>
                          <w:kern w:val="20"/>
                          <w:sz w:val="20"/>
                          <w:szCs w:val="20"/>
                          <w:lang w:val="fr-FR"/>
                        </w:rPr>
                        <w:t>d’</w:t>
                      </w:r>
                      <w:r>
                        <w:rPr>
                          <w:kern w:val="20"/>
                          <w:sz w:val="20"/>
                          <w:szCs w:val="20"/>
                          <w:lang w:val="fr-FR"/>
                        </w:rPr>
                        <w:t>adaptation aux changements climatiques</w:t>
                      </w:r>
                      <w:r w:rsidRPr="00774D7B">
                        <w:rPr>
                          <w:kern w:val="20"/>
                          <w:sz w:val="20"/>
                          <w:szCs w:val="20"/>
                          <w:lang w:val="fr-FR"/>
                        </w:rPr>
                        <w:t xml:space="preserve"> et </w:t>
                      </w:r>
                      <w:r>
                        <w:rPr>
                          <w:kern w:val="20"/>
                          <w:sz w:val="20"/>
                          <w:szCs w:val="20"/>
                          <w:lang w:val="fr-FR"/>
                        </w:rPr>
                        <w:t>de réduction des risques de catastrophe naturelle fondées sur les écosystèmes</w:t>
                      </w:r>
                      <w:r w:rsidRPr="00774D7B">
                        <w:rPr>
                          <w:kern w:val="20"/>
                          <w:sz w:val="20"/>
                          <w:szCs w:val="20"/>
                          <w:lang w:val="fr-FR"/>
                        </w:rPr>
                        <w:t>.</w:t>
                      </w:r>
                    </w:p>
                    <w:p w:rsidR="00E62BFB" w:rsidRPr="00774D7B" w:rsidRDefault="00E62BFB" w:rsidP="009F6935">
                      <w:pPr>
                        <w:spacing w:before="120" w:after="120"/>
                        <w:jc w:val="left"/>
                        <w:rPr>
                          <w:b/>
                          <w:bCs/>
                          <w:color w:val="4F81BD"/>
                          <w:kern w:val="20"/>
                          <w:sz w:val="20"/>
                          <w:szCs w:val="20"/>
                          <w:lang w:val="fr-FR"/>
                        </w:rPr>
                      </w:pPr>
                      <w:r w:rsidRPr="00774D7B">
                        <w:rPr>
                          <w:b/>
                          <w:bCs/>
                          <w:color w:val="4F81BD"/>
                          <w:kern w:val="20"/>
                          <w:sz w:val="20"/>
                          <w:szCs w:val="20"/>
                          <w:lang w:val="fr-FR"/>
                        </w:rPr>
                        <w:t>Mesures clés</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sidRPr="00774D7B">
                        <w:rPr>
                          <w:rFonts w:eastAsia="Calibri"/>
                          <w:kern w:val="20"/>
                          <w:sz w:val="20"/>
                          <w:szCs w:val="20"/>
                          <w:lang w:val="fr-FR"/>
                        </w:rPr>
                        <w:t>Élaborer des indicateurs des changements à court et à long terme à diverses échelles spatiales afin de détecter les compromis et les limites potentiels de</w:t>
                      </w:r>
                      <w:r>
                        <w:rPr>
                          <w:rFonts w:eastAsia="Calibri"/>
                          <w:kern w:val="20"/>
                          <w:sz w:val="20"/>
                          <w:szCs w:val="20"/>
                          <w:lang w:val="fr-FR"/>
                        </w:rPr>
                        <w:t>s</w:t>
                      </w:r>
                      <w:r w:rsidRPr="00774D7B">
                        <w:rPr>
                          <w:rFonts w:eastAsia="Calibri"/>
                          <w:kern w:val="20"/>
                          <w:sz w:val="20"/>
                          <w:szCs w:val="20"/>
                          <w:lang w:val="fr-FR"/>
                        </w:rPr>
                        <w:t xml:space="preserve"> </w:t>
                      </w:r>
                      <w:r>
                        <w:rPr>
                          <w:rFonts w:eastAsia="Calibri"/>
                          <w:kern w:val="20"/>
                          <w:sz w:val="20"/>
                          <w:szCs w:val="20"/>
                          <w:lang w:val="fr-FR"/>
                        </w:rPr>
                        <w:t xml:space="preserve">approches écosystémiques d’adaptation aux changements climatiques et de réduction des risques de catastrophe naturelle </w:t>
                      </w:r>
                      <w:r w:rsidRPr="00774D7B">
                        <w:rPr>
                          <w:rFonts w:eastAsia="Calibri"/>
                          <w:kern w:val="20"/>
                          <w:sz w:val="20"/>
                          <w:szCs w:val="20"/>
                          <w:lang w:val="fr-FR"/>
                        </w:rPr>
                        <w:t>(pour de plus amples renseignements, voir l’étape F)</w:t>
                      </w:r>
                      <w:r>
                        <w:rPr>
                          <w:rFonts w:eastAsia="Calibri"/>
                          <w:kern w:val="20"/>
                          <w:sz w:val="20"/>
                          <w:szCs w:val="20"/>
                          <w:lang w:val="fr-FR"/>
                        </w:rPr>
                        <w:t>.</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sidRPr="00774D7B">
                        <w:rPr>
                          <w:rFonts w:eastAsia="Calibri"/>
                          <w:spacing w:val="-8"/>
                          <w:kern w:val="20"/>
                          <w:sz w:val="20"/>
                          <w:szCs w:val="20"/>
                          <w:lang w:val="fr-FR"/>
                        </w:rPr>
                        <w:t xml:space="preserve">Utiliser les données et modèles </w:t>
                      </w:r>
                      <w:r w:rsidRPr="00774D7B">
                        <w:rPr>
                          <w:rFonts w:eastAsia="Calibri"/>
                          <w:noProof/>
                          <w:spacing w:val="-8"/>
                          <w:kern w:val="20"/>
                          <w:sz w:val="20"/>
                          <w:szCs w:val="20"/>
                          <w:lang w:val="fr-FR"/>
                        </w:rPr>
                        <w:t>géospatiaux</w:t>
                      </w:r>
                      <w:r w:rsidRPr="00774D7B">
                        <w:rPr>
                          <w:rFonts w:eastAsia="Calibri"/>
                          <w:spacing w:val="-8"/>
                          <w:kern w:val="20"/>
                          <w:sz w:val="20"/>
                          <w:szCs w:val="20"/>
                          <w:lang w:val="fr-FR"/>
                        </w:rPr>
                        <w:t xml:space="preserve"> (tels que ceux qui sont disponibles dans InVEST</w:t>
                      </w:r>
                      <w:r w:rsidRPr="00774D7B">
                        <w:rPr>
                          <w:spacing w:val="-8"/>
                          <w:kern w:val="20"/>
                          <w:sz w:val="20"/>
                          <w:szCs w:val="20"/>
                          <w:lang w:val="fr-FR"/>
                        </w:rPr>
                        <w:t xml:space="preserve"> (</w:t>
                      </w:r>
                      <w:hyperlink r:id="rId45" w:history="1">
                        <w:r w:rsidRPr="00774D7B">
                          <w:rPr>
                            <w:rStyle w:val="Hyperlink"/>
                            <w:rFonts w:eastAsia="Calibri"/>
                            <w:spacing w:val="-8"/>
                            <w:kern w:val="20"/>
                            <w:sz w:val="20"/>
                            <w:szCs w:val="20"/>
                            <w:lang w:val="fr-FR"/>
                          </w:rPr>
                          <w:t>https://www.naturalcapitalproject.org/invest</w:t>
                        </w:r>
                      </w:hyperlink>
                      <w:r w:rsidRPr="00774D7B">
                        <w:rPr>
                          <w:rFonts w:eastAsia="Calibri"/>
                          <w:spacing w:val="-8"/>
                          <w:kern w:val="20"/>
                          <w:sz w:val="20"/>
                          <w:szCs w:val="20"/>
                          <w:lang w:val="fr-FR"/>
                        </w:rPr>
                        <w:t xml:space="preserve">) </w:t>
                      </w:r>
                      <w:r w:rsidRPr="00774D7B">
                        <w:rPr>
                          <w:rFonts w:eastAsia="Calibri"/>
                          <w:kern w:val="20"/>
                          <w:sz w:val="20"/>
                          <w:szCs w:val="20"/>
                          <w:lang w:val="fr-FR"/>
                        </w:rPr>
                        <w:t>pour comprendre comment les changements dans la structure et la fonctio</w:t>
                      </w:r>
                      <w:r>
                        <w:rPr>
                          <w:rFonts w:eastAsia="Calibri"/>
                          <w:kern w:val="20"/>
                          <w:sz w:val="20"/>
                          <w:szCs w:val="20"/>
                          <w:lang w:val="fr-FR"/>
                        </w:rPr>
                        <w:t>n des écosystèmes qui résultent des mesures</w:t>
                      </w:r>
                      <w:r w:rsidRPr="00774D7B">
                        <w:rPr>
                          <w:rFonts w:eastAsia="Calibri"/>
                          <w:kern w:val="20"/>
                          <w:sz w:val="20"/>
                          <w:szCs w:val="20"/>
                          <w:lang w:val="fr-FR"/>
                        </w:rPr>
                        <w:t xml:space="preserve">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 auront un impact</w:t>
                      </w:r>
                      <w:r w:rsidRPr="00774D7B">
                        <w:rPr>
                          <w:rFonts w:eastAsia="Calibri"/>
                          <w:kern w:val="20"/>
                          <w:sz w:val="20"/>
                          <w:szCs w:val="20"/>
                          <w:lang w:val="fr-FR"/>
                        </w:rPr>
                        <w:t xml:space="preserve"> sur les services </w:t>
                      </w:r>
                      <w:r>
                        <w:rPr>
                          <w:rFonts w:eastAsia="Calibri"/>
                          <w:kern w:val="20"/>
                          <w:sz w:val="20"/>
                          <w:szCs w:val="20"/>
                          <w:lang w:val="fr-FR"/>
                        </w:rPr>
                        <w:t xml:space="preserve">et fonctions </w:t>
                      </w:r>
                      <w:r w:rsidRPr="00774D7B">
                        <w:rPr>
                          <w:rFonts w:eastAsia="Calibri"/>
                          <w:kern w:val="20"/>
                          <w:sz w:val="20"/>
                          <w:szCs w:val="20"/>
                          <w:lang w:val="fr-FR"/>
                        </w:rPr>
                        <w:t>écosystémiques dans un paysage terrestre ou marin</w:t>
                      </w:r>
                      <w:r>
                        <w:rPr>
                          <w:rFonts w:eastAsia="Calibri"/>
                          <w:kern w:val="20"/>
                          <w:sz w:val="20"/>
                          <w:szCs w:val="20"/>
                          <w:lang w:val="fr-FR"/>
                        </w:rPr>
                        <w:t xml:space="preserve"> donné.</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Pr>
                          <w:rFonts w:eastAsia="Calibri"/>
                          <w:kern w:val="20"/>
                          <w:sz w:val="20"/>
                          <w:szCs w:val="20"/>
                          <w:lang w:val="fr-FR"/>
                        </w:rPr>
                        <w:t>Examin</w:t>
                      </w:r>
                      <w:r w:rsidRPr="00774D7B">
                        <w:rPr>
                          <w:rFonts w:eastAsia="Calibri"/>
                          <w:kern w:val="20"/>
                          <w:sz w:val="20"/>
                          <w:szCs w:val="20"/>
                          <w:lang w:val="fr-FR"/>
                        </w:rPr>
                        <w:t xml:space="preserve">er </w:t>
                      </w:r>
                      <w:r>
                        <w:rPr>
                          <w:rFonts w:eastAsia="Calibri"/>
                          <w:kern w:val="20"/>
                          <w:sz w:val="20"/>
                          <w:szCs w:val="20"/>
                          <w:lang w:val="fr-FR"/>
                        </w:rPr>
                        <w:t xml:space="preserve">toute la gamme </w:t>
                      </w:r>
                      <w:r w:rsidRPr="00774D7B">
                        <w:rPr>
                          <w:rFonts w:eastAsia="Calibri"/>
                          <w:kern w:val="20"/>
                          <w:sz w:val="20"/>
                          <w:szCs w:val="20"/>
                          <w:lang w:val="fr-FR"/>
                        </w:rPr>
                        <w:t xml:space="preserve">des options </w:t>
                      </w:r>
                      <w:r>
                        <w:rPr>
                          <w:rFonts w:eastAsia="Calibri"/>
                          <w:kern w:val="20"/>
                          <w:sz w:val="20"/>
                          <w:szCs w:val="20"/>
                          <w:lang w:val="fr-FR"/>
                        </w:rPr>
                        <w:t xml:space="preserve">en matière </w:t>
                      </w:r>
                      <w:r w:rsidRPr="00774D7B">
                        <w:rPr>
                          <w:rFonts w:eastAsia="Calibri"/>
                          <w:kern w:val="20"/>
                          <w:sz w:val="20"/>
                          <w:szCs w:val="20"/>
                          <w:lang w:val="fr-FR"/>
                        </w:rPr>
                        <w:t>d’infrastructure</w:t>
                      </w:r>
                      <w:r>
                        <w:rPr>
                          <w:rFonts w:eastAsia="Calibri"/>
                          <w:kern w:val="20"/>
                          <w:sz w:val="20"/>
                          <w:szCs w:val="20"/>
                          <w:lang w:val="fr-FR"/>
                        </w:rPr>
                        <w:t>s, de</w:t>
                      </w:r>
                      <w:r w:rsidRPr="00774D7B">
                        <w:rPr>
                          <w:rFonts w:eastAsia="Calibri"/>
                          <w:kern w:val="20"/>
                          <w:sz w:val="20"/>
                          <w:szCs w:val="20"/>
                          <w:lang w:val="fr-FR"/>
                        </w:rPr>
                        <w:t xml:space="preserve"> solutions « vertes » ou « hybrides » aux infrastructures « grises » et leur compatibilité, en reconnaissant que différentes combinaison</w:t>
                      </w:r>
                      <w:r>
                        <w:rPr>
                          <w:rFonts w:eastAsia="Calibri"/>
                          <w:kern w:val="20"/>
                          <w:sz w:val="20"/>
                          <w:szCs w:val="20"/>
                          <w:lang w:val="fr-FR"/>
                        </w:rPr>
                        <w:t>s</w:t>
                      </w:r>
                      <w:r w:rsidRPr="00774D7B">
                        <w:rPr>
                          <w:rFonts w:eastAsia="Calibri"/>
                          <w:kern w:val="20"/>
                          <w:sz w:val="20"/>
                          <w:szCs w:val="20"/>
                          <w:lang w:val="fr-FR"/>
                        </w:rPr>
                        <w:t xml:space="preserve"> s</w:t>
                      </w:r>
                      <w:r>
                        <w:rPr>
                          <w:rFonts w:eastAsia="Calibri"/>
                          <w:kern w:val="20"/>
                          <w:sz w:val="20"/>
                          <w:szCs w:val="20"/>
                          <w:lang w:val="fr-FR"/>
                        </w:rPr>
                        <w:t>er</w:t>
                      </w:r>
                      <w:r w:rsidRPr="00774D7B">
                        <w:rPr>
                          <w:rFonts w:eastAsia="Calibri"/>
                          <w:kern w:val="20"/>
                          <w:sz w:val="20"/>
                          <w:szCs w:val="20"/>
                          <w:lang w:val="fr-FR"/>
                        </w:rPr>
                        <w:t>ont nécessaires dans différentes situations</w:t>
                      </w:r>
                      <w:r>
                        <w:rPr>
                          <w:rFonts w:eastAsia="Calibri"/>
                          <w:kern w:val="20"/>
                          <w:sz w:val="20"/>
                          <w:szCs w:val="20"/>
                          <w:lang w:val="fr-FR"/>
                        </w:rPr>
                        <w:t>.</w:t>
                      </w:r>
                    </w:p>
                    <w:p w:rsidR="00E62BFB" w:rsidRPr="00774D7B" w:rsidRDefault="00E62BFB" w:rsidP="00004EAF">
                      <w:pPr>
                        <w:numPr>
                          <w:ilvl w:val="0"/>
                          <w:numId w:val="55"/>
                        </w:numPr>
                        <w:spacing w:before="120" w:after="120"/>
                        <w:contextualSpacing/>
                        <w:jc w:val="left"/>
                        <w:rPr>
                          <w:rFonts w:eastAsia="Calibri"/>
                          <w:kern w:val="20"/>
                          <w:sz w:val="20"/>
                          <w:szCs w:val="20"/>
                          <w:lang w:val="fr-FR"/>
                        </w:rPr>
                      </w:pPr>
                      <w:r w:rsidRPr="00774D7B">
                        <w:rPr>
                          <w:rFonts w:eastAsia="Calibri"/>
                          <w:kern w:val="20"/>
                          <w:sz w:val="20"/>
                          <w:szCs w:val="20"/>
                          <w:lang w:val="fr-FR"/>
                        </w:rPr>
                        <w:t xml:space="preserve">Veiller à ce que </w:t>
                      </w:r>
                      <w:r>
                        <w:rPr>
                          <w:rFonts w:eastAsia="Calibri"/>
                          <w:kern w:val="20"/>
                          <w:sz w:val="20"/>
                          <w:szCs w:val="20"/>
                          <w:lang w:val="fr-FR"/>
                        </w:rPr>
                        <w:t>les approches écosystémiques d’adaptation aux changements climatiques et de réduction des risques de catastrophe naturelle soient éclairées par les</w:t>
                      </w:r>
                      <w:r w:rsidRPr="00774D7B">
                        <w:rPr>
                          <w:rFonts w:eastAsia="Calibri"/>
                          <w:kern w:val="20"/>
                          <w:sz w:val="20"/>
                          <w:szCs w:val="20"/>
                          <w:lang w:val="fr-FR"/>
                        </w:rPr>
                        <w:t xml:space="preserve"> meilleure</w:t>
                      </w:r>
                      <w:r>
                        <w:rPr>
                          <w:rFonts w:eastAsia="Calibri"/>
                          <w:kern w:val="20"/>
                          <w:sz w:val="20"/>
                          <w:szCs w:val="20"/>
                          <w:lang w:val="fr-FR"/>
                        </w:rPr>
                        <w:t>s données scientifiques</w:t>
                      </w:r>
                      <w:r w:rsidRPr="00774D7B">
                        <w:rPr>
                          <w:rFonts w:eastAsia="Calibri"/>
                          <w:kern w:val="20"/>
                          <w:sz w:val="20"/>
                          <w:szCs w:val="20"/>
                          <w:lang w:val="fr-FR"/>
                        </w:rPr>
                        <w:t xml:space="preserve"> disponible</w:t>
                      </w:r>
                      <w:r>
                        <w:rPr>
                          <w:rFonts w:eastAsia="Calibri"/>
                          <w:kern w:val="20"/>
                          <w:sz w:val="20"/>
                          <w:szCs w:val="20"/>
                          <w:lang w:val="fr-FR"/>
                        </w:rPr>
                        <w:t>s</w:t>
                      </w:r>
                      <w:r w:rsidRPr="00774D7B">
                        <w:rPr>
                          <w:rFonts w:eastAsia="Calibri"/>
                          <w:kern w:val="20"/>
                          <w:sz w:val="20"/>
                          <w:szCs w:val="20"/>
                          <w:lang w:val="fr-FR"/>
                        </w:rPr>
                        <w:t xml:space="preserve"> et les connaissances autochtones et locales</w:t>
                      </w:r>
                      <w:r>
                        <w:rPr>
                          <w:rFonts w:eastAsia="Calibri"/>
                          <w:kern w:val="20"/>
                          <w:sz w:val="20"/>
                          <w:szCs w:val="20"/>
                          <w:lang w:val="fr-FR"/>
                        </w:rPr>
                        <w:t>,</w:t>
                      </w:r>
                      <w:r w:rsidRPr="00774D7B">
                        <w:rPr>
                          <w:rFonts w:eastAsia="Calibri"/>
                          <w:kern w:val="20"/>
                          <w:sz w:val="20"/>
                          <w:szCs w:val="20"/>
                          <w:lang w:val="fr-FR"/>
                        </w:rPr>
                        <w:t xml:space="preserve"> pour expliquer pleinement les compromis et les limites éventuels</w:t>
                      </w:r>
                      <w:r>
                        <w:rPr>
                          <w:rFonts w:eastAsia="Calibri"/>
                          <w:kern w:val="20"/>
                          <w:sz w:val="20"/>
                          <w:szCs w:val="20"/>
                          <w:lang w:val="fr-FR"/>
                        </w:rPr>
                        <w:t>.</w:t>
                      </w:r>
                    </w:p>
                    <w:p w:rsidR="00E62BFB" w:rsidRDefault="00E62BFB" w:rsidP="00004EAF">
                      <w:pPr>
                        <w:numPr>
                          <w:ilvl w:val="0"/>
                          <w:numId w:val="55"/>
                        </w:numPr>
                        <w:contextualSpacing/>
                        <w:jc w:val="left"/>
                        <w:rPr>
                          <w:rFonts w:eastAsia="Calibri"/>
                          <w:kern w:val="20"/>
                          <w:sz w:val="20"/>
                          <w:szCs w:val="20"/>
                          <w:lang w:val="fr-FR"/>
                        </w:rPr>
                      </w:pPr>
                      <w:r w:rsidRPr="00774D7B">
                        <w:rPr>
                          <w:rFonts w:eastAsia="Calibri"/>
                          <w:kern w:val="20"/>
                          <w:sz w:val="20"/>
                          <w:szCs w:val="20"/>
                          <w:lang w:val="fr-FR"/>
                        </w:rPr>
                        <w:t xml:space="preserve">Assurer l’intégration </w:t>
                      </w:r>
                      <w:r>
                        <w:rPr>
                          <w:rFonts w:eastAsia="Calibri"/>
                          <w:kern w:val="20"/>
                          <w:sz w:val="20"/>
                          <w:szCs w:val="20"/>
                          <w:lang w:val="fr-FR"/>
                        </w:rPr>
                        <w:t>des approches écosystémiques d’adaptation aux changements climatiques et de réduction des risques de catastrophe naturelle</w:t>
                      </w:r>
                      <w:r w:rsidRPr="00774D7B">
                        <w:rPr>
                          <w:rFonts w:eastAsia="Calibri"/>
                          <w:kern w:val="20"/>
                          <w:sz w:val="20"/>
                          <w:szCs w:val="20"/>
                          <w:lang w:val="fr-FR"/>
                        </w:rPr>
                        <w:t xml:space="preserve"> dans les stratégies globales d’adaptation </w:t>
                      </w:r>
                      <w:r>
                        <w:rPr>
                          <w:rFonts w:eastAsia="Calibri"/>
                          <w:kern w:val="20"/>
                          <w:sz w:val="20"/>
                          <w:szCs w:val="20"/>
                          <w:lang w:val="fr-FR"/>
                        </w:rPr>
                        <w:t xml:space="preserve">aux changements climatiques </w:t>
                      </w:r>
                      <w:r w:rsidRPr="00774D7B">
                        <w:rPr>
                          <w:rFonts w:eastAsia="Calibri"/>
                          <w:kern w:val="20"/>
                          <w:sz w:val="20"/>
                          <w:szCs w:val="20"/>
                          <w:lang w:val="fr-FR"/>
                        </w:rPr>
                        <w:t xml:space="preserve">ou de réduction des risques de </w:t>
                      </w:r>
                      <w:r>
                        <w:rPr>
                          <w:rFonts w:eastAsia="Calibri"/>
                          <w:kern w:val="20"/>
                          <w:sz w:val="20"/>
                          <w:szCs w:val="20"/>
                          <w:lang w:val="fr-FR"/>
                        </w:rPr>
                        <w:t>catastrophe naturelle</w:t>
                      </w:r>
                      <w:r w:rsidRPr="00774D7B">
                        <w:rPr>
                          <w:rFonts w:eastAsia="Calibri"/>
                          <w:kern w:val="20"/>
                          <w:sz w:val="20"/>
                          <w:szCs w:val="20"/>
                          <w:lang w:val="fr-FR"/>
                        </w:rPr>
                        <w:t>, compte tenu des</w:t>
                      </w:r>
                      <w:r>
                        <w:rPr>
                          <w:rFonts w:eastAsia="Calibri"/>
                          <w:kern w:val="20"/>
                          <w:sz w:val="20"/>
                          <w:szCs w:val="20"/>
                          <w:lang w:val="fr-FR"/>
                        </w:rPr>
                        <w:t xml:space="preserve"> multiples avantages et des</w:t>
                      </w:r>
                      <w:r w:rsidRPr="00774D7B">
                        <w:rPr>
                          <w:rFonts w:eastAsia="Calibri"/>
                          <w:kern w:val="20"/>
                          <w:sz w:val="20"/>
                          <w:szCs w:val="20"/>
                          <w:lang w:val="fr-FR"/>
                        </w:rPr>
                        <w:t xml:space="preserve"> limites potentielles des approches fondées sur les écosystèmes</w:t>
                      </w:r>
                      <w:r>
                        <w:rPr>
                          <w:rFonts w:eastAsia="Calibri"/>
                          <w:kern w:val="20"/>
                          <w:sz w:val="20"/>
                          <w:szCs w:val="20"/>
                          <w:lang w:val="fr-FR"/>
                        </w:rPr>
                        <w:t>.</w:t>
                      </w:r>
                    </w:p>
                    <w:p w:rsidR="00E62BFB" w:rsidRPr="005757ED" w:rsidRDefault="00E62BFB" w:rsidP="00004EAF">
                      <w:pPr>
                        <w:numPr>
                          <w:ilvl w:val="0"/>
                          <w:numId w:val="55"/>
                        </w:numPr>
                        <w:contextualSpacing/>
                        <w:jc w:val="left"/>
                        <w:rPr>
                          <w:rFonts w:eastAsia="Calibri"/>
                          <w:kern w:val="20"/>
                          <w:sz w:val="20"/>
                          <w:szCs w:val="20"/>
                          <w:lang w:val="fr-FR"/>
                        </w:rPr>
                      </w:pPr>
                      <w:r w:rsidRPr="005757ED">
                        <w:rPr>
                          <w:rFonts w:eastAsia="Calibri"/>
                          <w:kern w:val="20"/>
                          <w:sz w:val="20"/>
                          <w:szCs w:val="20"/>
                          <w:lang w:val="fr-FR"/>
                        </w:rPr>
                        <w:t>Optimiser les multiples avan</w:t>
                      </w:r>
                      <w:r>
                        <w:rPr>
                          <w:rFonts w:eastAsia="Calibri"/>
                          <w:kern w:val="20"/>
                          <w:sz w:val="20"/>
                          <w:szCs w:val="20"/>
                          <w:lang w:val="fr-FR"/>
                        </w:rPr>
                        <w:t>tages, et examiner et réduire à un</w:t>
                      </w:r>
                      <w:r w:rsidRPr="005757ED">
                        <w:rPr>
                          <w:rFonts w:eastAsia="Calibri"/>
                          <w:kern w:val="20"/>
                          <w:sz w:val="20"/>
                          <w:szCs w:val="20"/>
                          <w:lang w:val="fr-FR"/>
                        </w:rPr>
                        <w:t xml:space="preserve"> minimum les compromis</w:t>
                      </w:r>
                      <w:r>
                        <w:rPr>
                          <w:rFonts w:eastAsia="Calibri"/>
                          <w:kern w:val="20"/>
                          <w:sz w:val="20"/>
                          <w:szCs w:val="20"/>
                          <w:lang w:val="fr-FR"/>
                        </w:rPr>
                        <w:t xml:space="preserve"> ou les effets non escomptés</w:t>
                      </w:r>
                      <w:r w:rsidRPr="005757ED">
                        <w:rPr>
                          <w:rFonts w:eastAsia="Calibri"/>
                          <w:kern w:val="20"/>
                          <w:sz w:val="20"/>
                          <w:szCs w:val="20"/>
                          <w:lang w:val="fr-FR"/>
                        </w:rPr>
                        <w:t xml:space="preserve"> </w:t>
                      </w:r>
                      <w:r>
                        <w:rPr>
                          <w:rFonts w:eastAsia="Calibri"/>
                          <w:kern w:val="20"/>
                          <w:sz w:val="20"/>
                          <w:szCs w:val="20"/>
                          <w:lang w:val="fr-FR"/>
                        </w:rPr>
                        <w:t>des approches écosystémiques d’adaptation aux changements climatiques et de réduction des risques de catastrophe naturelle</w:t>
                      </w:r>
                      <w:r w:rsidRPr="005757ED">
                        <w:rPr>
                          <w:rFonts w:eastAsia="Calibri"/>
                          <w:kern w:val="20"/>
                          <w:sz w:val="20"/>
                          <w:szCs w:val="20"/>
                          <w:lang w:val="fr-FR"/>
                        </w:rPr>
                        <w:t xml:space="preserve"> à tous les stades de la planification et de la mise en œuvre, compte tenu des incertitudes dans les prévisions climatiques et les différents scénarios.</w:t>
                      </w:r>
                    </w:p>
                  </w:txbxContent>
                </v:textbox>
                <w10:wrap type="square" anchorx="margin"/>
              </v:shape>
            </w:pict>
          </mc:Fallback>
        </mc:AlternateContent>
      </w:r>
    </w:p>
    <w:p w:rsidR="009F6935" w:rsidRPr="00026DDE" w:rsidRDefault="009F6935" w:rsidP="009F6935">
      <w:pPr>
        <w:suppressLineNumbers/>
        <w:suppressAutoHyphens/>
        <w:kinsoku w:val="0"/>
        <w:overflowPunct w:val="0"/>
        <w:autoSpaceDE w:val="0"/>
        <w:autoSpaceDN w:val="0"/>
        <w:adjustRightInd w:val="0"/>
        <w:snapToGrid w:val="0"/>
        <w:spacing w:after="120"/>
        <w:rPr>
          <w:rFonts w:eastAsia="Calibri"/>
          <w:snapToGrid w:val="0"/>
          <w:kern w:val="22"/>
          <w:szCs w:val="22"/>
          <w:lang w:val="fr-FR"/>
        </w:rPr>
      </w:pPr>
    </w:p>
    <w:p w:rsidR="009F6935" w:rsidRPr="00283141" w:rsidRDefault="009F6935" w:rsidP="009F6935">
      <w:pPr>
        <w:keepNext/>
        <w:suppressLineNumbers/>
        <w:suppressAutoHyphens/>
        <w:kinsoku w:val="0"/>
        <w:overflowPunct w:val="0"/>
        <w:autoSpaceDE w:val="0"/>
        <w:autoSpaceDN w:val="0"/>
        <w:adjustRightInd w:val="0"/>
        <w:snapToGrid w:val="0"/>
        <w:spacing w:before="240" w:after="120"/>
        <w:jc w:val="left"/>
        <w:outlineLvl w:val="1"/>
        <w:rPr>
          <w:b/>
          <w:snapToGrid w:val="0"/>
          <w:color w:val="2F5496"/>
          <w:kern w:val="22"/>
          <w:szCs w:val="22"/>
          <w:lang w:val="fr-FR"/>
        </w:rPr>
      </w:pPr>
      <w:bookmarkStart w:id="361" w:name="_Toc504402396"/>
      <w:bookmarkStart w:id="362" w:name="_Toc525904258"/>
      <w:bookmarkStart w:id="363" w:name="_Toc525904417"/>
      <w:bookmarkStart w:id="364" w:name="_Toc525904661"/>
      <w:r w:rsidRPr="00283141">
        <w:rPr>
          <w:b/>
          <w:snapToGrid w:val="0"/>
          <w:kern w:val="22"/>
          <w:szCs w:val="22"/>
          <w:lang w:val="fr-FR"/>
        </w:rPr>
        <w:t xml:space="preserve">Étape E. </w:t>
      </w:r>
      <w:bookmarkEnd w:id="361"/>
      <w:r>
        <w:rPr>
          <w:b/>
          <w:snapToGrid w:val="0"/>
          <w:kern w:val="22"/>
          <w:szCs w:val="22"/>
          <w:lang w:val="fr-FR"/>
        </w:rPr>
        <w:t>Conception et mise en œuvre des</w:t>
      </w:r>
      <w:r w:rsidRPr="00283141">
        <w:rPr>
          <w:b/>
          <w:snapToGrid w:val="0"/>
          <w:kern w:val="22"/>
          <w:szCs w:val="22"/>
          <w:lang w:val="fr-FR"/>
        </w:rPr>
        <w:t xml:space="preserve"> projet</w:t>
      </w:r>
      <w:r>
        <w:rPr>
          <w:b/>
          <w:snapToGrid w:val="0"/>
          <w:kern w:val="22"/>
          <w:szCs w:val="22"/>
          <w:lang w:val="fr-FR"/>
        </w:rPr>
        <w:t>s</w:t>
      </w:r>
      <w:bookmarkEnd w:id="362"/>
      <w:bookmarkEnd w:id="363"/>
      <w:bookmarkEnd w:id="364"/>
    </w:p>
    <w:p w:rsidR="009F6935" w:rsidRPr="00283141" w:rsidRDefault="009F6935" w:rsidP="009F6935">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sidRPr="00283141">
        <w:rPr>
          <w:rFonts w:eastAsia="Calibri"/>
          <w:b/>
          <w:snapToGrid w:val="0"/>
          <w:kern w:val="22"/>
          <w:szCs w:val="22"/>
          <w:lang w:val="fr-FR"/>
        </w:rPr>
        <w:t>Objet</w:t>
      </w:r>
    </w:p>
    <w:p w:rsidR="009F6935" w:rsidRPr="0028314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sidRPr="00283141">
        <w:rPr>
          <w:rFonts w:eastAsia="Calibri"/>
          <w:snapToGrid w:val="0"/>
          <w:color w:val="242021"/>
          <w:kern w:val="22"/>
          <w:szCs w:val="22"/>
          <w:lang w:val="fr-FR"/>
        </w:rPr>
        <w:t>Dans cette étape, les interventions sélectionnées</w:t>
      </w:r>
      <w:r>
        <w:rPr>
          <w:rFonts w:eastAsia="Calibri"/>
          <w:snapToGrid w:val="0"/>
          <w:color w:val="242021"/>
          <w:kern w:val="22"/>
          <w:szCs w:val="22"/>
          <w:lang w:val="fr-FR"/>
        </w:rPr>
        <w:t xml:space="preserve"> à l’étape D sont conçues et mises en œuvre conformément aux principes et aux garanties. Pendant les stades de conception et de mise en œuvre, il est important de continuellement revisiter les principes et les garanties et d’assurer l’engagement continu des parties prenantes, le renforcement des capacités, l’intégration et le suivi.</w:t>
      </w:r>
    </w:p>
    <w:p w:rsidR="009F6935" w:rsidRPr="0028314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lastRenderedPageBreak/>
        <w:t>Vu l’importance supplémentaire de la coopération, de la coordination et de politiques transfrontalières et intersectorielles, des mesures plus détaillées sont décrites dans l’encadré 4. Les outils connexes sont fournis dans la boîte à outils de l’étape E : Conception et mise en œuvre des projets, à titre d’information supplémentaire</w:t>
      </w:r>
      <w:r w:rsidRPr="00DF0E24">
        <w:rPr>
          <w:rFonts w:eastAsia="Calibri"/>
          <w:color w:val="242021"/>
          <w:vertAlign w:val="superscript"/>
          <w:lang w:val="fr-FR"/>
        </w:rPr>
        <w:footnoteReference w:id="120"/>
      </w:r>
      <w:r>
        <w:rPr>
          <w:rFonts w:eastAsia="Calibri"/>
          <w:snapToGrid w:val="0"/>
          <w:color w:val="242021"/>
          <w:kern w:val="22"/>
          <w:szCs w:val="22"/>
          <w:lang w:val="fr-FR"/>
        </w:rPr>
        <w:t>.</w:t>
      </w:r>
    </w:p>
    <w:p w:rsidR="009F6935" w:rsidRPr="00283141"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Résultats</w:t>
      </w:r>
    </w:p>
    <w:p w:rsidR="009F6935" w:rsidRPr="00283141" w:rsidRDefault="009F6935" w:rsidP="009F6935">
      <w:pPr>
        <w:suppressLineNumbers/>
        <w:suppressAutoHyphens/>
        <w:kinsoku w:val="0"/>
        <w:overflowPunct w:val="0"/>
        <w:autoSpaceDE w:val="0"/>
        <w:autoSpaceDN w:val="0"/>
        <w:adjustRightInd w:val="0"/>
        <w:snapToGrid w:val="0"/>
        <w:spacing w:before="120" w:after="120"/>
        <w:ind w:firstLine="720"/>
        <w:rPr>
          <w:rFonts w:eastAsia="Calibri"/>
          <w:snapToGrid w:val="0"/>
          <w:kern w:val="22"/>
          <w:szCs w:val="22"/>
          <w:lang w:val="fr-FR"/>
        </w:rPr>
      </w:pPr>
      <w:r>
        <w:rPr>
          <w:rFonts w:eastAsia="Calibri"/>
          <w:snapToGrid w:val="0"/>
          <w:kern w:val="22"/>
          <w:szCs w:val="22"/>
          <w:lang w:val="fr-FR"/>
        </w:rPr>
        <w:t>Un plan de conception et de mise en œuvre du projet (y compris une stratégie financière, une stratégie de création de capacités, des mesures définies pour les mesures de soutien institutionnel et technique).</w:t>
      </w:r>
    </w:p>
    <w:p w:rsidR="009F6935" w:rsidRPr="00283141" w:rsidRDefault="009F6935" w:rsidP="009F6935">
      <w:pPr>
        <w:keepNext/>
        <w:suppressLineNumbers/>
        <w:suppressAutoHyphens/>
        <w:kinsoku w:val="0"/>
        <w:overflowPunct w:val="0"/>
        <w:autoSpaceDE w:val="0"/>
        <w:autoSpaceDN w:val="0"/>
        <w:adjustRightInd w:val="0"/>
        <w:snapToGrid w:val="0"/>
        <w:spacing w:before="120" w:after="120"/>
        <w:rPr>
          <w:rFonts w:eastAsia="Calibri"/>
          <w:b/>
          <w:snapToGrid w:val="0"/>
          <w:kern w:val="22"/>
          <w:szCs w:val="22"/>
          <w:lang w:val="fr-FR"/>
        </w:rPr>
      </w:pPr>
      <w:r>
        <w:rPr>
          <w:rFonts w:eastAsia="Calibri"/>
          <w:b/>
          <w:snapToGrid w:val="0"/>
          <w:kern w:val="22"/>
          <w:szCs w:val="22"/>
          <w:lang w:val="fr-FR"/>
        </w:rPr>
        <w:t>Mesures clés</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éléments, principes et garanties des approches écosystémiques d’adaptation aux changements climatiques et de réduction des risques de catastrophe naturelle pendant la conception et la mise en œuvre (voir étape B);</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Prendre en compte les critères de qualification et les normes d’adaptation fondée sur les écosystèmes</w:t>
      </w:r>
      <w:r w:rsidRPr="00283141">
        <w:rPr>
          <w:rFonts w:eastAsia="Calibri"/>
          <w:snapToGrid w:val="0"/>
          <w:kern w:val="22"/>
          <w:szCs w:val="22"/>
          <w:lang w:val="fr-FR"/>
        </w:rPr>
        <w:t xml:space="preserve">; </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Concevoir les interventions à une échelle appropriée pour atteindre les objectifs fixés dans l’étape A;</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Engager des experts compétents et consolider les liens entre le milieu scientifique et les exécuteurs de projets, et assurer une utilisation optimale des écosystèmes pour l’adaptation aux changements climatiques et la réduction des risques de catastrophe naturelle;</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Choisir des outils appropriés et, le cas échéant, un plan pour le développement de nouvelles méthodologies;</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Déterminer les besoins techniques et de financement, et établir un budget en conséquence;</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Établir un plan de travail, y compris un calendrier des activités, des étapes à accomplir</w:t>
      </w:r>
      <w:r w:rsidRPr="00283141">
        <w:rPr>
          <w:rFonts w:eastAsia="Calibri"/>
          <w:snapToGrid w:val="0"/>
          <w:kern w:val="22"/>
          <w:szCs w:val="22"/>
          <w:lang w:val="fr-FR"/>
        </w:rPr>
        <w:t>,</w:t>
      </w:r>
      <w:r>
        <w:rPr>
          <w:rFonts w:eastAsia="Calibri"/>
          <w:snapToGrid w:val="0"/>
          <w:kern w:val="22"/>
          <w:szCs w:val="22"/>
          <w:lang w:val="fr-FR"/>
        </w:rPr>
        <w:t xml:space="preserve"> les consultations multipartites nécessaires, et l’attribution des tâches et des responsabilités;</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Formuler des stratégies pour réduire les risques et les compromis identifiés et accroître les synergies (voir étape</w:t>
      </w:r>
      <w:r w:rsidRPr="00283141">
        <w:rPr>
          <w:rFonts w:eastAsia="Calibri"/>
          <w:snapToGrid w:val="0"/>
          <w:kern w:val="22"/>
          <w:szCs w:val="22"/>
          <w:lang w:val="fr-FR"/>
        </w:rPr>
        <w:t> D);</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Établir des liens entre le projet et les plans, les stratégies et les politiques de développement nationaux, infranationaux et/ou locaux;</w:t>
      </w:r>
    </w:p>
    <w:p w:rsidR="009F6935" w:rsidRPr="00283141" w:rsidRDefault="009F6935" w:rsidP="00004EAF">
      <w:pPr>
        <w:numPr>
          <w:ilvl w:val="0"/>
          <w:numId w:val="72"/>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Tenir compte des principes du renforcement de la résilience et des capacités adaptatives dans les systèmes socio-écologiques (voir encadré</w:t>
      </w:r>
      <w:r w:rsidRPr="00283141">
        <w:rPr>
          <w:rFonts w:eastAsia="Calibri"/>
          <w:snapToGrid w:val="0"/>
          <w:kern w:val="22"/>
          <w:szCs w:val="22"/>
          <w:lang w:val="fr-FR"/>
        </w:rPr>
        <w:t> 5).</w:t>
      </w:r>
    </w:p>
    <w:p w:rsidR="009F6935" w:rsidRPr="00283141" w:rsidRDefault="009F6935" w:rsidP="009F6935">
      <w:pPr>
        <w:suppressLineNumbers/>
        <w:suppressAutoHyphens/>
        <w:kinsoku w:val="0"/>
        <w:overflowPunct w:val="0"/>
        <w:autoSpaceDE w:val="0"/>
        <w:autoSpaceDN w:val="0"/>
        <w:adjustRightInd w:val="0"/>
        <w:snapToGrid w:val="0"/>
        <w:spacing w:after="160"/>
        <w:jc w:val="left"/>
        <w:rPr>
          <w:rFonts w:eastAsia="Calibri"/>
          <w:snapToGrid w:val="0"/>
          <w:kern w:val="22"/>
          <w:szCs w:val="22"/>
          <w:lang w:val="fr-FR"/>
        </w:rPr>
      </w:pPr>
    </w:p>
    <w:p w:rsidR="009F6935" w:rsidRPr="00283141" w:rsidRDefault="009F6935" w:rsidP="009F6935">
      <w:pPr>
        <w:suppressLineNumbers/>
        <w:suppressAutoHyphens/>
        <w:kinsoku w:val="0"/>
        <w:overflowPunct w:val="0"/>
        <w:autoSpaceDE w:val="0"/>
        <w:autoSpaceDN w:val="0"/>
        <w:adjustRightInd w:val="0"/>
        <w:snapToGrid w:val="0"/>
        <w:spacing w:after="160"/>
        <w:jc w:val="left"/>
        <w:rPr>
          <w:rFonts w:eastAsia="Calibri"/>
          <w:snapToGrid w:val="0"/>
          <w:kern w:val="22"/>
          <w:szCs w:val="22"/>
          <w:lang w:val="fr-FR"/>
        </w:rPr>
      </w:pPr>
    </w:p>
    <w:p w:rsidR="009F6935" w:rsidRPr="00283141" w:rsidRDefault="009F6935" w:rsidP="009F6935">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9F6935" w:rsidRDefault="009F6935" w:rsidP="009F6935">
      <w:pPr>
        <w:suppressLineNumbers/>
        <w:suppressAutoHyphens/>
        <w:kinsoku w:val="0"/>
        <w:overflowPunct w:val="0"/>
        <w:autoSpaceDE w:val="0"/>
        <w:autoSpaceDN w:val="0"/>
        <w:adjustRightInd w:val="0"/>
        <w:snapToGrid w:val="0"/>
        <w:jc w:val="left"/>
        <w:rPr>
          <w:rFonts w:eastAsia="Calibri"/>
          <w:snapToGrid w:val="0"/>
          <w:kern w:val="22"/>
          <w:szCs w:val="22"/>
          <w:lang w:val="fr-FR"/>
        </w:rPr>
      </w:pPr>
    </w:p>
    <w:p w:rsidR="009F6935" w:rsidRDefault="009F6935" w:rsidP="009F6935">
      <w:pPr>
        <w:jc w:val="left"/>
        <w:rPr>
          <w:rFonts w:eastAsia="Calibri"/>
          <w:snapToGrid w:val="0"/>
          <w:kern w:val="22"/>
          <w:szCs w:val="22"/>
          <w:lang w:val="fr-FR"/>
        </w:rPr>
      </w:pPr>
      <w:r w:rsidRPr="00283141">
        <w:rPr>
          <w:rFonts w:eastAsia="Calibri"/>
          <w:noProof/>
          <w:snapToGrid w:val="0"/>
          <w:kern w:val="22"/>
          <w:szCs w:val="22"/>
          <w:lang w:val="fr-FR" w:eastAsia="fr-FR"/>
        </w:rPr>
        <w:lastRenderedPageBreak/>
        <mc:AlternateContent>
          <mc:Choice Requires="wps">
            <w:drawing>
              <wp:anchor distT="45720" distB="45720" distL="114300" distR="114300" simplePos="0" relativeHeight="251670528" behindDoc="0" locked="0" layoutInCell="1" allowOverlap="1" wp14:anchorId="02D338AC" wp14:editId="7C31C525">
                <wp:simplePos x="0" y="0"/>
                <wp:positionH relativeFrom="column">
                  <wp:posOffset>10984</wp:posOffset>
                </wp:positionH>
                <wp:positionV relativeFrom="paragraph">
                  <wp:posOffset>93180</wp:posOffset>
                </wp:positionV>
                <wp:extent cx="5937885" cy="6431280"/>
                <wp:effectExtent l="0" t="0" r="24765" b="2667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6431280"/>
                        </a:xfrm>
                        <a:prstGeom prst="rect">
                          <a:avLst/>
                        </a:prstGeom>
                        <a:solidFill>
                          <a:srgbClr val="FFFFFF"/>
                        </a:solidFill>
                        <a:ln w="9525">
                          <a:solidFill>
                            <a:srgbClr val="000000"/>
                          </a:solidFill>
                          <a:miter lim="800000"/>
                          <a:headEnd/>
                          <a:tailEnd/>
                        </a:ln>
                      </wps:spPr>
                      <wps:txbx>
                        <w:txbxContent>
                          <w:p w:rsidR="00E62BFB" w:rsidRPr="009037B9" w:rsidRDefault="00E62BFB" w:rsidP="009F6935">
                            <w:pPr>
                              <w:spacing w:after="120"/>
                              <w:jc w:val="center"/>
                              <w:rPr>
                                <w:rFonts w:ascii="Century Gothic" w:hAnsi="Century Gothic"/>
                                <w:b/>
                                <w:bCs/>
                                <w:color w:val="4F81BD"/>
                                <w:lang w:val="fr-FR"/>
                              </w:rPr>
                            </w:pPr>
                            <w:r w:rsidRPr="009037B9">
                              <w:rPr>
                                <w:rFonts w:ascii="Century Gothic" w:hAnsi="Century Gothic"/>
                                <w:b/>
                                <w:bCs/>
                                <w:color w:val="4F81BD"/>
                                <w:lang w:val="fr-FR"/>
                              </w:rPr>
                              <w:t>Encadré 4. Coopération, coordination et politiques transfrontalières et intersectorielles</w:t>
                            </w:r>
                          </w:p>
                          <w:p w:rsidR="00E62BFB" w:rsidRPr="00007389" w:rsidRDefault="00E62BFB" w:rsidP="009F6935">
                            <w:pPr>
                              <w:spacing w:before="120" w:after="120"/>
                              <w:rPr>
                                <w:kern w:val="20"/>
                                <w:sz w:val="20"/>
                                <w:szCs w:val="20"/>
                                <w:lang w:val="fr-FR"/>
                              </w:rPr>
                            </w:pPr>
                            <w:r w:rsidRPr="00007389">
                              <w:rPr>
                                <w:kern w:val="20"/>
                                <w:sz w:val="20"/>
                                <w:szCs w:val="20"/>
                                <w:lang w:val="fr-FR"/>
                              </w:rPr>
                              <w:t xml:space="preserve">Les effets des changements climatiques et les risques de </w:t>
                            </w:r>
                            <w:r>
                              <w:rPr>
                                <w:kern w:val="20"/>
                                <w:sz w:val="20"/>
                                <w:szCs w:val="20"/>
                                <w:lang w:val="fr-FR"/>
                              </w:rPr>
                              <w:t>catastrophe naturelle</w:t>
                            </w:r>
                            <w:r w:rsidRPr="00007389">
                              <w:rPr>
                                <w:kern w:val="20"/>
                                <w:sz w:val="20"/>
                                <w:szCs w:val="20"/>
                                <w:lang w:val="fr-FR"/>
                              </w:rPr>
                              <w:t xml:space="preserve"> s’étendent au</w:t>
                            </w:r>
                            <w:r>
                              <w:rPr>
                                <w:kern w:val="20"/>
                                <w:sz w:val="20"/>
                                <w:szCs w:val="20"/>
                                <w:lang w:val="fr-FR"/>
                              </w:rPr>
                              <w:t>-delà des frontières politiques</w:t>
                            </w:r>
                            <w:r w:rsidRPr="00007389">
                              <w:rPr>
                                <w:kern w:val="20"/>
                                <w:sz w:val="20"/>
                                <w:szCs w:val="20"/>
                                <w:lang w:val="fr-FR"/>
                              </w:rPr>
                              <w:t>;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E62BFB" w:rsidRPr="00007389" w:rsidRDefault="00E62BFB" w:rsidP="009F6935">
                            <w:pPr>
                              <w:spacing w:before="120" w:after="120"/>
                              <w:rPr>
                                <w:kern w:val="20"/>
                                <w:sz w:val="20"/>
                                <w:szCs w:val="20"/>
                                <w:lang w:val="fr-FR"/>
                              </w:rPr>
                            </w:pPr>
                            <w:r>
                              <w:rPr>
                                <w:kern w:val="20"/>
                                <w:sz w:val="20"/>
                                <w:szCs w:val="20"/>
                                <w:lang w:val="fr-FR"/>
                              </w:rPr>
                              <w:t xml:space="preserve">Les mesures </w:t>
                            </w:r>
                            <w:r w:rsidRPr="00007389">
                              <w:rPr>
                                <w:kern w:val="20"/>
                                <w:sz w:val="20"/>
                                <w:szCs w:val="20"/>
                                <w:lang w:val="fr-FR"/>
                              </w:rPr>
                              <w:t>d’</w:t>
                            </w:r>
                            <w:r>
                              <w:rPr>
                                <w:kern w:val="20"/>
                                <w:sz w:val="20"/>
                                <w:szCs w:val="20"/>
                                <w:lang w:val="fr-FR"/>
                              </w:rPr>
                              <w:t>adaptation aux changements climatiques et de réduction des risques de catastrophe naturelle fondées sur les écosystèmes</w:t>
                            </w:r>
                            <w:r w:rsidRPr="00007389">
                              <w:rPr>
                                <w:kern w:val="20"/>
                                <w:sz w:val="20"/>
                                <w:szCs w:val="20"/>
                                <w:lang w:val="fr-FR"/>
                              </w:rPr>
                              <w:t xml:space="preserve"> requièrent de plus en plus de coopération avec d’autres secteurs, y compris l’agri</w:t>
                            </w:r>
                            <w:r>
                              <w:rPr>
                                <w:kern w:val="20"/>
                                <w:sz w:val="20"/>
                                <w:szCs w:val="20"/>
                                <w:lang w:val="fr-FR"/>
                              </w:rPr>
                              <w:t xml:space="preserve">culture, l’eau, les aménagements et </w:t>
                            </w:r>
                            <w:r w:rsidRPr="00007389">
                              <w:rPr>
                                <w:kern w:val="20"/>
                                <w:sz w:val="20"/>
                                <w:szCs w:val="20"/>
                                <w:lang w:val="fr-FR"/>
                              </w:rPr>
                              <w:t>infrastructure</w:t>
                            </w:r>
                            <w:r>
                              <w:rPr>
                                <w:kern w:val="20"/>
                                <w:sz w:val="20"/>
                                <w:szCs w:val="20"/>
                                <w:lang w:val="fr-FR"/>
                              </w:rPr>
                              <w:t>s</w:t>
                            </w:r>
                            <w:r w:rsidRPr="00007389">
                              <w:rPr>
                                <w:kern w:val="20"/>
                                <w:sz w:val="20"/>
                                <w:szCs w:val="20"/>
                                <w:lang w:val="fr-FR"/>
                              </w:rPr>
                              <w:t xml:space="preserve"> urbains.</w:t>
                            </w:r>
                          </w:p>
                          <w:p w:rsidR="00E62BFB" w:rsidRPr="00007389" w:rsidRDefault="00E62BFB" w:rsidP="009F6935">
                            <w:pPr>
                              <w:spacing w:before="120" w:after="120"/>
                              <w:rPr>
                                <w:kern w:val="20"/>
                                <w:sz w:val="20"/>
                                <w:szCs w:val="20"/>
                                <w:lang w:val="fr-FR"/>
                              </w:rPr>
                            </w:pPr>
                            <w:r w:rsidRPr="00007389">
                              <w:rPr>
                                <w:kern w:val="20"/>
                                <w:sz w:val="20"/>
                                <w:szCs w:val="20"/>
                                <w:lang w:val="fr-FR"/>
                              </w:rPr>
                              <w:t xml:space="preserve">Les considérations transfrontalières peuvent être intégrées dans </w:t>
                            </w:r>
                            <w:r>
                              <w:rPr>
                                <w:kern w:val="20"/>
                                <w:sz w:val="20"/>
                                <w:szCs w:val="20"/>
                                <w:lang w:val="fr-FR"/>
                              </w:rPr>
                              <w:t xml:space="preserve">les approches écosystémiques d’adaptation aux changements climatiques et de réduction des risques de catastrophe naturelle, </w:t>
                            </w:r>
                            <w:r w:rsidRPr="00007389">
                              <w:rPr>
                                <w:kern w:val="20"/>
                                <w:sz w:val="20"/>
                                <w:szCs w:val="20"/>
                                <w:lang w:val="fr-FR"/>
                              </w:rPr>
                              <w:t>en prenant les mesures suivantes :</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Intégrer les différentes échelles de fonctionnement critique des écosystèm</w:t>
                            </w:r>
                            <w:r>
                              <w:rPr>
                                <w:kern w:val="20"/>
                                <w:sz w:val="20"/>
                                <w:szCs w:val="20"/>
                                <w:lang w:val="fr-FR"/>
                              </w:rPr>
                              <w:t>es nécessaires à l’adaptation aux changements climatiques et</w:t>
                            </w:r>
                            <w:r w:rsidRPr="00007389">
                              <w:rPr>
                                <w:kern w:val="20"/>
                                <w:sz w:val="20"/>
                                <w:szCs w:val="20"/>
                                <w:lang w:val="fr-FR"/>
                              </w:rPr>
                              <w:t xml:space="preserve"> à la réduction des risques de </w:t>
                            </w:r>
                            <w:r>
                              <w:rPr>
                                <w:kern w:val="20"/>
                                <w:sz w:val="20"/>
                                <w:szCs w:val="20"/>
                                <w:lang w:val="fr-FR"/>
                              </w:rPr>
                              <w:t>catastrophe naturelle</w:t>
                            </w:r>
                            <w:r w:rsidRPr="00007389">
                              <w:rPr>
                                <w:kern w:val="20"/>
                                <w:sz w:val="20"/>
                                <w:szCs w:val="20"/>
                                <w:lang w:val="fr-FR"/>
                              </w:rPr>
                              <w:t xml:space="preserve"> dans </w:t>
                            </w:r>
                            <w:r>
                              <w:rPr>
                                <w:kern w:val="20"/>
                                <w:sz w:val="20"/>
                                <w:szCs w:val="20"/>
                                <w:lang w:val="fr-FR"/>
                              </w:rPr>
                              <w:t>les approches écosystémiques d’adaptation aux changements climatiques et de réduction des risques de catastrophe naturelle</w:t>
                            </w:r>
                            <w:r w:rsidRPr="00007389">
                              <w:rPr>
                                <w:kern w:val="20"/>
                                <w:sz w:val="20"/>
                                <w:szCs w:val="20"/>
                                <w:lang w:val="fr-FR"/>
                              </w:rPr>
                              <w:t>;</w:t>
                            </w:r>
                          </w:p>
                          <w:p w:rsidR="00E62BFB" w:rsidRPr="00007389" w:rsidRDefault="00E62BFB" w:rsidP="00004EAF">
                            <w:pPr>
                              <w:numPr>
                                <w:ilvl w:val="0"/>
                                <w:numId w:val="54"/>
                              </w:numPr>
                              <w:spacing w:after="60"/>
                              <w:rPr>
                                <w:kern w:val="20"/>
                                <w:sz w:val="20"/>
                                <w:szCs w:val="20"/>
                                <w:lang w:val="fr-FR"/>
                              </w:rPr>
                            </w:pPr>
                            <w:r>
                              <w:rPr>
                                <w:kern w:val="20"/>
                                <w:sz w:val="20"/>
                                <w:szCs w:val="20"/>
                                <w:lang w:val="fr-FR"/>
                              </w:rPr>
                              <w:t xml:space="preserve">Une plus grande cohérence </w:t>
                            </w:r>
                            <w:r w:rsidRPr="00007389">
                              <w:rPr>
                                <w:kern w:val="20"/>
                                <w:sz w:val="20"/>
                                <w:szCs w:val="20"/>
                                <w:lang w:val="fr-FR"/>
                              </w:rPr>
                              <w:t>entre les stratégies et les politiques régionales/transfrontières d’</w:t>
                            </w:r>
                            <w:r>
                              <w:rPr>
                                <w:kern w:val="20"/>
                                <w:sz w:val="20"/>
                                <w:szCs w:val="20"/>
                                <w:lang w:val="fr-FR"/>
                              </w:rPr>
                              <w:t>adaptation aux changements climatiques et de réduction des risques de catastrophe naturelle fondées sur les écosystèmes contribue à une plus grande efficacité des mesures</w:t>
                            </w:r>
                            <w:r w:rsidRPr="00007389">
                              <w:rPr>
                                <w:kern w:val="20"/>
                                <w:sz w:val="20"/>
                                <w:szCs w:val="20"/>
                                <w:lang w:val="fr-FR"/>
                              </w:rPr>
                              <w:t>;</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w:t>
                            </w:r>
                            <w:r>
                              <w:rPr>
                                <w:kern w:val="20"/>
                                <w:sz w:val="20"/>
                                <w:szCs w:val="20"/>
                                <w:lang w:val="fr-FR"/>
                              </w:rPr>
                              <w:t>,</w:t>
                            </w:r>
                            <w:r w:rsidRPr="00007389">
                              <w:rPr>
                                <w:kern w:val="20"/>
                                <w:sz w:val="20"/>
                                <w:szCs w:val="20"/>
                                <w:lang w:val="fr-FR"/>
                              </w:rPr>
                              <w:t xml:space="preserve"> afin de renforcer la coopération intersectorielle et augmenter l’adoption </w:t>
                            </w:r>
                            <w:r>
                              <w:rPr>
                                <w:kern w:val="20"/>
                                <w:sz w:val="20"/>
                                <w:szCs w:val="20"/>
                                <w:lang w:val="fr-FR"/>
                              </w:rPr>
                              <w:t>des approches écosystémiques d’adaptation aux changements climatiques et de réduction des risques de catastrophe naturelle</w:t>
                            </w:r>
                            <w:r w:rsidRPr="00007389">
                              <w:rPr>
                                <w:kern w:val="20"/>
                                <w:sz w:val="20"/>
                                <w:szCs w:val="20"/>
                                <w:lang w:val="fr-FR"/>
                              </w:rPr>
                              <w:t xml:space="preserve"> dans les cadres sectoriels pertinents (également </w:t>
                            </w:r>
                            <w:r>
                              <w:rPr>
                                <w:kern w:val="20"/>
                                <w:sz w:val="20"/>
                                <w:szCs w:val="20"/>
                                <w:lang w:val="fr-FR"/>
                              </w:rPr>
                              <w:t>applicable à l’intégration des approches écosystémiques d’adaptation aux changements climatiques</w:t>
                            </w:r>
                            <w:r w:rsidRPr="00007389">
                              <w:rPr>
                                <w:kern w:val="20"/>
                                <w:sz w:val="20"/>
                                <w:szCs w:val="20"/>
                                <w:lang w:val="fr-FR"/>
                              </w:rPr>
                              <w:t xml:space="preserve"> et </w:t>
                            </w:r>
                            <w:r>
                              <w:rPr>
                                <w:kern w:val="20"/>
                                <w:sz w:val="20"/>
                                <w:szCs w:val="20"/>
                                <w:lang w:val="fr-FR"/>
                              </w:rPr>
                              <w:t>de réduction des risques de catastrophe naturelle</w:t>
                            </w:r>
                            <w:r w:rsidRPr="00007389">
                              <w:rPr>
                                <w:kern w:val="20"/>
                                <w:sz w:val="20"/>
                                <w:szCs w:val="20"/>
                                <w:lang w:val="fr-FR"/>
                              </w:rPr>
                              <w:t>);</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Pr>
                                <w:kern w:val="20"/>
                                <w:sz w:val="20"/>
                                <w:szCs w:val="20"/>
                                <w:lang w:val="fr-FR"/>
                              </w:rPr>
                              <w:t>s pertinents</w:t>
                            </w:r>
                            <w:r w:rsidRPr="00007389">
                              <w:rPr>
                                <w:kern w:val="20"/>
                                <w:sz w:val="20"/>
                                <w:szCs w:val="20"/>
                                <w:lang w:val="fr-FR"/>
                              </w:rPr>
                              <w:t xml:space="preserve"> pour élaborer une vision, des buts </w:t>
                            </w:r>
                            <w:r>
                              <w:rPr>
                                <w:kern w:val="20"/>
                                <w:sz w:val="20"/>
                                <w:szCs w:val="20"/>
                                <w:lang w:val="fr-FR"/>
                              </w:rPr>
                              <w:t>et des objectifs communs pour les approches écosystémiques d’adaptation aux changements climatiques et de réduction des risques de catastrophe naturelle;</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Développer une compréhension commune des vulnérabilités à l’échelle transfrontalière et pour différents secteurs</w:t>
                            </w:r>
                            <w:r>
                              <w:rPr>
                                <w:kern w:val="20"/>
                                <w:sz w:val="20"/>
                                <w:szCs w:val="20"/>
                                <w:lang w:val="fr-FR"/>
                              </w:rPr>
                              <w:t>,</w:t>
                            </w:r>
                            <w:r w:rsidRPr="00007389">
                              <w:rPr>
                                <w:kern w:val="20"/>
                                <w:sz w:val="20"/>
                                <w:szCs w:val="20"/>
                                <w:lang w:val="fr-FR"/>
                              </w:rPr>
                              <w:t xml:space="preserve"> en utilisant des modèles et des scénarios communs ainsi que des méthodologies et des sources d’infor</w:t>
                            </w:r>
                            <w:r>
                              <w:rPr>
                                <w:kern w:val="20"/>
                                <w:sz w:val="20"/>
                                <w:szCs w:val="20"/>
                                <w:lang w:val="fr-FR"/>
                              </w:rPr>
                              <w:t>mation convenues</w:t>
                            </w:r>
                            <w:r w:rsidRPr="00007389">
                              <w:rPr>
                                <w:kern w:val="20"/>
                                <w:sz w:val="20"/>
                                <w:szCs w:val="20"/>
                                <w:lang w:val="fr-FR"/>
                              </w:rPr>
                              <w:t xml:space="preserve">; </w:t>
                            </w:r>
                          </w:p>
                          <w:p w:rsidR="00E62BFB" w:rsidRPr="006E5396" w:rsidRDefault="00E62BFB" w:rsidP="00004EAF">
                            <w:pPr>
                              <w:numPr>
                                <w:ilvl w:val="0"/>
                                <w:numId w:val="54"/>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r>
                              <w:rPr>
                                <w:kern w:val="20"/>
                                <w:sz w:val="20"/>
                                <w:szCs w:val="20"/>
                                <w:lang w:val="fr-FR"/>
                              </w:rPr>
                              <w:t>adaptation aux changements climatiques et de réduction des risques de catastrophe naturelle fondées sur les écosystèmes continuent d’</w:t>
                            </w:r>
                            <w:r w:rsidRPr="00007389">
                              <w:rPr>
                                <w:kern w:val="20"/>
                                <w:sz w:val="20"/>
                                <w:szCs w:val="20"/>
                                <w:lang w:val="fr-FR"/>
                              </w:rPr>
                              <w:t xml:space="preserve">atteindre les objectifs nationaux d’adaptation </w:t>
                            </w:r>
                            <w:r>
                              <w:rPr>
                                <w:kern w:val="20"/>
                                <w:sz w:val="20"/>
                                <w:szCs w:val="20"/>
                                <w:lang w:val="fr-FR"/>
                              </w:rPr>
                              <w:t xml:space="preserve">aux changements climatique </w:t>
                            </w:r>
                            <w:r w:rsidRPr="00007389">
                              <w:rPr>
                                <w:kern w:val="20"/>
                                <w:sz w:val="20"/>
                                <w:szCs w:val="20"/>
                                <w:lang w:val="fr-FR"/>
                              </w:rPr>
                              <w:t xml:space="preserve">et de réduction des risques de </w:t>
                            </w:r>
                            <w:r>
                              <w:rPr>
                                <w:kern w:val="20"/>
                                <w:sz w:val="20"/>
                                <w:szCs w:val="20"/>
                                <w:lang w:val="fr-FR"/>
                              </w:rPr>
                              <w:t>catastrophe naturelle, e</w:t>
                            </w:r>
                            <w:r w:rsidRPr="00007389">
                              <w:rPr>
                                <w:kern w:val="20"/>
                                <w:sz w:val="20"/>
                                <w:szCs w:val="20"/>
                                <w:lang w:val="fr-FR"/>
                              </w:rPr>
                              <w:t>t d’optimiser les possibilités de multiples avantages.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D338AC" id="_x0000_s1033" type="#_x0000_t202" style="position:absolute;margin-left:.85pt;margin-top:7.35pt;width:467.55pt;height:506.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9jKA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">
                <v:textbox>
                  <w:txbxContent>
                    <w:p w:rsidR="00E62BFB" w:rsidRPr="009037B9" w:rsidRDefault="00E62BFB" w:rsidP="009F6935">
                      <w:pPr>
                        <w:spacing w:after="120"/>
                        <w:jc w:val="center"/>
                        <w:rPr>
                          <w:rFonts w:ascii="Century Gothic" w:hAnsi="Century Gothic"/>
                          <w:b/>
                          <w:bCs/>
                          <w:color w:val="4F81BD"/>
                          <w:lang w:val="fr-FR"/>
                        </w:rPr>
                      </w:pPr>
                      <w:r w:rsidRPr="009037B9">
                        <w:rPr>
                          <w:rFonts w:ascii="Century Gothic" w:hAnsi="Century Gothic"/>
                          <w:b/>
                          <w:bCs/>
                          <w:color w:val="4F81BD"/>
                          <w:lang w:val="fr-FR"/>
                        </w:rPr>
                        <w:t>Encadré 4. Coopération, coordination et politiques transfrontalières et intersectorielles</w:t>
                      </w:r>
                    </w:p>
                    <w:p w:rsidR="00E62BFB" w:rsidRPr="00007389" w:rsidRDefault="00E62BFB" w:rsidP="009F6935">
                      <w:pPr>
                        <w:spacing w:before="120" w:after="120"/>
                        <w:rPr>
                          <w:kern w:val="20"/>
                          <w:sz w:val="20"/>
                          <w:szCs w:val="20"/>
                          <w:lang w:val="fr-FR"/>
                        </w:rPr>
                      </w:pPr>
                      <w:r w:rsidRPr="00007389">
                        <w:rPr>
                          <w:kern w:val="20"/>
                          <w:sz w:val="20"/>
                          <w:szCs w:val="20"/>
                          <w:lang w:val="fr-FR"/>
                        </w:rPr>
                        <w:t xml:space="preserve">Les effets des changements climatiques et les risques de </w:t>
                      </w:r>
                      <w:r>
                        <w:rPr>
                          <w:kern w:val="20"/>
                          <w:sz w:val="20"/>
                          <w:szCs w:val="20"/>
                          <w:lang w:val="fr-FR"/>
                        </w:rPr>
                        <w:t>catastrophe naturelle</w:t>
                      </w:r>
                      <w:r w:rsidRPr="00007389">
                        <w:rPr>
                          <w:kern w:val="20"/>
                          <w:sz w:val="20"/>
                          <w:szCs w:val="20"/>
                          <w:lang w:val="fr-FR"/>
                        </w:rPr>
                        <w:t xml:space="preserve"> s’étendent au</w:t>
                      </w:r>
                      <w:r>
                        <w:rPr>
                          <w:kern w:val="20"/>
                          <w:sz w:val="20"/>
                          <w:szCs w:val="20"/>
                          <w:lang w:val="fr-FR"/>
                        </w:rPr>
                        <w:t>-delà des frontières politiques</w:t>
                      </w:r>
                      <w:r w:rsidRPr="00007389">
                        <w:rPr>
                          <w:kern w:val="20"/>
                          <w:sz w:val="20"/>
                          <w:szCs w:val="20"/>
                          <w:lang w:val="fr-FR"/>
                        </w:rPr>
                        <w:t>; par conséquent, une approche paysagère ou systémique intégrée contribue à résoudre les problèmes au-delà des secteurs et des frontières. La coopération transfrontalière peut permettre le partage des coûts et des avantages, et empêcher les effets potentiellement négatifs de mesures prises unilatéralement. La coopération transfrontalière peut aussi offrir des opportunités de développement socioéconomique et de gestion de questions à des échelles écosystémiques appropriées.</w:t>
                      </w:r>
                    </w:p>
                    <w:p w:rsidR="00E62BFB" w:rsidRPr="00007389" w:rsidRDefault="00E62BFB" w:rsidP="009F6935">
                      <w:pPr>
                        <w:spacing w:before="120" w:after="120"/>
                        <w:rPr>
                          <w:kern w:val="20"/>
                          <w:sz w:val="20"/>
                          <w:szCs w:val="20"/>
                          <w:lang w:val="fr-FR"/>
                        </w:rPr>
                      </w:pPr>
                      <w:r>
                        <w:rPr>
                          <w:kern w:val="20"/>
                          <w:sz w:val="20"/>
                          <w:szCs w:val="20"/>
                          <w:lang w:val="fr-FR"/>
                        </w:rPr>
                        <w:t xml:space="preserve">Les mesures </w:t>
                      </w:r>
                      <w:r w:rsidRPr="00007389">
                        <w:rPr>
                          <w:kern w:val="20"/>
                          <w:sz w:val="20"/>
                          <w:szCs w:val="20"/>
                          <w:lang w:val="fr-FR"/>
                        </w:rPr>
                        <w:t>d’</w:t>
                      </w:r>
                      <w:r>
                        <w:rPr>
                          <w:kern w:val="20"/>
                          <w:sz w:val="20"/>
                          <w:szCs w:val="20"/>
                          <w:lang w:val="fr-FR"/>
                        </w:rPr>
                        <w:t>adaptation aux changements climatiques et de réduction des risques de catastrophe naturelle fondées sur les écosystèmes</w:t>
                      </w:r>
                      <w:r w:rsidRPr="00007389">
                        <w:rPr>
                          <w:kern w:val="20"/>
                          <w:sz w:val="20"/>
                          <w:szCs w:val="20"/>
                          <w:lang w:val="fr-FR"/>
                        </w:rPr>
                        <w:t xml:space="preserve"> requièrent de plus en plus de coopération avec d’autres secteurs, y compris l’agri</w:t>
                      </w:r>
                      <w:r>
                        <w:rPr>
                          <w:kern w:val="20"/>
                          <w:sz w:val="20"/>
                          <w:szCs w:val="20"/>
                          <w:lang w:val="fr-FR"/>
                        </w:rPr>
                        <w:t xml:space="preserve">culture, l’eau, les aménagements et </w:t>
                      </w:r>
                      <w:r w:rsidRPr="00007389">
                        <w:rPr>
                          <w:kern w:val="20"/>
                          <w:sz w:val="20"/>
                          <w:szCs w:val="20"/>
                          <w:lang w:val="fr-FR"/>
                        </w:rPr>
                        <w:t>infrastructure</w:t>
                      </w:r>
                      <w:r>
                        <w:rPr>
                          <w:kern w:val="20"/>
                          <w:sz w:val="20"/>
                          <w:szCs w:val="20"/>
                          <w:lang w:val="fr-FR"/>
                        </w:rPr>
                        <w:t>s</w:t>
                      </w:r>
                      <w:r w:rsidRPr="00007389">
                        <w:rPr>
                          <w:kern w:val="20"/>
                          <w:sz w:val="20"/>
                          <w:szCs w:val="20"/>
                          <w:lang w:val="fr-FR"/>
                        </w:rPr>
                        <w:t xml:space="preserve"> urbains.</w:t>
                      </w:r>
                    </w:p>
                    <w:p w:rsidR="00E62BFB" w:rsidRPr="00007389" w:rsidRDefault="00E62BFB" w:rsidP="009F6935">
                      <w:pPr>
                        <w:spacing w:before="120" w:after="120"/>
                        <w:rPr>
                          <w:kern w:val="20"/>
                          <w:sz w:val="20"/>
                          <w:szCs w:val="20"/>
                          <w:lang w:val="fr-FR"/>
                        </w:rPr>
                      </w:pPr>
                      <w:r w:rsidRPr="00007389">
                        <w:rPr>
                          <w:kern w:val="20"/>
                          <w:sz w:val="20"/>
                          <w:szCs w:val="20"/>
                          <w:lang w:val="fr-FR"/>
                        </w:rPr>
                        <w:t xml:space="preserve">Les considérations transfrontalières peuvent être intégrées dans </w:t>
                      </w:r>
                      <w:r>
                        <w:rPr>
                          <w:kern w:val="20"/>
                          <w:sz w:val="20"/>
                          <w:szCs w:val="20"/>
                          <w:lang w:val="fr-FR"/>
                        </w:rPr>
                        <w:t xml:space="preserve">les approches écosystémiques d’adaptation aux changements climatiques et de réduction des risques de catastrophe naturelle, </w:t>
                      </w:r>
                      <w:r w:rsidRPr="00007389">
                        <w:rPr>
                          <w:kern w:val="20"/>
                          <w:sz w:val="20"/>
                          <w:szCs w:val="20"/>
                          <w:lang w:val="fr-FR"/>
                        </w:rPr>
                        <w:t>en prenant les mesures suivantes :</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Intégrer les différentes échelles de fonctionnement critique des écosystèm</w:t>
                      </w:r>
                      <w:r>
                        <w:rPr>
                          <w:kern w:val="20"/>
                          <w:sz w:val="20"/>
                          <w:szCs w:val="20"/>
                          <w:lang w:val="fr-FR"/>
                        </w:rPr>
                        <w:t>es nécessaires à l’adaptation aux changements climatiques et</w:t>
                      </w:r>
                      <w:r w:rsidRPr="00007389">
                        <w:rPr>
                          <w:kern w:val="20"/>
                          <w:sz w:val="20"/>
                          <w:szCs w:val="20"/>
                          <w:lang w:val="fr-FR"/>
                        </w:rPr>
                        <w:t xml:space="preserve"> à la réduction des risques de </w:t>
                      </w:r>
                      <w:r>
                        <w:rPr>
                          <w:kern w:val="20"/>
                          <w:sz w:val="20"/>
                          <w:szCs w:val="20"/>
                          <w:lang w:val="fr-FR"/>
                        </w:rPr>
                        <w:t>catastrophe naturelle</w:t>
                      </w:r>
                      <w:r w:rsidRPr="00007389">
                        <w:rPr>
                          <w:kern w:val="20"/>
                          <w:sz w:val="20"/>
                          <w:szCs w:val="20"/>
                          <w:lang w:val="fr-FR"/>
                        </w:rPr>
                        <w:t xml:space="preserve"> dans </w:t>
                      </w:r>
                      <w:r>
                        <w:rPr>
                          <w:kern w:val="20"/>
                          <w:sz w:val="20"/>
                          <w:szCs w:val="20"/>
                          <w:lang w:val="fr-FR"/>
                        </w:rPr>
                        <w:t>les approches écosystémiques d’adaptation aux changements climatiques et de réduction des risques de catastrophe naturelle</w:t>
                      </w:r>
                      <w:r w:rsidRPr="00007389">
                        <w:rPr>
                          <w:kern w:val="20"/>
                          <w:sz w:val="20"/>
                          <w:szCs w:val="20"/>
                          <w:lang w:val="fr-FR"/>
                        </w:rPr>
                        <w:t>;</w:t>
                      </w:r>
                    </w:p>
                    <w:p w:rsidR="00E62BFB" w:rsidRPr="00007389" w:rsidRDefault="00E62BFB" w:rsidP="00004EAF">
                      <w:pPr>
                        <w:numPr>
                          <w:ilvl w:val="0"/>
                          <w:numId w:val="54"/>
                        </w:numPr>
                        <w:spacing w:after="60"/>
                        <w:rPr>
                          <w:kern w:val="20"/>
                          <w:sz w:val="20"/>
                          <w:szCs w:val="20"/>
                          <w:lang w:val="fr-FR"/>
                        </w:rPr>
                      </w:pPr>
                      <w:r>
                        <w:rPr>
                          <w:kern w:val="20"/>
                          <w:sz w:val="20"/>
                          <w:szCs w:val="20"/>
                          <w:lang w:val="fr-FR"/>
                        </w:rPr>
                        <w:t xml:space="preserve">Une plus grande cohérence </w:t>
                      </w:r>
                      <w:r w:rsidRPr="00007389">
                        <w:rPr>
                          <w:kern w:val="20"/>
                          <w:sz w:val="20"/>
                          <w:szCs w:val="20"/>
                          <w:lang w:val="fr-FR"/>
                        </w:rPr>
                        <w:t>entre les stratégies et les politiques régionales/transfrontières d’</w:t>
                      </w:r>
                      <w:r>
                        <w:rPr>
                          <w:kern w:val="20"/>
                          <w:sz w:val="20"/>
                          <w:szCs w:val="20"/>
                          <w:lang w:val="fr-FR"/>
                        </w:rPr>
                        <w:t>adaptation aux changements climatiques et de réduction des risques de catastrophe naturelle fondées sur les écosystèmes contribue à une plus grande efficacité des mesures</w:t>
                      </w:r>
                      <w:r w:rsidRPr="00007389">
                        <w:rPr>
                          <w:kern w:val="20"/>
                          <w:sz w:val="20"/>
                          <w:szCs w:val="20"/>
                          <w:lang w:val="fr-FR"/>
                        </w:rPr>
                        <w:t>;</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Tirer des enseignements des mécanismes de planification intersectorielle bien établis, tels que la gestion intégrée des ressources en eau, l’aménagement intégré des zones côtières et l’aménagement du territoire</w:t>
                      </w:r>
                      <w:r>
                        <w:rPr>
                          <w:kern w:val="20"/>
                          <w:sz w:val="20"/>
                          <w:szCs w:val="20"/>
                          <w:lang w:val="fr-FR"/>
                        </w:rPr>
                        <w:t>,</w:t>
                      </w:r>
                      <w:r w:rsidRPr="00007389">
                        <w:rPr>
                          <w:kern w:val="20"/>
                          <w:sz w:val="20"/>
                          <w:szCs w:val="20"/>
                          <w:lang w:val="fr-FR"/>
                        </w:rPr>
                        <w:t xml:space="preserve"> afin de renforcer la coopération intersectorielle et augmenter l’adoption </w:t>
                      </w:r>
                      <w:r>
                        <w:rPr>
                          <w:kern w:val="20"/>
                          <w:sz w:val="20"/>
                          <w:szCs w:val="20"/>
                          <w:lang w:val="fr-FR"/>
                        </w:rPr>
                        <w:t>des approches écosystémiques d’adaptation aux changements climatiques et de réduction des risques de catastrophe naturelle</w:t>
                      </w:r>
                      <w:r w:rsidRPr="00007389">
                        <w:rPr>
                          <w:kern w:val="20"/>
                          <w:sz w:val="20"/>
                          <w:szCs w:val="20"/>
                          <w:lang w:val="fr-FR"/>
                        </w:rPr>
                        <w:t xml:space="preserve"> dans les cadres sectoriels pertinents (également </w:t>
                      </w:r>
                      <w:r>
                        <w:rPr>
                          <w:kern w:val="20"/>
                          <w:sz w:val="20"/>
                          <w:szCs w:val="20"/>
                          <w:lang w:val="fr-FR"/>
                        </w:rPr>
                        <w:t>applicable à l’intégration des approches écosystémiques d’adaptation aux changements climatiques</w:t>
                      </w:r>
                      <w:r w:rsidRPr="00007389">
                        <w:rPr>
                          <w:kern w:val="20"/>
                          <w:sz w:val="20"/>
                          <w:szCs w:val="20"/>
                          <w:lang w:val="fr-FR"/>
                        </w:rPr>
                        <w:t xml:space="preserve"> et </w:t>
                      </w:r>
                      <w:r>
                        <w:rPr>
                          <w:kern w:val="20"/>
                          <w:sz w:val="20"/>
                          <w:szCs w:val="20"/>
                          <w:lang w:val="fr-FR"/>
                        </w:rPr>
                        <w:t>de réduction des risques de catastrophe naturelle</w:t>
                      </w:r>
                      <w:r w:rsidRPr="00007389">
                        <w:rPr>
                          <w:kern w:val="20"/>
                          <w:sz w:val="20"/>
                          <w:szCs w:val="20"/>
                          <w:lang w:val="fr-FR"/>
                        </w:rPr>
                        <w:t>);</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Créer une commission ou un groupe de travail avec des partenaires et des représentants des secteur</w:t>
                      </w:r>
                      <w:r>
                        <w:rPr>
                          <w:kern w:val="20"/>
                          <w:sz w:val="20"/>
                          <w:szCs w:val="20"/>
                          <w:lang w:val="fr-FR"/>
                        </w:rPr>
                        <w:t>s pertinents</w:t>
                      </w:r>
                      <w:r w:rsidRPr="00007389">
                        <w:rPr>
                          <w:kern w:val="20"/>
                          <w:sz w:val="20"/>
                          <w:szCs w:val="20"/>
                          <w:lang w:val="fr-FR"/>
                        </w:rPr>
                        <w:t xml:space="preserve"> pour élaborer une vision, des buts </w:t>
                      </w:r>
                      <w:r>
                        <w:rPr>
                          <w:kern w:val="20"/>
                          <w:sz w:val="20"/>
                          <w:szCs w:val="20"/>
                          <w:lang w:val="fr-FR"/>
                        </w:rPr>
                        <w:t>et des objectifs communs pour les approches écosystémiques d’adaptation aux changements climatiques et de réduction des risques de catastrophe naturelle;</w:t>
                      </w:r>
                    </w:p>
                    <w:p w:rsidR="00E62BFB" w:rsidRPr="00007389" w:rsidRDefault="00E62BFB" w:rsidP="00004EAF">
                      <w:pPr>
                        <w:numPr>
                          <w:ilvl w:val="0"/>
                          <w:numId w:val="54"/>
                        </w:numPr>
                        <w:spacing w:after="60"/>
                        <w:rPr>
                          <w:kern w:val="20"/>
                          <w:sz w:val="20"/>
                          <w:szCs w:val="20"/>
                          <w:lang w:val="fr-FR"/>
                        </w:rPr>
                      </w:pPr>
                      <w:r w:rsidRPr="00007389">
                        <w:rPr>
                          <w:kern w:val="20"/>
                          <w:sz w:val="20"/>
                          <w:szCs w:val="20"/>
                          <w:lang w:val="fr-FR"/>
                        </w:rPr>
                        <w:t>Développer une compréhension commune des vulnérabilités à l’échelle transfrontalière et pour différents secteurs</w:t>
                      </w:r>
                      <w:r>
                        <w:rPr>
                          <w:kern w:val="20"/>
                          <w:sz w:val="20"/>
                          <w:szCs w:val="20"/>
                          <w:lang w:val="fr-FR"/>
                        </w:rPr>
                        <w:t>,</w:t>
                      </w:r>
                      <w:r w:rsidRPr="00007389">
                        <w:rPr>
                          <w:kern w:val="20"/>
                          <w:sz w:val="20"/>
                          <w:szCs w:val="20"/>
                          <w:lang w:val="fr-FR"/>
                        </w:rPr>
                        <w:t xml:space="preserve"> en utilisant des modèles et des scénarios communs ainsi que des méthodologies et des sources d’infor</w:t>
                      </w:r>
                      <w:r>
                        <w:rPr>
                          <w:kern w:val="20"/>
                          <w:sz w:val="20"/>
                          <w:szCs w:val="20"/>
                          <w:lang w:val="fr-FR"/>
                        </w:rPr>
                        <w:t>mation convenues</w:t>
                      </w:r>
                      <w:r w:rsidRPr="00007389">
                        <w:rPr>
                          <w:kern w:val="20"/>
                          <w:sz w:val="20"/>
                          <w:szCs w:val="20"/>
                          <w:lang w:val="fr-FR"/>
                        </w:rPr>
                        <w:t xml:space="preserve">; </w:t>
                      </w:r>
                    </w:p>
                    <w:p w:rsidR="00E62BFB" w:rsidRPr="006E5396" w:rsidRDefault="00E62BFB" w:rsidP="00004EAF">
                      <w:pPr>
                        <w:numPr>
                          <w:ilvl w:val="0"/>
                          <w:numId w:val="54"/>
                        </w:numPr>
                        <w:spacing w:after="60"/>
                        <w:rPr>
                          <w:kern w:val="20"/>
                          <w:sz w:val="20"/>
                          <w:szCs w:val="20"/>
                          <w:lang w:val="fr-FR"/>
                        </w:rPr>
                      </w:pPr>
                      <w:r w:rsidRPr="00007389">
                        <w:rPr>
                          <w:kern w:val="20"/>
                          <w:sz w:val="20"/>
                          <w:szCs w:val="20"/>
                          <w:lang w:val="fr-FR"/>
                        </w:rPr>
                        <w:t>Adopter un processus itératif de suivi et d’évaluation (voir étape F) afin de veiller à ce que les stratégies transfrontalières et intersectorielles d’</w:t>
                      </w:r>
                      <w:r>
                        <w:rPr>
                          <w:kern w:val="20"/>
                          <w:sz w:val="20"/>
                          <w:szCs w:val="20"/>
                          <w:lang w:val="fr-FR"/>
                        </w:rPr>
                        <w:t>adaptation aux changements climatiques et de réduction des risques de catastrophe naturelle fondées sur les écosystèmes continuent d’</w:t>
                      </w:r>
                      <w:r w:rsidRPr="00007389">
                        <w:rPr>
                          <w:kern w:val="20"/>
                          <w:sz w:val="20"/>
                          <w:szCs w:val="20"/>
                          <w:lang w:val="fr-FR"/>
                        </w:rPr>
                        <w:t xml:space="preserve">atteindre les objectifs nationaux d’adaptation </w:t>
                      </w:r>
                      <w:r>
                        <w:rPr>
                          <w:kern w:val="20"/>
                          <w:sz w:val="20"/>
                          <w:szCs w:val="20"/>
                          <w:lang w:val="fr-FR"/>
                        </w:rPr>
                        <w:t xml:space="preserve">aux changements climatique </w:t>
                      </w:r>
                      <w:r w:rsidRPr="00007389">
                        <w:rPr>
                          <w:kern w:val="20"/>
                          <w:sz w:val="20"/>
                          <w:szCs w:val="20"/>
                          <w:lang w:val="fr-FR"/>
                        </w:rPr>
                        <w:t xml:space="preserve">et de réduction des risques de </w:t>
                      </w:r>
                      <w:r>
                        <w:rPr>
                          <w:kern w:val="20"/>
                          <w:sz w:val="20"/>
                          <w:szCs w:val="20"/>
                          <w:lang w:val="fr-FR"/>
                        </w:rPr>
                        <w:t>catastrophe naturelle, e</w:t>
                      </w:r>
                      <w:r w:rsidRPr="00007389">
                        <w:rPr>
                          <w:kern w:val="20"/>
                          <w:sz w:val="20"/>
                          <w:szCs w:val="20"/>
                          <w:lang w:val="fr-FR"/>
                        </w:rPr>
                        <w:t>t d’optimiser les possibilités de multiples avantages.</w:t>
                      </w:r>
                    </w:p>
                  </w:txbxContent>
                </v:textbox>
                <w10:wrap type="square"/>
              </v:shape>
            </w:pict>
          </mc:Fallback>
        </mc:AlternateContent>
      </w:r>
      <w:r>
        <w:rPr>
          <w:rFonts w:eastAsia="Calibri"/>
          <w:snapToGrid w:val="0"/>
          <w:kern w:val="22"/>
          <w:szCs w:val="22"/>
          <w:lang w:val="fr-FR"/>
        </w:rPr>
        <w:br w:type="page"/>
      </w:r>
    </w:p>
    <w:p w:rsidR="009F6935" w:rsidRDefault="009F6935" w:rsidP="009F6935">
      <w:pPr>
        <w:suppressLineNumbers/>
        <w:suppressAutoHyphens/>
        <w:kinsoku w:val="0"/>
        <w:overflowPunct w:val="0"/>
        <w:autoSpaceDE w:val="0"/>
        <w:autoSpaceDN w:val="0"/>
        <w:adjustRightInd w:val="0"/>
        <w:snapToGrid w:val="0"/>
        <w:jc w:val="left"/>
        <w:rPr>
          <w:rFonts w:eastAsia="Calibri"/>
          <w:snapToGrid w:val="0"/>
          <w:kern w:val="22"/>
          <w:szCs w:val="22"/>
          <w:lang w:val="fr-FR"/>
        </w:rPr>
      </w:pPr>
      <w:r w:rsidRPr="00D3779A">
        <w:rPr>
          <w:rFonts w:eastAsia="Calibri"/>
          <w:noProof/>
          <w:snapToGrid w:val="0"/>
          <w:kern w:val="22"/>
          <w:szCs w:val="22"/>
          <w:lang w:val="fr-FR" w:eastAsia="fr-FR"/>
        </w:rPr>
        <w:lastRenderedPageBreak/>
        <mc:AlternateContent>
          <mc:Choice Requires="wps">
            <w:drawing>
              <wp:anchor distT="45720" distB="45720" distL="114300" distR="114300" simplePos="0" relativeHeight="251673600" behindDoc="0" locked="0" layoutInCell="1" allowOverlap="1" wp14:anchorId="1C651229" wp14:editId="6C7660B8">
                <wp:simplePos x="0" y="0"/>
                <wp:positionH relativeFrom="column">
                  <wp:posOffset>318135</wp:posOffset>
                </wp:positionH>
                <wp:positionV relativeFrom="paragraph">
                  <wp:posOffset>247650</wp:posOffset>
                </wp:positionV>
                <wp:extent cx="5532120" cy="5929630"/>
                <wp:effectExtent l="0" t="0" r="11430" b="1397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5929630"/>
                        </a:xfrm>
                        <a:prstGeom prst="rect">
                          <a:avLst/>
                        </a:prstGeom>
                        <a:noFill/>
                        <a:ln w="9525">
                          <a:solidFill>
                            <a:srgbClr val="000000"/>
                          </a:solidFill>
                          <a:miter lim="800000"/>
                          <a:headEnd/>
                          <a:tailEnd/>
                        </a:ln>
                      </wps:spPr>
                      <wps:txbx>
                        <w:txbxContent>
                          <w:p w:rsidR="00E62BFB" w:rsidRPr="00C061DF" w:rsidRDefault="00E62BFB" w:rsidP="009F6935">
                            <w:pPr>
                              <w:pStyle w:val="Caption1"/>
                              <w:jc w:val="center"/>
                              <w:rPr>
                                <w:rFonts w:ascii="Century Gothic" w:hAnsi="Century Gothic"/>
                                <w:sz w:val="22"/>
                                <w:szCs w:val="22"/>
                                <w:lang w:val="fr-FR"/>
                              </w:rPr>
                            </w:pPr>
                            <w:r w:rsidRPr="00C061DF">
                              <w:rPr>
                                <w:rFonts w:ascii="Century Gothic" w:hAnsi="Century Gothic"/>
                                <w:sz w:val="22"/>
                                <w:szCs w:val="22"/>
                                <w:lang w:val="fr-FR"/>
                              </w:rPr>
                              <w:t>Encadré 5. Appliquer la réflexion sur la résilience à la conce</w:t>
                            </w:r>
                            <w:r>
                              <w:rPr>
                                <w:rFonts w:ascii="Century Gothic" w:hAnsi="Century Gothic"/>
                                <w:sz w:val="22"/>
                                <w:szCs w:val="22"/>
                                <w:lang w:val="fr-FR"/>
                              </w:rPr>
                              <w:t>ption des approches écosystémiques d’adaptation aux changements climatiques et de réduction des risques de catastrophe naturelle</w:t>
                            </w:r>
                          </w:p>
                          <w:p w:rsidR="00E62BFB" w:rsidRPr="00C061DF" w:rsidRDefault="00E62BFB" w:rsidP="009F6935">
                            <w:pPr>
                              <w:pStyle w:val="ListParagraph"/>
                              <w:spacing w:after="160" w:line="259" w:lineRule="auto"/>
                              <w:ind w:left="142"/>
                              <w:rPr>
                                <w:kern w:val="20"/>
                                <w:sz w:val="20"/>
                                <w:szCs w:val="20"/>
                                <w:lang w:val="fr-FR"/>
                              </w:rPr>
                            </w:pPr>
                            <w:r w:rsidRPr="00C061DF">
                              <w:rPr>
                                <w:kern w:val="20"/>
                                <w:sz w:val="20"/>
                                <w:szCs w:val="20"/>
                                <w:lang w:val="fr-FR"/>
                              </w:rPr>
                              <w:t xml:space="preserve">Une approche de la durabilité axée sur la résilience met l'accent sur le renforcement des capacités pour faire face aux changements inattendus, tels que les impacts du changement climatique et le risque de catastrophe. L'application d'une optique de résilience à la conception </w:t>
                            </w:r>
                            <w:r>
                              <w:rPr>
                                <w:kern w:val="20"/>
                                <w:sz w:val="20"/>
                                <w:szCs w:val="20"/>
                                <w:lang w:val="fr-FR"/>
                              </w:rPr>
                              <w:t>des mesures d’adaptation aux changements climatiques et de réduction des risques de catastrophe naturelle</w:t>
                            </w:r>
                            <w:r w:rsidRPr="00C061DF">
                              <w:rPr>
                                <w:kern w:val="20"/>
                                <w:sz w:val="20"/>
                                <w:szCs w:val="20"/>
                                <w:lang w:val="fr-FR"/>
                              </w:rPr>
                              <w:t xml:space="preserve"> </w:t>
                            </w:r>
                            <w:r>
                              <w:rPr>
                                <w:kern w:val="20"/>
                                <w:sz w:val="20"/>
                                <w:szCs w:val="20"/>
                                <w:lang w:val="fr-FR"/>
                              </w:rPr>
                              <w:t xml:space="preserve">fondées sur les écosystèmes </w:t>
                            </w:r>
                            <w:r w:rsidRPr="00C061DF">
                              <w:rPr>
                                <w:kern w:val="20"/>
                                <w:sz w:val="20"/>
                                <w:szCs w:val="20"/>
                                <w:lang w:val="fr-FR"/>
                              </w:rPr>
                              <w:t>implique la gestion des interactions entre l'homme et la nature en tant que systèmes socio-écologiques pour assurer</w:t>
                            </w:r>
                            <w:r w:rsidRPr="005A5C18">
                              <w:rPr>
                                <w:kern w:val="20"/>
                                <w:sz w:val="20"/>
                                <w:szCs w:val="20"/>
                                <w:lang w:val="fr-FR"/>
                              </w:rPr>
                              <w:t xml:space="preserve"> l'approvisionnement</w:t>
                            </w:r>
                            <w:r w:rsidRPr="00C061DF">
                              <w:rPr>
                                <w:kern w:val="20"/>
                                <w:sz w:val="20"/>
                                <w:szCs w:val="20"/>
                                <w:lang w:val="fr-FR"/>
                              </w:rPr>
                              <w:t xml:space="preserve"> continu et résilient des fonctions et services écosystémiques essentiels qui fournissent des fonctions d'adaptation </w:t>
                            </w:r>
                            <w:r>
                              <w:rPr>
                                <w:kern w:val="20"/>
                                <w:sz w:val="20"/>
                                <w:szCs w:val="20"/>
                                <w:lang w:val="fr-FR"/>
                              </w:rPr>
                              <w:t xml:space="preserve">aux changements climatiques </w:t>
                            </w:r>
                            <w:r w:rsidRPr="00C061DF">
                              <w:rPr>
                                <w:kern w:val="20"/>
                                <w:sz w:val="20"/>
                                <w:szCs w:val="20"/>
                                <w:lang w:val="fr-FR"/>
                              </w:rPr>
                              <w:t>et de</w:t>
                            </w:r>
                            <w:r>
                              <w:rPr>
                                <w:kern w:val="20"/>
                                <w:sz w:val="20"/>
                                <w:szCs w:val="20"/>
                                <w:lang w:val="fr-FR"/>
                              </w:rPr>
                              <w:t xml:space="preserve"> réduction des</w:t>
                            </w:r>
                            <w:r w:rsidRPr="00C061DF">
                              <w:rPr>
                                <w:kern w:val="20"/>
                                <w:sz w:val="20"/>
                                <w:szCs w:val="20"/>
                                <w:lang w:val="fr-FR"/>
                              </w:rPr>
                              <w:t xml:space="preserve"> risque</w:t>
                            </w:r>
                            <w:r>
                              <w:rPr>
                                <w:kern w:val="20"/>
                                <w:sz w:val="20"/>
                                <w:szCs w:val="20"/>
                                <w:lang w:val="fr-FR"/>
                              </w:rPr>
                              <w:t>s</w:t>
                            </w:r>
                            <w:r w:rsidRPr="00C061DF">
                              <w:rPr>
                                <w:kern w:val="20"/>
                                <w:sz w:val="20"/>
                                <w:szCs w:val="20"/>
                                <w:lang w:val="fr-FR"/>
                              </w:rPr>
                              <w:t xml:space="preserve"> de catastrophe</w:t>
                            </w:r>
                            <w:r>
                              <w:rPr>
                                <w:kern w:val="20"/>
                                <w:sz w:val="20"/>
                                <w:szCs w:val="20"/>
                                <w:lang w:val="fr-FR"/>
                              </w:rPr>
                              <w:t xml:space="preserve"> naturelle. Il existe</w:t>
                            </w:r>
                            <w:r w:rsidRPr="00C061DF">
                              <w:rPr>
                                <w:kern w:val="20"/>
                                <w:sz w:val="20"/>
                                <w:szCs w:val="20"/>
                                <w:lang w:val="fr-FR"/>
                              </w:rPr>
                              <w:t xml:space="preserve"> sept principes clés dans l'application de la pensée de résilience, issus de l’examen complet des différents facteurs sociaux et écologiques qui améliorent la résilience des systèmes socio-écologiques et les fonctions et services écosystémiques qu'ils fournissent (Stockholm Resilience Centre, 2014) :</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1.</w:t>
                            </w:r>
                            <w:r w:rsidRPr="00C061DF">
                              <w:rPr>
                                <w:kern w:val="20"/>
                                <w:sz w:val="20"/>
                                <w:szCs w:val="20"/>
                                <w:lang w:val="fr-FR"/>
                              </w:rPr>
                              <w:tab/>
                            </w:r>
                            <w:r>
                              <w:rPr>
                                <w:kern w:val="20"/>
                                <w:sz w:val="20"/>
                                <w:szCs w:val="20"/>
                                <w:lang w:val="fr-FR"/>
                              </w:rPr>
                              <w:t>Maintenir la diversité et la red</w:t>
                            </w:r>
                            <w:r w:rsidRPr="00C061DF">
                              <w:rPr>
                                <w:kern w:val="20"/>
                                <w:sz w:val="20"/>
                                <w:szCs w:val="20"/>
                                <w:lang w:val="fr-FR"/>
                              </w:rPr>
                              <w:t>ondance, par exemple en maintenant la diversité biologique et écologique. La redondance est la présence de plusieurs composants qui peuven</w:t>
                            </w:r>
                            <w:r>
                              <w:rPr>
                                <w:kern w:val="20"/>
                                <w:sz w:val="20"/>
                                <w:szCs w:val="20"/>
                                <w:lang w:val="fr-FR"/>
                              </w:rPr>
                              <w:t>t remplir la même fonction, peuvent</w:t>
                            </w:r>
                            <w:r w:rsidRPr="00C061DF">
                              <w:rPr>
                                <w:kern w:val="20"/>
                                <w:sz w:val="20"/>
                                <w:szCs w:val="20"/>
                                <w:lang w:val="fr-FR"/>
                              </w:rPr>
                              <w:t xml:space="preserve"> fournir une "assurance" au sein d'un système en permettant à certains composants de compenser la perte ou la défaillance d'autres.</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2.</w:t>
                            </w:r>
                            <w:r w:rsidRPr="00C061DF">
                              <w:rPr>
                                <w:kern w:val="20"/>
                                <w:sz w:val="20"/>
                                <w:szCs w:val="20"/>
                                <w:lang w:val="fr-FR"/>
                              </w:rPr>
                              <w:tab/>
                              <w:t>Gérer la connectivité (la structure et la force avec laquelle les ressources, les espèces ou les acteurs se dispersent</w:t>
                            </w:r>
                            <w:r>
                              <w:rPr>
                                <w:kern w:val="20"/>
                                <w:sz w:val="20"/>
                                <w:szCs w:val="20"/>
                                <w:lang w:val="fr-FR"/>
                              </w:rPr>
                              <w:t>, migrent ou interagissent avec</w:t>
                            </w:r>
                            <w:r w:rsidRPr="00C061DF">
                              <w:rPr>
                                <w:kern w:val="20"/>
                                <w:sz w:val="20"/>
                                <w:szCs w:val="20"/>
                                <w:lang w:val="fr-FR"/>
                              </w:rPr>
                              <w:t xml:space="preserve"> les parcelles, les habitats ou les domaines sociaux dans un système socio-écologique</w:t>
                            </w:r>
                            <w:r>
                              <w:rPr>
                                <w:kern w:val="20"/>
                                <w:sz w:val="20"/>
                                <w:szCs w:val="20"/>
                                <w:lang w:val="fr-FR"/>
                              </w:rPr>
                              <w:t xml:space="preserve"> donné</w:t>
                            </w:r>
                            <w:r w:rsidRPr="00C061DF">
                              <w:rPr>
                                <w:kern w:val="20"/>
                                <w:sz w:val="20"/>
                                <w:szCs w:val="20"/>
                                <w:lang w:val="fr-FR"/>
                              </w:rPr>
                              <w:t>), par exemple</w:t>
                            </w:r>
                            <w:r>
                              <w:rPr>
                                <w:kern w:val="20"/>
                                <w:sz w:val="20"/>
                                <w:szCs w:val="20"/>
                                <w:lang w:val="fr-FR"/>
                              </w:rPr>
                              <w:t>,</w:t>
                            </w:r>
                            <w:r w:rsidRPr="00C061DF">
                              <w:rPr>
                                <w:kern w:val="20"/>
                                <w:sz w:val="20"/>
                                <w:szCs w:val="20"/>
                                <w:lang w:val="fr-FR"/>
                              </w:rPr>
                              <w:t xml:space="preserve"> en améliorant la connectivité du paysage pour soutenir la biodiversité et les fonctions et services écosystémiques qui contribuent à l'adaptation </w:t>
                            </w:r>
                            <w:r>
                              <w:rPr>
                                <w:kern w:val="20"/>
                                <w:sz w:val="20"/>
                                <w:szCs w:val="20"/>
                                <w:lang w:val="fr-FR"/>
                              </w:rPr>
                              <w:t xml:space="preserve">aux changements climatiques </w:t>
                            </w:r>
                            <w:r w:rsidRPr="00C061DF">
                              <w:rPr>
                                <w:kern w:val="20"/>
                                <w:sz w:val="20"/>
                                <w:szCs w:val="20"/>
                                <w:lang w:val="fr-FR"/>
                              </w:rPr>
                              <w:t>et à la réduction des risques</w:t>
                            </w:r>
                            <w:r>
                              <w:rPr>
                                <w:kern w:val="20"/>
                                <w:sz w:val="20"/>
                                <w:szCs w:val="20"/>
                                <w:lang w:val="fr-FR"/>
                              </w:rPr>
                              <w:t xml:space="preserve"> de catastrophe naturelle</w:t>
                            </w:r>
                            <w:r w:rsidRPr="00C061DF">
                              <w:rPr>
                                <w:kern w:val="20"/>
                                <w:sz w:val="20"/>
                                <w:szCs w:val="20"/>
                                <w:lang w:val="fr-FR"/>
                              </w:rPr>
                              <w:t>.</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3.</w:t>
                            </w:r>
                            <w:r w:rsidRPr="00C061DF">
                              <w:rPr>
                                <w:kern w:val="20"/>
                                <w:sz w:val="20"/>
                                <w:szCs w:val="20"/>
                                <w:lang w:val="fr-FR"/>
                              </w:rPr>
                              <w:tab/>
                              <w:t>Gérer les variables qui changent lentement et les rétroactions (connecteurs bidirectionnels entre les variables qui peuvent soit renforcer (rétroaction positive) ou amortir (rétroaction négative) le changement.</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4.</w:t>
                            </w:r>
                            <w:r w:rsidRPr="00C061DF">
                              <w:rPr>
                                <w:kern w:val="20"/>
                                <w:sz w:val="20"/>
                                <w:szCs w:val="20"/>
                                <w:lang w:val="fr-FR"/>
                              </w:rPr>
                              <w:tab/>
                              <w:t>Favoriser la pensée systémique adaptative complexe en adoptant une approche de cadre systémique (étape A).</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5.</w:t>
                            </w:r>
                            <w:r w:rsidRPr="00C061DF">
                              <w:rPr>
                                <w:kern w:val="20"/>
                                <w:sz w:val="20"/>
                                <w:szCs w:val="20"/>
                                <w:lang w:val="fr-FR"/>
                              </w:rPr>
                              <w:tab/>
                              <w:t>Encourager l'apprentissage, par exemple en explorant des modalités de communication différentes et efficaces.</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6.</w:t>
                            </w:r>
                            <w:r w:rsidRPr="00C061DF">
                              <w:rPr>
                                <w:kern w:val="20"/>
                                <w:sz w:val="20"/>
                                <w:szCs w:val="20"/>
                                <w:lang w:val="fr-FR"/>
                              </w:rPr>
                              <w:tab/>
                              <w:t>Élargir la participation, par exemple</w:t>
                            </w:r>
                            <w:r>
                              <w:rPr>
                                <w:kern w:val="20"/>
                                <w:sz w:val="20"/>
                                <w:szCs w:val="20"/>
                                <w:lang w:val="fr-FR"/>
                              </w:rPr>
                              <w:t>,</w:t>
                            </w:r>
                            <w:r w:rsidRPr="00C061DF">
                              <w:rPr>
                                <w:kern w:val="20"/>
                                <w:sz w:val="20"/>
                                <w:szCs w:val="20"/>
                                <w:lang w:val="fr-FR"/>
                              </w:rPr>
                              <w:t xml:space="preserve"> en consacrant des ressources pour permettre une participation efficace.</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7.</w:t>
                            </w:r>
                            <w:r w:rsidRPr="00C061DF">
                              <w:rPr>
                                <w:kern w:val="20"/>
                                <w:sz w:val="20"/>
                                <w:szCs w:val="20"/>
                                <w:lang w:val="fr-FR"/>
                              </w:rPr>
                              <w:tab/>
                              <w:t>Promouvoir des systèmes de gouvernance polycentrique, y compris par le biais d'une coopération multi-institutionnelle à travers les échelles et les cultures.</w:t>
                            </w:r>
                          </w:p>
                          <w:p w:rsidR="00E62BFB" w:rsidRPr="00C061DF" w:rsidRDefault="00E62BFB" w:rsidP="009F6935">
                            <w:pPr>
                              <w:ind w:left="360"/>
                              <w:rPr>
                                <w:sz w:val="20"/>
                                <w:szCs w:val="20"/>
                                <w:lang w:val="fr-FR"/>
                              </w:rPr>
                            </w:pPr>
                          </w:p>
                          <w:p w:rsidR="00E62BFB" w:rsidRPr="00C061DF" w:rsidRDefault="00E62BFB" w:rsidP="009F6935">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51229" id="_x0000_s1034" type="#_x0000_t202" style="position:absolute;margin-left:25.05pt;margin-top:19.5pt;width:435.6pt;height:466.9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" filled="f">
                <v:textbox>
                  <w:txbxContent>
                    <w:p w:rsidR="00E62BFB" w:rsidRPr="00C061DF" w:rsidRDefault="00E62BFB" w:rsidP="009F6935">
                      <w:pPr>
                        <w:pStyle w:val="Caption1"/>
                        <w:jc w:val="center"/>
                        <w:rPr>
                          <w:rFonts w:ascii="Century Gothic" w:hAnsi="Century Gothic"/>
                          <w:sz w:val="22"/>
                          <w:szCs w:val="22"/>
                          <w:lang w:val="fr-FR"/>
                        </w:rPr>
                      </w:pPr>
                      <w:r w:rsidRPr="00C061DF">
                        <w:rPr>
                          <w:rFonts w:ascii="Century Gothic" w:hAnsi="Century Gothic"/>
                          <w:sz w:val="22"/>
                          <w:szCs w:val="22"/>
                          <w:lang w:val="fr-FR"/>
                        </w:rPr>
                        <w:t>Encadré 5. Appliquer la réflexion sur la résilience à la conce</w:t>
                      </w:r>
                      <w:r>
                        <w:rPr>
                          <w:rFonts w:ascii="Century Gothic" w:hAnsi="Century Gothic"/>
                          <w:sz w:val="22"/>
                          <w:szCs w:val="22"/>
                          <w:lang w:val="fr-FR"/>
                        </w:rPr>
                        <w:t>ption des approches écosystémiques d’adaptation aux changements climatiques et de réduction des risques de catastrophe naturelle</w:t>
                      </w:r>
                    </w:p>
                    <w:p w:rsidR="00E62BFB" w:rsidRPr="00C061DF" w:rsidRDefault="00E62BFB" w:rsidP="009F6935">
                      <w:pPr>
                        <w:pStyle w:val="ListParagraph"/>
                        <w:spacing w:after="160" w:line="259" w:lineRule="auto"/>
                        <w:ind w:left="142"/>
                        <w:rPr>
                          <w:kern w:val="20"/>
                          <w:sz w:val="20"/>
                          <w:szCs w:val="20"/>
                          <w:lang w:val="fr-FR"/>
                        </w:rPr>
                      </w:pPr>
                      <w:r w:rsidRPr="00C061DF">
                        <w:rPr>
                          <w:kern w:val="20"/>
                          <w:sz w:val="20"/>
                          <w:szCs w:val="20"/>
                          <w:lang w:val="fr-FR"/>
                        </w:rPr>
                        <w:t xml:space="preserve">Une approche de la durabilité axée sur la résilience met l'accent sur le renforcement des capacités pour faire face aux changements inattendus, tels que les impacts du changement climatique et le risque de catastrophe. L'application d'une optique de résilience à la conception </w:t>
                      </w:r>
                      <w:r>
                        <w:rPr>
                          <w:kern w:val="20"/>
                          <w:sz w:val="20"/>
                          <w:szCs w:val="20"/>
                          <w:lang w:val="fr-FR"/>
                        </w:rPr>
                        <w:t>des mesures d’adaptation aux changements climatiques et de réduction des risques de catastrophe naturelle</w:t>
                      </w:r>
                      <w:r w:rsidRPr="00C061DF">
                        <w:rPr>
                          <w:kern w:val="20"/>
                          <w:sz w:val="20"/>
                          <w:szCs w:val="20"/>
                          <w:lang w:val="fr-FR"/>
                        </w:rPr>
                        <w:t xml:space="preserve"> </w:t>
                      </w:r>
                      <w:r>
                        <w:rPr>
                          <w:kern w:val="20"/>
                          <w:sz w:val="20"/>
                          <w:szCs w:val="20"/>
                          <w:lang w:val="fr-FR"/>
                        </w:rPr>
                        <w:t xml:space="preserve">fondées sur les écosystèmes </w:t>
                      </w:r>
                      <w:r w:rsidRPr="00C061DF">
                        <w:rPr>
                          <w:kern w:val="20"/>
                          <w:sz w:val="20"/>
                          <w:szCs w:val="20"/>
                          <w:lang w:val="fr-FR"/>
                        </w:rPr>
                        <w:t>implique la gestion des interactions entre l'homme et la nature en tant que systèmes socio-écologiques pour assurer</w:t>
                      </w:r>
                      <w:r w:rsidRPr="005A5C18">
                        <w:rPr>
                          <w:kern w:val="20"/>
                          <w:sz w:val="20"/>
                          <w:szCs w:val="20"/>
                          <w:lang w:val="fr-FR"/>
                        </w:rPr>
                        <w:t xml:space="preserve"> l'approvisionnement</w:t>
                      </w:r>
                      <w:r w:rsidRPr="00C061DF">
                        <w:rPr>
                          <w:kern w:val="20"/>
                          <w:sz w:val="20"/>
                          <w:szCs w:val="20"/>
                          <w:lang w:val="fr-FR"/>
                        </w:rPr>
                        <w:t xml:space="preserve"> continu et résilient des fonctions et services écosystémiques essentiels qui fournissent des fonctions d'adaptation </w:t>
                      </w:r>
                      <w:r>
                        <w:rPr>
                          <w:kern w:val="20"/>
                          <w:sz w:val="20"/>
                          <w:szCs w:val="20"/>
                          <w:lang w:val="fr-FR"/>
                        </w:rPr>
                        <w:t xml:space="preserve">aux changements climatiques </w:t>
                      </w:r>
                      <w:r w:rsidRPr="00C061DF">
                        <w:rPr>
                          <w:kern w:val="20"/>
                          <w:sz w:val="20"/>
                          <w:szCs w:val="20"/>
                          <w:lang w:val="fr-FR"/>
                        </w:rPr>
                        <w:t>et de</w:t>
                      </w:r>
                      <w:r>
                        <w:rPr>
                          <w:kern w:val="20"/>
                          <w:sz w:val="20"/>
                          <w:szCs w:val="20"/>
                          <w:lang w:val="fr-FR"/>
                        </w:rPr>
                        <w:t xml:space="preserve"> réduction des</w:t>
                      </w:r>
                      <w:r w:rsidRPr="00C061DF">
                        <w:rPr>
                          <w:kern w:val="20"/>
                          <w:sz w:val="20"/>
                          <w:szCs w:val="20"/>
                          <w:lang w:val="fr-FR"/>
                        </w:rPr>
                        <w:t xml:space="preserve"> risque</w:t>
                      </w:r>
                      <w:r>
                        <w:rPr>
                          <w:kern w:val="20"/>
                          <w:sz w:val="20"/>
                          <w:szCs w:val="20"/>
                          <w:lang w:val="fr-FR"/>
                        </w:rPr>
                        <w:t>s</w:t>
                      </w:r>
                      <w:r w:rsidRPr="00C061DF">
                        <w:rPr>
                          <w:kern w:val="20"/>
                          <w:sz w:val="20"/>
                          <w:szCs w:val="20"/>
                          <w:lang w:val="fr-FR"/>
                        </w:rPr>
                        <w:t xml:space="preserve"> de catastrophe</w:t>
                      </w:r>
                      <w:r>
                        <w:rPr>
                          <w:kern w:val="20"/>
                          <w:sz w:val="20"/>
                          <w:szCs w:val="20"/>
                          <w:lang w:val="fr-FR"/>
                        </w:rPr>
                        <w:t xml:space="preserve"> naturelle. Il existe</w:t>
                      </w:r>
                      <w:r w:rsidRPr="00C061DF">
                        <w:rPr>
                          <w:kern w:val="20"/>
                          <w:sz w:val="20"/>
                          <w:szCs w:val="20"/>
                          <w:lang w:val="fr-FR"/>
                        </w:rPr>
                        <w:t xml:space="preserve"> sept principes clés dans l'application de la pensée de résilience, issus de l’examen complet des différents facteurs sociaux et écologiques qui améliorent la résilience des systèmes socio-écologiques et les fonctions et services écosystémiques qu'ils fournissent (Stockholm Resilience Centre, 2014) :</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1.</w:t>
                      </w:r>
                      <w:r w:rsidRPr="00C061DF">
                        <w:rPr>
                          <w:kern w:val="20"/>
                          <w:sz w:val="20"/>
                          <w:szCs w:val="20"/>
                          <w:lang w:val="fr-FR"/>
                        </w:rPr>
                        <w:tab/>
                      </w:r>
                      <w:r>
                        <w:rPr>
                          <w:kern w:val="20"/>
                          <w:sz w:val="20"/>
                          <w:szCs w:val="20"/>
                          <w:lang w:val="fr-FR"/>
                        </w:rPr>
                        <w:t>Maintenir la diversité et la red</w:t>
                      </w:r>
                      <w:r w:rsidRPr="00C061DF">
                        <w:rPr>
                          <w:kern w:val="20"/>
                          <w:sz w:val="20"/>
                          <w:szCs w:val="20"/>
                          <w:lang w:val="fr-FR"/>
                        </w:rPr>
                        <w:t>ondance, par exemple en maintenant la diversité biologique et écologique. La redondance est la présence de plusieurs composants qui peuven</w:t>
                      </w:r>
                      <w:r>
                        <w:rPr>
                          <w:kern w:val="20"/>
                          <w:sz w:val="20"/>
                          <w:szCs w:val="20"/>
                          <w:lang w:val="fr-FR"/>
                        </w:rPr>
                        <w:t>t remplir la même fonction, peuvent</w:t>
                      </w:r>
                      <w:r w:rsidRPr="00C061DF">
                        <w:rPr>
                          <w:kern w:val="20"/>
                          <w:sz w:val="20"/>
                          <w:szCs w:val="20"/>
                          <w:lang w:val="fr-FR"/>
                        </w:rPr>
                        <w:t xml:space="preserve"> fournir une "assurance" au sein d'un système en permettant à certains composants de compenser la perte ou la défaillance d'autres.</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2.</w:t>
                      </w:r>
                      <w:r w:rsidRPr="00C061DF">
                        <w:rPr>
                          <w:kern w:val="20"/>
                          <w:sz w:val="20"/>
                          <w:szCs w:val="20"/>
                          <w:lang w:val="fr-FR"/>
                        </w:rPr>
                        <w:tab/>
                        <w:t>Gérer la connectivité (la structure et la force avec laquelle les ressources, les espèces ou les acteurs se dispersent</w:t>
                      </w:r>
                      <w:r>
                        <w:rPr>
                          <w:kern w:val="20"/>
                          <w:sz w:val="20"/>
                          <w:szCs w:val="20"/>
                          <w:lang w:val="fr-FR"/>
                        </w:rPr>
                        <w:t>, migrent ou interagissent avec</w:t>
                      </w:r>
                      <w:r w:rsidRPr="00C061DF">
                        <w:rPr>
                          <w:kern w:val="20"/>
                          <w:sz w:val="20"/>
                          <w:szCs w:val="20"/>
                          <w:lang w:val="fr-FR"/>
                        </w:rPr>
                        <w:t xml:space="preserve"> les parcelles, les habitats ou les domaines sociaux dans un système socio-écologique</w:t>
                      </w:r>
                      <w:r>
                        <w:rPr>
                          <w:kern w:val="20"/>
                          <w:sz w:val="20"/>
                          <w:szCs w:val="20"/>
                          <w:lang w:val="fr-FR"/>
                        </w:rPr>
                        <w:t xml:space="preserve"> donné</w:t>
                      </w:r>
                      <w:r w:rsidRPr="00C061DF">
                        <w:rPr>
                          <w:kern w:val="20"/>
                          <w:sz w:val="20"/>
                          <w:szCs w:val="20"/>
                          <w:lang w:val="fr-FR"/>
                        </w:rPr>
                        <w:t>), par exemple</w:t>
                      </w:r>
                      <w:r>
                        <w:rPr>
                          <w:kern w:val="20"/>
                          <w:sz w:val="20"/>
                          <w:szCs w:val="20"/>
                          <w:lang w:val="fr-FR"/>
                        </w:rPr>
                        <w:t>,</w:t>
                      </w:r>
                      <w:r w:rsidRPr="00C061DF">
                        <w:rPr>
                          <w:kern w:val="20"/>
                          <w:sz w:val="20"/>
                          <w:szCs w:val="20"/>
                          <w:lang w:val="fr-FR"/>
                        </w:rPr>
                        <w:t xml:space="preserve"> en améliorant la connectivité du paysage pour soutenir la biodiversité et les fonctions et services écosystémiques qui contribuent à l'adaptation </w:t>
                      </w:r>
                      <w:r>
                        <w:rPr>
                          <w:kern w:val="20"/>
                          <w:sz w:val="20"/>
                          <w:szCs w:val="20"/>
                          <w:lang w:val="fr-FR"/>
                        </w:rPr>
                        <w:t xml:space="preserve">aux changements climatiques </w:t>
                      </w:r>
                      <w:r w:rsidRPr="00C061DF">
                        <w:rPr>
                          <w:kern w:val="20"/>
                          <w:sz w:val="20"/>
                          <w:szCs w:val="20"/>
                          <w:lang w:val="fr-FR"/>
                        </w:rPr>
                        <w:t>et à la réduction des risques</w:t>
                      </w:r>
                      <w:r>
                        <w:rPr>
                          <w:kern w:val="20"/>
                          <w:sz w:val="20"/>
                          <w:szCs w:val="20"/>
                          <w:lang w:val="fr-FR"/>
                        </w:rPr>
                        <w:t xml:space="preserve"> de catastrophe naturelle</w:t>
                      </w:r>
                      <w:r w:rsidRPr="00C061DF">
                        <w:rPr>
                          <w:kern w:val="20"/>
                          <w:sz w:val="20"/>
                          <w:szCs w:val="20"/>
                          <w:lang w:val="fr-FR"/>
                        </w:rPr>
                        <w:t>.</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3.</w:t>
                      </w:r>
                      <w:r w:rsidRPr="00C061DF">
                        <w:rPr>
                          <w:kern w:val="20"/>
                          <w:sz w:val="20"/>
                          <w:szCs w:val="20"/>
                          <w:lang w:val="fr-FR"/>
                        </w:rPr>
                        <w:tab/>
                        <w:t>Gérer les variables qui changent lentement et les rétroactions (connecteurs bidirectionnels entre les variables qui peuvent soit renforcer (rétroaction positive) ou amortir (rétroaction négative) le changement.</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4.</w:t>
                      </w:r>
                      <w:r w:rsidRPr="00C061DF">
                        <w:rPr>
                          <w:kern w:val="20"/>
                          <w:sz w:val="20"/>
                          <w:szCs w:val="20"/>
                          <w:lang w:val="fr-FR"/>
                        </w:rPr>
                        <w:tab/>
                        <w:t>Favoriser la pensée systémique adaptative complexe en adoptant une approche de cadre systémique (étape A).</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5.</w:t>
                      </w:r>
                      <w:r w:rsidRPr="00C061DF">
                        <w:rPr>
                          <w:kern w:val="20"/>
                          <w:sz w:val="20"/>
                          <w:szCs w:val="20"/>
                          <w:lang w:val="fr-FR"/>
                        </w:rPr>
                        <w:tab/>
                        <w:t>Encourager l'apprentissage, par exemple en explorant des modalités de communication différentes et efficaces.</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6.</w:t>
                      </w:r>
                      <w:r w:rsidRPr="00C061DF">
                        <w:rPr>
                          <w:kern w:val="20"/>
                          <w:sz w:val="20"/>
                          <w:szCs w:val="20"/>
                          <w:lang w:val="fr-FR"/>
                        </w:rPr>
                        <w:tab/>
                        <w:t>Élargir la participation, par exemple</w:t>
                      </w:r>
                      <w:r>
                        <w:rPr>
                          <w:kern w:val="20"/>
                          <w:sz w:val="20"/>
                          <w:szCs w:val="20"/>
                          <w:lang w:val="fr-FR"/>
                        </w:rPr>
                        <w:t>,</w:t>
                      </w:r>
                      <w:r w:rsidRPr="00C061DF">
                        <w:rPr>
                          <w:kern w:val="20"/>
                          <w:sz w:val="20"/>
                          <w:szCs w:val="20"/>
                          <w:lang w:val="fr-FR"/>
                        </w:rPr>
                        <w:t xml:space="preserve"> en consacrant des ressources pour permettre une participation efficace.</w:t>
                      </w:r>
                    </w:p>
                    <w:p w:rsidR="00E62BFB" w:rsidRPr="00C061DF" w:rsidRDefault="00E62BFB" w:rsidP="009F6935">
                      <w:pPr>
                        <w:pStyle w:val="ListParagraph"/>
                        <w:spacing w:after="160" w:line="259" w:lineRule="auto"/>
                        <w:rPr>
                          <w:kern w:val="20"/>
                          <w:sz w:val="20"/>
                          <w:szCs w:val="20"/>
                          <w:lang w:val="fr-FR"/>
                        </w:rPr>
                      </w:pPr>
                      <w:r w:rsidRPr="00C061DF">
                        <w:rPr>
                          <w:kern w:val="20"/>
                          <w:sz w:val="20"/>
                          <w:szCs w:val="20"/>
                          <w:lang w:val="fr-FR"/>
                        </w:rPr>
                        <w:t>7.</w:t>
                      </w:r>
                      <w:r w:rsidRPr="00C061DF">
                        <w:rPr>
                          <w:kern w:val="20"/>
                          <w:sz w:val="20"/>
                          <w:szCs w:val="20"/>
                          <w:lang w:val="fr-FR"/>
                        </w:rPr>
                        <w:tab/>
                        <w:t>Promouvoir des systèmes de gouvernance polycentrique, y compris par le biais d'une coopération multi-institutionnelle à travers les échelles et les cultures.</w:t>
                      </w:r>
                    </w:p>
                    <w:p w:rsidR="00E62BFB" w:rsidRPr="00C061DF" w:rsidRDefault="00E62BFB" w:rsidP="009F6935">
                      <w:pPr>
                        <w:ind w:left="360"/>
                        <w:rPr>
                          <w:sz w:val="20"/>
                          <w:szCs w:val="20"/>
                          <w:lang w:val="fr-FR"/>
                        </w:rPr>
                      </w:pPr>
                    </w:p>
                    <w:p w:rsidR="00E62BFB" w:rsidRPr="00C061DF" w:rsidRDefault="00E62BFB" w:rsidP="009F6935">
                      <w:pPr>
                        <w:rPr>
                          <w:lang w:val="fr-FR"/>
                        </w:rPr>
                      </w:pPr>
                    </w:p>
                  </w:txbxContent>
                </v:textbox>
                <w10:wrap type="topAndBottom"/>
              </v:shape>
            </w:pict>
          </mc:Fallback>
        </mc:AlternateContent>
      </w:r>
    </w:p>
    <w:p w:rsidR="009F6935" w:rsidRDefault="009F6935" w:rsidP="009F6935">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365" w:name="_Toc504402400"/>
    </w:p>
    <w:p w:rsidR="009F6935" w:rsidRPr="00283141" w:rsidRDefault="009F6935" w:rsidP="009F6935">
      <w:pPr>
        <w:keepNext/>
        <w:suppressLineNumbers/>
        <w:suppressAutoHyphens/>
        <w:kinsoku w:val="0"/>
        <w:overflowPunct w:val="0"/>
        <w:autoSpaceDE w:val="0"/>
        <w:autoSpaceDN w:val="0"/>
        <w:adjustRightInd w:val="0"/>
        <w:snapToGrid w:val="0"/>
        <w:spacing w:before="120" w:after="120"/>
        <w:jc w:val="left"/>
        <w:outlineLvl w:val="1"/>
        <w:rPr>
          <w:b/>
          <w:snapToGrid w:val="0"/>
          <w:kern w:val="22"/>
          <w:szCs w:val="22"/>
          <w:lang w:val="fr-FR"/>
        </w:rPr>
      </w:pPr>
      <w:bookmarkStart w:id="366" w:name="_Toc525904259"/>
      <w:bookmarkStart w:id="367" w:name="_Toc525904418"/>
      <w:bookmarkStart w:id="368" w:name="_Toc525904662"/>
      <w:r>
        <w:rPr>
          <w:b/>
          <w:snapToGrid w:val="0"/>
          <w:kern w:val="22"/>
          <w:szCs w:val="22"/>
          <w:lang w:val="fr-FR"/>
        </w:rPr>
        <w:t>Étape F. Suivi et évaluation des approches écosystémiques d’adaptation aux changements climatiques et de réduction des risques de catastrophe naturelle</w:t>
      </w:r>
      <w:bookmarkEnd w:id="366"/>
      <w:bookmarkEnd w:id="367"/>
      <w:bookmarkEnd w:id="368"/>
      <w:r>
        <w:rPr>
          <w:b/>
          <w:snapToGrid w:val="0"/>
          <w:kern w:val="22"/>
          <w:szCs w:val="22"/>
          <w:lang w:val="fr-FR"/>
        </w:rPr>
        <w:t xml:space="preserve"> </w:t>
      </w:r>
      <w:bookmarkEnd w:id="365"/>
    </w:p>
    <w:p w:rsidR="009F6935" w:rsidRPr="00283141" w:rsidRDefault="009F6935" w:rsidP="009F6935">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Objet</w:t>
      </w:r>
    </w:p>
    <w:p w:rsidR="009F6935" w:rsidRPr="0028314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t>Le suivi et l’évaluation des approches écosystémiques d’adaptation aux changements climatiques et de réduction des risques de catastrophe naturelle sont essentiels pour évaluer les progrès accomplis et l’efficacité et efficience des mesures d’intervention. Le suivi permet une gestion adaptative et est idéalement assuré pendant toute la durée de la mesure d’intervention. L’évaluation examine un projet, programme ou politique en cours ou achevé, sa conception, sa mise en œuvre et ses résultats. Le suivi et l’évaluation peuvent favoriser un apprentissage continu, afin d’éclairer les politiques et la pratique futures, et pour procéder à des ajustements correspondants.</w:t>
      </w:r>
    </w:p>
    <w:p w:rsidR="009F6935" w:rsidRPr="00283141" w:rsidRDefault="009F6935" w:rsidP="00004EAF">
      <w:pPr>
        <w:pStyle w:val="ListParagraph"/>
        <w:numPr>
          <w:ilvl w:val="0"/>
          <w:numId w:val="75"/>
        </w:numPr>
        <w:suppressLineNumbers/>
        <w:suppressAutoHyphens/>
        <w:kinsoku w:val="0"/>
        <w:overflowPunct w:val="0"/>
        <w:autoSpaceDE w:val="0"/>
        <w:autoSpaceDN w:val="0"/>
        <w:adjustRightInd w:val="0"/>
        <w:snapToGrid w:val="0"/>
        <w:spacing w:before="120" w:after="120"/>
        <w:ind w:left="0" w:firstLine="0"/>
        <w:contextualSpacing w:val="0"/>
        <w:rPr>
          <w:rFonts w:eastAsia="Calibri"/>
          <w:snapToGrid w:val="0"/>
          <w:color w:val="242021"/>
          <w:kern w:val="22"/>
          <w:szCs w:val="22"/>
          <w:lang w:val="fr-FR"/>
        </w:rPr>
      </w:pPr>
      <w:r>
        <w:rPr>
          <w:rFonts w:eastAsia="Calibri"/>
          <w:snapToGrid w:val="0"/>
          <w:color w:val="242021"/>
          <w:kern w:val="22"/>
          <w:szCs w:val="22"/>
          <w:lang w:val="fr-FR"/>
        </w:rPr>
        <w:lastRenderedPageBreak/>
        <w:t>Il existe un mouvement en faveur de l’intégration des méthodes de suivi et d’évaluation dans le domaine de l’adaptation aux changements climatiques et de la réduction des risques de catastrophe naturelle. D’innombrables stratégies et cadres ont été élaborés, y compris des cadres logiques et la gestion axée sur les résultats. Les principales mesures et considérations relatives au suivi et à l’évaluation sont décrites ci-dessous</w:t>
      </w:r>
      <w:r w:rsidRPr="00283141">
        <w:rPr>
          <w:rFonts w:eastAsia="Calibri"/>
          <w:snapToGrid w:val="0"/>
          <w:color w:val="242021"/>
          <w:kern w:val="22"/>
          <w:szCs w:val="22"/>
          <w:vertAlign w:val="superscript"/>
          <w:lang w:val="fr-FR"/>
        </w:rPr>
        <w:footnoteReference w:id="121"/>
      </w:r>
      <w:r>
        <w:rPr>
          <w:rFonts w:eastAsia="Calibri"/>
          <w:snapToGrid w:val="0"/>
          <w:color w:val="242021"/>
          <w:kern w:val="22"/>
          <w:szCs w:val="22"/>
          <w:lang w:val="fr-FR"/>
        </w:rPr>
        <w:t>.</w:t>
      </w:r>
      <w:r w:rsidRPr="00283141">
        <w:rPr>
          <w:rFonts w:eastAsia="Calibri"/>
          <w:snapToGrid w:val="0"/>
          <w:color w:val="242021"/>
          <w:kern w:val="22"/>
          <w:szCs w:val="22"/>
          <w:lang w:val="fr-FR"/>
        </w:rPr>
        <w:t xml:space="preserve"> </w:t>
      </w:r>
      <w:r>
        <w:rPr>
          <w:rFonts w:eastAsia="Calibri"/>
          <w:snapToGrid w:val="0"/>
          <w:color w:val="242021"/>
          <w:kern w:val="22"/>
          <w:szCs w:val="22"/>
          <w:lang w:val="fr-FR"/>
        </w:rPr>
        <w:t>Les outils associés à cette étape figurent dans la boîte à outils de l’étape E : Suivi et évaluation des approches écosystémiques d’adaptation aux changements climatiques et de réduction des risques de catastrophe naturelle</w:t>
      </w:r>
      <w:r w:rsidRPr="00283141">
        <w:rPr>
          <w:rFonts w:eastAsia="Calibri"/>
          <w:snapToGrid w:val="0"/>
          <w:color w:val="242021"/>
          <w:kern w:val="22"/>
          <w:szCs w:val="22"/>
          <w:lang w:val="fr-FR"/>
        </w:rPr>
        <w:t>,</w:t>
      </w:r>
      <w:r>
        <w:rPr>
          <w:rFonts w:eastAsia="Calibri"/>
          <w:snapToGrid w:val="0"/>
          <w:color w:val="242021"/>
          <w:kern w:val="22"/>
          <w:szCs w:val="22"/>
          <w:lang w:val="fr-FR"/>
        </w:rPr>
        <w:t xml:space="preserve"> disponible dans un document d’information</w:t>
      </w:r>
      <w:r w:rsidRPr="002F42DC">
        <w:rPr>
          <w:rFonts w:eastAsia="Calibri"/>
          <w:color w:val="242021"/>
          <w:vertAlign w:val="superscript"/>
          <w:lang w:val="fr-FR"/>
        </w:rPr>
        <w:footnoteReference w:id="122"/>
      </w:r>
      <w:r>
        <w:rPr>
          <w:rFonts w:eastAsia="Calibri"/>
          <w:snapToGrid w:val="0"/>
          <w:color w:val="242021"/>
          <w:kern w:val="22"/>
          <w:szCs w:val="22"/>
          <w:lang w:val="fr-FR"/>
        </w:rPr>
        <w:t>.</w:t>
      </w:r>
    </w:p>
    <w:p w:rsidR="009F6935" w:rsidRPr="00283141" w:rsidRDefault="009F6935" w:rsidP="009F6935">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Résultats</w:t>
      </w:r>
    </w:p>
    <w:p w:rsidR="009F6935" w:rsidRPr="00283141" w:rsidRDefault="009F6935" w:rsidP="009F6935">
      <w:pPr>
        <w:suppressLineNumbers/>
        <w:suppressAutoHyphens/>
        <w:kinsoku w:val="0"/>
        <w:overflowPunct w:val="0"/>
        <w:autoSpaceDE w:val="0"/>
        <w:autoSpaceDN w:val="0"/>
        <w:adjustRightInd w:val="0"/>
        <w:snapToGrid w:val="0"/>
        <w:spacing w:before="120" w:after="120"/>
        <w:ind w:firstLine="720"/>
        <w:jc w:val="left"/>
        <w:rPr>
          <w:rFonts w:eastAsia="Calibri"/>
          <w:snapToGrid w:val="0"/>
          <w:kern w:val="22"/>
          <w:szCs w:val="22"/>
          <w:lang w:val="fr-FR"/>
        </w:rPr>
      </w:pPr>
      <w:r>
        <w:rPr>
          <w:rFonts w:eastAsia="Calibri"/>
          <w:snapToGrid w:val="0"/>
          <w:kern w:val="22"/>
          <w:szCs w:val="22"/>
          <w:lang w:val="fr-FR"/>
        </w:rPr>
        <w:t>Un cadre de suivi et d’évaluation réaliste, opérationnel et itératif, y compris un protocole pour la collecte et l’évaluation des données, et des informations produites sur les résultats et les effets des mesures d’intervention.</w:t>
      </w:r>
    </w:p>
    <w:p w:rsidR="009F6935" w:rsidRPr="00283141" w:rsidRDefault="009F6935" w:rsidP="009F6935">
      <w:pPr>
        <w:keepNext/>
        <w:suppressLineNumbers/>
        <w:suppressAutoHyphens/>
        <w:kinsoku w:val="0"/>
        <w:overflowPunct w:val="0"/>
        <w:autoSpaceDE w:val="0"/>
        <w:autoSpaceDN w:val="0"/>
        <w:adjustRightInd w:val="0"/>
        <w:snapToGrid w:val="0"/>
        <w:spacing w:before="120" w:after="120"/>
        <w:jc w:val="left"/>
        <w:rPr>
          <w:rFonts w:eastAsia="Calibri"/>
          <w:b/>
          <w:snapToGrid w:val="0"/>
          <w:kern w:val="22"/>
          <w:szCs w:val="22"/>
          <w:lang w:val="fr-FR"/>
        </w:rPr>
      </w:pPr>
      <w:r>
        <w:rPr>
          <w:rFonts w:eastAsia="Calibri"/>
          <w:b/>
          <w:snapToGrid w:val="0"/>
          <w:kern w:val="22"/>
          <w:szCs w:val="22"/>
          <w:lang w:val="fr-FR"/>
        </w:rPr>
        <w:t>Mesures clés</w:t>
      </w:r>
    </w:p>
    <w:p w:rsidR="009F6935" w:rsidRPr="00283141" w:rsidRDefault="009F6935" w:rsidP="00004EAF">
      <w:pPr>
        <w:numPr>
          <w:ilvl w:val="0"/>
          <w:numId w:val="7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Mettre en place un cadre de suivi et d’évaluation en établissant ses objectifs, son public (qui utilise les informations issues du suivi et de l’évaluation), la collecte de données, le mode de diffusion des informations et les capacités techniques et financières;</w:t>
      </w:r>
    </w:p>
    <w:p w:rsidR="009F6935" w:rsidRPr="00283141" w:rsidRDefault="009F6935" w:rsidP="00004EAF">
      <w:pPr>
        <w:numPr>
          <w:ilvl w:val="0"/>
          <w:numId w:val="7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un cadre de résultats dans le contexte du suivi et de l’évaluation, qui décrit en détail les effets attendus de la mesure d’adaptation aux changements climatiques ou de réduction des risques de catastrophe naturelle fondée sur les écosystèmes, y compris les résultats à court terme, moyen terme et long terme;</w:t>
      </w:r>
    </w:p>
    <w:p w:rsidR="009F6935" w:rsidRPr="00283141" w:rsidRDefault="009F6935" w:rsidP="00004EAF">
      <w:pPr>
        <w:numPr>
          <w:ilvl w:val="0"/>
          <w:numId w:val="7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Élaborer des indicateurs aux échelles temporelles et spatiales appropriées pour suivre la quantité et la qualité du changement :</w:t>
      </w:r>
    </w:p>
    <w:p w:rsidR="009F6935" w:rsidRPr="00283141" w:rsidRDefault="009F6935" w:rsidP="00004EAF">
      <w:pPr>
        <w:numPr>
          <w:ilvl w:val="1"/>
          <w:numId w:val="74"/>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Faire en sorte que le suivi et l’évaluation comprennent des indicateurs</w:t>
      </w:r>
      <w:r w:rsidRPr="00564AC5">
        <w:rPr>
          <w:rStyle w:val="FootnoteReference"/>
          <w:rFonts w:eastAsia="Calibri"/>
          <w:snapToGrid w:val="0"/>
          <w:kern w:val="22"/>
          <w:sz w:val="20"/>
          <w:szCs w:val="20"/>
          <w:u w:val="none"/>
          <w:vertAlign w:val="superscript"/>
          <w:lang w:val="fr-FR"/>
        </w:rPr>
        <w:footnoteReference w:id="123"/>
      </w:r>
      <w:r>
        <w:rPr>
          <w:rFonts w:eastAsia="Calibri"/>
          <w:snapToGrid w:val="0"/>
          <w:kern w:val="22"/>
          <w:szCs w:val="22"/>
          <w:lang w:val="fr-FR"/>
        </w:rPr>
        <w:t xml:space="preserve"> formulés conformément à des critères SMART, qui sont spécifiques, mesurables, réalisables, attribuables, pertinents, réalistes, limités dans le temps, opportuns, faciles à suivre et ciblés et/ou aux principes ADAPT (adaptatifs, dynamiques, actifs, participatifs, complets);</w:t>
      </w:r>
    </w:p>
    <w:p w:rsidR="009F6935" w:rsidRPr="00283141" w:rsidRDefault="009F6935" w:rsidP="00004EAF">
      <w:pPr>
        <w:numPr>
          <w:ilvl w:val="1"/>
          <w:numId w:val="74"/>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Veiller à ce que les indicateurs soient axés sur la vulnérabilité et le risque, soient ciblés, et puissent mesurer les risques élevés par rapport aux faibles risques, et comment les mesures d’adaptation aux changements climatiques ou de réduction des risques de catastrophe naturelle fondées sur les écosystèmes</w:t>
      </w:r>
      <w:r w:rsidRPr="00283141">
        <w:rPr>
          <w:rFonts w:eastAsia="Calibri"/>
          <w:snapToGrid w:val="0"/>
          <w:kern w:val="22"/>
          <w:szCs w:val="22"/>
          <w:lang w:val="fr-FR"/>
        </w:rPr>
        <w:t xml:space="preserve"> </w:t>
      </w:r>
      <w:r>
        <w:rPr>
          <w:rFonts w:eastAsia="Calibri"/>
          <w:snapToGrid w:val="0"/>
          <w:kern w:val="22"/>
          <w:szCs w:val="22"/>
          <w:lang w:val="fr-FR"/>
        </w:rPr>
        <w:t xml:space="preserve">réduisent le risque au fil du temps. Il est important de définir des « couches de risque » et d’accorder une priorité aux risques qui doivent être mesurés en utilisant des indicateurs; </w:t>
      </w:r>
    </w:p>
    <w:p w:rsidR="009F6935" w:rsidRPr="00283141" w:rsidRDefault="009F6935" w:rsidP="00004EAF">
      <w:pPr>
        <w:numPr>
          <w:ilvl w:val="1"/>
          <w:numId w:val="74"/>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Utiliser les objectifs et les indicateurs des Objectifs de développement durable, des Objectifs d’Aichi pour la biodiversité et d’autres cadres pertinents pour suivre les progrès réalisés dans la gestion durable des écosystèmes et l’amélioration de l’état de la biodiversité, qui</w:t>
      </w:r>
      <w:r w:rsidRPr="00283141">
        <w:rPr>
          <w:rFonts w:eastAsia="Calibri"/>
          <w:snapToGrid w:val="0"/>
          <w:kern w:val="22"/>
          <w:szCs w:val="22"/>
          <w:lang w:val="fr-FR"/>
        </w:rPr>
        <w:t xml:space="preserve"> </w:t>
      </w:r>
      <w:r>
        <w:rPr>
          <w:rFonts w:eastAsia="Calibri"/>
          <w:snapToGrid w:val="0"/>
          <w:kern w:val="22"/>
          <w:szCs w:val="22"/>
          <w:lang w:val="fr-FR"/>
        </w:rPr>
        <w:t>contribuent également à renforcer la résilience face aux effets des changements climatiques et aux catastrophe naturelles;</w:t>
      </w:r>
    </w:p>
    <w:p w:rsidR="009F6935" w:rsidRPr="00283141" w:rsidRDefault="009F6935" w:rsidP="00004EAF">
      <w:pPr>
        <w:numPr>
          <w:ilvl w:val="1"/>
          <w:numId w:val="74"/>
        </w:numPr>
        <w:suppressLineNumbers/>
        <w:suppressAutoHyphens/>
        <w:kinsoku w:val="0"/>
        <w:overflowPunct w:val="0"/>
        <w:autoSpaceDE w:val="0"/>
        <w:autoSpaceDN w:val="0"/>
        <w:adjustRightInd w:val="0"/>
        <w:snapToGrid w:val="0"/>
        <w:spacing w:after="120"/>
        <w:ind w:hanging="720"/>
        <w:rPr>
          <w:rFonts w:eastAsia="Calibri"/>
          <w:snapToGrid w:val="0"/>
          <w:kern w:val="22"/>
          <w:szCs w:val="22"/>
          <w:lang w:val="fr-FR"/>
        </w:rPr>
      </w:pPr>
      <w:r>
        <w:rPr>
          <w:rFonts w:eastAsia="Calibri"/>
          <w:snapToGrid w:val="0"/>
          <w:kern w:val="22"/>
          <w:szCs w:val="22"/>
          <w:lang w:val="fr-FR"/>
        </w:rPr>
        <w:t>Dans la mesure du possible, aligner les indicateurs sur les cadres de suivi et d’évaluation existants;</w:t>
      </w:r>
    </w:p>
    <w:p w:rsidR="009F6935" w:rsidRPr="00283141" w:rsidRDefault="009F6935" w:rsidP="00004EAF">
      <w:pPr>
        <w:numPr>
          <w:ilvl w:val="0"/>
          <w:numId w:val="7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t>Etablir des données de référence pour évaluer l’efficacité;</w:t>
      </w:r>
    </w:p>
    <w:p w:rsidR="009F6935" w:rsidRPr="00283141" w:rsidRDefault="009F6935" w:rsidP="00004EAF">
      <w:pPr>
        <w:numPr>
          <w:ilvl w:val="0"/>
          <w:numId w:val="73"/>
        </w:numPr>
        <w:suppressLineNumbers/>
        <w:suppressAutoHyphens/>
        <w:kinsoku w:val="0"/>
        <w:overflowPunct w:val="0"/>
        <w:autoSpaceDE w:val="0"/>
        <w:autoSpaceDN w:val="0"/>
        <w:adjustRightInd w:val="0"/>
        <w:snapToGrid w:val="0"/>
        <w:spacing w:after="120"/>
        <w:ind w:left="0" w:firstLine="720"/>
        <w:rPr>
          <w:rFonts w:eastAsia="Calibri"/>
          <w:snapToGrid w:val="0"/>
          <w:kern w:val="22"/>
          <w:szCs w:val="22"/>
          <w:lang w:val="fr-FR"/>
        </w:rPr>
      </w:pPr>
      <w:r>
        <w:rPr>
          <w:rFonts w:eastAsia="Calibri"/>
          <w:snapToGrid w:val="0"/>
          <w:kern w:val="22"/>
          <w:szCs w:val="22"/>
          <w:lang w:val="fr-FR"/>
        </w:rPr>
        <w:lastRenderedPageBreak/>
        <w:t>Employer des outils participatifs et inclusifs appropriés pour le suivi et l’évaluation des approches écosystémiques d’adaptation aux changements climatiques et de réduction des risques de catastrophe naturelle, en assurant la participation des communautés locales, des parties prenantes et des détenteurs de droits</w:t>
      </w:r>
      <w:r w:rsidRPr="00564AC5">
        <w:rPr>
          <w:rStyle w:val="FootnoteReference"/>
          <w:rFonts w:eastAsia="Calibri"/>
          <w:snapToGrid w:val="0"/>
          <w:kern w:val="22"/>
          <w:sz w:val="20"/>
          <w:szCs w:val="20"/>
          <w:u w:val="none"/>
          <w:vertAlign w:val="superscript"/>
          <w:lang w:val="fr-FR"/>
        </w:rPr>
        <w:footnoteReference w:id="124"/>
      </w:r>
      <w:r>
        <w:rPr>
          <w:rFonts w:eastAsia="Calibri"/>
          <w:snapToGrid w:val="0"/>
          <w:kern w:val="22"/>
          <w:szCs w:val="22"/>
          <w:lang w:val="fr-FR"/>
        </w:rPr>
        <w:t>. Assurer la participation d’experts compétents, tels que des spécialistes de l’état de conservation des écosystèmes et des espèces, et des fonctions des écosystèmes;</w:t>
      </w:r>
    </w:p>
    <w:p w:rsidR="009F6935" w:rsidRPr="00377E20" w:rsidRDefault="009F6935" w:rsidP="00004EAF">
      <w:pPr>
        <w:numPr>
          <w:ilvl w:val="0"/>
          <w:numId w:val="73"/>
        </w:numPr>
        <w:suppressLineNumbers/>
        <w:suppressAutoHyphens/>
        <w:kinsoku w:val="0"/>
        <w:overflowPunct w:val="0"/>
        <w:autoSpaceDE w:val="0"/>
        <w:autoSpaceDN w:val="0"/>
        <w:adjustRightInd w:val="0"/>
        <w:snapToGrid w:val="0"/>
        <w:spacing w:after="360"/>
        <w:ind w:left="0" w:firstLine="720"/>
        <w:rPr>
          <w:rFonts w:eastAsia="Calibri"/>
          <w:snapToGrid w:val="0"/>
          <w:kern w:val="22"/>
          <w:szCs w:val="22"/>
          <w:lang w:val="fr-FR"/>
        </w:rPr>
      </w:pPr>
      <w:r>
        <w:rPr>
          <w:rFonts w:eastAsia="Calibri"/>
          <w:snapToGrid w:val="0"/>
          <w:kern w:val="22"/>
          <w:szCs w:val="22"/>
          <w:lang w:val="fr-FR"/>
        </w:rPr>
        <w:t xml:space="preserve">Mettre </w:t>
      </w:r>
      <w:r w:rsidRPr="007215ED">
        <w:rPr>
          <w:rFonts w:eastAsia="Calibri"/>
          <w:snapToGrid w:val="0"/>
          <w:kern w:val="22"/>
          <w:szCs w:val="22"/>
          <w:lang w:val="fr-FR"/>
        </w:rPr>
        <w:t>à l’e</w:t>
      </w:r>
      <w:r>
        <w:rPr>
          <w:rFonts w:eastAsia="Calibri"/>
          <w:snapToGrid w:val="0"/>
          <w:kern w:val="22"/>
          <w:szCs w:val="22"/>
          <w:lang w:val="fr-FR"/>
        </w:rPr>
        <w:t xml:space="preserve">ssai les indicateurs des approches écosystémiques d’adaptation aux changements climatiques et de réduction des risques de catastrophe naturelle </w:t>
      </w:r>
      <w:r w:rsidRPr="007215ED">
        <w:rPr>
          <w:rFonts w:eastAsia="Calibri"/>
          <w:snapToGrid w:val="0"/>
          <w:kern w:val="22"/>
          <w:szCs w:val="22"/>
          <w:lang w:val="fr-FR"/>
        </w:rPr>
        <w:t xml:space="preserve">pour </w:t>
      </w:r>
      <w:r>
        <w:rPr>
          <w:rFonts w:eastAsia="Calibri"/>
          <w:snapToGrid w:val="0"/>
          <w:kern w:val="22"/>
          <w:szCs w:val="22"/>
          <w:lang w:val="fr-FR"/>
        </w:rPr>
        <w:t xml:space="preserve">vérifier </w:t>
      </w:r>
      <w:r w:rsidRPr="007215ED">
        <w:rPr>
          <w:rFonts w:eastAsia="Calibri"/>
          <w:snapToGrid w:val="0"/>
          <w:kern w:val="22"/>
          <w:szCs w:val="22"/>
          <w:lang w:val="fr-FR"/>
        </w:rPr>
        <w:t>leur pertinence locale.</w:t>
      </w:r>
    </w:p>
    <w:p w:rsidR="009F6935" w:rsidRDefault="009F6935">
      <w:pPr>
        <w:jc w:val="left"/>
        <w:rPr>
          <w:snapToGrid w:val="0"/>
          <w:kern w:val="22"/>
          <w:szCs w:val="22"/>
          <w:lang w:val="fr-FR"/>
        </w:rPr>
      </w:pPr>
      <w:r>
        <w:rPr>
          <w:kern w:val="22"/>
          <w:szCs w:val="22"/>
          <w:lang w:val="fr-FR"/>
        </w:rPr>
        <w:br w:type="page"/>
      </w:r>
    </w:p>
    <w:p w:rsidR="009F6935" w:rsidRPr="00564AC5" w:rsidRDefault="009F6935" w:rsidP="00564AC5">
      <w:pPr>
        <w:pStyle w:val="Heading2"/>
        <w:spacing w:after="240"/>
        <w:rPr>
          <w:bCs w:val="0"/>
          <w:caps/>
          <w:snapToGrid w:val="0"/>
          <w:kern w:val="22"/>
          <w:szCs w:val="22"/>
          <w:lang w:val="fr-FR"/>
        </w:rPr>
      </w:pPr>
      <w:bookmarkStart w:id="369" w:name="_Toc525904260"/>
      <w:bookmarkStart w:id="370" w:name="_Toc525904419"/>
      <w:bookmarkStart w:id="371" w:name="_Toc525904663"/>
      <w:r w:rsidRPr="00564AC5">
        <w:rPr>
          <w:bCs w:val="0"/>
          <w:caps/>
          <w:snapToGrid w:val="0"/>
          <w:kern w:val="22"/>
          <w:szCs w:val="22"/>
          <w:lang w:val="fr-FR"/>
        </w:rPr>
        <w:lastRenderedPageBreak/>
        <w:t>22/8.</w:t>
      </w:r>
      <w:r w:rsidRPr="00564AC5">
        <w:rPr>
          <w:bCs w:val="0"/>
          <w:caps/>
          <w:snapToGrid w:val="0"/>
          <w:kern w:val="22"/>
          <w:szCs w:val="22"/>
          <w:lang w:val="fr-FR"/>
        </w:rPr>
        <w:tab/>
      </w:r>
      <w:r w:rsidRPr="00564AC5">
        <w:rPr>
          <w:bCs w:val="0"/>
          <w:snapToGrid w:val="0"/>
          <w:kern w:val="22"/>
          <w:szCs w:val="22"/>
          <w:lang w:val="fr-FR"/>
        </w:rPr>
        <w:t>Espèces exotiques envahissantes</w:t>
      </w:r>
      <w:bookmarkEnd w:id="369"/>
      <w:bookmarkEnd w:id="370"/>
      <w:bookmarkEnd w:id="371"/>
    </w:p>
    <w:p w:rsidR="009F6935" w:rsidRPr="003F2E8C" w:rsidRDefault="009F6935" w:rsidP="009F6935">
      <w:pPr>
        <w:spacing w:before="120" w:after="120"/>
        <w:ind w:firstLine="720"/>
        <w:jc w:val="left"/>
        <w:rPr>
          <w:i/>
          <w:kern w:val="22"/>
          <w:szCs w:val="22"/>
          <w:lang w:val="fr-CA"/>
        </w:rPr>
      </w:pPr>
      <w:r w:rsidRPr="003F2E8C">
        <w:rPr>
          <w:i/>
          <w:kern w:val="22"/>
          <w:szCs w:val="22"/>
          <w:lang w:val="fr-CA"/>
        </w:rPr>
        <w:t xml:space="preserve">L’Organe subsidiaire chargé de fournir des avis scientifiques, techniques et technologiques, </w:t>
      </w:r>
    </w:p>
    <w:p w:rsidR="009F6935" w:rsidRPr="003F2E8C" w:rsidRDefault="009F6935" w:rsidP="009F6935">
      <w:pPr>
        <w:spacing w:before="120" w:after="120"/>
        <w:ind w:firstLine="720"/>
        <w:jc w:val="left"/>
        <w:rPr>
          <w:kern w:val="22"/>
          <w:szCs w:val="22"/>
          <w:lang w:val="fr-CA"/>
        </w:rPr>
      </w:pPr>
      <w:r w:rsidRPr="003F2E8C">
        <w:rPr>
          <w:i/>
          <w:kern w:val="22"/>
          <w:szCs w:val="22"/>
          <w:lang w:val="fr-CA"/>
        </w:rPr>
        <w:t xml:space="preserve">Rappelant </w:t>
      </w:r>
      <w:r w:rsidRPr="003F2E8C">
        <w:rPr>
          <w:kern w:val="22"/>
          <w:szCs w:val="22"/>
          <w:lang w:val="fr-CA"/>
        </w:rPr>
        <w:t>les paragraphes 16, 17 et 23 de la décision XIII/13,</w:t>
      </w:r>
    </w:p>
    <w:p w:rsidR="009F6935" w:rsidRPr="003F2E8C" w:rsidRDefault="009F6935" w:rsidP="009F6935">
      <w:pPr>
        <w:spacing w:before="120" w:after="120"/>
        <w:ind w:firstLine="720"/>
        <w:rPr>
          <w:caps/>
          <w:kern w:val="22"/>
          <w:szCs w:val="22"/>
          <w:lang w:val="fr-CA"/>
        </w:rPr>
      </w:pPr>
      <w:r w:rsidRPr="003F2E8C">
        <w:rPr>
          <w:caps/>
          <w:kern w:val="22"/>
          <w:szCs w:val="22"/>
          <w:lang w:val="fr-CA"/>
        </w:rPr>
        <w:t>1.</w:t>
      </w:r>
      <w:r w:rsidRPr="003F2E8C">
        <w:rPr>
          <w:caps/>
          <w:kern w:val="22"/>
          <w:szCs w:val="22"/>
          <w:lang w:val="fr-CA"/>
        </w:rPr>
        <w:tab/>
      </w:r>
      <w:r w:rsidRPr="003F2E8C">
        <w:rPr>
          <w:i/>
          <w:kern w:val="22"/>
          <w:szCs w:val="22"/>
          <w:lang w:val="fr-CA"/>
        </w:rPr>
        <w:t xml:space="preserve">Prie </w:t>
      </w:r>
      <w:r w:rsidRPr="003F2E8C">
        <w:rPr>
          <w:kern w:val="22"/>
          <w:szCs w:val="22"/>
          <w:lang w:val="fr-CA"/>
        </w:rPr>
        <w:t>la Secrétaire exécutive de poursuivre sa collaboration avec l’Union internationale pour la conservation de la nature, son groupe de spécialistes des espèces envahissantes et les organisation</w:t>
      </w:r>
      <w:r>
        <w:rPr>
          <w:kern w:val="22"/>
          <w:szCs w:val="22"/>
          <w:lang w:val="fr-CA"/>
        </w:rPr>
        <w:t>s internationales compét</w:t>
      </w:r>
      <w:r w:rsidRPr="003F2E8C">
        <w:rPr>
          <w:kern w:val="22"/>
          <w:szCs w:val="22"/>
          <w:lang w:val="fr-CA"/>
        </w:rPr>
        <w:t xml:space="preserve">entes concernant la </w:t>
      </w:r>
      <w:r>
        <w:rPr>
          <w:kern w:val="22"/>
          <w:szCs w:val="22"/>
          <w:lang w:val="fr-CA"/>
        </w:rPr>
        <w:t>présentation</w:t>
      </w:r>
      <w:r w:rsidRPr="003F2E8C">
        <w:rPr>
          <w:kern w:val="22"/>
          <w:szCs w:val="22"/>
          <w:lang w:val="fr-CA"/>
        </w:rPr>
        <w:t xml:space="preserve"> de rapports sur l’utilisation d’agents de contrôle biologique pour lutter contre les espèces exotiques envahissantes, y compris sur les différents moyens de compléter les évaluations des risques et les normes de gestion des risques, en incluant les milieux aquatiques, et de faire rapport sur la question à la quatorzième réunion de </w:t>
      </w:r>
      <w:r>
        <w:rPr>
          <w:kern w:val="22"/>
          <w:szCs w:val="22"/>
          <w:lang w:val="fr-CA"/>
        </w:rPr>
        <w:t>la Conférence des Parties</w:t>
      </w:r>
      <w:r w:rsidRPr="003F2E8C">
        <w:rPr>
          <w:kern w:val="22"/>
          <w:szCs w:val="22"/>
          <w:lang w:val="fr-CA"/>
        </w:rPr>
        <w:t>;</w:t>
      </w:r>
    </w:p>
    <w:p w:rsidR="009F6935" w:rsidRPr="003F2E8C" w:rsidRDefault="009F6935" w:rsidP="009F6935">
      <w:pPr>
        <w:pStyle w:val="ListParagraph"/>
        <w:spacing w:before="120" w:after="120"/>
        <w:ind w:left="0" w:firstLine="720"/>
        <w:contextualSpacing w:val="0"/>
        <w:rPr>
          <w:kern w:val="22"/>
          <w:szCs w:val="22"/>
          <w:lang w:val="fr-CA"/>
        </w:rPr>
      </w:pPr>
      <w:r w:rsidRPr="003F2E8C">
        <w:rPr>
          <w:kern w:val="22"/>
          <w:szCs w:val="22"/>
          <w:lang w:val="fr-CA"/>
        </w:rPr>
        <w:t>2.</w:t>
      </w:r>
      <w:r w:rsidRPr="003F2E8C">
        <w:rPr>
          <w:kern w:val="22"/>
          <w:szCs w:val="22"/>
          <w:lang w:val="fr-CA"/>
        </w:rPr>
        <w:tab/>
      </w:r>
      <w:r w:rsidRPr="003F2E8C">
        <w:rPr>
          <w:i/>
          <w:kern w:val="22"/>
          <w:szCs w:val="22"/>
          <w:lang w:val="fr-CA"/>
        </w:rPr>
        <w:t xml:space="preserve">Recommande </w:t>
      </w:r>
      <w:r w:rsidRPr="003F2E8C">
        <w:rPr>
          <w:kern w:val="22"/>
          <w:szCs w:val="22"/>
          <w:lang w:val="fr-CA"/>
        </w:rPr>
        <w:t xml:space="preserve">que la Conférence des Parties, à sa quatorzième réunion, adopte une décision </w:t>
      </w:r>
      <w:r>
        <w:rPr>
          <w:kern w:val="22"/>
          <w:szCs w:val="22"/>
          <w:lang w:val="fr-CA"/>
        </w:rPr>
        <w:t xml:space="preserve">libellée comme suit </w:t>
      </w:r>
      <w:r w:rsidRPr="003F2E8C">
        <w:rPr>
          <w:kern w:val="22"/>
          <w:szCs w:val="22"/>
          <w:lang w:val="fr-CA"/>
        </w:rPr>
        <w:t>:</w:t>
      </w:r>
    </w:p>
    <w:p w:rsidR="009F6935" w:rsidRPr="003F2E8C" w:rsidRDefault="009F6935" w:rsidP="009F6935">
      <w:pPr>
        <w:adjustRightInd w:val="0"/>
        <w:snapToGrid w:val="0"/>
        <w:spacing w:before="120" w:after="120"/>
        <w:ind w:left="720" w:firstLine="720"/>
        <w:rPr>
          <w:rFonts w:eastAsia="Batang"/>
          <w:i/>
          <w:iCs/>
          <w:snapToGrid w:val="0"/>
          <w:color w:val="000000"/>
          <w:kern w:val="22"/>
          <w:szCs w:val="22"/>
          <w:lang w:val="fr-CA" w:eastAsia="ja-JP" w:bidi="th-TH"/>
        </w:rPr>
      </w:pPr>
      <w:r w:rsidRPr="003F2E8C">
        <w:rPr>
          <w:rFonts w:eastAsia="Batang"/>
          <w:i/>
          <w:iCs/>
          <w:snapToGrid w:val="0"/>
          <w:color w:val="000000"/>
          <w:kern w:val="22"/>
          <w:szCs w:val="22"/>
          <w:lang w:val="fr-CA" w:eastAsia="ja-JP" w:bidi="th-TH"/>
        </w:rPr>
        <w:t>La Conférence des Parties,</w:t>
      </w:r>
    </w:p>
    <w:p w:rsidR="009F6935" w:rsidRPr="003F2E8C" w:rsidRDefault="009F6935" w:rsidP="009F6935">
      <w:pPr>
        <w:adjustRightInd w:val="0"/>
        <w:snapToGrid w:val="0"/>
        <w:spacing w:before="120" w:after="120"/>
        <w:ind w:left="720" w:firstLine="720"/>
        <w:rPr>
          <w:kern w:val="22"/>
          <w:szCs w:val="22"/>
          <w:lang w:val="fr-CA"/>
        </w:rPr>
      </w:pPr>
      <w:r w:rsidRPr="003F2E8C">
        <w:rPr>
          <w:i/>
          <w:kern w:val="22"/>
          <w:szCs w:val="22"/>
          <w:lang w:val="fr-CA"/>
        </w:rPr>
        <w:t xml:space="preserve">Consciente </w:t>
      </w:r>
      <w:r w:rsidRPr="003F2E8C">
        <w:rPr>
          <w:kern w:val="22"/>
          <w:szCs w:val="22"/>
          <w:lang w:val="fr-CA"/>
        </w:rPr>
        <w:t>de la croissance du commerce électronique d’espèces exotiques</w:t>
      </w:r>
      <w:r>
        <w:rPr>
          <w:kern w:val="22"/>
          <w:szCs w:val="22"/>
          <w:lang w:val="fr-CA"/>
        </w:rPr>
        <w:t xml:space="preserve"> envahissantes</w:t>
      </w:r>
      <w:r w:rsidRPr="003F2E8C">
        <w:rPr>
          <w:kern w:val="22"/>
          <w:szCs w:val="22"/>
          <w:lang w:val="fr-CA"/>
        </w:rPr>
        <w:t xml:space="preserve"> et de la nécessité de </w:t>
      </w:r>
      <w:r>
        <w:rPr>
          <w:kern w:val="22"/>
          <w:szCs w:val="22"/>
          <w:lang w:val="fr-CA"/>
        </w:rPr>
        <w:t>collaborer</w:t>
      </w:r>
      <w:r w:rsidRPr="003F2E8C">
        <w:rPr>
          <w:kern w:val="22"/>
          <w:szCs w:val="22"/>
          <w:lang w:val="fr-CA"/>
        </w:rPr>
        <w:t xml:space="preserve"> afin de minimiser les risques associés,</w:t>
      </w:r>
    </w:p>
    <w:p w:rsidR="009F6935" w:rsidRPr="003F2E8C" w:rsidRDefault="009F6935" w:rsidP="009F6935">
      <w:pPr>
        <w:adjustRightInd w:val="0"/>
        <w:snapToGrid w:val="0"/>
        <w:spacing w:before="120" w:after="120"/>
        <w:ind w:left="720" w:firstLine="720"/>
        <w:rPr>
          <w:kern w:val="22"/>
          <w:szCs w:val="22"/>
          <w:lang w:val="fr-CA"/>
        </w:rPr>
      </w:pPr>
      <w:r w:rsidRPr="003F2E8C">
        <w:rPr>
          <w:i/>
          <w:kern w:val="22"/>
          <w:szCs w:val="22"/>
          <w:lang w:val="fr-CA"/>
        </w:rPr>
        <w:t xml:space="preserve">Consciente également </w:t>
      </w:r>
      <w:r w:rsidRPr="003F2E8C">
        <w:rPr>
          <w:kern w:val="22"/>
          <w:szCs w:val="22"/>
          <w:lang w:val="fr-CA"/>
        </w:rPr>
        <w:t>des impacts négatifs des espèces exotiques envahissantes sur les écosystèmes vulnérables,</w:t>
      </w:r>
      <w:r>
        <w:rPr>
          <w:kern w:val="22"/>
          <w:szCs w:val="22"/>
          <w:lang w:val="fr-CA"/>
        </w:rPr>
        <w:t xml:space="preserve"> </w:t>
      </w:r>
      <w:r w:rsidRPr="00C30C81">
        <w:rPr>
          <w:kern w:val="22"/>
          <w:szCs w:val="22"/>
          <w:lang w:val="fr-CA"/>
        </w:rPr>
        <w:t>comme les îles et les régions arctiques</w:t>
      </w:r>
      <w:r>
        <w:rPr>
          <w:kern w:val="22"/>
          <w:szCs w:val="22"/>
          <w:lang w:val="fr-CA"/>
        </w:rPr>
        <w:t>,</w:t>
      </w:r>
      <w:r w:rsidRPr="003F2E8C">
        <w:rPr>
          <w:kern w:val="22"/>
          <w:szCs w:val="22"/>
          <w:lang w:val="fr-CA"/>
        </w:rPr>
        <w:t xml:space="preserve"> ainsi que sur les valeurs sociales, économiques et culturelles</w:t>
      </w:r>
      <w:r>
        <w:rPr>
          <w:kern w:val="22"/>
          <w:szCs w:val="22"/>
          <w:lang w:val="fr-CA"/>
        </w:rPr>
        <w:t>, notamment celles l</w:t>
      </w:r>
      <w:r w:rsidRPr="003F2E8C">
        <w:rPr>
          <w:kern w:val="22"/>
          <w:szCs w:val="22"/>
          <w:lang w:val="fr-CA"/>
        </w:rPr>
        <w:t>iées aux peuples autochtones et aux communautés locales,</w:t>
      </w:r>
    </w:p>
    <w:p w:rsidR="009F6935" w:rsidRPr="003F2E8C" w:rsidRDefault="009F6935" w:rsidP="009F6935">
      <w:pPr>
        <w:adjustRightInd w:val="0"/>
        <w:snapToGrid w:val="0"/>
        <w:spacing w:before="120" w:after="120"/>
        <w:ind w:left="720" w:firstLine="720"/>
        <w:rPr>
          <w:i/>
          <w:kern w:val="22"/>
          <w:szCs w:val="22"/>
          <w:lang w:val="fr-CA"/>
        </w:rPr>
      </w:pPr>
      <w:r w:rsidRPr="003F2E8C">
        <w:rPr>
          <w:rFonts w:eastAsia="Yu Mincho"/>
          <w:snapToGrid w:val="0"/>
          <w:kern w:val="22"/>
          <w:szCs w:val="22"/>
          <w:lang w:val="fr-CA" w:eastAsia="ja-JP"/>
        </w:rPr>
        <w:t>1.</w:t>
      </w:r>
      <w:r w:rsidRPr="003F2E8C">
        <w:rPr>
          <w:rFonts w:eastAsia="Yu Mincho"/>
          <w:snapToGrid w:val="0"/>
          <w:kern w:val="22"/>
          <w:szCs w:val="22"/>
          <w:lang w:val="fr-CA" w:eastAsia="ja-JP"/>
        </w:rPr>
        <w:tab/>
      </w:r>
      <w:r>
        <w:rPr>
          <w:i/>
          <w:kern w:val="22"/>
          <w:szCs w:val="22"/>
          <w:lang w:val="fr-CA"/>
        </w:rPr>
        <w:t>Se félicite</w:t>
      </w:r>
      <w:r w:rsidRPr="003F2E8C">
        <w:rPr>
          <w:i/>
          <w:kern w:val="22"/>
          <w:szCs w:val="22"/>
          <w:lang w:val="fr-CA"/>
        </w:rPr>
        <w:t xml:space="preserve"> </w:t>
      </w:r>
      <w:r w:rsidRPr="003F2E8C">
        <w:rPr>
          <w:kern w:val="22"/>
          <w:szCs w:val="22"/>
          <w:lang w:val="fr-CA"/>
        </w:rPr>
        <w:t>de la décision 6/1 de la Plénière de la Plateforme intergouvernementale politique et scientifique sur la diversité biologique et les services écosystémiques, dans laquelle la Plénière</w:t>
      </w:r>
      <w:r>
        <w:rPr>
          <w:kern w:val="22"/>
          <w:szCs w:val="22"/>
          <w:lang w:val="fr-CA"/>
        </w:rPr>
        <w:t xml:space="preserve"> a approuvé, entre autres</w:t>
      </w:r>
      <w:r w:rsidRPr="003F2E8C">
        <w:rPr>
          <w:kern w:val="22"/>
          <w:szCs w:val="22"/>
          <w:lang w:val="fr-CA"/>
        </w:rPr>
        <w:t xml:space="preserve">, </w:t>
      </w:r>
      <w:r>
        <w:rPr>
          <w:kern w:val="22"/>
          <w:szCs w:val="22"/>
          <w:lang w:val="fr-CA"/>
        </w:rPr>
        <w:t>la tenue d’une</w:t>
      </w:r>
      <w:r w:rsidRPr="003F2E8C">
        <w:rPr>
          <w:kern w:val="22"/>
          <w:szCs w:val="22"/>
          <w:lang w:val="fr-CA"/>
        </w:rPr>
        <w:t xml:space="preserve"> évaluation thématique des espèces exotiques envahissantes et de leur contrôle;</w:t>
      </w:r>
    </w:p>
    <w:p w:rsidR="009F6935" w:rsidRPr="003F2E8C" w:rsidRDefault="009F6935" w:rsidP="009F6935">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t>2.</w:t>
      </w:r>
      <w:r w:rsidRPr="003F2E8C">
        <w:rPr>
          <w:rFonts w:eastAsia="Yu Mincho"/>
          <w:i/>
          <w:snapToGrid w:val="0"/>
          <w:kern w:val="22"/>
          <w:szCs w:val="22"/>
          <w:lang w:val="fr-CA" w:eastAsia="ja-JP"/>
        </w:rPr>
        <w:tab/>
      </w:r>
      <w:r>
        <w:rPr>
          <w:rFonts w:eastAsia="Yu Mincho"/>
          <w:i/>
          <w:snapToGrid w:val="0"/>
          <w:kern w:val="22"/>
          <w:szCs w:val="22"/>
          <w:lang w:val="fr-CA" w:eastAsia="ja-JP"/>
        </w:rPr>
        <w:t>Se félicite</w:t>
      </w:r>
      <w:r w:rsidRPr="003F2E8C">
        <w:rPr>
          <w:rFonts w:eastAsia="Yu Mincho"/>
          <w:i/>
          <w:snapToGrid w:val="0"/>
          <w:kern w:val="22"/>
          <w:szCs w:val="22"/>
          <w:lang w:val="fr-CA" w:eastAsia="ja-JP"/>
        </w:rPr>
        <w:t xml:space="preserve"> </w:t>
      </w:r>
      <w:r w:rsidRPr="003F2E8C">
        <w:rPr>
          <w:rFonts w:eastAsia="Yu Mincho"/>
          <w:snapToGrid w:val="0"/>
          <w:kern w:val="22"/>
          <w:szCs w:val="22"/>
          <w:lang w:val="fr-CA" w:eastAsia="ja-JP"/>
        </w:rPr>
        <w:t>de</w:t>
      </w:r>
      <w:r>
        <w:rPr>
          <w:rFonts w:eastAsia="Yu Mincho"/>
          <w:snapToGrid w:val="0"/>
          <w:kern w:val="22"/>
          <w:szCs w:val="22"/>
          <w:lang w:val="fr-CA" w:eastAsia="ja-JP"/>
        </w:rPr>
        <w:t>s orientations facultatives additionnelles</w:t>
      </w:r>
      <w:r w:rsidRPr="003F2E8C">
        <w:rPr>
          <w:rFonts w:eastAsia="Yu Mincho"/>
          <w:snapToGrid w:val="0"/>
          <w:kern w:val="22"/>
          <w:szCs w:val="22"/>
          <w:lang w:val="fr-CA" w:eastAsia="ja-JP"/>
        </w:rPr>
        <w:t xml:space="preserve"> </w:t>
      </w:r>
      <w:r>
        <w:rPr>
          <w:rFonts w:eastAsia="Yu Mincho"/>
          <w:snapToGrid w:val="0"/>
          <w:kern w:val="22"/>
          <w:szCs w:val="22"/>
          <w:lang w:val="fr-CA" w:eastAsia="ja-JP"/>
        </w:rPr>
        <w:t>visant à</w:t>
      </w:r>
      <w:r w:rsidRPr="003F2E8C">
        <w:rPr>
          <w:rFonts w:eastAsia="Yu Mincho"/>
          <w:snapToGrid w:val="0"/>
          <w:kern w:val="22"/>
          <w:szCs w:val="22"/>
          <w:lang w:val="fr-CA" w:eastAsia="ja-JP"/>
        </w:rPr>
        <w:t xml:space="preserve"> éviter l’introduction involontaire d’espèces exotiques envahissantes assoc</w:t>
      </w:r>
      <w:r>
        <w:rPr>
          <w:rFonts w:eastAsia="Yu Mincho"/>
          <w:snapToGrid w:val="0"/>
          <w:kern w:val="22"/>
          <w:szCs w:val="22"/>
          <w:lang w:val="fr-CA" w:eastAsia="ja-JP"/>
        </w:rPr>
        <w:t>iées au commerce d’organismes vivant</w:t>
      </w:r>
      <w:r w:rsidRPr="003F2E8C">
        <w:rPr>
          <w:rFonts w:eastAsia="Yu Mincho"/>
          <w:snapToGrid w:val="0"/>
          <w:kern w:val="22"/>
          <w:szCs w:val="22"/>
          <w:lang w:val="fr-CA" w:eastAsia="ja-JP"/>
        </w:rPr>
        <w:t>s</w:t>
      </w:r>
      <w:r>
        <w:rPr>
          <w:rFonts w:eastAsia="Yu Mincho"/>
          <w:snapToGrid w:val="0"/>
          <w:kern w:val="22"/>
          <w:szCs w:val="22"/>
          <w:lang w:val="fr-CA" w:eastAsia="ja-JP"/>
        </w:rPr>
        <w:t>, figurant</w:t>
      </w:r>
      <w:r w:rsidRPr="003F2E8C">
        <w:rPr>
          <w:rFonts w:eastAsia="Yu Mincho"/>
          <w:snapToGrid w:val="0"/>
          <w:kern w:val="22"/>
          <w:szCs w:val="22"/>
          <w:lang w:val="fr-CA" w:eastAsia="ja-JP"/>
        </w:rPr>
        <w:t xml:space="preserve"> en annexe à la présente décision;</w:t>
      </w:r>
    </w:p>
    <w:p w:rsidR="009F6935" w:rsidRPr="003F2E8C" w:rsidRDefault="009F6935" w:rsidP="009F6935">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t>3.</w:t>
      </w:r>
      <w:r w:rsidRPr="003F2E8C">
        <w:rPr>
          <w:rFonts w:eastAsia="Yu Mincho"/>
          <w:snapToGrid w:val="0"/>
          <w:kern w:val="22"/>
          <w:szCs w:val="22"/>
          <w:lang w:val="fr-CA" w:eastAsia="ja-JP"/>
        </w:rPr>
        <w:tab/>
      </w:r>
      <w:r>
        <w:rPr>
          <w:rFonts w:eastAsia="Yu Mincho"/>
          <w:i/>
          <w:snapToGrid w:val="0"/>
          <w:kern w:val="22"/>
          <w:szCs w:val="22"/>
          <w:lang w:val="fr-CA" w:eastAsia="ja-JP"/>
        </w:rPr>
        <w:t>Encourage</w:t>
      </w:r>
      <w:r w:rsidRPr="003F2E8C">
        <w:rPr>
          <w:rFonts w:eastAsia="Yu Mincho"/>
          <w:i/>
          <w:snapToGrid w:val="0"/>
          <w:kern w:val="22"/>
          <w:szCs w:val="22"/>
          <w:lang w:val="fr-CA" w:eastAsia="ja-JP"/>
        </w:rPr>
        <w:t xml:space="preserve"> </w:t>
      </w:r>
      <w:r>
        <w:rPr>
          <w:rFonts w:eastAsia="Yu Mincho"/>
          <w:snapToGrid w:val="0"/>
          <w:kern w:val="22"/>
          <w:szCs w:val="22"/>
          <w:lang w:val="fr-CA" w:eastAsia="ja-JP"/>
        </w:rPr>
        <w:t xml:space="preserve">les Parties et </w:t>
      </w:r>
      <w:r w:rsidRPr="00AD7648">
        <w:rPr>
          <w:rFonts w:eastAsia="Yu Mincho"/>
          <w:i/>
          <w:snapToGrid w:val="0"/>
          <w:kern w:val="22"/>
          <w:szCs w:val="22"/>
          <w:lang w:val="fr-CA" w:eastAsia="ja-JP"/>
        </w:rPr>
        <w:t>invite</w:t>
      </w:r>
      <w:r>
        <w:rPr>
          <w:rFonts w:eastAsia="Yu Mincho"/>
          <w:snapToGrid w:val="0"/>
          <w:kern w:val="22"/>
          <w:szCs w:val="22"/>
          <w:lang w:val="fr-CA" w:eastAsia="ja-JP"/>
        </w:rPr>
        <w:t xml:space="preserve"> </w:t>
      </w:r>
      <w:r w:rsidRPr="003F2E8C">
        <w:rPr>
          <w:rFonts w:eastAsia="Yu Mincho"/>
          <w:snapToGrid w:val="0"/>
          <w:kern w:val="22"/>
          <w:szCs w:val="22"/>
          <w:lang w:val="fr-CA" w:eastAsia="ja-JP"/>
        </w:rPr>
        <w:t>les autres gouvernements et les organisa</w:t>
      </w:r>
      <w:r>
        <w:rPr>
          <w:rFonts w:eastAsia="Yu Mincho"/>
          <w:snapToGrid w:val="0"/>
          <w:kern w:val="22"/>
          <w:szCs w:val="22"/>
          <w:lang w:val="fr-CA" w:eastAsia="ja-JP"/>
        </w:rPr>
        <w:t>tions compétentes à appliquer les orientations facultatives additionnelles</w:t>
      </w:r>
      <w:r w:rsidRPr="003F2E8C">
        <w:rPr>
          <w:rFonts w:eastAsia="Yu Mincho"/>
          <w:snapToGrid w:val="0"/>
          <w:kern w:val="22"/>
          <w:szCs w:val="22"/>
          <w:lang w:val="fr-CA" w:eastAsia="ja-JP"/>
        </w:rPr>
        <w:t xml:space="preserve"> pour éviter l’introduction involontaire d’espèces exotiques envahissantes associées au commerce d’</w:t>
      </w:r>
      <w:r>
        <w:rPr>
          <w:rFonts w:eastAsia="Yu Mincho"/>
          <w:snapToGrid w:val="0"/>
          <w:kern w:val="22"/>
          <w:szCs w:val="22"/>
          <w:lang w:val="fr-CA" w:eastAsia="ja-JP"/>
        </w:rPr>
        <w:t>organismes vivants</w:t>
      </w:r>
      <w:r w:rsidRPr="003F2E8C">
        <w:rPr>
          <w:rFonts w:eastAsia="Yu Mincho"/>
          <w:snapToGrid w:val="0"/>
          <w:kern w:val="22"/>
          <w:szCs w:val="22"/>
          <w:lang w:val="fr-CA" w:eastAsia="ja-JP"/>
        </w:rPr>
        <w:t>;</w:t>
      </w:r>
      <w:r>
        <w:rPr>
          <w:rFonts w:eastAsia="Yu Mincho"/>
          <w:snapToGrid w:val="0"/>
          <w:kern w:val="22"/>
          <w:szCs w:val="22"/>
          <w:lang w:val="fr-CA" w:eastAsia="ja-JP"/>
        </w:rPr>
        <w:t xml:space="preserve"> </w:t>
      </w:r>
    </w:p>
    <w:p w:rsidR="009F6935" w:rsidRPr="00C30C81" w:rsidRDefault="009F6935" w:rsidP="009F6935">
      <w:pPr>
        <w:adjustRightInd w:val="0"/>
        <w:snapToGrid w:val="0"/>
        <w:spacing w:before="120" w:after="120"/>
        <w:ind w:left="720" w:firstLine="720"/>
        <w:rPr>
          <w:rFonts w:eastAsia="Yu Mincho"/>
          <w:snapToGrid w:val="0"/>
          <w:kern w:val="22"/>
          <w:szCs w:val="22"/>
          <w:lang w:val="fr-CA" w:eastAsia="ja-JP"/>
        </w:rPr>
      </w:pPr>
      <w:r w:rsidRPr="003F2E8C">
        <w:rPr>
          <w:rFonts w:eastAsia="Yu Mincho"/>
          <w:snapToGrid w:val="0"/>
          <w:kern w:val="22"/>
          <w:szCs w:val="22"/>
          <w:lang w:val="fr-CA" w:eastAsia="ja-JP"/>
        </w:rPr>
        <w:t>4.</w:t>
      </w:r>
      <w:r w:rsidRPr="003F2E8C">
        <w:rPr>
          <w:rFonts w:eastAsia="Yu Mincho"/>
          <w:snapToGrid w:val="0"/>
          <w:kern w:val="22"/>
          <w:szCs w:val="22"/>
          <w:lang w:val="fr-CA" w:eastAsia="ja-JP"/>
        </w:rPr>
        <w:tab/>
      </w:r>
      <w:r w:rsidRPr="003F2E8C">
        <w:rPr>
          <w:rFonts w:eastAsia="Yu Mincho"/>
          <w:i/>
          <w:snapToGrid w:val="0"/>
          <w:kern w:val="22"/>
          <w:szCs w:val="22"/>
          <w:lang w:val="fr-CA" w:eastAsia="ja-JP"/>
        </w:rPr>
        <w:t>Décide</w:t>
      </w:r>
      <w:r>
        <w:rPr>
          <w:rFonts w:eastAsia="Yu Mincho"/>
          <w:snapToGrid w:val="0"/>
          <w:kern w:val="22"/>
          <w:szCs w:val="22"/>
          <w:lang w:val="fr-CA" w:eastAsia="ja-JP"/>
        </w:rPr>
        <w:t xml:space="preserve">, dans la limite </w:t>
      </w:r>
      <w:r w:rsidRPr="00C30C81">
        <w:rPr>
          <w:rFonts w:eastAsia="Yu Mincho"/>
          <w:snapToGrid w:val="0"/>
          <w:kern w:val="22"/>
          <w:szCs w:val="22"/>
          <w:lang w:val="fr-CA" w:eastAsia="ja-JP"/>
        </w:rPr>
        <w:t>des ressources</w:t>
      </w:r>
      <w:r>
        <w:rPr>
          <w:rFonts w:eastAsia="Yu Mincho"/>
          <w:snapToGrid w:val="0"/>
          <w:kern w:val="22"/>
          <w:szCs w:val="22"/>
          <w:lang w:val="fr-CA" w:eastAsia="ja-JP"/>
        </w:rPr>
        <w:t xml:space="preserve"> disponibles, de créer un G</w:t>
      </w:r>
      <w:r w:rsidRPr="00C30C81">
        <w:rPr>
          <w:rFonts w:eastAsia="Yu Mincho"/>
          <w:snapToGrid w:val="0"/>
          <w:kern w:val="22"/>
          <w:szCs w:val="22"/>
          <w:lang w:val="fr-CA" w:eastAsia="ja-JP"/>
        </w:rPr>
        <w:t xml:space="preserve">roupe spécial d'experts techniques, dont le mandat figure à l'annexe II de la présente décision, </w:t>
      </w:r>
      <w:r>
        <w:rPr>
          <w:rFonts w:eastAsia="Yu Mincho"/>
          <w:snapToGrid w:val="0"/>
          <w:kern w:val="22"/>
          <w:szCs w:val="22"/>
          <w:lang w:val="fr-CA" w:eastAsia="ja-JP"/>
        </w:rPr>
        <w:t>qui se réunira selon que de besoin afin de</w:t>
      </w:r>
      <w:r w:rsidRPr="00C30C81">
        <w:rPr>
          <w:rFonts w:eastAsia="Yu Mincho"/>
          <w:snapToGrid w:val="0"/>
          <w:kern w:val="22"/>
          <w:szCs w:val="22"/>
          <w:lang w:val="fr-CA" w:eastAsia="ja-JP"/>
        </w:rPr>
        <w:t xml:space="preserve"> fou</w:t>
      </w:r>
      <w:r>
        <w:rPr>
          <w:rFonts w:eastAsia="Yu Mincho"/>
          <w:snapToGrid w:val="0"/>
          <w:kern w:val="22"/>
          <w:szCs w:val="22"/>
          <w:lang w:val="fr-CA" w:eastAsia="ja-JP"/>
        </w:rPr>
        <w:t>rnir en temps voulu des avis sur la réalisation de l'O</w:t>
      </w:r>
      <w:r w:rsidRPr="00C30C81">
        <w:rPr>
          <w:rFonts w:eastAsia="Yu Mincho"/>
          <w:snapToGrid w:val="0"/>
          <w:kern w:val="22"/>
          <w:szCs w:val="22"/>
          <w:lang w:val="fr-CA" w:eastAsia="ja-JP"/>
        </w:rPr>
        <w:t>bjectif 9 d'Aichi</w:t>
      </w:r>
      <w:r>
        <w:rPr>
          <w:rFonts w:eastAsia="Yu Mincho"/>
          <w:snapToGrid w:val="0"/>
          <w:kern w:val="22"/>
          <w:szCs w:val="22"/>
          <w:lang w:val="fr-CA" w:eastAsia="ja-JP"/>
        </w:rPr>
        <w:t xml:space="preserve"> pour la biodiversité et, lorsque cela est possible, qui se réunira immédiatement avant ou après d’autres</w:t>
      </w:r>
      <w:r w:rsidRPr="00C30C81">
        <w:rPr>
          <w:rFonts w:eastAsia="Yu Mincho"/>
          <w:snapToGrid w:val="0"/>
          <w:kern w:val="22"/>
          <w:szCs w:val="22"/>
          <w:lang w:val="fr-CA" w:eastAsia="ja-JP"/>
        </w:rPr>
        <w:t xml:space="preserve"> réunions pertin</w:t>
      </w:r>
      <w:r>
        <w:rPr>
          <w:rFonts w:eastAsia="Yu Mincho"/>
          <w:snapToGrid w:val="0"/>
          <w:kern w:val="22"/>
          <w:szCs w:val="22"/>
          <w:lang w:val="fr-CA" w:eastAsia="ja-JP"/>
        </w:rPr>
        <w:t xml:space="preserve">entes, </w:t>
      </w:r>
      <w:r w:rsidRPr="00C30C81">
        <w:rPr>
          <w:rFonts w:eastAsia="Yu Mincho"/>
          <w:snapToGrid w:val="0"/>
          <w:kern w:val="22"/>
          <w:szCs w:val="22"/>
          <w:lang w:val="fr-CA" w:eastAsia="ja-JP"/>
        </w:rPr>
        <w:t xml:space="preserve">et </w:t>
      </w:r>
      <w:r w:rsidRPr="00C30C81">
        <w:rPr>
          <w:rFonts w:eastAsia="Yu Mincho"/>
          <w:i/>
          <w:snapToGrid w:val="0"/>
          <w:kern w:val="22"/>
          <w:szCs w:val="22"/>
          <w:lang w:val="fr-CA" w:eastAsia="ja-JP"/>
        </w:rPr>
        <w:t>prie</w:t>
      </w:r>
      <w:r w:rsidRPr="00C30C81">
        <w:rPr>
          <w:rFonts w:eastAsia="Yu Mincho"/>
          <w:snapToGrid w:val="0"/>
          <w:kern w:val="22"/>
          <w:szCs w:val="22"/>
          <w:lang w:val="fr-CA" w:eastAsia="ja-JP"/>
        </w:rPr>
        <w:t xml:space="preserve"> la Secrétaire exécutive d'organiser un forum de discussion en ligne ouvert et </w:t>
      </w:r>
      <w:r>
        <w:rPr>
          <w:rFonts w:eastAsia="Yu Mincho"/>
          <w:snapToGrid w:val="0"/>
          <w:kern w:val="22"/>
          <w:szCs w:val="22"/>
          <w:lang w:val="fr-CA" w:eastAsia="ja-JP"/>
        </w:rPr>
        <w:t>encadré</w:t>
      </w:r>
      <w:r w:rsidRPr="00C30C81">
        <w:rPr>
          <w:rFonts w:eastAsia="Yu Mincho"/>
          <w:snapToGrid w:val="0"/>
          <w:kern w:val="22"/>
          <w:szCs w:val="22"/>
          <w:lang w:val="fr-CA" w:eastAsia="ja-JP"/>
        </w:rPr>
        <w:t xml:space="preserve"> pour </w:t>
      </w:r>
      <w:r>
        <w:rPr>
          <w:rFonts w:eastAsia="Yu Mincho"/>
          <w:snapToGrid w:val="0"/>
          <w:kern w:val="22"/>
          <w:szCs w:val="22"/>
          <w:lang w:val="fr-CA" w:eastAsia="ja-JP"/>
        </w:rPr>
        <w:t>appuyer les délibérations</w:t>
      </w:r>
      <w:r w:rsidRPr="00C30C81">
        <w:rPr>
          <w:rFonts w:eastAsia="Yu Mincho"/>
          <w:snapToGrid w:val="0"/>
          <w:kern w:val="22"/>
          <w:szCs w:val="22"/>
          <w:lang w:val="fr-CA" w:eastAsia="ja-JP"/>
        </w:rPr>
        <w:t xml:space="preserve"> du Grou</w:t>
      </w:r>
      <w:r>
        <w:rPr>
          <w:rFonts w:eastAsia="Yu Mincho"/>
          <w:snapToGrid w:val="0"/>
          <w:kern w:val="22"/>
          <w:szCs w:val="22"/>
          <w:lang w:val="fr-CA" w:eastAsia="ja-JP"/>
        </w:rPr>
        <w:t>pe spécial d'experts techniques;</w:t>
      </w:r>
      <w:r w:rsidRPr="00C30C81">
        <w:rPr>
          <w:rFonts w:eastAsia="Yu Mincho"/>
          <w:snapToGrid w:val="0"/>
          <w:kern w:val="22"/>
          <w:szCs w:val="22"/>
          <w:lang w:val="fr-CA" w:eastAsia="ja-JP"/>
        </w:rPr>
        <w:t xml:space="preserve"> </w:t>
      </w:r>
    </w:p>
    <w:p w:rsidR="009F6935" w:rsidRPr="003F2E8C" w:rsidRDefault="009F6935" w:rsidP="009F6935">
      <w:pPr>
        <w:adjustRightInd w:val="0"/>
        <w:snapToGrid w:val="0"/>
        <w:spacing w:before="120" w:after="240"/>
        <w:ind w:left="720" w:firstLine="720"/>
        <w:rPr>
          <w:rFonts w:eastAsia="Batang"/>
          <w:iCs/>
          <w:snapToGrid w:val="0"/>
          <w:color w:val="000000"/>
          <w:kern w:val="22"/>
          <w:szCs w:val="22"/>
          <w:lang w:val="fr-CA" w:eastAsia="ja-JP" w:bidi="th-TH"/>
        </w:rPr>
      </w:pPr>
      <w:r w:rsidRPr="003F2E8C">
        <w:rPr>
          <w:rFonts w:eastAsia="Batang"/>
          <w:iCs/>
          <w:snapToGrid w:val="0"/>
          <w:color w:val="000000"/>
          <w:kern w:val="22"/>
          <w:szCs w:val="22"/>
          <w:lang w:val="fr-CA" w:eastAsia="ja-JP" w:bidi="th-TH"/>
        </w:rPr>
        <w:t>5.</w:t>
      </w:r>
      <w:r w:rsidRPr="003F2E8C">
        <w:rPr>
          <w:rFonts w:eastAsia="Batang"/>
          <w:iCs/>
          <w:snapToGrid w:val="0"/>
          <w:color w:val="000000"/>
          <w:kern w:val="22"/>
          <w:szCs w:val="22"/>
          <w:lang w:val="fr-CA" w:eastAsia="ja-JP" w:bidi="th-TH"/>
        </w:rPr>
        <w:tab/>
      </w:r>
      <w:r w:rsidRPr="003F2E8C">
        <w:rPr>
          <w:rFonts w:eastAsia="Batang"/>
          <w:i/>
          <w:iCs/>
          <w:snapToGrid w:val="0"/>
          <w:color w:val="000000"/>
          <w:kern w:val="22"/>
          <w:szCs w:val="22"/>
          <w:lang w:val="fr-CA" w:eastAsia="ja-JP" w:bidi="th-TH"/>
        </w:rPr>
        <w:t xml:space="preserve">Prie </w:t>
      </w:r>
      <w:r w:rsidRPr="003F2E8C">
        <w:rPr>
          <w:rFonts w:eastAsia="Batang"/>
          <w:iCs/>
          <w:snapToGrid w:val="0"/>
          <w:color w:val="000000"/>
          <w:kern w:val="22"/>
          <w:szCs w:val="22"/>
          <w:lang w:val="fr-CA" w:eastAsia="ja-JP" w:bidi="th-TH"/>
        </w:rPr>
        <w:t>l’</w:t>
      </w:r>
      <w:r w:rsidRPr="003F2E8C">
        <w:rPr>
          <w:iCs/>
          <w:snapToGrid w:val="0"/>
          <w:color w:val="000000"/>
          <w:kern w:val="22"/>
          <w:szCs w:val="22"/>
          <w:lang w:val="fr-CA" w:eastAsia="ja-JP" w:bidi="th-TH"/>
        </w:rPr>
        <w:t xml:space="preserve">Organe subsidiaire chargé de fournir des avis scientifiques, </w:t>
      </w:r>
      <w:r>
        <w:rPr>
          <w:iCs/>
          <w:snapToGrid w:val="0"/>
          <w:color w:val="000000"/>
          <w:kern w:val="22"/>
          <w:szCs w:val="22"/>
          <w:lang w:val="fr-CA" w:eastAsia="ja-JP" w:bidi="th-TH"/>
        </w:rPr>
        <w:t>techniques et technologiques d’examiner l</w:t>
      </w:r>
      <w:r w:rsidRPr="003F2E8C">
        <w:rPr>
          <w:iCs/>
          <w:snapToGrid w:val="0"/>
          <w:color w:val="000000"/>
          <w:kern w:val="22"/>
          <w:szCs w:val="22"/>
          <w:lang w:val="fr-CA" w:eastAsia="ja-JP" w:bidi="th-TH"/>
        </w:rPr>
        <w:t xml:space="preserve">es résultats du forum en ligne et du Groupe spécial d’experts techniques lors d’une réunion </w:t>
      </w:r>
      <w:r>
        <w:rPr>
          <w:iCs/>
          <w:snapToGrid w:val="0"/>
          <w:color w:val="000000"/>
          <w:kern w:val="22"/>
          <w:szCs w:val="22"/>
          <w:lang w:val="fr-CA" w:eastAsia="ja-JP" w:bidi="th-TH"/>
        </w:rPr>
        <w:t xml:space="preserve">qui se tiendra avant </w:t>
      </w:r>
      <w:r w:rsidRPr="003F2E8C">
        <w:rPr>
          <w:iCs/>
          <w:snapToGrid w:val="0"/>
          <w:color w:val="000000"/>
          <w:kern w:val="22"/>
          <w:szCs w:val="22"/>
          <w:lang w:val="fr-CA" w:eastAsia="ja-JP" w:bidi="th-TH"/>
        </w:rPr>
        <w:t>la quinzième réunion de la Conférence des Parties</w:t>
      </w:r>
      <w:r w:rsidRPr="003F2E8C">
        <w:rPr>
          <w:rFonts w:eastAsia="Batang"/>
          <w:iCs/>
          <w:snapToGrid w:val="0"/>
          <w:color w:val="000000"/>
          <w:kern w:val="22"/>
          <w:szCs w:val="22"/>
          <w:lang w:val="fr-CA" w:eastAsia="ja-JP" w:bidi="th-TH"/>
        </w:rPr>
        <w:t>;</w:t>
      </w:r>
    </w:p>
    <w:p w:rsidR="009F6935" w:rsidRPr="003F2E8C" w:rsidRDefault="009F6935" w:rsidP="009F6935">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t>6.</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Encourage </w:t>
      </w:r>
      <w:r w:rsidRPr="003F2E8C">
        <w:rPr>
          <w:rFonts w:eastAsia="Yu Mincho"/>
          <w:bCs/>
          <w:snapToGrid w:val="0"/>
          <w:kern w:val="22"/>
          <w:szCs w:val="22"/>
          <w:lang w:val="fr-CA" w:eastAsia="ja-JP"/>
        </w:rPr>
        <w:t>les Parties et</w:t>
      </w:r>
      <w:r w:rsidRPr="00984F58">
        <w:rPr>
          <w:rFonts w:eastAsia="Yu Mincho"/>
          <w:bCs/>
          <w:i/>
          <w:snapToGrid w:val="0"/>
          <w:kern w:val="22"/>
          <w:szCs w:val="22"/>
          <w:lang w:val="fr-CA" w:eastAsia="ja-JP"/>
        </w:rPr>
        <w:t xml:space="preserve"> invite</w:t>
      </w:r>
      <w:r w:rsidRPr="003F2E8C">
        <w:rPr>
          <w:rFonts w:eastAsia="Yu Mincho"/>
          <w:bCs/>
          <w:snapToGrid w:val="0"/>
          <w:kern w:val="22"/>
          <w:szCs w:val="22"/>
          <w:lang w:val="fr-CA" w:eastAsia="ja-JP"/>
        </w:rPr>
        <w:t xml:space="preserve"> l</w:t>
      </w:r>
      <w:r>
        <w:rPr>
          <w:rFonts w:eastAsia="Yu Mincho"/>
          <w:bCs/>
          <w:snapToGrid w:val="0"/>
          <w:kern w:val="22"/>
          <w:szCs w:val="22"/>
          <w:lang w:val="fr-CA" w:eastAsia="ja-JP"/>
        </w:rPr>
        <w:t>es autres gouvernements à partag</w:t>
      </w:r>
      <w:r w:rsidRPr="003F2E8C">
        <w:rPr>
          <w:rFonts w:eastAsia="Yu Mincho"/>
          <w:bCs/>
          <w:snapToGrid w:val="0"/>
          <w:kern w:val="22"/>
          <w:szCs w:val="22"/>
          <w:lang w:val="fr-CA" w:eastAsia="ja-JP"/>
        </w:rPr>
        <w:t>er des informations sur les réglemen</w:t>
      </w:r>
      <w:r>
        <w:rPr>
          <w:rFonts w:eastAsia="Yu Mincho"/>
          <w:bCs/>
          <w:snapToGrid w:val="0"/>
          <w:kern w:val="22"/>
          <w:szCs w:val="22"/>
          <w:lang w:val="fr-CA" w:eastAsia="ja-JP"/>
        </w:rPr>
        <w:t>tations nationales pertinentes concernant</w:t>
      </w:r>
      <w:r w:rsidRPr="003F2E8C">
        <w:rPr>
          <w:rFonts w:eastAsia="Yu Mincho"/>
          <w:bCs/>
          <w:snapToGrid w:val="0"/>
          <w:kern w:val="22"/>
          <w:szCs w:val="22"/>
          <w:lang w:val="fr-CA" w:eastAsia="ja-JP"/>
        </w:rPr>
        <w:t xml:space="preserve"> l'importation d'espèces exotiques envahissantes, de même que des listes et réglementations nationales concernant les espèces e</w:t>
      </w:r>
      <w:r>
        <w:rPr>
          <w:rFonts w:eastAsia="Yu Mincho"/>
          <w:bCs/>
          <w:snapToGrid w:val="0"/>
          <w:kern w:val="22"/>
          <w:szCs w:val="22"/>
          <w:lang w:val="fr-CA" w:eastAsia="ja-JP"/>
        </w:rPr>
        <w:t xml:space="preserve">xotiques envahissantes, par le biais du </w:t>
      </w:r>
      <w:r w:rsidRPr="003F2E8C">
        <w:rPr>
          <w:rFonts w:eastAsia="Yu Mincho"/>
          <w:bCs/>
          <w:snapToGrid w:val="0"/>
          <w:kern w:val="22"/>
          <w:szCs w:val="22"/>
          <w:lang w:val="fr-CA" w:eastAsia="ja-JP"/>
        </w:rPr>
        <w:t xml:space="preserve">Centre d'échange ou </w:t>
      </w:r>
      <w:r>
        <w:rPr>
          <w:rFonts w:eastAsia="Yu Mincho"/>
          <w:bCs/>
          <w:snapToGrid w:val="0"/>
          <w:kern w:val="22"/>
          <w:szCs w:val="22"/>
          <w:lang w:val="fr-CA" w:eastAsia="ja-JP"/>
        </w:rPr>
        <w:t>par d'autres moyens équivalents</w:t>
      </w:r>
      <w:r w:rsidRPr="003F2E8C">
        <w:rPr>
          <w:rFonts w:eastAsia="Yu Mincho"/>
          <w:iCs/>
          <w:snapToGrid w:val="0"/>
          <w:kern w:val="22"/>
          <w:szCs w:val="22"/>
          <w:lang w:val="fr-CA" w:eastAsia="ja-JP"/>
        </w:rPr>
        <w:t>;</w:t>
      </w:r>
    </w:p>
    <w:p w:rsidR="009F6935" w:rsidRPr="003F2E8C" w:rsidRDefault="009F6935" w:rsidP="009F6935">
      <w:pPr>
        <w:adjustRightInd w:val="0"/>
        <w:snapToGrid w:val="0"/>
        <w:spacing w:before="120" w:after="120"/>
        <w:ind w:left="720" w:firstLine="720"/>
        <w:rPr>
          <w:rFonts w:eastAsia="Yu Mincho"/>
          <w:i/>
          <w:snapToGrid w:val="0"/>
          <w:kern w:val="22"/>
          <w:szCs w:val="22"/>
          <w:lang w:val="fr-CA" w:eastAsia="ja-JP"/>
        </w:rPr>
      </w:pPr>
      <w:r w:rsidRPr="003F2E8C">
        <w:rPr>
          <w:rFonts w:eastAsia="Yu Mincho"/>
          <w:snapToGrid w:val="0"/>
          <w:kern w:val="22"/>
          <w:szCs w:val="22"/>
          <w:lang w:val="fr-CA" w:eastAsia="ja-JP"/>
        </w:rPr>
        <w:lastRenderedPageBreak/>
        <w:t>7.</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Encourage </w:t>
      </w:r>
      <w:r w:rsidRPr="003F2E8C">
        <w:rPr>
          <w:rFonts w:eastAsia="Yu Mincho"/>
          <w:snapToGrid w:val="0"/>
          <w:kern w:val="22"/>
          <w:szCs w:val="22"/>
          <w:lang w:val="fr-CA" w:eastAsia="ja-JP"/>
        </w:rPr>
        <w:t xml:space="preserve">les Parties, les autres gouvernements et les organisations compétentes à collaborer avec le secteur privé </w:t>
      </w:r>
      <w:r>
        <w:rPr>
          <w:rFonts w:eastAsia="Yu Mincho"/>
          <w:snapToGrid w:val="0"/>
          <w:kern w:val="22"/>
          <w:szCs w:val="22"/>
          <w:lang w:val="fr-CA" w:eastAsia="ja-JP"/>
        </w:rPr>
        <w:t>dans la lutte</w:t>
      </w:r>
      <w:r w:rsidRPr="003F2E8C">
        <w:rPr>
          <w:rFonts w:eastAsia="Yu Mincho"/>
          <w:snapToGrid w:val="0"/>
          <w:kern w:val="22"/>
          <w:szCs w:val="22"/>
          <w:lang w:val="fr-CA" w:eastAsia="ja-JP"/>
        </w:rPr>
        <w:t xml:space="preserve"> contre les espèces</w:t>
      </w:r>
      <w:r>
        <w:rPr>
          <w:rFonts w:eastAsia="Yu Mincho"/>
          <w:snapToGrid w:val="0"/>
          <w:kern w:val="22"/>
          <w:szCs w:val="22"/>
          <w:lang w:val="fr-CA" w:eastAsia="ja-JP"/>
        </w:rPr>
        <w:t xml:space="preserve"> exotiques envahissantes, et les invite à étudier de nouvelles possibilité</w:t>
      </w:r>
      <w:r w:rsidRPr="003F2E8C">
        <w:rPr>
          <w:rFonts w:eastAsia="Yu Mincho"/>
          <w:snapToGrid w:val="0"/>
          <w:kern w:val="22"/>
          <w:szCs w:val="22"/>
          <w:lang w:val="fr-CA" w:eastAsia="ja-JP"/>
        </w:rPr>
        <w:t>s de promouvoir des activités pour réaliser l’Objectif 9 d’Aichi</w:t>
      </w:r>
      <w:r>
        <w:rPr>
          <w:rFonts w:eastAsia="Yu Mincho"/>
          <w:snapToGrid w:val="0"/>
          <w:kern w:val="22"/>
          <w:szCs w:val="22"/>
          <w:lang w:val="fr-CA" w:eastAsia="ja-JP"/>
        </w:rPr>
        <w:t xml:space="preserve"> pour la biodiversité</w:t>
      </w:r>
      <w:r w:rsidRPr="003F2E8C">
        <w:rPr>
          <w:rFonts w:eastAsia="Yu Mincho"/>
          <w:snapToGrid w:val="0"/>
          <w:kern w:val="22"/>
          <w:szCs w:val="22"/>
          <w:lang w:val="fr-CA" w:eastAsia="ja-JP"/>
        </w:rPr>
        <w:t>;</w:t>
      </w:r>
    </w:p>
    <w:p w:rsidR="009F6935" w:rsidRDefault="009F6935" w:rsidP="009F6935">
      <w:pPr>
        <w:adjustRightInd w:val="0"/>
        <w:snapToGrid w:val="0"/>
        <w:spacing w:before="120" w:after="120"/>
        <w:ind w:left="720" w:firstLine="720"/>
        <w:rPr>
          <w:rFonts w:eastAsia="Yu Mincho"/>
          <w:snapToGrid w:val="0"/>
          <w:kern w:val="22"/>
          <w:szCs w:val="22"/>
          <w:lang w:val="fr-CA" w:eastAsia="ja-JP"/>
        </w:rPr>
      </w:pPr>
      <w:r w:rsidRPr="003F2E8C">
        <w:rPr>
          <w:rFonts w:eastAsia="Yu Mincho"/>
          <w:snapToGrid w:val="0"/>
          <w:kern w:val="22"/>
          <w:szCs w:val="22"/>
          <w:lang w:val="fr-CA" w:eastAsia="ja-JP"/>
        </w:rPr>
        <w:t>8.</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Encourage </w:t>
      </w:r>
      <w:r w:rsidRPr="003F2E8C">
        <w:rPr>
          <w:rFonts w:eastAsia="Yu Mincho"/>
          <w:snapToGrid w:val="0"/>
          <w:kern w:val="22"/>
          <w:szCs w:val="22"/>
          <w:lang w:val="fr-CA" w:eastAsia="ja-JP"/>
        </w:rPr>
        <w:t xml:space="preserve">les Parties, les autres gouvernements et les </w:t>
      </w:r>
      <w:r w:rsidRPr="003F2E8C">
        <w:rPr>
          <w:snapToGrid w:val="0"/>
          <w:kern w:val="22"/>
          <w:szCs w:val="22"/>
          <w:lang w:val="fr-CA" w:eastAsia="ja-JP"/>
        </w:rPr>
        <w:t>organisations</w:t>
      </w:r>
      <w:r w:rsidRPr="003F2E8C">
        <w:rPr>
          <w:rFonts w:eastAsia="Yu Mincho"/>
          <w:snapToGrid w:val="0"/>
          <w:kern w:val="22"/>
          <w:szCs w:val="22"/>
          <w:lang w:val="fr-CA" w:eastAsia="ja-JP"/>
        </w:rPr>
        <w:t xml:space="preserve"> d’experts compétentes à </w:t>
      </w:r>
      <w:r>
        <w:rPr>
          <w:rFonts w:eastAsia="Yu Mincho"/>
          <w:snapToGrid w:val="0"/>
          <w:kern w:val="22"/>
          <w:szCs w:val="22"/>
          <w:lang w:val="fr-CA" w:eastAsia="ja-JP"/>
        </w:rPr>
        <w:t>promouvoir</w:t>
      </w:r>
      <w:r w:rsidRPr="003F2E8C">
        <w:rPr>
          <w:rFonts w:eastAsia="Yu Mincho"/>
          <w:snapToGrid w:val="0"/>
          <w:kern w:val="22"/>
          <w:szCs w:val="22"/>
          <w:lang w:val="fr-CA" w:eastAsia="ja-JP"/>
        </w:rPr>
        <w:t xml:space="preserve"> la </w:t>
      </w:r>
      <w:r>
        <w:rPr>
          <w:rFonts w:eastAsia="Yu Mincho"/>
          <w:snapToGrid w:val="0"/>
          <w:kern w:val="22"/>
          <w:szCs w:val="22"/>
          <w:lang w:val="fr-CA" w:eastAsia="ja-JP"/>
        </w:rPr>
        <w:t>collecte</w:t>
      </w:r>
      <w:r w:rsidRPr="003F2E8C">
        <w:rPr>
          <w:rFonts w:eastAsia="Yu Mincho"/>
          <w:snapToGrid w:val="0"/>
          <w:kern w:val="22"/>
          <w:szCs w:val="22"/>
          <w:lang w:val="fr-CA" w:eastAsia="ja-JP"/>
        </w:rPr>
        <w:t xml:space="preserve"> de données destinées</w:t>
      </w:r>
      <w:r>
        <w:rPr>
          <w:rFonts w:eastAsia="Yu Mincho"/>
          <w:snapToGrid w:val="0"/>
          <w:kern w:val="22"/>
          <w:szCs w:val="22"/>
          <w:lang w:val="fr-CA" w:eastAsia="ja-JP"/>
        </w:rPr>
        <w:t>,</w:t>
      </w:r>
      <w:r w:rsidRPr="003F2E8C">
        <w:rPr>
          <w:rFonts w:eastAsia="Yu Mincho"/>
          <w:snapToGrid w:val="0"/>
          <w:kern w:val="22"/>
          <w:szCs w:val="22"/>
          <w:lang w:val="fr-CA" w:eastAsia="ja-JP"/>
        </w:rPr>
        <w:t xml:space="preserve"> par exemple</w:t>
      </w:r>
      <w:r>
        <w:rPr>
          <w:rFonts w:eastAsia="Yu Mincho"/>
          <w:snapToGrid w:val="0"/>
          <w:kern w:val="22"/>
          <w:szCs w:val="22"/>
          <w:lang w:val="fr-CA" w:eastAsia="ja-JP"/>
        </w:rPr>
        <w:t>,</w:t>
      </w:r>
      <w:r w:rsidRPr="003F2E8C">
        <w:rPr>
          <w:rFonts w:eastAsia="Yu Mincho"/>
          <w:snapToGrid w:val="0"/>
          <w:kern w:val="22"/>
          <w:szCs w:val="22"/>
          <w:lang w:val="fr-CA" w:eastAsia="ja-JP"/>
        </w:rPr>
        <w:t xml:space="preserve"> au Registre mondial des espèces introduites et envahissantes </w:t>
      </w:r>
      <w:r>
        <w:rPr>
          <w:rFonts w:eastAsia="Yu Mincho"/>
          <w:snapToGrid w:val="0"/>
          <w:kern w:val="22"/>
          <w:szCs w:val="22"/>
          <w:lang w:val="fr-CA" w:eastAsia="ja-JP"/>
        </w:rPr>
        <w:t>établi</w:t>
      </w:r>
      <w:r w:rsidRPr="003F2E8C">
        <w:rPr>
          <w:rFonts w:eastAsia="Yu Mincho"/>
          <w:snapToGrid w:val="0"/>
          <w:kern w:val="22"/>
          <w:szCs w:val="22"/>
          <w:lang w:val="fr-CA" w:eastAsia="ja-JP"/>
        </w:rPr>
        <w:t xml:space="preserve"> par le Partenariat mondial d’information sur les espèces exotiques envahissantes</w:t>
      </w:r>
      <w:r>
        <w:rPr>
          <w:rFonts w:eastAsia="Yu Mincho"/>
          <w:snapToGrid w:val="0"/>
          <w:kern w:val="22"/>
          <w:szCs w:val="22"/>
          <w:lang w:val="fr-CA" w:eastAsia="ja-JP"/>
        </w:rPr>
        <w:t>,</w:t>
      </w:r>
      <w:r w:rsidRPr="003F2E8C">
        <w:rPr>
          <w:rFonts w:eastAsia="Yu Mincho"/>
          <w:snapToGrid w:val="0"/>
          <w:kern w:val="22"/>
          <w:szCs w:val="22"/>
          <w:lang w:val="fr-CA" w:eastAsia="ja-JP"/>
        </w:rPr>
        <w:t xml:space="preserve"> et à soutenir</w:t>
      </w:r>
      <w:r>
        <w:rPr>
          <w:rFonts w:eastAsia="Yu Mincho"/>
          <w:snapToGrid w:val="0"/>
          <w:kern w:val="22"/>
          <w:szCs w:val="22"/>
          <w:lang w:val="fr-CA" w:eastAsia="ja-JP"/>
        </w:rPr>
        <w:t xml:space="preserve"> l’élaboration </w:t>
      </w:r>
      <w:r w:rsidRPr="003F2E8C">
        <w:rPr>
          <w:rFonts w:eastAsia="Yu Mincho"/>
          <w:snapToGrid w:val="0"/>
          <w:kern w:val="22"/>
          <w:szCs w:val="22"/>
          <w:lang w:val="fr-CA" w:eastAsia="ja-JP"/>
        </w:rPr>
        <w:t>de la Classification de l’impact sur l’envir</w:t>
      </w:r>
      <w:r>
        <w:rPr>
          <w:rFonts w:eastAsia="Yu Mincho"/>
          <w:snapToGrid w:val="0"/>
          <w:kern w:val="22"/>
          <w:szCs w:val="22"/>
          <w:lang w:val="fr-CA" w:eastAsia="ja-JP"/>
        </w:rPr>
        <w:t>onnement des taxons exotiques par</w:t>
      </w:r>
      <w:r w:rsidRPr="003F2E8C">
        <w:rPr>
          <w:rFonts w:eastAsia="Yu Mincho"/>
          <w:snapToGrid w:val="0"/>
          <w:kern w:val="22"/>
          <w:szCs w:val="22"/>
          <w:lang w:val="fr-CA" w:eastAsia="ja-JP"/>
        </w:rPr>
        <w:t xml:space="preserve"> l’Union internationale pour la conservation de la nature; </w:t>
      </w:r>
    </w:p>
    <w:p w:rsidR="009F6935" w:rsidRPr="00AF4B51" w:rsidRDefault="009F6935" w:rsidP="009F6935">
      <w:pPr>
        <w:adjustRightInd w:val="0"/>
        <w:snapToGrid w:val="0"/>
        <w:spacing w:before="120" w:after="120"/>
        <w:ind w:left="720" w:firstLine="720"/>
        <w:rPr>
          <w:rFonts w:eastAsia="Yu Mincho"/>
          <w:snapToGrid w:val="0"/>
          <w:kern w:val="22"/>
          <w:szCs w:val="22"/>
          <w:lang w:val="fr-CA" w:eastAsia="ja-JP"/>
        </w:rPr>
      </w:pPr>
      <w:r>
        <w:rPr>
          <w:rFonts w:eastAsia="Yu Mincho"/>
          <w:snapToGrid w:val="0"/>
          <w:kern w:val="22"/>
          <w:szCs w:val="22"/>
          <w:lang w:val="fr-CA" w:eastAsia="ja-JP"/>
        </w:rPr>
        <w:t>9</w:t>
      </w:r>
      <w:r w:rsidRPr="00AF4B51">
        <w:rPr>
          <w:rFonts w:eastAsia="Yu Mincho"/>
          <w:snapToGrid w:val="0"/>
          <w:kern w:val="22"/>
          <w:szCs w:val="22"/>
          <w:lang w:val="fr-CA" w:eastAsia="ja-JP"/>
        </w:rPr>
        <w:t xml:space="preserve">. </w:t>
      </w:r>
      <w:r>
        <w:rPr>
          <w:rFonts w:eastAsia="Yu Mincho"/>
          <w:snapToGrid w:val="0"/>
          <w:kern w:val="22"/>
          <w:szCs w:val="22"/>
          <w:lang w:val="fr-CA" w:eastAsia="ja-JP"/>
        </w:rPr>
        <w:t xml:space="preserve">     </w:t>
      </w:r>
      <w:r w:rsidRPr="00AF4B51">
        <w:rPr>
          <w:rFonts w:eastAsia="Yu Mincho"/>
          <w:i/>
          <w:snapToGrid w:val="0"/>
          <w:kern w:val="22"/>
          <w:szCs w:val="22"/>
          <w:lang w:val="fr-CA" w:eastAsia="ja-JP"/>
        </w:rPr>
        <w:t>Prie</w:t>
      </w:r>
      <w:r w:rsidRPr="00AF4B51">
        <w:rPr>
          <w:rFonts w:eastAsia="Yu Mincho"/>
          <w:snapToGrid w:val="0"/>
          <w:kern w:val="22"/>
          <w:szCs w:val="22"/>
          <w:lang w:val="fr-CA" w:eastAsia="ja-JP"/>
        </w:rPr>
        <w:t xml:space="preserve"> instamment les Parties et les autres gouvernements de collaborer avec les autorités douanières et celles chargées des contrôles aux frontières, des mesures sanitaires et phytosanitaires</w:t>
      </w:r>
      <w:r>
        <w:rPr>
          <w:rFonts w:eastAsia="Yu Mincho"/>
          <w:snapToGrid w:val="0"/>
          <w:kern w:val="22"/>
          <w:szCs w:val="22"/>
          <w:lang w:val="fr-CA" w:eastAsia="ja-JP"/>
        </w:rPr>
        <w:t>,</w:t>
      </w:r>
      <w:r w:rsidRPr="00AF4B51">
        <w:rPr>
          <w:rFonts w:eastAsia="Yu Mincho"/>
          <w:snapToGrid w:val="0"/>
          <w:kern w:val="22"/>
          <w:szCs w:val="22"/>
          <w:lang w:val="fr-CA" w:eastAsia="ja-JP"/>
        </w:rPr>
        <w:t xml:space="preserve"> ainsi que d'autres organismes concernés aux niveaux national et régional, en vue de prévenir</w:t>
      </w:r>
      <w:r>
        <w:rPr>
          <w:rFonts w:eastAsia="Yu Mincho"/>
          <w:snapToGrid w:val="0"/>
          <w:kern w:val="22"/>
          <w:szCs w:val="22"/>
          <w:lang w:val="fr-CA" w:eastAsia="ja-JP"/>
        </w:rPr>
        <w:t xml:space="preserve"> les introductions non intentionnelles</w:t>
      </w:r>
      <w:r w:rsidRPr="00AF4B51">
        <w:rPr>
          <w:rFonts w:eastAsia="Yu Mincho"/>
          <w:snapToGrid w:val="0"/>
          <w:kern w:val="22"/>
          <w:szCs w:val="22"/>
          <w:lang w:val="fr-CA" w:eastAsia="ja-JP"/>
        </w:rPr>
        <w:t xml:space="preserve"> d'espèces exotiques envahissantes associées au commerce d'</w:t>
      </w:r>
      <w:r>
        <w:rPr>
          <w:rFonts w:eastAsia="Yu Mincho"/>
          <w:snapToGrid w:val="0"/>
          <w:kern w:val="22"/>
          <w:szCs w:val="22"/>
          <w:lang w:val="fr-CA" w:eastAsia="ja-JP"/>
        </w:rPr>
        <w:t>organismes vivants;</w:t>
      </w:r>
    </w:p>
    <w:p w:rsidR="009F6935" w:rsidRPr="003F2E8C" w:rsidRDefault="009F6935" w:rsidP="009F6935">
      <w:pPr>
        <w:adjustRightInd w:val="0"/>
        <w:snapToGrid w:val="0"/>
        <w:spacing w:before="120" w:after="120"/>
        <w:ind w:left="720" w:firstLine="720"/>
        <w:rPr>
          <w:rFonts w:eastAsia="Yu Mincho"/>
          <w:i/>
          <w:spacing w:val="-1"/>
          <w:kern w:val="22"/>
          <w:szCs w:val="22"/>
          <w:lang w:val="fr-CA" w:eastAsia="ja-JP"/>
        </w:rPr>
      </w:pPr>
      <w:r>
        <w:rPr>
          <w:rFonts w:eastAsia="Yu Mincho"/>
          <w:spacing w:val="-1"/>
          <w:kern w:val="22"/>
          <w:szCs w:val="22"/>
          <w:lang w:val="fr-CA" w:eastAsia="ja-JP"/>
        </w:rPr>
        <w:t>10</w:t>
      </w:r>
      <w:r w:rsidRPr="003F2E8C">
        <w:rPr>
          <w:rFonts w:eastAsia="Yu Mincho"/>
          <w:spacing w:val="-1"/>
          <w:kern w:val="22"/>
          <w:szCs w:val="22"/>
          <w:lang w:val="fr-CA" w:eastAsia="ja-JP"/>
        </w:rPr>
        <w:t>.</w:t>
      </w:r>
      <w:r w:rsidRPr="003F2E8C">
        <w:rPr>
          <w:rFonts w:eastAsia="Yu Mincho"/>
          <w:spacing w:val="-1"/>
          <w:kern w:val="22"/>
          <w:szCs w:val="22"/>
          <w:lang w:val="fr-CA" w:eastAsia="ja-JP"/>
        </w:rPr>
        <w:tab/>
      </w:r>
      <w:r w:rsidRPr="003F2E8C">
        <w:rPr>
          <w:rFonts w:eastAsia="Yu Mincho"/>
          <w:i/>
          <w:spacing w:val="-1"/>
          <w:kern w:val="22"/>
          <w:szCs w:val="22"/>
          <w:lang w:val="fr-CA" w:eastAsia="ja-JP"/>
        </w:rPr>
        <w:t xml:space="preserve">Reconnaît </w:t>
      </w:r>
      <w:r>
        <w:rPr>
          <w:rFonts w:eastAsia="Yu Mincho"/>
          <w:spacing w:val="-1"/>
          <w:kern w:val="22"/>
          <w:szCs w:val="22"/>
          <w:lang w:val="fr-CA" w:eastAsia="ja-JP"/>
        </w:rPr>
        <w:t>que d’autres travaux sur</w:t>
      </w:r>
      <w:r w:rsidRPr="003F2E8C">
        <w:rPr>
          <w:rFonts w:eastAsia="Yu Mincho"/>
          <w:spacing w:val="-1"/>
          <w:kern w:val="22"/>
          <w:szCs w:val="22"/>
          <w:lang w:val="fr-CA" w:eastAsia="ja-JP"/>
        </w:rPr>
        <w:t xml:space="preserve"> les impacts des espèces exotiques envahissantes sur les valeurs sociales, économiques et culturelles des peuples autochtones </w:t>
      </w:r>
      <w:r>
        <w:rPr>
          <w:rFonts w:eastAsia="Yu Mincho"/>
          <w:spacing w:val="-1"/>
          <w:kern w:val="22"/>
          <w:szCs w:val="22"/>
          <w:lang w:val="fr-CA" w:eastAsia="ja-JP"/>
        </w:rPr>
        <w:t>et des communautés locales doivent être menés impérativement, et que ces travaux devraient être entrepris</w:t>
      </w:r>
      <w:r w:rsidRPr="003F2E8C">
        <w:rPr>
          <w:rFonts w:eastAsia="Yu Mincho"/>
          <w:spacing w:val="-1"/>
          <w:kern w:val="22"/>
          <w:szCs w:val="22"/>
          <w:lang w:val="fr-CA" w:eastAsia="ja-JP"/>
        </w:rPr>
        <w:t xml:space="preserve"> en étroite collaboration avec les peuples autochtones et les communautés locales, et </w:t>
      </w:r>
      <w:r w:rsidRPr="003F2E8C">
        <w:rPr>
          <w:rFonts w:eastAsia="Yu Mincho"/>
          <w:i/>
          <w:spacing w:val="-1"/>
          <w:kern w:val="22"/>
          <w:szCs w:val="22"/>
          <w:lang w:val="fr-CA" w:eastAsia="ja-JP"/>
        </w:rPr>
        <w:t>encourage</w:t>
      </w:r>
      <w:r w:rsidRPr="003F2E8C">
        <w:rPr>
          <w:rFonts w:eastAsia="Yu Mincho"/>
          <w:spacing w:val="-1"/>
          <w:kern w:val="22"/>
          <w:szCs w:val="22"/>
          <w:lang w:val="fr-CA" w:eastAsia="ja-JP"/>
        </w:rPr>
        <w:t xml:space="preserve"> </w:t>
      </w:r>
      <w:r w:rsidRPr="00AF4B51">
        <w:rPr>
          <w:rFonts w:eastAsia="Yu Mincho"/>
          <w:spacing w:val="-1"/>
          <w:kern w:val="22"/>
          <w:szCs w:val="22"/>
          <w:lang w:val="fr-CA" w:eastAsia="ja-JP"/>
        </w:rPr>
        <w:t xml:space="preserve">la poursuite des travaux </w:t>
      </w:r>
      <w:r>
        <w:rPr>
          <w:rFonts w:eastAsia="Yu Mincho"/>
          <w:spacing w:val="-1"/>
          <w:kern w:val="22"/>
          <w:szCs w:val="22"/>
          <w:lang w:val="fr-CA" w:eastAsia="ja-JP"/>
        </w:rPr>
        <w:t>concernant la classification de l’impact</w:t>
      </w:r>
      <w:r w:rsidRPr="003F2E8C">
        <w:rPr>
          <w:rFonts w:eastAsia="Yu Mincho"/>
          <w:spacing w:val="-1"/>
          <w:kern w:val="22"/>
          <w:szCs w:val="22"/>
          <w:lang w:val="fr-CA" w:eastAsia="ja-JP"/>
        </w:rPr>
        <w:t xml:space="preserve"> des espèces exotiques envahissante</w:t>
      </w:r>
      <w:r>
        <w:rPr>
          <w:rFonts w:eastAsia="Yu Mincho"/>
          <w:spacing w:val="-1"/>
          <w:kern w:val="22"/>
          <w:szCs w:val="22"/>
          <w:lang w:val="fr-CA" w:eastAsia="ja-JP"/>
        </w:rPr>
        <w:t>s</w:t>
      </w:r>
      <w:r w:rsidRPr="003F2E8C">
        <w:rPr>
          <w:rFonts w:eastAsia="Yu Mincho"/>
          <w:spacing w:val="-1"/>
          <w:kern w:val="22"/>
          <w:szCs w:val="22"/>
          <w:lang w:val="fr-CA" w:eastAsia="ja-JP"/>
        </w:rPr>
        <w:t xml:space="preserve"> sur les valeurs social</w:t>
      </w:r>
      <w:r>
        <w:rPr>
          <w:rFonts w:eastAsia="Yu Mincho"/>
          <w:spacing w:val="-1"/>
          <w:kern w:val="22"/>
          <w:szCs w:val="22"/>
          <w:lang w:val="fr-CA" w:eastAsia="ja-JP"/>
        </w:rPr>
        <w:t>es économiques et culturelles par</w:t>
      </w:r>
      <w:r w:rsidRPr="003F2E8C">
        <w:rPr>
          <w:rFonts w:eastAsia="Yu Mincho"/>
          <w:spacing w:val="-1"/>
          <w:kern w:val="22"/>
          <w:szCs w:val="22"/>
          <w:lang w:val="fr-CA" w:eastAsia="ja-JP"/>
        </w:rPr>
        <w:t xml:space="preserve"> l’Union internationale pour la conservation de la nature;</w:t>
      </w:r>
    </w:p>
    <w:p w:rsidR="009F6935" w:rsidRPr="003F2E8C" w:rsidRDefault="009F6935" w:rsidP="009F6935">
      <w:pPr>
        <w:suppressLineNumbers/>
        <w:suppressAutoHyphens/>
        <w:kinsoku w:val="0"/>
        <w:overflowPunct w:val="0"/>
        <w:autoSpaceDE w:val="0"/>
        <w:autoSpaceDN w:val="0"/>
        <w:adjustRightInd w:val="0"/>
        <w:snapToGrid w:val="0"/>
        <w:spacing w:before="120" w:after="120"/>
        <w:ind w:left="720" w:firstLine="720"/>
        <w:rPr>
          <w:rFonts w:eastAsia="Yu Mincho"/>
          <w:snapToGrid w:val="0"/>
          <w:kern w:val="22"/>
          <w:szCs w:val="22"/>
          <w:lang w:val="fr-CA" w:eastAsia="ja-JP"/>
        </w:rPr>
      </w:pPr>
      <w:r>
        <w:rPr>
          <w:rFonts w:eastAsia="Yu Mincho"/>
          <w:snapToGrid w:val="0"/>
          <w:kern w:val="22"/>
          <w:szCs w:val="22"/>
          <w:lang w:val="fr-CA" w:eastAsia="ja-JP"/>
        </w:rPr>
        <w:t>11</w:t>
      </w:r>
      <w:r w:rsidRPr="003F2E8C">
        <w:rPr>
          <w:rFonts w:eastAsia="Yu Mincho"/>
          <w:snapToGrid w:val="0"/>
          <w:kern w:val="22"/>
          <w:szCs w:val="22"/>
          <w:lang w:val="fr-CA" w:eastAsia="ja-JP"/>
        </w:rPr>
        <w:t>.</w:t>
      </w:r>
      <w:r w:rsidRPr="003F2E8C">
        <w:rPr>
          <w:rFonts w:eastAsia="Yu Mincho"/>
          <w:snapToGrid w:val="0"/>
          <w:kern w:val="22"/>
          <w:szCs w:val="22"/>
          <w:lang w:val="fr-CA" w:eastAsia="ja-JP"/>
        </w:rPr>
        <w:tab/>
      </w:r>
      <w:r w:rsidRPr="003F2E8C">
        <w:rPr>
          <w:rFonts w:eastAsia="Yu Mincho"/>
          <w:i/>
          <w:snapToGrid w:val="0"/>
          <w:kern w:val="22"/>
          <w:szCs w:val="22"/>
          <w:lang w:val="fr-CA" w:eastAsia="ja-JP"/>
        </w:rPr>
        <w:t xml:space="preserve">Prie </w:t>
      </w:r>
      <w:r w:rsidRPr="003F2E8C">
        <w:rPr>
          <w:rFonts w:eastAsia="Yu Mincho"/>
          <w:snapToGrid w:val="0"/>
          <w:kern w:val="22"/>
          <w:szCs w:val="22"/>
          <w:lang w:val="fr-CA" w:eastAsia="ja-JP"/>
        </w:rPr>
        <w:t>la Secrétaire</w:t>
      </w:r>
      <w:r>
        <w:rPr>
          <w:rFonts w:eastAsia="Yu Mincho"/>
          <w:snapToGrid w:val="0"/>
          <w:kern w:val="22"/>
          <w:szCs w:val="22"/>
          <w:lang w:val="fr-CA" w:eastAsia="ja-JP"/>
        </w:rPr>
        <w:t xml:space="preserve"> exécutive, dans la limite</w:t>
      </w:r>
      <w:r w:rsidRPr="003F2E8C">
        <w:rPr>
          <w:rFonts w:eastAsia="Yu Mincho"/>
          <w:snapToGrid w:val="0"/>
          <w:kern w:val="22"/>
          <w:szCs w:val="22"/>
          <w:lang w:val="fr-CA" w:eastAsia="ja-JP"/>
        </w:rPr>
        <w:t xml:space="preserve"> des ressources</w:t>
      </w:r>
      <w:r>
        <w:rPr>
          <w:rFonts w:eastAsia="Yu Mincho"/>
          <w:snapToGrid w:val="0"/>
          <w:kern w:val="22"/>
          <w:szCs w:val="22"/>
          <w:lang w:val="fr-CA" w:eastAsia="ja-JP"/>
        </w:rPr>
        <w:t xml:space="preserve"> disponibles </w:t>
      </w:r>
      <w:r w:rsidRPr="003F2E8C">
        <w:rPr>
          <w:rFonts w:eastAsia="Yu Mincho"/>
          <w:snapToGrid w:val="0"/>
          <w:kern w:val="22"/>
          <w:szCs w:val="22"/>
          <w:lang w:val="fr-CA" w:eastAsia="ja-JP"/>
        </w:rPr>
        <w:t>:</w:t>
      </w:r>
    </w:p>
    <w:p w:rsidR="009F6935" w:rsidRPr="003F2E8C" w:rsidRDefault="009F6935" w:rsidP="009F6935">
      <w:pPr>
        <w:suppressLineNumbers/>
        <w:suppressAutoHyphens/>
        <w:kinsoku w:val="0"/>
        <w:overflowPunct w:val="0"/>
        <w:autoSpaceDE w:val="0"/>
        <w:autoSpaceDN w:val="0"/>
        <w:adjustRightInd w:val="0"/>
        <w:snapToGrid w:val="0"/>
        <w:spacing w:before="120" w:after="120"/>
        <w:ind w:left="720" w:firstLine="720"/>
        <w:rPr>
          <w:rFonts w:eastAsia="Batang"/>
          <w:iCs/>
          <w:snapToGrid w:val="0"/>
          <w:color w:val="000000"/>
          <w:kern w:val="22"/>
          <w:szCs w:val="22"/>
          <w:lang w:val="fr-CA" w:eastAsia="ja-JP" w:bidi="th-TH"/>
        </w:rPr>
      </w:pPr>
      <w:r w:rsidRPr="003F2E8C">
        <w:rPr>
          <w:rFonts w:eastAsia="Batang"/>
          <w:iCs/>
          <w:snapToGrid w:val="0"/>
          <w:color w:val="000000"/>
          <w:kern w:val="22"/>
          <w:szCs w:val="22"/>
          <w:lang w:val="fr-CA" w:eastAsia="ja-JP" w:bidi="th-TH"/>
        </w:rPr>
        <w:t>a)</w:t>
      </w:r>
      <w:r w:rsidRPr="003F2E8C">
        <w:rPr>
          <w:rFonts w:eastAsia="Batang"/>
          <w:iCs/>
          <w:snapToGrid w:val="0"/>
          <w:color w:val="000000"/>
          <w:kern w:val="22"/>
          <w:szCs w:val="22"/>
          <w:lang w:val="fr-CA" w:eastAsia="ja-JP" w:bidi="th-TH"/>
        </w:rPr>
        <w:tab/>
        <w:t>D</w:t>
      </w:r>
      <w:r>
        <w:rPr>
          <w:rFonts w:eastAsia="Yu Mincho"/>
          <w:bCs/>
          <w:snapToGrid w:val="0"/>
          <w:kern w:val="22"/>
          <w:szCs w:val="22"/>
          <w:lang w:val="fr-CA" w:eastAsia="ja-JP"/>
        </w:rPr>
        <w:t>'étudier avec le S</w:t>
      </w:r>
      <w:r w:rsidRPr="003F2E8C">
        <w:rPr>
          <w:rFonts w:eastAsia="Yu Mincho"/>
          <w:bCs/>
          <w:snapToGrid w:val="0"/>
          <w:kern w:val="22"/>
          <w:szCs w:val="22"/>
          <w:lang w:val="fr-CA" w:eastAsia="ja-JP"/>
        </w:rPr>
        <w:t xml:space="preserve">ecrétariat du Conseil économique et social des Nations Unies, l’Organisation mondiale des douanes et le Groupe de liaison interinstitutions sur les </w:t>
      </w:r>
      <w:r>
        <w:rPr>
          <w:rFonts w:eastAsia="Yu Mincho"/>
          <w:bCs/>
          <w:snapToGrid w:val="0"/>
          <w:kern w:val="22"/>
          <w:szCs w:val="22"/>
          <w:lang w:val="fr-CA" w:eastAsia="ja-JP"/>
        </w:rPr>
        <w:t>espèces exotiques envahissantes la possibilité d'élaborer,</w:t>
      </w:r>
      <w:r w:rsidRPr="003F2E8C">
        <w:rPr>
          <w:rFonts w:eastAsia="Yu Mincho"/>
          <w:bCs/>
          <w:snapToGrid w:val="0"/>
          <w:kern w:val="22"/>
          <w:szCs w:val="22"/>
          <w:lang w:val="fr-CA" w:eastAsia="ja-JP"/>
        </w:rPr>
        <w:t xml:space="preserve"> </w:t>
      </w:r>
      <w:r>
        <w:rPr>
          <w:rFonts w:eastAsia="Yu Mincho"/>
          <w:bCs/>
          <w:snapToGrid w:val="0"/>
          <w:kern w:val="22"/>
          <w:szCs w:val="22"/>
          <w:lang w:val="fr-CA" w:eastAsia="ja-JP"/>
        </w:rPr>
        <w:t>conformément</w:t>
      </w:r>
      <w:r w:rsidRPr="00AF4B51">
        <w:rPr>
          <w:rFonts w:eastAsia="Yu Mincho"/>
          <w:bCs/>
          <w:snapToGrid w:val="0"/>
          <w:kern w:val="22"/>
          <w:szCs w:val="22"/>
          <w:lang w:val="fr-CA" w:eastAsia="ja-JP"/>
        </w:rPr>
        <w:t xml:space="preserve"> et en harmonie avec les obligations internationales</w:t>
      </w:r>
      <w:r>
        <w:rPr>
          <w:rFonts w:eastAsia="Yu Mincho"/>
          <w:bCs/>
          <w:snapToGrid w:val="0"/>
          <w:kern w:val="22"/>
          <w:szCs w:val="22"/>
          <w:lang w:val="fr-CA" w:eastAsia="ja-JP"/>
        </w:rPr>
        <w:t xml:space="preserve"> en vigueur, </w:t>
      </w:r>
      <w:r w:rsidRPr="003F2E8C">
        <w:rPr>
          <w:rFonts w:eastAsia="Yu Mincho"/>
          <w:bCs/>
          <w:snapToGrid w:val="0"/>
          <w:kern w:val="22"/>
          <w:szCs w:val="22"/>
          <w:lang w:val="fr-CA" w:eastAsia="ja-JP"/>
        </w:rPr>
        <w:t>un système mondial harmonisé de classification et d'étiquetage</w:t>
      </w:r>
      <w:r>
        <w:rPr>
          <w:rFonts w:eastAsia="Yu Mincho"/>
          <w:bCs/>
          <w:snapToGrid w:val="0"/>
          <w:kern w:val="22"/>
          <w:szCs w:val="22"/>
          <w:lang w:val="fr-CA" w:eastAsia="ja-JP"/>
        </w:rPr>
        <w:t xml:space="preserve"> des</w:t>
      </w:r>
      <w:r w:rsidRPr="003F2E8C">
        <w:rPr>
          <w:rFonts w:eastAsia="Yu Mincho"/>
          <w:bCs/>
          <w:snapToGrid w:val="0"/>
          <w:kern w:val="22"/>
          <w:szCs w:val="22"/>
          <w:lang w:val="fr-CA" w:eastAsia="ja-JP"/>
        </w:rPr>
        <w:t xml:space="preserve"> </w:t>
      </w:r>
      <w:r>
        <w:rPr>
          <w:rFonts w:eastAsia="Yu Mincho"/>
          <w:bCs/>
          <w:snapToGrid w:val="0"/>
          <w:kern w:val="22"/>
          <w:szCs w:val="22"/>
          <w:lang w:val="fr-CA" w:eastAsia="ja-JP"/>
        </w:rPr>
        <w:t>chargements d’</w:t>
      </w:r>
      <w:r w:rsidRPr="003F2E8C">
        <w:rPr>
          <w:rFonts w:eastAsia="Yu Mincho"/>
          <w:bCs/>
          <w:snapToGrid w:val="0"/>
          <w:kern w:val="22"/>
          <w:szCs w:val="22"/>
          <w:lang w:val="fr-CA" w:eastAsia="ja-JP"/>
        </w:rPr>
        <w:t xml:space="preserve">organismes vivants </w:t>
      </w:r>
      <w:r>
        <w:rPr>
          <w:rFonts w:eastAsia="Yu Mincho"/>
          <w:bCs/>
          <w:snapToGrid w:val="0"/>
          <w:kern w:val="22"/>
          <w:szCs w:val="22"/>
          <w:lang w:val="fr-CA" w:eastAsia="ja-JP"/>
        </w:rPr>
        <w:t>qui présentent des</w:t>
      </w:r>
      <w:r w:rsidRPr="003F2E8C">
        <w:rPr>
          <w:rFonts w:eastAsia="Yu Mincho"/>
          <w:bCs/>
          <w:snapToGrid w:val="0"/>
          <w:kern w:val="22"/>
          <w:szCs w:val="22"/>
          <w:lang w:val="fr-CA" w:eastAsia="ja-JP"/>
        </w:rPr>
        <w:t xml:space="preserve"> risque</w:t>
      </w:r>
      <w:r>
        <w:rPr>
          <w:rFonts w:eastAsia="Yu Mincho"/>
          <w:bCs/>
          <w:snapToGrid w:val="0"/>
          <w:kern w:val="22"/>
          <w:szCs w:val="22"/>
          <w:lang w:val="fr-CA" w:eastAsia="ja-JP"/>
        </w:rPr>
        <w:t>s</w:t>
      </w:r>
      <w:r w:rsidRPr="003F2E8C">
        <w:rPr>
          <w:rFonts w:eastAsia="Yu Mincho"/>
          <w:bCs/>
          <w:snapToGrid w:val="0"/>
          <w:kern w:val="22"/>
          <w:szCs w:val="22"/>
          <w:lang w:val="fr-CA" w:eastAsia="ja-JP"/>
        </w:rPr>
        <w:t xml:space="preserve"> </w:t>
      </w:r>
      <w:r>
        <w:rPr>
          <w:rFonts w:eastAsia="Yu Mincho"/>
          <w:bCs/>
          <w:snapToGrid w:val="0"/>
          <w:kern w:val="22"/>
          <w:szCs w:val="22"/>
          <w:lang w:val="fr-CA" w:eastAsia="ja-JP"/>
        </w:rPr>
        <w:t>pour la diversité biologique associés</w:t>
      </w:r>
      <w:r w:rsidRPr="003F2E8C">
        <w:rPr>
          <w:rFonts w:eastAsia="Yu Mincho"/>
          <w:bCs/>
          <w:snapToGrid w:val="0"/>
          <w:kern w:val="22"/>
          <w:szCs w:val="22"/>
          <w:lang w:val="fr-CA" w:eastAsia="ja-JP"/>
        </w:rPr>
        <w:t xml:space="preserve"> </w:t>
      </w:r>
      <w:r>
        <w:rPr>
          <w:rFonts w:eastAsia="Yu Mincho"/>
          <w:bCs/>
          <w:snapToGrid w:val="0"/>
          <w:kern w:val="22"/>
          <w:szCs w:val="22"/>
          <w:lang w:val="fr-CA" w:eastAsia="ja-JP"/>
        </w:rPr>
        <w:t>à l’introduction d’</w:t>
      </w:r>
      <w:r w:rsidRPr="003F2E8C">
        <w:rPr>
          <w:rFonts w:eastAsia="Yu Mincho"/>
          <w:bCs/>
          <w:snapToGrid w:val="0"/>
          <w:kern w:val="22"/>
          <w:szCs w:val="22"/>
          <w:lang w:val="fr-CA" w:eastAsia="ja-JP"/>
        </w:rPr>
        <w:t>espèces exotiques envahissantes, en complément des normes internationales existant</w:t>
      </w:r>
      <w:r>
        <w:rPr>
          <w:rFonts w:eastAsia="Yu Mincho"/>
          <w:bCs/>
          <w:snapToGrid w:val="0"/>
          <w:kern w:val="22"/>
          <w:szCs w:val="22"/>
          <w:lang w:val="fr-CA" w:eastAsia="ja-JP"/>
        </w:rPr>
        <w:t>es, et de faire rapport sur les progrès accomplis</w:t>
      </w:r>
      <w:r w:rsidRPr="003F2E8C">
        <w:rPr>
          <w:rFonts w:eastAsia="Yu Mincho"/>
          <w:bCs/>
          <w:snapToGrid w:val="0"/>
          <w:kern w:val="22"/>
          <w:szCs w:val="22"/>
          <w:lang w:val="fr-CA" w:eastAsia="ja-JP"/>
        </w:rPr>
        <w:t xml:space="preserve"> à l'Organe subsidiaire chargé de fournir des avis scientifiques, techniques et technologique</w:t>
      </w:r>
      <w:r>
        <w:rPr>
          <w:rFonts w:eastAsia="Yu Mincho"/>
          <w:bCs/>
          <w:snapToGrid w:val="0"/>
          <w:kern w:val="22"/>
          <w:szCs w:val="22"/>
          <w:lang w:val="fr-CA" w:eastAsia="ja-JP"/>
        </w:rPr>
        <w:t>s à une réunion qui se tiendra</w:t>
      </w:r>
      <w:r w:rsidRPr="003F2E8C">
        <w:rPr>
          <w:rFonts w:eastAsia="Yu Mincho"/>
          <w:bCs/>
          <w:snapToGrid w:val="0"/>
          <w:kern w:val="22"/>
          <w:szCs w:val="22"/>
          <w:lang w:val="fr-CA" w:eastAsia="ja-JP"/>
        </w:rPr>
        <w:t xml:space="preserve"> avant la quinzième </w:t>
      </w:r>
      <w:r>
        <w:rPr>
          <w:rFonts w:eastAsia="Yu Mincho"/>
          <w:bCs/>
          <w:snapToGrid w:val="0"/>
          <w:kern w:val="22"/>
          <w:szCs w:val="22"/>
          <w:lang w:val="fr-CA" w:eastAsia="ja-JP"/>
        </w:rPr>
        <w:t>réunion</w:t>
      </w:r>
      <w:r w:rsidRPr="003F2E8C">
        <w:rPr>
          <w:rFonts w:eastAsia="Yu Mincho"/>
          <w:bCs/>
          <w:snapToGrid w:val="0"/>
          <w:kern w:val="22"/>
          <w:szCs w:val="22"/>
          <w:lang w:val="fr-CA" w:eastAsia="ja-JP"/>
        </w:rPr>
        <w:t xml:space="preserve"> de la Conférence des Parties</w:t>
      </w:r>
      <w:r w:rsidRPr="003F2E8C">
        <w:rPr>
          <w:rFonts w:eastAsia="Batang"/>
          <w:iCs/>
          <w:snapToGrid w:val="0"/>
          <w:color w:val="000000"/>
          <w:kern w:val="22"/>
          <w:szCs w:val="22"/>
          <w:lang w:val="fr-CA" w:eastAsia="ja-JP" w:bidi="th-TH"/>
        </w:rPr>
        <w:t>;</w:t>
      </w:r>
    </w:p>
    <w:p w:rsidR="009F6935" w:rsidRDefault="009F6935" w:rsidP="009F6935">
      <w:pPr>
        <w:suppressLineNumbers/>
        <w:suppressAutoHyphens/>
        <w:kinsoku w:val="0"/>
        <w:overflowPunct w:val="0"/>
        <w:autoSpaceDE w:val="0"/>
        <w:autoSpaceDN w:val="0"/>
        <w:adjustRightInd w:val="0"/>
        <w:snapToGrid w:val="0"/>
        <w:spacing w:before="120" w:after="120"/>
        <w:ind w:left="720" w:firstLine="720"/>
        <w:rPr>
          <w:rFonts w:eastAsia="Yu Mincho"/>
          <w:snapToGrid w:val="0"/>
          <w:kern w:val="22"/>
          <w:szCs w:val="22"/>
          <w:lang w:val="fr-CA" w:eastAsia="ja-JP"/>
        </w:rPr>
      </w:pPr>
      <w:r w:rsidRPr="003F2E8C">
        <w:rPr>
          <w:rFonts w:eastAsia="Batang"/>
          <w:iCs/>
          <w:snapToGrid w:val="0"/>
          <w:color w:val="000000"/>
          <w:kern w:val="22"/>
          <w:szCs w:val="22"/>
          <w:lang w:val="fr-CA" w:eastAsia="ja-JP" w:bidi="th-TH"/>
        </w:rPr>
        <w:t>b)</w:t>
      </w:r>
      <w:r w:rsidRPr="003F2E8C">
        <w:rPr>
          <w:rFonts w:eastAsia="Batang"/>
          <w:iCs/>
          <w:snapToGrid w:val="0"/>
          <w:color w:val="000000"/>
          <w:kern w:val="22"/>
          <w:szCs w:val="22"/>
          <w:lang w:val="fr-CA" w:eastAsia="ja-JP" w:bidi="th-TH"/>
        </w:rPr>
        <w:tab/>
      </w:r>
      <w:r w:rsidRPr="003F2E8C">
        <w:rPr>
          <w:rFonts w:eastAsia="Yu Mincho"/>
          <w:snapToGrid w:val="0"/>
          <w:kern w:val="22"/>
          <w:szCs w:val="22"/>
          <w:lang w:val="fr-CA" w:eastAsia="ja-JP"/>
        </w:rPr>
        <w:t xml:space="preserve">De faciliter les travaux du forum en ligne et du Groupe spécial d’experts </w:t>
      </w:r>
      <w:r>
        <w:rPr>
          <w:rFonts w:eastAsia="Yu Mincho"/>
          <w:snapToGrid w:val="0"/>
          <w:kern w:val="22"/>
          <w:szCs w:val="22"/>
          <w:lang w:val="fr-CA" w:eastAsia="ja-JP"/>
        </w:rPr>
        <w:t>techniques dont il est question</w:t>
      </w:r>
      <w:r w:rsidRPr="003F2E8C">
        <w:rPr>
          <w:rFonts w:eastAsia="Yu Mincho"/>
          <w:snapToGrid w:val="0"/>
          <w:kern w:val="22"/>
          <w:szCs w:val="22"/>
          <w:lang w:val="fr-CA" w:eastAsia="ja-JP"/>
        </w:rPr>
        <w:t xml:space="preserve"> au pa</w:t>
      </w:r>
      <w:r>
        <w:rPr>
          <w:rFonts w:eastAsia="Yu Mincho"/>
          <w:snapToGrid w:val="0"/>
          <w:kern w:val="22"/>
          <w:szCs w:val="22"/>
          <w:lang w:val="fr-CA" w:eastAsia="ja-JP"/>
        </w:rPr>
        <w:t>ragraphe 4 ci-dessus, en prépara</w:t>
      </w:r>
      <w:r w:rsidRPr="003F2E8C">
        <w:rPr>
          <w:rFonts w:eastAsia="Yu Mincho"/>
          <w:snapToGrid w:val="0"/>
          <w:kern w:val="22"/>
          <w:szCs w:val="22"/>
          <w:lang w:val="fr-CA" w:eastAsia="ja-JP"/>
        </w:rPr>
        <w:t>nt une compilation</w:t>
      </w:r>
      <w:r>
        <w:rPr>
          <w:rFonts w:eastAsia="Yu Mincho"/>
          <w:snapToGrid w:val="0"/>
          <w:kern w:val="22"/>
          <w:szCs w:val="22"/>
          <w:lang w:val="fr-CA" w:eastAsia="ja-JP"/>
        </w:rPr>
        <w:t xml:space="preserve"> et une synthèse des communications et des discussion</w:t>
      </w:r>
      <w:r w:rsidRPr="003F2E8C">
        <w:rPr>
          <w:rFonts w:eastAsia="Yu Mincho"/>
          <w:snapToGrid w:val="0"/>
          <w:kern w:val="22"/>
          <w:szCs w:val="22"/>
          <w:lang w:val="fr-CA" w:eastAsia="ja-JP"/>
        </w:rPr>
        <w:t>s.</w:t>
      </w:r>
    </w:p>
    <w:p w:rsidR="009F6935" w:rsidRPr="003F2E8C" w:rsidRDefault="009F6935" w:rsidP="009F6935">
      <w:pPr>
        <w:suppressLineNumbers/>
        <w:suppressAutoHyphens/>
        <w:kinsoku w:val="0"/>
        <w:overflowPunct w:val="0"/>
        <w:autoSpaceDE w:val="0"/>
        <w:autoSpaceDN w:val="0"/>
        <w:adjustRightInd w:val="0"/>
        <w:snapToGrid w:val="0"/>
        <w:spacing w:before="120" w:after="120"/>
        <w:ind w:left="720" w:firstLine="720"/>
        <w:rPr>
          <w:rFonts w:eastAsia="Batang"/>
          <w:iCs/>
          <w:snapToGrid w:val="0"/>
          <w:color w:val="000000"/>
          <w:kern w:val="22"/>
          <w:szCs w:val="22"/>
          <w:lang w:val="fr-CA" w:eastAsia="ja-JP" w:bidi="th-TH"/>
        </w:rPr>
      </w:pPr>
    </w:p>
    <w:p w:rsidR="009F6935" w:rsidRPr="003F2E8C" w:rsidRDefault="009F6935" w:rsidP="009F6935">
      <w:pPr>
        <w:suppressLineNumbers/>
        <w:suppressAutoHyphens/>
        <w:kinsoku w:val="0"/>
        <w:overflowPunct w:val="0"/>
        <w:autoSpaceDE w:val="0"/>
        <w:autoSpaceDN w:val="0"/>
        <w:adjustRightInd w:val="0"/>
        <w:snapToGrid w:val="0"/>
        <w:spacing w:after="120"/>
        <w:jc w:val="center"/>
        <w:rPr>
          <w:rFonts w:eastAsia="MS Mincho"/>
          <w:snapToGrid w:val="0"/>
          <w:kern w:val="22"/>
          <w:szCs w:val="22"/>
          <w:lang w:val="fr-CA" w:eastAsia="ja-JP"/>
        </w:rPr>
      </w:pPr>
      <w:r w:rsidRPr="003F2E8C">
        <w:rPr>
          <w:rFonts w:eastAsia="MS Mincho"/>
          <w:i/>
          <w:snapToGrid w:val="0"/>
          <w:kern w:val="22"/>
          <w:szCs w:val="22"/>
          <w:lang w:val="fr-CA" w:eastAsia="ja-JP"/>
        </w:rPr>
        <w:t>Annexe I</w:t>
      </w:r>
    </w:p>
    <w:p w:rsidR="009F6935" w:rsidRPr="003F2E8C" w:rsidRDefault="009F6935" w:rsidP="009F6935">
      <w:pPr>
        <w:pStyle w:val="HEADING"/>
        <w:suppressLineNumbers/>
        <w:suppressAutoHyphens/>
        <w:kinsoku w:val="0"/>
        <w:overflowPunct w:val="0"/>
        <w:autoSpaceDE w:val="0"/>
        <w:autoSpaceDN w:val="0"/>
        <w:adjustRightInd w:val="0"/>
        <w:snapToGrid w:val="0"/>
        <w:spacing w:before="120" w:after="240"/>
        <w:rPr>
          <w:rFonts w:eastAsia="MS Mincho"/>
          <w:caps w:val="0"/>
          <w:snapToGrid w:val="0"/>
          <w:kern w:val="22"/>
          <w:szCs w:val="22"/>
          <w:lang w:val="fr-CA" w:eastAsia="ja-JP"/>
        </w:rPr>
      </w:pPr>
      <w:r>
        <w:rPr>
          <w:rFonts w:eastAsia="MS Mincho"/>
          <w:caps w:val="0"/>
          <w:snapToGrid w:val="0"/>
          <w:kern w:val="22"/>
          <w:szCs w:val="22"/>
          <w:lang w:val="fr-CA" w:eastAsia="ja-JP"/>
        </w:rPr>
        <w:t>ORIENTATIONS FACULTATIVES ADDITIONNELLES POUR</w:t>
      </w:r>
      <w:r w:rsidRPr="003F2E8C">
        <w:rPr>
          <w:rFonts w:eastAsia="MS Mincho"/>
          <w:caps w:val="0"/>
          <w:snapToGrid w:val="0"/>
          <w:kern w:val="22"/>
          <w:szCs w:val="22"/>
          <w:lang w:val="fr-CA" w:eastAsia="ja-JP"/>
        </w:rPr>
        <w:t xml:space="preserve"> PRÉVENIR LES INTRODUCTIONS NON INTENTIONNELLES D'ESPÈCES EXOTIQUES ENVAHISSANTES LIÉES AU COMMERCE D'</w:t>
      </w:r>
      <w:r>
        <w:rPr>
          <w:rFonts w:eastAsia="MS Mincho"/>
          <w:caps w:val="0"/>
          <w:snapToGrid w:val="0"/>
          <w:kern w:val="22"/>
          <w:szCs w:val="22"/>
          <w:lang w:val="fr-CA" w:eastAsia="ja-JP"/>
        </w:rPr>
        <w:t>ORGANISMES VIVANTS</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Les présentes orientations complètent les orientations pour la conception et l’application de mesures propres à gérer les risques associés à l’introduction d’espèces exotiques comme animaux de compagnie, espèces d’aquarium ou de terrarium, ou comme appâts ou aliments vivants</w:t>
      </w:r>
      <w:r>
        <w:rPr>
          <w:rFonts w:eastAsia="MS Mincho"/>
          <w:snapToGrid w:val="0"/>
          <w:kern w:val="22"/>
          <w:szCs w:val="22"/>
          <w:lang w:val="fr-CA" w:eastAsia="ja-JP"/>
        </w:rPr>
        <w:t>, figurant dans l’</w:t>
      </w:r>
      <w:r w:rsidRPr="003F2E8C">
        <w:rPr>
          <w:rFonts w:eastAsia="MS Mincho"/>
          <w:snapToGrid w:val="0"/>
          <w:kern w:val="22"/>
          <w:szCs w:val="22"/>
          <w:lang w:val="fr-CA" w:eastAsia="ja-JP"/>
        </w:rPr>
        <w:t xml:space="preserve">annexe à la décision </w:t>
      </w:r>
      <w:hyperlink r:id="rId46" w:history="1">
        <w:r w:rsidRPr="003F2E8C">
          <w:rPr>
            <w:rStyle w:val="Hyperlink"/>
            <w:rFonts w:eastAsia="MS Mincho"/>
            <w:snapToGrid w:val="0"/>
            <w:kern w:val="22"/>
            <w:szCs w:val="22"/>
            <w:lang w:val="fr-CA" w:eastAsia="ja-JP"/>
          </w:rPr>
          <w:t>XII/16</w:t>
        </w:r>
      </w:hyperlink>
      <w:r w:rsidRPr="003F2E8C">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 but de ces orientations est de </w:t>
      </w:r>
      <w:r>
        <w:rPr>
          <w:rFonts w:eastAsia="MS Mincho"/>
          <w:snapToGrid w:val="0"/>
          <w:kern w:val="22"/>
          <w:szCs w:val="22"/>
          <w:lang w:val="fr-CA" w:eastAsia="ja-JP"/>
        </w:rPr>
        <w:t>réduire à un minimum</w:t>
      </w:r>
      <w:r w:rsidRPr="003F2E8C">
        <w:rPr>
          <w:rFonts w:eastAsia="MS Mincho"/>
          <w:snapToGrid w:val="0"/>
          <w:kern w:val="22"/>
          <w:szCs w:val="22"/>
          <w:lang w:val="fr-CA" w:eastAsia="ja-JP"/>
        </w:rPr>
        <w:t xml:space="preserve"> le risque d'invasion biologique d'</w:t>
      </w:r>
      <w:r>
        <w:rPr>
          <w:rFonts w:eastAsia="MS Mincho"/>
          <w:snapToGrid w:val="0"/>
          <w:kern w:val="22"/>
          <w:szCs w:val="22"/>
          <w:lang w:val="fr-CA" w:eastAsia="ja-JP"/>
        </w:rPr>
        <w:t>espèces</w:t>
      </w:r>
      <w:r w:rsidRPr="003F2E8C">
        <w:rPr>
          <w:rFonts w:eastAsia="MS Mincho"/>
          <w:snapToGrid w:val="0"/>
          <w:kern w:val="22"/>
          <w:szCs w:val="22"/>
          <w:lang w:val="fr-CA" w:eastAsia="ja-JP"/>
        </w:rPr>
        <w:t xml:space="preserve"> exotiques traversant les frontières de juridictions nationales et de zones biogéographiques distinctes par </w:t>
      </w:r>
      <w:r w:rsidRPr="003F2E8C">
        <w:rPr>
          <w:rFonts w:eastAsia="MS Mincho"/>
          <w:snapToGrid w:val="0"/>
          <w:kern w:val="22"/>
          <w:szCs w:val="22"/>
          <w:lang w:val="fr-CA" w:eastAsia="ja-JP"/>
        </w:rPr>
        <w:lastRenderedPageBreak/>
        <w:t>les voies d'introduction non intentionnelles décrites d</w:t>
      </w:r>
      <w:r>
        <w:rPr>
          <w:rFonts w:eastAsia="MS Mincho"/>
          <w:snapToGrid w:val="0"/>
          <w:kern w:val="22"/>
          <w:szCs w:val="22"/>
          <w:lang w:val="fr-CA" w:eastAsia="ja-JP"/>
        </w:rPr>
        <w:t>ans la classification</w:t>
      </w:r>
      <w:r w:rsidRPr="003F2E8C">
        <w:rPr>
          <w:rFonts w:eastAsia="MS Mincho"/>
          <w:snapToGrid w:val="0"/>
          <w:kern w:val="22"/>
          <w:szCs w:val="22"/>
          <w:lang w:val="fr-CA" w:eastAsia="ja-JP"/>
        </w:rPr>
        <w:t xml:space="preserve"> des voies d'int</w:t>
      </w:r>
      <w:r>
        <w:rPr>
          <w:rFonts w:eastAsia="MS Mincho"/>
          <w:snapToGrid w:val="0"/>
          <w:kern w:val="22"/>
          <w:szCs w:val="22"/>
          <w:lang w:val="fr-CA" w:eastAsia="ja-JP"/>
        </w:rPr>
        <w:t>roduction liées au commerce d’organismes</w:t>
      </w:r>
      <w:r w:rsidRPr="003F2E8C">
        <w:rPr>
          <w:rFonts w:eastAsia="MS Mincho"/>
          <w:snapToGrid w:val="0"/>
          <w:kern w:val="22"/>
          <w:szCs w:val="22"/>
          <w:lang w:val="fr-CA" w:eastAsia="ja-JP"/>
        </w:rPr>
        <w:t xml:space="preserve"> </w:t>
      </w:r>
      <w:r>
        <w:rPr>
          <w:rFonts w:eastAsia="MS Mincho"/>
          <w:snapToGrid w:val="0"/>
          <w:kern w:val="22"/>
          <w:szCs w:val="22"/>
          <w:lang w:val="fr-CA" w:eastAsia="ja-JP"/>
        </w:rPr>
        <w:t>vivant</w:t>
      </w:r>
      <w:r w:rsidRPr="003F2E8C">
        <w:rPr>
          <w:rFonts w:eastAsia="MS Mincho"/>
          <w:snapToGrid w:val="0"/>
          <w:kern w:val="22"/>
          <w:szCs w:val="22"/>
          <w:lang w:val="fr-CA" w:eastAsia="ja-JP"/>
        </w:rPr>
        <w:t>s</w:t>
      </w:r>
      <w:r>
        <w:rPr>
          <w:rFonts w:eastAsia="MS Mincho"/>
          <w:snapToGrid w:val="0"/>
          <w:kern w:val="22"/>
          <w:szCs w:val="22"/>
          <w:lang w:val="fr-CA" w:eastAsia="ja-JP"/>
        </w:rPr>
        <w:t xml:space="preserve"> par la CBD</w:t>
      </w:r>
      <w:r w:rsidRPr="003F2E8C">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Ces orientations sont destinées aux gouvernements, ainsi qu'aux organisations, aux entreprises et aux personnes concernées, notamment tous les acteurs de l</w:t>
      </w:r>
      <w:r>
        <w:rPr>
          <w:rFonts w:eastAsia="MS Mincho"/>
          <w:snapToGrid w:val="0"/>
          <w:kern w:val="22"/>
          <w:szCs w:val="22"/>
          <w:lang w:val="fr-CA" w:eastAsia="ja-JP"/>
        </w:rPr>
        <w:t>'ensemble de la chaîne de valorisation</w:t>
      </w:r>
      <w:r w:rsidRPr="003F2E8C">
        <w:rPr>
          <w:rFonts w:eastAsia="MS Mincho"/>
          <w:snapToGrid w:val="0"/>
          <w:kern w:val="22"/>
          <w:szCs w:val="22"/>
          <w:lang w:val="fr-CA" w:eastAsia="ja-JP"/>
        </w:rPr>
        <w:t xml:space="preserve"> du commerce des </w:t>
      </w:r>
      <w:r>
        <w:rPr>
          <w:rFonts w:eastAsia="MS Mincho"/>
          <w:snapToGrid w:val="0"/>
          <w:kern w:val="22"/>
          <w:szCs w:val="22"/>
          <w:lang w:val="fr-CA" w:eastAsia="ja-JP"/>
        </w:rPr>
        <w:t>organismes vivants</w:t>
      </w:r>
      <w:r w:rsidRPr="003F2E8C">
        <w:rPr>
          <w:rFonts w:eastAsia="MS Mincho"/>
          <w:snapToGrid w:val="0"/>
          <w:kern w:val="22"/>
          <w:szCs w:val="22"/>
          <w:lang w:val="fr-CA" w:eastAsia="ja-JP"/>
        </w:rPr>
        <w:t xml:space="preserve"> (exportateurs, importateurs, sélectionneurs, y compris les collectionneurs amateurs, les participants à des expositions et les grossistes, les détaillants et les clients). Dans le cas du commerce d'aliments v</w:t>
      </w:r>
      <w:r>
        <w:rPr>
          <w:rFonts w:eastAsia="MS Mincho"/>
          <w:snapToGrid w:val="0"/>
          <w:kern w:val="22"/>
          <w:szCs w:val="22"/>
          <w:lang w:val="fr-CA" w:eastAsia="ja-JP"/>
        </w:rPr>
        <w:t>ivants, les personnes impliquées dans la chaîne de valorisation incluent aussi les individus qui travaille</w:t>
      </w:r>
      <w:r w:rsidRPr="003F2E8C">
        <w:rPr>
          <w:rFonts w:eastAsia="MS Mincho"/>
          <w:snapToGrid w:val="0"/>
          <w:kern w:val="22"/>
          <w:szCs w:val="22"/>
          <w:lang w:val="fr-CA" w:eastAsia="ja-JP"/>
        </w:rPr>
        <w:t xml:space="preserve">nt dans le secteur de la restauration et des marchés </w:t>
      </w:r>
      <w:r>
        <w:rPr>
          <w:rFonts w:eastAsia="MS Mincho"/>
          <w:snapToGrid w:val="0"/>
          <w:kern w:val="22"/>
          <w:szCs w:val="22"/>
          <w:lang w:val="fr-CA" w:eastAsia="ja-JP"/>
        </w:rPr>
        <w:t>d’alimentation</w:t>
      </w:r>
      <w:r w:rsidRPr="003F2E8C">
        <w:rPr>
          <w:rFonts w:eastAsia="MS Mincho"/>
          <w:snapToGrid w:val="0"/>
          <w:kern w:val="22"/>
          <w:szCs w:val="22"/>
          <w:lang w:val="fr-CA" w:eastAsia="ja-JP"/>
        </w:rPr>
        <w:t>.</w:t>
      </w:r>
    </w:p>
    <w:p w:rsidR="009F6935" w:rsidRPr="003F2E8C" w:rsidRDefault="009F6935" w:rsidP="00004EAF">
      <w:pPr>
        <w:pStyle w:val="Heading1"/>
        <w:numPr>
          <w:ilvl w:val="0"/>
          <w:numId w:val="78"/>
        </w:numPr>
        <w:suppressLineNumbers/>
        <w:tabs>
          <w:tab w:val="clear" w:pos="720"/>
          <w:tab w:val="left" w:pos="360"/>
        </w:tabs>
        <w:suppressAutoHyphens/>
        <w:kinsoku w:val="0"/>
        <w:overflowPunct w:val="0"/>
        <w:autoSpaceDE w:val="0"/>
        <w:autoSpaceDN w:val="0"/>
        <w:adjustRightInd w:val="0"/>
        <w:snapToGrid w:val="0"/>
        <w:spacing w:before="120"/>
        <w:ind w:left="0" w:firstLine="0"/>
        <w:rPr>
          <w:rFonts w:eastAsia="MS Mincho"/>
          <w:snapToGrid w:val="0"/>
          <w:kern w:val="22"/>
          <w:szCs w:val="22"/>
          <w:lang w:val="fr-CA" w:eastAsia="ja-JP"/>
        </w:rPr>
      </w:pPr>
      <w:bookmarkStart w:id="372" w:name="_Toc525904261"/>
      <w:bookmarkStart w:id="373" w:name="_Toc525904420"/>
      <w:bookmarkStart w:id="374" w:name="_Toc525904664"/>
      <w:r>
        <w:rPr>
          <w:rFonts w:eastAsia="MS Mincho"/>
          <w:snapToGrid w:val="0"/>
          <w:kern w:val="22"/>
          <w:szCs w:val="22"/>
          <w:lang w:val="fr-CA" w:eastAsia="ja-JP"/>
        </w:rPr>
        <w:t>champ d’application</w:t>
      </w:r>
      <w:bookmarkEnd w:id="372"/>
      <w:bookmarkEnd w:id="373"/>
      <w:bookmarkEnd w:id="374"/>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Ces orienta</w:t>
      </w:r>
      <w:r>
        <w:rPr>
          <w:rFonts w:eastAsia="MS Mincho"/>
          <w:snapToGrid w:val="0"/>
          <w:kern w:val="22"/>
          <w:szCs w:val="22"/>
          <w:lang w:val="fr-CA" w:eastAsia="ja-JP"/>
        </w:rPr>
        <w:t xml:space="preserve">tions sont facultatives et ont été </w:t>
      </w:r>
      <w:r w:rsidRPr="003F2E8C">
        <w:rPr>
          <w:rFonts w:eastAsia="MS Mincho"/>
          <w:snapToGrid w:val="0"/>
          <w:kern w:val="22"/>
          <w:szCs w:val="22"/>
          <w:lang w:val="fr-CA" w:eastAsia="ja-JP"/>
        </w:rPr>
        <w:t>conçues po</w:t>
      </w:r>
      <w:r>
        <w:rPr>
          <w:rFonts w:eastAsia="MS Mincho"/>
          <w:snapToGrid w:val="0"/>
          <w:kern w:val="22"/>
          <w:szCs w:val="22"/>
          <w:lang w:val="fr-CA" w:eastAsia="ja-JP"/>
        </w:rPr>
        <w:t>ur être utilisées conjointement et de façon complémentaire</w:t>
      </w:r>
      <w:r w:rsidRPr="003F2E8C">
        <w:rPr>
          <w:rFonts w:eastAsia="MS Mincho"/>
          <w:snapToGrid w:val="0"/>
          <w:kern w:val="22"/>
          <w:szCs w:val="22"/>
          <w:lang w:val="fr-CA" w:eastAsia="ja-JP"/>
        </w:rPr>
        <w:t xml:space="preserve"> avec d'autres orientations pertinentes, notamment : les Principes directeurs concernant la prévention, l'introduction et l'atténuation des impacts des espèces exotiques qui menacent des écosystèmes, des habitats ou des espèces (décision VI/23)</w:t>
      </w:r>
      <w:r w:rsidRPr="00564AC5">
        <w:rPr>
          <w:rStyle w:val="FootnoteReference"/>
          <w:rFonts w:eastAsia="MS Mincho"/>
          <w:snapToGrid w:val="0"/>
          <w:kern w:val="22"/>
          <w:sz w:val="20"/>
          <w:szCs w:val="20"/>
          <w:u w:val="none"/>
          <w:vertAlign w:val="superscript"/>
          <w:lang w:val="fr-CA" w:eastAsia="ja-JP"/>
        </w:rPr>
        <w:footnoteReference w:id="125"/>
      </w:r>
      <w:r w:rsidRPr="003F2E8C">
        <w:rPr>
          <w:rFonts w:eastAsia="MS Mincho"/>
          <w:snapToGrid w:val="0"/>
          <w:kern w:val="22"/>
          <w:szCs w:val="22"/>
          <w:lang w:val="fr-CA" w:eastAsia="ja-JP"/>
        </w:rPr>
        <w:t>; les Normes internationales pour les mesures phytosanitaires (N</w:t>
      </w:r>
      <w:r>
        <w:rPr>
          <w:rFonts w:eastAsia="MS Mincho"/>
          <w:snapToGrid w:val="0"/>
          <w:kern w:val="22"/>
          <w:szCs w:val="22"/>
          <w:lang w:val="fr-CA" w:eastAsia="ja-JP"/>
        </w:rPr>
        <w:t>IMP)</w:t>
      </w:r>
      <w:r w:rsidRPr="003F2E8C">
        <w:rPr>
          <w:rFonts w:eastAsia="MS Mincho"/>
          <w:snapToGrid w:val="0"/>
          <w:kern w:val="22"/>
          <w:szCs w:val="22"/>
          <w:lang w:val="fr-CA" w:eastAsia="ja-JP"/>
        </w:rPr>
        <w:t>; le Code sanitaire pour les animaux terrestres et le Manuel des tests de diagnostic et des vaccins pour les animaux terrestres de l'Organisation mon</w:t>
      </w:r>
      <w:r>
        <w:rPr>
          <w:rFonts w:eastAsia="MS Mincho"/>
          <w:snapToGrid w:val="0"/>
          <w:kern w:val="22"/>
          <w:szCs w:val="22"/>
          <w:lang w:val="fr-CA" w:eastAsia="ja-JP"/>
        </w:rPr>
        <w:t>diale de la santé animale (OIE)</w:t>
      </w:r>
      <w:r w:rsidRPr="003F2E8C">
        <w:rPr>
          <w:rFonts w:eastAsia="MS Mincho"/>
          <w:snapToGrid w:val="0"/>
          <w:kern w:val="22"/>
          <w:szCs w:val="22"/>
          <w:lang w:val="fr-CA" w:eastAsia="ja-JP"/>
        </w:rPr>
        <w:t>; le Code sanitaire pour les animaux aquatiques de l'OIE et le Manuel des tests de diagnostic pour les animaux aquatiques et d'autres normes et orientations élaborées par les organisations internationales compétentes.</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Les présentes orientations décrivent également les processus intégrés de sa mise en œuvre, en plus des orien</w:t>
      </w:r>
      <w:r>
        <w:rPr>
          <w:rFonts w:eastAsia="MS Mincho"/>
          <w:snapToGrid w:val="0"/>
          <w:kern w:val="22"/>
          <w:szCs w:val="22"/>
          <w:lang w:val="fr-CA" w:eastAsia="ja-JP"/>
        </w:rPr>
        <w:t>tations figurant dans l’annexe</w:t>
      </w:r>
      <w:r w:rsidRPr="003F2E8C">
        <w:rPr>
          <w:rFonts w:eastAsia="MS Mincho"/>
          <w:snapToGrid w:val="0"/>
          <w:kern w:val="22"/>
          <w:szCs w:val="22"/>
          <w:lang w:val="fr-CA" w:eastAsia="ja-JP"/>
        </w:rPr>
        <w:t xml:space="preserve"> à la décision </w:t>
      </w:r>
      <w:hyperlink r:id="rId47" w:history="1">
        <w:r w:rsidRPr="003F2E8C">
          <w:rPr>
            <w:rStyle w:val="Hyperlink"/>
            <w:rFonts w:eastAsia="MS Mincho"/>
            <w:snapToGrid w:val="0"/>
            <w:kern w:val="22"/>
            <w:szCs w:val="22"/>
            <w:lang w:val="fr-CA" w:eastAsia="ja-JP"/>
          </w:rPr>
          <w:t>XII/16</w:t>
        </w:r>
      </w:hyperlink>
      <w:r w:rsidRPr="003F2E8C">
        <w:rPr>
          <w:rFonts w:eastAsia="MS Mincho"/>
          <w:snapToGrid w:val="0"/>
          <w:kern w:val="22"/>
          <w:szCs w:val="22"/>
          <w:lang w:val="fr-CA" w:eastAsia="ja-JP"/>
        </w:rPr>
        <w:t xml:space="preserve"> et des n</w:t>
      </w:r>
      <w:r>
        <w:rPr>
          <w:rFonts w:eastAsia="MS Mincho"/>
          <w:snapToGrid w:val="0"/>
          <w:kern w:val="22"/>
          <w:szCs w:val="22"/>
          <w:lang w:val="fr-CA" w:eastAsia="ja-JP"/>
        </w:rPr>
        <w:t>ormes internationales en vigueur</w:t>
      </w:r>
      <w:r w:rsidRPr="003F2E8C">
        <w:rPr>
          <w:rFonts w:eastAsia="MS Mincho"/>
          <w:snapToGrid w:val="0"/>
          <w:kern w:val="22"/>
          <w:szCs w:val="22"/>
          <w:lang w:val="fr-CA" w:eastAsia="ja-JP"/>
        </w:rPr>
        <w:t xml:space="preserve"> en matière de protection de la diversit</w:t>
      </w:r>
      <w:r>
        <w:rPr>
          <w:rFonts w:eastAsia="MS Mincho"/>
          <w:snapToGrid w:val="0"/>
          <w:kern w:val="22"/>
          <w:szCs w:val="22"/>
          <w:lang w:val="fr-CA" w:eastAsia="ja-JP"/>
        </w:rPr>
        <w:t>é biologique et de la santé animale, végétale et humaine.</w:t>
      </w:r>
    </w:p>
    <w:p w:rsidR="009F6935" w:rsidRPr="003F2E8C" w:rsidRDefault="009F6935" w:rsidP="00004EAF">
      <w:pPr>
        <w:pStyle w:val="ListParagraph"/>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Ces orientations peuvent être mise</w:t>
      </w:r>
      <w:r>
        <w:rPr>
          <w:rFonts w:eastAsia="MS Mincho"/>
          <w:snapToGrid w:val="0"/>
          <w:kern w:val="22"/>
          <w:szCs w:val="22"/>
          <w:lang w:val="fr-CA" w:eastAsia="ja-JP"/>
        </w:rPr>
        <w:t xml:space="preserve">s en œuvre par les Parties et les </w:t>
      </w:r>
      <w:r w:rsidRPr="003F2E8C">
        <w:rPr>
          <w:rFonts w:eastAsia="MS Mincho"/>
          <w:snapToGrid w:val="0"/>
          <w:kern w:val="22"/>
          <w:szCs w:val="22"/>
          <w:lang w:val="fr-CA" w:eastAsia="ja-JP"/>
        </w:rPr>
        <w:t>autres gouvernements dans le cadre d'une collaboration intersectorielle entre les autorités chargées de la conservation, les autorités chargées du contrôle aux frontières et les organismes chargés de la réglementation des risques liés au commerce international, ainsi que les industries et les consomm</w:t>
      </w:r>
      <w:r>
        <w:rPr>
          <w:rFonts w:eastAsia="MS Mincho"/>
          <w:snapToGrid w:val="0"/>
          <w:kern w:val="22"/>
          <w:szCs w:val="22"/>
          <w:lang w:val="fr-CA" w:eastAsia="ja-JP"/>
        </w:rPr>
        <w:t>ateurs concernés qui sont impliqués dans la chaîne de valorisation</w:t>
      </w:r>
      <w:r w:rsidRPr="003F2E8C">
        <w:rPr>
          <w:rFonts w:eastAsia="MS Mincho"/>
          <w:snapToGrid w:val="0"/>
          <w:kern w:val="22"/>
          <w:szCs w:val="22"/>
          <w:lang w:val="fr-CA" w:eastAsia="ja-JP"/>
        </w:rPr>
        <w:t xml:space="preserve"> du commerce des </w:t>
      </w:r>
      <w:r>
        <w:rPr>
          <w:rFonts w:eastAsia="MS Mincho"/>
          <w:snapToGrid w:val="0"/>
          <w:kern w:val="22"/>
          <w:szCs w:val="22"/>
          <w:lang w:val="fr-CA" w:eastAsia="ja-JP"/>
        </w:rPr>
        <w:t>organismes vivants</w:t>
      </w:r>
      <w:r w:rsidRPr="003F2E8C">
        <w:rPr>
          <w:rFonts w:eastAsia="MS Mincho"/>
          <w:snapToGrid w:val="0"/>
          <w:kern w:val="22"/>
          <w:szCs w:val="22"/>
          <w:lang w:val="fr-CA" w:eastAsia="ja-JP"/>
        </w:rPr>
        <w:t>.</w:t>
      </w:r>
    </w:p>
    <w:p w:rsidR="009F6935" w:rsidRPr="003F2E8C" w:rsidRDefault="009F6935" w:rsidP="00004EAF">
      <w:pPr>
        <w:pStyle w:val="Heading1"/>
        <w:numPr>
          <w:ilvl w:val="0"/>
          <w:numId w:val="78"/>
        </w:numPr>
        <w:suppressLineNumbers/>
        <w:tabs>
          <w:tab w:val="clear" w:pos="720"/>
        </w:tabs>
        <w:suppressAutoHyphens/>
        <w:kinsoku w:val="0"/>
        <w:overflowPunct w:val="0"/>
        <w:autoSpaceDE w:val="0"/>
        <w:autoSpaceDN w:val="0"/>
        <w:adjustRightInd w:val="0"/>
        <w:snapToGrid w:val="0"/>
        <w:spacing w:before="120" w:after="240"/>
        <w:jc w:val="left"/>
        <w:rPr>
          <w:rFonts w:eastAsia="MS Mincho"/>
          <w:bCs/>
          <w:snapToGrid w:val="0"/>
          <w:kern w:val="22"/>
          <w:szCs w:val="22"/>
          <w:lang w:val="fr-CA" w:eastAsia="ja-JP"/>
        </w:rPr>
      </w:pPr>
      <w:bookmarkStart w:id="375" w:name="_Toc525904262"/>
      <w:bookmarkStart w:id="376" w:name="_Toc525904421"/>
      <w:bookmarkStart w:id="377" w:name="_Toc525904665"/>
      <w:r>
        <w:rPr>
          <w:rFonts w:eastAsia="MS Mincho"/>
          <w:bCs/>
          <w:snapToGrid w:val="0"/>
          <w:kern w:val="22"/>
          <w:szCs w:val="22"/>
          <w:lang w:val="fr-CA" w:eastAsia="ja-JP"/>
        </w:rPr>
        <w:t xml:space="preserve">MESURES propres À RÉDUIRE LE RISQUE de propagation non intentionnelle </w:t>
      </w:r>
      <w:r w:rsidRPr="003F2E8C">
        <w:rPr>
          <w:rFonts w:eastAsia="MS Mincho"/>
          <w:bCs/>
          <w:snapToGrid w:val="0"/>
          <w:kern w:val="22"/>
          <w:szCs w:val="22"/>
          <w:lang w:val="fr-CA" w:eastAsia="ja-JP"/>
        </w:rPr>
        <w:t>d’espèces exotiques env</w:t>
      </w:r>
      <w:r>
        <w:rPr>
          <w:rFonts w:eastAsia="MS Mincho"/>
          <w:bCs/>
          <w:snapToGrid w:val="0"/>
          <w:kern w:val="22"/>
          <w:szCs w:val="22"/>
          <w:lang w:val="fr-CA" w:eastAsia="ja-JP"/>
        </w:rPr>
        <w:t>ahissantes LE LONG DEs VOIES associées au COMMERCE D’ORGANISMES VIVANTS</w:t>
      </w:r>
      <w:bookmarkEnd w:id="375"/>
      <w:bookmarkEnd w:id="376"/>
      <w:bookmarkEnd w:id="377"/>
    </w:p>
    <w:p w:rsidR="009F6935" w:rsidRPr="009436B5" w:rsidRDefault="009F6935" w:rsidP="00004EAF">
      <w:pPr>
        <w:pStyle w:val="Heading2longmultiline"/>
        <w:numPr>
          <w:ilvl w:val="0"/>
          <w:numId w:val="79"/>
        </w:numPr>
        <w:suppressLineNumbers/>
        <w:tabs>
          <w:tab w:val="clear" w:pos="720"/>
        </w:tabs>
        <w:suppressAutoHyphens/>
        <w:kinsoku w:val="0"/>
        <w:overflowPunct w:val="0"/>
        <w:autoSpaceDE w:val="0"/>
        <w:autoSpaceDN w:val="0"/>
        <w:adjustRightInd w:val="0"/>
        <w:snapToGrid w:val="0"/>
        <w:ind w:right="0"/>
        <w:rPr>
          <w:rFonts w:eastAsia="MS Mincho"/>
          <w:i/>
          <w:snapToGrid w:val="0"/>
          <w:kern w:val="22"/>
          <w:szCs w:val="22"/>
          <w:lang w:val="fr-CA" w:eastAsia="ja-JP"/>
        </w:rPr>
      </w:pPr>
      <w:bookmarkStart w:id="378" w:name="_Toc525904263"/>
      <w:bookmarkStart w:id="379" w:name="_Toc525904422"/>
      <w:bookmarkStart w:id="380" w:name="_Toc525904666"/>
      <w:r w:rsidRPr="009436B5">
        <w:rPr>
          <w:rFonts w:eastAsia="MS Mincho"/>
          <w:snapToGrid w:val="0"/>
          <w:kern w:val="22"/>
          <w:szCs w:val="22"/>
          <w:lang w:val="fr-CA" w:eastAsia="ja-JP"/>
        </w:rPr>
        <w:t>Conformité avec les normes internationales</w:t>
      </w:r>
      <w:r>
        <w:rPr>
          <w:rFonts w:eastAsia="MS Mincho"/>
          <w:snapToGrid w:val="0"/>
          <w:kern w:val="22"/>
          <w:szCs w:val="22"/>
          <w:lang w:val="fr-CA" w:eastAsia="ja-JP"/>
        </w:rPr>
        <w:t xml:space="preserve"> en vigueur</w:t>
      </w:r>
      <w:r w:rsidRPr="009436B5">
        <w:rPr>
          <w:rFonts w:eastAsia="MS Mincho"/>
          <w:snapToGrid w:val="0"/>
          <w:kern w:val="22"/>
          <w:szCs w:val="22"/>
          <w:lang w:val="fr-CA" w:eastAsia="ja-JP"/>
        </w:rPr>
        <w:t xml:space="preserve"> et </w:t>
      </w:r>
      <w:r>
        <w:rPr>
          <w:rFonts w:eastAsia="MS Mincho"/>
          <w:snapToGrid w:val="0"/>
          <w:kern w:val="22"/>
          <w:szCs w:val="22"/>
          <w:lang w:val="fr-CA" w:eastAsia="ja-JP"/>
        </w:rPr>
        <w:t>d'autres orientations qui concerne</w:t>
      </w:r>
      <w:r w:rsidRPr="009436B5">
        <w:rPr>
          <w:rFonts w:eastAsia="MS Mincho"/>
          <w:snapToGrid w:val="0"/>
          <w:kern w:val="22"/>
          <w:szCs w:val="22"/>
          <w:lang w:val="fr-CA" w:eastAsia="ja-JP"/>
        </w:rPr>
        <w:t>nt les espèces exotiques envahissantes</w:t>
      </w:r>
      <w:bookmarkEnd w:id="378"/>
      <w:bookmarkEnd w:id="379"/>
      <w:bookmarkEnd w:id="380"/>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Pr>
          <w:rFonts w:eastAsia="MS Mincho"/>
          <w:snapToGrid w:val="0"/>
          <w:kern w:val="22"/>
          <w:szCs w:val="22"/>
          <w:lang w:val="fr-CA" w:eastAsia="ja-JP"/>
        </w:rPr>
        <w:t>Des normes sanitaires adéquat</w:t>
      </w:r>
      <w:r w:rsidRPr="003F2E8C">
        <w:rPr>
          <w:rFonts w:eastAsia="MS Mincho"/>
          <w:snapToGrid w:val="0"/>
          <w:kern w:val="22"/>
          <w:szCs w:val="22"/>
          <w:lang w:val="fr-CA" w:eastAsia="ja-JP"/>
        </w:rPr>
        <w:t xml:space="preserve">es, élaborées dans le cadre des processus normatifs de l'Organisation mondiale de la santé animale,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s’appliquer à tous les animaux ou produits animaux contenus dans un chargement d'</w:t>
      </w:r>
      <w:r>
        <w:rPr>
          <w:rFonts w:eastAsia="MS Mincho"/>
          <w:snapToGrid w:val="0"/>
          <w:kern w:val="22"/>
          <w:szCs w:val="22"/>
          <w:lang w:val="fr-CA" w:eastAsia="ja-JP"/>
        </w:rPr>
        <w:t>organismes vivant</w:t>
      </w:r>
      <w:r w:rsidRPr="003F2E8C">
        <w:rPr>
          <w:rFonts w:eastAsia="MS Mincho"/>
          <w:snapToGrid w:val="0"/>
          <w:kern w:val="22"/>
          <w:szCs w:val="22"/>
          <w:lang w:val="fr-CA" w:eastAsia="ja-JP"/>
        </w:rPr>
        <w:t>s, dans le but d'harmoniser les mesures nationales dans les pays exportateurs et importateurs.</w:t>
      </w:r>
    </w:p>
    <w:p w:rsidR="009F6935" w:rsidRPr="00AF4B51"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Pr>
          <w:rFonts w:eastAsia="MS Mincho"/>
          <w:snapToGrid w:val="0"/>
          <w:kern w:val="22"/>
          <w:szCs w:val="22"/>
          <w:lang w:val="fr-CA" w:eastAsia="ja-JP"/>
        </w:rPr>
        <w:t>D</w:t>
      </w:r>
      <w:r w:rsidRPr="003F2E8C">
        <w:rPr>
          <w:rFonts w:eastAsia="MS Mincho"/>
          <w:snapToGrid w:val="0"/>
          <w:kern w:val="22"/>
          <w:szCs w:val="22"/>
          <w:lang w:val="fr-CA" w:eastAsia="ja-JP"/>
        </w:rPr>
        <w:t xml:space="preserve">es </w:t>
      </w:r>
      <w:r>
        <w:rPr>
          <w:rFonts w:eastAsia="MS Mincho"/>
          <w:snapToGrid w:val="0"/>
          <w:kern w:val="22"/>
          <w:szCs w:val="22"/>
          <w:lang w:val="fr-CA" w:eastAsia="ja-JP"/>
        </w:rPr>
        <w:t>normes phytosanitaires adéquat</w:t>
      </w:r>
      <w:r w:rsidRPr="003F2E8C">
        <w:rPr>
          <w:rFonts w:eastAsia="MS Mincho"/>
          <w:snapToGrid w:val="0"/>
          <w:kern w:val="22"/>
          <w:szCs w:val="22"/>
          <w:lang w:val="fr-CA" w:eastAsia="ja-JP"/>
        </w:rPr>
        <w:t>es élaborées dans le cadre des pro</w:t>
      </w:r>
      <w:r>
        <w:rPr>
          <w:rFonts w:eastAsia="MS Mincho"/>
          <w:snapToGrid w:val="0"/>
          <w:kern w:val="22"/>
          <w:szCs w:val="22"/>
          <w:lang w:val="fr-CA" w:eastAsia="ja-JP"/>
        </w:rPr>
        <w:t xml:space="preserve">cessus normatifs </w:t>
      </w:r>
      <w:r w:rsidRPr="003F2E8C">
        <w:rPr>
          <w:rFonts w:eastAsia="MS Mincho"/>
          <w:snapToGrid w:val="0"/>
          <w:kern w:val="22"/>
          <w:szCs w:val="22"/>
          <w:lang w:val="fr-CA" w:eastAsia="ja-JP"/>
        </w:rPr>
        <w:t xml:space="preserve">de la Convention internationale pour la protection des végétaux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s’appliquer à tous les végétaux ou produits végétaux</w:t>
      </w:r>
      <w:r>
        <w:rPr>
          <w:rFonts w:eastAsia="MS Mincho"/>
          <w:snapToGrid w:val="0"/>
          <w:kern w:val="22"/>
          <w:szCs w:val="22"/>
          <w:lang w:val="fr-CA" w:eastAsia="ja-JP"/>
        </w:rPr>
        <w:t>,</w:t>
      </w:r>
      <w:r w:rsidRPr="00AF4B51">
        <w:rPr>
          <w:rFonts w:eastAsia="MS Mincho"/>
          <w:snapToGrid w:val="0"/>
          <w:kern w:val="22"/>
          <w:szCs w:val="22"/>
          <w:lang w:val="fr-CA" w:eastAsia="ja-JP"/>
        </w:rPr>
        <w:t xml:space="preserve"> y compris tout sol, litière de feuilles, paille ou autres substrats, foin, graines, fruits ou autres sources de nourriture</w:t>
      </w:r>
      <w:r>
        <w:rPr>
          <w:rFonts w:eastAsia="MS Mincho"/>
          <w:snapToGrid w:val="0"/>
          <w:kern w:val="22"/>
          <w:szCs w:val="22"/>
          <w:lang w:val="fr-CA" w:eastAsia="ja-JP"/>
        </w:rPr>
        <w:t>, contenus dans un chargement d'organismes vivant</w:t>
      </w:r>
      <w:r w:rsidRPr="003F2E8C">
        <w:rPr>
          <w:rFonts w:eastAsia="MS Mincho"/>
          <w:snapToGrid w:val="0"/>
          <w:kern w:val="22"/>
          <w:szCs w:val="22"/>
          <w:lang w:val="fr-CA" w:eastAsia="ja-JP"/>
        </w:rPr>
        <w:t>s</w:t>
      </w:r>
      <w:r>
        <w:rPr>
          <w:rFonts w:eastAsia="MS Mincho"/>
          <w:snapToGrid w:val="0"/>
          <w:kern w:val="22"/>
          <w:szCs w:val="22"/>
          <w:lang w:val="fr-CA" w:eastAsia="ja-JP"/>
        </w:rPr>
        <w:t>,</w:t>
      </w:r>
      <w:r w:rsidRPr="003F2E8C">
        <w:rPr>
          <w:rFonts w:eastAsia="MS Mincho"/>
          <w:snapToGrid w:val="0"/>
          <w:kern w:val="22"/>
          <w:szCs w:val="22"/>
          <w:lang w:val="fr-CA" w:eastAsia="ja-JP"/>
        </w:rPr>
        <w:t xml:space="preserve"> en vue d'harmoniser les mesures nationales dans les pays exportateurs et importateurs</w:t>
      </w:r>
      <w:r>
        <w:rPr>
          <w:rFonts w:eastAsia="MS Mincho"/>
          <w:snapToGrid w:val="0"/>
          <w:kern w:val="22"/>
          <w:szCs w:val="22"/>
          <w:lang w:val="fr-CA" w:eastAsia="ja-JP"/>
        </w:rPr>
        <w:t>.</w:t>
      </w:r>
    </w:p>
    <w:p w:rsidR="009F6935" w:rsidRPr="00AF4B51"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AF4B51">
        <w:rPr>
          <w:rFonts w:eastAsia="MS Mincho"/>
          <w:snapToGrid w:val="0"/>
          <w:kern w:val="22"/>
          <w:szCs w:val="22"/>
          <w:lang w:val="fr-CA" w:eastAsia="ja-JP"/>
        </w:rPr>
        <w:t>L'expéditeur/exportateur d'organismes vivants doit démontrer que la marchandise exportée, y compris le matériel d'e</w:t>
      </w:r>
      <w:r>
        <w:rPr>
          <w:rFonts w:eastAsia="MS Mincho"/>
          <w:snapToGrid w:val="0"/>
          <w:kern w:val="22"/>
          <w:szCs w:val="22"/>
          <w:lang w:val="fr-CA" w:eastAsia="ja-JP"/>
        </w:rPr>
        <w:t>xpédition connexe (par exemple l’</w:t>
      </w:r>
      <w:r w:rsidRPr="00AF4B51">
        <w:rPr>
          <w:rFonts w:eastAsia="MS Mincho"/>
          <w:snapToGrid w:val="0"/>
          <w:kern w:val="22"/>
          <w:szCs w:val="22"/>
          <w:lang w:val="fr-CA" w:eastAsia="ja-JP"/>
        </w:rPr>
        <w:t xml:space="preserve">eau, </w:t>
      </w:r>
      <w:r>
        <w:rPr>
          <w:rFonts w:eastAsia="MS Mincho"/>
          <w:snapToGrid w:val="0"/>
          <w:kern w:val="22"/>
          <w:szCs w:val="22"/>
          <w:lang w:val="fr-CA" w:eastAsia="ja-JP"/>
        </w:rPr>
        <w:t xml:space="preserve">la </w:t>
      </w:r>
      <w:r w:rsidRPr="00AF4B51">
        <w:rPr>
          <w:rFonts w:eastAsia="MS Mincho"/>
          <w:snapToGrid w:val="0"/>
          <w:kern w:val="22"/>
          <w:szCs w:val="22"/>
          <w:lang w:val="fr-CA" w:eastAsia="ja-JP"/>
        </w:rPr>
        <w:t xml:space="preserve">nourriture, </w:t>
      </w:r>
      <w:r>
        <w:rPr>
          <w:rFonts w:eastAsia="MS Mincho"/>
          <w:snapToGrid w:val="0"/>
          <w:kern w:val="22"/>
          <w:szCs w:val="22"/>
          <w:lang w:val="fr-CA" w:eastAsia="ja-JP"/>
        </w:rPr>
        <w:t xml:space="preserve">la </w:t>
      </w:r>
      <w:r w:rsidRPr="00AF4B51">
        <w:rPr>
          <w:rFonts w:eastAsia="MS Mincho"/>
          <w:snapToGrid w:val="0"/>
          <w:kern w:val="22"/>
          <w:szCs w:val="22"/>
          <w:lang w:val="fr-CA" w:eastAsia="ja-JP"/>
        </w:rPr>
        <w:t>litière), ne pose aucun risque sanitai</w:t>
      </w:r>
      <w:r>
        <w:rPr>
          <w:rFonts w:eastAsia="MS Mincho"/>
          <w:snapToGrid w:val="0"/>
          <w:kern w:val="22"/>
          <w:szCs w:val="22"/>
          <w:lang w:val="fr-CA" w:eastAsia="ja-JP"/>
        </w:rPr>
        <w:t xml:space="preserve">re ou phytosanitaire pour la </w:t>
      </w:r>
      <w:r w:rsidRPr="00AF4B51">
        <w:rPr>
          <w:rFonts w:eastAsia="MS Mincho"/>
          <w:snapToGrid w:val="0"/>
          <w:kern w:val="22"/>
          <w:szCs w:val="22"/>
          <w:lang w:val="fr-CA" w:eastAsia="ja-JP"/>
        </w:rPr>
        <w:t xml:space="preserve">diversité </w:t>
      </w:r>
      <w:r>
        <w:rPr>
          <w:rFonts w:eastAsia="MS Mincho"/>
          <w:snapToGrid w:val="0"/>
          <w:kern w:val="22"/>
          <w:szCs w:val="22"/>
          <w:lang w:val="fr-CA" w:eastAsia="ja-JP"/>
        </w:rPr>
        <w:t xml:space="preserve">biologique </w:t>
      </w:r>
      <w:r w:rsidRPr="00AF4B51">
        <w:rPr>
          <w:rFonts w:eastAsia="MS Mincho"/>
          <w:snapToGrid w:val="0"/>
          <w:kern w:val="22"/>
          <w:szCs w:val="22"/>
          <w:lang w:val="fr-CA" w:eastAsia="ja-JP"/>
        </w:rPr>
        <w:t xml:space="preserve">du pays importateur. Cette information peut </w:t>
      </w:r>
      <w:r w:rsidRPr="00AF4B51">
        <w:rPr>
          <w:rFonts w:eastAsia="MS Mincho"/>
          <w:snapToGrid w:val="0"/>
          <w:kern w:val="22"/>
          <w:szCs w:val="22"/>
          <w:lang w:val="fr-CA" w:eastAsia="ja-JP"/>
        </w:rPr>
        <w:lastRenderedPageBreak/>
        <w:t>être communiquée à l'autorité frontalière nationale du pays importateur au moyen d'un certificat délivré par l'autorité vétérinai</w:t>
      </w:r>
      <w:r>
        <w:rPr>
          <w:rFonts w:eastAsia="MS Mincho"/>
          <w:snapToGrid w:val="0"/>
          <w:kern w:val="22"/>
          <w:szCs w:val="22"/>
          <w:lang w:val="fr-CA" w:eastAsia="ja-JP"/>
        </w:rPr>
        <w:t>re</w:t>
      </w:r>
      <w:r w:rsidRPr="00AF4B51">
        <w:rPr>
          <w:rFonts w:eastAsia="MS Mincho"/>
          <w:snapToGrid w:val="0"/>
          <w:kern w:val="22"/>
          <w:szCs w:val="22"/>
          <w:lang w:val="fr-CA" w:eastAsia="ja-JP"/>
        </w:rPr>
        <w:t>/l'autorité compétente</w:t>
      </w:r>
      <w:r>
        <w:rPr>
          <w:rFonts w:eastAsia="MS Mincho"/>
          <w:snapToGrid w:val="0"/>
          <w:kern w:val="22"/>
          <w:szCs w:val="22"/>
          <w:lang w:val="fr-CA" w:eastAsia="ja-JP"/>
        </w:rPr>
        <w:t xml:space="preserve"> du pays exportateur pour les animaux</w:t>
      </w:r>
      <w:r w:rsidRPr="00AF4B51">
        <w:rPr>
          <w:rFonts w:eastAsia="MS Mincho"/>
          <w:snapToGrid w:val="0"/>
          <w:kern w:val="22"/>
          <w:szCs w:val="22"/>
          <w:lang w:val="fr-CA" w:eastAsia="ja-JP"/>
        </w:rPr>
        <w:t>, ou d'un certificat phytosanitaire délivré par l'organisme de protection des végétaux d'un pays exportateur</w:t>
      </w:r>
      <w:r>
        <w:rPr>
          <w:rFonts w:eastAsia="MS Mincho"/>
          <w:snapToGrid w:val="0"/>
          <w:kern w:val="22"/>
          <w:szCs w:val="22"/>
          <w:lang w:val="fr-CA" w:eastAsia="ja-JP"/>
        </w:rPr>
        <w:t xml:space="preserve"> pour les végétaux, conformément aux règlements nationaux applicables aux importations, qui sont basés sur une </w:t>
      </w:r>
      <w:r w:rsidRPr="00AF4B51">
        <w:rPr>
          <w:rFonts w:eastAsia="MS Mincho"/>
          <w:snapToGrid w:val="0"/>
          <w:kern w:val="22"/>
          <w:szCs w:val="22"/>
          <w:lang w:val="fr-CA" w:eastAsia="ja-JP"/>
        </w:rPr>
        <w:t xml:space="preserve">analyse des risques phytosanitaires. </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 transport des cargaisons </w:t>
      </w:r>
      <w:r>
        <w:rPr>
          <w:rFonts w:eastAsia="MS Mincho"/>
          <w:snapToGrid w:val="0"/>
          <w:kern w:val="22"/>
          <w:szCs w:val="22"/>
          <w:lang w:val="fr-CA" w:eastAsia="ja-JP"/>
        </w:rPr>
        <w:t>d’organismes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 être conforme aux orientations internationales en vigueur</w:t>
      </w:r>
      <w:r w:rsidRPr="003F2E8C">
        <w:rPr>
          <w:rFonts w:eastAsia="MS Mincho"/>
          <w:snapToGrid w:val="0"/>
          <w:kern w:val="22"/>
          <w:szCs w:val="22"/>
          <w:lang w:val="fr-CA" w:eastAsia="ja-JP"/>
        </w:rPr>
        <w:t xml:space="preserve"> établies par les organisations internationales, telles que le Code de bonnes pratiques pour le chargement des cargaisons dans des engins de transport (Code CTU) de l'Organisation maritime internationale, de l'Organisation internationale du travail et de la Commission économique des Nations Unies pour l'Europe</w:t>
      </w:r>
      <w:r w:rsidRPr="003F2E8C">
        <w:rPr>
          <w:rFonts w:eastAsia="MS Mincho"/>
          <w:snapToGrid w:val="0"/>
          <w:kern w:val="22"/>
          <w:szCs w:val="22"/>
          <w:vertAlign w:val="superscript"/>
          <w:lang w:val="fr-CA" w:eastAsia="ja-JP"/>
        </w:rPr>
        <w:footnoteReference w:id="126"/>
      </w:r>
      <w:r>
        <w:rPr>
          <w:rFonts w:eastAsia="MS Mincho"/>
          <w:snapToGrid w:val="0"/>
          <w:kern w:val="22"/>
          <w:szCs w:val="22"/>
          <w:lang w:val="fr-CA" w:eastAsia="ja-JP"/>
        </w:rPr>
        <w:t>, sans se limiter toutefois à ces orientations</w:t>
      </w:r>
      <w:r w:rsidRPr="003F2E8C">
        <w:rPr>
          <w:rFonts w:eastAsia="MS Mincho"/>
          <w:snapToGrid w:val="0"/>
          <w:kern w:val="22"/>
          <w:szCs w:val="22"/>
          <w:lang w:val="fr-CA" w:eastAsia="ja-JP"/>
        </w:rPr>
        <w:t>.</w:t>
      </w:r>
    </w:p>
    <w:p w:rsidR="009F6935" w:rsidRPr="003F2E8C"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bookmarkStart w:id="381" w:name="_Toc525904264"/>
      <w:bookmarkStart w:id="382" w:name="_Toc525904423"/>
      <w:bookmarkStart w:id="383" w:name="_Toc525904667"/>
      <w:r w:rsidRPr="003F2E8C">
        <w:rPr>
          <w:rFonts w:eastAsia="MS Mincho"/>
          <w:snapToGrid w:val="0"/>
          <w:kern w:val="22"/>
          <w:szCs w:val="22"/>
          <w:lang w:val="fr-CA" w:eastAsia="ja-JP"/>
        </w:rPr>
        <w:t xml:space="preserve">Conditionnement adéquat des chargements </w:t>
      </w:r>
      <w:r>
        <w:rPr>
          <w:rFonts w:eastAsia="MS Mincho"/>
          <w:snapToGrid w:val="0"/>
          <w:kern w:val="22"/>
          <w:szCs w:val="22"/>
          <w:lang w:val="fr-CA" w:eastAsia="ja-JP"/>
        </w:rPr>
        <w:t>d’organismes vivant</w:t>
      </w:r>
      <w:r w:rsidRPr="003F2E8C">
        <w:rPr>
          <w:rFonts w:eastAsia="MS Mincho"/>
          <w:snapToGrid w:val="0"/>
          <w:kern w:val="22"/>
          <w:szCs w:val="22"/>
          <w:lang w:val="fr-CA" w:eastAsia="ja-JP"/>
        </w:rPr>
        <w:t>s</w:t>
      </w:r>
      <w:bookmarkEnd w:id="381"/>
      <w:bookmarkEnd w:id="382"/>
      <w:bookmarkEnd w:id="383"/>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L'expéditeur/exportateur d'</w:t>
      </w:r>
      <w:r>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être pleinement conscient des risques potentiels d'invasions biologiques rés</w:t>
      </w:r>
      <w:r>
        <w:rPr>
          <w:rFonts w:eastAsia="MS Mincho"/>
          <w:snapToGrid w:val="0"/>
          <w:kern w:val="22"/>
          <w:szCs w:val="22"/>
          <w:lang w:val="fr-CA" w:eastAsia="ja-JP"/>
        </w:rPr>
        <w:t>ultant d’une propagation non intentionnelle</w:t>
      </w:r>
      <w:r w:rsidRPr="003F2E8C">
        <w:rPr>
          <w:rFonts w:eastAsia="MS Mincho"/>
          <w:snapToGrid w:val="0"/>
          <w:kern w:val="22"/>
          <w:szCs w:val="22"/>
          <w:lang w:val="fr-CA" w:eastAsia="ja-JP"/>
        </w:rPr>
        <w:t xml:space="preserve"> d’espèces e</w:t>
      </w:r>
      <w:r>
        <w:rPr>
          <w:rFonts w:eastAsia="MS Mincho"/>
          <w:snapToGrid w:val="0"/>
          <w:kern w:val="22"/>
          <w:szCs w:val="22"/>
          <w:lang w:val="fr-CA" w:eastAsia="ja-JP"/>
        </w:rPr>
        <w:t>xotiques par des voies d’introduction</w:t>
      </w:r>
      <w:r w:rsidRPr="003F2E8C">
        <w:rPr>
          <w:rFonts w:eastAsia="MS Mincho"/>
          <w:snapToGrid w:val="0"/>
          <w:kern w:val="22"/>
          <w:szCs w:val="22"/>
          <w:lang w:val="fr-CA" w:eastAsia="ja-JP"/>
        </w:rPr>
        <w:t xml:space="preserve"> liées au commerce d'</w:t>
      </w:r>
      <w:r>
        <w:rPr>
          <w:rFonts w:eastAsia="MS Mincho"/>
          <w:snapToGrid w:val="0"/>
          <w:kern w:val="22"/>
          <w:szCs w:val="22"/>
          <w:lang w:val="fr-CA" w:eastAsia="ja-JP"/>
        </w:rPr>
        <w:t>organismes vivants</w:t>
      </w:r>
      <w:r w:rsidRPr="003F2E8C">
        <w:rPr>
          <w:rFonts w:eastAsia="MS Mincho"/>
          <w:snapToGrid w:val="0"/>
          <w:kern w:val="22"/>
          <w:szCs w:val="22"/>
          <w:lang w:val="fr-CA" w:eastAsia="ja-JP"/>
        </w:rPr>
        <w:t xml:space="preserve"> et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s'assurer</w:t>
      </w:r>
      <w:r>
        <w:rPr>
          <w:rFonts w:eastAsia="MS Mincho"/>
          <w:snapToGrid w:val="0"/>
          <w:kern w:val="22"/>
          <w:szCs w:val="22"/>
          <w:lang w:val="fr-CA" w:eastAsia="ja-JP"/>
        </w:rPr>
        <w:t xml:space="preserve"> que : a)</w:t>
      </w:r>
      <w:r w:rsidRPr="003F2E8C">
        <w:rPr>
          <w:rFonts w:eastAsia="MS Mincho"/>
          <w:snapToGrid w:val="0"/>
          <w:kern w:val="22"/>
          <w:szCs w:val="22"/>
          <w:lang w:val="fr-CA" w:eastAsia="ja-JP"/>
        </w:rPr>
        <w:t xml:space="preserve"> le chargement respecte les exigences sanitaires et phytosanitaires fixées </w:t>
      </w:r>
      <w:r>
        <w:rPr>
          <w:rFonts w:eastAsia="MS Mincho"/>
          <w:snapToGrid w:val="0"/>
          <w:kern w:val="22"/>
          <w:szCs w:val="22"/>
          <w:lang w:val="fr-CA" w:eastAsia="ja-JP"/>
        </w:rPr>
        <w:t xml:space="preserve">par le pays importateur; b) </w:t>
      </w:r>
      <w:r w:rsidRPr="003F2E8C">
        <w:rPr>
          <w:rFonts w:eastAsia="MS Mincho"/>
          <w:snapToGrid w:val="0"/>
          <w:kern w:val="22"/>
          <w:szCs w:val="22"/>
          <w:lang w:val="fr-CA" w:eastAsia="ja-JP"/>
        </w:rPr>
        <w:t>les réglementations nationales et régionales relatives à l’importation et l’exportation des espèces exotiques envahissantes sont r</w:t>
      </w:r>
      <w:r>
        <w:rPr>
          <w:rFonts w:eastAsia="MS Mincho"/>
          <w:snapToGrid w:val="0"/>
          <w:kern w:val="22"/>
          <w:szCs w:val="22"/>
          <w:lang w:val="fr-CA" w:eastAsia="ja-JP"/>
        </w:rPr>
        <w:t xml:space="preserve">espectées; et c) </w:t>
      </w:r>
      <w:r w:rsidRPr="003F2E8C">
        <w:rPr>
          <w:rFonts w:eastAsia="MS Mincho"/>
          <w:snapToGrid w:val="0"/>
          <w:kern w:val="22"/>
          <w:szCs w:val="22"/>
          <w:lang w:val="fr-CA" w:eastAsia="ja-JP"/>
        </w:rPr>
        <w:t>des mesures visant à réduire au minimum le risque d'introductions non intentionnelles</w:t>
      </w:r>
      <w:r>
        <w:rPr>
          <w:rFonts w:eastAsia="MS Mincho"/>
          <w:snapToGrid w:val="0"/>
          <w:kern w:val="22"/>
          <w:szCs w:val="22"/>
          <w:lang w:val="fr-CA" w:eastAsia="ja-JP"/>
        </w:rPr>
        <w:t xml:space="preserve"> sont appliquées</w:t>
      </w:r>
      <w:r w:rsidRPr="003F2E8C">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L'expéditeur/exportateur d'un chargement d'</w:t>
      </w:r>
      <w:r>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 informer</w:t>
      </w:r>
      <w:r w:rsidRPr="003F2E8C">
        <w:rPr>
          <w:rFonts w:eastAsia="MS Mincho"/>
          <w:snapToGrid w:val="0"/>
          <w:kern w:val="22"/>
          <w:szCs w:val="22"/>
          <w:lang w:val="fr-CA" w:eastAsia="ja-JP"/>
        </w:rPr>
        <w:t xml:space="preserve"> l'importateur/destinataire des risques potentiels d'invasion biologique par des espèces exotiques</w:t>
      </w:r>
      <w:r>
        <w:rPr>
          <w:rFonts w:eastAsia="MS Mincho"/>
          <w:snapToGrid w:val="0"/>
          <w:kern w:val="22"/>
          <w:szCs w:val="22"/>
          <w:lang w:val="fr-CA" w:eastAsia="ja-JP"/>
        </w:rPr>
        <w:t>,</w:t>
      </w:r>
      <w:r w:rsidRPr="003F2E8C">
        <w:rPr>
          <w:rFonts w:eastAsia="MS Mincho"/>
          <w:snapToGrid w:val="0"/>
          <w:kern w:val="22"/>
          <w:szCs w:val="22"/>
          <w:lang w:val="fr-CA" w:eastAsia="ja-JP"/>
        </w:rPr>
        <w:t xml:space="preserve"> au moyen d'un document joint </w:t>
      </w:r>
      <w:r>
        <w:rPr>
          <w:rFonts w:eastAsia="MS Mincho"/>
          <w:snapToGrid w:val="0"/>
          <w:kern w:val="22"/>
          <w:szCs w:val="22"/>
          <w:lang w:val="fr-CA" w:eastAsia="ja-JP"/>
        </w:rPr>
        <w:t xml:space="preserve">au chargement </w:t>
      </w:r>
      <w:r w:rsidRPr="003F2E8C">
        <w:rPr>
          <w:rFonts w:eastAsia="MS Mincho"/>
          <w:snapToGrid w:val="0"/>
          <w:kern w:val="22"/>
          <w:szCs w:val="22"/>
          <w:lang w:val="fr-CA" w:eastAsia="ja-JP"/>
        </w:rPr>
        <w:t>et adressé aux autorités chargées du contrôle aux frontières,</w:t>
      </w:r>
      <w:r>
        <w:rPr>
          <w:rFonts w:eastAsia="MS Mincho"/>
          <w:snapToGrid w:val="0"/>
          <w:kern w:val="22"/>
          <w:szCs w:val="22"/>
          <w:lang w:val="fr-CA" w:eastAsia="ja-JP"/>
        </w:rPr>
        <w:t xml:space="preserve"> aux organisations nationales chargées de la</w:t>
      </w:r>
      <w:r w:rsidRPr="003F2E8C">
        <w:rPr>
          <w:rFonts w:eastAsia="MS Mincho"/>
          <w:snapToGrid w:val="0"/>
          <w:kern w:val="22"/>
          <w:szCs w:val="22"/>
          <w:lang w:val="fr-CA" w:eastAsia="ja-JP"/>
        </w:rPr>
        <w:t xml:space="preserve"> protection des végétaux ou aux autorités vétérinaires. Dans certains cas, ces informations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présentées aux autorités compétentes du ou des pays </w:t>
      </w:r>
      <w:r>
        <w:rPr>
          <w:rFonts w:eastAsia="MS Mincho"/>
          <w:snapToGrid w:val="0"/>
          <w:kern w:val="22"/>
          <w:szCs w:val="22"/>
          <w:lang w:val="fr-CA" w:eastAsia="ja-JP"/>
        </w:rPr>
        <w:t>traversés en</w:t>
      </w:r>
      <w:r w:rsidRPr="003F2E8C">
        <w:rPr>
          <w:rFonts w:eastAsia="MS Mincho"/>
          <w:snapToGrid w:val="0"/>
          <w:kern w:val="22"/>
          <w:szCs w:val="22"/>
          <w:lang w:val="fr-CA" w:eastAsia="ja-JP"/>
        </w:rPr>
        <w:t xml:space="preserve"> </w:t>
      </w:r>
      <w:r>
        <w:rPr>
          <w:rFonts w:eastAsia="MS Mincho"/>
          <w:snapToGrid w:val="0"/>
          <w:kern w:val="22"/>
          <w:szCs w:val="22"/>
          <w:lang w:val="fr-CA" w:eastAsia="ja-JP"/>
        </w:rPr>
        <w:t>transit, afin d’appliquer d</w:t>
      </w:r>
      <w:r w:rsidRPr="003F2E8C">
        <w:rPr>
          <w:rFonts w:eastAsia="MS Mincho"/>
          <w:snapToGrid w:val="0"/>
          <w:kern w:val="22"/>
          <w:szCs w:val="22"/>
          <w:lang w:val="fr-CA" w:eastAsia="ja-JP"/>
        </w:rPr>
        <w:t>es mesures appropriées de gestion des risques pendant le transit.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L'expéditeur/exportateur d'</w:t>
      </w:r>
      <w:r>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appliquer toutes les mesures sanitaires et phytosanitaires appropriées pour s'assurer q</w:t>
      </w:r>
      <w:r>
        <w:rPr>
          <w:rFonts w:eastAsia="MS Mincho"/>
          <w:snapToGrid w:val="0"/>
          <w:kern w:val="22"/>
          <w:szCs w:val="22"/>
          <w:lang w:val="fr-CA" w:eastAsia="ja-JP"/>
        </w:rPr>
        <w:t>ue les chargements ne contiennent</w:t>
      </w:r>
      <w:r w:rsidRPr="003F2E8C">
        <w:rPr>
          <w:rFonts w:eastAsia="MS Mincho"/>
          <w:snapToGrid w:val="0"/>
          <w:kern w:val="22"/>
          <w:szCs w:val="22"/>
          <w:lang w:val="fr-CA" w:eastAsia="ja-JP"/>
        </w:rPr>
        <w:t xml:space="preserve"> pas d'organismes n</w:t>
      </w:r>
      <w:r>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d'organismes exotiques pouvant p</w:t>
      </w:r>
      <w:r>
        <w:rPr>
          <w:rFonts w:eastAsia="MS Mincho"/>
          <w:snapToGrid w:val="0"/>
          <w:kern w:val="22"/>
          <w:szCs w:val="22"/>
          <w:lang w:val="fr-CA" w:eastAsia="ja-JP"/>
        </w:rPr>
        <w:t>résenter des risques d'invasion biologique</w:t>
      </w:r>
      <w:r w:rsidRPr="003F2E8C">
        <w:rPr>
          <w:rFonts w:eastAsia="MS Mincho"/>
          <w:snapToGrid w:val="0"/>
          <w:kern w:val="22"/>
          <w:szCs w:val="22"/>
          <w:lang w:val="fr-CA" w:eastAsia="ja-JP"/>
        </w:rPr>
        <w:t xml:space="preserve"> dans le pays importateur ou les zones biogéographiques de destination.</w:t>
      </w:r>
    </w:p>
    <w:p w:rsidR="009F6935" w:rsidRPr="003F2E8C"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bookmarkStart w:id="384" w:name="_Toc525904265"/>
      <w:bookmarkStart w:id="385" w:name="_Toc525904424"/>
      <w:bookmarkStart w:id="386" w:name="_Toc525904668"/>
      <w:r w:rsidRPr="003F2E8C">
        <w:rPr>
          <w:rFonts w:eastAsia="MS Mincho"/>
          <w:snapToGrid w:val="0"/>
          <w:kern w:val="22"/>
          <w:szCs w:val="22"/>
          <w:lang w:val="fr-CA" w:eastAsia="ja-JP"/>
        </w:rPr>
        <w:t>Emballage des conteneurs / chargements</w:t>
      </w:r>
      <w:bookmarkEnd w:id="384"/>
      <w:bookmarkEnd w:id="385"/>
      <w:bookmarkEnd w:id="386"/>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Chaque envoi doit être étiqueté correctement par l'expéditeur/exportateur </w:t>
      </w:r>
      <w:r>
        <w:rPr>
          <w:rFonts w:eastAsia="MS Mincho"/>
          <w:snapToGrid w:val="0"/>
          <w:kern w:val="22"/>
          <w:szCs w:val="22"/>
          <w:lang w:val="fr-CA" w:eastAsia="ja-JP"/>
        </w:rPr>
        <w:t>comme présentant un « </w:t>
      </w:r>
      <w:r w:rsidRPr="003F2E8C">
        <w:rPr>
          <w:rFonts w:eastAsia="MS Mincho"/>
          <w:snapToGrid w:val="0"/>
          <w:kern w:val="22"/>
          <w:szCs w:val="22"/>
          <w:lang w:val="fr-CA" w:eastAsia="ja-JP"/>
        </w:rPr>
        <w:t>risque potentiel pour la diversité biologique »</w:t>
      </w:r>
      <w:r>
        <w:rPr>
          <w:rFonts w:eastAsia="MS Mincho"/>
          <w:snapToGrid w:val="0"/>
          <w:kern w:val="22"/>
          <w:szCs w:val="22"/>
          <w:lang w:val="fr-CA" w:eastAsia="ja-JP"/>
        </w:rPr>
        <w:t>, le cas échéant</w:t>
      </w:r>
      <w:r w:rsidRPr="003F2E8C">
        <w:rPr>
          <w:rFonts w:eastAsia="MS Mincho"/>
          <w:snapToGrid w:val="0"/>
          <w:kern w:val="22"/>
          <w:szCs w:val="22"/>
          <w:lang w:val="fr-CA" w:eastAsia="ja-JP"/>
        </w:rPr>
        <w:t xml:space="preserve">, en tenant compte du risque d’invasion biologique que peuvent poser les </w:t>
      </w:r>
      <w:r>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contenu</w:t>
      </w:r>
      <w:r w:rsidRPr="003F2E8C">
        <w:rPr>
          <w:rFonts w:eastAsia="MS Mincho"/>
          <w:snapToGrid w:val="0"/>
          <w:kern w:val="22"/>
          <w:szCs w:val="22"/>
          <w:lang w:val="fr-CA" w:eastAsia="ja-JP"/>
        </w:rPr>
        <w:t>s dans l’envoi, en particulier lorsqu</w:t>
      </w:r>
      <w:r>
        <w:rPr>
          <w:rFonts w:eastAsia="MS Mincho"/>
          <w:snapToGrid w:val="0"/>
          <w:kern w:val="22"/>
          <w:szCs w:val="22"/>
          <w:lang w:val="fr-CA" w:eastAsia="ja-JP"/>
        </w:rPr>
        <w:t>’ils ont été capturés ou prélevés à l’état sauvage, afin d’</w:t>
      </w:r>
      <w:r w:rsidRPr="003F2E8C">
        <w:rPr>
          <w:rFonts w:eastAsia="MS Mincho"/>
          <w:snapToGrid w:val="0"/>
          <w:kern w:val="22"/>
          <w:szCs w:val="22"/>
          <w:lang w:val="fr-CA" w:eastAsia="ja-JP"/>
        </w:rPr>
        <w:t>informer les personnes concernées dans l</w:t>
      </w:r>
      <w:r>
        <w:rPr>
          <w:rFonts w:eastAsia="MS Mincho"/>
          <w:snapToGrid w:val="0"/>
          <w:kern w:val="22"/>
          <w:szCs w:val="22"/>
          <w:lang w:val="fr-CA" w:eastAsia="ja-JP"/>
        </w:rPr>
        <w:t>'ensemble de la chaîne de valorisation au sujet</w:t>
      </w:r>
      <w:r w:rsidRPr="003F2E8C">
        <w:rPr>
          <w:rFonts w:eastAsia="MS Mincho"/>
          <w:snapToGrid w:val="0"/>
          <w:kern w:val="22"/>
          <w:szCs w:val="22"/>
          <w:lang w:val="fr-CA" w:eastAsia="ja-JP"/>
        </w:rPr>
        <w:t xml:space="preserve"> des risques potentiels pour la biodiversité.</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 matériel d'emballage ou les conteneurs destinés au transport d'</w:t>
      </w:r>
      <w:r>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exempts d’organismes nuisibles, </w:t>
      </w:r>
      <w:r>
        <w:rPr>
          <w:rFonts w:eastAsia="MS Mincho"/>
          <w:snapToGrid w:val="0"/>
          <w:kern w:val="22"/>
          <w:szCs w:val="22"/>
          <w:lang w:val="fr-CA" w:eastAsia="ja-JP"/>
        </w:rPr>
        <w:t>d’agents pathogènes ou</w:t>
      </w:r>
      <w:r w:rsidRPr="003F2E8C">
        <w:rPr>
          <w:rFonts w:eastAsia="MS Mincho"/>
          <w:snapToGrid w:val="0"/>
          <w:kern w:val="22"/>
          <w:szCs w:val="22"/>
          <w:lang w:val="fr-CA" w:eastAsia="ja-JP"/>
        </w:rPr>
        <w:t xml:space="preserve"> d’espèces exotiques envahissant</w:t>
      </w:r>
      <w:r>
        <w:rPr>
          <w:rFonts w:eastAsia="MS Mincho"/>
          <w:snapToGrid w:val="0"/>
          <w:kern w:val="22"/>
          <w:szCs w:val="22"/>
          <w:lang w:val="fr-CA" w:eastAsia="ja-JP"/>
        </w:rPr>
        <w:t>es</w:t>
      </w:r>
      <w:r w:rsidRPr="003F2E8C">
        <w:rPr>
          <w:rFonts w:eastAsia="MS Mincho"/>
          <w:snapToGrid w:val="0"/>
          <w:kern w:val="22"/>
          <w:szCs w:val="22"/>
          <w:lang w:val="fr-CA" w:eastAsia="ja-JP"/>
        </w:rPr>
        <w:t xml:space="preserve"> qui présentent un danger pour le pays importateur, le</w:t>
      </w:r>
      <w:r>
        <w:rPr>
          <w:rFonts w:eastAsia="MS Mincho"/>
          <w:snapToGrid w:val="0"/>
          <w:kern w:val="22"/>
          <w:szCs w:val="22"/>
          <w:lang w:val="fr-CA" w:eastAsia="ja-JP"/>
        </w:rPr>
        <w:t>s</w:t>
      </w:r>
      <w:r w:rsidRPr="003F2E8C">
        <w:rPr>
          <w:rFonts w:eastAsia="MS Mincho"/>
          <w:snapToGrid w:val="0"/>
          <w:kern w:val="22"/>
          <w:szCs w:val="22"/>
          <w:lang w:val="fr-CA" w:eastAsia="ja-JP"/>
        </w:rPr>
        <w:t xml:space="preserve"> pays traversé</w:t>
      </w:r>
      <w:r>
        <w:rPr>
          <w:rFonts w:eastAsia="MS Mincho"/>
          <w:snapToGrid w:val="0"/>
          <w:kern w:val="22"/>
          <w:szCs w:val="22"/>
          <w:lang w:val="fr-CA" w:eastAsia="ja-JP"/>
        </w:rPr>
        <w:t>s</w:t>
      </w:r>
      <w:r w:rsidRPr="003F2E8C">
        <w:rPr>
          <w:rFonts w:eastAsia="MS Mincho"/>
          <w:snapToGrid w:val="0"/>
          <w:kern w:val="22"/>
          <w:szCs w:val="22"/>
          <w:lang w:val="fr-CA" w:eastAsia="ja-JP"/>
        </w:rPr>
        <w:t xml:space="preserve"> en transit ou les zones biogéographiques concernées. Pour les emballages en bois, le conditionnement approprié décrit dans la NIMP 15 (réglementation des matériaux d'emballage en bois utilisés dans le commerce international)</w:t>
      </w:r>
      <w:r>
        <w:rPr>
          <w:rFonts w:eastAsia="MS Mincho"/>
          <w:snapToGrid w:val="0"/>
          <w:kern w:val="22"/>
          <w:szCs w:val="22"/>
          <w:lang w:val="fr-CA" w:eastAsia="ja-JP"/>
        </w:rPr>
        <w:t>,</w:t>
      </w:r>
      <w:r w:rsidRPr="003F2E8C">
        <w:rPr>
          <w:rFonts w:eastAsia="MS Mincho"/>
          <w:snapToGrid w:val="0"/>
          <w:kern w:val="22"/>
          <w:szCs w:val="22"/>
          <w:lang w:val="fr-CA" w:eastAsia="ja-JP"/>
        </w:rPr>
        <w:t xml:space="preserve"> ainsi que dans d’autres réglementations nationales </w:t>
      </w:r>
      <w:r>
        <w:rPr>
          <w:rFonts w:eastAsia="MS Mincho"/>
          <w:snapToGrid w:val="0"/>
          <w:kern w:val="22"/>
          <w:szCs w:val="22"/>
          <w:lang w:val="fr-CA" w:eastAsia="ja-JP"/>
        </w:rPr>
        <w:t>et régionales, doit être appliqué</w:t>
      </w:r>
      <w:r w:rsidRPr="003F2E8C">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Avant de pouvoir réutiliser un conteneur ou un emballage, celui-ci doit d'abord être lavé et désinfecté</w:t>
      </w:r>
      <w:r>
        <w:rPr>
          <w:rFonts w:eastAsia="MS Mincho"/>
          <w:snapToGrid w:val="0"/>
          <w:kern w:val="22"/>
          <w:szCs w:val="22"/>
          <w:lang w:val="fr-CA" w:eastAsia="ja-JP"/>
        </w:rPr>
        <w:t xml:space="preserve"> par l'expéditeur/exportateur, puis </w:t>
      </w:r>
      <w:r w:rsidRPr="003F2E8C">
        <w:rPr>
          <w:rFonts w:eastAsia="MS Mincho"/>
          <w:snapToGrid w:val="0"/>
          <w:kern w:val="22"/>
          <w:szCs w:val="22"/>
          <w:lang w:val="fr-CA" w:eastAsia="ja-JP"/>
        </w:rPr>
        <w:t xml:space="preserve">inspecté </w:t>
      </w:r>
      <w:r>
        <w:rPr>
          <w:rFonts w:eastAsia="MS Mincho"/>
          <w:snapToGrid w:val="0"/>
          <w:kern w:val="22"/>
          <w:szCs w:val="22"/>
          <w:lang w:val="fr-CA" w:eastAsia="ja-JP"/>
        </w:rPr>
        <w:t>visuellement avant toute réutilisation</w:t>
      </w:r>
      <w:r w:rsidRPr="003F2E8C">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conteneurs et emballages destinés aux espèces aquatiques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w:t>
      </w:r>
      <w:r>
        <w:rPr>
          <w:rFonts w:eastAsia="MS Mincho"/>
          <w:snapToGrid w:val="0"/>
          <w:kern w:val="22"/>
          <w:szCs w:val="22"/>
          <w:lang w:val="fr-CA" w:eastAsia="ja-JP"/>
        </w:rPr>
        <w:t>tre fermés adéquatement</w:t>
      </w:r>
      <w:r w:rsidRPr="003F2E8C">
        <w:rPr>
          <w:rFonts w:eastAsia="MS Mincho"/>
          <w:snapToGrid w:val="0"/>
          <w:kern w:val="22"/>
          <w:szCs w:val="22"/>
          <w:lang w:val="fr-CA" w:eastAsia="ja-JP"/>
        </w:rPr>
        <w:t xml:space="preserve"> par l'expéditeur/exportateur pour prévenir les fuites d'eau et/ou toute contamination du chargement ou par celui-ci pendant son transport tout au long d</w:t>
      </w:r>
      <w:r>
        <w:rPr>
          <w:rFonts w:eastAsia="MS Mincho"/>
          <w:snapToGrid w:val="0"/>
          <w:kern w:val="22"/>
          <w:szCs w:val="22"/>
          <w:lang w:val="fr-CA" w:eastAsia="ja-JP"/>
        </w:rPr>
        <w:t>e la chaîne de valorisation</w:t>
      </w:r>
      <w:r w:rsidRPr="003F2E8C">
        <w:rPr>
          <w:rFonts w:eastAsia="MS Mincho"/>
          <w:snapToGrid w:val="0"/>
          <w:kern w:val="22"/>
          <w:szCs w:val="22"/>
          <w:lang w:val="fr-CA" w:eastAsia="ja-JP"/>
        </w:rPr>
        <w:t>.</w:t>
      </w:r>
    </w:p>
    <w:p w:rsidR="009F6935" w:rsidRPr="003F2E8C"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bookmarkStart w:id="387" w:name="_Toc525904266"/>
      <w:bookmarkStart w:id="388" w:name="_Toc525904425"/>
      <w:bookmarkStart w:id="389" w:name="_Toc525904669"/>
      <w:r w:rsidRPr="003F2E8C">
        <w:rPr>
          <w:rFonts w:eastAsia="MS Mincho"/>
          <w:snapToGrid w:val="0"/>
          <w:kern w:val="22"/>
          <w:szCs w:val="22"/>
          <w:lang w:val="fr-CA" w:eastAsia="ja-JP"/>
        </w:rPr>
        <w:lastRenderedPageBreak/>
        <w:t>Matériaux des conteneurs et des emballages</w:t>
      </w:r>
      <w:bookmarkEnd w:id="387"/>
      <w:bookmarkEnd w:id="388"/>
      <w:bookmarkEnd w:id="389"/>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L’expéditeur/exportateur d'</w:t>
      </w:r>
      <w:r>
        <w:rPr>
          <w:rFonts w:eastAsia="MS Mincho"/>
          <w:snapToGrid w:val="0"/>
          <w:kern w:val="22"/>
          <w:szCs w:val="22"/>
          <w:lang w:val="fr-CA" w:eastAsia="ja-JP"/>
        </w:rPr>
        <w:t>organismes vivant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s'assurer, avant l'expédition, de traiter la litière des animaux de mani</w:t>
      </w:r>
      <w:r>
        <w:rPr>
          <w:rFonts w:eastAsia="MS Mincho"/>
          <w:snapToGrid w:val="0"/>
          <w:kern w:val="22"/>
          <w:szCs w:val="22"/>
          <w:lang w:val="fr-CA" w:eastAsia="ja-JP"/>
        </w:rPr>
        <w:t>ère adéquate pour s’assurer qu'elle est</w:t>
      </w:r>
      <w:r w:rsidRPr="003F2E8C">
        <w:rPr>
          <w:rFonts w:eastAsia="MS Mincho"/>
          <w:snapToGrid w:val="0"/>
          <w:kern w:val="22"/>
          <w:szCs w:val="22"/>
          <w:lang w:val="fr-CA" w:eastAsia="ja-JP"/>
        </w:rPr>
        <w:t xml:space="preserve"> exempte d'organismes n</w:t>
      </w:r>
      <w:r>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 exotiques envahissantes qui présentent un danger pour le pays importateur, le</w:t>
      </w:r>
      <w:r>
        <w:rPr>
          <w:rFonts w:eastAsia="MS Mincho"/>
          <w:snapToGrid w:val="0"/>
          <w:kern w:val="22"/>
          <w:szCs w:val="22"/>
          <w:lang w:val="fr-CA" w:eastAsia="ja-JP"/>
        </w:rPr>
        <w:t>s</w:t>
      </w:r>
      <w:r w:rsidRPr="003F2E8C">
        <w:rPr>
          <w:rFonts w:eastAsia="MS Mincho"/>
          <w:snapToGrid w:val="0"/>
          <w:kern w:val="22"/>
          <w:szCs w:val="22"/>
          <w:lang w:val="fr-CA" w:eastAsia="ja-JP"/>
        </w:rPr>
        <w:t xml:space="preserve"> pays traversé</w:t>
      </w:r>
      <w:r>
        <w:rPr>
          <w:rFonts w:eastAsia="MS Mincho"/>
          <w:snapToGrid w:val="0"/>
          <w:kern w:val="22"/>
          <w:szCs w:val="22"/>
          <w:lang w:val="fr-CA" w:eastAsia="ja-JP"/>
        </w:rPr>
        <w:t>s</w:t>
      </w:r>
      <w:r w:rsidRPr="003F2E8C">
        <w:rPr>
          <w:rFonts w:eastAsia="MS Mincho"/>
          <w:snapToGrid w:val="0"/>
          <w:kern w:val="22"/>
          <w:szCs w:val="22"/>
          <w:lang w:val="fr-CA" w:eastAsia="ja-JP"/>
        </w:rPr>
        <w:t xml:space="preserve"> en transit ou les zones biogéographiques concernées.</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L'eau ou les eaux des </w:t>
      </w:r>
      <w:r>
        <w:rPr>
          <w:rFonts w:eastAsia="MS Mincho"/>
          <w:snapToGrid w:val="0"/>
          <w:kern w:val="22"/>
          <w:szCs w:val="22"/>
          <w:lang w:val="fr-CA" w:eastAsia="ja-JP"/>
        </w:rPr>
        <w:t xml:space="preserve">organismes </w:t>
      </w:r>
      <w:r w:rsidRPr="003F2E8C">
        <w:rPr>
          <w:rFonts w:eastAsia="MS Mincho"/>
          <w:snapToGrid w:val="0"/>
          <w:kern w:val="22"/>
          <w:szCs w:val="22"/>
          <w:lang w:val="fr-CA" w:eastAsia="ja-JP"/>
        </w:rPr>
        <w:t>aqua</w:t>
      </w:r>
      <w:r>
        <w:rPr>
          <w:rFonts w:eastAsia="MS Mincho"/>
          <w:snapToGrid w:val="0"/>
          <w:kern w:val="22"/>
          <w:szCs w:val="22"/>
          <w:lang w:val="fr-CA" w:eastAsia="ja-JP"/>
        </w:rPr>
        <w:t>tiques vivants et tout milieu connexe utilisé</w:t>
      </w:r>
      <w:r w:rsidRPr="003F2E8C">
        <w:rPr>
          <w:rFonts w:eastAsia="MS Mincho"/>
          <w:snapToGrid w:val="0"/>
          <w:kern w:val="22"/>
          <w:szCs w:val="22"/>
          <w:lang w:val="fr-CA" w:eastAsia="ja-JP"/>
        </w:rPr>
        <w:t xml:space="preserve"> pendant le transport </w:t>
      </w:r>
      <w:r>
        <w:rPr>
          <w:rFonts w:eastAsia="MS Mincho"/>
          <w:snapToGrid w:val="0"/>
          <w:kern w:val="22"/>
          <w:szCs w:val="22"/>
          <w:lang w:val="fr-CA" w:eastAsia="ja-JP"/>
        </w:rPr>
        <w:t>doivent être exempt</w:t>
      </w:r>
      <w:r w:rsidRPr="003F2E8C">
        <w:rPr>
          <w:rFonts w:eastAsia="MS Mincho"/>
          <w:snapToGrid w:val="0"/>
          <w:kern w:val="22"/>
          <w:szCs w:val="22"/>
          <w:lang w:val="fr-CA" w:eastAsia="ja-JP"/>
        </w:rPr>
        <w:t>s d'organismes n</w:t>
      </w:r>
      <w:r>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w:t>
      </w:r>
      <w:r>
        <w:rPr>
          <w:rFonts w:eastAsia="MS Mincho"/>
          <w:snapToGrid w:val="0"/>
          <w:kern w:val="22"/>
          <w:szCs w:val="22"/>
          <w:lang w:val="fr-CA" w:eastAsia="ja-JP"/>
        </w:rPr>
        <w:t xml:space="preserve"> exotiques </w:t>
      </w:r>
      <w:r w:rsidRPr="003F2E8C">
        <w:rPr>
          <w:rFonts w:eastAsia="MS Mincho"/>
          <w:snapToGrid w:val="0"/>
          <w:kern w:val="22"/>
          <w:szCs w:val="22"/>
          <w:lang w:val="fr-CA" w:eastAsia="ja-JP"/>
        </w:rPr>
        <w:t>envahissante</w:t>
      </w:r>
      <w:r>
        <w:rPr>
          <w:rFonts w:eastAsia="MS Mincho"/>
          <w:snapToGrid w:val="0"/>
          <w:kern w:val="22"/>
          <w:szCs w:val="22"/>
          <w:lang w:val="fr-CA" w:eastAsia="ja-JP"/>
        </w:rPr>
        <w:t>s</w:t>
      </w:r>
      <w:r w:rsidRPr="003F2E8C">
        <w:rPr>
          <w:rFonts w:eastAsia="MS Mincho"/>
          <w:snapToGrid w:val="0"/>
          <w:kern w:val="22"/>
          <w:szCs w:val="22"/>
          <w:lang w:val="fr-CA" w:eastAsia="ja-JP"/>
        </w:rPr>
        <w:t xml:space="preserve"> qui présentent un danger pour le pays importateur ou les zones biogéographiques qui les reçoivent</w:t>
      </w:r>
      <w:r>
        <w:rPr>
          <w:rFonts w:eastAsia="MS Mincho"/>
          <w:snapToGrid w:val="0"/>
          <w:kern w:val="22"/>
          <w:szCs w:val="22"/>
          <w:lang w:val="fr-CA" w:eastAsia="ja-JP"/>
        </w:rPr>
        <w:t>,</w:t>
      </w:r>
      <w:r w:rsidRPr="003F2E8C">
        <w:rPr>
          <w:rFonts w:eastAsia="MS Mincho"/>
          <w:snapToGrid w:val="0"/>
          <w:kern w:val="22"/>
          <w:szCs w:val="22"/>
          <w:lang w:val="fr-CA" w:eastAsia="ja-JP"/>
        </w:rPr>
        <w:t xml:space="preserve"> et </w:t>
      </w:r>
      <w:r>
        <w:rPr>
          <w:rFonts w:eastAsia="MS Mincho"/>
          <w:snapToGrid w:val="0"/>
          <w:kern w:val="22"/>
          <w:szCs w:val="22"/>
          <w:lang w:val="fr-CA" w:eastAsia="ja-JP"/>
        </w:rPr>
        <w:t xml:space="preserve">doivent </w:t>
      </w:r>
      <w:r w:rsidRPr="003F2E8C">
        <w:rPr>
          <w:rFonts w:eastAsia="MS Mincho"/>
          <w:snapToGrid w:val="0"/>
          <w:kern w:val="22"/>
          <w:szCs w:val="22"/>
          <w:lang w:val="fr-CA" w:eastAsia="ja-JP"/>
        </w:rPr>
        <w:t>être traités comme exigé.</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réserves d'air et les dispositifs d'alimentation en air des chargements </w:t>
      </w:r>
      <w:r>
        <w:rPr>
          <w:rFonts w:eastAsia="MS Mincho"/>
          <w:snapToGrid w:val="0"/>
          <w:kern w:val="22"/>
          <w:szCs w:val="22"/>
          <w:lang w:val="fr-CA" w:eastAsia="ja-JP"/>
        </w:rPr>
        <w:t>d’organismes</w:t>
      </w:r>
      <w:r w:rsidRPr="003F2E8C">
        <w:rPr>
          <w:rFonts w:eastAsia="MS Mincho"/>
          <w:snapToGrid w:val="0"/>
          <w:kern w:val="22"/>
          <w:szCs w:val="22"/>
          <w:lang w:val="fr-CA" w:eastAsia="ja-JP"/>
        </w:rPr>
        <w:t xml:space="preserve"> aquatiques </w:t>
      </w:r>
      <w:r>
        <w:rPr>
          <w:rFonts w:eastAsia="MS Mincho"/>
          <w:snapToGrid w:val="0"/>
          <w:kern w:val="22"/>
          <w:szCs w:val="22"/>
          <w:lang w:val="fr-CA" w:eastAsia="ja-JP"/>
        </w:rPr>
        <w:t>doivent être exempt</w:t>
      </w:r>
      <w:r w:rsidRPr="003F2E8C">
        <w:rPr>
          <w:rFonts w:eastAsia="MS Mincho"/>
          <w:snapToGrid w:val="0"/>
          <w:kern w:val="22"/>
          <w:szCs w:val="22"/>
          <w:lang w:val="fr-CA" w:eastAsia="ja-JP"/>
        </w:rPr>
        <w:t>s d'organismes n</w:t>
      </w:r>
      <w:r>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w:t>
      </w:r>
      <w:r>
        <w:rPr>
          <w:rFonts w:eastAsia="MS Mincho"/>
          <w:snapToGrid w:val="0"/>
          <w:kern w:val="22"/>
          <w:szCs w:val="22"/>
          <w:lang w:val="fr-CA" w:eastAsia="ja-JP"/>
        </w:rPr>
        <w:t xml:space="preserve"> exotiques </w:t>
      </w:r>
      <w:r w:rsidRPr="003F2E8C">
        <w:rPr>
          <w:rFonts w:eastAsia="MS Mincho"/>
          <w:snapToGrid w:val="0"/>
          <w:kern w:val="22"/>
          <w:szCs w:val="22"/>
          <w:lang w:val="fr-CA" w:eastAsia="ja-JP"/>
        </w:rPr>
        <w:t>envahissantes qui présentent un danger pour le pays importateur ou les zones biogéographiques qui les reçoivent.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Les résidus de terre ou de matières connexes qui sont liés au transport d'</w:t>
      </w:r>
      <w:r>
        <w:rPr>
          <w:rFonts w:eastAsia="MS Mincho"/>
          <w:snapToGrid w:val="0"/>
          <w:kern w:val="22"/>
          <w:szCs w:val="22"/>
          <w:lang w:val="fr-CA" w:eastAsia="ja-JP"/>
        </w:rPr>
        <w:t>organismes</w:t>
      </w:r>
      <w:r w:rsidRPr="003F2E8C">
        <w:rPr>
          <w:rFonts w:eastAsia="MS Mincho"/>
          <w:snapToGrid w:val="0"/>
          <w:kern w:val="22"/>
          <w:szCs w:val="22"/>
          <w:lang w:val="fr-CA" w:eastAsia="ja-JP"/>
        </w:rPr>
        <w:t xml:space="preserve"> viv</w:t>
      </w:r>
      <w:r>
        <w:rPr>
          <w:rFonts w:eastAsia="MS Mincho"/>
          <w:snapToGrid w:val="0"/>
          <w:kern w:val="22"/>
          <w:szCs w:val="22"/>
          <w:lang w:val="fr-CA" w:eastAsia="ja-JP"/>
        </w:rPr>
        <w:t>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éliminés par l'expéditeur/exportateur avant l'envoi. S'ils ne peuvent pas être éliminés des conteneurs et des emballages, l'expéditeur/exportateur doit se confo</w:t>
      </w:r>
      <w:r>
        <w:rPr>
          <w:rFonts w:eastAsia="MS Mincho"/>
          <w:snapToGrid w:val="0"/>
          <w:kern w:val="22"/>
          <w:szCs w:val="22"/>
          <w:lang w:val="fr-CA" w:eastAsia="ja-JP"/>
        </w:rPr>
        <w:t>rmer aux règlements d’importation</w:t>
      </w:r>
      <w:r w:rsidRPr="003F2E8C">
        <w:rPr>
          <w:rFonts w:eastAsia="MS Mincho"/>
          <w:snapToGrid w:val="0"/>
          <w:kern w:val="22"/>
          <w:szCs w:val="22"/>
          <w:lang w:val="fr-CA" w:eastAsia="ja-JP"/>
        </w:rPr>
        <w:t xml:space="preserve"> </w:t>
      </w:r>
      <w:r>
        <w:rPr>
          <w:rFonts w:eastAsia="MS Mincho"/>
          <w:snapToGrid w:val="0"/>
          <w:kern w:val="22"/>
          <w:szCs w:val="22"/>
          <w:lang w:val="fr-CA" w:eastAsia="ja-JP"/>
        </w:rPr>
        <w:t>de</w:t>
      </w:r>
      <w:r w:rsidRPr="003F2E8C">
        <w:rPr>
          <w:rFonts w:eastAsia="MS Mincho"/>
          <w:snapToGrid w:val="0"/>
          <w:kern w:val="22"/>
          <w:szCs w:val="22"/>
          <w:lang w:val="fr-CA" w:eastAsia="ja-JP"/>
        </w:rPr>
        <w:t xml:space="preserve"> l'organisme national de protection des végétaux du pays importateur.</w:t>
      </w:r>
    </w:p>
    <w:p w:rsidR="009F6935" w:rsidRPr="003F2E8C"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bookmarkStart w:id="390" w:name="_Toc525904267"/>
      <w:bookmarkStart w:id="391" w:name="_Toc525904426"/>
      <w:bookmarkStart w:id="392" w:name="_Toc525904670"/>
      <w:r w:rsidRPr="003F2E8C">
        <w:rPr>
          <w:rFonts w:eastAsia="MS Mincho"/>
          <w:snapToGrid w:val="0"/>
          <w:kern w:val="22"/>
          <w:szCs w:val="22"/>
          <w:lang w:val="fr-CA" w:eastAsia="ja-JP"/>
        </w:rPr>
        <w:t>Aliments ou denrées alimentaires pour animaux vivants</w:t>
      </w:r>
      <w:bookmarkEnd w:id="390"/>
      <w:bookmarkEnd w:id="391"/>
      <w:bookmarkEnd w:id="392"/>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L'expéditeur/exportateur d'</w:t>
      </w:r>
      <w:r>
        <w:rPr>
          <w:rFonts w:eastAsia="MS Mincho"/>
          <w:snapToGrid w:val="0"/>
          <w:kern w:val="22"/>
          <w:szCs w:val="22"/>
          <w:lang w:val="fr-CA" w:eastAsia="ja-JP"/>
        </w:rPr>
        <w:t>organismes</w:t>
      </w:r>
      <w:r w:rsidRPr="003F2E8C">
        <w:rPr>
          <w:rFonts w:eastAsia="MS Mincho"/>
          <w:snapToGrid w:val="0"/>
          <w:kern w:val="22"/>
          <w:szCs w:val="22"/>
          <w:lang w:val="fr-CA" w:eastAsia="ja-JP"/>
        </w:rPr>
        <w:t xml:space="preserve"> viv</w:t>
      </w:r>
      <w:r>
        <w:rPr>
          <w:rFonts w:eastAsia="MS Mincho"/>
          <w:snapToGrid w:val="0"/>
          <w:kern w:val="22"/>
          <w:szCs w:val="22"/>
          <w:lang w:val="fr-CA" w:eastAsia="ja-JP"/>
        </w:rPr>
        <w:t>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 xml:space="preserve">doit </w:t>
      </w:r>
      <w:r w:rsidRPr="003F2E8C">
        <w:rPr>
          <w:rFonts w:eastAsia="MS Mincho"/>
          <w:snapToGrid w:val="0"/>
          <w:kern w:val="22"/>
          <w:szCs w:val="22"/>
          <w:lang w:val="fr-CA" w:eastAsia="ja-JP"/>
        </w:rPr>
        <w:t xml:space="preserve">s'assurer que les aliments pour animaux ou denrées alimentaires contenus dans un envoi ne sont pas composés de semences viables, de parties de plantes ou d'animaux qui sont susceptibles de se développer sur le lieu de destination. Les expéditeurs/exportateurs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s'assurer que les aliments pour animaux ou les denrées alimentaires </w:t>
      </w:r>
      <w:r>
        <w:rPr>
          <w:rFonts w:eastAsia="MS Mincho"/>
          <w:snapToGrid w:val="0"/>
          <w:kern w:val="22"/>
          <w:szCs w:val="22"/>
          <w:lang w:val="fr-CA" w:eastAsia="ja-JP"/>
        </w:rPr>
        <w:t>sont</w:t>
      </w:r>
      <w:r w:rsidRPr="003F2E8C">
        <w:rPr>
          <w:rFonts w:eastAsia="MS Mincho"/>
          <w:snapToGrid w:val="0"/>
          <w:kern w:val="22"/>
          <w:szCs w:val="22"/>
          <w:lang w:val="fr-CA" w:eastAsia="ja-JP"/>
        </w:rPr>
        <w:t xml:space="preserve"> exempts d'organismes n</w:t>
      </w:r>
      <w:r>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 exotiques envahissantes</w:t>
      </w:r>
      <w:r w:rsidRPr="005111CD">
        <w:rPr>
          <w:rFonts w:eastAsia="MS Mincho"/>
          <w:snapToGrid w:val="0"/>
          <w:kern w:val="22"/>
          <w:szCs w:val="22"/>
          <w:lang w:val="fr-CA" w:eastAsia="ja-JP"/>
        </w:rPr>
        <w:t xml:space="preserve"> qui présentent un danger pour le pays importateur, les pays traversés en transit ou les zones biogéographiques</w:t>
      </w:r>
      <w:r w:rsidRPr="003F2E8C">
        <w:rPr>
          <w:rFonts w:eastAsia="MS Mincho"/>
          <w:snapToGrid w:val="0"/>
          <w:kern w:val="22"/>
          <w:szCs w:val="22"/>
          <w:lang w:val="fr-CA" w:eastAsia="ja-JP"/>
        </w:rPr>
        <w:t xml:space="preserve"> concernées.</w:t>
      </w:r>
    </w:p>
    <w:p w:rsidR="009F6935" w:rsidRPr="003F2E8C"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bookmarkStart w:id="393" w:name="_Toc525904268"/>
      <w:bookmarkStart w:id="394" w:name="_Toc525904427"/>
      <w:bookmarkStart w:id="395" w:name="_Toc525904671"/>
      <w:r w:rsidRPr="003F2E8C">
        <w:rPr>
          <w:rFonts w:eastAsia="MS Mincho"/>
          <w:snapToGrid w:val="0"/>
          <w:kern w:val="22"/>
          <w:szCs w:val="22"/>
          <w:lang w:val="fr-CA" w:eastAsia="ja-JP"/>
        </w:rPr>
        <w:t>Traitement des sous-produits, des déchets, des eaux et des milieux</w:t>
      </w:r>
      <w:bookmarkEnd w:id="393"/>
      <w:bookmarkEnd w:id="394"/>
      <w:bookmarkEnd w:id="395"/>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3F2E8C">
        <w:rPr>
          <w:rFonts w:eastAsia="MS Mincho"/>
          <w:snapToGrid w:val="0"/>
          <w:kern w:val="22"/>
          <w:szCs w:val="22"/>
          <w:lang w:val="fr-CA" w:eastAsia="ja-JP"/>
        </w:rPr>
        <w:t>Les sous-produits et les résidus issus du transport d'</w:t>
      </w:r>
      <w:r>
        <w:rPr>
          <w:rFonts w:eastAsia="MS Mincho"/>
          <w:snapToGrid w:val="0"/>
          <w:kern w:val="22"/>
          <w:szCs w:val="22"/>
          <w:lang w:val="fr-CA" w:eastAsia="ja-JP"/>
        </w:rPr>
        <w:t>organismes</w:t>
      </w:r>
      <w:r w:rsidRPr="003F2E8C">
        <w:rPr>
          <w:rFonts w:eastAsia="MS Mincho"/>
          <w:snapToGrid w:val="0"/>
          <w:kern w:val="22"/>
          <w:szCs w:val="22"/>
          <w:lang w:val="fr-CA" w:eastAsia="ja-JP"/>
        </w:rPr>
        <w:t xml:space="preserve"> viv</w:t>
      </w:r>
      <w:r>
        <w:rPr>
          <w:rFonts w:eastAsia="MS Mincho"/>
          <w:snapToGrid w:val="0"/>
          <w:kern w:val="22"/>
          <w:szCs w:val="22"/>
          <w:lang w:val="fr-CA" w:eastAsia="ja-JP"/>
        </w:rPr>
        <w:t>ant</w:t>
      </w:r>
      <w:r w:rsidRPr="003F2E8C">
        <w:rPr>
          <w:rFonts w:eastAsia="MS Mincho"/>
          <w:snapToGrid w:val="0"/>
          <w:kern w:val="22"/>
          <w:szCs w:val="22"/>
          <w:lang w:val="fr-CA" w:eastAsia="ja-JP"/>
        </w:rPr>
        <w:t xml:space="preserv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retirés du c</w:t>
      </w:r>
      <w:r>
        <w:rPr>
          <w:rFonts w:eastAsia="MS Mincho"/>
          <w:snapToGrid w:val="0"/>
          <w:kern w:val="22"/>
          <w:szCs w:val="22"/>
          <w:lang w:val="fr-CA" w:eastAsia="ja-JP"/>
        </w:rPr>
        <w:t>hargement et traités ou éliminé</w:t>
      </w:r>
      <w:r w:rsidRPr="003F2E8C">
        <w:rPr>
          <w:rFonts w:eastAsia="MS Mincho"/>
          <w:snapToGrid w:val="0"/>
          <w:kern w:val="22"/>
          <w:szCs w:val="22"/>
          <w:lang w:val="fr-CA" w:eastAsia="ja-JP"/>
        </w:rPr>
        <w:t xml:space="preserve">s dès que possible à l'arrivée dans le pays d'accueil. Le destinataire du chargement </w:t>
      </w:r>
      <w:r>
        <w:rPr>
          <w:rFonts w:eastAsia="MS Mincho"/>
          <w:snapToGrid w:val="0"/>
          <w:kern w:val="22"/>
          <w:szCs w:val="22"/>
          <w:lang w:val="fr-CA" w:eastAsia="ja-JP"/>
        </w:rPr>
        <w:t>doit</w:t>
      </w:r>
      <w:r w:rsidRPr="003F2E8C">
        <w:rPr>
          <w:rFonts w:eastAsia="MS Mincho"/>
          <w:snapToGrid w:val="0"/>
          <w:kern w:val="22"/>
          <w:szCs w:val="22"/>
          <w:lang w:val="fr-CA" w:eastAsia="ja-JP"/>
        </w:rPr>
        <w:t xml:space="preserve"> traiter de manière appropriée, notamment au moyen de méthodes de désinfection</w:t>
      </w:r>
      <w:r w:rsidRPr="003F2E8C">
        <w:rPr>
          <w:rFonts w:eastAsia="MS Mincho"/>
          <w:snapToGrid w:val="0"/>
          <w:kern w:val="22"/>
          <w:szCs w:val="22"/>
          <w:vertAlign w:val="superscript"/>
          <w:lang w:val="fr-CA" w:eastAsia="ja-JP"/>
        </w:rPr>
        <w:footnoteReference w:id="127"/>
      </w:r>
      <w:r w:rsidRPr="003F2E8C">
        <w:rPr>
          <w:rFonts w:eastAsia="MS Mincho"/>
          <w:snapToGrid w:val="0"/>
          <w:kern w:val="22"/>
          <w:szCs w:val="22"/>
          <w:lang w:val="fr-CA" w:eastAsia="ja-JP"/>
        </w:rPr>
        <w:t>, d'incinération, d'équarrissage, d'autoclavage ou d'aut</w:t>
      </w:r>
      <w:r>
        <w:rPr>
          <w:rFonts w:eastAsia="MS Mincho"/>
          <w:snapToGrid w:val="0"/>
          <w:kern w:val="22"/>
          <w:szCs w:val="22"/>
          <w:lang w:val="fr-CA" w:eastAsia="ja-JP"/>
        </w:rPr>
        <w:t xml:space="preserve">res procédés les conteneurs et </w:t>
      </w:r>
      <w:r w:rsidRPr="003F2E8C">
        <w:rPr>
          <w:rFonts w:eastAsia="MS Mincho"/>
          <w:snapToGrid w:val="0"/>
          <w:kern w:val="22"/>
          <w:szCs w:val="22"/>
          <w:lang w:val="fr-CA" w:eastAsia="ja-JP"/>
        </w:rPr>
        <w:t>emballage</w:t>
      </w:r>
      <w:r>
        <w:rPr>
          <w:rFonts w:eastAsia="MS Mincho"/>
          <w:snapToGrid w:val="0"/>
          <w:kern w:val="22"/>
          <w:szCs w:val="22"/>
          <w:lang w:val="fr-CA" w:eastAsia="ja-JP"/>
        </w:rPr>
        <w:t>s</w:t>
      </w:r>
      <w:r w:rsidRPr="003F2E8C">
        <w:rPr>
          <w:rFonts w:eastAsia="MS Mincho"/>
          <w:snapToGrid w:val="0"/>
          <w:kern w:val="22"/>
          <w:szCs w:val="22"/>
          <w:lang w:val="fr-CA" w:eastAsia="ja-JP"/>
        </w:rPr>
        <w:t>, les autres matériaux associés, les sous-produits et</w:t>
      </w:r>
      <w:r>
        <w:rPr>
          <w:rFonts w:eastAsia="MS Mincho"/>
          <w:snapToGrid w:val="0"/>
          <w:kern w:val="22"/>
          <w:szCs w:val="22"/>
          <w:lang w:val="fr-CA" w:eastAsia="ja-JP"/>
        </w:rPr>
        <w:t xml:space="preserve"> les résidus avant leur élimination,</w:t>
      </w:r>
      <w:r w:rsidRPr="003F2E8C">
        <w:rPr>
          <w:rFonts w:eastAsia="MS Mincho"/>
          <w:snapToGrid w:val="0"/>
          <w:kern w:val="22"/>
          <w:szCs w:val="22"/>
          <w:lang w:val="fr-CA" w:eastAsia="ja-JP"/>
        </w:rPr>
        <w:t xml:space="preserve"> afin de</w:t>
      </w:r>
      <w:r>
        <w:rPr>
          <w:rFonts w:eastAsia="MS Mincho"/>
          <w:snapToGrid w:val="0"/>
          <w:kern w:val="22"/>
          <w:szCs w:val="22"/>
          <w:lang w:val="fr-CA" w:eastAsia="ja-JP"/>
        </w:rPr>
        <w:t xml:space="preserve"> limiter les risques présentés par </w:t>
      </w:r>
      <w:r w:rsidRPr="003F2E8C">
        <w:rPr>
          <w:rFonts w:eastAsia="MS Mincho"/>
          <w:snapToGrid w:val="0"/>
          <w:kern w:val="22"/>
          <w:szCs w:val="22"/>
          <w:lang w:val="fr-CA" w:eastAsia="ja-JP"/>
        </w:rPr>
        <w:t xml:space="preserve">les espèces exotiques </w:t>
      </w:r>
      <w:r>
        <w:rPr>
          <w:rFonts w:eastAsia="MS Mincho"/>
          <w:snapToGrid w:val="0"/>
          <w:kern w:val="22"/>
          <w:szCs w:val="22"/>
          <w:lang w:val="fr-CA" w:eastAsia="ja-JP"/>
        </w:rPr>
        <w:t>envahissantes</w:t>
      </w:r>
      <w:r w:rsidRPr="003F2E8C">
        <w:rPr>
          <w:rFonts w:eastAsia="MS Mincho"/>
          <w:snapToGrid w:val="0"/>
          <w:kern w:val="22"/>
          <w:szCs w:val="22"/>
          <w:lang w:val="fr-CA" w:eastAsia="ja-JP"/>
        </w:rPr>
        <w:t>.</w:t>
      </w:r>
    </w:p>
    <w:p w:rsidR="009F6935" w:rsidRPr="003F2E8C"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snapToGrid w:val="0"/>
          <w:kern w:val="22"/>
          <w:szCs w:val="22"/>
          <w:lang w:val="fr-CA" w:eastAsia="ja-JP"/>
        </w:rPr>
      </w:pPr>
      <w:bookmarkStart w:id="396" w:name="_Toc525904269"/>
      <w:bookmarkStart w:id="397" w:name="_Toc525904428"/>
      <w:bookmarkStart w:id="398" w:name="_Toc525904672"/>
      <w:r w:rsidRPr="003F2E8C">
        <w:rPr>
          <w:rFonts w:eastAsia="MS Mincho"/>
          <w:snapToGrid w:val="0"/>
          <w:kern w:val="22"/>
          <w:szCs w:val="22"/>
          <w:lang w:val="fr-CA" w:eastAsia="ja-JP"/>
        </w:rPr>
        <w:t>État des véhicules transporteurs</w:t>
      </w:r>
      <w:bookmarkEnd w:id="396"/>
      <w:bookmarkEnd w:id="397"/>
      <w:bookmarkEnd w:id="398"/>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Les véhicules de transport prévus ou utilisés pour les chargement</w:t>
      </w:r>
      <w:r>
        <w:rPr>
          <w:rFonts w:eastAsia="MS Mincho"/>
          <w:snapToGrid w:val="0"/>
          <w:kern w:val="22"/>
          <w:szCs w:val="22"/>
          <w:lang w:val="fr-CA" w:eastAsia="ja-JP"/>
        </w:rPr>
        <w:t>s</w:t>
      </w:r>
      <w:r w:rsidRPr="003F2E8C">
        <w:rPr>
          <w:rFonts w:eastAsia="MS Mincho"/>
          <w:snapToGrid w:val="0"/>
          <w:kern w:val="22"/>
          <w:szCs w:val="22"/>
          <w:lang w:val="fr-CA" w:eastAsia="ja-JP"/>
        </w:rPr>
        <w:t xml:space="preserve"> d'</w:t>
      </w:r>
      <w:r>
        <w:rPr>
          <w:rFonts w:eastAsia="MS Mincho"/>
          <w:snapToGrid w:val="0"/>
          <w:kern w:val="22"/>
          <w:szCs w:val="22"/>
          <w:lang w:val="fr-CA" w:eastAsia="ja-JP"/>
        </w:rPr>
        <w:t>organismes</w:t>
      </w:r>
      <w:r w:rsidRPr="003F2E8C">
        <w:rPr>
          <w:rFonts w:eastAsia="MS Mincho"/>
          <w:snapToGrid w:val="0"/>
          <w:kern w:val="22"/>
          <w:szCs w:val="22"/>
          <w:lang w:val="fr-CA" w:eastAsia="ja-JP"/>
        </w:rPr>
        <w:t xml:space="preserve"> viv</w:t>
      </w:r>
      <w:r>
        <w:rPr>
          <w:rFonts w:eastAsia="MS Mincho"/>
          <w:snapToGrid w:val="0"/>
          <w:kern w:val="22"/>
          <w:szCs w:val="22"/>
          <w:lang w:val="fr-CA" w:eastAsia="ja-JP"/>
        </w:rPr>
        <w:t>ant</w:t>
      </w:r>
      <w:r w:rsidRPr="003F2E8C">
        <w:rPr>
          <w:rFonts w:eastAsia="MS Mincho"/>
          <w:snapToGrid w:val="0"/>
          <w:kern w:val="22"/>
          <w:szCs w:val="22"/>
          <w:lang w:val="fr-CA" w:eastAsia="ja-JP"/>
        </w:rPr>
        <w:t xml:space="preserve">s doivent être lavés, désinfectés ou traités de toute autre manière appropriée. Les propriétaires des véhicules de transport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prendre les mesures adéquates pour </w:t>
      </w:r>
      <w:r>
        <w:rPr>
          <w:rFonts w:eastAsia="MS Mincho"/>
          <w:snapToGrid w:val="0"/>
          <w:kern w:val="22"/>
          <w:szCs w:val="22"/>
          <w:lang w:val="fr-CA" w:eastAsia="ja-JP"/>
        </w:rPr>
        <w:t xml:space="preserve">faire en sorte </w:t>
      </w:r>
      <w:r w:rsidRPr="003F2E8C">
        <w:rPr>
          <w:rFonts w:eastAsia="MS Mincho"/>
          <w:snapToGrid w:val="0"/>
          <w:kern w:val="22"/>
          <w:szCs w:val="22"/>
          <w:lang w:val="fr-CA" w:eastAsia="ja-JP"/>
        </w:rPr>
        <w:t>que le traitement soit effectué dès l'arrivée d'un véhicule de transport à sa destination et pour le maintenir en état jusqu'à son utilisation ultérieure.</w:t>
      </w:r>
    </w:p>
    <w:p w:rsidR="009F6935"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Pr>
          <w:rFonts w:eastAsia="MS Mincho"/>
          <w:snapToGrid w:val="0"/>
          <w:kern w:val="22"/>
          <w:szCs w:val="22"/>
          <w:lang w:val="fr-CA" w:eastAsia="ja-JP"/>
        </w:rPr>
        <w:t>Avant toute activité de transport</w:t>
      </w:r>
      <w:r w:rsidRPr="003F2E8C">
        <w:rPr>
          <w:rFonts w:eastAsia="MS Mincho"/>
          <w:snapToGrid w:val="0"/>
          <w:kern w:val="22"/>
          <w:szCs w:val="22"/>
          <w:lang w:val="fr-CA" w:eastAsia="ja-JP"/>
        </w:rPr>
        <w:t>, le moyen de transport doit être inspecté pour déterminer son état sanitaire et phytosanitaire</w:t>
      </w:r>
      <w:r>
        <w:rPr>
          <w:rFonts w:eastAsia="MS Mincho"/>
          <w:snapToGrid w:val="0"/>
          <w:kern w:val="22"/>
          <w:szCs w:val="22"/>
          <w:lang w:val="fr-CA" w:eastAsia="ja-JP"/>
        </w:rPr>
        <w:t>,</w:t>
      </w:r>
      <w:r w:rsidRPr="003F2E8C">
        <w:rPr>
          <w:rFonts w:eastAsia="MS Mincho"/>
          <w:snapToGrid w:val="0"/>
          <w:kern w:val="22"/>
          <w:szCs w:val="22"/>
          <w:lang w:val="fr-CA" w:eastAsia="ja-JP"/>
        </w:rPr>
        <w:t xml:space="preserve"> afin de réduire au minimum le ri</w:t>
      </w:r>
      <w:r>
        <w:rPr>
          <w:rFonts w:eastAsia="MS Mincho"/>
          <w:snapToGrid w:val="0"/>
          <w:kern w:val="22"/>
          <w:szCs w:val="22"/>
          <w:lang w:val="fr-CA" w:eastAsia="ja-JP"/>
        </w:rPr>
        <w:t>sque d'introduction non intentionnelle</w:t>
      </w:r>
      <w:r w:rsidRPr="003F2E8C">
        <w:rPr>
          <w:rFonts w:eastAsia="MS Mincho"/>
          <w:snapToGrid w:val="0"/>
          <w:kern w:val="22"/>
          <w:szCs w:val="22"/>
          <w:lang w:val="fr-CA" w:eastAsia="ja-JP"/>
        </w:rPr>
        <w:t xml:space="preserve"> d'organismes n</w:t>
      </w:r>
      <w:r>
        <w:rPr>
          <w:rFonts w:eastAsia="MS Mincho"/>
          <w:snapToGrid w:val="0"/>
          <w:kern w:val="22"/>
          <w:szCs w:val="22"/>
          <w:lang w:val="fr-CA" w:eastAsia="ja-JP"/>
        </w:rPr>
        <w:t>uisibles, d'agents pathogènes ou</w:t>
      </w:r>
      <w:r w:rsidRPr="003F2E8C">
        <w:rPr>
          <w:rFonts w:eastAsia="MS Mincho"/>
          <w:snapToGrid w:val="0"/>
          <w:kern w:val="22"/>
          <w:szCs w:val="22"/>
          <w:lang w:val="fr-CA" w:eastAsia="ja-JP"/>
        </w:rPr>
        <w:t xml:space="preserve"> d’espèces exotiques envahissantes.</w:t>
      </w:r>
    </w:p>
    <w:p w:rsidR="009F6935"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AF4B51">
        <w:rPr>
          <w:rFonts w:eastAsia="MS Mincho"/>
          <w:snapToGrid w:val="0"/>
          <w:kern w:val="22"/>
          <w:szCs w:val="22"/>
          <w:lang w:val="fr-CA" w:eastAsia="ja-JP"/>
        </w:rPr>
        <w:t xml:space="preserve">En cas d'introduction d'organismes vivants, de fuite ou de déversement accidentel provenant d'un chargement, le propriétaire et les exploitants du moyen de transport doivent prendre les mesures </w:t>
      </w:r>
      <w:r w:rsidRPr="00AF4B51">
        <w:rPr>
          <w:rFonts w:eastAsia="MS Mincho"/>
          <w:snapToGrid w:val="0"/>
          <w:kern w:val="22"/>
          <w:szCs w:val="22"/>
          <w:lang w:val="fr-CA" w:eastAsia="ja-JP"/>
        </w:rPr>
        <w:lastRenderedPageBreak/>
        <w:t>nécessaires pour retrouver et confiner les organismes vivants et les espèces exotiques qui y sont attach</w:t>
      </w:r>
      <w:r>
        <w:rPr>
          <w:rFonts w:eastAsia="MS Mincho"/>
          <w:snapToGrid w:val="0"/>
          <w:kern w:val="22"/>
          <w:szCs w:val="22"/>
          <w:lang w:val="fr-CA" w:eastAsia="ja-JP"/>
        </w:rPr>
        <w:t>é</w:t>
      </w:r>
      <w:r w:rsidRPr="00AF4B51">
        <w:rPr>
          <w:rFonts w:eastAsia="MS Mincho"/>
          <w:snapToGrid w:val="0"/>
          <w:kern w:val="22"/>
          <w:szCs w:val="22"/>
          <w:lang w:val="fr-CA" w:eastAsia="ja-JP"/>
        </w:rPr>
        <w:t>s</w:t>
      </w:r>
      <w:r>
        <w:rPr>
          <w:rFonts w:eastAsia="MS Mincho"/>
          <w:snapToGrid w:val="0"/>
          <w:kern w:val="22"/>
          <w:szCs w:val="22"/>
          <w:lang w:val="fr-CA" w:eastAsia="ja-JP"/>
        </w:rPr>
        <w:t>,</w:t>
      </w:r>
      <w:r w:rsidRPr="00087256">
        <w:rPr>
          <w:lang w:val="fr-FR"/>
        </w:rPr>
        <w:t xml:space="preserve"> </w:t>
      </w:r>
      <w:r w:rsidRPr="00AF4B51">
        <w:rPr>
          <w:rFonts w:eastAsia="MS Mincho"/>
          <w:snapToGrid w:val="0"/>
          <w:kern w:val="22"/>
          <w:szCs w:val="22"/>
          <w:lang w:val="fr-CA" w:eastAsia="ja-JP"/>
        </w:rPr>
        <w:t>et notifier immédiatement aux autorités compétentes de ce pays tout échappement d'organismes vivants, tout déversement accidentel ou toute fuite d'un chargement. Les propriétaires et les exploitants de transporteurs doivent laver et désinfecter ou trai</w:t>
      </w:r>
      <w:r>
        <w:rPr>
          <w:rFonts w:eastAsia="MS Mincho"/>
          <w:snapToGrid w:val="0"/>
          <w:kern w:val="22"/>
          <w:szCs w:val="22"/>
          <w:lang w:val="fr-CA" w:eastAsia="ja-JP"/>
        </w:rPr>
        <w:t>ter les véhicules, selon qu’</w:t>
      </w:r>
      <w:r w:rsidRPr="00AF4B51">
        <w:rPr>
          <w:rFonts w:eastAsia="MS Mincho"/>
          <w:snapToGrid w:val="0"/>
          <w:kern w:val="22"/>
          <w:szCs w:val="22"/>
          <w:lang w:val="fr-CA" w:eastAsia="ja-JP"/>
        </w:rPr>
        <w:t>il convient</w:t>
      </w:r>
      <w:r>
        <w:rPr>
          <w:rFonts w:eastAsia="MS Mincho"/>
          <w:snapToGrid w:val="0"/>
          <w:kern w:val="22"/>
          <w:szCs w:val="22"/>
          <w:lang w:val="fr-CA" w:eastAsia="ja-JP"/>
        </w:rPr>
        <w:t>,</w:t>
      </w:r>
      <w:r w:rsidRPr="00AF4B51">
        <w:rPr>
          <w:rFonts w:eastAsia="MS Mincho"/>
          <w:snapToGrid w:val="0"/>
          <w:kern w:val="22"/>
          <w:szCs w:val="22"/>
          <w:lang w:val="fr-CA" w:eastAsia="ja-JP"/>
        </w:rPr>
        <w:t xml:space="preserve"> et informer les autorités nationales compétentes des pays concernés (pays traversé en transit ou de destination) de la nature de l'évasion, </w:t>
      </w:r>
      <w:r>
        <w:rPr>
          <w:rFonts w:eastAsia="MS Mincho"/>
          <w:snapToGrid w:val="0"/>
          <w:kern w:val="22"/>
          <w:szCs w:val="22"/>
          <w:lang w:val="fr-CA" w:eastAsia="ja-JP"/>
        </w:rPr>
        <w:t>du déversement ou de la fuite, ainsi que</w:t>
      </w:r>
      <w:r w:rsidRPr="00AF4B51">
        <w:rPr>
          <w:rFonts w:eastAsia="MS Mincho"/>
          <w:snapToGrid w:val="0"/>
          <w:kern w:val="22"/>
          <w:szCs w:val="22"/>
          <w:lang w:val="fr-CA" w:eastAsia="ja-JP"/>
        </w:rPr>
        <w:t xml:space="preserve"> des mesures pri</w:t>
      </w:r>
      <w:r>
        <w:rPr>
          <w:rFonts w:eastAsia="MS Mincho"/>
          <w:snapToGrid w:val="0"/>
          <w:kern w:val="22"/>
          <w:szCs w:val="22"/>
          <w:lang w:val="fr-CA" w:eastAsia="ja-JP"/>
        </w:rPr>
        <w:t>ses par les propriétaires ou les exploitant</w:t>
      </w:r>
      <w:r w:rsidRPr="00AF4B51">
        <w:rPr>
          <w:rFonts w:eastAsia="MS Mincho"/>
          <w:snapToGrid w:val="0"/>
          <w:kern w:val="22"/>
          <w:szCs w:val="22"/>
          <w:lang w:val="fr-CA" w:eastAsia="ja-JP"/>
        </w:rPr>
        <w:t>s du transporteur.</w:t>
      </w:r>
    </w:p>
    <w:p w:rsidR="009F6935" w:rsidRPr="00AF4B51" w:rsidRDefault="009F6935" w:rsidP="00004EAF">
      <w:pPr>
        <w:pStyle w:val="Heading2"/>
        <w:numPr>
          <w:ilvl w:val="0"/>
          <w:numId w:val="79"/>
        </w:numPr>
        <w:suppressLineNumbers/>
        <w:tabs>
          <w:tab w:val="clear" w:pos="720"/>
          <w:tab w:val="left" w:pos="360"/>
        </w:tabs>
        <w:suppressAutoHyphens/>
        <w:kinsoku w:val="0"/>
        <w:overflowPunct w:val="0"/>
        <w:autoSpaceDE w:val="0"/>
        <w:autoSpaceDN w:val="0"/>
        <w:adjustRightInd w:val="0"/>
        <w:snapToGrid w:val="0"/>
        <w:rPr>
          <w:rFonts w:eastAsia="MS Mincho"/>
          <w:lang w:val="fr-CA" w:eastAsia="ja-JP"/>
        </w:rPr>
      </w:pPr>
      <w:bookmarkStart w:id="399" w:name="_Toc525904270"/>
      <w:bookmarkStart w:id="400" w:name="_Toc525904429"/>
      <w:bookmarkStart w:id="401" w:name="_Toc525904673"/>
      <w:r w:rsidRPr="00AF4B51">
        <w:rPr>
          <w:rFonts w:eastAsia="MS Mincho"/>
          <w:snapToGrid w:val="0"/>
          <w:kern w:val="22"/>
          <w:szCs w:val="22"/>
          <w:lang w:val="fr-CA" w:eastAsia="ja-JP"/>
        </w:rPr>
        <w:t xml:space="preserve">Rôle </w:t>
      </w:r>
      <w:r w:rsidRPr="00AF4B51">
        <w:rPr>
          <w:rFonts w:eastAsia="MS Mincho"/>
          <w:lang w:val="fr-CA" w:eastAsia="ja-JP"/>
        </w:rPr>
        <w:t>du destinataire/importateur</w:t>
      </w:r>
      <w:bookmarkEnd w:id="399"/>
      <w:bookmarkEnd w:id="400"/>
      <w:bookmarkEnd w:id="401"/>
    </w:p>
    <w:p w:rsidR="009F6935" w:rsidRPr="00AF4B51"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AF4B51">
        <w:rPr>
          <w:rFonts w:eastAsia="MS Mincho"/>
          <w:snapToGrid w:val="0"/>
          <w:kern w:val="22"/>
          <w:szCs w:val="22"/>
          <w:lang w:val="fr-CA" w:eastAsia="ja-JP"/>
        </w:rPr>
        <w:t>Le destinataire/impor</w:t>
      </w:r>
      <w:r>
        <w:rPr>
          <w:rFonts w:eastAsia="MS Mincho"/>
          <w:snapToGrid w:val="0"/>
          <w:kern w:val="22"/>
          <w:szCs w:val="22"/>
          <w:lang w:val="fr-CA" w:eastAsia="ja-JP"/>
        </w:rPr>
        <w:t>tateur est au fait des conditions d'importation exigé</w:t>
      </w:r>
      <w:r w:rsidRPr="00AF4B51">
        <w:rPr>
          <w:rFonts w:eastAsia="MS Mincho"/>
          <w:snapToGrid w:val="0"/>
          <w:kern w:val="22"/>
          <w:szCs w:val="22"/>
          <w:lang w:val="fr-CA" w:eastAsia="ja-JP"/>
        </w:rPr>
        <w:t>es par le pays importateur et veille à s'y conformer. L'importateur in</w:t>
      </w:r>
      <w:r>
        <w:rPr>
          <w:rFonts w:eastAsia="MS Mincho"/>
          <w:snapToGrid w:val="0"/>
          <w:kern w:val="22"/>
          <w:szCs w:val="22"/>
          <w:lang w:val="fr-CA" w:eastAsia="ja-JP"/>
        </w:rPr>
        <w:t>forme les autorités compétentes</w:t>
      </w:r>
      <w:r w:rsidRPr="00AF4B51">
        <w:rPr>
          <w:rFonts w:eastAsia="MS Mincho"/>
          <w:snapToGrid w:val="0"/>
          <w:kern w:val="22"/>
          <w:szCs w:val="22"/>
          <w:lang w:val="fr-CA" w:eastAsia="ja-JP"/>
        </w:rPr>
        <w:t xml:space="preserve"> si le chargement est c</w:t>
      </w:r>
      <w:r>
        <w:rPr>
          <w:rFonts w:eastAsia="MS Mincho"/>
          <w:snapToGrid w:val="0"/>
          <w:kern w:val="22"/>
          <w:szCs w:val="22"/>
          <w:lang w:val="fr-CA" w:eastAsia="ja-JP"/>
        </w:rPr>
        <w:t xml:space="preserve">ontaminé, pour que </w:t>
      </w:r>
      <w:r w:rsidRPr="00AF4B51">
        <w:rPr>
          <w:rFonts w:eastAsia="MS Mincho"/>
          <w:snapToGrid w:val="0"/>
          <w:kern w:val="22"/>
          <w:szCs w:val="22"/>
          <w:lang w:val="fr-CA" w:eastAsia="ja-JP"/>
        </w:rPr>
        <w:t>les mesures nécessaires de confinement et d'élimination des contaminants</w:t>
      </w:r>
      <w:r>
        <w:rPr>
          <w:rFonts w:eastAsia="MS Mincho"/>
          <w:snapToGrid w:val="0"/>
          <w:kern w:val="22"/>
          <w:szCs w:val="22"/>
          <w:lang w:val="fr-CA" w:eastAsia="ja-JP"/>
        </w:rPr>
        <w:t xml:space="preserve"> soient prises.</w:t>
      </w:r>
    </w:p>
    <w:p w:rsidR="009F6935" w:rsidRPr="0028652F" w:rsidRDefault="009F6935" w:rsidP="009F6935">
      <w:pPr>
        <w:pStyle w:val="Heading2"/>
        <w:rPr>
          <w:rFonts w:eastAsia="MS Mincho"/>
          <w:lang w:val="fr-FR"/>
        </w:rPr>
      </w:pPr>
      <w:bookmarkStart w:id="402" w:name="_Toc525904271"/>
      <w:bookmarkStart w:id="403" w:name="_Toc525904430"/>
      <w:bookmarkStart w:id="404" w:name="_Toc525904674"/>
      <w:r w:rsidRPr="0028652F">
        <w:rPr>
          <w:rFonts w:eastAsia="MS Mincho"/>
          <w:lang w:val="fr-FR"/>
        </w:rPr>
        <w:t>I.</w:t>
      </w:r>
      <w:r w:rsidRPr="0028652F">
        <w:rPr>
          <w:rFonts w:eastAsia="MS Mincho"/>
          <w:lang w:val="fr-FR"/>
        </w:rPr>
        <w:tab/>
        <w:t>Rôle des États et des autorités nationales en matière d'espèces exotiques envahissantes</w:t>
      </w:r>
      <w:bookmarkEnd w:id="402"/>
      <w:bookmarkEnd w:id="403"/>
      <w:bookmarkEnd w:id="404"/>
    </w:p>
    <w:p w:rsidR="009F6935" w:rsidRPr="00E0280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Il est recommandé </w:t>
      </w:r>
      <w:r>
        <w:rPr>
          <w:rFonts w:eastAsia="MS Mincho"/>
          <w:snapToGrid w:val="0"/>
          <w:kern w:val="22"/>
          <w:szCs w:val="22"/>
          <w:lang w:val="fr-CA" w:eastAsia="ja-JP"/>
        </w:rPr>
        <w:t>de consigner et conserver</w:t>
      </w:r>
      <w:r w:rsidRPr="003F2E8C">
        <w:rPr>
          <w:rFonts w:eastAsia="MS Mincho"/>
          <w:snapToGrid w:val="0"/>
          <w:kern w:val="22"/>
          <w:szCs w:val="22"/>
          <w:lang w:val="fr-CA" w:eastAsia="ja-JP"/>
        </w:rPr>
        <w:t xml:space="preserve"> la documentation pertinente</w:t>
      </w:r>
      <w:r>
        <w:rPr>
          <w:rFonts w:eastAsia="MS Mincho"/>
          <w:snapToGrid w:val="0"/>
          <w:kern w:val="22"/>
          <w:szCs w:val="22"/>
          <w:lang w:val="fr-CA" w:eastAsia="ja-JP"/>
        </w:rPr>
        <w:t xml:space="preserve"> concernant les char</w:t>
      </w:r>
      <w:r w:rsidRPr="003F2E8C">
        <w:rPr>
          <w:rFonts w:eastAsia="MS Mincho"/>
          <w:snapToGrid w:val="0"/>
          <w:kern w:val="22"/>
          <w:szCs w:val="22"/>
          <w:lang w:val="fr-CA" w:eastAsia="ja-JP"/>
        </w:rPr>
        <w:t xml:space="preserve">gements </w:t>
      </w:r>
      <w:r w:rsidRPr="00AF4B51">
        <w:rPr>
          <w:rFonts w:eastAsia="MS Mincho"/>
          <w:snapToGrid w:val="0"/>
          <w:kern w:val="22"/>
          <w:szCs w:val="22"/>
          <w:lang w:val="fr-CA" w:eastAsia="ja-JP"/>
        </w:rPr>
        <w:t>d'organismes vivants</w:t>
      </w:r>
      <w:r>
        <w:rPr>
          <w:rFonts w:eastAsia="MS Mincho"/>
          <w:snapToGrid w:val="0"/>
          <w:kern w:val="22"/>
          <w:szCs w:val="22"/>
          <w:lang w:val="fr-CA" w:eastAsia="ja-JP"/>
        </w:rPr>
        <w:t xml:space="preserve">, où est indiqué </w:t>
      </w:r>
      <w:r w:rsidRPr="00E0280C">
        <w:rPr>
          <w:rFonts w:eastAsia="MS Mincho"/>
          <w:snapToGrid w:val="0"/>
          <w:kern w:val="22"/>
          <w:szCs w:val="22"/>
          <w:lang w:val="fr-CA" w:eastAsia="ja-JP"/>
        </w:rPr>
        <w:t xml:space="preserve">le nom de l’envoyeur/exportateur, le nom du destinataire/importateur, le nom de l’espèce et le pays l’origine de </w:t>
      </w:r>
      <w:r>
        <w:rPr>
          <w:rFonts w:eastAsia="MS Mincho"/>
          <w:snapToGrid w:val="0"/>
          <w:kern w:val="22"/>
          <w:szCs w:val="22"/>
          <w:lang w:val="fr-CA" w:eastAsia="ja-JP"/>
        </w:rPr>
        <w:t>l’organisme</w:t>
      </w:r>
      <w:r w:rsidRPr="00E0280C">
        <w:rPr>
          <w:rFonts w:eastAsia="MS Mincho"/>
          <w:snapToGrid w:val="0"/>
          <w:kern w:val="22"/>
          <w:szCs w:val="22"/>
          <w:lang w:val="fr-CA" w:eastAsia="ja-JP"/>
        </w:rPr>
        <w:t xml:space="preserve"> ou de la marchandise. Si des contaminants ont été décelés dans le chargement, des mesures doivent être prises pour prévenir l’introduction et la dissémination des espèces exotiques envahissan</w:t>
      </w:r>
      <w:r>
        <w:rPr>
          <w:rFonts w:eastAsia="MS Mincho"/>
          <w:snapToGrid w:val="0"/>
          <w:kern w:val="22"/>
          <w:szCs w:val="22"/>
          <w:lang w:val="fr-CA" w:eastAsia="ja-JP"/>
        </w:rPr>
        <w:t>tes, des organismes nuisibles ou</w:t>
      </w:r>
      <w:r w:rsidRPr="00E0280C">
        <w:rPr>
          <w:rFonts w:eastAsia="MS Mincho"/>
          <w:snapToGrid w:val="0"/>
          <w:kern w:val="22"/>
          <w:szCs w:val="22"/>
          <w:lang w:val="fr-CA" w:eastAsia="ja-JP"/>
        </w:rPr>
        <w:t xml:space="preserve"> des agents pathogènes, et l'état sanitaire des animaux et les conditions phytosanitaires des végétaux doivent être consignés.</w:t>
      </w:r>
    </w:p>
    <w:p w:rsidR="009F6935"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États </w:t>
      </w:r>
      <w:r>
        <w:rPr>
          <w:rFonts w:eastAsia="MS Mincho"/>
          <w:snapToGrid w:val="0"/>
          <w:kern w:val="22"/>
          <w:szCs w:val="22"/>
          <w:lang w:val="fr-CA" w:eastAsia="ja-JP"/>
        </w:rPr>
        <w:t>appliquent</w:t>
      </w:r>
      <w:r w:rsidRPr="003F2E8C">
        <w:rPr>
          <w:rFonts w:eastAsia="MS Mincho"/>
          <w:snapToGrid w:val="0"/>
          <w:kern w:val="22"/>
          <w:szCs w:val="22"/>
          <w:lang w:val="fr-CA" w:eastAsia="ja-JP"/>
        </w:rPr>
        <w:t xml:space="preserve"> des mesures nationales appropriées de gestion des risques aux front</w:t>
      </w:r>
      <w:r>
        <w:rPr>
          <w:rFonts w:eastAsia="MS Mincho"/>
          <w:snapToGrid w:val="0"/>
          <w:kern w:val="22"/>
          <w:szCs w:val="22"/>
          <w:lang w:val="fr-CA" w:eastAsia="ja-JP"/>
        </w:rPr>
        <w:t>ières, conformément aux orientations internationales en vigueur,</w:t>
      </w:r>
      <w:r w:rsidRPr="003F2E8C">
        <w:rPr>
          <w:rFonts w:eastAsia="MS Mincho"/>
          <w:snapToGrid w:val="0"/>
          <w:kern w:val="22"/>
          <w:szCs w:val="22"/>
          <w:lang w:val="fr-CA" w:eastAsia="ja-JP"/>
        </w:rPr>
        <w:t xml:space="preserve"> ainsi qu’aux politiques et réglementations</w:t>
      </w:r>
      <w:r>
        <w:rPr>
          <w:rFonts w:eastAsia="MS Mincho"/>
          <w:snapToGrid w:val="0"/>
          <w:kern w:val="22"/>
          <w:szCs w:val="22"/>
          <w:lang w:val="fr-CA" w:eastAsia="ja-JP"/>
        </w:rPr>
        <w:t xml:space="preserve"> nationales, afin de réduire à un </w:t>
      </w:r>
      <w:r w:rsidRPr="003F2E8C">
        <w:rPr>
          <w:rFonts w:eastAsia="MS Mincho"/>
          <w:snapToGrid w:val="0"/>
          <w:kern w:val="22"/>
          <w:szCs w:val="22"/>
          <w:lang w:val="fr-CA" w:eastAsia="ja-JP"/>
        </w:rPr>
        <w:t>minimum le ri</w:t>
      </w:r>
      <w:r>
        <w:rPr>
          <w:rFonts w:eastAsia="MS Mincho"/>
          <w:snapToGrid w:val="0"/>
          <w:kern w:val="22"/>
          <w:szCs w:val="22"/>
          <w:lang w:val="fr-CA" w:eastAsia="ja-JP"/>
        </w:rPr>
        <w:t>sque d'introduction non intentionnel</w:t>
      </w:r>
      <w:r w:rsidRPr="003F2E8C">
        <w:rPr>
          <w:rFonts w:eastAsia="MS Mincho"/>
          <w:snapToGrid w:val="0"/>
          <w:kern w:val="22"/>
          <w:szCs w:val="22"/>
          <w:lang w:val="fr-CA" w:eastAsia="ja-JP"/>
        </w:rPr>
        <w:t xml:space="preserve"> d’espèces exotiques envahissantes associées au commerce d’</w:t>
      </w:r>
      <w:r>
        <w:rPr>
          <w:rFonts w:eastAsia="MS Mincho"/>
          <w:snapToGrid w:val="0"/>
          <w:kern w:val="22"/>
          <w:szCs w:val="22"/>
          <w:lang w:val="fr-CA" w:eastAsia="ja-JP"/>
        </w:rPr>
        <w:t>organismes vivants</w:t>
      </w:r>
      <w:r w:rsidRPr="003F2E8C">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E0280C">
        <w:rPr>
          <w:rFonts w:eastAsia="MS Mincho"/>
          <w:snapToGrid w:val="0"/>
          <w:kern w:val="22"/>
          <w:szCs w:val="22"/>
          <w:lang w:val="fr-CA" w:eastAsia="ja-JP"/>
        </w:rPr>
        <w:t xml:space="preserve">Les États </w:t>
      </w:r>
      <w:r>
        <w:rPr>
          <w:rFonts w:eastAsia="MS Mincho"/>
          <w:snapToGrid w:val="0"/>
          <w:kern w:val="22"/>
          <w:szCs w:val="22"/>
          <w:lang w:val="fr-CA" w:eastAsia="ja-JP"/>
        </w:rPr>
        <w:t>encouragent</w:t>
      </w:r>
      <w:r w:rsidRPr="00E0280C">
        <w:rPr>
          <w:rFonts w:eastAsia="MS Mincho"/>
          <w:snapToGrid w:val="0"/>
          <w:kern w:val="22"/>
          <w:szCs w:val="22"/>
          <w:lang w:val="fr-CA" w:eastAsia="ja-JP"/>
        </w:rPr>
        <w:t xml:space="preserve"> l'utilisation de technologies d'identification taxonomique basées sur le séqu</w:t>
      </w:r>
      <w:r>
        <w:rPr>
          <w:rFonts w:eastAsia="MS Mincho"/>
          <w:snapToGrid w:val="0"/>
          <w:kern w:val="22"/>
          <w:szCs w:val="22"/>
          <w:lang w:val="fr-CA" w:eastAsia="ja-JP"/>
        </w:rPr>
        <w:t>ençage d</w:t>
      </w:r>
      <w:r w:rsidRPr="00E0280C">
        <w:rPr>
          <w:rFonts w:eastAsia="MS Mincho"/>
          <w:snapToGrid w:val="0"/>
          <w:kern w:val="22"/>
          <w:szCs w:val="22"/>
          <w:lang w:val="fr-CA" w:eastAsia="ja-JP"/>
        </w:rPr>
        <w:t xml:space="preserve">'ADN, comme le </w:t>
      </w:r>
      <w:r>
        <w:rPr>
          <w:rFonts w:eastAsia="MS Mincho"/>
          <w:snapToGrid w:val="0"/>
          <w:kern w:val="22"/>
          <w:szCs w:val="22"/>
          <w:lang w:val="fr-CA" w:eastAsia="ja-JP"/>
        </w:rPr>
        <w:t>codage à barres de l'ADN, en tant qu’</w:t>
      </w:r>
      <w:r w:rsidRPr="00E0280C">
        <w:rPr>
          <w:rFonts w:eastAsia="MS Mincho"/>
          <w:snapToGrid w:val="0"/>
          <w:kern w:val="22"/>
          <w:szCs w:val="22"/>
          <w:lang w:val="fr-CA" w:eastAsia="ja-JP"/>
        </w:rPr>
        <w:t>outils d'identification des espèces exotiques les concernant</w:t>
      </w:r>
      <w:r>
        <w:rPr>
          <w:rFonts w:eastAsia="MS Mincho"/>
          <w:snapToGrid w:val="0"/>
          <w:kern w:val="22"/>
          <w:szCs w:val="22"/>
          <w:lang w:val="fr-CA" w:eastAsia="ja-JP"/>
        </w:rPr>
        <w:t>.</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Lorsque des espèces exotiques envahissantes so</w:t>
      </w:r>
      <w:r>
        <w:rPr>
          <w:rFonts w:eastAsia="MS Mincho"/>
          <w:snapToGrid w:val="0"/>
          <w:kern w:val="22"/>
          <w:szCs w:val="22"/>
          <w:lang w:val="fr-CA" w:eastAsia="ja-JP"/>
        </w:rPr>
        <w:t xml:space="preserve">nt introduites </w:t>
      </w:r>
      <w:r w:rsidRPr="003F2E8C">
        <w:rPr>
          <w:rFonts w:eastAsia="MS Mincho"/>
          <w:snapToGrid w:val="0"/>
          <w:kern w:val="22"/>
          <w:szCs w:val="22"/>
          <w:lang w:val="fr-CA" w:eastAsia="ja-JP"/>
        </w:rPr>
        <w:t>o</w:t>
      </w:r>
      <w:r>
        <w:rPr>
          <w:rFonts w:eastAsia="MS Mincho"/>
          <w:snapToGrid w:val="0"/>
          <w:kern w:val="22"/>
          <w:szCs w:val="22"/>
          <w:lang w:val="fr-CA" w:eastAsia="ja-JP"/>
        </w:rPr>
        <w:t>u s'établissent de manière non intentionnelle</w:t>
      </w:r>
      <w:r w:rsidRPr="003F2E8C">
        <w:rPr>
          <w:rFonts w:eastAsia="MS Mincho"/>
          <w:snapToGrid w:val="0"/>
          <w:kern w:val="22"/>
          <w:szCs w:val="22"/>
          <w:lang w:val="fr-CA" w:eastAsia="ja-JP"/>
        </w:rPr>
        <w:t xml:space="preserve">, les autorités concernées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être informées, y compris, le cas échéant, les autorités environnementales, l'autorité vétérinaire/autorité compétente et l'organisation nationale de protection</w:t>
      </w:r>
      <w:r>
        <w:rPr>
          <w:rFonts w:eastAsia="MS Mincho"/>
          <w:snapToGrid w:val="0"/>
          <w:kern w:val="22"/>
          <w:szCs w:val="22"/>
          <w:lang w:val="fr-CA" w:eastAsia="ja-JP"/>
        </w:rPr>
        <w:t xml:space="preserve"> des végétaux, de </w:t>
      </w:r>
      <w:r w:rsidRPr="003F2E8C">
        <w:rPr>
          <w:rFonts w:eastAsia="MS Mincho"/>
          <w:snapToGrid w:val="0"/>
          <w:kern w:val="22"/>
          <w:szCs w:val="22"/>
          <w:lang w:val="fr-CA" w:eastAsia="ja-JP"/>
        </w:rPr>
        <w:t>sorte que le pays exportateur ou réexportateur, les pays voisins et les pays traversés en transit soient</w:t>
      </w:r>
      <w:r>
        <w:rPr>
          <w:rFonts w:eastAsia="MS Mincho"/>
          <w:snapToGrid w:val="0"/>
          <w:kern w:val="22"/>
          <w:szCs w:val="22"/>
          <w:lang w:val="fr-CA" w:eastAsia="ja-JP"/>
        </w:rPr>
        <w:t xml:space="preserve"> informés de la situation, afin d’empêcher la </w:t>
      </w:r>
      <w:r w:rsidRPr="003F2E8C">
        <w:rPr>
          <w:rFonts w:eastAsia="MS Mincho"/>
          <w:snapToGrid w:val="0"/>
          <w:kern w:val="22"/>
          <w:szCs w:val="22"/>
          <w:lang w:val="fr-CA" w:eastAsia="ja-JP"/>
        </w:rPr>
        <w:t>propagation de l'espèce exotique envahissante</w:t>
      </w:r>
      <w:r>
        <w:rPr>
          <w:rFonts w:eastAsia="MS Mincho"/>
          <w:snapToGrid w:val="0"/>
          <w:kern w:val="22"/>
          <w:szCs w:val="22"/>
          <w:lang w:val="fr-CA" w:eastAsia="ja-JP"/>
        </w:rPr>
        <w:t xml:space="preserve"> concernée</w:t>
      </w:r>
      <w:r w:rsidRPr="003F2E8C">
        <w:rPr>
          <w:rFonts w:eastAsia="MS Mincho"/>
          <w:snapToGrid w:val="0"/>
          <w:kern w:val="22"/>
          <w:szCs w:val="22"/>
          <w:lang w:val="fr-CA" w:eastAsia="ja-JP"/>
        </w:rPr>
        <w:t>.</w:t>
      </w:r>
    </w:p>
    <w:p w:rsidR="009F6935"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États, en collaboration avec les organisations compétentes, </w:t>
      </w:r>
      <w:r>
        <w:rPr>
          <w:rFonts w:eastAsia="MS Mincho"/>
          <w:snapToGrid w:val="0"/>
          <w:kern w:val="22"/>
          <w:szCs w:val="22"/>
          <w:lang w:val="fr-CA" w:eastAsia="ja-JP"/>
        </w:rPr>
        <w:t xml:space="preserve">mettent gratuitement </w:t>
      </w:r>
      <w:r w:rsidRPr="003F2E8C">
        <w:rPr>
          <w:rFonts w:eastAsia="MS Mincho"/>
          <w:snapToGrid w:val="0"/>
          <w:kern w:val="22"/>
          <w:szCs w:val="22"/>
          <w:lang w:val="fr-CA" w:eastAsia="ja-JP"/>
        </w:rPr>
        <w:t>à la disposition du public des informations sur : a) les exigences relatives à l'importation d'</w:t>
      </w:r>
      <w:r>
        <w:rPr>
          <w:rFonts w:eastAsia="MS Mincho"/>
          <w:snapToGrid w:val="0"/>
          <w:kern w:val="22"/>
          <w:szCs w:val="22"/>
          <w:lang w:val="fr-CA" w:eastAsia="ja-JP"/>
        </w:rPr>
        <w:t>organismes vivants</w:t>
      </w:r>
      <w:r w:rsidRPr="003F2E8C">
        <w:rPr>
          <w:rFonts w:eastAsia="MS Mincho"/>
          <w:snapToGrid w:val="0"/>
          <w:kern w:val="22"/>
          <w:szCs w:val="22"/>
          <w:lang w:val="fr-CA" w:eastAsia="ja-JP"/>
        </w:rPr>
        <w:t xml:space="preserve"> </w:t>
      </w:r>
      <w:r>
        <w:rPr>
          <w:rFonts w:eastAsia="MS Mincho"/>
          <w:snapToGrid w:val="0"/>
          <w:kern w:val="22"/>
          <w:szCs w:val="22"/>
          <w:lang w:val="fr-CA" w:eastAsia="ja-JP"/>
        </w:rPr>
        <w:t xml:space="preserve">et autres </w:t>
      </w:r>
      <w:r w:rsidRPr="00E0280C">
        <w:rPr>
          <w:rFonts w:eastAsia="MS Mincho"/>
          <w:snapToGrid w:val="0"/>
          <w:kern w:val="22"/>
          <w:szCs w:val="22"/>
          <w:lang w:val="fr-CA" w:eastAsia="ja-JP"/>
        </w:rPr>
        <w:t>réglementations et politiques nati</w:t>
      </w:r>
      <w:r>
        <w:rPr>
          <w:rFonts w:eastAsia="MS Mincho"/>
          <w:snapToGrid w:val="0"/>
          <w:kern w:val="22"/>
          <w:szCs w:val="22"/>
          <w:lang w:val="fr-CA" w:eastAsia="ja-JP"/>
        </w:rPr>
        <w:t>onales et régionales applicables</w:t>
      </w:r>
      <w:r w:rsidRPr="00E0280C">
        <w:rPr>
          <w:rFonts w:eastAsia="MS Mincho"/>
          <w:snapToGrid w:val="0"/>
          <w:kern w:val="22"/>
          <w:szCs w:val="22"/>
          <w:lang w:val="fr-CA" w:eastAsia="ja-JP"/>
        </w:rPr>
        <w:t xml:space="preserve"> aux es</w:t>
      </w:r>
      <w:r>
        <w:rPr>
          <w:rFonts w:eastAsia="MS Mincho"/>
          <w:snapToGrid w:val="0"/>
          <w:kern w:val="22"/>
          <w:szCs w:val="22"/>
          <w:lang w:val="fr-CA" w:eastAsia="ja-JP"/>
        </w:rPr>
        <w:t>pèces exotiques envahissantes; b) les résultats</w:t>
      </w:r>
      <w:r w:rsidRPr="00E0280C">
        <w:rPr>
          <w:rFonts w:eastAsia="MS Mincho"/>
          <w:snapToGrid w:val="0"/>
          <w:kern w:val="22"/>
          <w:szCs w:val="22"/>
          <w:lang w:val="fr-CA" w:eastAsia="ja-JP"/>
        </w:rPr>
        <w:t xml:space="preserve"> de l'a</w:t>
      </w:r>
      <w:r>
        <w:rPr>
          <w:rFonts w:eastAsia="MS Mincho"/>
          <w:snapToGrid w:val="0"/>
          <w:kern w:val="22"/>
          <w:szCs w:val="22"/>
          <w:lang w:val="fr-CA" w:eastAsia="ja-JP"/>
        </w:rPr>
        <w:t>nalyse des risques associés aux voies d’introduction, si une telle analyse a été effectuée</w:t>
      </w:r>
      <w:r w:rsidRPr="00E0280C">
        <w:rPr>
          <w:rFonts w:eastAsia="MS Mincho"/>
          <w:snapToGrid w:val="0"/>
          <w:kern w:val="22"/>
          <w:szCs w:val="22"/>
          <w:lang w:val="fr-CA" w:eastAsia="ja-JP"/>
        </w:rPr>
        <w:t>.</w:t>
      </w:r>
    </w:p>
    <w:p w:rsidR="009F6935" w:rsidRPr="00F85EC0"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rPr>
          <w:rFonts w:eastAsia="MS Mincho"/>
          <w:snapToGrid w:val="0"/>
          <w:kern w:val="22"/>
          <w:szCs w:val="22"/>
          <w:lang w:val="fr-CA" w:eastAsia="ja-JP"/>
        </w:rPr>
      </w:pPr>
      <w:r w:rsidRPr="00F85EC0">
        <w:rPr>
          <w:rFonts w:eastAsia="MS Mincho"/>
          <w:snapToGrid w:val="0"/>
          <w:kern w:val="22"/>
          <w:szCs w:val="22"/>
          <w:lang w:val="fr-CA" w:eastAsia="ja-JP"/>
        </w:rPr>
        <w:t xml:space="preserve">Les </w:t>
      </w:r>
      <w:r>
        <w:rPr>
          <w:rFonts w:eastAsia="MS Mincho"/>
          <w:snapToGrid w:val="0"/>
          <w:kern w:val="22"/>
          <w:szCs w:val="22"/>
          <w:lang w:val="fr-CA" w:eastAsia="ja-JP"/>
        </w:rPr>
        <w:t xml:space="preserve">États </w:t>
      </w:r>
      <w:r w:rsidRPr="00F85EC0">
        <w:rPr>
          <w:rFonts w:eastAsia="MS Mincho"/>
          <w:snapToGrid w:val="0"/>
          <w:kern w:val="22"/>
          <w:szCs w:val="22"/>
          <w:lang w:val="fr-CA" w:eastAsia="ja-JP"/>
        </w:rPr>
        <w:t>recevant des organismes vivants</w:t>
      </w:r>
      <w:r>
        <w:rPr>
          <w:rFonts w:eastAsia="MS Mincho"/>
          <w:snapToGrid w:val="0"/>
          <w:kern w:val="22"/>
          <w:szCs w:val="22"/>
          <w:lang w:val="fr-CA" w:eastAsia="ja-JP"/>
        </w:rPr>
        <w:t>,</w:t>
      </w:r>
      <w:r w:rsidRPr="00F85EC0">
        <w:rPr>
          <w:rFonts w:eastAsia="MS Mincho"/>
          <w:snapToGrid w:val="0"/>
          <w:kern w:val="22"/>
          <w:szCs w:val="22"/>
          <w:lang w:val="fr-CA" w:eastAsia="ja-JP"/>
        </w:rPr>
        <w:t xml:space="preserve"> ainsi que </w:t>
      </w:r>
      <w:r>
        <w:rPr>
          <w:rFonts w:eastAsia="MS Mincho"/>
          <w:snapToGrid w:val="0"/>
          <w:kern w:val="22"/>
          <w:szCs w:val="22"/>
          <w:lang w:val="fr-CA" w:eastAsia="ja-JP"/>
        </w:rPr>
        <w:t>leurs autorités infranationales,</w:t>
      </w:r>
      <w:r w:rsidRPr="00F85EC0">
        <w:rPr>
          <w:rFonts w:eastAsia="MS Mincho"/>
          <w:snapToGrid w:val="0"/>
          <w:kern w:val="22"/>
          <w:szCs w:val="22"/>
          <w:lang w:val="fr-CA" w:eastAsia="ja-JP"/>
        </w:rPr>
        <w:t xml:space="preserve"> les </w:t>
      </w:r>
      <w:r w:rsidRPr="00F85EC0">
        <w:rPr>
          <w:snapToGrid w:val="0"/>
          <w:kern w:val="22"/>
          <w:szCs w:val="22"/>
          <w:lang w:val="fr-CA" w:eastAsia="ja-JP"/>
        </w:rPr>
        <w:t>organisations</w:t>
      </w:r>
      <w:r w:rsidRPr="00F85EC0">
        <w:rPr>
          <w:rFonts w:eastAsia="MS Mincho"/>
          <w:snapToGrid w:val="0"/>
          <w:kern w:val="22"/>
          <w:szCs w:val="22"/>
          <w:lang w:val="fr-CA" w:eastAsia="ja-JP"/>
        </w:rPr>
        <w:t xml:space="preserve"> compétentes et les secteurs concernés par leur commerce sensibilisent les personnes intervenant dans l</w:t>
      </w:r>
      <w:r>
        <w:rPr>
          <w:rFonts w:eastAsia="MS Mincho"/>
          <w:snapToGrid w:val="0"/>
          <w:kern w:val="22"/>
          <w:szCs w:val="22"/>
          <w:lang w:val="fr-CA" w:eastAsia="ja-JP"/>
        </w:rPr>
        <w:t xml:space="preserve">'ensemble de la chaîne de valorisation au sujet de </w:t>
      </w:r>
      <w:r w:rsidRPr="00F85EC0">
        <w:rPr>
          <w:rFonts w:eastAsia="MS Mincho"/>
          <w:snapToGrid w:val="0"/>
          <w:kern w:val="22"/>
          <w:szCs w:val="22"/>
          <w:lang w:val="fr-CA" w:eastAsia="ja-JP"/>
        </w:rPr>
        <w:t>l'introduction non intentionnelle d'organismes n</w:t>
      </w:r>
      <w:r>
        <w:rPr>
          <w:rFonts w:eastAsia="MS Mincho"/>
          <w:snapToGrid w:val="0"/>
          <w:kern w:val="22"/>
          <w:szCs w:val="22"/>
          <w:lang w:val="fr-CA" w:eastAsia="ja-JP"/>
        </w:rPr>
        <w:t>uisibles, d'agents pathogènes ou</w:t>
      </w:r>
      <w:r w:rsidRPr="00F85EC0">
        <w:rPr>
          <w:rFonts w:eastAsia="MS Mincho"/>
          <w:snapToGrid w:val="0"/>
          <w:kern w:val="22"/>
          <w:szCs w:val="22"/>
          <w:lang w:val="fr-CA" w:eastAsia="ja-JP"/>
        </w:rPr>
        <w:t xml:space="preserve"> d’espèces exotiques envahissantes, par exemple en organisant des campagnes de sensibilisation fondées sur des études de cas d'invasions biologiques causées</w:t>
      </w:r>
      <w:r>
        <w:rPr>
          <w:rFonts w:eastAsia="MS Mincho"/>
          <w:snapToGrid w:val="0"/>
          <w:kern w:val="22"/>
          <w:szCs w:val="22"/>
          <w:lang w:val="fr-CA" w:eastAsia="ja-JP"/>
        </w:rPr>
        <w:t xml:space="preserve"> par l'introduction non intentionnelle</w:t>
      </w:r>
      <w:r w:rsidRPr="00F85EC0">
        <w:rPr>
          <w:rFonts w:eastAsia="MS Mincho"/>
          <w:snapToGrid w:val="0"/>
          <w:kern w:val="22"/>
          <w:szCs w:val="22"/>
          <w:lang w:val="fr-CA" w:eastAsia="ja-JP"/>
        </w:rPr>
        <w:t xml:space="preserve"> d'espèces exotiques envahissantes, à l’intention du public, des intervenants potentiels (éleveurs amateurs, etc.) et des personnes intervenant dans l’ensemble </w:t>
      </w:r>
      <w:r>
        <w:rPr>
          <w:rFonts w:eastAsia="MS Mincho"/>
          <w:snapToGrid w:val="0"/>
          <w:kern w:val="22"/>
          <w:szCs w:val="22"/>
          <w:lang w:val="fr-CA" w:eastAsia="ja-JP"/>
        </w:rPr>
        <w:t>de la chaine de valorisation</w:t>
      </w:r>
      <w:r w:rsidRPr="00F85EC0">
        <w:rPr>
          <w:rFonts w:eastAsia="MS Mincho"/>
          <w:snapToGrid w:val="0"/>
          <w:kern w:val="22"/>
          <w:szCs w:val="22"/>
          <w:lang w:val="fr-CA" w:eastAsia="ja-JP"/>
        </w:rPr>
        <w:t xml:space="preserve">. </w:t>
      </w:r>
    </w:p>
    <w:p w:rsidR="009F6935" w:rsidRPr="003F2E8C" w:rsidRDefault="009F6935" w:rsidP="00004EAF">
      <w:pPr>
        <w:pStyle w:val="Heading2"/>
        <w:numPr>
          <w:ilvl w:val="0"/>
          <w:numId w:val="81"/>
        </w:numPr>
        <w:suppressLineNumbers/>
        <w:tabs>
          <w:tab w:val="clear" w:pos="720"/>
          <w:tab w:val="left" w:pos="360"/>
        </w:tabs>
        <w:suppressAutoHyphens/>
        <w:kinsoku w:val="0"/>
        <w:overflowPunct w:val="0"/>
        <w:autoSpaceDE w:val="0"/>
        <w:autoSpaceDN w:val="0"/>
        <w:adjustRightInd w:val="0"/>
        <w:snapToGrid w:val="0"/>
        <w:ind w:left="142"/>
        <w:rPr>
          <w:rFonts w:eastAsia="MS Mincho"/>
          <w:snapToGrid w:val="0"/>
          <w:kern w:val="22"/>
          <w:szCs w:val="22"/>
          <w:lang w:val="fr-CA" w:eastAsia="ja-JP"/>
        </w:rPr>
      </w:pPr>
      <w:bookmarkStart w:id="405" w:name="_Toc525904272"/>
      <w:bookmarkStart w:id="406" w:name="_Toc525904431"/>
      <w:bookmarkStart w:id="407" w:name="_Toc525904675"/>
      <w:r w:rsidRPr="003F2E8C">
        <w:rPr>
          <w:rFonts w:eastAsia="MS Mincho"/>
          <w:snapToGrid w:val="0"/>
          <w:kern w:val="22"/>
          <w:szCs w:val="22"/>
          <w:lang w:val="fr-CA" w:eastAsia="ja-JP"/>
        </w:rPr>
        <w:lastRenderedPageBreak/>
        <w:t>Surveillance</w:t>
      </w:r>
      <w:bookmarkEnd w:id="405"/>
      <w:bookmarkEnd w:id="406"/>
      <w:bookmarkEnd w:id="407"/>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Les États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surveiller les espèces exotiques envahissant</w:t>
      </w:r>
      <w:r>
        <w:rPr>
          <w:rFonts w:eastAsia="MS Mincho"/>
          <w:snapToGrid w:val="0"/>
          <w:kern w:val="22"/>
          <w:szCs w:val="22"/>
          <w:lang w:val="fr-CA" w:eastAsia="ja-JP"/>
        </w:rPr>
        <w:t>e</w:t>
      </w:r>
      <w:r w:rsidRPr="003F2E8C">
        <w:rPr>
          <w:rFonts w:eastAsia="MS Mincho"/>
          <w:snapToGrid w:val="0"/>
          <w:kern w:val="22"/>
          <w:szCs w:val="22"/>
          <w:lang w:val="fr-CA" w:eastAsia="ja-JP"/>
        </w:rPr>
        <w:t>s susceptibles d'être introduites involontairement sur leur territoire, en particulier dans les zones sensibles (ports, installations de transbordement et d'entreposage, parcs à conteneurs hors bassin, routes connectées et voies ferrées) où leur introduction, leur établissement et les premiers stades de la propagation sont susceptibles de survenir.</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120"/>
        <w:ind w:left="0" w:firstLine="0"/>
        <w:rPr>
          <w:rFonts w:eastAsia="MS Mincho"/>
          <w:snapToGrid w:val="0"/>
          <w:kern w:val="22"/>
          <w:szCs w:val="22"/>
          <w:lang w:val="fr-CA" w:eastAsia="ja-JP"/>
        </w:rPr>
      </w:pPr>
      <w:r w:rsidRPr="003F2E8C">
        <w:rPr>
          <w:rFonts w:eastAsia="MS Mincho"/>
          <w:snapToGrid w:val="0"/>
          <w:kern w:val="22"/>
          <w:szCs w:val="22"/>
          <w:lang w:val="fr-CA" w:eastAsia="ja-JP"/>
        </w:rPr>
        <w:t xml:space="preserve">Lorsqu'une introduction non intentionnelle dans des zones sensibles est observée, les États </w:t>
      </w:r>
      <w:r>
        <w:rPr>
          <w:rFonts w:eastAsia="MS Mincho"/>
          <w:snapToGrid w:val="0"/>
          <w:kern w:val="22"/>
          <w:szCs w:val="22"/>
          <w:lang w:val="fr-CA" w:eastAsia="ja-JP"/>
        </w:rPr>
        <w:t>doivent</w:t>
      </w:r>
      <w:r w:rsidRPr="003F2E8C">
        <w:rPr>
          <w:rFonts w:eastAsia="MS Mincho"/>
          <w:snapToGrid w:val="0"/>
          <w:kern w:val="22"/>
          <w:szCs w:val="22"/>
          <w:lang w:val="fr-CA" w:eastAsia="ja-JP"/>
        </w:rPr>
        <w:t xml:space="preserve"> intensifier la surveillance des espèces exotiques envahissantes dans les </w:t>
      </w:r>
      <w:r>
        <w:rPr>
          <w:rFonts w:eastAsia="MS Mincho"/>
          <w:snapToGrid w:val="0"/>
          <w:kern w:val="22"/>
          <w:szCs w:val="22"/>
          <w:lang w:val="fr-CA" w:eastAsia="ja-JP"/>
        </w:rPr>
        <w:t>zones voisines où la</w:t>
      </w:r>
      <w:r w:rsidRPr="003F2E8C">
        <w:rPr>
          <w:rFonts w:eastAsia="MS Mincho"/>
          <w:snapToGrid w:val="0"/>
          <w:kern w:val="22"/>
          <w:szCs w:val="22"/>
          <w:lang w:val="fr-CA" w:eastAsia="ja-JP"/>
        </w:rPr>
        <w:t xml:space="preserve"> protection de la biodiversité</w:t>
      </w:r>
      <w:r>
        <w:rPr>
          <w:rFonts w:eastAsia="MS Mincho"/>
          <w:snapToGrid w:val="0"/>
          <w:kern w:val="22"/>
          <w:szCs w:val="22"/>
          <w:lang w:val="fr-CA" w:eastAsia="ja-JP"/>
        </w:rPr>
        <w:t xml:space="preserve"> constitue une préoccupation</w:t>
      </w:r>
      <w:r w:rsidRPr="003F2E8C">
        <w:rPr>
          <w:rFonts w:eastAsia="MS Mincho"/>
          <w:snapToGrid w:val="0"/>
          <w:kern w:val="22"/>
          <w:szCs w:val="22"/>
          <w:lang w:val="fr-CA" w:eastAsia="ja-JP"/>
        </w:rPr>
        <w:t xml:space="preserve">, et appliquer des mesures rapides pour contenir, contrôler et éradiquer ces espèces. </w:t>
      </w:r>
    </w:p>
    <w:p w:rsidR="009F6935" w:rsidRPr="003F2E8C" w:rsidRDefault="009F6935" w:rsidP="00004EAF">
      <w:pPr>
        <w:numPr>
          <w:ilvl w:val="0"/>
          <w:numId w:val="77"/>
        </w:numPr>
        <w:suppressLineNumbers/>
        <w:suppressAutoHyphens/>
        <w:kinsoku w:val="0"/>
        <w:overflowPunct w:val="0"/>
        <w:autoSpaceDE w:val="0"/>
        <w:autoSpaceDN w:val="0"/>
        <w:adjustRightInd w:val="0"/>
        <w:snapToGrid w:val="0"/>
        <w:spacing w:before="120" w:after="240"/>
        <w:ind w:left="0" w:firstLine="0"/>
        <w:jc w:val="left"/>
        <w:rPr>
          <w:rFonts w:eastAsia="MS Mincho"/>
          <w:snapToGrid w:val="0"/>
          <w:kern w:val="22"/>
          <w:szCs w:val="22"/>
          <w:lang w:val="fr-CA" w:eastAsia="ja-JP"/>
        </w:rPr>
      </w:pPr>
      <w:r>
        <w:rPr>
          <w:rFonts w:eastAsia="MS Mincho"/>
          <w:snapToGrid w:val="0"/>
          <w:kern w:val="22"/>
          <w:szCs w:val="22"/>
          <w:lang w:val="fr-CA" w:eastAsia="ja-JP"/>
        </w:rPr>
        <w:t>Les États doivent</w:t>
      </w:r>
      <w:r w:rsidRPr="003F2E8C">
        <w:rPr>
          <w:rFonts w:eastAsia="MS Mincho"/>
          <w:snapToGrid w:val="0"/>
          <w:kern w:val="22"/>
          <w:szCs w:val="22"/>
          <w:lang w:val="fr-CA" w:eastAsia="ja-JP"/>
        </w:rPr>
        <w:t xml:space="preserve"> surveiller </w:t>
      </w:r>
      <w:r>
        <w:rPr>
          <w:rFonts w:eastAsia="MS Mincho"/>
          <w:snapToGrid w:val="0"/>
          <w:kern w:val="22"/>
          <w:szCs w:val="22"/>
          <w:lang w:val="fr-CA" w:eastAsia="ja-JP"/>
        </w:rPr>
        <w:t xml:space="preserve">à l’intérieur du pays </w:t>
      </w:r>
      <w:r w:rsidRPr="003F2E8C">
        <w:rPr>
          <w:rFonts w:eastAsia="MS Mincho"/>
          <w:snapToGrid w:val="0"/>
          <w:kern w:val="22"/>
          <w:szCs w:val="22"/>
          <w:lang w:val="fr-CA" w:eastAsia="ja-JP"/>
        </w:rPr>
        <w:t>les mouv</w:t>
      </w:r>
      <w:r>
        <w:rPr>
          <w:rFonts w:eastAsia="MS Mincho"/>
          <w:snapToGrid w:val="0"/>
          <w:kern w:val="22"/>
          <w:szCs w:val="22"/>
          <w:lang w:val="fr-CA" w:eastAsia="ja-JP"/>
        </w:rPr>
        <w:t xml:space="preserve">ements et la propagation </w:t>
      </w:r>
      <w:r w:rsidRPr="003F2E8C">
        <w:rPr>
          <w:rFonts w:eastAsia="MS Mincho"/>
          <w:snapToGrid w:val="0"/>
          <w:kern w:val="22"/>
          <w:szCs w:val="22"/>
          <w:lang w:val="fr-CA" w:eastAsia="ja-JP"/>
        </w:rPr>
        <w:t>d’espèces exotiques envah</w:t>
      </w:r>
      <w:r>
        <w:rPr>
          <w:rFonts w:eastAsia="MS Mincho"/>
          <w:snapToGrid w:val="0"/>
          <w:kern w:val="22"/>
          <w:szCs w:val="22"/>
          <w:lang w:val="fr-CA" w:eastAsia="ja-JP"/>
        </w:rPr>
        <w:t>issantes introduites accidentell</w:t>
      </w:r>
      <w:r w:rsidRPr="003F2E8C">
        <w:rPr>
          <w:rFonts w:eastAsia="MS Mincho"/>
          <w:snapToGrid w:val="0"/>
          <w:kern w:val="22"/>
          <w:szCs w:val="22"/>
          <w:lang w:val="fr-CA" w:eastAsia="ja-JP"/>
        </w:rPr>
        <w:t xml:space="preserve">ement lors de l'importation </w:t>
      </w:r>
      <w:r>
        <w:rPr>
          <w:rFonts w:eastAsia="MS Mincho"/>
          <w:snapToGrid w:val="0"/>
          <w:kern w:val="22"/>
          <w:szCs w:val="22"/>
          <w:lang w:val="fr-CA" w:eastAsia="ja-JP"/>
        </w:rPr>
        <w:t>d’organismes vivant</w:t>
      </w:r>
      <w:r w:rsidRPr="003F2E8C">
        <w:rPr>
          <w:rFonts w:eastAsia="MS Mincho"/>
          <w:snapToGrid w:val="0"/>
          <w:kern w:val="22"/>
          <w:szCs w:val="22"/>
          <w:lang w:val="fr-CA" w:eastAsia="ja-JP"/>
        </w:rPr>
        <w:t>s</w:t>
      </w:r>
      <w:r>
        <w:rPr>
          <w:rFonts w:eastAsia="MS Mincho"/>
          <w:snapToGrid w:val="0"/>
          <w:kern w:val="22"/>
          <w:szCs w:val="22"/>
          <w:lang w:val="fr-CA" w:eastAsia="ja-JP"/>
        </w:rPr>
        <w:t>,</w:t>
      </w:r>
      <w:r w:rsidRPr="003F2E8C">
        <w:rPr>
          <w:rFonts w:eastAsia="MS Mincho"/>
          <w:snapToGrid w:val="0"/>
          <w:kern w:val="22"/>
          <w:szCs w:val="22"/>
          <w:lang w:val="fr-CA" w:eastAsia="ja-JP"/>
        </w:rPr>
        <w:t xml:space="preserve"> en collaboration avec les autorités infranationales ou locales</w:t>
      </w:r>
      <w:r>
        <w:rPr>
          <w:rFonts w:eastAsia="MS Mincho"/>
          <w:snapToGrid w:val="0"/>
          <w:kern w:val="22"/>
          <w:szCs w:val="22"/>
          <w:lang w:val="fr-CA" w:eastAsia="ja-JP"/>
        </w:rPr>
        <w:t>,</w:t>
      </w:r>
      <w:r w:rsidRPr="003F2E8C">
        <w:rPr>
          <w:rFonts w:eastAsia="MS Mincho"/>
          <w:snapToGrid w:val="0"/>
          <w:kern w:val="22"/>
          <w:szCs w:val="22"/>
          <w:lang w:val="fr-CA" w:eastAsia="ja-JP"/>
        </w:rPr>
        <w:t xml:space="preserve"> afin de réduire au minimum leur impact.</w:t>
      </w:r>
    </w:p>
    <w:p w:rsidR="009F6935" w:rsidRPr="003F2E8C" w:rsidRDefault="009F6935" w:rsidP="00004EAF">
      <w:pPr>
        <w:pStyle w:val="Heading2"/>
        <w:numPr>
          <w:ilvl w:val="0"/>
          <w:numId w:val="81"/>
        </w:numPr>
        <w:suppressLineNumbers/>
        <w:tabs>
          <w:tab w:val="clear" w:pos="720"/>
          <w:tab w:val="left" w:pos="360"/>
        </w:tabs>
        <w:suppressAutoHyphens/>
        <w:kinsoku w:val="0"/>
        <w:overflowPunct w:val="0"/>
        <w:autoSpaceDE w:val="0"/>
        <w:autoSpaceDN w:val="0"/>
        <w:adjustRightInd w:val="0"/>
        <w:snapToGrid w:val="0"/>
        <w:ind w:left="0" w:firstLine="0"/>
        <w:rPr>
          <w:rFonts w:eastAsia="MS Mincho"/>
          <w:snapToGrid w:val="0"/>
          <w:kern w:val="22"/>
          <w:szCs w:val="22"/>
          <w:lang w:val="fr-CA" w:eastAsia="ja-JP"/>
        </w:rPr>
      </w:pPr>
      <w:bookmarkStart w:id="408" w:name="_Toc525904273"/>
      <w:bookmarkStart w:id="409" w:name="_Toc525904432"/>
      <w:bookmarkStart w:id="410" w:name="_Toc525904676"/>
      <w:r w:rsidRPr="003F2E8C">
        <w:rPr>
          <w:rFonts w:eastAsia="MS Mincho"/>
          <w:snapToGrid w:val="0"/>
          <w:kern w:val="22"/>
          <w:szCs w:val="22"/>
          <w:lang w:val="fr-CA" w:eastAsia="ja-JP"/>
        </w:rPr>
        <w:t>Autres mesures</w:t>
      </w:r>
      <w:bookmarkEnd w:id="408"/>
      <w:bookmarkEnd w:id="409"/>
      <w:bookmarkEnd w:id="410"/>
    </w:p>
    <w:p w:rsidR="009F6935" w:rsidRPr="003F2E8C" w:rsidRDefault="009F6935" w:rsidP="00004EAF">
      <w:pPr>
        <w:pStyle w:val="Heading1"/>
        <w:numPr>
          <w:ilvl w:val="0"/>
          <w:numId w:val="77"/>
        </w:numPr>
        <w:suppressLineNumbers/>
        <w:tabs>
          <w:tab w:val="clear" w:pos="720"/>
        </w:tabs>
        <w:suppressAutoHyphens/>
        <w:kinsoku w:val="0"/>
        <w:overflowPunct w:val="0"/>
        <w:autoSpaceDE w:val="0"/>
        <w:autoSpaceDN w:val="0"/>
        <w:adjustRightInd w:val="0"/>
        <w:snapToGrid w:val="0"/>
        <w:spacing w:before="120"/>
        <w:ind w:left="0" w:firstLine="0"/>
        <w:jc w:val="both"/>
        <w:rPr>
          <w:rFonts w:eastAsia="MS Mincho"/>
          <w:b w:val="0"/>
          <w:snapToGrid w:val="0"/>
          <w:kern w:val="22"/>
          <w:szCs w:val="22"/>
          <w:lang w:val="fr-CA" w:eastAsia="ja-JP"/>
        </w:rPr>
      </w:pPr>
      <w:bookmarkStart w:id="411" w:name="_Toc525904274"/>
      <w:bookmarkStart w:id="412" w:name="_Toc525904433"/>
      <w:bookmarkStart w:id="413" w:name="_Toc525904677"/>
      <w:r w:rsidRPr="003F2E8C">
        <w:rPr>
          <w:rFonts w:eastAsia="MS Mincho"/>
          <w:b w:val="0"/>
          <w:caps w:val="0"/>
          <w:snapToGrid w:val="0"/>
          <w:kern w:val="22"/>
          <w:szCs w:val="22"/>
          <w:lang w:val="fr-CA" w:eastAsia="ja-JP"/>
        </w:rPr>
        <w:t>Toute mesure nationale de gestion des risques concernant les voies d'introduction non intentionnelle dans les pays exportateurs et importateurs, ainsi que les codes de conduite établis par des organismes internationaux relatifs aux services d'expédition et de livraison, peuvent s'appliquer dans le cadre des présen</w:t>
      </w:r>
      <w:r>
        <w:rPr>
          <w:rFonts w:eastAsia="MS Mincho"/>
          <w:b w:val="0"/>
          <w:caps w:val="0"/>
          <w:snapToGrid w:val="0"/>
          <w:kern w:val="22"/>
          <w:szCs w:val="22"/>
          <w:lang w:val="fr-CA" w:eastAsia="ja-JP"/>
        </w:rPr>
        <w:t>tes orientations facultatives additionnelles</w:t>
      </w:r>
      <w:r w:rsidRPr="003F2E8C">
        <w:rPr>
          <w:rFonts w:eastAsia="MS Mincho"/>
          <w:b w:val="0"/>
          <w:snapToGrid w:val="0"/>
          <w:kern w:val="22"/>
          <w:szCs w:val="22"/>
          <w:lang w:val="fr-CA" w:eastAsia="ja-JP"/>
        </w:rPr>
        <w:t>.</w:t>
      </w:r>
      <w:bookmarkEnd w:id="411"/>
      <w:bookmarkEnd w:id="412"/>
      <w:bookmarkEnd w:id="413"/>
    </w:p>
    <w:p w:rsidR="009F6935" w:rsidRDefault="009F6935" w:rsidP="00004EAF">
      <w:pPr>
        <w:pStyle w:val="Heading2"/>
        <w:numPr>
          <w:ilvl w:val="0"/>
          <w:numId w:val="77"/>
        </w:numPr>
        <w:tabs>
          <w:tab w:val="clear" w:pos="720"/>
        </w:tabs>
        <w:ind w:left="0" w:firstLine="0"/>
        <w:jc w:val="both"/>
        <w:rPr>
          <w:rFonts w:eastAsia="Yu Mincho"/>
          <w:b w:val="0"/>
          <w:snapToGrid w:val="0"/>
          <w:kern w:val="22"/>
          <w:szCs w:val="22"/>
          <w:lang w:val="fr-CA" w:eastAsia="ja-JP"/>
        </w:rPr>
      </w:pPr>
      <w:bookmarkStart w:id="414" w:name="_Toc525904275"/>
      <w:bookmarkStart w:id="415" w:name="_Toc525904434"/>
      <w:bookmarkStart w:id="416" w:name="_Toc525904678"/>
      <w:r w:rsidRPr="003F2E8C">
        <w:rPr>
          <w:rFonts w:eastAsia="MS Mincho"/>
          <w:b w:val="0"/>
          <w:lang w:val="fr-CA" w:eastAsia="ja-JP"/>
        </w:rPr>
        <w:t>Les risques de déplacement acciden</w:t>
      </w:r>
      <w:r>
        <w:rPr>
          <w:rFonts w:eastAsia="MS Mincho"/>
          <w:b w:val="0"/>
          <w:lang w:val="fr-CA" w:eastAsia="ja-JP"/>
        </w:rPr>
        <w:t>tel d’autres espèces comme</w:t>
      </w:r>
      <w:r w:rsidRPr="003F2E8C">
        <w:rPr>
          <w:rFonts w:eastAsia="MS Mincho"/>
          <w:b w:val="0"/>
          <w:lang w:val="fr-CA" w:eastAsia="ja-JP"/>
        </w:rPr>
        <w:t xml:space="preserve"> contaminants, par exemple dans la litière </w:t>
      </w:r>
      <w:r>
        <w:rPr>
          <w:rFonts w:eastAsia="MS Mincho"/>
          <w:b w:val="0"/>
          <w:lang w:val="fr-CA" w:eastAsia="ja-JP"/>
        </w:rPr>
        <w:t xml:space="preserve">des animaux, </w:t>
      </w:r>
      <w:r w:rsidRPr="003F2E8C">
        <w:rPr>
          <w:rFonts w:eastAsia="MS Mincho"/>
          <w:b w:val="0"/>
          <w:lang w:val="fr-CA" w:eastAsia="ja-JP"/>
        </w:rPr>
        <w:t>le conteneur d’expédition</w:t>
      </w:r>
      <w:r>
        <w:rPr>
          <w:rFonts w:eastAsia="MS Mincho"/>
          <w:b w:val="0"/>
          <w:lang w:val="fr-CA" w:eastAsia="ja-JP"/>
        </w:rPr>
        <w:t xml:space="preserve"> ou le moyen de transport associé</w:t>
      </w:r>
      <w:r w:rsidRPr="003F2E8C">
        <w:rPr>
          <w:rFonts w:eastAsia="MS Mincho"/>
          <w:b w:val="0"/>
          <w:lang w:val="fr-CA" w:eastAsia="ja-JP"/>
        </w:rPr>
        <w:t xml:space="preserve">, </w:t>
      </w:r>
      <w:r>
        <w:rPr>
          <w:rFonts w:eastAsia="MS Mincho"/>
          <w:b w:val="0"/>
          <w:lang w:val="fr-CA" w:eastAsia="ja-JP"/>
        </w:rPr>
        <w:t>notamment dans la</w:t>
      </w:r>
      <w:r w:rsidRPr="003F2E8C">
        <w:rPr>
          <w:rFonts w:eastAsia="MS Mincho"/>
          <w:b w:val="0"/>
          <w:lang w:val="fr-CA" w:eastAsia="ja-JP"/>
        </w:rPr>
        <w:t xml:space="preserve"> n</w:t>
      </w:r>
      <w:r>
        <w:rPr>
          <w:rFonts w:eastAsia="MS Mincho"/>
          <w:b w:val="0"/>
          <w:lang w:val="fr-CA" w:eastAsia="ja-JP"/>
        </w:rPr>
        <w:t>ourriture ou le fourrage</w:t>
      </w:r>
      <w:r w:rsidRPr="003F2E8C">
        <w:rPr>
          <w:rFonts w:eastAsia="MS Mincho"/>
          <w:b w:val="0"/>
          <w:lang w:val="fr-CA" w:eastAsia="ja-JP"/>
        </w:rPr>
        <w:t>, doiven</w:t>
      </w:r>
      <w:r>
        <w:rPr>
          <w:rFonts w:eastAsia="MS Mincho"/>
          <w:b w:val="0"/>
          <w:lang w:val="fr-CA" w:eastAsia="ja-JP"/>
        </w:rPr>
        <w:t>t être pris en compte dans</w:t>
      </w:r>
      <w:r w:rsidRPr="003F2E8C">
        <w:rPr>
          <w:rFonts w:eastAsia="MS Mincho"/>
          <w:b w:val="0"/>
          <w:lang w:val="fr-CA" w:eastAsia="ja-JP"/>
        </w:rPr>
        <w:t xml:space="preserve"> l</w:t>
      </w:r>
      <w:r>
        <w:rPr>
          <w:rFonts w:eastAsia="MS Mincho"/>
          <w:b w:val="0"/>
          <w:lang w:val="fr-CA" w:eastAsia="ja-JP"/>
        </w:rPr>
        <w:t>’évaluation des risques présentés par</w:t>
      </w:r>
      <w:r w:rsidRPr="003F2E8C">
        <w:rPr>
          <w:rFonts w:eastAsia="MS Mincho"/>
          <w:b w:val="0"/>
          <w:lang w:val="fr-CA" w:eastAsia="ja-JP"/>
        </w:rPr>
        <w:t xml:space="preserve"> l’importation </w:t>
      </w:r>
      <w:r>
        <w:rPr>
          <w:rFonts w:eastAsia="MS Mincho"/>
          <w:b w:val="0"/>
          <w:lang w:val="fr-CA" w:eastAsia="ja-JP"/>
        </w:rPr>
        <w:t>d’organismes vivants utilisé</w:t>
      </w:r>
      <w:r w:rsidRPr="003F2E8C">
        <w:rPr>
          <w:rFonts w:eastAsia="MS Mincho"/>
          <w:b w:val="0"/>
          <w:lang w:val="fr-CA" w:eastAsia="ja-JP"/>
        </w:rPr>
        <w:t xml:space="preserve">s </w:t>
      </w:r>
      <w:r>
        <w:rPr>
          <w:rFonts w:eastAsia="Yu Mincho"/>
          <w:b w:val="0"/>
          <w:snapToGrid w:val="0"/>
          <w:kern w:val="22"/>
          <w:szCs w:val="22"/>
          <w:lang w:val="fr-CA" w:eastAsia="ja-JP"/>
        </w:rPr>
        <w:t xml:space="preserve">comme </w:t>
      </w:r>
      <w:r w:rsidRPr="003F2E8C">
        <w:rPr>
          <w:rFonts w:eastAsia="Yu Mincho"/>
          <w:b w:val="0"/>
          <w:snapToGrid w:val="0"/>
          <w:kern w:val="22"/>
          <w:szCs w:val="22"/>
          <w:lang w:val="fr-CA" w:eastAsia="ja-JP"/>
        </w:rPr>
        <w:t xml:space="preserve">animaux de compagnie, espèces d’aquarium ou de terrarium, </w:t>
      </w:r>
      <w:r>
        <w:rPr>
          <w:rFonts w:eastAsia="Yu Mincho"/>
          <w:b w:val="0"/>
          <w:snapToGrid w:val="0"/>
          <w:kern w:val="22"/>
          <w:szCs w:val="22"/>
          <w:lang w:val="fr-CA" w:eastAsia="ja-JP"/>
        </w:rPr>
        <w:t xml:space="preserve">ou comme </w:t>
      </w:r>
      <w:r w:rsidRPr="003F2E8C">
        <w:rPr>
          <w:rFonts w:eastAsia="Yu Mincho"/>
          <w:b w:val="0"/>
          <w:snapToGrid w:val="0"/>
          <w:kern w:val="22"/>
          <w:szCs w:val="22"/>
          <w:lang w:val="fr-CA" w:eastAsia="ja-JP"/>
        </w:rPr>
        <w:t>appâts ou aliments vivants.</w:t>
      </w:r>
      <w:bookmarkEnd w:id="414"/>
      <w:bookmarkEnd w:id="415"/>
      <w:bookmarkEnd w:id="416"/>
    </w:p>
    <w:p w:rsidR="009F6935" w:rsidRDefault="009F6935" w:rsidP="009F6935">
      <w:pPr>
        <w:rPr>
          <w:rFonts w:eastAsia="MS Mincho"/>
          <w:lang w:val="fr-CA" w:eastAsia="ja-JP"/>
        </w:rPr>
      </w:pPr>
    </w:p>
    <w:p w:rsidR="009F6935" w:rsidRPr="002B31A5" w:rsidRDefault="009F6935" w:rsidP="009F6935">
      <w:pPr>
        <w:rPr>
          <w:rFonts w:eastAsia="MS Mincho"/>
          <w:lang w:val="fr-CA" w:eastAsia="ja-JP"/>
        </w:rPr>
      </w:pPr>
    </w:p>
    <w:p w:rsidR="009F6935" w:rsidRPr="003F2E8C" w:rsidRDefault="009F6935" w:rsidP="009F6935">
      <w:pPr>
        <w:pStyle w:val="ListParagraph"/>
        <w:suppressLineNumbers/>
        <w:suppressAutoHyphens/>
        <w:kinsoku w:val="0"/>
        <w:overflowPunct w:val="0"/>
        <w:autoSpaceDE w:val="0"/>
        <w:autoSpaceDN w:val="0"/>
        <w:adjustRightInd w:val="0"/>
        <w:snapToGrid w:val="0"/>
        <w:ind w:left="0"/>
        <w:contextualSpacing w:val="0"/>
        <w:jc w:val="center"/>
        <w:rPr>
          <w:rFonts w:eastAsia="Yu Mincho"/>
          <w:i/>
          <w:snapToGrid w:val="0"/>
          <w:kern w:val="22"/>
          <w:szCs w:val="22"/>
          <w:lang w:val="fr-CA" w:eastAsia="ja-JP"/>
        </w:rPr>
      </w:pPr>
      <w:r w:rsidRPr="003F2E8C">
        <w:rPr>
          <w:rFonts w:eastAsia="Yu Mincho"/>
          <w:i/>
          <w:snapToGrid w:val="0"/>
          <w:kern w:val="22"/>
          <w:szCs w:val="22"/>
          <w:lang w:val="fr-CA" w:eastAsia="ja-JP"/>
        </w:rPr>
        <w:t>Annexe II</w:t>
      </w:r>
    </w:p>
    <w:p w:rsidR="009F6935" w:rsidRPr="003F2E8C" w:rsidRDefault="009F6935" w:rsidP="009F6935">
      <w:pPr>
        <w:pStyle w:val="HEADING"/>
        <w:suppressLineNumbers/>
        <w:suppressAutoHyphens/>
        <w:kinsoku w:val="0"/>
        <w:overflowPunct w:val="0"/>
        <w:autoSpaceDE w:val="0"/>
        <w:autoSpaceDN w:val="0"/>
        <w:adjustRightInd w:val="0"/>
        <w:snapToGrid w:val="0"/>
        <w:spacing w:before="120" w:after="240"/>
        <w:rPr>
          <w:rFonts w:eastAsia="Yu Mincho"/>
          <w:snapToGrid w:val="0"/>
          <w:kern w:val="22"/>
          <w:szCs w:val="22"/>
          <w:lang w:val="fr-CA" w:eastAsia="ja-JP"/>
        </w:rPr>
      </w:pPr>
      <w:r w:rsidRPr="003F2E8C">
        <w:rPr>
          <w:rFonts w:eastAsia="Yu Mincho"/>
          <w:snapToGrid w:val="0"/>
          <w:kern w:val="22"/>
          <w:szCs w:val="22"/>
          <w:lang w:val="fr-CA" w:eastAsia="ja-JP"/>
        </w:rPr>
        <w:t>MANDAT DU GROUPE SPÉCIAL D'EXPERTS TECHNIQUES SUR LES ESPÈCES EXOTIQUES ENVAHISSANTES</w:t>
      </w:r>
    </w:p>
    <w:p w:rsidR="009F6935" w:rsidRPr="003F2E8C" w:rsidRDefault="009F6935" w:rsidP="009F6935">
      <w:pPr>
        <w:pStyle w:val="BodyText"/>
        <w:suppressLineNumbers/>
        <w:suppressAutoHyphens/>
        <w:kinsoku w:val="0"/>
        <w:overflowPunct w:val="0"/>
        <w:autoSpaceDE w:val="0"/>
        <w:autoSpaceDN w:val="0"/>
        <w:adjustRightInd w:val="0"/>
        <w:snapToGrid w:val="0"/>
        <w:ind w:firstLine="0"/>
        <w:rPr>
          <w:rFonts w:eastAsia="Yu Mincho"/>
          <w:snapToGrid w:val="0"/>
          <w:kern w:val="22"/>
          <w:szCs w:val="22"/>
          <w:lang w:val="fr-CA" w:eastAsia="ja-JP"/>
        </w:rPr>
      </w:pPr>
      <w:r w:rsidRPr="003F2E8C">
        <w:rPr>
          <w:rFonts w:eastAsia="Yu Mincho"/>
          <w:snapToGrid w:val="0"/>
          <w:kern w:val="22"/>
          <w:szCs w:val="22"/>
          <w:lang w:val="fr-CA" w:eastAsia="ja-JP"/>
        </w:rPr>
        <w:t>1.</w:t>
      </w:r>
      <w:r w:rsidRPr="003F2E8C">
        <w:rPr>
          <w:rFonts w:eastAsia="Yu Mincho"/>
          <w:snapToGrid w:val="0"/>
          <w:kern w:val="22"/>
          <w:szCs w:val="22"/>
          <w:lang w:val="fr-CA" w:eastAsia="ja-JP"/>
        </w:rPr>
        <w:tab/>
        <w:t xml:space="preserve">Le Groupe spécial </w:t>
      </w:r>
      <w:r>
        <w:rPr>
          <w:rFonts w:eastAsia="Yu Mincho"/>
          <w:snapToGrid w:val="0"/>
          <w:kern w:val="22"/>
          <w:szCs w:val="22"/>
          <w:lang w:val="fr-CA" w:eastAsia="ja-JP"/>
        </w:rPr>
        <w:t>d'experts techniques abordera les</w:t>
      </w:r>
      <w:r w:rsidRPr="003F2E8C">
        <w:rPr>
          <w:rFonts w:eastAsia="Yu Mincho"/>
          <w:snapToGrid w:val="0"/>
          <w:kern w:val="22"/>
          <w:szCs w:val="22"/>
          <w:lang w:val="fr-CA" w:eastAsia="ja-JP"/>
        </w:rPr>
        <w:t xml:space="preserve"> quest</w:t>
      </w:r>
      <w:r>
        <w:rPr>
          <w:rFonts w:eastAsia="Yu Mincho"/>
          <w:snapToGrid w:val="0"/>
          <w:kern w:val="22"/>
          <w:szCs w:val="22"/>
          <w:lang w:val="fr-CA" w:eastAsia="ja-JP"/>
        </w:rPr>
        <w:t>ions qui ne sont pas traitées dans</w:t>
      </w:r>
      <w:r w:rsidRPr="003F2E8C">
        <w:rPr>
          <w:rFonts w:eastAsia="Yu Mincho"/>
          <w:snapToGrid w:val="0"/>
          <w:kern w:val="22"/>
          <w:szCs w:val="22"/>
          <w:lang w:val="fr-CA" w:eastAsia="ja-JP"/>
        </w:rPr>
        <w:t xml:space="preserve"> l’évaluation de la Plateforme intergouvernementale scientifique et politique sur la </w:t>
      </w:r>
      <w:r>
        <w:rPr>
          <w:rFonts w:eastAsia="Yu Mincho"/>
          <w:snapToGrid w:val="0"/>
          <w:kern w:val="22"/>
          <w:szCs w:val="22"/>
          <w:lang w:val="fr-CA" w:eastAsia="ja-JP"/>
        </w:rPr>
        <w:t>biodiversité et les services écosystémiques. En s’appuyant sur les travaux</w:t>
      </w:r>
      <w:r w:rsidRPr="003F2E8C">
        <w:rPr>
          <w:rFonts w:eastAsia="Yu Mincho"/>
          <w:snapToGrid w:val="0"/>
          <w:kern w:val="22"/>
          <w:szCs w:val="22"/>
          <w:lang w:val="fr-CA" w:eastAsia="ja-JP"/>
        </w:rPr>
        <w:t xml:space="preserve"> </w:t>
      </w:r>
      <w:r>
        <w:rPr>
          <w:rFonts w:eastAsia="Yu Mincho"/>
          <w:snapToGrid w:val="0"/>
          <w:kern w:val="22"/>
          <w:szCs w:val="22"/>
          <w:lang w:val="fr-CA" w:eastAsia="ja-JP"/>
        </w:rPr>
        <w:t xml:space="preserve">du </w:t>
      </w:r>
      <w:r w:rsidRPr="00F85EC0">
        <w:rPr>
          <w:rFonts w:eastAsia="Yu Mincho"/>
          <w:snapToGrid w:val="0"/>
          <w:kern w:val="22"/>
          <w:szCs w:val="22"/>
          <w:lang w:val="fr-CA" w:eastAsia="ja-JP"/>
        </w:rPr>
        <w:t>forum d</w:t>
      </w:r>
      <w:r>
        <w:rPr>
          <w:rFonts w:eastAsia="Yu Mincho"/>
          <w:snapToGrid w:val="0"/>
          <w:kern w:val="22"/>
          <w:szCs w:val="22"/>
          <w:lang w:val="fr-CA" w:eastAsia="ja-JP"/>
        </w:rPr>
        <w:t>e discussion en ligne animé et sur les connaissances et les données d’e</w:t>
      </w:r>
      <w:r w:rsidRPr="00F85EC0">
        <w:rPr>
          <w:rFonts w:eastAsia="Yu Mincho"/>
          <w:snapToGrid w:val="0"/>
          <w:kern w:val="22"/>
          <w:szCs w:val="22"/>
          <w:lang w:val="fr-CA" w:eastAsia="ja-JP"/>
        </w:rPr>
        <w:t>xpérien</w:t>
      </w:r>
      <w:r>
        <w:rPr>
          <w:rFonts w:eastAsia="Yu Mincho"/>
          <w:snapToGrid w:val="0"/>
          <w:kern w:val="22"/>
          <w:szCs w:val="22"/>
          <w:lang w:val="fr-CA" w:eastAsia="ja-JP"/>
        </w:rPr>
        <w:t>ce de</w:t>
      </w:r>
      <w:r w:rsidRPr="00F85EC0">
        <w:rPr>
          <w:rFonts w:eastAsia="Yu Mincho"/>
          <w:snapToGrid w:val="0"/>
          <w:kern w:val="22"/>
          <w:szCs w:val="22"/>
          <w:lang w:val="fr-CA" w:eastAsia="ja-JP"/>
        </w:rPr>
        <w:t xml:space="preserve"> différents secteurs, </w:t>
      </w:r>
      <w:r>
        <w:rPr>
          <w:rFonts w:eastAsia="Yu Mincho"/>
          <w:snapToGrid w:val="0"/>
          <w:kern w:val="22"/>
          <w:szCs w:val="22"/>
          <w:lang w:val="fr-CA" w:eastAsia="ja-JP"/>
        </w:rPr>
        <w:t xml:space="preserve">le Groupe spécial d’experts techniques fournira des avis ou élaborera </w:t>
      </w:r>
      <w:r w:rsidRPr="00F85EC0">
        <w:rPr>
          <w:rFonts w:eastAsia="Yu Mincho"/>
          <w:snapToGrid w:val="0"/>
          <w:kern w:val="22"/>
          <w:szCs w:val="22"/>
          <w:lang w:val="fr-CA" w:eastAsia="ja-JP"/>
        </w:rPr>
        <w:t>des éléments de directives techniques</w:t>
      </w:r>
      <w:r>
        <w:rPr>
          <w:rFonts w:eastAsia="Yu Mincho"/>
          <w:snapToGrid w:val="0"/>
          <w:kern w:val="22"/>
          <w:szCs w:val="22"/>
          <w:lang w:val="fr-CA" w:eastAsia="ja-JP"/>
        </w:rPr>
        <w:t xml:space="preserve"> </w:t>
      </w:r>
      <w:r w:rsidRPr="003F2E8C">
        <w:rPr>
          <w:rFonts w:eastAsia="Yu Mincho"/>
          <w:snapToGrid w:val="0"/>
          <w:kern w:val="22"/>
          <w:szCs w:val="22"/>
          <w:lang w:val="fr-CA" w:eastAsia="ja-JP"/>
        </w:rPr>
        <w:t xml:space="preserve">sur les mesures de gestion des espèces exotiques envahissantes </w:t>
      </w:r>
      <w:r>
        <w:rPr>
          <w:rFonts w:eastAsia="Yu Mincho"/>
          <w:snapToGrid w:val="0"/>
          <w:kern w:val="22"/>
          <w:szCs w:val="22"/>
          <w:lang w:val="fr-CA" w:eastAsia="ja-JP"/>
        </w:rPr>
        <w:t xml:space="preserve">applicables dans des </w:t>
      </w:r>
      <w:r w:rsidRPr="003F2E8C">
        <w:rPr>
          <w:rFonts w:eastAsia="Yu Mincho"/>
          <w:snapToGrid w:val="0"/>
          <w:kern w:val="22"/>
          <w:szCs w:val="22"/>
          <w:lang w:val="fr-CA" w:eastAsia="ja-JP"/>
        </w:rPr>
        <w:t xml:space="preserve">secteurs </w:t>
      </w:r>
      <w:r>
        <w:rPr>
          <w:rFonts w:eastAsia="Yu Mincho"/>
          <w:snapToGrid w:val="0"/>
          <w:kern w:val="22"/>
          <w:szCs w:val="22"/>
          <w:lang w:val="fr-CA" w:eastAsia="ja-JP"/>
        </w:rPr>
        <w:t>larges, en vue</w:t>
      </w:r>
      <w:r w:rsidRPr="003F2E8C">
        <w:rPr>
          <w:rFonts w:eastAsia="Yu Mincho"/>
          <w:snapToGrid w:val="0"/>
          <w:kern w:val="22"/>
          <w:szCs w:val="22"/>
          <w:lang w:val="fr-CA" w:eastAsia="ja-JP"/>
        </w:rPr>
        <w:t xml:space="preserve"> de faciliter la réal</w:t>
      </w:r>
      <w:r>
        <w:rPr>
          <w:rFonts w:eastAsia="Yu Mincho"/>
          <w:snapToGrid w:val="0"/>
          <w:kern w:val="22"/>
          <w:szCs w:val="22"/>
          <w:lang w:val="fr-CA" w:eastAsia="ja-JP"/>
        </w:rPr>
        <w:t>isation de l’Objectif 9 d’Aichi pour la biodiversité et davantage, tels que</w:t>
      </w:r>
      <w:r w:rsidRPr="003F2E8C">
        <w:rPr>
          <w:rFonts w:eastAsia="Yu Mincho"/>
          <w:snapToGrid w:val="0"/>
          <w:kern w:val="22"/>
          <w:szCs w:val="22"/>
          <w:lang w:val="fr-CA" w:eastAsia="ja-JP"/>
        </w:rPr>
        <w:t xml:space="preserve"> :</w:t>
      </w:r>
    </w:p>
    <w:p w:rsidR="009F6935" w:rsidRPr="003F2E8C" w:rsidRDefault="009F6935" w:rsidP="00004EAF">
      <w:pPr>
        <w:pStyle w:val="ListParagraph"/>
        <w:numPr>
          <w:ilvl w:val="0"/>
          <w:numId w:val="80"/>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 xml:space="preserve">Les méthodes d'analyse coûts-avantages et coût-efficacité les mieux adaptées à la gestion des </w:t>
      </w:r>
      <w:r>
        <w:rPr>
          <w:rFonts w:eastAsia="Yu Mincho"/>
          <w:snapToGrid w:val="0"/>
          <w:kern w:val="22"/>
          <w:szCs w:val="22"/>
          <w:lang w:val="fr-CA" w:eastAsia="ja-JP"/>
        </w:rPr>
        <w:t>espèces exotiques envahissantes</w:t>
      </w:r>
      <w:r w:rsidRPr="003F2E8C">
        <w:rPr>
          <w:rFonts w:eastAsia="Yu Mincho"/>
          <w:snapToGrid w:val="0"/>
          <w:kern w:val="22"/>
          <w:szCs w:val="22"/>
          <w:lang w:val="fr-CA" w:eastAsia="ja-JP"/>
        </w:rPr>
        <w:t>;</w:t>
      </w:r>
    </w:p>
    <w:p w:rsidR="009F6935" w:rsidRPr="003F2E8C" w:rsidRDefault="009F6935" w:rsidP="00004EAF">
      <w:pPr>
        <w:pStyle w:val="ListParagraph"/>
        <w:numPr>
          <w:ilvl w:val="0"/>
          <w:numId w:val="80"/>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Pr>
          <w:rFonts w:eastAsia="Yu Mincho"/>
          <w:snapToGrid w:val="0"/>
          <w:kern w:val="22"/>
          <w:szCs w:val="22"/>
          <w:lang w:val="fr-CA" w:eastAsia="ja-JP"/>
        </w:rPr>
        <w:t>L</w:t>
      </w:r>
      <w:r w:rsidRPr="003F2E8C">
        <w:rPr>
          <w:rFonts w:eastAsia="Yu Mincho"/>
          <w:snapToGrid w:val="0"/>
          <w:kern w:val="22"/>
          <w:szCs w:val="22"/>
          <w:lang w:val="fr-CA" w:eastAsia="ja-JP"/>
        </w:rPr>
        <w:t>es m</w:t>
      </w:r>
      <w:r>
        <w:rPr>
          <w:rFonts w:eastAsia="Yu Mincho"/>
          <w:snapToGrid w:val="0"/>
          <w:kern w:val="22"/>
          <w:szCs w:val="22"/>
          <w:lang w:val="fr-CA" w:eastAsia="ja-JP"/>
        </w:rPr>
        <w:t>éthodes, outils et mesures permettant d’</w:t>
      </w:r>
      <w:r w:rsidRPr="003F2E8C">
        <w:rPr>
          <w:rFonts w:eastAsia="Yu Mincho"/>
          <w:snapToGrid w:val="0"/>
          <w:kern w:val="22"/>
          <w:szCs w:val="22"/>
          <w:lang w:val="fr-CA" w:eastAsia="ja-JP"/>
        </w:rPr>
        <w:t xml:space="preserve">identifier et </w:t>
      </w:r>
      <w:r>
        <w:rPr>
          <w:rFonts w:eastAsia="Yu Mincho"/>
          <w:snapToGrid w:val="0"/>
          <w:kern w:val="22"/>
          <w:szCs w:val="22"/>
          <w:lang w:val="fr-CA" w:eastAsia="ja-JP"/>
        </w:rPr>
        <w:t xml:space="preserve">de </w:t>
      </w:r>
      <w:r w:rsidRPr="003F2E8C">
        <w:rPr>
          <w:rFonts w:eastAsia="Yu Mincho"/>
          <w:snapToGrid w:val="0"/>
          <w:kern w:val="22"/>
          <w:szCs w:val="22"/>
          <w:lang w:val="fr-CA" w:eastAsia="ja-JP"/>
        </w:rPr>
        <w:t>réduire au minimum les risques supplémentaires associés au commerce électronique transfrontière d’</w:t>
      </w:r>
      <w:r>
        <w:rPr>
          <w:rFonts w:eastAsia="Yu Mincho"/>
          <w:snapToGrid w:val="0"/>
          <w:kern w:val="22"/>
          <w:szCs w:val="22"/>
          <w:lang w:val="fr-CA" w:eastAsia="ja-JP"/>
        </w:rPr>
        <w:t>organismes vivants et leurs impacts;</w:t>
      </w:r>
    </w:p>
    <w:p w:rsidR="009F6935" w:rsidRPr="003F2E8C" w:rsidRDefault="009F6935" w:rsidP="00004EAF">
      <w:pPr>
        <w:pStyle w:val="ListParagraph"/>
        <w:numPr>
          <w:ilvl w:val="0"/>
          <w:numId w:val="80"/>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La gestion des espèces exotiques envahissantes dans le contexte des nouveaux risques potentiels résultant des changements climatiques</w:t>
      </w:r>
      <w:r>
        <w:rPr>
          <w:rFonts w:eastAsia="Yu Mincho"/>
          <w:snapToGrid w:val="0"/>
          <w:kern w:val="22"/>
          <w:szCs w:val="22"/>
          <w:lang w:val="fr-CA" w:eastAsia="ja-JP"/>
        </w:rPr>
        <w:t>,</w:t>
      </w:r>
      <w:r w:rsidRPr="003F2E8C">
        <w:rPr>
          <w:rFonts w:eastAsia="Yu Mincho"/>
          <w:snapToGrid w:val="0"/>
          <w:kern w:val="22"/>
          <w:szCs w:val="22"/>
          <w:lang w:val="fr-CA" w:eastAsia="ja-JP"/>
        </w:rPr>
        <w:t xml:space="preserve"> ainsi que des catastrophes natur</w:t>
      </w:r>
      <w:r>
        <w:rPr>
          <w:rFonts w:eastAsia="Yu Mincho"/>
          <w:snapToGrid w:val="0"/>
          <w:kern w:val="22"/>
          <w:szCs w:val="22"/>
          <w:lang w:val="fr-CA" w:eastAsia="ja-JP"/>
        </w:rPr>
        <w:t>elles et des changements d’affectation des terres connexes</w:t>
      </w:r>
      <w:r w:rsidRPr="003F2E8C">
        <w:rPr>
          <w:rFonts w:eastAsia="Yu Mincho"/>
          <w:snapToGrid w:val="0"/>
          <w:kern w:val="22"/>
          <w:szCs w:val="22"/>
          <w:lang w:val="fr-CA" w:eastAsia="ja-JP"/>
        </w:rPr>
        <w:t>;</w:t>
      </w:r>
    </w:p>
    <w:p w:rsidR="009F6935" w:rsidRPr="003F2E8C" w:rsidRDefault="009F6935" w:rsidP="00004EAF">
      <w:pPr>
        <w:pStyle w:val="ListParagraph"/>
        <w:numPr>
          <w:ilvl w:val="0"/>
          <w:numId w:val="80"/>
        </w:numPr>
        <w:suppressLineNumbers/>
        <w:suppressAutoHyphens/>
        <w:kinsoku w:val="0"/>
        <w:overflowPunct w:val="0"/>
        <w:autoSpaceDE w:val="0"/>
        <w:autoSpaceDN w:val="0"/>
        <w:adjustRightInd w:val="0"/>
        <w:snapToGrid w:val="0"/>
        <w:spacing w:before="120" w:after="12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t xml:space="preserve">L'analyse des risques </w:t>
      </w:r>
      <w:r>
        <w:rPr>
          <w:rFonts w:eastAsia="Yu Mincho"/>
          <w:snapToGrid w:val="0"/>
          <w:kern w:val="22"/>
          <w:szCs w:val="22"/>
          <w:lang w:val="fr-CA" w:eastAsia="ja-JP"/>
        </w:rPr>
        <w:t>liés aux</w:t>
      </w:r>
      <w:r w:rsidRPr="003F2E8C">
        <w:rPr>
          <w:rFonts w:eastAsia="Yu Mincho"/>
          <w:snapToGrid w:val="0"/>
          <w:kern w:val="22"/>
          <w:szCs w:val="22"/>
          <w:lang w:val="fr-CA" w:eastAsia="ja-JP"/>
        </w:rPr>
        <w:t xml:space="preserve"> conséquences </w:t>
      </w:r>
      <w:r>
        <w:rPr>
          <w:rFonts w:eastAsia="Yu Mincho"/>
          <w:snapToGrid w:val="0"/>
          <w:kern w:val="22"/>
          <w:szCs w:val="22"/>
          <w:lang w:val="fr-CA" w:eastAsia="ja-JP"/>
        </w:rPr>
        <w:t>potentielles</w:t>
      </w:r>
      <w:r w:rsidRPr="003F2E8C">
        <w:rPr>
          <w:rFonts w:eastAsia="Yu Mincho"/>
          <w:snapToGrid w:val="0"/>
          <w:kern w:val="22"/>
          <w:szCs w:val="22"/>
          <w:lang w:val="fr-CA" w:eastAsia="ja-JP"/>
        </w:rPr>
        <w:t xml:space="preserve"> de l'introduction d'esp</w:t>
      </w:r>
      <w:r>
        <w:rPr>
          <w:rFonts w:eastAsia="Yu Mincho"/>
          <w:snapToGrid w:val="0"/>
          <w:kern w:val="22"/>
          <w:szCs w:val="22"/>
          <w:lang w:val="fr-CA" w:eastAsia="ja-JP"/>
        </w:rPr>
        <w:t>èces exotiques envahissantes pour</w:t>
      </w:r>
      <w:r w:rsidRPr="003F2E8C">
        <w:rPr>
          <w:rFonts w:eastAsia="Yu Mincho"/>
          <w:snapToGrid w:val="0"/>
          <w:kern w:val="22"/>
          <w:szCs w:val="22"/>
          <w:lang w:val="fr-CA" w:eastAsia="ja-JP"/>
        </w:rPr>
        <w:t xml:space="preserve"> les valeurs socia</w:t>
      </w:r>
      <w:r>
        <w:rPr>
          <w:rFonts w:eastAsia="Yu Mincho"/>
          <w:snapToGrid w:val="0"/>
          <w:kern w:val="22"/>
          <w:szCs w:val="22"/>
          <w:lang w:val="fr-CA" w:eastAsia="ja-JP"/>
        </w:rPr>
        <w:t>les, économiques et culturelles</w:t>
      </w:r>
      <w:r w:rsidRPr="003F2E8C">
        <w:rPr>
          <w:rFonts w:eastAsia="Yu Mincho"/>
          <w:snapToGrid w:val="0"/>
          <w:kern w:val="22"/>
          <w:szCs w:val="22"/>
          <w:lang w:val="fr-CA" w:eastAsia="ja-JP"/>
        </w:rPr>
        <w:t>;</w:t>
      </w:r>
    </w:p>
    <w:p w:rsidR="009F6935" w:rsidRPr="003F2E8C" w:rsidRDefault="009F6935" w:rsidP="00004EAF">
      <w:pPr>
        <w:pStyle w:val="ListParagraph"/>
        <w:numPr>
          <w:ilvl w:val="0"/>
          <w:numId w:val="80"/>
        </w:numPr>
        <w:suppressLineNumbers/>
        <w:suppressAutoHyphens/>
        <w:kinsoku w:val="0"/>
        <w:overflowPunct w:val="0"/>
        <w:autoSpaceDE w:val="0"/>
        <w:autoSpaceDN w:val="0"/>
        <w:adjustRightInd w:val="0"/>
        <w:snapToGrid w:val="0"/>
        <w:spacing w:before="120" w:after="240"/>
        <w:ind w:left="0" w:firstLine="720"/>
        <w:contextualSpacing w:val="0"/>
        <w:rPr>
          <w:rFonts w:eastAsia="Yu Mincho"/>
          <w:snapToGrid w:val="0"/>
          <w:kern w:val="22"/>
          <w:szCs w:val="22"/>
          <w:lang w:val="fr-CA" w:eastAsia="ja-JP"/>
        </w:rPr>
      </w:pPr>
      <w:r w:rsidRPr="003F2E8C">
        <w:rPr>
          <w:rFonts w:eastAsia="Yu Mincho"/>
          <w:snapToGrid w:val="0"/>
          <w:kern w:val="22"/>
          <w:szCs w:val="22"/>
          <w:lang w:val="fr-CA" w:eastAsia="ja-JP"/>
        </w:rPr>
        <w:lastRenderedPageBreak/>
        <w:t>L’utilisation d</w:t>
      </w:r>
      <w:r>
        <w:rPr>
          <w:rFonts w:eastAsia="Yu Mincho"/>
          <w:snapToGrid w:val="0"/>
          <w:kern w:val="22"/>
          <w:szCs w:val="22"/>
          <w:lang w:val="fr-CA" w:eastAsia="ja-JP"/>
        </w:rPr>
        <w:t xml:space="preserve">e bases de données existantes sur les </w:t>
      </w:r>
      <w:r w:rsidRPr="003F2E8C">
        <w:rPr>
          <w:rFonts w:eastAsia="Yu Mincho"/>
          <w:snapToGrid w:val="0"/>
          <w:kern w:val="22"/>
          <w:szCs w:val="22"/>
          <w:lang w:val="fr-CA" w:eastAsia="ja-JP"/>
        </w:rPr>
        <w:t>espèces exotiques e</w:t>
      </w:r>
      <w:r>
        <w:rPr>
          <w:rFonts w:eastAsia="Yu Mincho"/>
          <w:snapToGrid w:val="0"/>
          <w:kern w:val="22"/>
          <w:szCs w:val="22"/>
          <w:lang w:val="fr-CA" w:eastAsia="ja-JP"/>
        </w:rPr>
        <w:t>t leurs impacts, pour appuyer la communication des risques</w:t>
      </w:r>
      <w:r w:rsidRPr="003F2E8C">
        <w:rPr>
          <w:rFonts w:eastAsia="Yu Mincho"/>
          <w:snapToGrid w:val="0"/>
          <w:kern w:val="22"/>
          <w:szCs w:val="22"/>
          <w:lang w:val="fr-CA" w:eastAsia="ja-JP"/>
        </w:rPr>
        <w:t>.</w:t>
      </w:r>
    </w:p>
    <w:p w:rsidR="009F6935" w:rsidRPr="00AD7648" w:rsidRDefault="009F6935" w:rsidP="009F6935">
      <w:pPr>
        <w:pStyle w:val="ListParagraph"/>
        <w:suppressLineNumbers/>
        <w:suppressAutoHyphens/>
        <w:kinsoku w:val="0"/>
        <w:overflowPunct w:val="0"/>
        <w:autoSpaceDE w:val="0"/>
        <w:autoSpaceDN w:val="0"/>
        <w:adjustRightInd w:val="0"/>
        <w:snapToGrid w:val="0"/>
        <w:spacing w:before="120" w:after="120"/>
        <w:ind w:left="0"/>
        <w:contextualSpacing w:val="0"/>
        <w:rPr>
          <w:rFonts w:eastAsia="Yu Mincho"/>
          <w:snapToGrid w:val="0"/>
          <w:kern w:val="22"/>
          <w:szCs w:val="22"/>
          <w:lang w:val="fr-CA" w:eastAsia="ja-JP"/>
        </w:rPr>
      </w:pPr>
      <w:r>
        <w:rPr>
          <w:rFonts w:eastAsia="Yu Mincho"/>
          <w:snapToGrid w:val="0"/>
          <w:kern w:val="22"/>
          <w:szCs w:val="22"/>
          <w:lang w:val="fr-CA" w:eastAsia="ja-JP"/>
        </w:rPr>
        <w:t>2.</w:t>
      </w:r>
      <w:r>
        <w:rPr>
          <w:rFonts w:eastAsia="Yu Mincho"/>
          <w:snapToGrid w:val="0"/>
          <w:kern w:val="22"/>
          <w:szCs w:val="22"/>
          <w:lang w:val="fr-CA" w:eastAsia="ja-JP"/>
        </w:rPr>
        <w:tab/>
        <w:t>Dans la limite des ressources disponibles, le</w:t>
      </w:r>
      <w:r w:rsidRPr="003F2E8C">
        <w:rPr>
          <w:rFonts w:eastAsia="Yu Mincho"/>
          <w:snapToGrid w:val="0"/>
          <w:kern w:val="22"/>
          <w:szCs w:val="22"/>
          <w:lang w:val="fr-CA" w:eastAsia="ja-JP"/>
        </w:rPr>
        <w:t xml:space="preserve"> Groupe spécial d’experts techniques</w:t>
      </w:r>
      <w:r>
        <w:rPr>
          <w:rFonts w:eastAsia="Yu Mincho"/>
          <w:snapToGrid w:val="0"/>
          <w:kern w:val="22"/>
          <w:szCs w:val="22"/>
          <w:lang w:val="fr-CA" w:eastAsia="ja-JP"/>
        </w:rPr>
        <w:t xml:space="preserve"> se réunira avant la quinzième réunion de la Conférence des Parties, selon le mode de fonctionnement de l’Organe subsidiaire chargé de fournir des avis scientifiques, techniques et technologiques</w:t>
      </w:r>
      <w:r w:rsidRPr="00A23D0C">
        <w:rPr>
          <w:rStyle w:val="FootnoteReference"/>
          <w:rFonts w:eastAsia="Yu Mincho"/>
          <w:snapToGrid w:val="0"/>
          <w:kern w:val="22"/>
          <w:sz w:val="20"/>
          <w:szCs w:val="20"/>
          <w:u w:val="none"/>
          <w:vertAlign w:val="superscript"/>
          <w:lang w:val="fr-CA" w:eastAsia="ja-JP"/>
        </w:rPr>
        <w:footnoteReference w:id="128"/>
      </w:r>
      <w:r w:rsidR="00A23D0C">
        <w:rPr>
          <w:rFonts w:eastAsia="Yu Mincho"/>
          <w:snapToGrid w:val="0"/>
          <w:kern w:val="22"/>
          <w:szCs w:val="22"/>
          <w:lang w:val="fr-CA" w:eastAsia="ja-JP"/>
        </w:rPr>
        <w:t>.</w:t>
      </w:r>
      <w:r>
        <w:rPr>
          <w:rFonts w:eastAsia="Yu Mincho"/>
          <w:snapToGrid w:val="0"/>
          <w:kern w:val="22"/>
          <w:szCs w:val="22"/>
          <w:lang w:val="fr-CA" w:eastAsia="ja-JP"/>
        </w:rPr>
        <w:t xml:space="preserve"> Le Groupe spécial d’experts techniques sera constitué </w:t>
      </w:r>
      <w:r w:rsidRPr="003F2E8C">
        <w:rPr>
          <w:rFonts w:eastAsia="Yu Mincho"/>
          <w:snapToGrid w:val="0"/>
          <w:kern w:val="22"/>
          <w:szCs w:val="22"/>
          <w:lang w:val="fr-CA" w:eastAsia="ja-JP"/>
        </w:rPr>
        <w:t xml:space="preserve">d’experts </w:t>
      </w:r>
      <w:r>
        <w:rPr>
          <w:rFonts w:eastAsia="Yu Mincho"/>
          <w:snapToGrid w:val="0"/>
          <w:kern w:val="22"/>
          <w:szCs w:val="22"/>
          <w:lang w:val="fr-CA" w:eastAsia="ja-JP"/>
        </w:rPr>
        <w:t xml:space="preserve">ayant </w:t>
      </w:r>
      <w:r w:rsidRPr="003F2E8C">
        <w:rPr>
          <w:rFonts w:eastAsia="Yu Mincho"/>
          <w:snapToGrid w:val="0"/>
          <w:kern w:val="22"/>
          <w:szCs w:val="22"/>
          <w:lang w:val="fr-CA" w:eastAsia="ja-JP"/>
        </w:rPr>
        <w:t>cont</w:t>
      </w:r>
      <w:r>
        <w:rPr>
          <w:rFonts w:eastAsia="Yu Mincho"/>
          <w:snapToGrid w:val="0"/>
          <w:kern w:val="22"/>
          <w:szCs w:val="22"/>
          <w:lang w:val="fr-CA" w:eastAsia="ja-JP"/>
        </w:rPr>
        <w:t>ribué</w:t>
      </w:r>
      <w:r w:rsidRPr="003F2E8C">
        <w:rPr>
          <w:rFonts w:eastAsia="Yu Mincho"/>
          <w:snapToGrid w:val="0"/>
          <w:kern w:val="22"/>
          <w:szCs w:val="22"/>
          <w:lang w:val="fr-CA" w:eastAsia="ja-JP"/>
        </w:rPr>
        <w:t xml:space="preserve"> activement au processus d</w:t>
      </w:r>
      <w:r>
        <w:rPr>
          <w:rFonts w:eastAsia="Yu Mincho"/>
          <w:snapToGrid w:val="0"/>
          <w:kern w:val="22"/>
          <w:szCs w:val="22"/>
          <w:lang w:val="fr-CA" w:eastAsia="ja-JP"/>
        </w:rPr>
        <w:t>u</w:t>
      </w:r>
      <w:r w:rsidRPr="003F2E8C">
        <w:rPr>
          <w:rFonts w:eastAsia="Yu Mincho"/>
          <w:snapToGrid w:val="0"/>
          <w:kern w:val="22"/>
          <w:szCs w:val="22"/>
          <w:lang w:val="fr-CA" w:eastAsia="ja-JP"/>
        </w:rPr>
        <w:t xml:space="preserve"> for</w:t>
      </w:r>
      <w:r>
        <w:rPr>
          <w:rFonts w:eastAsia="Yu Mincho"/>
          <w:snapToGrid w:val="0"/>
          <w:kern w:val="22"/>
          <w:szCs w:val="22"/>
          <w:lang w:val="fr-CA" w:eastAsia="ja-JP"/>
        </w:rPr>
        <w:t>um de discussion en ligne animé, dans des domaines qui intéressent le paragraphe 1 du présent mandat, avec la participation d</w:t>
      </w:r>
      <w:r w:rsidRPr="003F2E8C">
        <w:rPr>
          <w:rFonts w:eastAsia="Yu Mincho"/>
          <w:snapToGrid w:val="0"/>
          <w:kern w:val="22"/>
          <w:szCs w:val="22"/>
          <w:lang w:val="fr-CA" w:eastAsia="ja-JP"/>
        </w:rPr>
        <w:t>es</w:t>
      </w:r>
      <w:r>
        <w:rPr>
          <w:rFonts w:eastAsia="Yu Mincho"/>
          <w:snapToGrid w:val="0"/>
          <w:kern w:val="22"/>
          <w:szCs w:val="22"/>
          <w:lang w:val="fr-CA" w:eastAsia="ja-JP"/>
        </w:rPr>
        <w:t xml:space="preserve"> peuples autochtones et d</w:t>
      </w:r>
      <w:r w:rsidRPr="003F2E8C">
        <w:rPr>
          <w:rFonts w:eastAsia="Yu Mincho"/>
          <w:snapToGrid w:val="0"/>
          <w:kern w:val="22"/>
          <w:szCs w:val="22"/>
          <w:lang w:val="fr-CA" w:eastAsia="ja-JP"/>
        </w:rPr>
        <w:t xml:space="preserve">es </w:t>
      </w:r>
      <w:r w:rsidRPr="003F2E8C">
        <w:rPr>
          <w:snapToGrid w:val="0"/>
          <w:kern w:val="22"/>
          <w:szCs w:val="22"/>
          <w:lang w:val="fr-CA" w:eastAsia="ja-JP"/>
        </w:rPr>
        <w:t>communautés</w:t>
      </w:r>
      <w:r w:rsidRPr="003F2E8C">
        <w:rPr>
          <w:rFonts w:eastAsia="Yu Mincho"/>
          <w:snapToGrid w:val="0"/>
          <w:kern w:val="22"/>
          <w:szCs w:val="22"/>
          <w:lang w:val="fr-CA" w:eastAsia="ja-JP"/>
        </w:rPr>
        <w:t xml:space="preserve"> loca</w:t>
      </w:r>
      <w:r>
        <w:rPr>
          <w:rFonts w:eastAsia="Yu Mincho"/>
          <w:snapToGrid w:val="0"/>
          <w:kern w:val="22"/>
          <w:szCs w:val="22"/>
          <w:lang w:val="fr-CA" w:eastAsia="ja-JP"/>
        </w:rPr>
        <w:t>les, ainsi que d</w:t>
      </w:r>
      <w:r w:rsidRPr="003F2E8C">
        <w:rPr>
          <w:rFonts w:eastAsia="Yu Mincho"/>
          <w:snapToGrid w:val="0"/>
          <w:kern w:val="22"/>
          <w:szCs w:val="22"/>
          <w:lang w:val="fr-CA" w:eastAsia="ja-JP"/>
        </w:rPr>
        <w:t>es petits États insulaires en développemen</w:t>
      </w:r>
      <w:r>
        <w:rPr>
          <w:rFonts w:eastAsia="Yu Mincho"/>
          <w:snapToGrid w:val="0"/>
          <w:kern w:val="22"/>
          <w:szCs w:val="22"/>
          <w:lang w:val="fr-CA" w:eastAsia="ja-JP"/>
        </w:rPr>
        <w:t>t</w:t>
      </w:r>
      <w:r w:rsidRPr="003F2E8C">
        <w:rPr>
          <w:rFonts w:eastAsia="Yu Mincho"/>
          <w:snapToGrid w:val="0"/>
          <w:kern w:val="22"/>
          <w:szCs w:val="22"/>
          <w:lang w:val="fr-CA" w:eastAsia="ja-JP"/>
        </w:rPr>
        <w:t xml:space="preserve">, </w:t>
      </w:r>
      <w:r>
        <w:rPr>
          <w:rFonts w:eastAsia="Yu Mincho"/>
          <w:snapToGrid w:val="0"/>
          <w:kern w:val="22"/>
          <w:szCs w:val="22"/>
          <w:lang w:val="fr-CA" w:eastAsia="ja-JP"/>
        </w:rPr>
        <w:t>compte tenu de leur expérience en matière de lutte</w:t>
      </w:r>
      <w:r w:rsidRPr="003F2E8C">
        <w:rPr>
          <w:rFonts w:eastAsia="Yu Mincho"/>
          <w:snapToGrid w:val="0"/>
          <w:kern w:val="22"/>
          <w:szCs w:val="22"/>
          <w:lang w:val="fr-CA" w:eastAsia="ja-JP"/>
        </w:rPr>
        <w:t xml:space="preserve"> c</w:t>
      </w:r>
      <w:r>
        <w:rPr>
          <w:rFonts w:eastAsia="Yu Mincho"/>
          <w:snapToGrid w:val="0"/>
          <w:kern w:val="22"/>
          <w:szCs w:val="22"/>
          <w:lang w:val="fr-CA" w:eastAsia="ja-JP"/>
        </w:rPr>
        <w:t>ontre les risques présentés par les</w:t>
      </w:r>
      <w:r w:rsidRPr="003F2E8C">
        <w:rPr>
          <w:rFonts w:eastAsia="Yu Mincho"/>
          <w:snapToGrid w:val="0"/>
          <w:kern w:val="22"/>
          <w:szCs w:val="22"/>
          <w:lang w:val="fr-CA" w:eastAsia="ja-JP"/>
        </w:rPr>
        <w:t xml:space="preserve"> espèces exotiques envahissantes pour les valeurs sociales, économiques et culturelles, et </w:t>
      </w:r>
      <w:r>
        <w:rPr>
          <w:rFonts w:eastAsia="Yu Mincho"/>
          <w:snapToGrid w:val="0"/>
          <w:kern w:val="22"/>
          <w:szCs w:val="22"/>
          <w:lang w:val="fr-CA" w:eastAsia="ja-JP"/>
        </w:rPr>
        <w:t xml:space="preserve">de </w:t>
      </w:r>
      <w:r w:rsidRPr="003F2E8C">
        <w:rPr>
          <w:rFonts w:eastAsia="Yu Mincho"/>
          <w:snapToGrid w:val="0"/>
          <w:kern w:val="22"/>
          <w:szCs w:val="22"/>
          <w:lang w:val="fr-CA" w:eastAsia="ja-JP"/>
        </w:rPr>
        <w:t>la diversité biologique vulnérable des écosystè</w:t>
      </w:r>
      <w:r>
        <w:rPr>
          <w:rFonts w:eastAsia="Yu Mincho"/>
          <w:snapToGrid w:val="0"/>
          <w:kern w:val="22"/>
          <w:szCs w:val="22"/>
          <w:lang w:val="fr-CA" w:eastAsia="ja-JP"/>
        </w:rPr>
        <w:t>mes insulaires, respectivement.</w:t>
      </w:r>
    </w:p>
    <w:p w:rsidR="009F6935" w:rsidRDefault="009F6935">
      <w:pPr>
        <w:jc w:val="left"/>
        <w:rPr>
          <w:snapToGrid w:val="0"/>
          <w:kern w:val="22"/>
          <w:szCs w:val="22"/>
          <w:lang w:val="fr-CA"/>
        </w:rPr>
      </w:pPr>
      <w:r>
        <w:rPr>
          <w:kern w:val="22"/>
          <w:szCs w:val="22"/>
          <w:lang w:val="fr-CA"/>
        </w:rPr>
        <w:br w:type="page"/>
      </w:r>
    </w:p>
    <w:p w:rsidR="009F6935" w:rsidRPr="00A23D0C" w:rsidRDefault="009F6935" w:rsidP="00A23D0C">
      <w:pPr>
        <w:pStyle w:val="Heading2"/>
        <w:spacing w:after="240"/>
        <w:rPr>
          <w:rFonts w:ascii="Times New Roman Bold" w:hAnsi="Times New Roman Bold" w:cs="Times New Roman Bold"/>
          <w:bCs w:val="0"/>
          <w:caps/>
          <w:lang w:val="fr-FR"/>
        </w:rPr>
      </w:pPr>
      <w:bookmarkStart w:id="417" w:name="_Toc525904276"/>
      <w:bookmarkStart w:id="418" w:name="_Toc525904679"/>
      <w:r w:rsidRPr="00A23D0C">
        <w:rPr>
          <w:bCs w:val="0"/>
          <w:szCs w:val="22"/>
          <w:lang w:val="fr-FR"/>
        </w:rPr>
        <w:lastRenderedPageBreak/>
        <w:t>22/9.      Conservation et utilisation durable des pollinisateurs</w:t>
      </w:r>
      <w:bookmarkEnd w:id="417"/>
      <w:bookmarkEnd w:id="418"/>
    </w:p>
    <w:p w:rsidR="009F6935" w:rsidRPr="004B2AE2" w:rsidRDefault="009F6935" w:rsidP="009F6935">
      <w:pPr>
        <w:pStyle w:val="Para1"/>
        <w:keepNext/>
        <w:numPr>
          <w:ilvl w:val="0"/>
          <w:numId w:val="0"/>
        </w:numPr>
        <w:suppressLineNumbers/>
        <w:suppressAutoHyphens/>
        <w:kinsoku w:val="0"/>
        <w:overflowPunct w:val="0"/>
        <w:autoSpaceDE w:val="0"/>
        <w:autoSpaceDN w:val="0"/>
        <w:spacing w:before="0"/>
        <w:ind w:firstLine="720"/>
        <w:rPr>
          <w:i/>
          <w:kern w:val="22"/>
          <w:lang w:val="fr-FR"/>
        </w:rPr>
      </w:pPr>
      <w:r w:rsidRPr="004B2AE2">
        <w:rPr>
          <w:i/>
          <w:kern w:val="22"/>
          <w:lang w:val="fr-FR"/>
        </w:rPr>
        <w:t>L’Organe subsidiaire chargé de fournir des avis scientifiques, techniques et technologiques</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1.</w:t>
      </w:r>
      <w:r w:rsidRPr="004B2AE2">
        <w:rPr>
          <w:kern w:val="22"/>
          <w:lang w:val="fr-FR"/>
        </w:rPr>
        <w:tab/>
      </w:r>
      <w:r w:rsidRPr="004B2AE2">
        <w:rPr>
          <w:i/>
          <w:kern w:val="22"/>
          <w:lang w:val="fr-FR"/>
        </w:rPr>
        <w:t>Accueille avec satisfaction</w:t>
      </w:r>
      <w:r w:rsidRPr="004B2AE2">
        <w:rPr>
          <w:kern w:val="22"/>
          <w:lang w:val="fr-FR"/>
        </w:rPr>
        <w:t xml:space="preserve"> le projet de plan d’action 2018-2030 de l’Initiative internationale pour la conservation et l’utilisatio</w:t>
      </w:r>
      <w:r>
        <w:rPr>
          <w:kern w:val="22"/>
          <w:lang w:val="fr-FR"/>
        </w:rPr>
        <w:t>n durable des pollinisateurs, figurant dans l’annexe I à la présente</w:t>
      </w:r>
      <w:r w:rsidRPr="004B2AE2">
        <w:rPr>
          <w:kern w:val="22"/>
          <w:lang w:val="fr-FR"/>
        </w:rPr>
        <w:t xml:space="preserve"> recommandation;</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2.</w:t>
      </w:r>
      <w:r w:rsidRPr="004B2AE2">
        <w:rPr>
          <w:kern w:val="22"/>
          <w:lang w:val="fr-FR"/>
        </w:rPr>
        <w:tab/>
      </w:r>
      <w:r w:rsidRPr="004B2AE2">
        <w:rPr>
          <w:i/>
          <w:kern w:val="22"/>
          <w:lang w:val="fr-FR"/>
        </w:rPr>
        <w:t>Prend note</w:t>
      </w:r>
      <w:r w:rsidRPr="004B2AE2">
        <w:rPr>
          <w:kern w:val="22"/>
          <w:lang w:val="fr-FR"/>
        </w:rPr>
        <w:t xml:space="preserve"> d</w:t>
      </w:r>
      <w:r>
        <w:rPr>
          <w:kern w:val="22"/>
          <w:lang w:val="fr-FR"/>
        </w:rPr>
        <w:t>u résumé des informations sur l’intérêt que présentent les pollinisateurs et</w:t>
      </w:r>
      <w:r w:rsidRPr="004B2AE2">
        <w:rPr>
          <w:kern w:val="22"/>
          <w:lang w:val="fr-FR"/>
        </w:rPr>
        <w:t xml:space="preserve"> la pollinisation pour la conservation et l’utilisation durable de la diversité biologique dans t</w:t>
      </w:r>
      <w:r>
        <w:rPr>
          <w:kern w:val="22"/>
          <w:lang w:val="fr-FR"/>
        </w:rPr>
        <w:t xml:space="preserve">ous les écosystèmes, au-delà de </w:t>
      </w:r>
      <w:r w:rsidRPr="004B2AE2">
        <w:rPr>
          <w:kern w:val="22"/>
          <w:lang w:val="fr-FR"/>
        </w:rPr>
        <w:t>leur rôle dans l’agriculture et</w:t>
      </w:r>
      <w:r>
        <w:rPr>
          <w:kern w:val="22"/>
          <w:lang w:val="fr-FR"/>
        </w:rPr>
        <w:t xml:space="preserve"> la production alimentaire, figurant dans l’annexe II à la présente </w:t>
      </w:r>
      <w:r w:rsidRPr="004B2AE2">
        <w:rPr>
          <w:kern w:val="22"/>
          <w:lang w:val="fr-FR"/>
        </w:rPr>
        <w:t>recommandation;</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3.</w:t>
      </w:r>
      <w:r w:rsidRPr="004B2AE2">
        <w:rPr>
          <w:kern w:val="22"/>
          <w:lang w:val="fr-FR"/>
        </w:rPr>
        <w:tab/>
      </w:r>
      <w:r w:rsidRPr="004B2AE2">
        <w:rPr>
          <w:i/>
          <w:kern w:val="22"/>
          <w:lang w:val="fr-FR"/>
        </w:rPr>
        <w:t xml:space="preserve">Prend note également </w:t>
      </w:r>
      <w:r w:rsidRPr="004B2AE2">
        <w:rPr>
          <w:kern w:val="22"/>
          <w:lang w:val="fr-FR"/>
        </w:rPr>
        <w:t>du p</w:t>
      </w:r>
      <w:r>
        <w:rPr>
          <w:kern w:val="22"/>
          <w:lang w:val="fr-FR"/>
        </w:rPr>
        <w:t>rojet de rapport intégral sur l’intérêt que présentent les</w:t>
      </w:r>
      <w:r w:rsidRPr="004B2AE2">
        <w:rPr>
          <w:kern w:val="22"/>
          <w:lang w:val="fr-FR"/>
        </w:rPr>
        <w:t xml:space="preserve"> p</w:t>
      </w:r>
      <w:r>
        <w:rPr>
          <w:kern w:val="22"/>
          <w:lang w:val="fr-FR"/>
        </w:rPr>
        <w:t xml:space="preserve">ollinisateurs et </w:t>
      </w:r>
      <w:r w:rsidRPr="004B2AE2">
        <w:rPr>
          <w:kern w:val="22"/>
          <w:lang w:val="fr-FR"/>
        </w:rPr>
        <w:t>la pollinisation pour la conservation et l’utilisation durable de la diversité biologique dans tous les écosystèmes, au-delà de leur rôle dans l’agriculture et la production alimentaire</w:t>
      </w:r>
      <w:r w:rsidRPr="00A23D0C">
        <w:rPr>
          <w:rStyle w:val="FootnoteReference"/>
          <w:kern w:val="22"/>
          <w:sz w:val="20"/>
          <w:szCs w:val="20"/>
          <w:u w:val="none"/>
          <w:vertAlign w:val="superscript"/>
          <w:lang w:val="fr-FR"/>
        </w:rPr>
        <w:footnoteReference w:id="129"/>
      </w:r>
      <w:r>
        <w:rPr>
          <w:kern w:val="22"/>
          <w:lang w:val="fr-FR"/>
        </w:rPr>
        <w:t>,</w:t>
      </w:r>
      <w:r w:rsidRPr="004B2AE2">
        <w:rPr>
          <w:kern w:val="22"/>
          <w:lang w:val="fr-FR"/>
        </w:rPr>
        <w:t xml:space="preserve"> et</w:t>
      </w:r>
      <w:r w:rsidRPr="004B2AE2">
        <w:rPr>
          <w:i/>
          <w:kern w:val="22"/>
          <w:lang w:val="fr-FR"/>
        </w:rPr>
        <w:t xml:space="preserve"> prie </w:t>
      </w:r>
      <w:r>
        <w:rPr>
          <w:kern w:val="22"/>
          <w:lang w:val="fr-FR"/>
        </w:rPr>
        <w:t xml:space="preserve">la Secrétaire exécutive, dans la limite </w:t>
      </w:r>
      <w:r w:rsidRPr="004B2AE2">
        <w:rPr>
          <w:kern w:val="22"/>
          <w:lang w:val="fr-FR"/>
        </w:rPr>
        <w:t>des ressources</w:t>
      </w:r>
      <w:r>
        <w:rPr>
          <w:kern w:val="22"/>
          <w:lang w:val="fr-FR"/>
        </w:rPr>
        <w:t xml:space="preserve"> disponibles, de parachever le</w:t>
      </w:r>
      <w:r w:rsidRPr="004B2AE2">
        <w:rPr>
          <w:kern w:val="22"/>
          <w:lang w:val="fr-FR"/>
        </w:rPr>
        <w:t xml:space="preserve"> rapport</w:t>
      </w:r>
      <w:r>
        <w:rPr>
          <w:kern w:val="22"/>
          <w:lang w:val="fr-FR"/>
        </w:rPr>
        <w:t>,</w:t>
      </w:r>
      <w:r w:rsidRPr="004B2AE2">
        <w:rPr>
          <w:kern w:val="22"/>
          <w:lang w:val="fr-FR"/>
        </w:rPr>
        <w:t xml:space="preserve"> en tenant compte des commentaires </w:t>
      </w:r>
      <w:r>
        <w:rPr>
          <w:kern w:val="22"/>
          <w:lang w:val="fr-FR"/>
        </w:rPr>
        <w:t>issus de l’examen critique par d</w:t>
      </w:r>
      <w:r w:rsidRPr="004B2AE2">
        <w:rPr>
          <w:kern w:val="22"/>
          <w:lang w:val="fr-FR"/>
        </w:rPr>
        <w:t>es pairs</w:t>
      </w:r>
      <w:r>
        <w:rPr>
          <w:kern w:val="22"/>
          <w:lang w:val="fr-FR"/>
        </w:rPr>
        <w:t>,</w:t>
      </w:r>
      <w:r w:rsidRPr="004B2AE2">
        <w:rPr>
          <w:kern w:val="22"/>
          <w:lang w:val="fr-FR"/>
        </w:rPr>
        <w:t xml:space="preserve"> et de le mettre à la disposition </w:t>
      </w:r>
      <w:r>
        <w:rPr>
          <w:kern w:val="22"/>
          <w:lang w:val="fr-FR"/>
        </w:rPr>
        <w:t>de</w:t>
      </w:r>
      <w:r w:rsidRPr="004B2AE2">
        <w:rPr>
          <w:kern w:val="22"/>
          <w:lang w:val="fr-FR"/>
        </w:rPr>
        <w:t xml:space="preserve"> la quatorzième réunion de la Conférence des Parties;</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firstLine="720"/>
        <w:rPr>
          <w:kern w:val="22"/>
          <w:lang w:val="fr-FR"/>
        </w:rPr>
      </w:pPr>
      <w:r w:rsidRPr="004B2AE2">
        <w:rPr>
          <w:kern w:val="22"/>
          <w:lang w:val="fr-FR"/>
        </w:rPr>
        <w:t>4.</w:t>
      </w:r>
      <w:r w:rsidRPr="004B2AE2">
        <w:rPr>
          <w:kern w:val="22"/>
          <w:lang w:val="fr-FR"/>
        </w:rPr>
        <w:tab/>
      </w:r>
      <w:r w:rsidRPr="004B2AE2">
        <w:rPr>
          <w:i/>
          <w:kern w:val="22"/>
          <w:lang w:val="fr-FR"/>
        </w:rPr>
        <w:t>Recommande</w:t>
      </w:r>
      <w:r>
        <w:rPr>
          <w:kern w:val="22"/>
          <w:lang w:val="fr-FR"/>
        </w:rPr>
        <w:t xml:space="preserve"> que la Conférence des Parties adopte</w:t>
      </w:r>
      <w:r w:rsidRPr="004B2AE2">
        <w:rPr>
          <w:kern w:val="22"/>
          <w:lang w:val="fr-FR"/>
        </w:rPr>
        <w:t>, à sa quatorzième réunion, une décision libellée comme suit :</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i/>
          <w:kern w:val="22"/>
          <w:lang w:val="fr-FR"/>
        </w:rPr>
      </w:pPr>
      <w:r w:rsidRPr="004B2AE2">
        <w:rPr>
          <w:i/>
          <w:kern w:val="22"/>
          <w:lang w:val="fr-FR"/>
        </w:rPr>
        <w:t>La Conférence des Parties,</w:t>
      </w:r>
    </w:p>
    <w:p w:rsidR="009F6935" w:rsidRPr="004B2AE2" w:rsidRDefault="009F6935" w:rsidP="009F6935">
      <w:pPr>
        <w:suppressLineNumbers/>
        <w:suppressAutoHyphens/>
        <w:kinsoku w:val="0"/>
        <w:overflowPunct w:val="0"/>
        <w:autoSpaceDE w:val="0"/>
        <w:autoSpaceDN w:val="0"/>
        <w:adjustRightInd w:val="0"/>
        <w:snapToGrid w:val="0"/>
        <w:spacing w:before="120" w:after="120"/>
        <w:ind w:left="720" w:firstLine="720"/>
        <w:rPr>
          <w:spacing w:val="-4"/>
          <w:kern w:val="22"/>
          <w:szCs w:val="22"/>
          <w:lang w:val="fr-FR"/>
        </w:rPr>
      </w:pPr>
      <w:r w:rsidRPr="004B2AE2">
        <w:rPr>
          <w:i/>
          <w:snapToGrid w:val="0"/>
          <w:kern w:val="22"/>
          <w:szCs w:val="22"/>
          <w:lang w:val="fr-FR"/>
        </w:rPr>
        <w:t>Rappelant</w:t>
      </w:r>
      <w:r>
        <w:rPr>
          <w:snapToGrid w:val="0"/>
          <w:kern w:val="22"/>
          <w:szCs w:val="22"/>
          <w:lang w:val="fr-FR"/>
        </w:rPr>
        <w:t xml:space="preserve"> l’annexe III à</w:t>
      </w:r>
      <w:r w:rsidRPr="004B2AE2">
        <w:rPr>
          <w:snapToGrid w:val="0"/>
          <w:kern w:val="22"/>
          <w:szCs w:val="22"/>
          <w:lang w:val="fr-FR"/>
        </w:rPr>
        <w:t xml:space="preserve"> la décision </w:t>
      </w:r>
      <w:hyperlink r:id="rId48" w:history="1">
        <w:r w:rsidRPr="004B2AE2">
          <w:rPr>
            <w:rStyle w:val="Hyperlink"/>
            <w:lang w:val="fr-FR"/>
          </w:rPr>
          <w:t>III/11</w:t>
        </w:r>
      </w:hyperlink>
      <w:r>
        <w:rPr>
          <w:snapToGrid w:val="0"/>
          <w:kern w:val="22"/>
          <w:szCs w:val="22"/>
          <w:lang w:val="fr-FR"/>
        </w:rPr>
        <w:t xml:space="preserve">, </w:t>
      </w:r>
      <w:r w:rsidRPr="004B2AE2">
        <w:rPr>
          <w:snapToGrid w:val="0"/>
          <w:kern w:val="22"/>
          <w:szCs w:val="22"/>
          <w:lang w:val="fr-FR"/>
        </w:rPr>
        <w:t xml:space="preserve">la décision </w:t>
      </w:r>
      <w:hyperlink r:id="rId49" w:history="1">
        <w:r w:rsidRPr="004B2AE2">
          <w:rPr>
            <w:rStyle w:val="Hyperlink"/>
            <w:lang w:val="fr-FR"/>
          </w:rPr>
          <w:t>V/5</w:t>
        </w:r>
      </w:hyperlink>
      <w:r w:rsidRPr="004B2AE2">
        <w:rPr>
          <w:snapToGrid w:val="0"/>
          <w:kern w:val="22"/>
          <w:szCs w:val="22"/>
          <w:lang w:val="fr-FR"/>
        </w:rPr>
        <w:t xml:space="preserve">, la décision </w:t>
      </w:r>
      <w:hyperlink r:id="rId50" w:history="1">
        <w:r w:rsidRPr="004B2AE2">
          <w:rPr>
            <w:rStyle w:val="Hyperlink"/>
            <w:lang w:val="fr-FR"/>
          </w:rPr>
          <w:t>VI/5</w:t>
        </w:r>
      </w:hyperlink>
      <w:r>
        <w:rPr>
          <w:snapToGrid w:val="0"/>
          <w:kern w:val="22"/>
          <w:szCs w:val="22"/>
          <w:lang w:val="fr-FR"/>
        </w:rPr>
        <w:t xml:space="preserve"> et la décision </w:t>
      </w:r>
      <w:hyperlink r:id="rId51" w:history="1">
        <w:r w:rsidRPr="004B2AE2">
          <w:rPr>
            <w:rStyle w:val="Hyperlink"/>
            <w:lang w:val="fr-FR"/>
          </w:rPr>
          <w:t>XIII/15</w:t>
        </w:r>
      </w:hyperlink>
      <w:r w:rsidRPr="004B2AE2">
        <w:rPr>
          <w:snapToGrid w:val="0"/>
          <w:kern w:val="22"/>
          <w:szCs w:val="22"/>
          <w:lang w:val="fr-FR"/>
        </w:rPr>
        <w:t>,</w:t>
      </w:r>
    </w:p>
    <w:p w:rsidR="009F6935" w:rsidRPr="004B2AE2" w:rsidRDefault="009F6935" w:rsidP="009F6935">
      <w:pPr>
        <w:suppressLineNumbers/>
        <w:suppressAutoHyphens/>
        <w:kinsoku w:val="0"/>
        <w:overflowPunct w:val="0"/>
        <w:autoSpaceDE w:val="0"/>
        <w:autoSpaceDN w:val="0"/>
        <w:adjustRightInd w:val="0"/>
        <w:snapToGrid w:val="0"/>
        <w:spacing w:before="120" w:after="120"/>
        <w:ind w:left="720" w:firstLine="720"/>
        <w:rPr>
          <w:i/>
          <w:snapToGrid w:val="0"/>
          <w:spacing w:val="-2"/>
          <w:kern w:val="22"/>
          <w:lang w:val="fr-FR"/>
        </w:rPr>
      </w:pPr>
      <w:r>
        <w:rPr>
          <w:i/>
          <w:snapToGrid w:val="0"/>
          <w:kern w:val="22"/>
          <w:szCs w:val="22"/>
          <w:lang w:val="fr-FR"/>
        </w:rPr>
        <w:t>Prenant note</w:t>
      </w:r>
      <w:r w:rsidRPr="004B2AE2">
        <w:rPr>
          <w:snapToGrid w:val="0"/>
          <w:kern w:val="22"/>
          <w:szCs w:val="22"/>
          <w:lang w:val="fr-FR"/>
        </w:rPr>
        <w:t xml:space="preserve"> </w:t>
      </w:r>
      <w:r>
        <w:rPr>
          <w:snapToGrid w:val="0"/>
          <w:kern w:val="22"/>
          <w:szCs w:val="22"/>
          <w:lang w:val="fr-FR"/>
        </w:rPr>
        <w:t xml:space="preserve">de </w:t>
      </w:r>
      <w:r w:rsidRPr="004B2AE2">
        <w:rPr>
          <w:snapToGrid w:val="0"/>
          <w:kern w:val="22"/>
          <w:szCs w:val="22"/>
          <w:lang w:val="fr-FR"/>
        </w:rPr>
        <w:t xml:space="preserve">l’importance des pollinisateurs et de la pollinisation pour tous les écosystèmes, y compris au-delà des systèmes agricoles et de production alimentaire, </w:t>
      </w:r>
      <w:r>
        <w:rPr>
          <w:snapToGrid w:val="0"/>
          <w:kern w:val="22"/>
          <w:szCs w:val="22"/>
          <w:lang w:val="fr-FR"/>
        </w:rPr>
        <w:t xml:space="preserve">en particulier pour les moyens de subsistance et la culture des peuples autochtones et des communautés locales, </w:t>
      </w:r>
      <w:r w:rsidRPr="004B2AE2">
        <w:rPr>
          <w:snapToGrid w:val="0"/>
          <w:kern w:val="22"/>
          <w:szCs w:val="22"/>
          <w:lang w:val="fr-FR"/>
        </w:rPr>
        <w:t xml:space="preserve">et </w:t>
      </w:r>
      <w:r w:rsidRPr="004B2AE2">
        <w:rPr>
          <w:i/>
          <w:snapToGrid w:val="0"/>
          <w:kern w:val="22"/>
          <w:szCs w:val="22"/>
          <w:lang w:val="fr-FR"/>
        </w:rPr>
        <w:t>reconnaissant</w:t>
      </w:r>
      <w:r w:rsidRPr="004B2AE2">
        <w:rPr>
          <w:snapToGrid w:val="0"/>
          <w:kern w:val="22"/>
          <w:szCs w:val="22"/>
          <w:lang w:val="fr-FR"/>
        </w:rPr>
        <w:t xml:space="preserve"> la contribution importante des activités visant à promouvoir la conservation et</w:t>
      </w:r>
      <w:r>
        <w:rPr>
          <w:snapToGrid w:val="0"/>
          <w:kern w:val="22"/>
          <w:szCs w:val="22"/>
          <w:lang w:val="fr-FR"/>
        </w:rPr>
        <w:t xml:space="preserve"> </w:t>
      </w:r>
      <w:r w:rsidRPr="004B2AE2">
        <w:rPr>
          <w:snapToGrid w:val="0"/>
          <w:kern w:val="22"/>
          <w:szCs w:val="22"/>
          <w:lang w:val="fr-FR"/>
        </w:rPr>
        <w:t>l’utilisation durable des pollinisateurs et des fonctions et services d</w:t>
      </w:r>
      <w:r>
        <w:rPr>
          <w:snapToGrid w:val="0"/>
          <w:kern w:val="22"/>
          <w:szCs w:val="22"/>
          <w:lang w:val="fr-FR"/>
        </w:rPr>
        <w:t>e pollinisation pour atteindre l</w:t>
      </w:r>
      <w:r w:rsidRPr="004B2AE2">
        <w:rPr>
          <w:snapToGrid w:val="0"/>
          <w:kern w:val="22"/>
          <w:szCs w:val="22"/>
          <w:lang w:val="fr-FR"/>
        </w:rPr>
        <w:t xml:space="preserve">es Objectifs d’Aichi </w:t>
      </w:r>
      <w:r>
        <w:rPr>
          <w:snapToGrid w:val="0"/>
          <w:kern w:val="22"/>
          <w:szCs w:val="22"/>
          <w:lang w:val="fr-FR"/>
        </w:rPr>
        <w:t>pour la biodiversité ainsi que l</w:t>
      </w:r>
      <w:r w:rsidRPr="004B2AE2">
        <w:rPr>
          <w:snapToGrid w:val="0"/>
          <w:kern w:val="22"/>
          <w:szCs w:val="22"/>
          <w:lang w:val="fr-FR"/>
        </w:rPr>
        <w:t>es Objectifs de développement durable,</w:t>
      </w:r>
    </w:p>
    <w:p w:rsidR="009F6935" w:rsidRPr="004B2AE2" w:rsidRDefault="009F6935" w:rsidP="009F6935">
      <w:pPr>
        <w:suppressLineNumbers/>
        <w:suppressAutoHyphens/>
        <w:kinsoku w:val="0"/>
        <w:overflowPunct w:val="0"/>
        <w:autoSpaceDE w:val="0"/>
        <w:autoSpaceDN w:val="0"/>
        <w:adjustRightInd w:val="0"/>
        <w:snapToGrid w:val="0"/>
        <w:spacing w:before="120" w:after="120"/>
        <w:ind w:left="720" w:firstLine="720"/>
        <w:rPr>
          <w:snapToGrid w:val="0"/>
          <w:kern w:val="22"/>
          <w:lang w:val="fr-FR"/>
        </w:rPr>
      </w:pPr>
      <w:r w:rsidRPr="004B2AE2">
        <w:rPr>
          <w:i/>
          <w:lang w:val="fr-FR"/>
        </w:rPr>
        <w:t>Sachant</w:t>
      </w:r>
      <w:r w:rsidRPr="004B2AE2">
        <w:rPr>
          <w:lang w:val="fr-FR"/>
        </w:rPr>
        <w:t xml:space="preserve"> que les activités visant à promouvoir la conservation et l’utilisation durable des pollinisateurs et des fonctions et services de pollinisatio</w:t>
      </w:r>
      <w:r>
        <w:rPr>
          <w:lang w:val="fr-FR"/>
        </w:rPr>
        <w:t>n sont des éléments essentiels de</w:t>
      </w:r>
      <w:r w:rsidRPr="004B2AE2">
        <w:rPr>
          <w:lang w:val="fr-FR"/>
        </w:rPr>
        <w:t xml:space="preserve"> la transition vers la réalisation de systèmes alimentaires plus durables</w:t>
      </w:r>
      <w:r>
        <w:rPr>
          <w:lang w:val="fr-FR"/>
        </w:rPr>
        <w:t>, en favoris</w:t>
      </w:r>
      <w:r w:rsidRPr="004B2AE2">
        <w:rPr>
          <w:lang w:val="fr-FR"/>
        </w:rPr>
        <w:t>ant l’adoption de pratiques plus durab</w:t>
      </w:r>
      <w:r>
        <w:rPr>
          <w:lang w:val="fr-FR"/>
        </w:rPr>
        <w:t>les dans les secteurs agricoles</w:t>
      </w:r>
      <w:r w:rsidRPr="004B2AE2">
        <w:rPr>
          <w:lang w:val="fr-FR"/>
        </w:rPr>
        <w:t xml:space="preserve"> et tous les autres secteurs,</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lang w:val="fr-FR"/>
        </w:rPr>
      </w:pPr>
      <w:r w:rsidRPr="004B2AE2">
        <w:rPr>
          <w:kern w:val="22"/>
          <w:lang w:val="fr-FR"/>
        </w:rPr>
        <w:t>1.</w:t>
      </w:r>
      <w:r w:rsidRPr="004B2AE2">
        <w:rPr>
          <w:i/>
          <w:kern w:val="22"/>
          <w:lang w:val="fr-FR"/>
        </w:rPr>
        <w:tab/>
        <w:t>Adopte</w:t>
      </w:r>
      <w:r w:rsidRPr="004B2AE2">
        <w:rPr>
          <w:kern w:val="22"/>
          <w:lang w:val="fr-FR"/>
        </w:rPr>
        <w:t xml:space="preserve"> le plan d’action 2018-2030 de l’Initiative internationale sur la conservation et l’utilisatio</w:t>
      </w:r>
      <w:r>
        <w:rPr>
          <w:kern w:val="22"/>
          <w:lang w:val="fr-FR"/>
        </w:rPr>
        <w:t>n durable des pollinisateurs, figurant</w:t>
      </w:r>
      <w:r w:rsidRPr="004B2AE2">
        <w:rPr>
          <w:kern w:val="22"/>
          <w:lang w:val="fr-FR"/>
        </w:rPr>
        <w:t xml:space="preserve"> dans l’a</w:t>
      </w:r>
      <w:r>
        <w:rPr>
          <w:kern w:val="22"/>
          <w:lang w:val="fr-FR"/>
        </w:rPr>
        <w:t>nnexe I à</w:t>
      </w:r>
      <w:r w:rsidRPr="004B2AE2">
        <w:rPr>
          <w:kern w:val="22"/>
          <w:lang w:val="fr-FR"/>
        </w:rPr>
        <w:t xml:space="preserve"> la présente décision</w:t>
      </w:r>
      <w:r>
        <w:rPr>
          <w:kern w:val="22"/>
          <w:lang w:val="fr-FR"/>
        </w:rPr>
        <w:t>, aux fins de</w:t>
      </w:r>
      <w:r w:rsidRPr="004B2AE2">
        <w:rPr>
          <w:kern w:val="22"/>
          <w:lang w:val="fr-FR"/>
        </w:rPr>
        <w:t xml:space="preserve"> mise en œuv</w:t>
      </w:r>
      <w:r>
        <w:rPr>
          <w:kern w:val="22"/>
          <w:lang w:val="fr-FR"/>
        </w:rPr>
        <w:t>re selon les circonstances nationales</w:t>
      </w:r>
      <w:r w:rsidRPr="004B2AE2">
        <w:rPr>
          <w:kern w:val="22"/>
          <w:lang w:val="fr-FR"/>
        </w:rPr>
        <w:t>;</w:t>
      </w:r>
    </w:p>
    <w:p w:rsidR="009F6935" w:rsidRPr="004B2AE2" w:rsidRDefault="009F6935" w:rsidP="009F6935">
      <w:pPr>
        <w:spacing w:after="120"/>
        <w:ind w:left="720" w:firstLine="720"/>
        <w:jc w:val="left"/>
        <w:rPr>
          <w:kern w:val="22"/>
          <w:lang w:val="fr-FR"/>
        </w:rPr>
      </w:pPr>
      <w:r w:rsidRPr="004B2AE2">
        <w:rPr>
          <w:kern w:val="22"/>
          <w:lang w:val="fr-FR"/>
        </w:rPr>
        <w:t>2</w:t>
      </w:r>
      <w:r w:rsidRPr="004B2AE2">
        <w:rPr>
          <w:i/>
          <w:kern w:val="22"/>
          <w:lang w:val="fr-FR"/>
        </w:rPr>
        <w:t>.</w:t>
      </w:r>
      <w:r w:rsidRPr="004B2AE2">
        <w:rPr>
          <w:i/>
          <w:kern w:val="22"/>
          <w:lang w:val="fr-FR"/>
        </w:rPr>
        <w:tab/>
        <w:t>[Accueille avec satisfaction</w:t>
      </w:r>
      <w:r>
        <w:rPr>
          <w:i/>
          <w:kern w:val="22"/>
          <w:lang w:val="fr-FR"/>
        </w:rPr>
        <w:t xml:space="preserve"> le /Prend note du</w:t>
      </w:r>
      <w:r w:rsidRPr="004B2AE2">
        <w:rPr>
          <w:i/>
          <w:kern w:val="22"/>
          <w:lang w:val="fr-FR"/>
        </w:rPr>
        <w:t>]</w:t>
      </w:r>
      <w:r w:rsidRPr="00A23D0C">
        <w:rPr>
          <w:rStyle w:val="FootnoteReference"/>
          <w:kern w:val="22"/>
          <w:sz w:val="20"/>
          <w:szCs w:val="20"/>
          <w:u w:val="none"/>
          <w:vertAlign w:val="superscript"/>
          <w:lang w:val="fr-FR"/>
        </w:rPr>
        <w:footnoteReference w:id="130"/>
      </w:r>
      <w:r w:rsidRPr="00A23D0C">
        <w:rPr>
          <w:kern w:val="22"/>
          <w:sz w:val="20"/>
          <w:szCs w:val="20"/>
          <w:vertAlign w:val="superscript"/>
          <w:lang w:val="fr-FR"/>
        </w:rPr>
        <w:t xml:space="preserve"> </w:t>
      </w:r>
      <w:r w:rsidRPr="004B2AE2">
        <w:rPr>
          <w:kern w:val="22"/>
          <w:lang w:val="fr-FR"/>
        </w:rPr>
        <w:t>résumé des in</w:t>
      </w:r>
      <w:r>
        <w:rPr>
          <w:kern w:val="22"/>
          <w:lang w:val="fr-FR"/>
        </w:rPr>
        <w:t xml:space="preserve">formations sur l’intérêt que présentent les pollinisateurs et </w:t>
      </w:r>
      <w:r w:rsidRPr="004B2AE2">
        <w:rPr>
          <w:kern w:val="22"/>
          <w:lang w:val="fr-FR"/>
        </w:rPr>
        <w:t>la pollinisation pour la conservation et l’utilisation durable de la diversité biologique dans tous les écosystèmes, au-delà de leur rôle dans l’agriculture et la production alimen</w:t>
      </w:r>
      <w:r>
        <w:rPr>
          <w:kern w:val="22"/>
          <w:lang w:val="fr-FR"/>
        </w:rPr>
        <w:t>taire, figurant</w:t>
      </w:r>
      <w:r w:rsidRPr="004B2AE2">
        <w:rPr>
          <w:kern w:val="22"/>
          <w:lang w:val="fr-FR"/>
        </w:rPr>
        <w:t xml:space="preserve"> dans l’annexe </w:t>
      </w:r>
      <w:r>
        <w:rPr>
          <w:kern w:val="22"/>
          <w:lang w:val="fr-FR"/>
        </w:rPr>
        <w:t>II à</w:t>
      </w:r>
      <w:r w:rsidRPr="004B2AE2">
        <w:rPr>
          <w:kern w:val="22"/>
          <w:lang w:val="fr-FR"/>
        </w:rPr>
        <w:t xml:space="preserve"> la présente décision;</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FR"/>
        </w:rPr>
      </w:pPr>
      <w:r w:rsidRPr="004B2AE2">
        <w:rPr>
          <w:kern w:val="22"/>
          <w:szCs w:val="22"/>
          <w:lang w:val="fr-FR"/>
        </w:rPr>
        <w:t>3</w:t>
      </w:r>
      <w:r w:rsidRPr="004B2AE2">
        <w:rPr>
          <w:i/>
          <w:kern w:val="22"/>
          <w:szCs w:val="22"/>
          <w:lang w:val="fr-FR"/>
        </w:rPr>
        <w:t>.</w:t>
      </w:r>
      <w:r w:rsidRPr="004B2AE2">
        <w:rPr>
          <w:i/>
          <w:kern w:val="22"/>
          <w:szCs w:val="22"/>
          <w:lang w:val="fr-FR"/>
        </w:rPr>
        <w:tab/>
      </w:r>
      <w:r w:rsidRPr="004B2AE2">
        <w:rPr>
          <w:i/>
          <w:szCs w:val="22"/>
          <w:lang w:val="fr-FR"/>
        </w:rPr>
        <w:t>Encourage</w:t>
      </w:r>
      <w:r w:rsidRPr="004B2AE2">
        <w:rPr>
          <w:szCs w:val="22"/>
          <w:lang w:val="fr-FR"/>
        </w:rPr>
        <w:t xml:space="preserve"> les Parties, les autres gouvernements</w:t>
      </w:r>
      <w:r>
        <w:rPr>
          <w:szCs w:val="22"/>
          <w:lang w:val="fr-FR"/>
        </w:rPr>
        <w:t>,</w:t>
      </w:r>
      <w:r w:rsidRPr="004B2AE2">
        <w:rPr>
          <w:szCs w:val="22"/>
          <w:lang w:val="fr-FR"/>
        </w:rPr>
        <w:t xml:space="preserve"> et les organisations </w:t>
      </w:r>
      <w:r>
        <w:rPr>
          <w:szCs w:val="22"/>
          <w:lang w:val="fr-FR"/>
        </w:rPr>
        <w:t>et réseaux concernés à appuyer et réaliser</w:t>
      </w:r>
      <w:r w:rsidRPr="004B2AE2">
        <w:rPr>
          <w:szCs w:val="22"/>
          <w:lang w:val="fr-FR"/>
        </w:rPr>
        <w:t xml:space="preserve"> les activités pertinentes de l’Initiative internationale sur la conservation et l’utilisation durable des pollinisateurs, notamment en intégrant des mesures appropriées dans la mise en œuvre des stratégies et plans d’action nationaux</w:t>
      </w:r>
      <w:r>
        <w:rPr>
          <w:szCs w:val="22"/>
          <w:lang w:val="fr-FR"/>
        </w:rPr>
        <w:t xml:space="preserve"> pour la diversité </w:t>
      </w:r>
      <w:r>
        <w:rPr>
          <w:szCs w:val="22"/>
          <w:lang w:val="fr-FR"/>
        </w:rPr>
        <w:lastRenderedPageBreak/>
        <w:t>biologique</w:t>
      </w:r>
      <w:r w:rsidRPr="004B2AE2">
        <w:rPr>
          <w:szCs w:val="22"/>
          <w:lang w:val="fr-FR"/>
        </w:rPr>
        <w:t>, ainsi que de</w:t>
      </w:r>
      <w:r>
        <w:rPr>
          <w:szCs w:val="22"/>
          <w:lang w:val="fr-FR"/>
        </w:rPr>
        <w:t>s</w:t>
      </w:r>
      <w:r w:rsidRPr="004B2AE2">
        <w:rPr>
          <w:szCs w:val="22"/>
          <w:lang w:val="fr-FR"/>
        </w:rPr>
        <w:t xml:space="preserve"> stratégies et plan</w:t>
      </w:r>
      <w:r>
        <w:rPr>
          <w:szCs w:val="22"/>
          <w:lang w:val="fr-FR"/>
        </w:rPr>
        <w:t xml:space="preserve">s d’action </w:t>
      </w:r>
      <w:r w:rsidRPr="004B2AE2">
        <w:rPr>
          <w:szCs w:val="22"/>
          <w:lang w:val="fr-FR"/>
        </w:rPr>
        <w:t>infranationaux et locaux</w:t>
      </w:r>
      <w:r>
        <w:rPr>
          <w:szCs w:val="22"/>
          <w:lang w:val="fr-FR"/>
        </w:rPr>
        <w:t xml:space="preserve"> pour la diversité biologique, selon qu’</w:t>
      </w:r>
      <w:r w:rsidRPr="004B2AE2">
        <w:rPr>
          <w:szCs w:val="22"/>
          <w:lang w:val="fr-FR"/>
        </w:rPr>
        <w:t>il convient, et de</w:t>
      </w:r>
      <w:r>
        <w:rPr>
          <w:szCs w:val="22"/>
          <w:lang w:val="fr-FR"/>
        </w:rPr>
        <w:t>s</w:t>
      </w:r>
      <w:r w:rsidRPr="004B2AE2">
        <w:rPr>
          <w:szCs w:val="22"/>
          <w:lang w:val="fr-FR"/>
        </w:rPr>
        <w:t xml:space="preserve"> politiques, lois et programmes pertinents;</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FR"/>
        </w:rPr>
      </w:pPr>
      <w:r w:rsidRPr="004B2AE2">
        <w:rPr>
          <w:kern w:val="22"/>
          <w:szCs w:val="22"/>
          <w:lang w:val="fr-FR"/>
        </w:rPr>
        <w:t>4.</w:t>
      </w:r>
      <w:r w:rsidRPr="004B2AE2">
        <w:rPr>
          <w:i/>
          <w:kern w:val="22"/>
          <w:szCs w:val="22"/>
          <w:lang w:val="fr-FR"/>
        </w:rPr>
        <w:tab/>
      </w:r>
      <w:r w:rsidRPr="004B2AE2">
        <w:rPr>
          <w:rFonts w:asciiTheme="majorBidi" w:hAnsiTheme="majorBidi" w:cstheme="majorBidi"/>
          <w:i/>
          <w:szCs w:val="22"/>
          <w:lang w:val="fr-FR"/>
        </w:rPr>
        <w:t>Prie instamment</w:t>
      </w:r>
      <w:r w:rsidRPr="004B2AE2">
        <w:rPr>
          <w:rFonts w:asciiTheme="majorBidi" w:hAnsiTheme="majorBidi" w:cstheme="majorBidi"/>
          <w:szCs w:val="22"/>
          <w:lang w:val="fr-FR"/>
        </w:rPr>
        <w:t xml:space="preserve"> les Parties et </w:t>
      </w:r>
      <w:r w:rsidRPr="004B2AE2">
        <w:rPr>
          <w:rFonts w:asciiTheme="majorBidi" w:hAnsiTheme="majorBidi" w:cstheme="majorBidi"/>
          <w:i/>
          <w:iCs/>
          <w:szCs w:val="22"/>
          <w:lang w:val="fr-FR"/>
        </w:rPr>
        <w:t>invite</w:t>
      </w:r>
      <w:r w:rsidRPr="004B2AE2">
        <w:rPr>
          <w:rFonts w:asciiTheme="majorBidi" w:hAnsiTheme="majorBidi" w:cstheme="majorBidi"/>
          <w:szCs w:val="22"/>
          <w:lang w:val="fr-FR"/>
        </w:rPr>
        <w:t xml:space="preserve"> les autres gouvernements à lutter contre les facteurs de déclin des poll</w:t>
      </w:r>
      <w:r>
        <w:rPr>
          <w:rFonts w:asciiTheme="majorBidi" w:hAnsiTheme="majorBidi" w:cstheme="majorBidi"/>
          <w:szCs w:val="22"/>
          <w:lang w:val="fr-FR"/>
        </w:rPr>
        <w:t>inisateurs sauvages et domestiques</w:t>
      </w:r>
      <w:r w:rsidRPr="004B2AE2">
        <w:rPr>
          <w:rFonts w:asciiTheme="majorBidi" w:hAnsiTheme="majorBidi" w:cstheme="majorBidi"/>
          <w:szCs w:val="22"/>
          <w:lang w:val="fr-FR"/>
        </w:rPr>
        <w:t xml:space="preserve"> dans tous les écosystèmes, y compris les biomes et les systèmes agricoles les plus vulnérables, </w:t>
      </w:r>
      <w:r>
        <w:rPr>
          <w:rFonts w:asciiTheme="majorBidi" w:hAnsiTheme="majorBidi" w:cstheme="majorBidi"/>
          <w:szCs w:val="22"/>
          <w:lang w:val="fr-FR"/>
        </w:rPr>
        <w:t>tels qu’énumér</w:t>
      </w:r>
      <w:r w:rsidRPr="004B2AE2">
        <w:rPr>
          <w:rFonts w:asciiTheme="majorBidi" w:hAnsiTheme="majorBidi" w:cstheme="majorBidi"/>
          <w:szCs w:val="22"/>
          <w:lang w:val="fr-FR"/>
        </w:rPr>
        <w:t>és dans l'annexe II à la présente décision, en accordant une attention particulière, aux échelons local et régional, au risque d’introduction d’espèces exotiques envahissantes (plantes, pollinisateurs, prédateurs, ravageurs et agents pathogènes) qui nuisent aux pollinisateurs et aux ressources végétales dont ils dépendent, en évitant ou en inversant la</w:t>
      </w:r>
      <w:r>
        <w:rPr>
          <w:rFonts w:asciiTheme="majorBidi" w:hAnsiTheme="majorBidi" w:cstheme="majorBidi"/>
          <w:szCs w:val="22"/>
          <w:lang w:val="fr-FR"/>
        </w:rPr>
        <w:t xml:space="preserve"> tendance à la</w:t>
      </w:r>
      <w:r w:rsidRPr="004B2AE2">
        <w:rPr>
          <w:rFonts w:asciiTheme="majorBidi" w:hAnsiTheme="majorBidi" w:cstheme="majorBidi"/>
          <w:szCs w:val="22"/>
          <w:lang w:val="fr-FR"/>
        </w:rPr>
        <w:t xml:space="preserve"> dégradation des sols et en restaurant les habitats perdus des pollinisateurs</w:t>
      </w:r>
      <w:r>
        <w:rPr>
          <w:rFonts w:asciiTheme="majorBidi" w:hAnsiTheme="majorBidi" w:cstheme="majorBidi"/>
          <w:szCs w:val="22"/>
          <w:lang w:val="fr-FR"/>
        </w:rPr>
        <w:t>,</w:t>
      </w:r>
      <w:r w:rsidRPr="004B2AE2">
        <w:rPr>
          <w:rFonts w:asciiTheme="majorBidi" w:hAnsiTheme="majorBidi" w:cstheme="majorBidi"/>
          <w:szCs w:val="22"/>
          <w:lang w:val="fr-FR"/>
        </w:rPr>
        <w:t xml:space="preserve"> parallèlement à la lutte contre les facteurs recensés dans la décision XI</w:t>
      </w:r>
      <w:r>
        <w:rPr>
          <w:rFonts w:asciiTheme="majorBidi" w:hAnsiTheme="majorBidi" w:cstheme="majorBidi"/>
          <w:szCs w:val="22"/>
          <w:lang w:val="fr-FR"/>
        </w:rPr>
        <w:t>I</w:t>
      </w:r>
      <w:r w:rsidRPr="004B2AE2">
        <w:rPr>
          <w:rFonts w:asciiTheme="majorBidi" w:hAnsiTheme="majorBidi" w:cstheme="majorBidi"/>
          <w:szCs w:val="22"/>
          <w:lang w:val="fr-FR"/>
        </w:rPr>
        <w:t>I/15;</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shd w:val="clear" w:color="auto" w:fill="FCFCFC"/>
          <w:lang w:val="fr-FR"/>
        </w:rPr>
      </w:pPr>
      <w:r w:rsidRPr="004B2AE2">
        <w:rPr>
          <w:kern w:val="22"/>
          <w:szCs w:val="22"/>
          <w:lang w:val="fr-FR"/>
        </w:rPr>
        <w:t>5.</w:t>
      </w:r>
      <w:r w:rsidRPr="004B2AE2">
        <w:rPr>
          <w:i/>
          <w:kern w:val="22"/>
          <w:szCs w:val="22"/>
          <w:lang w:val="fr-FR"/>
        </w:rPr>
        <w:tab/>
      </w:r>
      <w:r w:rsidRPr="004B2AE2">
        <w:rPr>
          <w:i/>
          <w:lang w:val="fr-FR"/>
        </w:rPr>
        <w:t>Encourage</w:t>
      </w:r>
      <w:r w:rsidRPr="004B2AE2">
        <w:rPr>
          <w:lang w:val="fr-FR"/>
        </w:rPr>
        <w:t xml:space="preserve"> les Parties et </w:t>
      </w:r>
      <w:r w:rsidRPr="004B2AE2">
        <w:rPr>
          <w:i/>
          <w:iCs/>
          <w:lang w:val="fr-FR"/>
        </w:rPr>
        <w:t>invite</w:t>
      </w:r>
      <w:r w:rsidRPr="004B2AE2">
        <w:rPr>
          <w:lang w:val="fr-FR"/>
        </w:rPr>
        <w:t xml:space="preserve"> les autres gouvernements à intégrer la conservation et l’utilisation durable des pollinisateurs</w:t>
      </w:r>
      <w:r w:rsidRPr="004B2AE2">
        <w:rPr>
          <w:rFonts w:asciiTheme="majorBidi" w:hAnsiTheme="majorBidi" w:cstheme="majorBidi"/>
          <w:szCs w:val="22"/>
          <w:lang w:val="fr-FR"/>
        </w:rPr>
        <w:t xml:space="preserve"> </w:t>
      </w:r>
      <w:r>
        <w:rPr>
          <w:rFonts w:asciiTheme="majorBidi" w:hAnsiTheme="majorBidi" w:cstheme="majorBidi"/>
          <w:szCs w:val="22"/>
          <w:lang w:val="fr-FR"/>
        </w:rPr>
        <w:t>sauvages et domestiques</w:t>
      </w:r>
      <w:r>
        <w:rPr>
          <w:lang w:val="fr-FR"/>
        </w:rPr>
        <w:t xml:space="preserve"> et de leurs habitats dans les </w:t>
      </w:r>
      <w:r w:rsidRPr="004B2AE2">
        <w:rPr>
          <w:lang w:val="fr-FR"/>
        </w:rPr>
        <w:t xml:space="preserve">politiques d’aménagement du territoire et des aires protégées et dans d'autres politiques de </w:t>
      </w:r>
      <w:r>
        <w:rPr>
          <w:lang w:val="fr-FR"/>
        </w:rPr>
        <w:t>conservation efficace par zone</w:t>
      </w:r>
      <w:r w:rsidRPr="004B2AE2">
        <w:rPr>
          <w:lang w:val="fr-FR"/>
        </w:rPr>
        <w:t>;</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i/>
          <w:kern w:val="22"/>
          <w:lang w:val="fr-FR"/>
        </w:rPr>
      </w:pPr>
      <w:r w:rsidRPr="004B2AE2">
        <w:rPr>
          <w:kern w:val="22"/>
          <w:szCs w:val="22"/>
          <w:lang w:val="fr-FR"/>
        </w:rPr>
        <w:t>6.</w:t>
      </w:r>
      <w:r w:rsidRPr="004B2AE2">
        <w:rPr>
          <w:i/>
          <w:kern w:val="22"/>
          <w:szCs w:val="22"/>
          <w:lang w:val="fr-FR"/>
        </w:rPr>
        <w:tab/>
      </w:r>
      <w:r w:rsidRPr="004B2AE2">
        <w:rPr>
          <w:i/>
          <w:kern w:val="22"/>
          <w:lang w:val="fr-FR"/>
        </w:rPr>
        <w:t xml:space="preserve">Encourage </w:t>
      </w:r>
      <w:r w:rsidRPr="004B2AE2">
        <w:rPr>
          <w:kern w:val="22"/>
          <w:lang w:val="fr-FR"/>
        </w:rPr>
        <w:t>les Parties et</w:t>
      </w:r>
      <w:r w:rsidRPr="004B2AE2">
        <w:rPr>
          <w:i/>
          <w:kern w:val="22"/>
          <w:lang w:val="fr-FR"/>
        </w:rPr>
        <w:t xml:space="preserve"> invite </w:t>
      </w:r>
      <w:r w:rsidRPr="004B2AE2">
        <w:rPr>
          <w:kern w:val="22"/>
          <w:lang w:val="fr-FR"/>
        </w:rPr>
        <w:t>les autres gouvernements à :</w:t>
      </w:r>
    </w:p>
    <w:p w:rsidR="009F6935" w:rsidRDefault="009F6935" w:rsidP="00004EAF">
      <w:pPr>
        <w:pStyle w:val="Para1"/>
        <w:numPr>
          <w:ilvl w:val="0"/>
          <w:numId w:val="86"/>
        </w:numPr>
        <w:suppressLineNumbers/>
        <w:suppressAutoHyphens/>
        <w:kinsoku w:val="0"/>
        <w:overflowPunct w:val="0"/>
        <w:autoSpaceDE w:val="0"/>
        <w:autoSpaceDN w:val="0"/>
        <w:spacing w:before="0"/>
        <w:ind w:left="709" w:firstLine="709"/>
        <w:rPr>
          <w:kern w:val="22"/>
          <w:szCs w:val="22"/>
          <w:lang w:val="fr-FR"/>
        </w:rPr>
      </w:pPr>
      <w:r w:rsidRPr="004B2AE2">
        <w:rPr>
          <w:kern w:val="22"/>
          <w:lang w:val="fr-FR"/>
        </w:rPr>
        <w:t>Inciter</w:t>
      </w:r>
      <w:r w:rsidRPr="004B2AE2">
        <w:rPr>
          <w:i/>
          <w:kern w:val="22"/>
          <w:lang w:val="fr-FR"/>
        </w:rPr>
        <w:t xml:space="preserve"> </w:t>
      </w:r>
      <w:r w:rsidRPr="004B2AE2">
        <w:rPr>
          <w:kern w:val="22"/>
          <w:lang w:val="fr-FR"/>
        </w:rPr>
        <w:t>le secteur privé à prendre en considération les activités énumérées dans le plan d’action et à œuvrer à la réalisation de systèmes de production et de consommation plus durables;</w:t>
      </w:r>
    </w:p>
    <w:p w:rsidR="009F6935" w:rsidRDefault="009F6935" w:rsidP="00004EAF">
      <w:pPr>
        <w:pStyle w:val="Para1"/>
        <w:numPr>
          <w:ilvl w:val="0"/>
          <w:numId w:val="86"/>
        </w:numPr>
        <w:suppressLineNumbers/>
        <w:suppressAutoHyphens/>
        <w:kinsoku w:val="0"/>
        <w:overflowPunct w:val="0"/>
        <w:autoSpaceDE w:val="0"/>
        <w:autoSpaceDN w:val="0"/>
        <w:spacing w:before="0"/>
        <w:ind w:left="709" w:firstLine="709"/>
        <w:rPr>
          <w:kern w:val="22"/>
          <w:szCs w:val="22"/>
          <w:lang w:val="fr-FR"/>
        </w:rPr>
      </w:pPr>
      <w:r w:rsidRPr="00421564">
        <w:rPr>
          <w:kern w:val="22"/>
          <w:lang w:val="fr-FR"/>
        </w:rPr>
        <w:t>Inciter</w:t>
      </w:r>
      <w:r>
        <w:rPr>
          <w:kern w:val="22"/>
          <w:lang w:val="fr-FR"/>
        </w:rPr>
        <w:t xml:space="preserve"> les établissement</w:t>
      </w:r>
      <w:r w:rsidRPr="00421564">
        <w:rPr>
          <w:kern w:val="22"/>
          <w:lang w:val="fr-FR"/>
        </w:rPr>
        <w:t>s universitaires et de recherche, ainsi que les organisations et réseaux internationaux, nationaux et régionaux concernés</w:t>
      </w:r>
      <w:r>
        <w:rPr>
          <w:kern w:val="22"/>
          <w:lang w:val="fr-FR"/>
        </w:rPr>
        <w:t>,</w:t>
      </w:r>
      <w:r w:rsidRPr="00421564">
        <w:rPr>
          <w:kern w:val="22"/>
          <w:lang w:val="fr-FR"/>
        </w:rPr>
        <w:t xml:space="preserve"> à poursuivre les recherches visant à combler les lacunes</w:t>
      </w:r>
      <w:r w:rsidRPr="004B2AE2">
        <w:rPr>
          <w:kern w:val="22"/>
          <w:vertAlign w:val="superscript"/>
          <w:lang w:val="fr-FR"/>
        </w:rPr>
        <w:footnoteReference w:id="131"/>
      </w:r>
      <w:r w:rsidRPr="00421564">
        <w:rPr>
          <w:kern w:val="22"/>
          <w:lang w:val="fr-FR"/>
        </w:rPr>
        <w:t xml:space="preserve"> relevées dans le plan d’action, et à</w:t>
      </w:r>
      <w:r>
        <w:rPr>
          <w:kern w:val="22"/>
          <w:lang w:val="fr-FR"/>
        </w:rPr>
        <w:t xml:space="preserve"> résum</w:t>
      </w:r>
      <w:r w:rsidRPr="00421564">
        <w:rPr>
          <w:kern w:val="22"/>
          <w:lang w:val="fr-FR"/>
        </w:rPr>
        <w:t>er puis communiquer les informations par les canaux appropriés</w:t>
      </w:r>
      <w:r>
        <w:rPr>
          <w:kern w:val="22"/>
          <w:lang w:val="fr-FR"/>
        </w:rPr>
        <w:t>,</w:t>
      </w:r>
      <w:r w:rsidRPr="00421564">
        <w:rPr>
          <w:kern w:val="22"/>
          <w:lang w:val="fr-FR"/>
        </w:rPr>
        <w:t xml:space="preserve"> afin d’appuyer la mise en œuvre;</w:t>
      </w:r>
    </w:p>
    <w:p w:rsidR="009F6935" w:rsidRDefault="009F6935" w:rsidP="00004EAF">
      <w:pPr>
        <w:pStyle w:val="Para1"/>
        <w:numPr>
          <w:ilvl w:val="0"/>
          <w:numId w:val="86"/>
        </w:numPr>
        <w:suppressLineNumbers/>
        <w:suppressAutoHyphens/>
        <w:kinsoku w:val="0"/>
        <w:overflowPunct w:val="0"/>
        <w:autoSpaceDE w:val="0"/>
        <w:autoSpaceDN w:val="0"/>
        <w:spacing w:before="0"/>
        <w:ind w:left="709" w:firstLine="709"/>
        <w:rPr>
          <w:kern w:val="22"/>
          <w:szCs w:val="22"/>
          <w:lang w:val="fr-FR"/>
        </w:rPr>
      </w:pPr>
      <w:r w:rsidRPr="00421564">
        <w:rPr>
          <w:kern w:val="22"/>
          <w:lang w:val="fr-FR"/>
        </w:rPr>
        <w:t xml:space="preserve">Inciter les agriculteurs, </w:t>
      </w:r>
      <w:r>
        <w:rPr>
          <w:kern w:val="22"/>
          <w:lang w:val="fr-FR"/>
        </w:rPr>
        <w:t xml:space="preserve">les </w:t>
      </w:r>
      <w:r w:rsidRPr="00421564">
        <w:rPr>
          <w:kern w:val="22"/>
          <w:lang w:val="fr-FR"/>
        </w:rPr>
        <w:t xml:space="preserve">apiculteurs, </w:t>
      </w:r>
      <w:r>
        <w:rPr>
          <w:kern w:val="22"/>
          <w:lang w:val="fr-FR"/>
        </w:rPr>
        <w:t xml:space="preserve">les </w:t>
      </w:r>
      <w:r w:rsidRPr="00421564">
        <w:rPr>
          <w:kern w:val="22"/>
          <w:lang w:val="fr-FR"/>
        </w:rPr>
        <w:t xml:space="preserve">responsables de la gestion des terres, </w:t>
      </w:r>
      <w:r>
        <w:rPr>
          <w:kern w:val="22"/>
          <w:lang w:val="fr-FR"/>
        </w:rPr>
        <w:t xml:space="preserve">les </w:t>
      </w:r>
      <w:r w:rsidRPr="00421564">
        <w:rPr>
          <w:kern w:val="22"/>
          <w:lang w:val="fr-FR"/>
        </w:rPr>
        <w:t xml:space="preserve">communautés urbaines, </w:t>
      </w:r>
      <w:r>
        <w:rPr>
          <w:kern w:val="22"/>
          <w:lang w:val="fr-FR"/>
        </w:rPr>
        <w:t xml:space="preserve">les </w:t>
      </w:r>
      <w:r w:rsidRPr="00421564">
        <w:rPr>
          <w:kern w:val="22"/>
          <w:lang w:val="fr-FR"/>
        </w:rPr>
        <w:t xml:space="preserve">peuples autochtones et communautés locales, et </w:t>
      </w:r>
      <w:r>
        <w:rPr>
          <w:kern w:val="22"/>
          <w:lang w:val="fr-FR"/>
        </w:rPr>
        <w:t>d’</w:t>
      </w:r>
      <w:r w:rsidRPr="00421564">
        <w:rPr>
          <w:kern w:val="22"/>
          <w:lang w:val="fr-FR"/>
        </w:rPr>
        <w:t xml:space="preserve">autres parties prenantes à adopter des pratiques respectueuses des pollinisateurs </w:t>
      </w:r>
      <w:r>
        <w:rPr>
          <w:kern w:val="22"/>
          <w:lang w:val="fr-FR"/>
        </w:rPr>
        <w:t>et à lutter contre les facteurs</w:t>
      </w:r>
      <w:r w:rsidRPr="00421564">
        <w:rPr>
          <w:kern w:val="22"/>
          <w:lang w:val="fr-FR"/>
        </w:rPr>
        <w:t xml:space="preserve"> d</w:t>
      </w:r>
      <w:r>
        <w:rPr>
          <w:kern w:val="22"/>
          <w:lang w:val="fr-FR"/>
        </w:rPr>
        <w:t>irects et indirects</w:t>
      </w:r>
      <w:r w:rsidRPr="00421564">
        <w:rPr>
          <w:kern w:val="22"/>
          <w:lang w:val="fr-FR"/>
        </w:rPr>
        <w:t xml:space="preserve"> de déclin des pollinisateurs sur le terrain et au niveau local;</w:t>
      </w:r>
    </w:p>
    <w:p w:rsidR="009F6935" w:rsidRPr="00421564" w:rsidRDefault="009F6935" w:rsidP="00004EAF">
      <w:pPr>
        <w:pStyle w:val="Para1"/>
        <w:numPr>
          <w:ilvl w:val="0"/>
          <w:numId w:val="86"/>
        </w:numPr>
        <w:suppressLineNumbers/>
        <w:suppressAutoHyphens/>
        <w:kinsoku w:val="0"/>
        <w:overflowPunct w:val="0"/>
        <w:autoSpaceDE w:val="0"/>
        <w:autoSpaceDN w:val="0"/>
        <w:spacing w:before="0"/>
        <w:ind w:left="709" w:firstLine="709"/>
        <w:rPr>
          <w:kern w:val="22"/>
          <w:szCs w:val="22"/>
          <w:lang w:val="fr-FR"/>
        </w:rPr>
      </w:pPr>
      <w:r w:rsidRPr="00421564">
        <w:rPr>
          <w:kern w:val="22"/>
          <w:szCs w:val="22"/>
          <w:lang w:val="fr-FR"/>
        </w:rPr>
        <w:t xml:space="preserve">Élaborer et mettre en place des dispositifs de surveillance des pollinisateurs </w:t>
      </w:r>
      <w:r>
        <w:rPr>
          <w:kern w:val="22"/>
          <w:szCs w:val="22"/>
          <w:lang w:val="fr-FR"/>
        </w:rPr>
        <w:t>sauvages et domestiques,</w:t>
      </w:r>
      <w:r w:rsidRPr="00421564">
        <w:rPr>
          <w:kern w:val="22"/>
          <w:szCs w:val="22"/>
          <w:lang w:val="fr-FR"/>
        </w:rPr>
        <w:t xml:space="preserve"> afin de mesurer l'ampleur du déclin et d'évaluer l'impact des mesures d'atténuation </w:t>
      </w:r>
      <w:r>
        <w:rPr>
          <w:kern w:val="22"/>
          <w:szCs w:val="22"/>
          <w:lang w:val="fr-FR"/>
        </w:rPr>
        <w:t>prises</w:t>
      </w:r>
      <w:r w:rsidRPr="00421564">
        <w:rPr>
          <w:kern w:val="22"/>
          <w:szCs w:val="22"/>
          <w:lang w:val="fr-FR"/>
        </w:rPr>
        <w:t>;</w:t>
      </w:r>
    </w:p>
    <w:p w:rsidR="009F6935" w:rsidRPr="004B2AE2" w:rsidRDefault="009F6935" w:rsidP="009F6935">
      <w:pPr>
        <w:pStyle w:val="Para1"/>
        <w:numPr>
          <w:ilvl w:val="0"/>
          <w:numId w:val="0"/>
        </w:numPr>
        <w:suppressLineNumbers/>
        <w:suppressAutoHyphens/>
        <w:kinsoku w:val="0"/>
        <w:overflowPunct w:val="0"/>
        <w:autoSpaceDE w:val="0"/>
        <w:autoSpaceDN w:val="0"/>
        <w:spacing w:before="0"/>
        <w:ind w:left="720" w:firstLine="720"/>
        <w:rPr>
          <w:kern w:val="22"/>
          <w:szCs w:val="22"/>
          <w:lang w:val="fr-FR"/>
        </w:rPr>
      </w:pPr>
      <w:r>
        <w:rPr>
          <w:rFonts w:eastAsia="Malgun Gothic"/>
          <w:kern w:val="22"/>
          <w:szCs w:val="22"/>
          <w:lang w:val="fr-FR" w:eastAsia="ko-KR"/>
        </w:rPr>
        <w:t>7</w:t>
      </w:r>
      <w:r w:rsidRPr="004B2AE2">
        <w:rPr>
          <w:rFonts w:eastAsia="Malgun Gothic"/>
          <w:kern w:val="22"/>
          <w:szCs w:val="22"/>
          <w:lang w:val="fr-FR" w:eastAsia="ko-KR"/>
        </w:rPr>
        <w:t>.</w:t>
      </w:r>
      <w:r w:rsidRPr="004B2AE2">
        <w:rPr>
          <w:rFonts w:eastAsia="Malgun Gothic"/>
          <w:i/>
          <w:kern w:val="22"/>
          <w:szCs w:val="22"/>
          <w:lang w:val="fr-FR" w:eastAsia="ko-KR"/>
        </w:rPr>
        <w:tab/>
        <w:t>Encourage</w:t>
      </w:r>
      <w:r w:rsidRPr="004B2AE2">
        <w:rPr>
          <w:kern w:val="22"/>
          <w:szCs w:val="22"/>
          <w:lang w:val="fr-FR"/>
        </w:rPr>
        <w:t xml:space="preserve"> le Fonds pour l’environnement</w:t>
      </w:r>
      <w:r>
        <w:rPr>
          <w:kern w:val="22"/>
          <w:szCs w:val="22"/>
          <w:lang w:val="fr-FR"/>
        </w:rPr>
        <w:t xml:space="preserve"> mondial et les autres bailleurs de fonds et </w:t>
      </w:r>
      <w:r w:rsidRPr="004B2AE2">
        <w:rPr>
          <w:kern w:val="22"/>
          <w:szCs w:val="22"/>
          <w:lang w:val="fr-FR"/>
        </w:rPr>
        <w:t>organismes de financement à fournir une aide financière pour les projets</w:t>
      </w:r>
      <w:r>
        <w:rPr>
          <w:kern w:val="22"/>
          <w:szCs w:val="22"/>
          <w:lang w:val="fr-FR"/>
        </w:rPr>
        <w:t xml:space="preserve"> nationaux et régionaux liés</w:t>
      </w:r>
      <w:r w:rsidRPr="004B2AE2">
        <w:rPr>
          <w:kern w:val="22"/>
          <w:szCs w:val="22"/>
          <w:lang w:val="fr-FR"/>
        </w:rPr>
        <w:t xml:space="preserve"> à la mise en œuvre du plan d’action pour l’utilisation durable et la conservation des pollinisateurs;</w:t>
      </w:r>
    </w:p>
    <w:p w:rsidR="009F6935" w:rsidRPr="004B2AE2" w:rsidRDefault="009F6935" w:rsidP="009F6935">
      <w:pPr>
        <w:pStyle w:val="Para1"/>
        <w:numPr>
          <w:ilvl w:val="0"/>
          <w:numId w:val="0"/>
        </w:numPr>
        <w:suppressLineNumbers/>
        <w:suppressAutoHyphens/>
        <w:kinsoku w:val="0"/>
        <w:overflowPunct w:val="0"/>
        <w:autoSpaceDE w:val="0"/>
        <w:autoSpaceDN w:val="0"/>
        <w:ind w:left="720" w:firstLine="720"/>
        <w:rPr>
          <w:kern w:val="22"/>
          <w:szCs w:val="22"/>
          <w:lang w:val="fr-FR"/>
        </w:rPr>
      </w:pPr>
      <w:r>
        <w:rPr>
          <w:kern w:val="22"/>
          <w:szCs w:val="22"/>
          <w:lang w:val="fr-FR"/>
        </w:rPr>
        <w:t>8</w:t>
      </w:r>
      <w:r w:rsidRPr="004B2AE2">
        <w:rPr>
          <w:kern w:val="22"/>
          <w:szCs w:val="22"/>
          <w:lang w:val="fr-FR"/>
        </w:rPr>
        <w:t>.</w:t>
      </w:r>
      <w:r w:rsidRPr="004B2AE2">
        <w:rPr>
          <w:i/>
          <w:kern w:val="22"/>
          <w:szCs w:val="22"/>
          <w:lang w:val="fr-FR"/>
        </w:rPr>
        <w:tab/>
        <w:t>Prie</w:t>
      </w:r>
      <w:r w:rsidRPr="004B2AE2">
        <w:rPr>
          <w:kern w:val="22"/>
          <w:szCs w:val="22"/>
          <w:lang w:val="fr-FR"/>
        </w:rPr>
        <w:t xml:space="preserve"> la Secrétaire exécutive de porter la présente recommandation à l’attention de l’Organisation des Nations Unies pour l’alimentation et l’agriculture et son Comité des forêts, du Comité de l’agriculture, de la Commission des ressources génétiques pour l’alimentation et l’agriculture, du Comité de la sécurité alimentaire mondiale et des secrétariats de la Convention internationale pour la protection des végétaux et du Traité international sur les ressources phytogénétiques pour l’alimentation et l’agriculture, ainsi que du secrétariat des Conventions de Bâle, de Rotterdam et de Stockholm;</w:t>
      </w:r>
    </w:p>
    <w:p w:rsidR="009F6935" w:rsidRPr="004B2AE2" w:rsidRDefault="009F6935" w:rsidP="009F6935">
      <w:pPr>
        <w:pStyle w:val="Para1"/>
        <w:numPr>
          <w:ilvl w:val="0"/>
          <w:numId w:val="0"/>
        </w:numPr>
        <w:suppressLineNumbers/>
        <w:suppressAutoHyphens/>
        <w:kinsoku w:val="0"/>
        <w:overflowPunct w:val="0"/>
        <w:autoSpaceDE w:val="0"/>
        <w:autoSpaceDN w:val="0"/>
        <w:ind w:left="720" w:firstLine="720"/>
        <w:rPr>
          <w:kern w:val="22"/>
          <w:szCs w:val="22"/>
          <w:lang w:val="fr-FR"/>
        </w:rPr>
      </w:pPr>
      <w:r w:rsidRPr="004B2AE2">
        <w:rPr>
          <w:kern w:val="22"/>
          <w:szCs w:val="22"/>
          <w:lang w:val="fr-FR"/>
        </w:rPr>
        <w:t>9.</w:t>
      </w:r>
      <w:r w:rsidRPr="004B2AE2">
        <w:rPr>
          <w:kern w:val="22"/>
          <w:szCs w:val="22"/>
          <w:lang w:val="fr-FR"/>
        </w:rPr>
        <w:tab/>
      </w:r>
      <w:r w:rsidRPr="001B0608">
        <w:rPr>
          <w:i/>
          <w:kern w:val="22"/>
          <w:szCs w:val="22"/>
          <w:lang w:val="fr-FR"/>
        </w:rPr>
        <w:t xml:space="preserve">Invite </w:t>
      </w:r>
      <w:r w:rsidRPr="004B2AE2">
        <w:rPr>
          <w:kern w:val="22"/>
          <w:szCs w:val="22"/>
          <w:lang w:val="fr-FR"/>
        </w:rPr>
        <w:t>l’Organisation des Nations Unies pour l’alimentation et l’agriculture à faciliter la mise en œuvre du plan d’action, après le succès de l’approche adoptée dans le plan précédent</w:t>
      </w:r>
      <w:r>
        <w:rPr>
          <w:kern w:val="22"/>
          <w:szCs w:val="22"/>
          <w:lang w:val="fr-FR"/>
        </w:rPr>
        <w:t>,</w:t>
      </w:r>
      <w:r w:rsidRPr="004B2AE2">
        <w:rPr>
          <w:kern w:val="22"/>
          <w:szCs w:val="22"/>
          <w:lang w:val="fr-FR"/>
        </w:rPr>
        <w:t xml:space="preserve"> auquel ont participé les ministères de l’agriculture et de l’e</w:t>
      </w:r>
      <w:r>
        <w:rPr>
          <w:kern w:val="22"/>
          <w:szCs w:val="22"/>
          <w:lang w:val="fr-FR"/>
        </w:rPr>
        <w:t>nvironnement au niveau national</w:t>
      </w:r>
      <w:r w:rsidRPr="004B2AE2">
        <w:rPr>
          <w:kern w:val="22"/>
          <w:szCs w:val="22"/>
          <w:lang w:val="fr-FR"/>
        </w:rPr>
        <w:t>;</w:t>
      </w:r>
    </w:p>
    <w:p w:rsidR="009F6935" w:rsidRPr="004B2AE2" w:rsidRDefault="009F6935" w:rsidP="009F6935">
      <w:pPr>
        <w:pStyle w:val="Para1"/>
        <w:numPr>
          <w:ilvl w:val="0"/>
          <w:numId w:val="0"/>
        </w:numPr>
        <w:suppressLineNumbers/>
        <w:suppressAutoHyphens/>
        <w:kinsoku w:val="0"/>
        <w:overflowPunct w:val="0"/>
        <w:autoSpaceDE w:val="0"/>
        <w:autoSpaceDN w:val="0"/>
        <w:ind w:left="720" w:firstLine="720"/>
        <w:rPr>
          <w:kern w:val="22"/>
          <w:szCs w:val="22"/>
          <w:lang w:val="fr-FR"/>
        </w:rPr>
      </w:pPr>
      <w:r>
        <w:rPr>
          <w:kern w:val="22"/>
          <w:szCs w:val="22"/>
          <w:lang w:val="fr-FR"/>
        </w:rPr>
        <w:lastRenderedPageBreak/>
        <w:t>10</w:t>
      </w:r>
      <w:r w:rsidRPr="004B2AE2">
        <w:rPr>
          <w:kern w:val="22"/>
          <w:szCs w:val="22"/>
          <w:lang w:val="fr-FR"/>
        </w:rPr>
        <w:t>.</w:t>
      </w:r>
      <w:r w:rsidRPr="004B2AE2">
        <w:rPr>
          <w:kern w:val="22"/>
          <w:szCs w:val="22"/>
          <w:lang w:val="fr-FR"/>
        </w:rPr>
        <w:tab/>
      </w:r>
      <w:r w:rsidRPr="004B2AE2">
        <w:rPr>
          <w:i/>
          <w:iCs/>
          <w:kern w:val="22"/>
          <w:szCs w:val="22"/>
          <w:lang w:val="fr-FR"/>
        </w:rPr>
        <w:t>Prie en outre</w:t>
      </w:r>
      <w:r w:rsidRPr="004B2AE2">
        <w:rPr>
          <w:kern w:val="22"/>
          <w:szCs w:val="22"/>
          <w:lang w:val="fr-FR"/>
        </w:rPr>
        <w:t xml:space="preserve"> la Secrétaire exécutive, </w:t>
      </w:r>
      <w:r>
        <w:rPr>
          <w:kern w:val="22"/>
          <w:szCs w:val="22"/>
          <w:lang w:val="fr-FR"/>
        </w:rPr>
        <w:t>dans la limite des ressources disponibles</w:t>
      </w:r>
      <w:r w:rsidRPr="004B2AE2">
        <w:rPr>
          <w:kern w:val="22"/>
          <w:szCs w:val="22"/>
          <w:lang w:val="fr-FR"/>
        </w:rPr>
        <w:t>, et en collaboration avec l’Organisation des Nations Unies pour l’alimentation et l’agriculture</w:t>
      </w:r>
      <w:r>
        <w:rPr>
          <w:kern w:val="22"/>
          <w:szCs w:val="22"/>
          <w:lang w:val="fr-FR"/>
        </w:rPr>
        <w:t>, les s</w:t>
      </w:r>
      <w:r w:rsidRPr="004B2AE2">
        <w:rPr>
          <w:kern w:val="22"/>
          <w:szCs w:val="22"/>
          <w:lang w:val="fr-FR"/>
        </w:rPr>
        <w:t>ecrétariat</w:t>
      </w:r>
      <w:r>
        <w:rPr>
          <w:kern w:val="22"/>
          <w:szCs w:val="22"/>
          <w:lang w:val="fr-FR"/>
        </w:rPr>
        <w:t>s</w:t>
      </w:r>
      <w:r w:rsidRPr="004B2AE2">
        <w:rPr>
          <w:kern w:val="22"/>
          <w:szCs w:val="22"/>
          <w:lang w:val="fr-FR"/>
        </w:rPr>
        <w:t xml:space="preserve"> des Conventions de Bâle, de Rotterdam et de Stockholm et d’autres parties prenantes concernées, d’élaborer des orientations et bonnes pratiques dans des domaines pertinents, déterminés en fonction du niveau de priorité pour la mise en œuvre du plan d’action, tels que, entre autres, l’utilisation de produits chimiques dans l’agriculture, les programmes de protection des pollinisateurs indigènes dans les écosystèmes naturels, la promotion de systèmes de production bio</w:t>
      </w:r>
      <w:r>
        <w:rPr>
          <w:kern w:val="22"/>
          <w:szCs w:val="22"/>
          <w:lang w:val="fr-FR"/>
        </w:rPr>
        <w:t>-</w:t>
      </w:r>
      <w:r w:rsidRPr="004B2AE2">
        <w:rPr>
          <w:kern w:val="22"/>
          <w:szCs w:val="22"/>
          <w:lang w:val="fr-FR"/>
        </w:rPr>
        <w:t>divers</w:t>
      </w:r>
      <w:r>
        <w:rPr>
          <w:kern w:val="22"/>
          <w:szCs w:val="22"/>
          <w:lang w:val="fr-FR"/>
        </w:rPr>
        <w:t>ifiés</w:t>
      </w:r>
      <w:r w:rsidRPr="004B2AE2">
        <w:rPr>
          <w:kern w:val="22"/>
          <w:szCs w:val="22"/>
          <w:lang w:val="fr-FR"/>
        </w:rPr>
        <w:t>, la rotation des cultures, la surveillance des pollinisateurs indigènes, et l’éducation environnementale;</w:t>
      </w:r>
    </w:p>
    <w:p w:rsidR="009F6935" w:rsidRPr="004B2AE2" w:rsidRDefault="009F6935" w:rsidP="009F6935">
      <w:pPr>
        <w:spacing w:before="120" w:after="120"/>
        <w:ind w:left="720" w:firstLine="720"/>
        <w:rPr>
          <w:rFonts w:eastAsia="Calibri"/>
          <w:snapToGrid w:val="0"/>
          <w:kern w:val="22"/>
          <w:szCs w:val="22"/>
          <w:lang w:val="fr-FR"/>
        </w:rPr>
      </w:pPr>
      <w:r>
        <w:rPr>
          <w:rFonts w:eastAsia="Calibri"/>
          <w:snapToGrid w:val="0"/>
          <w:kern w:val="22"/>
          <w:szCs w:val="22"/>
          <w:lang w:val="fr-FR"/>
        </w:rPr>
        <w:t>11</w:t>
      </w:r>
      <w:r w:rsidRPr="004B2AE2">
        <w:rPr>
          <w:rFonts w:eastAsia="Calibri"/>
          <w:snapToGrid w:val="0"/>
          <w:kern w:val="22"/>
          <w:szCs w:val="22"/>
          <w:lang w:val="fr-FR"/>
        </w:rPr>
        <w:t>.</w:t>
      </w:r>
      <w:r w:rsidRPr="004B2AE2">
        <w:rPr>
          <w:rFonts w:eastAsia="Calibri"/>
          <w:snapToGrid w:val="0"/>
          <w:kern w:val="22"/>
          <w:szCs w:val="22"/>
          <w:lang w:val="fr-FR"/>
        </w:rPr>
        <w:tab/>
      </w:r>
      <w:r w:rsidRPr="004B2AE2">
        <w:rPr>
          <w:rFonts w:eastAsia="Calibri"/>
          <w:i/>
          <w:iCs/>
          <w:snapToGrid w:val="0"/>
          <w:kern w:val="22"/>
          <w:szCs w:val="22"/>
          <w:lang w:val="fr-FR"/>
        </w:rPr>
        <w:t>Prie</w:t>
      </w:r>
      <w:r w:rsidRPr="004B2AE2">
        <w:rPr>
          <w:rFonts w:eastAsia="Calibri"/>
          <w:snapToGrid w:val="0"/>
          <w:kern w:val="22"/>
          <w:szCs w:val="22"/>
          <w:lang w:val="fr-FR"/>
        </w:rPr>
        <w:t xml:space="preserve"> la Secrétaire exécutive d’examiner la conservation et l’utilisation durable des pollinisateurs </w:t>
      </w:r>
      <w:r>
        <w:rPr>
          <w:rFonts w:eastAsia="Calibri"/>
          <w:snapToGrid w:val="0"/>
          <w:kern w:val="22"/>
          <w:szCs w:val="22"/>
          <w:lang w:val="fr-FR"/>
        </w:rPr>
        <w:t>sauvages et domestiques dans le cadre de l’élaboration</w:t>
      </w:r>
      <w:r w:rsidRPr="004B2AE2">
        <w:rPr>
          <w:rFonts w:eastAsia="Calibri"/>
          <w:snapToGrid w:val="0"/>
          <w:kern w:val="22"/>
          <w:szCs w:val="22"/>
          <w:lang w:val="fr-FR"/>
        </w:rPr>
        <w:t xml:space="preserve"> d</w:t>
      </w:r>
      <w:r>
        <w:rPr>
          <w:rFonts w:eastAsia="Calibri"/>
          <w:snapToGrid w:val="0"/>
          <w:kern w:val="22"/>
          <w:szCs w:val="22"/>
          <w:lang w:val="fr-FR"/>
        </w:rPr>
        <w:t>u cadre mondial de la biodiversité pour l’après-2020</w:t>
      </w:r>
      <w:r w:rsidRPr="004B2AE2">
        <w:rPr>
          <w:rFonts w:eastAsia="Calibri"/>
          <w:snapToGrid w:val="0"/>
          <w:kern w:val="22"/>
          <w:szCs w:val="22"/>
          <w:lang w:val="fr-FR"/>
        </w:rPr>
        <w:t>;</w:t>
      </w:r>
    </w:p>
    <w:p w:rsidR="009F6935" w:rsidRPr="00421564" w:rsidRDefault="009F6935" w:rsidP="009F6935">
      <w:pPr>
        <w:spacing w:before="120" w:after="360"/>
        <w:ind w:left="720" w:firstLine="720"/>
        <w:rPr>
          <w:rFonts w:eastAsia="Calibri"/>
          <w:snapToGrid w:val="0"/>
          <w:kern w:val="22"/>
          <w:szCs w:val="22"/>
          <w:lang w:val="fr-FR"/>
        </w:rPr>
      </w:pPr>
      <w:r>
        <w:rPr>
          <w:rFonts w:eastAsia="Calibri"/>
          <w:snapToGrid w:val="0"/>
          <w:kern w:val="22"/>
          <w:szCs w:val="22"/>
          <w:lang w:val="fr-FR"/>
        </w:rPr>
        <w:t>12</w:t>
      </w:r>
      <w:r w:rsidRPr="004B2AE2">
        <w:rPr>
          <w:rFonts w:eastAsia="Calibri"/>
          <w:snapToGrid w:val="0"/>
          <w:kern w:val="22"/>
          <w:szCs w:val="22"/>
          <w:lang w:val="fr-FR"/>
        </w:rPr>
        <w:t>.</w:t>
      </w:r>
      <w:r w:rsidRPr="004B2AE2">
        <w:rPr>
          <w:rFonts w:eastAsia="Calibri"/>
          <w:snapToGrid w:val="0"/>
          <w:kern w:val="22"/>
          <w:szCs w:val="22"/>
          <w:lang w:val="fr-FR"/>
        </w:rPr>
        <w:tab/>
      </w:r>
      <w:r w:rsidRPr="004B2AE2">
        <w:rPr>
          <w:rFonts w:eastAsia="Calibri"/>
          <w:i/>
          <w:iCs/>
          <w:snapToGrid w:val="0"/>
          <w:kern w:val="22"/>
          <w:szCs w:val="22"/>
          <w:lang w:val="fr-FR"/>
        </w:rPr>
        <w:t>Invite</w:t>
      </w:r>
      <w:r w:rsidRPr="004B2AE2">
        <w:rPr>
          <w:rFonts w:eastAsia="Calibri"/>
          <w:snapToGrid w:val="0"/>
          <w:kern w:val="22"/>
          <w:szCs w:val="22"/>
          <w:lang w:val="fr-FR"/>
        </w:rPr>
        <w:t xml:space="preserve"> les Parties, les autre</w:t>
      </w:r>
      <w:r>
        <w:rPr>
          <w:rFonts w:eastAsia="Calibri"/>
          <w:snapToGrid w:val="0"/>
          <w:kern w:val="22"/>
          <w:szCs w:val="22"/>
          <w:lang w:val="fr-FR"/>
        </w:rPr>
        <w:t>s gouvernements, les institut</w:t>
      </w:r>
      <w:r w:rsidRPr="004B2AE2">
        <w:rPr>
          <w:rFonts w:eastAsia="Calibri"/>
          <w:snapToGrid w:val="0"/>
          <w:kern w:val="22"/>
          <w:szCs w:val="22"/>
          <w:lang w:val="fr-FR"/>
        </w:rPr>
        <w:t>s de recherche et</w:t>
      </w:r>
      <w:r>
        <w:rPr>
          <w:rFonts w:eastAsia="Calibri"/>
          <w:snapToGrid w:val="0"/>
          <w:kern w:val="22"/>
          <w:szCs w:val="22"/>
          <w:lang w:val="fr-FR"/>
        </w:rPr>
        <w:t xml:space="preserve"> les</w:t>
      </w:r>
      <w:r w:rsidRPr="004B2AE2">
        <w:rPr>
          <w:rFonts w:eastAsia="Calibri"/>
          <w:snapToGrid w:val="0"/>
          <w:kern w:val="22"/>
          <w:szCs w:val="22"/>
          <w:lang w:val="fr-FR"/>
        </w:rPr>
        <w:t xml:space="preserve"> organisations q</w:t>
      </w:r>
      <w:r>
        <w:rPr>
          <w:rFonts w:eastAsia="Calibri"/>
          <w:snapToGrid w:val="0"/>
          <w:kern w:val="22"/>
          <w:szCs w:val="22"/>
          <w:lang w:val="fr-FR"/>
        </w:rPr>
        <w:t>ui sont en mesure de le faire, à aider</w:t>
      </w:r>
      <w:r w:rsidRPr="004B2AE2">
        <w:rPr>
          <w:rFonts w:eastAsia="Calibri"/>
          <w:snapToGrid w:val="0"/>
          <w:kern w:val="22"/>
          <w:szCs w:val="22"/>
          <w:lang w:val="fr-FR"/>
        </w:rPr>
        <w:t xml:space="preserve"> les pays qui</w:t>
      </w:r>
      <w:r>
        <w:rPr>
          <w:rFonts w:eastAsia="Calibri"/>
          <w:snapToGrid w:val="0"/>
          <w:kern w:val="22"/>
          <w:szCs w:val="22"/>
          <w:lang w:val="fr-FR"/>
        </w:rPr>
        <w:t> :</w:t>
      </w:r>
      <w:r w:rsidRPr="004B2AE2">
        <w:rPr>
          <w:rFonts w:eastAsia="Calibri"/>
          <w:snapToGrid w:val="0"/>
          <w:kern w:val="22"/>
          <w:szCs w:val="22"/>
          <w:lang w:val="fr-FR"/>
        </w:rPr>
        <w:t xml:space="preserve"> a) ont besoin </w:t>
      </w:r>
      <w:r w:rsidRPr="004B2AE2">
        <w:rPr>
          <w:lang w:val="fr-FR"/>
        </w:rPr>
        <w:t>d’augmenter leurs capacités taxonomiques afin d’améliorer leurs connaissances sur les pollinisateurs,</w:t>
      </w:r>
      <w:r>
        <w:rPr>
          <w:lang w:val="fr-FR"/>
        </w:rPr>
        <w:t xml:space="preserve"> leur état et leurs tendances;</w:t>
      </w:r>
      <w:r w:rsidRPr="004B2AE2">
        <w:rPr>
          <w:lang w:val="fr-FR"/>
        </w:rPr>
        <w:t xml:space="preserve"> b) doivent identifier les facteurs de chang</w:t>
      </w:r>
      <w:r>
        <w:rPr>
          <w:lang w:val="fr-FR"/>
        </w:rPr>
        <w:t>ement dans leurs populations;</w:t>
      </w:r>
      <w:r w:rsidRPr="004B2AE2">
        <w:rPr>
          <w:lang w:val="fr-FR"/>
        </w:rPr>
        <w:t xml:space="preserve"> c) doivent élaborer des solutions appropriées </w:t>
      </w:r>
      <w:r w:rsidRPr="004B2AE2">
        <w:rPr>
          <w:rFonts w:eastAsia="Calibri"/>
          <w:snapToGrid w:val="0"/>
          <w:kern w:val="22"/>
          <w:szCs w:val="22"/>
          <w:lang w:val="fr-FR"/>
        </w:rPr>
        <w:t>pour permettre l’adoption et la mise en œuvre efficaces du plan d’action proposé.</w:t>
      </w:r>
    </w:p>
    <w:p w:rsidR="009F6935" w:rsidRPr="004B2AE2" w:rsidRDefault="009F6935" w:rsidP="009F6935">
      <w:pPr>
        <w:pStyle w:val="Para1"/>
        <w:keepNext/>
        <w:numPr>
          <w:ilvl w:val="0"/>
          <w:numId w:val="0"/>
        </w:numPr>
        <w:suppressLineNumbers/>
        <w:suppressAutoHyphens/>
        <w:kinsoku w:val="0"/>
        <w:overflowPunct w:val="0"/>
        <w:autoSpaceDE w:val="0"/>
        <w:autoSpaceDN w:val="0"/>
        <w:spacing w:before="240"/>
        <w:jc w:val="center"/>
        <w:rPr>
          <w:i/>
          <w:kern w:val="22"/>
          <w:lang w:val="fr-FR"/>
        </w:rPr>
      </w:pPr>
      <w:r w:rsidRPr="004B2AE2">
        <w:rPr>
          <w:i/>
          <w:kern w:val="22"/>
          <w:lang w:val="fr-FR"/>
        </w:rPr>
        <w:t>Annexe I</w:t>
      </w:r>
    </w:p>
    <w:p w:rsidR="009F6935" w:rsidRPr="004B2AE2" w:rsidRDefault="009F6935" w:rsidP="009F6935">
      <w:pPr>
        <w:pStyle w:val="Heading1"/>
        <w:suppressLineNumbers/>
        <w:tabs>
          <w:tab w:val="clear" w:pos="720"/>
        </w:tabs>
        <w:suppressAutoHyphens/>
        <w:kinsoku w:val="0"/>
        <w:overflowPunct w:val="0"/>
        <w:autoSpaceDE w:val="0"/>
        <w:autoSpaceDN w:val="0"/>
        <w:spacing w:before="120"/>
        <w:rPr>
          <w:rFonts w:ascii="Times New Roman Bold" w:hAnsi="Times New Roman Bold" w:cs="Times New Roman Bold"/>
          <w:bCs/>
          <w:snapToGrid w:val="0"/>
          <w:kern w:val="22"/>
          <w:lang w:val="fr-FR"/>
        </w:rPr>
      </w:pPr>
      <w:bookmarkStart w:id="419" w:name="_Toc525904277"/>
      <w:bookmarkStart w:id="420" w:name="_Toc525904436"/>
      <w:bookmarkStart w:id="421" w:name="_Toc525904680"/>
      <w:r w:rsidRPr="004B2AE2">
        <w:rPr>
          <w:kern w:val="22"/>
          <w:lang w:val="fr-FR"/>
        </w:rPr>
        <w:t>Plan d</w:t>
      </w:r>
      <w:r>
        <w:rPr>
          <w:kern w:val="22"/>
          <w:lang w:val="fr-FR"/>
        </w:rPr>
        <w:t>’action actualisÉ 2018-2030 de l’i</w:t>
      </w:r>
      <w:r w:rsidRPr="004B2AE2">
        <w:rPr>
          <w:kern w:val="22"/>
          <w:lang w:val="fr-FR"/>
        </w:rPr>
        <w:t>nitiative internationale sur la conservation et l’utilisation durable des pollinisateurs</w:t>
      </w:r>
      <w:bookmarkEnd w:id="419"/>
      <w:bookmarkEnd w:id="420"/>
      <w:bookmarkEnd w:id="421"/>
    </w:p>
    <w:p w:rsidR="009F6935" w:rsidRPr="004B2AE2" w:rsidRDefault="009F6935" w:rsidP="009F6935">
      <w:pPr>
        <w:pStyle w:val="Heading1"/>
        <w:suppressLineNumbers/>
        <w:tabs>
          <w:tab w:val="clear" w:pos="720"/>
        </w:tabs>
        <w:suppressAutoHyphens/>
        <w:kinsoku w:val="0"/>
        <w:overflowPunct w:val="0"/>
        <w:autoSpaceDE w:val="0"/>
        <w:autoSpaceDN w:val="0"/>
        <w:rPr>
          <w:snapToGrid w:val="0"/>
          <w:kern w:val="22"/>
          <w:lang w:val="fr-FR"/>
        </w:rPr>
      </w:pPr>
      <w:bookmarkStart w:id="422" w:name="_Toc525904278"/>
      <w:bookmarkStart w:id="423" w:name="_Toc525904437"/>
      <w:bookmarkStart w:id="424" w:name="_Toc525904681"/>
      <w:r w:rsidRPr="004B2AE2">
        <w:rPr>
          <w:snapToGrid w:val="0"/>
          <w:kern w:val="22"/>
          <w:lang w:val="fr-FR"/>
        </w:rPr>
        <w:t>Introduction</w:t>
      </w:r>
      <w:bookmarkEnd w:id="422"/>
      <w:bookmarkEnd w:id="423"/>
      <w:bookmarkEnd w:id="424"/>
    </w:p>
    <w:p w:rsidR="009F6935" w:rsidRPr="004B2AE2" w:rsidRDefault="009F6935" w:rsidP="009F6935">
      <w:pPr>
        <w:pStyle w:val="Para1"/>
        <w:numPr>
          <w:ilvl w:val="0"/>
          <w:numId w:val="0"/>
        </w:numPr>
        <w:suppressLineNumbers/>
        <w:suppressAutoHyphens/>
        <w:kinsoku w:val="0"/>
        <w:overflowPunct w:val="0"/>
        <w:autoSpaceDE w:val="0"/>
        <w:autoSpaceDN w:val="0"/>
        <w:rPr>
          <w:kern w:val="22"/>
          <w:lang w:val="fr-FR"/>
        </w:rPr>
      </w:pPr>
      <w:r w:rsidRPr="004B2AE2">
        <w:rPr>
          <w:kern w:val="22"/>
          <w:lang w:val="fr-FR"/>
        </w:rPr>
        <w:t>1.</w:t>
      </w:r>
      <w:r w:rsidRPr="004B2AE2">
        <w:rPr>
          <w:kern w:val="22"/>
          <w:lang w:val="fr-FR"/>
        </w:rPr>
        <w:tab/>
      </w:r>
      <w:r w:rsidRPr="004B2AE2">
        <w:rPr>
          <w:lang w:val="fr-FR"/>
        </w:rPr>
        <w:t>À sa troisième réunion en 1996, la Conférence des Parties à la Convention sur la diversité biologique a reconnu l’importance des pollinisateurs et la nécessité de s’attaquer aux causes de leur déclin (décision </w:t>
      </w:r>
      <w:hyperlink r:id="rId52" w:history="1">
        <w:r w:rsidRPr="004B2AE2">
          <w:rPr>
            <w:rStyle w:val="Hyperlink"/>
            <w:kern w:val="22"/>
            <w:lang w:val="fr-FR"/>
          </w:rPr>
          <w:t>III/11</w:t>
        </w:r>
      </w:hyperlink>
      <w:r w:rsidRPr="004B2AE2">
        <w:rPr>
          <w:lang w:val="fr-FR"/>
        </w:rPr>
        <w:t>). Dans sa décision V/5, la Conférence des Parties a décidé de créer une Initiative internationale pour la conservation et l’utilisation durable des pollinisateurs</w:t>
      </w:r>
      <w:r>
        <w:rPr>
          <w:lang w:val="fr-FR"/>
        </w:rPr>
        <w:t>,</w:t>
      </w:r>
      <w:r w:rsidRPr="004B2AE2">
        <w:rPr>
          <w:lang w:val="fr-FR"/>
        </w:rPr>
        <w:t xml:space="preserve"> en tant qu’initiative intersectorielle dans le cadre du programme de travail sur la diversité biologique agricole, en vue de promouvoir une action coordonnée à l’échelle mondiale, et a adopté par la suite un plan d’action dans la décision VI/5. L’Organisation des Nations Unies pour l’alimentation et l’agriculture (FAO) dirige et facilite la mise en œuvre du plan d’action.</w:t>
      </w:r>
    </w:p>
    <w:p w:rsidR="009F6935" w:rsidRPr="004B2AE2" w:rsidRDefault="009F6935" w:rsidP="009F6935">
      <w:pPr>
        <w:pStyle w:val="Para1"/>
        <w:numPr>
          <w:ilvl w:val="0"/>
          <w:numId w:val="0"/>
        </w:numPr>
        <w:suppressLineNumbers/>
        <w:suppressAutoHyphens/>
        <w:kinsoku w:val="0"/>
        <w:overflowPunct w:val="0"/>
        <w:autoSpaceDE w:val="0"/>
        <w:autoSpaceDN w:val="0"/>
        <w:spacing w:after="240"/>
        <w:rPr>
          <w:kern w:val="22"/>
          <w:lang w:val="fr-FR" w:eastAsia="de-DE"/>
        </w:rPr>
      </w:pPr>
      <w:r w:rsidRPr="004B2AE2">
        <w:rPr>
          <w:kern w:val="22"/>
          <w:lang w:val="fr-FR"/>
        </w:rPr>
        <w:t>2.</w:t>
      </w:r>
      <w:r w:rsidRPr="004B2AE2">
        <w:rPr>
          <w:kern w:val="22"/>
          <w:lang w:val="fr-FR"/>
        </w:rPr>
        <w:tab/>
        <w:t>Le présent plan d’action a été élaboré conjointement par la FAO et le Secrétariat de la Convention sur la diversité biologique, en consultation avec d’autres partenaires et experts compétents, en application du paragraphe 10 de la décision </w:t>
      </w:r>
      <w:hyperlink r:id="rId53" w:history="1">
        <w:r w:rsidRPr="004B2AE2">
          <w:rPr>
            <w:rStyle w:val="Hyperlink"/>
            <w:kern w:val="22"/>
            <w:lang w:val="fr-FR"/>
          </w:rPr>
          <w:t>XIII/15</w:t>
        </w:r>
      </w:hyperlink>
      <w:r w:rsidRPr="004B2AE2">
        <w:rPr>
          <w:kern w:val="22"/>
          <w:lang w:val="fr-FR"/>
        </w:rPr>
        <w:t>.</w:t>
      </w:r>
    </w:p>
    <w:p w:rsidR="009F6935" w:rsidRPr="004B2AE2" w:rsidRDefault="009F6935" w:rsidP="009F6935">
      <w:pPr>
        <w:pStyle w:val="Heading1"/>
        <w:suppressLineNumbers/>
        <w:tabs>
          <w:tab w:val="clear" w:pos="720"/>
          <w:tab w:val="left" w:pos="360"/>
        </w:tabs>
        <w:suppressAutoHyphens/>
        <w:kinsoku w:val="0"/>
        <w:overflowPunct w:val="0"/>
        <w:autoSpaceDE w:val="0"/>
        <w:autoSpaceDN w:val="0"/>
        <w:spacing w:before="120"/>
        <w:rPr>
          <w:snapToGrid w:val="0"/>
          <w:kern w:val="22"/>
          <w:lang w:val="fr-FR"/>
        </w:rPr>
      </w:pPr>
      <w:bookmarkStart w:id="425" w:name="_Toc525904279"/>
      <w:bookmarkStart w:id="426" w:name="_Toc525904438"/>
      <w:bookmarkStart w:id="427" w:name="_Toc525904682"/>
      <w:r w:rsidRPr="004B2AE2">
        <w:rPr>
          <w:snapToGrid w:val="0"/>
          <w:kern w:val="22"/>
          <w:lang w:val="fr-FR"/>
        </w:rPr>
        <w:t>I.</w:t>
      </w:r>
      <w:r w:rsidRPr="004B2AE2">
        <w:rPr>
          <w:snapToGrid w:val="0"/>
          <w:kern w:val="22"/>
          <w:lang w:val="fr-FR"/>
        </w:rPr>
        <w:tab/>
      </w:r>
      <w:r>
        <w:rPr>
          <w:lang w:val="fr-FR"/>
        </w:rPr>
        <w:t>but, objectifs et champ d’application</w:t>
      </w:r>
      <w:bookmarkEnd w:id="425"/>
      <w:bookmarkEnd w:id="426"/>
      <w:bookmarkEnd w:id="427"/>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rPr>
        <w:t>3.</w:t>
      </w:r>
      <w:r w:rsidRPr="004B2AE2">
        <w:rPr>
          <w:snapToGrid w:val="0"/>
          <w:kern w:val="22"/>
          <w:lang w:val="fr-FR"/>
        </w:rPr>
        <w:tab/>
      </w:r>
      <w:r>
        <w:rPr>
          <w:lang w:val="fr-FR"/>
        </w:rPr>
        <w:t>Le but global du</w:t>
      </w:r>
      <w:r w:rsidRPr="004B2AE2">
        <w:rPr>
          <w:lang w:val="fr-FR"/>
        </w:rPr>
        <w:t xml:space="preserve"> plan d’action est de promouvoir une action coordonnée à l’échelle mondiale pour sauvegarder les pollinisateurs sauvages et domestiques et encourager l’utilisation durable des services de pollinisation, reconnus comme service écosystémique</w:t>
      </w:r>
      <w:r>
        <w:rPr>
          <w:lang w:val="fr-FR"/>
        </w:rPr>
        <w:t xml:space="preserve"> essentiel tant à l’agriculture</w:t>
      </w:r>
      <w:r w:rsidRPr="004B2AE2">
        <w:rPr>
          <w:lang w:val="fr-FR"/>
        </w:rPr>
        <w:t xml:space="preserve"> qu’au fonctionnement et au maintien de la santé des écosystèmes.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eastAsia="de-CH"/>
        </w:rPr>
        <w:t>4.</w:t>
      </w:r>
      <w:r w:rsidRPr="004B2AE2">
        <w:rPr>
          <w:snapToGrid w:val="0"/>
          <w:kern w:val="22"/>
          <w:lang w:val="fr-FR" w:eastAsia="de-CH"/>
        </w:rPr>
        <w:tab/>
      </w:r>
      <w:r w:rsidRPr="004B2AE2">
        <w:rPr>
          <w:lang w:val="fr-FR" w:eastAsia="de-CH"/>
        </w:rPr>
        <w:t>Le présent plan d’action a pour but d’aider les Parties, les autres gouvernements, les peuples autochtones et les communautés locales, les organisations et initiati</w:t>
      </w:r>
      <w:r>
        <w:rPr>
          <w:lang w:val="fr-FR" w:eastAsia="de-CH"/>
        </w:rPr>
        <w:t>ves concernées à appliquer</w:t>
      </w:r>
      <w:r w:rsidRPr="004B2AE2">
        <w:rPr>
          <w:lang w:val="fr-FR" w:eastAsia="de-CH"/>
        </w:rPr>
        <w:t xml:space="preserve"> la décision XIII/15, en harmonie avec le Plan stratégique pour la diversité biologique 2011-2020, ses Objectifs d’Aichi pour la biodiversité, et la Vision 2050 pour la diversité biologique, ainsi que le Cadre stratégique 2010-2019 de la FAO, les cadres de suivi pertinents, le Programme de développement durab</w:t>
      </w:r>
      <w:r>
        <w:rPr>
          <w:lang w:val="fr-FR" w:eastAsia="de-CH"/>
        </w:rPr>
        <w:t>le à l’horizon 2030, y compris s</w:t>
      </w:r>
      <w:r w:rsidRPr="004B2AE2">
        <w:rPr>
          <w:lang w:val="fr-FR" w:eastAsia="de-CH"/>
        </w:rPr>
        <w:t>es Objectifs de développement durable</w:t>
      </w:r>
      <w:r w:rsidRPr="004B2AE2">
        <w:rPr>
          <w:lang w:val="fr-FR" w:eastAsia="de-DE"/>
        </w:rPr>
        <w:t>.</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CH"/>
        </w:rPr>
      </w:pPr>
      <w:r w:rsidRPr="004B2AE2">
        <w:rPr>
          <w:snapToGrid w:val="0"/>
          <w:kern w:val="22"/>
          <w:lang w:val="fr-FR"/>
        </w:rPr>
        <w:lastRenderedPageBreak/>
        <w:t>5.</w:t>
      </w:r>
      <w:r w:rsidRPr="004B2AE2">
        <w:rPr>
          <w:snapToGrid w:val="0"/>
          <w:kern w:val="22"/>
          <w:lang w:val="fr-FR"/>
        </w:rPr>
        <w:tab/>
      </w:r>
      <w:r w:rsidRPr="004B2AE2">
        <w:rPr>
          <w:lang w:val="fr-FR"/>
        </w:rPr>
        <w:t xml:space="preserve">Ce plan d’action a pour objectifs opérationnels de soutenir les Parties, les autres gouvernements, les peuples autochtones et les communautés locales, et les organisations et initiatives compétentes dans leurs travaux </w:t>
      </w:r>
      <w:r>
        <w:rPr>
          <w:lang w:val="fr-FR"/>
        </w:rPr>
        <w:t xml:space="preserve">entrepris </w:t>
      </w:r>
      <w:r w:rsidRPr="004B2AE2">
        <w:rPr>
          <w:lang w:val="fr-FR"/>
        </w:rPr>
        <w:t>pour :</w:t>
      </w:r>
    </w:p>
    <w:p w:rsidR="009F6935" w:rsidRPr="004B2AE2" w:rsidRDefault="009F6935" w:rsidP="009F6935">
      <w:pPr>
        <w:suppressLineNumbers/>
        <w:suppressAutoHyphens/>
        <w:kinsoku w:val="0"/>
        <w:overflowPunct w:val="0"/>
        <w:autoSpaceDE w:val="0"/>
        <w:autoSpaceDN w:val="0"/>
        <w:snapToGrid w:val="0"/>
        <w:spacing w:before="120" w:after="120"/>
        <w:ind w:firstLine="720"/>
        <w:rPr>
          <w:snapToGrid w:val="0"/>
          <w:kern w:val="22"/>
          <w:lang w:val="fr-FR"/>
        </w:rPr>
      </w:pPr>
      <w:r w:rsidRPr="004B2AE2">
        <w:rPr>
          <w:snapToGrid w:val="0"/>
          <w:kern w:val="22"/>
          <w:lang w:val="fr-FR"/>
        </w:rPr>
        <w:t>a)</w:t>
      </w:r>
      <w:r w:rsidRPr="004B2AE2">
        <w:rPr>
          <w:snapToGrid w:val="0"/>
          <w:kern w:val="22"/>
          <w:lang w:val="fr-FR"/>
        </w:rPr>
        <w:tab/>
        <w:t xml:space="preserve">Appliquer des </w:t>
      </w:r>
      <w:r>
        <w:rPr>
          <w:snapToGrid w:val="0"/>
          <w:kern w:val="22"/>
          <w:lang w:val="fr-FR"/>
        </w:rPr>
        <w:t>politiques cohérentes et exhaustives s</w:t>
      </w:r>
      <w:r w:rsidRPr="004B2AE2">
        <w:rPr>
          <w:snapToGrid w:val="0"/>
          <w:kern w:val="22"/>
          <w:lang w:val="fr-FR"/>
        </w:rPr>
        <w:t>ur la conservation et l’utilisation durable des pollinisateurs aux niveaux local, infranational, national, régional et mondial, et promouvoir leur intégration dans les plans, programmes et stratégies sectoriels et intersectoriels;</w:t>
      </w:r>
    </w:p>
    <w:p w:rsidR="009F6935" w:rsidRPr="004B2AE2" w:rsidRDefault="009F6935" w:rsidP="009F6935">
      <w:pPr>
        <w:suppressLineNumbers/>
        <w:suppressAutoHyphens/>
        <w:kinsoku w:val="0"/>
        <w:overflowPunct w:val="0"/>
        <w:autoSpaceDE w:val="0"/>
        <w:autoSpaceDN w:val="0"/>
        <w:snapToGrid w:val="0"/>
        <w:spacing w:before="120" w:after="120"/>
        <w:ind w:firstLine="720"/>
        <w:rPr>
          <w:snapToGrid w:val="0"/>
          <w:kern w:val="22"/>
          <w:lang w:val="fr-FR"/>
        </w:rPr>
      </w:pPr>
      <w:r w:rsidRPr="004B2AE2">
        <w:rPr>
          <w:snapToGrid w:val="0"/>
          <w:kern w:val="22"/>
          <w:lang w:val="fr-FR"/>
        </w:rPr>
        <w:t>b)</w:t>
      </w:r>
      <w:r w:rsidRPr="004B2AE2">
        <w:rPr>
          <w:snapToGrid w:val="0"/>
          <w:kern w:val="22"/>
          <w:lang w:val="fr-FR"/>
        </w:rPr>
        <w:tab/>
      </w:r>
      <w:r>
        <w:rPr>
          <w:lang w:val="fr-FR"/>
        </w:rPr>
        <w:t>Renforcer et appliquer</w:t>
      </w:r>
      <w:r w:rsidRPr="004B2AE2">
        <w:rPr>
          <w:lang w:val="fr-FR"/>
        </w:rPr>
        <w:t xml:space="preserve"> des pratiques de gestion qui préservent des communautés de pollinisateurs saines et permettent aux agriculteurs, apiculteurs, sylviculteurs, gestionnaires des terres et communautés urba</w:t>
      </w:r>
      <w:r>
        <w:rPr>
          <w:lang w:val="fr-FR"/>
        </w:rPr>
        <w:t>ines d’exploiter les avantages procurés par l</w:t>
      </w:r>
      <w:r w:rsidRPr="004B2AE2">
        <w:rPr>
          <w:lang w:val="fr-FR"/>
        </w:rPr>
        <w:t>es services de pollinisation pour leur productivité et leurs moyens de subsistance;</w:t>
      </w:r>
    </w:p>
    <w:p w:rsidR="009F6935" w:rsidRPr="004B2AE2" w:rsidRDefault="009F6935" w:rsidP="009F6935">
      <w:pPr>
        <w:suppressLineNumbers/>
        <w:suppressAutoHyphens/>
        <w:kinsoku w:val="0"/>
        <w:overflowPunct w:val="0"/>
        <w:autoSpaceDE w:val="0"/>
        <w:autoSpaceDN w:val="0"/>
        <w:snapToGrid w:val="0"/>
        <w:spacing w:before="120" w:after="120"/>
        <w:ind w:firstLine="720"/>
        <w:rPr>
          <w:snapToGrid w:val="0"/>
          <w:kern w:val="22"/>
          <w:lang w:val="fr-FR"/>
        </w:rPr>
      </w:pPr>
      <w:r w:rsidRPr="004B2AE2">
        <w:rPr>
          <w:snapToGrid w:val="0"/>
          <w:kern w:val="22"/>
          <w:lang w:val="fr-FR"/>
        </w:rPr>
        <w:t>c)</w:t>
      </w:r>
      <w:r w:rsidRPr="004B2AE2">
        <w:rPr>
          <w:snapToGrid w:val="0"/>
          <w:kern w:val="22"/>
          <w:lang w:val="fr-FR"/>
        </w:rPr>
        <w:tab/>
      </w:r>
      <w:r>
        <w:rPr>
          <w:snapToGrid w:val="0"/>
          <w:kern w:val="22"/>
          <w:lang w:val="fr-FR"/>
        </w:rPr>
        <w:t>Promouvoir l’enseignement</w:t>
      </w:r>
      <w:r w:rsidRPr="004B2AE2">
        <w:rPr>
          <w:snapToGrid w:val="0"/>
          <w:kern w:val="22"/>
          <w:lang w:val="fr-FR"/>
        </w:rPr>
        <w:t xml:space="preserve"> et la connaissance, dans les secteurs public et privé, des </w:t>
      </w:r>
      <w:r>
        <w:rPr>
          <w:snapToGrid w:val="0"/>
          <w:kern w:val="22"/>
          <w:lang w:val="fr-FR"/>
        </w:rPr>
        <w:t xml:space="preserve">multiples </w:t>
      </w:r>
      <w:r w:rsidRPr="004B2AE2">
        <w:rPr>
          <w:snapToGrid w:val="0"/>
          <w:kern w:val="22"/>
          <w:lang w:val="fr-FR"/>
        </w:rPr>
        <w:t>valeur</w:t>
      </w:r>
      <w:r>
        <w:rPr>
          <w:snapToGrid w:val="0"/>
          <w:kern w:val="22"/>
          <w:lang w:val="fr-FR"/>
        </w:rPr>
        <w:t xml:space="preserve">s </w:t>
      </w:r>
      <w:r w:rsidRPr="004B2AE2">
        <w:rPr>
          <w:snapToGrid w:val="0"/>
          <w:kern w:val="22"/>
          <w:lang w:val="fr-FR"/>
        </w:rPr>
        <w:t>des pollinisateurs et de leurs habitats</w:t>
      </w:r>
      <w:r>
        <w:rPr>
          <w:snapToGrid w:val="0"/>
          <w:kern w:val="22"/>
          <w:lang w:val="fr-FR"/>
        </w:rPr>
        <w:t>, et</w:t>
      </w:r>
      <w:r w:rsidRPr="004B2AE2">
        <w:rPr>
          <w:snapToGrid w:val="0"/>
          <w:kern w:val="22"/>
          <w:lang w:val="fr-FR"/>
        </w:rPr>
        <w:t xml:space="preserve"> améliorer les outils pour </w:t>
      </w:r>
      <w:r>
        <w:rPr>
          <w:snapToGrid w:val="0"/>
          <w:kern w:val="22"/>
          <w:lang w:val="fr-FR"/>
        </w:rPr>
        <w:t>la prise de décisions et prendre</w:t>
      </w:r>
      <w:r w:rsidRPr="004B2AE2">
        <w:rPr>
          <w:snapToGrid w:val="0"/>
          <w:kern w:val="22"/>
          <w:lang w:val="fr-FR"/>
        </w:rPr>
        <w:t xml:space="preserve"> des </w:t>
      </w:r>
      <w:r>
        <w:rPr>
          <w:snapToGrid w:val="0"/>
          <w:kern w:val="22"/>
          <w:lang w:val="fr-FR"/>
        </w:rPr>
        <w:t>mesures concrètes qui permettent de</w:t>
      </w:r>
      <w:r w:rsidRPr="004B2AE2">
        <w:rPr>
          <w:snapToGrid w:val="0"/>
          <w:kern w:val="22"/>
          <w:lang w:val="fr-FR"/>
        </w:rPr>
        <w:t xml:space="preserve"> réduire et </w:t>
      </w:r>
      <w:r>
        <w:rPr>
          <w:snapToGrid w:val="0"/>
          <w:kern w:val="22"/>
          <w:lang w:val="fr-FR"/>
        </w:rPr>
        <w:t xml:space="preserve">de </w:t>
      </w:r>
      <w:r w:rsidRPr="004B2AE2">
        <w:rPr>
          <w:snapToGrid w:val="0"/>
          <w:kern w:val="22"/>
          <w:lang w:val="fr-FR"/>
        </w:rPr>
        <w:t>prévenir le déclin des pollinisateurs;</w:t>
      </w:r>
    </w:p>
    <w:p w:rsidR="009F6935" w:rsidRPr="004B2AE2" w:rsidRDefault="009F6935" w:rsidP="009F6935">
      <w:pPr>
        <w:suppressLineNumbers/>
        <w:suppressAutoHyphens/>
        <w:kinsoku w:val="0"/>
        <w:overflowPunct w:val="0"/>
        <w:autoSpaceDE w:val="0"/>
        <w:autoSpaceDN w:val="0"/>
        <w:snapToGrid w:val="0"/>
        <w:spacing w:before="120" w:after="240"/>
        <w:ind w:firstLine="720"/>
        <w:rPr>
          <w:snapToGrid w:val="0"/>
          <w:kern w:val="22"/>
          <w:lang w:val="fr-FR"/>
        </w:rPr>
      </w:pPr>
      <w:r w:rsidRPr="004B2AE2">
        <w:rPr>
          <w:snapToGrid w:val="0"/>
          <w:kern w:val="22"/>
          <w:lang w:val="fr-FR"/>
        </w:rPr>
        <w:t>d)</w:t>
      </w:r>
      <w:r w:rsidRPr="004B2AE2">
        <w:rPr>
          <w:snapToGrid w:val="0"/>
          <w:kern w:val="22"/>
          <w:lang w:val="fr-FR"/>
        </w:rPr>
        <w:tab/>
      </w:r>
      <w:r w:rsidRPr="004B2AE2">
        <w:rPr>
          <w:snapToGrid w:val="0"/>
          <w:lang w:val="fr-FR"/>
        </w:rPr>
        <w:t>Surveiller et évaluer l’état et les tendances de la pollinisation, des pollinisateurs et de leurs habitats dans toutes les régions</w:t>
      </w:r>
      <w:r>
        <w:rPr>
          <w:snapToGrid w:val="0"/>
          <w:lang w:val="fr-FR"/>
        </w:rPr>
        <w:t>,</w:t>
      </w:r>
      <w:r w:rsidRPr="004B2AE2">
        <w:rPr>
          <w:snapToGrid w:val="0"/>
          <w:lang w:val="fr-FR"/>
        </w:rPr>
        <w:t xml:space="preserve"> et combler les lacunes dans les connaissances, notamment en encourageant les recherches pertinentes</w:t>
      </w:r>
      <w:r w:rsidRPr="004B2AE2">
        <w:rPr>
          <w:lang w:val="fr-FR" w:eastAsia="de-DE"/>
        </w:rPr>
        <w:t>.</w:t>
      </w:r>
    </w:p>
    <w:p w:rsidR="009F6935" w:rsidRPr="004B2AE2" w:rsidRDefault="009F6935" w:rsidP="009F6935">
      <w:pPr>
        <w:suppressLineNumbers/>
        <w:suppressAutoHyphens/>
        <w:kinsoku w:val="0"/>
        <w:overflowPunct w:val="0"/>
        <w:autoSpaceDE w:val="0"/>
        <w:autoSpaceDN w:val="0"/>
        <w:spacing w:after="240"/>
        <w:rPr>
          <w:snapToGrid w:val="0"/>
          <w:kern w:val="22"/>
          <w:lang w:val="fr-FR"/>
        </w:rPr>
      </w:pPr>
      <w:r w:rsidRPr="004B2AE2">
        <w:rPr>
          <w:snapToGrid w:val="0"/>
          <w:kern w:val="22"/>
          <w:lang w:val="fr-FR"/>
        </w:rPr>
        <w:t>6.</w:t>
      </w:r>
      <w:r w:rsidRPr="004B2AE2">
        <w:rPr>
          <w:snapToGrid w:val="0"/>
          <w:kern w:val="22"/>
          <w:lang w:val="fr-FR"/>
        </w:rPr>
        <w:tab/>
      </w:r>
      <w:r w:rsidRPr="004B2AE2">
        <w:rPr>
          <w:lang w:val="fr-FR"/>
        </w:rPr>
        <w:t xml:space="preserve">Le plan d’action vise à faciliter la mise en œuvre de mesures propres à préserver et </w:t>
      </w:r>
      <w:r>
        <w:rPr>
          <w:lang w:val="fr-FR"/>
        </w:rPr>
        <w:t>à favoris</w:t>
      </w:r>
      <w:r w:rsidRPr="004B2AE2">
        <w:rPr>
          <w:lang w:val="fr-FR"/>
        </w:rPr>
        <w:t>er les pollinisateurs et les fonctions et services de pollinisation dans les paysages agricoles et les écosystèmes connexes, y compris les forêts, les prairies, les terres agricoles, les zones humides, les savanes, les zones côtières et les milieux urbains. Les activités peuvent être entreprises au niveau régional, national, infranational et local.</w:t>
      </w:r>
    </w:p>
    <w:p w:rsidR="009F6935" w:rsidRPr="004B2AE2" w:rsidRDefault="009F6935" w:rsidP="009F6935">
      <w:pPr>
        <w:pStyle w:val="Heading1"/>
        <w:suppressLineNumbers/>
        <w:tabs>
          <w:tab w:val="clear" w:pos="720"/>
          <w:tab w:val="left" w:pos="360"/>
        </w:tabs>
        <w:suppressAutoHyphens/>
        <w:kinsoku w:val="0"/>
        <w:overflowPunct w:val="0"/>
        <w:autoSpaceDE w:val="0"/>
        <w:autoSpaceDN w:val="0"/>
        <w:spacing w:before="120"/>
        <w:rPr>
          <w:snapToGrid w:val="0"/>
          <w:kern w:val="22"/>
          <w:lang w:val="fr-FR"/>
        </w:rPr>
      </w:pPr>
      <w:bookmarkStart w:id="428" w:name="_Toc525904280"/>
      <w:bookmarkStart w:id="429" w:name="_Toc525904439"/>
      <w:bookmarkStart w:id="430" w:name="_Toc525904683"/>
      <w:r w:rsidRPr="004B2AE2">
        <w:rPr>
          <w:snapToGrid w:val="0"/>
          <w:kern w:val="22"/>
          <w:lang w:val="fr-FR"/>
        </w:rPr>
        <w:t>II.</w:t>
      </w:r>
      <w:r w:rsidRPr="004B2AE2">
        <w:rPr>
          <w:snapToGrid w:val="0"/>
          <w:kern w:val="22"/>
          <w:lang w:val="fr-FR"/>
        </w:rPr>
        <w:tab/>
      </w:r>
      <w:r w:rsidRPr="004B2AE2">
        <w:rPr>
          <w:lang w:val="fr-FR"/>
        </w:rPr>
        <w:t>C</w:t>
      </w:r>
      <w:r>
        <w:rPr>
          <w:lang w:val="fr-FR"/>
        </w:rPr>
        <w:t>ONTEXTE et fondement gÉnÉral</w:t>
      </w:r>
      <w:bookmarkEnd w:id="428"/>
      <w:bookmarkEnd w:id="429"/>
      <w:bookmarkEnd w:id="430"/>
    </w:p>
    <w:p w:rsidR="009F6935" w:rsidRPr="004B2AE2" w:rsidRDefault="009F6935" w:rsidP="009F6935">
      <w:pPr>
        <w:suppressLineNumbers/>
        <w:suppressAutoHyphens/>
        <w:kinsoku w:val="0"/>
        <w:overflowPunct w:val="0"/>
        <w:autoSpaceDE w:val="0"/>
        <w:autoSpaceDN w:val="0"/>
        <w:spacing w:before="120" w:after="120"/>
        <w:rPr>
          <w:snapToGrid w:val="0"/>
          <w:spacing w:val="-1"/>
          <w:kern w:val="22"/>
          <w:lang w:val="fr-FR" w:eastAsia="de-DE"/>
        </w:rPr>
      </w:pPr>
      <w:r w:rsidRPr="004B2AE2">
        <w:rPr>
          <w:snapToGrid w:val="0"/>
          <w:spacing w:val="-1"/>
          <w:kern w:val="22"/>
          <w:lang w:val="fr-FR"/>
        </w:rPr>
        <w:t>7.</w:t>
      </w:r>
      <w:r w:rsidRPr="004B2AE2">
        <w:rPr>
          <w:snapToGrid w:val="0"/>
          <w:spacing w:val="-1"/>
          <w:kern w:val="22"/>
          <w:lang w:val="fr-FR"/>
        </w:rPr>
        <w:tab/>
      </w:r>
      <w:r w:rsidRPr="004B2AE2">
        <w:rPr>
          <w:lang w:val="fr-FR" w:eastAsia="de-DE"/>
        </w:rPr>
        <w:t>La pollinisation assistée par l’animal est un service écosystémique de régulation d’importance vitale pour la nature, l’agriculture et le bien-être humain. Ce service est fourni par des pollinisateurs, à savoir</w:t>
      </w:r>
      <w:r>
        <w:rPr>
          <w:lang w:val="fr-FR" w:eastAsia="de-DE"/>
        </w:rPr>
        <w:t>,</w:t>
      </w:r>
      <w:r w:rsidRPr="004B2AE2">
        <w:rPr>
          <w:lang w:val="fr-FR" w:eastAsia="de-DE"/>
        </w:rPr>
        <w:t xml:space="preserve"> par les abeilles domestiques, les abeilles sauvages, d’autres insectes tels que les mouches, les papillons, les hanne</w:t>
      </w:r>
      <w:r>
        <w:rPr>
          <w:lang w:val="fr-FR" w:eastAsia="de-DE"/>
        </w:rPr>
        <w:t>tons, et des vertébrés comme</w:t>
      </w:r>
      <w:r w:rsidRPr="004B2AE2">
        <w:rPr>
          <w:lang w:val="fr-FR" w:eastAsia="de-DE"/>
        </w:rPr>
        <w:t xml:space="preserve"> la chauve-souris, les oiseaux et certains singes. Le rapport d’évaluation sur les pollinisateurs, la pollinisation et la production alimentaire</w:t>
      </w:r>
      <w:r w:rsidRPr="00A23D0C">
        <w:rPr>
          <w:rStyle w:val="FootnoteReference"/>
          <w:sz w:val="20"/>
          <w:szCs w:val="20"/>
          <w:u w:val="none"/>
          <w:vertAlign w:val="superscript"/>
          <w:lang w:val="fr-FR" w:eastAsia="de-DE"/>
        </w:rPr>
        <w:footnoteReference w:id="132"/>
      </w:r>
      <w:r w:rsidRPr="00A23D0C">
        <w:rPr>
          <w:rStyle w:val="FootnoteReference"/>
          <w:u w:val="none"/>
          <w:lang w:val="fr-FR" w:eastAsia="de-DE"/>
        </w:rPr>
        <w:t xml:space="preserve"> </w:t>
      </w:r>
      <w:r w:rsidRPr="004B2AE2">
        <w:rPr>
          <w:lang w:val="fr-FR" w:eastAsia="de-DE"/>
        </w:rPr>
        <w:t xml:space="preserve">publié par la Plateforme intergouvernementale scientifique et politiques sur la biodiversité et les </w:t>
      </w:r>
      <w:r>
        <w:rPr>
          <w:lang w:val="fr-FR" w:eastAsia="de-DE"/>
        </w:rPr>
        <w:t>services écosystémiques met en exergue</w:t>
      </w:r>
      <w:r w:rsidRPr="004B2AE2">
        <w:rPr>
          <w:lang w:val="fr-FR" w:eastAsia="de-DE"/>
        </w:rPr>
        <w:t xml:space="preserve"> les rôles multiples que jouent les pollinisateurs. Près de 90</w:t>
      </w:r>
      <w:r>
        <w:rPr>
          <w:lang w:val="fr-FR" w:eastAsia="de-DE"/>
        </w:rPr>
        <w:t> </w:t>
      </w:r>
      <w:r w:rsidRPr="004B2AE2">
        <w:rPr>
          <w:lang w:val="fr-FR" w:eastAsia="de-DE"/>
        </w:rPr>
        <w:t>% des plantes à fleurs sauvages dans le monde dé</w:t>
      </w:r>
      <w:r>
        <w:rPr>
          <w:lang w:val="fr-FR" w:eastAsia="de-DE"/>
        </w:rPr>
        <w:t>pendent entièrement ou en partie</w:t>
      </w:r>
      <w:r w:rsidRPr="004B2AE2">
        <w:rPr>
          <w:lang w:val="fr-FR" w:eastAsia="de-DE"/>
        </w:rPr>
        <w:t xml:space="preserve"> de la pollinisation par les animaux. Ces plantes sont essentielles au fonctionnement des écosystèmes, fournissant des aliments, un habitat et d’autres ressources à des autres espèces. En outre, certaines cultures auto</w:t>
      </w:r>
      <w:r>
        <w:rPr>
          <w:lang w:val="fr-FR" w:eastAsia="de-DE"/>
        </w:rPr>
        <w:t>-pollinisatric</w:t>
      </w:r>
      <w:r w:rsidRPr="004B2AE2">
        <w:rPr>
          <w:lang w:val="fr-FR" w:eastAsia="de-DE"/>
        </w:rPr>
        <w:t>es comme le soja peuvent aussi bénéficier d’une productivité accrue grâce à la pollinisation animale.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8.</w:t>
      </w:r>
      <w:r w:rsidRPr="004B2AE2">
        <w:rPr>
          <w:snapToGrid w:val="0"/>
          <w:kern w:val="22"/>
          <w:lang w:val="fr-FR" w:eastAsia="de-DE"/>
        </w:rPr>
        <w:tab/>
      </w:r>
      <w:r>
        <w:rPr>
          <w:lang w:val="fr-FR" w:eastAsia="de-DE"/>
        </w:rPr>
        <w:t xml:space="preserve">Un </w:t>
      </w:r>
      <w:r w:rsidRPr="004B2AE2">
        <w:rPr>
          <w:lang w:val="fr-FR" w:eastAsia="de-DE"/>
        </w:rPr>
        <w:t xml:space="preserve">déclin </w:t>
      </w:r>
      <w:r>
        <w:rPr>
          <w:lang w:val="fr-FR" w:eastAsia="de-DE"/>
        </w:rPr>
        <w:t xml:space="preserve">important </w:t>
      </w:r>
      <w:r w:rsidRPr="004B2AE2">
        <w:rPr>
          <w:lang w:val="fr-FR" w:eastAsia="de-DE"/>
        </w:rPr>
        <w:t xml:space="preserve">de certains taxons de pollinisateurs </w:t>
      </w:r>
      <w:r>
        <w:rPr>
          <w:lang w:val="fr-FR" w:eastAsia="de-DE"/>
        </w:rPr>
        <w:t xml:space="preserve">a été observé </w:t>
      </w:r>
      <w:r w:rsidRPr="004B2AE2">
        <w:rPr>
          <w:lang w:val="fr-FR" w:eastAsia="de-DE"/>
        </w:rPr>
        <w:t xml:space="preserve">au </w:t>
      </w:r>
      <w:r>
        <w:rPr>
          <w:lang w:val="fr-FR" w:eastAsia="de-DE"/>
        </w:rPr>
        <w:t>cours des dernières décennies</w:t>
      </w:r>
      <w:r w:rsidRPr="004B2AE2">
        <w:rPr>
          <w:lang w:val="fr-FR" w:eastAsia="de-DE"/>
        </w:rPr>
        <w:t>, bien que les données sur l’état et les tendances</w:t>
      </w:r>
      <w:r>
        <w:rPr>
          <w:lang w:val="fr-FR" w:eastAsia="de-DE"/>
        </w:rPr>
        <w:t xml:space="preserve"> des pollinisateurs sauvages rest</w:t>
      </w:r>
      <w:r w:rsidRPr="004B2AE2">
        <w:rPr>
          <w:lang w:val="fr-FR" w:eastAsia="de-DE"/>
        </w:rPr>
        <w:t xml:space="preserve">ent limitées et se limitent en grande partie à certaines régions d’Europe et des Amériques. Bien </w:t>
      </w:r>
      <w:r>
        <w:rPr>
          <w:lang w:val="fr-FR" w:eastAsia="de-DE"/>
        </w:rPr>
        <w:t>que les évaluations des risques posés pour</w:t>
      </w:r>
      <w:r w:rsidRPr="004B2AE2">
        <w:rPr>
          <w:lang w:val="fr-FR" w:eastAsia="de-DE"/>
        </w:rPr>
        <w:t xml:space="preserve"> l’état des insectes pollinisateurs sauvages tels que les abeilles sauvages et les papillons soient également limitées sur le plan géographique, celles-ci indiquent des niveaux de m</w:t>
      </w:r>
      <w:r>
        <w:rPr>
          <w:lang w:val="fr-FR" w:eastAsia="de-DE"/>
        </w:rPr>
        <w:t>enace élevés, avec des pourcentage</w:t>
      </w:r>
      <w:r w:rsidRPr="004B2AE2">
        <w:rPr>
          <w:lang w:val="fr-FR" w:eastAsia="de-DE"/>
        </w:rPr>
        <w:t>s d’espèces menacées dépassant souvent 40 pour cent.</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9.</w:t>
      </w:r>
      <w:r w:rsidRPr="004B2AE2">
        <w:rPr>
          <w:snapToGrid w:val="0"/>
          <w:kern w:val="22"/>
          <w:lang w:val="fr-FR" w:eastAsia="de-DE"/>
        </w:rPr>
        <w:tab/>
      </w:r>
      <w:r w:rsidRPr="004B2AE2">
        <w:rPr>
          <w:lang w:val="fr-FR" w:eastAsia="de-DE"/>
        </w:rPr>
        <w:t xml:space="preserve">Au fur et à mesure que l’agriculture mondiale est devenue de plus en plus tributaire des pollinisateurs, une grande partie </w:t>
      </w:r>
      <w:r>
        <w:rPr>
          <w:lang w:val="fr-FR" w:eastAsia="de-DE"/>
        </w:rPr>
        <w:t>de cette dépendance concerne les</w:t>
      </w:r>
      <w:r w:rsidRPr="004B2AE2">
        <w:rPr>
          <w:lang w:val="fr-FR" w:eastAsia="de-DE"/>
        </w:rPr>
        <w:t xml:space="preserve"> pollinisateurs sauvages</w:t>
      </w:r>
      <w:r w:rsidRPr="00A23D0C">
        <w:rPr>
          <w:rStyle w:val="FootnoteReference"/>
          <w:sz w:val="20"/>
          <w:szCs w:val="20"/>
          <w:u w:val="none"/>
          <w:vertAlign w:val="superscript"/>
          <w:lang w:val="fr-FR" w:eastAsia="de-DE"/>
        </w:rPr>
        <w:footnoteReference w:id="133"/>
      </w:r>
      <w:r w:rsidRPr="004B2AE2">
        <w:rPr>
          <w:lang w:val="fr-FR" w:eastAsia="de-DE"/>
        </w:rPr>
        <w:t>. En plus de produits commercialisables et des avantages</w:t>
      </w:r>
      <w:r>
        <w:rPr>
          <w:lang w:val="fr-FR" w:eastAsia="de-DE"/>
        </w:rPr>
        <w:t xml:space="preserve"> pour</w:t>
      </w:r>
      <w:r w:rsidRPr="004B2AE2">
        <w:rPr>
          <w:lang w:val="fr-FR" w:eastAsia="de-DE"/>
        </w:rPr>
        <w:t xml:space="preserve"> la santé découlant de régimes alime</w:t>
      </w:r>
      <w:r>
        <w:rPr>
          <w:lang w:val="fr-FR" w:eastAsia="de-DE"/>
        </w:rPr>
        <w:t>ntaires nutritifs et diversifié</w:t>
      </w:r>
      <w:r w:rsidRPr="004B2AE2">
        <w:rPr>
          <w:lang w:val="fr-FR" w:eastAsia="de-DE"/>
        </w:rPr>
        <w:t xml:space="preserve">s rendus possibles grâce à la pollinisation, les pollinisateurs offrent de nombreux avantages non </w:t>
      </w:r>
      <w:r w:rsidRPr="004B2AE2">
        <w:rPr>
          <w:lang w:val="fr-FR" w:eastAsia="de-DE"/>
        </w:rPr>
        <w:lastRenderedPageBreak/>
        <w:t>monétaires pour le bien-être humain, tels que des sources d’inspiration pour l’art et l’artisanat, la religion, les traditions et les activités récréatives.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10.</w:t>
      </w:r>
      <w:r w:rsidRPr="004B2AE2">
        <w:rPr>
          <w:snapToGrid w:val="0"/>
          <w:kern w:val="22"/>
          <w:lang w:val="fr-FR" w:eastAsia="de-DE"/>
        </w:rPr>
        <w:tab/>
      </w:r>
      <w:r w:rsidRPr="004B2AE2">
        <w:rPr>
          <w:lang w:val="fr-FR" w:eastAsia="de-DE"/>
        </w:rPr>
        <w:t>Un g</w:t>
      </w:r>
      <w:r>
        <w:rPr>
          <w:lang w:val="fr-FR" w:eastAsia="de-DE"/>
        </w:rPr>
        <w:t>rand nombre des principaux facteurs directs du déclin</w:t>
      </w:r>
      <w:r w:rsidRPr="004B2AE2">
        <w:rPr>
          <w:lang w:val="fr-FR" w:eastAsia="de-DE"/>
        </w:rPr>
        <w:t xml:space="preserve"> de</w:t>
      </w:r>
      <w:r>
        <w:rPr>
          <w:lang w:val="fr-FR" w:eastAsia="de-DE"/>
        </w:rPr>
        <w:t>s</w:t>
      </w:r>
      <w:r w:rsidRPr="004B2AE2">
        <w:rPr>
          <w:lang w:val="fr-FR" w:eastAsia="de-DE"/>
        </w:rPr>
        <w:t xml:space="preserve"> pollinisateurs demeurent les mêmes que ceux qui ont été recensés par la Convention sur la diversité biologique dans sa première décision relatives aux pollinisateurs</w:t>
      </w:r>
      <w:r w:rsidRPr="00A23D0C">
        <w:rPr>
          <w:rStyle w:val="FootnoteReference"/>
          <w:sz w:val="20"/>
          <w:szCs w:val="20"/>
          <w:u w:val="none"/>
          <w:vertAlign w:val="superscript"/>
          <w:lang w:val="fr-FR" w:eastAsia="de-DE"/>
        </w:rPr>
        <w:footnoteReference w:id="134"/>
      </w:r>
      <w:r w:rsidRPr="004B2AE2">
        <w:rPr>
          <w:lang w:val="fr-FR" w:eastAsia="de-DE"/>
        </w:rPr>
        <w:t>: fragmentation des</w:t>
      </w:r>
      <w:r>
        <w:rPr>
          <w:lang w:val="fr-FR" w:eastAsia="de-DE"/>
        </w:rPr>
        <w:t xml:space="preserve"> habitats et changement d’affecta</w:t>
      </w:r>
      <w:r w:rsidRPr="004B2AE2">
        <w:rPr>
          <w:lang w:val="fr-FR" w:eastAsia="de-DE"/>
        </w:rPr>
        <w:t>tion des sols, produits chimiques agricoles et industriels, parasites, maladies et espèces exotiques envahiss</w:t>
      </w:r>
      <w:r>
        <w:rPr>
          <w:lang w:val="fr-FR" w:eastAsia="de-DE"/>
        </w:rPr>
        <w:t>antes. En outre, d’autres facteur</w:t>
      </w:r>
      <w:r w:rsidRPr="004B2AE2">
        <w:rPr>
          <w:lang w:val="fr-FR" w:eastAsia="de-DE"/>
        </w:rPr>
        <w:t>s directs importants tels que les changements climatiques ont surgi et une plus grande attention a été accordée à des facteurs liés aux pratiques agricoles intensives, telles que la monoculture, l’emploi de pesticides et certains o</w:t>
      </w:r>
      <w:r>
        <w:rPr>
          <w:lang w:val="fr-FR" w:eastAsia="de-DE"/>
        </w:rPr>
        <w:t xml:space="preserve">rganismes vivants modifiés, ainsi que les effets </w:t>
      </w:r>
      <w:r w:rsidRPr="004B2AE2">
        <w:rPr>
          <w:lang w:val="fr-FR" w:eastAsia="de-DE"/>
        </w:rPr>
        <w:t>sublétaux et létaux</w:t>
      </w:r>
      <w:r>
        <w:rPr>
          <w:lang w:val="fr-FR" w:eastAsia="de-DE"/>
        </w:rPr>
        <w:t xml:space="preserve"> des pesticides</w:t>
      </w:r>
      <w:r w:rsidRPr="004B2AE2">
        <w:rPr>
          <w:lang w:val="fr-FR" w:eastAsia="de-DE"/>
        </w:rPr>
        <w:t xml:space="preserve"> o</w:t>
      </w:r>
      <w:r>
        <w:rPr>
          <w:lang w:val="fr-FR" w:eastAsia="de-DE"/>
        </w:rPr>
        <w:t xml:space="preserve">bservés de plus en plus chez </w:t>
      </w:r>
      <w:r w:rsidRPr="004B2AE2">
        <w:rPr>
          <w:lang w:val="fr-FR" w:eastAsia="de-DE"/>
        </w:rPr>
        <w:t>les abei</w:t>
      </w:r>
      <w:r>
        <w:rPr>
          <w:lang w:val="fr-FR" w:eastAsia="de-DE"/>
        </w:rPr>
        <w:t>lles, et la compréhension qu’une</w:t>
      </w:r>
      <w:r w:rsidRPr="004B2AE2">
        <w:rPr>
          <w:lang w:val="fr-FR" w:eastAsia="de-DE"/>
        </w:rPr>
        <w:t xml:space="preserve"> combinaison de différents facteurs peut augmenter la pression générale exercée sur les pollinisateurs</w:t>
      </w:r>
      <w:r w:rsidRPr="004B2AE2">
        <w:rPr>
          <w:snapToGrid w:val="0"/>
          <w:kern w:val="22"/>
          <w:lang w:val="fr-FR" w:eastAsia="de-DE"/>
        </w:rPr>
        <w:t>.</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sidRPr="004B2AE2">
        <w:rPr>
          <w:snapToGrid w:val="0"/>
          <w:kern w:val="22"/>
          <w:lang w:val="fr-FR" w:eastAsia="de-DE"/>
        </w:rPr>
        <w:t>11.</w:t>
      </w:r>
      <w:r w:rsidRPr="004B2AE2">
        <w:rPr>
          <w:snapToGrid w:val="0"/>
          <w:kern w:val="22"/>
          <w:lang w:val="fr-FR" w:eastAsia="de-DE"/>
        </w:rPr>
        <w:tab/>
      </w:r>
      <w:r w:rsidRPr="004B2AE2">
        <w:rPr>
          <w:lang w:val="fr-FR" w:eastAsia="de-DE"/>
        </w:rPr>
        <w:t>Dans le contexte plus large, les pollinisateurs peuvent être considérés comme un lien important entre l’agriculture, la foresterie, la biodiversité, la santé, la sécurité alimentaire, la sécurité des aliments et la nutrition. Les mesures favorables aux pollinisateurs peuvent potentiellement augmenter la productivité et la durabilité, et contribuer à la viabilité et la rentabilité à long terme des systèmes de production alimentaire. Leur utilisation plus large pourrait être un facteur de transformation</w:t>
      </w:r>
      <w:r>
        <w:rPr>
          <w:lang w:val="fr-FR" w:eastAsia="de-DE"/>
        </w:rPr>
        <w:t>,</w:t>
      </w:r>
      <w:r w:rsidRPr="004B2AE2">
        <w:rPr>
          <w:lang w:val="fr-FR" w:eastAsia="de-DE"/>
        </w:rPr>
        <w:t xml:space="preserve"> en encourageant les pratiques durables dans les secteurs agricoles.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rPr>
        <w:t>12.</w:t>
      </w:r>
      <w:r w:rsidRPr="004B2AE2">
        <w:rPr>
          <w:snapToGrid w:val="0"/>
          <w:kern w:val="22"/>
          <w:lang w:val="fr-FR"/>
        </w:rPr>
        <w:tab/>
      </w:r>
      <w:r w:rsidRPr="004B2AE2">
        <w:rPr>
          <w:lang w:val="fr-FR"/>
        </w:rPr>
        <w:t>La première phase de l’Initiative internationale sur les pollinis</w:t>
      </w:r>
      <w:r>
        <w:rPr>
          <w:lang w:val="fr-FR"/>
        </w:rPr>
        <w:t>ateurs (2000-2017) a contribué au</w:t>
      </w:r>
      <w:r w:rsidRPr="004B2AE2">
        <w:rPr>
          <w:lang w:val="fr-FR"/>
        </w:rPr>
        <w:t xml:space="preserve"> recensement des principale</w:t>
      </w:r>
      <w:r>
        <w:rPr>
          <w:lang w:val="fr-FR"/>
        </w:rPr>
        <w:t xml:space="preserve">s menaces et des causes du </w:t>
      </w:r>
      <w:r w:rsidRPr="004B2AE2">
        <w:rPr>
          <w:lang w:val="fr-FR"/>
        </w:rPr>
        <w:t>déclin</w:t>
      </w:r>
      <w:r>
        <w:rPr>
          <w:lang w:val="fr-FR"/>
        </w:rPr>
        <w:t xml:space="preserve"> des pollinisateurs</w:t>
      </w:r>
      <w:r w:rsidRPr="004B2AE2">
        <w:rPr>
          <w:lang w:val="fr-FR"/>
        </w:rPr>
        <w:t>, ainsi que des effets des fonctions et services de pollinisation et des réductions sur la production alimentaire. Par ailleurs, les informations taxo</w:t>
      </w:r>
      <w:r>
        <w:rPr>
          <w:lang w:val="fr-FR"/>
        </w:rPr>
        <w:t>nomiques sur les pollinisateurs et</w:t>
      </w:r>
      <w:r w:rsidRPr="004B2AE2">
        <w:rPr>
          <w:lang w:val="fr-FR"/>
        </w:rPr>
        <w:t xml:space="preserve"> l’estimation de l</w:t>
      </w:r>
      <w:r>
        <w:rPr>
          <w:lang w:val="fr-FR"/>
        </w:rPr>
        <w:t xml:space="preserve">eur valeur économique dans différents pays et cultures ont été </w:t>
      </w:r>
      <w:r w:rsidRPr="004B2AE2">
        <w:rPr>
          <w:lang w:val="fr-FR"/>
        </w:rPr>
        <w:t>des étapes importantes, non</w:t>
      </w:r>
      <w:r>
        <w:rPr>
          <w:lang w:val="fr-FR"/>
        </w:rPr>
        <w:t xml:space="preserve"> seulement pour l’amélioration </w:t>
      </w:r>
      <w:r w:rsidRPr="004B2AE2">
        <w:rPr>
          <w:lang w:val="fr-FR"/>
        </w:rPr>
        <w:t>de la recherche et de la surveillance, mais aussi pour la promotion de la conservation, restauration et utilisation durable des pollinisateurs. Plusieurs outils pertinents ont été développés et de nombreuses études ont été menées, y compris l’évaluation de l’IPBES et d’autres études complémentaires</w:t>
      </w:r>
      <w:r w:rsidRPr="004B2AE2">
        <w:rPr>
          <w:snapToGrid w:val="0"/>
          <w:kern w:val="22"/>
          <w:lang w:val="fr-FR"/>
        </w:rPr>
        <w:t>.</w:t>
      </w:r>
    </w:p>
    <w:p w:rsidR="009F6935" w:rsidRPr="004B2AE2" w:rsidRDefault="009F6935" w:rsidP="009F6935">
      <w:pPr>
        <w:suppressLineNumbers/>
        <w:suppressAutoHyphens/>
        <w:kinsoku w:val="0"/>
        <w:overflowPunct w:val="0"/>
        <w:autoSpaceDE w:val="0"/>
        <w:autoSpaceDN w:val="0"/>
        <w:spacing w:before="120" w:after="240"/>
        <w:rPr>
          <w:snapToGrid w:val="0"/>
          <w:kern w:val="22"/>
          <w:lang w:val="fr-FR"/>
        </w:rPr>
      </w:pPr>
      <w:r w:rsidRPr="004B2AE2">
        <w:rPr>
          <w:snapToGrid w:val="0"/>
          <w:kern w:val="22"/>
          <w:lang w:val="fr-FR"/>
        </w:rPr>
        <w:t>13.</w:t>
      </w:r>
      <w:r w:rsidRPr="004B2AE2">
        <w:rPr>
          <w:snapToGrid w:val="0"/>
          <w:kern w:val="22"/>
          <w:lang w:val="fr-FR"/>
        </w:rPr>
        <w:tab/>
      </w:r>
      <w:r w:rsidRPr="004B2AE2">
        <w:rPr>
          <w:lang w:val="fr-FR"/>
        </w:rPr>
        <w:t>Le rôle essentiel que jouent les pollinisateurs dans la production alimentaire et l’importance de leur diversité et abondance dans les paysages agricoles et les écosystèmes connexes sont à présent bien reconnus. Le plan d’</w:t>
      </w:r>
      <w:r>
        <w:rPr>
          <w:lang w:val="fr-FR"/>
        </w:rPr>
        <w:t>action actualisé fait suite à cette</w:t>
      </w:r>
      <w:r w:rsidRPr="004B2AE2">
        <w:rPr>
          <w:lang w:val="fr-FR"/>
        </w:rPr>
        <w:t xml:space="preserve"> première ph</w:t>
      </w:r>
      <w:r>
        <w:rPr>
          <w:lang w:val="fr-FR"/>
        </w:rPr>
        <w:t>ase et, compte tenu de</w:t>
      </w:r>
      <w:r w:rsidRPr="004B2AE2">
        <w:rPr>
          <w:lang w:val="fr-FR"/>
        </w:rPr>
        <w:t xml:space="preserve"> la décisi</w:t>
      </w:r>
      <w:r w:rsidR="00A23D0C">
        <w:rPr>
          <w:lang w:val="fr-FR"/>
        </w:rPr>
        <w:t>on </w:t>
      </w:r>
      <w:r w:rsidRPr="004B2AE2">
        <w:rPr>
          <w:lang w:val="fr-FR"/>
        </w:rPr>
        <w:t>XIII/15, met l’accent sur l’intégration des préoccupations rela</w:t>
      </w:r>
      <w:r>
        <w:rPr>
          <w:lang w:val="fr-FR"/>
        </w:rPr>
        <w:t>tives à la pollinisation dans les</w:t>
      </w:r>
      <w:r w:rsidRPr="004B2AE2">
        <w:rPr>
          <w:lang w:val="fr-FR"/>
        </w:rPr>
        <w:t xml:space="preserve"> politique</w:t>
      </w:r>
      <w:r>
        <w:rPr>
          <w:lang w:val="fr-FR"/>
        </w:rPr>
        <w:t>s générales</w:t>
      </w:r>
      <w:r w:rsidRPr="004B2AE2">
        <w:rPr>
          <w:lang w:val="fr-FR"/>
        </w:rPr>
        <w:t>, le développement et la mise en œuvre de mesures sur le terrain pour soutenir la conservation et l’utilisation durable des pollinisateurs, la gestion des risques, le renforcement des capacités et le partage de connaissances à de nombreux niveaux</w:t>
      </w:r>
      <w:r>
        <w:rPr>
          <w:lang w:val="fr-FR"/>
        </w:rPr>
        <w:t>,</w:t>
      </w:r>
      <w:r w:rsidRPr="004B2AE2">
        <w:rPr>
          <w:lang w:val="fr-FR"/>
        </w:rPr>
        <w:t xml:space="preserve"> afin d’intégrer les questions relatives à la pollinisatio</w:t>
      </w:r>
      <w:r>
        <w:rPr>
          <w:lang w:val="fr-FR"/>
        </w:rPr>
        <w:t>n dans les décisions concernant</w:t>
      </w:r>
      <w:r w:rsidRPr="004B2AE2">
        <w:rPr>
          <w:lang w:val="fr-FR"/>
        </w:rPr>
        <w:t xml:space="preserve"> l’agriculture, </w:t>
      </w:r>
      <w:r>
        <w:rPr>
          <w:lang w:val="fr-FR"/>
        </w:rPr>
        <w:t>l’affecta</w:t>
      </w:r>
      <w:r w:rsidRPr="004B2AE2">
        <w:rPr>
          <w:lang w:val="fr-FR"/>
        </w:rPr>
        <w:t>tion des terres et les autres décisions de gestion, et mettant</w:t>
      </w:r>
      <w:r>
        <w:rPr>
          <w:lang w:val="fr-FR"/>
        </w:rPr>
        <w:t xml:space="preserve"> l’accent sur la collaboration dans</w:t>
      </w:r>
      <w:r w:rsidRPr="004B2AE2">
        <w:rPr>
          <w:lang w:val="fr-FR"/>
        </w:rPr>
        <w:t xml:space="preserve"> la recherche sur les </w:t>
      </w:r>
      <w:r>
        <w:rPr>
          <w:lang w:val="fr-FR"/>
        </w:rPr>
        <w:t xml:space="preserve">nouvelles questions </w:t>
      </w:r>
      <w:r w:rsidRPr="004B2AE2">
        <w:rPr>
          <w:lang w:val="fr-FR"/>
        </w:rPr>
        <w:t>et les principaux besoins</w:t>
      </w:r>
      <w:r w:rsidRPr="004B2AE2">
        <w:rPr>
          <w:snapToGrid w:val="0"/>
          <w:kern w:val="22"/>
          <w:lang w:val="fr-FR"/>
        </w:rPr>
        <w:t>.</w:t>
      </w:r>
    </w:p>
    <w:p w:rsidR="009F6935" w:rsidRPr="004B2AE2" w:rsidRDefault="009F6935" w:rsidP="009F6935">
      <w:pPr>
        <w:pStyle w:val="Heading1"/>
        <w:suppressLineNumbers/>
        <w:tabs>
          <w:tab w:val="clear" w:pos="720"/>
          <w:tab w:val="left" w:pos="450"/>
        </w:tabs>
        <w:suppressAutoHyphens/>
        <w:kinsoku w:val="0"/>
        <w:overflowPunct w:val="0"/>
        <w:autoSpaceDE w:val="0"/>
        <w:autoSpaceDN w:val="0"/>
        <w:rPr>
          <w:snapToGrid w:val="0"/>
          <w:kern w:val="22"/>
          <w:lang w:val="fr-FR"/>
        </w:rPr>
      </w:pPr>
      <w:bookmarkStart w:id="431" w:name="_Toc525904281"/>
      <w:bookmarkStart w:id="432" w:name="_Toc525904440"/>
      <w:bookmarkStart w:id="433" w:name="_Toc525904684"/>
      <w:r w:rsidRPr="004B2AE2">
        <w:rPr>
          <w:snapToGrid w:val="0"/>
          <w:kern w:val="22"/>
          <w:lang w:val="fr-FR"/>
        </w:rPr>
        <w:t>III.</w:t>
      </w:r>
      <w:r w:rsidRPr="004B2AE2">
        <w:rPr>
          <w:snapToGrid w:val="0"/>
          <w:kern w:val="22"/>
          <w:lang w:val="fr-FR"/>
        </w:rPr>
        <w:tab/>
      </w:r>
      <w:r w:rsidRPr="004B2AE2">
        <w:rPr>
          <w:lang w:val="fr-FR"/>
        </w:rPr>
        <w:t>ÉlÉments</w:t>
      </w:r>
      <w:bookmarkEnd w:id="431"/>
      <w:bookmarkEnd w:id="432"/>
      <w:bookmarkEnd w:id="433"/>
    </w:p>
    <w:p w:rsidR="009F6935" w:rsidRPr="004B2AE2" w:rsidRDefault="009F6935" w:rsidP="009F6935">
      <w:pPr>
        <w:keepNext/>
        <w:suppressLineNumbers/>
        <w:suppressAutoHyphens/>
        <w:kinsoku w:val="0"/>
        <w:overflowPunct w:val="0"/>
        <w:autoSpaceDE w:val="0"/>
        <w:autoSpaceDN w:val="0"/>
        <w:spacing w:after="60"/>
        <w:jc w:val="center"/>
        <w:rPr>
          <w:b/>
          <w:snapToGrid w:val="0"/>
          <w:kern w:val="22"/>
          <w:lang w:val="fr-FR"/>
        </w:rPr>
      </w:pPr>
      <w:r>
        <w:rPr>
          <w:b/>
          <w:snapToGrid w:val="0"/>
          <w:lang w:val="fr-FR"/>
        </w:rPr>
        <w:t>Élément 1 : p</w:t>
      </w:r>
      <w:r w:rsidRPr="004B2AE2">
        <w:rPr>
          <w:b/>
          <w:snapToGrid w:val="0"/>
          <w:lang w:val="fr-FR"/>
        </w:rPr>
        <w:t>olitiques et stratégies habilitantes</w:t>
      </w:r>
    </w:p>
    <w:p w:rsidR="009F6935" w:rsidRPr="004B2AE2" w:rsidRDefault="009F6935" w:rsidP="009F6935">
      <w:pPr>
        <w:keepNext/>
        <w:suppressLineNumbers/>
        <w:suppressAutoHyphens/>
        <w:kinsoku w:val="0"/>
        <w:overflowPunct w:val="0"/>
        <w:autoSpaceDE w:val="0"/>
        <w:autoSpaceDN w:val="0"/>
        <w:spacing w:after="60"/>
        <w:rPr>
          <w:i/>
          <w:snapToGrid w:val="0"/>
          <w:kern w:val="22"/>
          <w:lang w:val="fr-FR"/>
        </w:rPr>
      </w:pPr>
      <w:r w:rsidRPr="004B2AE2">
        <w:rPr>
          <w:i/>
          <w:snapToGrid w:val="0"/>
          <w:lang w:val="fr-FR"/>
        </w:rPr>
        <w:t>Objectif opérationnel</w:t>
      </w:r>
    </w:p>
    <w:p w:rsidR="009F6935" w:rsidRPr="004B2AE2" w:rsidRDefault="009F6935" w:rsidP="009F6935">
      <w:pPr>
        <w:suppressLineNumbers/>
        <w:suppressAutoHyphens/>
        <w:kinsoku w:val="0"/>
        <w:overflowPunct w:val="0"/>
        <w:autoSpaceDE w:val="0"/>
        <w:autoSpaceDN w:val="0"/>
        <w:spacing w:after="60"/>
        <w:rPr>
          <w:snapToGrid w:val="0"/>
          <w:kern w:val="22"/>
          <w:lang w:val="fr-FR"/>
        </w:rPr>
      </w:pPr>
      <w:r w:rsidRPr="004B2AE2">
        <w:rPr>
          <w:snapToGrid w:val="0"/>
          <w:kern w:val="22"/>
          <w:lang w:val="fr-FR"/>
        </w:rPr>
        <w:t>Soutenir l’application de politiques cohérentes et complètes pour la conservation et l’utilisation durable des pollinisateurs aux niveaux local, infranational, national, régional et mondial, et promouvoir leur intégration dans les plans, programmes et stratégies sectoriel et intersectoriels.</w:t>
      </w:r>
    </w:p>
    <w:p w:rsidR="009F6935" w:rsidRPr="004B2AE2" w:rsidRDefault="009F6935" w:rsidP="009F6935">
      <w:pPr>
        <w:suppressLineNumbers/>
        <w:suppressAutoHyphens/>
        <w:kinsoku w:val="0"/>
        <w:overflowPunct w:val="0"/>
        <w:autoSpaceDE w:val="0"/>
        <w:autoSpaceDN w:val="0"/>
        <w:spacing w:before="120" w:after="120"/>
        <w:rPr>
          <w:i/>
          <w:snapToGrid w:val="0"/>
          <w:kern w:val="22"/>
          <w:lang w:val="fr-FR"/>
        </w:rPr>
      </w:pPr>
      <w:r w:rsidRPr="004B2AE2">
        <w:rPr>
          <w:i/>
          <w:snapToGrid w:val="0"/>
          <w:lang w:val="fr-FR"/>
        </w:rPr>
        <w:t>Justification</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rPr>
        <w:t>Des politiques nationales appropriées sont nécessaires pour créer un milieu porteur efficace pour soutenir les activités des agriculteurs, des gestionnaires des terres, des apiculteurs, du secteur privé et de la société civile. Les préoccupations concernant la pollinisation sont souvent des questions intersectorielles</w:t>
      </w:r>
      <w:r>
        <w:rPr>
          <w:snapToGrid w:val="0"/>
          <w:kern w:val="22"/>
          <w:lang w:val="fr-FR"/>
        </w:rPr>
        <w:t>,</w:t>
      </w:r>
      <w:r w:rsidRPr="004B2AE2">
        <w:rPr>
          <w:snapToGrid w:val="0"/>
          <w:kern w:val="22"/>
          <w:lang w:val="fr-FR"/>
        </w:rPr>
        <w:t xml:space="preserve"> et les politiques </w:t>
      </w:r>
      <w:r>
        <w:rPr>
          <w:snapToGrid w:val="0"/>
          <w:kern w:val="22"/>
          <w:lang w:val="fr-FR"/>
        </w:rPr>
        <w:t>générales devraient être conçues de façon à</w:t>
      </w:r>
      <w:r w:rsidRPr="004B2AE2">
        <w:rPr>
          <w:snapToGrid w:val="0"/>
          <w:kern w:val="22"/>
          <w:lang w:val="fr-FR"/>
        </w:rPr>
        <w:t xml:space="preserve"> intégrer les considérations relatives aux </w:t>
      </w:r>
      <w:r w:rsidRPr="004B2AE2">
        <w:rPr>
          <w:snapToGrid w:val="0"/>
          <w:kern w:val="22"/>
          <w:lang w:val="fr-FR"/>
        </w:rPr>
        <w:lastRenderedPageBreak/>
        <w:t>pollinisateurs et à la pollinisation non seulement dans le contexte des transitions agricoles durables, mais aussi dans tous les secteurs, par exemple la foresterie et la santé.</w:t>
      </w:r>
    </w:p>
    <w:p w:rsidR="009F6935" w:rsidRPr="004B2AE2" w:rsidRDefault="009F6935" w:rsidP="009F6935">
      <w:pPr>
        <w:suppressLineNumbers/>
        <w:suppressAutoHyphens/>
        <w:kinsoku w:val="0"/>
        <w:overflowPunct w:val="0"/>
        <w:autoSpaceDE w:val="0"/>
        <w:autoSpaceDN w:val="0"/>
        <w:spacing w:after="60"/>
        <w:rPr>
          <w:i/>
          <w:snapToGrid w:val="0"/>
          <w:kern w:val="22"/>
          <w:lang w:val="fr-FR"/>
        </w:rPr>
      </w:pPr>
      <w:r w:rsidRPr="004B2AE2">
        <w:rPr>
          <w:i/>
          <w:snapToGrid w:val="0"/>
          <w:lang w:val="fr-FR"/>
        </w:rPr>
        <w:t>Activités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A1.1 Élaborer et appliquer des politiques cohérentes et comp</w:t>
      </w:r>
      <w:r>
        <w:rPr>
          <w:b/>
          <w:snapToGrid w:val="0"/>
          <w:kern w:val="22"/>
          <w:lang w:val="fr-FR"/>
        </w:rPr>
        <w:t>lètes qui permettent et favorisent d</w:t>
      </w:r>
      <w:r w:rsidRPr="004B2AE2">
        <w:rPr>
          <w:b/>
          <w:snapToGrid w:val="0"/>
          <w:kern w:val="22"/>
          <w:lang w:val="fr-FR"/>
        </w:rPr>
        <w:t xml:space="preserve">es activités visant à sauvegarder et </w:t>
      </w:r>
      <w:r>
        <w:rPr>
          <w:b/>
          <w:snapToGrid w:val="0"/>
          <w:kern w:val="22"/>
          <w:lang w:val="fr-FR"/>
        </w:rPr>
        <w:t xml:space="preserve">à </w:t>
      </w:r>
      <w:r w:rsidRPr="004B2AE2">
        <w:rPr>
          <w:b/>
          <w:snapToGrid w:val="0"/>
          <w:kern w:val="22"/>
          <w:lang w:val="fr-FR"/>
        </w:rPr>
        <w:t xml:space="preserve">encourager les pollinisateurs sauvages, intégrées dans </w:t>
      </w:r>
      <w:r>
        <w:rPr>
          <w:b/>
          <w:snapToGrid w:val="0"/>
          <w:kern w:val="22"/>
          <w:lang w:val="fr-FR"/>
        </w:rPr>
        <w:t>les programmes de politique</w:t>
      </w:r>
      <w:r w:rsidRPr="004B2AE2">
        <w:rPr>
          <w:b/>
          <w:snapToGrid w:val="0"/>
          <w:kern w:val="22"/>
          <w:lang w:val="fr-FR"/>
        </w:rPr>
        <w:t xml:space="preserve"> générale</w:t>
      </w:r>
      <w:r>
        <w:rPr>
          <w:b/>
          <w:snapToGrid w:val="0"/>
          <w:kern w:val="22"/>
          <w:lang w:val="fr-FR"/>
        </w:rPr>
        <w:t xml:space="preserve"> plus vastes s</w:t>
      </w:r>
      <w:r w:rsidRPr="004B2AE2">
        <w:rPr>
          <w:b/>
          <w:snapToGrid w:val="0"/>
          <w:kern w:val="22"/>
          <w:lang w:val="fr-FR"/>
        </w:rPr>
        <w:t>ur le développement durable.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A.1.1.1</w:t>
      </w:r>
      <w:r w:rsidRPr="004B2AE2">
        <w:rPr>
          <w:snapToGrid w:val="0"/>
          <w:kern w:val="22"/>
          <w:lang w:val="fr-FR"/>
        </w:rPr>
        <w:t xml:space="preserve"> Promouvoir des politiques cohérentes dans les secteurs et les questions intersectorielles (p. ex. la biodiversité, la sécurité alimentaire, les produits chimiques et la pollution, la réduction de la pauvreté, les changements climatiques, la réduction des risques de catastrophe </w:t>
      </w:r>
      <w:r>
        <w:rPr>
          <w:snapToGrid w:val="0"/>
          <w:kern w:val="22"/>
          <w:lang w:val="fr-FR"/>
        </w:rPr>
        <w:t xml:space="preserve">naturelle </w:t>
      </w:r>
      <w:r w:rsidRPr="004B2AE2">
        <w:rPr>
          <w:snapToGrid w:val="0"/>
          <w:kern w:val="22"/>
          <w:lang w:val="fr-FR"/>
        </w:rPr>
        <w:t>et la lutte contre la désertification);</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sidRPr="004B2AE2">
        <w:rPr>
          <w:b/>
          <w:snapToGrid w:val="0"/>
          <w:kern w:val="22"/>
          <w:lang w:val="fr-FR"/>
        </w:rPr>
        <w:t>A.1.1.2</w:t>
      </w:r>
      <w:r w:rsidRPr="004B2AE2">
        <w:rPr>
          <w:snapToGrid w:val="0"/>
          <w:kern w:val="22"/>
          <w:lang w:val="fr-FR"/>
        </w:rPr>
        <w:t xml:space="preserve"> </w:t>
      </w:r>
      <w:r w:rsidRPr="004B2AE2">
        <w:rPr>
          <w:lang w:val="fr-FR" w:eastAsia="de-DE"/>
        </w:rPr>
        <w:t>Analyser les liens entre les pollinisateurs et la santé humaine, les régimes alimentaires nutritifs et l’exposition aux pesticides;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A.1.1.</w:t>
      </w:r>
      <w:r>
        <w:rPr>
          <w:b/>
          <w:snapToGrid w:val="0"/>
          <w:kern w:val="22"/>
          <w:lang w:val="fr-FR"/>
        </w:rPr>
        <w:t>3</w:t>
      </w:r>
      <w:r w:rsidRPr="004B2AE2">
        <w:rPr>
          <w:snapToGrid w:val="0"/>
          <w:kern w:val="22"/>
          <w:lang w:val="fr-FR"/>
        </w:rPr>
        <w:t xml:space="preserve"> Aborder les liens entre les pollinisateurs et la fourniture de fonctions et services écosystémiques, au</w:t>
      </w:r>
      <w:r w:rsidRPr="004B2AE2">
        <w:rPr>
          <w:snapToGrid w:val="0"/>
          <w:kern w:val="22"/>
          <w:lang w:val="fr-FR"/>
        </w:rPr>
        <w:noBreakHyphen/>
        <w:t>delà de la production alimentaire;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A.1.1.4</w:t>
      </w:r>
      <w:r w:rsidRPr="004B2AE2">
        <w:rPr>
          <w:snapToGrid w:val="0"/>
          <w:kern w:val="22"/>
          <w:lang w:val="fr-FR"/>
        </w:rPr>
        <w:t xml:space="preserve"> Reconnaître la pollinisation comme faisant partie des systèmes agricoles intégrés et en tant qu’intrant agricole important;</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A</w:t>
      </w:r>
      <w:r>
        <w:rPr>
          <w:b/>
          <w:snapToGrid w:val="0"/>
          <w:kern w:val="22"/>
          <w:lang w:val="fr-FR"/>
        </w:rPr>
        <w:t>.1.1.5</w:t>
      </w:r>
      <w:r w:rsidRPr="004B2AE2">
        <w:rPr>
          <w:snapToGrid w:val="0"/>
          <w:kern w:val="22"/>
          <w:lang w:val="fr-FR"/>
        </w:rPr>
        <w:t xml:space="preserve"> Reconnaître les pollinisateurs et la pollinisation comme un élément essentiel de l’intégrité des écosystèmes et du maintien de leur </w:t>
      </w:r>
      <w:r>
        <w:rPr>
          <w:snapToGrid w:val="0"/>
          <w:kern w:val="22"/>
          <w:lang w:val="fr-FR"/>
        </w:rPr>
        <w:t xml:space="preserve">bon </w:t>
      </w:r>
      <w:r w:rsidRPr="004B2AE2">
        <w:rPr>
          <w:snapToGrid w:val="0"/>
          <w:kern w:val="22"/>
          <w:lang w:val="fr-FR"/>
        </w:rPr>
        <w:t>fonctionnement;</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A.1.1.6</w:t>
      </w:r>
      <w:r>
        <w:rPr>
          <w:snapToGrid w:val="0"/>
          <w:kern w:val="22"/>
          <w:lang w:val="fr-FR"/>
        </w:rPr>
        <w:t xml:space="preserve"> Appliquer des solutions fond</w:t>
      </w:r>
      <w:r w:rsidRPr="004B2AE2">
        <w:rPr>
          <w:snapToGrid w:val="0"/>
          <w:kern w:val="22"/>
          <w:lang w:val="fr-FR"/>
        </w:rPr>
        <w:t>ées sur la nature et renforcer les interactions positives (p. ex. gestion intégrée des ravageurs, diversification dans l’exploitation</w:t>
      </w:r>
      <w:r>
        <w:rPr>
          <w:snapToGrid w:val="0"/>
          <w:kern w:val="22"/>
          <w:lang w:val="fr-FR"/>
        </w:rPr>
        <w:t xml:space="preserve"> des terres</w:t>
      </w:r>
      <w:r w:rsidRPr="004B2AE2">
        <w:rPr>
          <w:snapToGrid w:val="0"/>
          <w:kern w:val="22"/>
          <w:lang w:val="fr-FR"/>
        </w:rPr>
        <w:t>, intensification écologique, restauration pour accroître la connectivité du paysage);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A.1.1.7</w:t>
      </w:r>
      <w:r>
        <w:rPr>
          <w:snapToGrid w:val="0"/>
          <w:kern w:val="22"/>
          <w:lang w:val="fr-FR"/>
        </w:rPr>
        <w:t xml:space="preserve"> Faciliter</w:t>
      </w:r>
      <w:r w:rsidRPr="004B2AE2">
        <w:rPr>
          <w:snapToGrid w:val="0"/>
          <w:kern w:val="22"/>
          <w:lang w:val="fr-FR"/>
        </w:rPr>
        <w:t xml:space="preserve"> l’accès aux données et l’emploi des outils d’aide de la prise de décisions, y </w:t>
      </w:r>
      <w:r>
        <w:rPr>
          <w:snapToGrid w:val="0"/>
          <w:kern w:val="22"/>
          <w:lang w:val="fr-FR"/>
        </w:rPr>
        <w:t>compris l’aménagement du territoire et l’affectation des sols</w:t>
      </w:r>
      <w:r w:rsidRPr="004B2AE2">
        <w:rPr>
          <w:snapToGrid w:val="0"/>
          <w:kern w:val="22"/>
          <w:lang w:val="fr-FR"/>
        </w:rPr>
        <w:t xml:space="preserve">, afin d’augmenter l’étendue et la connectivité des habitats des pollinisateurs </w:t>
      </w:r>
      <w:r w:rsidRPr="004B2AE2">
        <w:rPr>
          <w:rStyle w:val="StyleFootnoteReferencenumberFootnoteReferenceSuperscript-EF1"/>
          <w:lang w:val="fr-FR"/>
        </w:rPr>
        <w:footnoteReference w:id="135"/>
      </w:r>
      <w:r w:rsidRPr="004B2AE2">
        <w:rPr>
          <w:snapToGrid w:val="0"/>
          <w:kern w:val="22"/>
          <w:lang w:val="fr-FR"/>
        </w:rPr>
        <w:t xml:space="preserve"> dans le paysage, avec la participation des agriculteurs et des communautés locales;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A.1.1.8</w:t>
      </w:r>
      <w:r w:rsidRPr="004B2AE2">
        <w:rPr>
          <w:b/>
          <w:snapToGrid w:val="0"/>
          <w:kern w:val="22"/>
          <w:lang w:val="fr-FR"/>
        </w:rPr>
        <w:t xml:space="preserve"> </w:t>
      </w:r>
      <w:r>
        <w:rPr>
          <w:snapToGrid w:val="0"/>
          <w:kern w:val="22"/>
          <w:lang w:val="fr-FR"/>
        </w:rPr>
        <w:t>Appuyer</w:t>
      </w:r>
      <w:r w:rsidRPr="004B2AE2">
        <w:rPr>
          <w:snapToGrid w:val="0"/>
          <w:kern w:val="22"/>
          <w:lang w:val="fr-FR"/>
        </w:rPr>
        <w:t xml:space="preserve"> l</w:t>
      </w:r>
      <w:r>
        <w:rPr>
          <w:snapToGrid w:val="0"/>
          <w:kern w:val="22"/>
          <w:lang w:val="fr-FR"/>
        </w:rPr>
        <w:t>e renforcement des capacités pour</w:t>
      </w:r>
      <w:r w:rsidRPr="004B2AE2">
        <w:rPr>
          <w:snapToGrid w:val="0"/>
          <w:kern w:val="22"/>
          <w:lang w:val="fr-FR"/>
        </w:rPr>
        <w:t xml:space="preserve"> fournir des orientations sur les bonnes pratiques de gestion des pollinisateurs et de la pollinisation</w:t>
      </w:r>
      <w:r>
        <w:rPr>
          <w:snapToGrid w:val="0"/>
          <w:kern w:val="22"/>
          <w:lang w:val="fr-FR"/>
        </w:rPr>
        <w:t>, en favorisant l’intégr</w:t>
      </w:r>
      <w:r w:rsidRPr="004B2AE2">
        <w:rPr>
          <w:snapToGrid w:val="0"/>
          <w:kern w:val="22"/>
          <w:lang w:val="fr-FR"/>
        </w:rPr>
        <w:t xml:space="preserve">ation de solution fondées sur la nature </w:t>
      </w:r>
      <w:r>
        <w:rPr>
          <w:snapToGrid w:val="0"/>
          <w:kern w:val="22"/>
          <w:lang w:val="fr-FR"/>
        </w:rPr>
        <w:t>dans les services d’extension</w:t>
      </w:r>
      <w:r w:rsidRPr="004B2AE2">
        <w:rPr>
          <w:snapToGrid w:val="0"/>
          <w:kern w:val="22"/>
          <w:lang w:val="fr-FR"/>
        </w:rPr>
        <w:t xml:space="preserve">, les échanges entre agriculteurs </w:t>
      </w:r>
      <w:r>
        <w:rPr>
          <w:snapToGrid w:val="0"/>
          <w:kern w:val="22"/>
          <w:lang w:val="fr-FR"/>
        </w:rPr>
        <w:t>et les réseaux de chercheurs agr</w:t>
      </w:r>
      <w:r w:rsidRPr="004B2AE2">
        <w:rPr>
          <w:snapToGrid w:val="0"/>
          <w:kern w:val="22"/>
          <w:lang w:val="fr-FR"/>
        </w:rPr>
        <w:t>iculteurs;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A.1.1.9</w:t>
      </w:r>
      <w:r w:rsidRPr="004B2AE2">
        <w:rPr>
          <w:b/>
          <w:snapToGrid w:val="0"/>
          <w:kern w:val="22"/>
          <w:lang w:val="fr-FR"/>
        </w:rPr>
        <w:t xml:space="preserve"> </w:t>
      </w:r>
      <w:r w:rsidRPr="004B2AE2">
        <w:rPr>
          <w:snapToGrid w:val="0"/>
          <w:kern w:val="22"/>
          <w:lang w:val="fr-FR"/>
        </w:rPr>
        <w:t xml:space="preserve">Développer et appliquer des </w:t>
      </w:r>
      <w:r>
        <w:rPr>
          <w:snapToGrid w:val="0"/>
          <w:kern w:val="22"/>
          <w:lang w:val="fr-FR"/>
        </w:rPr>
        <w:t>mesures d’incitation</w:t>
      </w:r>
      <w:r w:rsidRPr="004B2AE2">
        <w:rPr>
          <w:snapToGrid w:val="0"/>
          <w:kern w:val="22"/>
          <w:lang w:val="fr-FR"/>
        </w:rPr>
        <w:t xml:space="preserve"> </w:t>
      </w:r>
      <w:r>
        <w:rPr>
          <w:snapToGrid w:val="0"/>
          <w:kern w:val="22"/>
          <w:lang w:val="fr-FR"/>
        </w:rPr>
        <w:t>cohérentes et compatibles</w:t>
      </w:r>
      <w:r w:rsidRPr="004B2AE2">
        <w:rPr>
          <w:snapToGrid w:val="0"/>
          <w:kern w:val="22"/>
          <w:lang w:val="fr-FR"/>
        </w:rPr>
        <w:t xml:space="preserve"> avec les obligations internationales</w:t>
      </w:r>
      <w:r>
        <w:rPr>
          <w:snapToGrid w:val="0"/>
          <w:kern w:val="22"/>
          <w:lang w:val="fr-FR"/>
        </w:rPr>
        <w:t xml:space="preserve"> en vigueur</w:t>
      </w:r>
      <w:r w:rsidRPr="004B2AE2">
        <w:rPr>
          <w:snapToGrid w:val="0"/>
          <w:kern w:val="22"/>
          <w:lang w:val="fr-FR"/>
        </w:rPr>
        <w:t xml:space="preserve">, </w:t>
      </w:r>
      <w:r>
        <w:rPr>
          <w:snapToGrid w:val="0"/>
          <w:kern w:val="22"/>
          <w:lang w:val="fr-FR"/>
        </w:rPr>
        <w:t>pour que les agriculteurs</w:t>
      </w:r>
      <w:r w:rsidRPr="004B2AE2">
        <w:rPr>
          <w:snapToGrid w:val="0"/>
          <w:kern w:val="22"/>
          <w:lang w:val="fr-FR"/>
        </w:rPr>
        <w:t xml:space="preserve"> et l</w:t>
      </w:r>
      <w:r>
        <w:rPr>
          <w:snapToGrid w:val="0"/>
          <w:kern w:val="22"/>
          <w:lang w:val="fr-FR"/>
        </w:rPr>
        <w:t>es fournisseurs alimentaires encouragent</w:t>
      </w:r>
      <w:r w:rsidRPr="004B2AE2">
        <w:rPr>
          <w:snapToGrid w:val="0"/>
          <w:kern w:val="22"/>
          <w:lang w:val="fr-FR"/>
        </w:rPr>
        <w:t xml:space="preserve"> l’adoption de pratiques favorables aux pollinisateurs (p. ex. les mesures de séquestration du carbone qui augmentent l’habitat des pollinisateurs; la conservation de terres incultes comme fourrage pour les pollinisateurs)</w:t>
      </w:r>
      <w:r>
        <w:rPr>
          <w:snapToGrid w:val="0"/>
          <w:kern w:val="22"/>
          <w:lang w:val="fr-FR"/>
        </w:rPr>
        <w:t>,</w:t>
      </w:r>
      <w:r w:rsidRPr="004B2AE2">
        <w:rPr>
          <w:snapToGrid w:val="0"/>
          <w:kern w:val="22"/>
          <w:lang w:val="fr-FR"/>
        </w:rPr>
        <w:t xml:space="preserve"> et éliminer ou réduire les </w:t>
      </w:r>
      <w:r>
        <w:rPr>
          <w:snapToGrid w:val="0"/>
          <w:kern w:val="22"/>
          <w:lang w:val="fr-FR"/>
        </w:rPr>
        <w:t>mesures d’</w:t>
      </w:r>
      <w:r w:rsidRPr="004B2AE2">
        <w:rPr>
          <w:snapToGrid w:val="0"/>
          <w:kern w:val="22"/>
          <w:lang w:val="fr-FR"/>
        </w:rPr>
        <w:t>incitations à effet pervers qui nuisent aux pollinisateurs et à leurs habitats (p. ex. subventions de pesticides, incitations à l’utilisation de pesticides comme condition de crédit bancaire), compte tenu des besoins des agriculteurs, des apiculteurs urbains et ruraux, des gestionnaires des terres, des peuples autochtones et communautés locales et d'autres partie prenantes;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A.1.1.10</w:t>
      </w:r>
      <w:r w:rsidRPr="004B2AE2">
        <w:rPr>
          <w:b/>
          <w:snapToGrid w:val="0"/>
          <w:kern w:val="22"/>
          <w:lang w:val="fr-FR"/>
        </w:rPr>
        <w:t xml:space="preserve"> </w:t>
      </w:r>
      <w:r w:rsidRPr="004B2AE2">
        <w:rPr>
          <w:snapToGrid w:val="0"/>
          <w:kern w:val="22"/>
          <w:lang w:val="fr-FR"/>
        </w:rPr>
        <w:t>Encourager la reconnaissance des pratiques respectueuses des pollinisateurs et des conséquences pour les services de pollinisation dans les programmes de certification existants;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Pr>
          <w:b/>
          <w:snapToGrid w:val="0"/>
          <w:kern w:val="22"/>
          <w:lang w:val="fr-FR"/>
        </w:rPr>
        <w:t>A.1.1.11</w:t>
      </w:r>
      <w:r w:rsidRPr="004B2AE2">
        <w:rPr>
          <w:bCs/>
          <w:snapToGrid w:val="0"/>
          <w:kern w:val="22"/>
          <w:lang w:val="fr-FR"/>
        </w:rPr>
        <w:t xml:space="preserve"> Protéger et conserver les espèces menacées de pollinisateurs</w:t>
      </w:r>
      <w:r>
        <w:rPr>
          <w:bCs/>
          <w:snapToGrid w:val="0"/>
          <w:kern w:val="22"/>
          <w:lang w:val="fr-FR"/>
        </w:rPr>
        <w:t>, ainsi que leurs milieux</w:t>
      </w:r>
      <w:r w:rsidRPr="004B2AE2">
        <w:rPr>
          <w:bCs/>
          <w:snapToGrid w:val="0"/>
          <w:kern w:val="22"/>
          <w:lang w:val="fr-FR"/>
        </w:rPr>
        <w:t xml:space="preserve"> naturels.</w:t>
      </w:r>
    </w:p>
    <w:p w:rsidR="009F6935" w:rsidRPr="004B2AE2" w:rsidRDefault="009F6935" w:rsidP="009F6935">
      <w:pPr>
        <w:suppressLineNumbers/>
        <w:suppressAutoHyphens/>
        <w:kinsoku w:val="0"/>
        <w:overflowPunct w:val="0"/>
        <w:autoSpaceDE w:val="0"/>
        <w:autoSpaceDN w:val="0"/>
        <w:spacing w:before="240" w:after="120"/>
        <w:rPr>
          <w:snapToGrid w:val="0"/>
          <w:kern w:val="22"/>
          <w:lang w:val="fr-FR" w:eastAsia="de-DE"/>
        </w:rPr>
      </w:pPr>
      <w:r w:rsidRPr="004B2AE2">
        <w:rPr>
          <w:b/>
          <w:lang w:val="fr-FR" w:eastAsia="de-DE"/>
        </w:rPr>
        <w:lastRenderedPageBreak/>
        <w:t>A1.2 Appliquer une réglementation efficace des pesticides</w:t>
      </w:r>
      <w:r w:rsidRPr="00A23D0C">
        <w:rPr>
          <w:rStyle w:val="FootnoteReference"/>
          <w:b/>
          <w:snapToGrid w:val="0"/>
          <w:kern w:val="22"/>
          <w:sz w:val="20"/>
          <w:szCs w:val="20"/>
          <w:u w:val="none"/>
          <w:vertAlign w:val="superscript"/>
          <w:lang w:val="fr-FR" w:eastAsia="de-DE"/>
        </w:rPr>
        <w:footnoteReference w:id="136"/>
      </w:r>
    </w:p>
    <w:p w:rsidR="009F6935" w:rsidRPr="004B2AE2" w:rsidRDefault="009F6935" w:rsidP="009F6935">
      <w:pPr>
        <w:suppressLineNumbers/>
        <w:suppressAutoHyphens/>
        <w:kinsoku w:val="0"/>
        <w:overflowPunct w:val="0"/>
        <w:autoSpaceDE w:val="0"/>
        <w:autoSpaceDN w:val="0"/>
        <w:snapToGrid w:val="0"/>
        <w:spacing w:before="120" w:after="120"/>
        <w:rPr>
          <w:snapToGrid w:val="0"/>
          <w:kern w:val="22"/>
          <w:lang w:val="fr-FR" w:eastAsia="de-DE"/>
        </w:rPr>
      </w:pPr>
      <w:r w:rsidRPr="004B2AE2">
        <w:rPr>
          <w:b/>
          <w:snapToGrid w:val="0"/>
          <w:kern w:val="22"/>
          <w:lang w:val="fr-FR"/>
        </w:rPr>
        <w:t xml:space="preserve">A.1.2.1 </w:t>
      </w:r>
      <w:r w:rsidRPr="004B2AE2">
        <w:rPr>
          <w:lang w:val="fr-FR" w:eastAsia="de-DE"/>
        </w:rPr>
        <w:t>Réduire l’emploi et éliminer progressivement l</w:t>
      </w:r>
      <w:r>
        <w:rPr>
          <w:lang w:val="fr-FR" w:eastAsia="de-DE"/>
        </w:rPr>
        <w:t>es pesticides actuel</w:t>
      </w:r>
      <w:r w:rsidRPr="004B2AE2">
        <w:rPr>
          <w:lang w:val="fr-FR" w:eastAsia="de-DE"/>
        </w:rPr>
        <w:t xml:space="preserve">s, y compris les pesticides </w:t>
      </w:r>
      <w:r>
        <w:rPr>
          <w:lang w:val="fr-FR" w:eastAsia="de-DE"/>
        </w:rPr>
        <w:t xml:space="preserve">utilisés </w:t>
      </w:r>
      <w:r w:rsidRPr="004B2AE2">
        <w:rPr>
          <w:lang w:val="fr-FR" w:eastAsia="de-DE"/>
        </w:rPr>
        <w:t>à des fins cosmétiques et les produits chimiques agricoles, qui sont nocifs ou qui présentent un risque inacceptable pour les pollinisateurs, et éviter l’homologation de ceux qui nuisent ou qui présentent un risque inacceptable pour les pollinisateurs;</w:t>
      </w:r>
    </w:p>
    <w:p w:rsidR="009F6935" w:rsidRPr="004B2AE2" w:rsidRDefault="009F6935" w:rsidP="009F6935">
      <w:pPr>
        <w:suppressLineNumbers/>
        <w:suppressAutoHyphens/>
        <w:kinsoku w:val="0"/>
        <w:overflowPunct w:val="0"/>
        <w:autoSpaceDE w:val="0"/>
        <w:autoSpaceDN w:val="0"/>
        <w:snapToGrid w:val="0"/>
        <w:spacing w:before="120" w:after="120"/>
        <w:rPr>
          <w:snapToGrid w:val="0"/>
          <w:kern w:val="22"/>
          <w:lang w:val="fr-FR" w:eastAsia="de-DE"/>
        </w:rPr>
      </w:pPr>
      <w:r w:rsidRPr="004B2AE2">
        <w:rPr>
          <w:b/>
          <w:snapToGrid w:val="0"/>
          <w:kern w:val="22"/>
          <w:lang w:val="fr-FR"/>
        </w:rPr>
        <w:t xml:space="preserve">A.1.2.2 </w:t>
      </w:r>
      <w:r w:rsidRPr="004B2AE2">
        <w:rPr>
          <w:lang w:val="fr-FR" w:eastAsia="de-DE"/>
        </w:rPr>
        <w:t xml:space="preserve">Élaborer, renforcer et mettre en œuvre sur une base régulière des procédures d’évaluation des risques (en tenant compte des expositions et </w:t>
      </w:r>
      <w:r>
        <w:rPr>
          <w:lang w:val="fr-FR" w:eastAsia="de-DE"/>
        </w:rPr>
        <w:t xml:space="preserve">des </w:t>
      </w:r>
      <w:r w:rsidRPr="004B2AE2">
        <w:rPr>
          <w:lang w:val="fr-FR" w:eastAsia="de-DE"/>
        </w:rPr>
        <w:t>effets à long term</w:t>
      </w:r>
      <w:r>
        <w:rPr>
          <w:lang w:val="fr-FR" w:eastAsia="de-DE"/>
        </w:rPr>
        <w:t>e réalistes sur le terrain) présentés par</w:t>
      </w:r>
      <w:r w:rsidRPr="004B2AE2">
        <w:rPr>
          <w:lang w:val="fr-FR" w:eastAsia="de-DE"/>
        </w:rPr>
        <w:t xml:space="preserve"> les pesticides, les graines traitées avec des pesticides et [les organismes vivants modifiés]</w:t>
      </w:r>
      <w:r>
        <w:rPr>
          <w:lang w:val="fr-FR" w:eastAsia="de-DE"/>
        </w:rPr>
        <w:t>,</w:t>
      </w:r>
      <w:r w:rsidRPr="004B2AE2">
        <w:rPr>
          <w:lang w:val="fr-FR" w:eastAsia="de-DE"/>
        </w:rPr>
        <w:t xml:space="preserve"> afin de prendre en compte les effets éventuels et cumulatifs, y compris les effets sublétaux et indirects, sur les pollinisateurs sauva</w:t>
      </w:r>
      <w:r>
        <w:rPr>
          <w:lang w:val="fr-FR" w:eastAsia="de-DE"/>
        </w:rPr>
        <w:t>ges et domestiques (y compris à différents</w:t>
      </w:r>
      <w:r w:rsidRPr="004B2AE2">
        <w:rPr>
          <w:lang w:val="fr-FR" w:eastAsia="de-DE"/>
        </w:rPr>
        <w:t xml:space="preserve"> stades de croissance : œuf, larve, pupe et adulte), ainsi que d’autres espèces non ciblées;</w:t>
      </w:r>
    </w:p>
    <w:p w:rsidR="009F6935" w:rsidRPr="004B2AE2" w:rsidRDefault="009F6935" w:rsidP="009F6935">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A.1.2.3</w:t>
      </w:r>
      <w:r w:rsidRPr="004B2AE2">
        <w:rPr>
          <w:rFonts w:ascii="Times New Roman" w:hAnsi="Times New Roman"/>
          <w:color w:val="auto"/>
          <w:sz w:val="22"/>
          <w:szCs w:val="22"/>
          <w:lang w:val="fr-FR" w:eastAsia="de-DE"/>
        </w:rPr>
        <w:t xml:space="preserve"> Travailler avec les organismes de réglementation à l’ap</w:t>
      </w:r>
      <w:r>
        <w:rPr>
          <w:rFonts w:ascii="Times New Roman" w:hAnsi="Times New Roman"/>
          <w:color w:val="auto"/>
          <w:sz w:val="22"/>
          <w:szCs w:val="22"/>
          <w:lang w:val="fr-FR" w:eastAsia="de-DE"/>
        </w:rPr>
        <w:t>plication d’outils tels que la B</w:t>
      </w:r>
      <w:r w:rsidRPr="004B2AE2">
        <w:rPr>
          <w:rFonts w:ascii="Times New Roman" w:hAnsi="Times New Roman"/>
          <w:color w:val="auto"/>
          <w:sz w:val="22"/>
          <w:szCs w:val="22"/>
          <w:lang w:val="fr-FR" w:eastAsia="de-DE"/>
        </w:rPr>
        <w:t>oîte à outils pour l’homologation des pesticides de la FAO;</w:t>
      </w:r>
    </w:p>
    <w:p w:rsidR="009F6935" w:rsidRPr="004B2AE2" w:rsidRDefault="009F6935" w:rsidP="009F6935">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A.1.2.4</w:t>
      </w:r>
      <w:r w:rsidRPr="004B2AE2">
        <w:rPr>
          <w:rFonts w:ascii="Times New Roman" w:hAnsi="Times New Roman"/>
          <w:color w:val="auto"/>
          <w:sz w:val="22"/>
          <w:szCs w:val="22"/>
          <w:lang w:val="fr-FR" w:eastAsia="de-DE"/>
        </w:rPr>
        <w:t xml:space="preserve"> Renforcer les capacités des autorités </w:t>
      </w:r>
      <w:r>
        <w:rPr>
          <w:rFonts w:ascii="Times New Roman" w:hAnsi="Times New Roman"/>
          <w:color w:val="auto"/>
          <w:sz w:val="22"/>
          <w:szCs w:val="22"/>
          <w:lang w:val="fr-FR" w:eastAsia="de-DE"/>
        </w:rPr>
        <w:t xml:space="preserve">chargées </w:t>
      </w:r>
      <w:r w:rsidRPr="004B2AE2">
        <w:rPr>
          <w:rFonts w:ascii="Times New Roman" w:hAnsi="Times New Roman"/>
          <w:color w:val="auto"/>
          <w:sz w:val="22"/>
          <w:szCs w:val="22"/>
          <w:lang w:val="fr-FR" w:eastAsia="de-DE"/>
        </w:rPr>
        <w:t xml:space="preserve">de </w:t>
      </w:r>
      <w:r>
        <w:rPr>
          <w:rFonts w:ascii="Times New Roman" w:hAnsi="Times New Roman"/>
          <w:color w:val="auto"/>
          <w:sz w:val="22"/>
          <w:szCs w:val="22"/>
          <w:lang w:val="fr-FR" w:eastAsia="de-DE"/>
        </w:rPr>
        <w:t>la réglementation des pesticides pour</w:t>
      </w:r>
      <w:r w:rsidRPr="004B2AE2">
        <w:rPr>
          <w:rFonts w:ascii="Times New Roman" w:hAnsi="Times New Roman"/>
          <w:color w:val="auto"/>
          <w:sz w:val="22"/>
          <w:szCs w:val="22"/>
          <w:lang w:val="fr-FR" w:eastAsia="de-DE"/>
        </w:rPr>
        <w:t xml:space="preserve"> protéger les pollinisateurs contre les produits chimiques;</w:t>
      </w:r>
    </w:p>
    <w:p w:rsidR="009F6935" w:rsidRPr="004B2AE2" w:rsidRDefault="009F6935" w:rsidP="009F6935">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A.1.2.5</w:t>
      </w:r>
      <w:r w:rsidRPr="004B2AE2">
        <w:rPr>
          <w:rFonts w:ascii="Times New Roman" w:hAnsi="Times New Roman"/>
          <w:color w:val="auto"/>
          <w:sz w:val="22"/>
          <w:szCs w:val="22"/>
          <w:lang w:val="fr-FR" w:eastAsia="de-DE"/>
        </w:rPr>
        <w:t xml:space="preserve"> Élaborer et promouvoir des orientations et des formations aux bonnes pratiques d’emploi des pesticides (p. ex. techniques, technologie, moment d’application, cultures non florifères, conditions météorologiques)</w:t>
      </w:r>
      <w:r>
        <w:rPr>
          <w:rFonts w:ascii="Times New Roman" w:hAnsi="Times New Roman"/>
          <w:color w:val="auto"/>
          <w:sz w:val="22"/>
          <w:szCs w:val="22"/>
          <w:lang w:val="fr-FR" w:eastAsia="de-DE"/>
        </w:rPr>
        <w:t>,</w:t>
      </w:r>
      <w:r w:rsidRPr="004B2AE2">
        <w:rPr>
          <w:rFonts w:ascii="Times New Roman" w:hAnsi="Times New Roman"/>
          <w:color w:val="auto"/>
          <w:sz w:val="22"/>
          <w:szCs w:val="22"/>
          <w:lang w:val="fr-FR" w:eastAsia="de-DE"/>
        </w:rPr>
        <w:t xml:space="preserve"> en s’appuyant sur le Code de conduite international sur la gestion des pesticides de la FAO et de l’Organisation mondiale de la santé;</w:t>
      </w:r>
    </w:p>
    <w:p w:rsidR="009F6935" w:rsidRPr="004B2AE2" w:rsidRDefault="009F6935" w:rsidP="009F6935">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auto"/>
          <w:kern w:val="22"/>
          <w:sz w:val="22"/>
          <w:szCs w:val="22"/>
          <w:lang w:val="fr-FR" w:eastAsia="de-DE"/>
        </w:rPr>
      </w:pPr>
      <w:r w:rsidRPr="004B2AE2">
        <w:rPr>
          <w:rFonts w:ascii="Times New Roman" w:hAnsi="Times New Roman"/>
          <w:b/>
          <w:color w:val="auto"/>
          <w:sz w:val="22"/>
          <w:szCs w:val="22"/>
          <w:lang w:val="fr-FR" w:eastAsia="de-DE"/>
        </w:rPr>
        <w:t>A.1.2.6</w:t>
      </w:r>
      <w:r w:rsidRPr="004B2AE2">
        <w:rPr>
          <w:rFonts w:ascii="Times New Roman" w:hAnsi="Times New Roman"/>
          <w:color w:val="auto"/>
          <w:sz w:val="22"/>
          <w:szCs w:val="22"/>
          <w:lang w:val="fr-FR" w:eastAsia="de-DE"/>
        </w:rPr>
        <w:t xml:space="preserve"> Élaborer et mettre en œuvre des stratégies de réduction des risques et encourager d’autres méthodes (p. ex. les pratiques de gestion intégrée des ravageurs et l’application d’agents de lutte biologique) pour réduire ou éliminer l’exposition des pollinisateurs à des pesticides nocifs;</w:t>
      </w:r>
    </w:p>
    <w:p w:rsidR="009F6935" w:rsidRPr="004B2AE2" w:rsidRDefault="009F6935" w:rsidP="009F6935">
      <w:pPr>
        <w:pStyle w:val="p1"/>
        <w:suppressLineNumbers/>
        <w:suppressAutoHyphens/>
        <w:kinsoku w:val="0"/>
        <w:overflowPunct w:val="0"/>
        <w:autoSpaceDE w:val="0"/>
        <w:autoSpaceDN w:val="0"/>
        <w:snapToGrid w:val="0"/>
        <w:spacing w:before="120" w:after="120"/>
        <w:jc w:val="both"/>
        <w:rPr>
          <w:rFonts w:ascii="Times New Roman" w:hAnsi="Times New Roman"/>
          <w:snapToGrid w:val="0"/>
          <w:color w:val="FF0000"/>
          <w:kern w:val="22"/>
          <w:sz w:val="22"/>
          <w:szCs w:val="22"/>
          <w:lang w:val="fr-FR" w:eastAsia="de-DE"/>
        </w:rPr>
      </w:pPr>
      <w:r w:rsidRPr="004B2AE2">
        <w:rPr>
          <w:rFonts w:ascii="Times New Roman" w:hAnsi="Times New Roman"/>
          <w:b/>
          <w:snapToGrid w:val="0"/>
          <w:kern w:val="22"/>
          <w:sz w:val="22"/>
          <w:szCs w:val="22"/>
          <w:lang w:val="fr-FR" w:eastAsia="de-DE"/>
        </w:rPr>
        <w:t>A.1.2.7</w:t>
      </w:r>
      <w:r w:rsidRPr="004B2AE2">
        <w:rPr>
          <w:rFonts w:ascii="Times New Roman" w:hAnsi="Times New Roman"/>
          <w:snapToGrid w:val="0"/>
          <w:kern w:val="22"/>
          <w:sz w:val="22"/>
          <w:szCs w:val="22"/>
          <w:lang w:val="fr-FR" w:eastAsia="de-DE"/>
        </w:rPr>
        <w:t xml:space="preserve"> </w:t>
      </w:r>
      <w:r w:rsidRPr="004B2AE2">
        <w:rPr>
          <w:rFonts w:ascii="Times New Roman" w:hAnsi="Times New Roman"/>
          <w:color w:val="auto"/>
          <w:sz w:val="22"/>
          <w:szCs w:val="22"/>
          <w:lang w:val="fr-FR" w:eastAsia="de-DE"/>
        </w:rPr>
        <w:t>Éla</w:t>
      </w:r>
      <w:r>
        <w:rPr>
          <w:rFonts w:ascii="Times New Roman" w:hAnsi="Times New Roman"/>
          <w:color w:val="auto"/>
          <w:sz w:val="22"/>
          <w:szCs w:val="22"/>
          <w:lang w:val="fr-FR" w:eastAsia="de-DE"/>
        </w:rPr>
        <w:t>borer et mettre en œuvre, selon qu’</w:t>
      </w:r>
      <w:r w:rsidRPr="004B2AE2">
        <w:rPr>
          <w:rFonts w:ascii="Times New Roman" w:hAnsi="Times New Roman"/>
          <w:color w:val="auto"/>
          <w:sz w:val="22"/>
          <w:szCs w:val="22"/>
          <w:lang w:val="fr-FR" w:eastAsia="de-DE"/>
        </w:rPr>
        <w:t xml:space="preserve">il convient, des programmes nationaux de suivi, de surveillance et d’homologation pour les pesticides et </w:t>
      </w:r>
      <w:r>
        <w:rPr>
          <w:rFonts w:ascii="Times New Roman" w:hAnsi="Times New Roman"/>
          <w:color w:val="auto"/>
          <w:sz w:val="22"/>
          <w:szCs w:val="22"/>
          <w:lang w:val="fr-FR" w:eastAsia="de-DE"/>
        </w:rPr>
        <w:t>leurs produits dérivés</w:t>
      </w:r>
      <w:r w:rsidRPr="004B2AE2">
        <w:rPr>
          <w:rFonts w:ascii="Times New Roman" w:hAnsi="Times New Roman"/>
          <w:color w:val="auto"/>
          <w:sz w:val="22"/>
          <w:szCs w:val="22"/>
          <w:lang w:val="fr-FR" w:eastAsia="de-DE"/>
        </w:rPr>
        <w:t>.</w:t>
      </w:r>
    </w:p>
    <w:p w:rsidR="009F6935" w:rsidRPr="004B2AE2" w:rsidRDefault="009F6935" w:rsidP="009F6935">
      <w:pPr>
        <w:suppressLineNumbers/>
        <w:suppressAutoHyphens/>
        <w:kinsoku w:val="0"/>
        <w:overflowPunct w:val="0"/>
        <w:autoSpaceDE w:val="0"/>
        <w:autoSpaceDN w:val="0"/>
        <w:adjustRightInd w:val="0"/>
        <w:spacing w:before="240" w:after="120"/>
        <w:rPr>
          <w:snapToGrid w:val="0"/>
          <w:kern w:val="22"/>
          <w:szCs w:val="22"/>
          <w:lang w:val="fr-FR"/>
        </w:rPr>
      </w:pPr>
      <w:r w:rsidRPr="004B2AE2">
        <w:rPr>
          <w:b/>
          <w:snapToGrid w:val="0"/>
          <w:kern w:val="22"/>
          <w:lang w:val="fr-FR"/>
        </w:rPr>
        <w:t>A1.3 Protéger et promouvoir les connaissances autochtones et traditionnelles</w:t>
      </w:r>
    </w:p>
    <w:p w:rsidR="009F6935" w:rsidRPr="004B2AE2" w:rsidRDefault="009F6935" w:rsidP="009F6935">
      <w:pPr>
        <w:suppressLineNumbers/>
        <w:suppressAutoHyphens/>
        <w:kinsoku w:val="0"/>
        <w:overflowPunct w:val="0"/>
        <w:autoSpaceDE w:val="0"/>
        <w:autoSpaceDN w:val="0"/>
        <w:spacing w:before="120" w:after="120"/>
        <w:rPr>
          <w:snapToGrid w:val="0"/>
          <w:kern w:val="22"/>
          <w:szCs w:val="22"/>
          <w:lang w:val="fr-FR"/>
        </w:rPr>
      </w:pPr>
      <w:r w:rsidRPr="004B2AE2">
        <w:rPr>
          <w:b/>
          <w:snapToGrid w:val="0"/>
          <w:kern w:val="22"/>
          <w:lang w:val="fr-FR"/>
        </w:rPr>
        <w:t xml:space="preserve">A.1.3.1 </w:t>
      </w:r>
      <w:r w:rsidRPr="004B2AE2">
        <w:rPr>
          <w:snapToGrid w:val="0"/>
          <w:kern w:val="22"/>
          <w:lang w:val="fr-FR"/>
        </w:rPr>
        <w:t xml:space="preserve">Protéger et promouvoir les connaissances, innovations et pratiques autochtones et traditionnelles relatives aux pollinisateurs et à la pollinisation (p. ex. la conception des ruches, l’intendance des ressources de pollinisateurs, les façons traditionnelles de comprendre les effets des parasites) et soutenir des approches participatives </w:t>
      </w:r>
      <w:r>
        <w:rPr>
          <w:snapToGrid w:val="0"/>
          <w:kern w:val="22"/>
          <w:lang w:val="fr-FR"/>
        </w:rPr>
        <w:t>en matière d</w:t>
      </w:r>
      <w:r w:rsidRPr="004B2AE2">
        <w:rPr>
          <w:snapToGrid w:val="0"/>
          <w:kern w:val="22"/>
          <w:lang w:val="fr-FR"/>
        </w:rPr>
        <w:t>’identification des caractéristiques diagnostiques pour les nouvelles espèces et la surveillance;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 xml:space="preserve">A.1.3.2 </w:t>
      </w:r>
      <w:r w:rsidRPr="004B2AE2">
        <w:rPr>
          <w:snapToGrid w:val="0"/>
          <w:kern w:val="22"/>
          <w:lang w:val="fr-FR"/>
        </w:rPr>
        <w:t xml:space="preserve">Protéger les droits et </w:t>
      </w:r>
      <w:r>
        <w:rPr>
          <w:snapToGrid w:val="0"/>
          <w:kern w:val="22"/>
          <w:lang w:val="fr-FR"/>
        </w:rPr>
        <w:t>les régimes fonciers en place</w:t>
      </w:r>
      <w:r w:rsidRPr="004B2AE2">
        <w:rPr>
          <w:snapToGrid w:val="0"/>
          <w:kern w:val="22"/>
          <w:lang w:val="fr-FR"/>
        </w:rPr>
        <w:t xml:space="preserve"> pour la conservation et l’utilisation durable des pollinisateurs.</w:t>
      </w:r>
    </w:p>
    <w:p w:rsidR="009F6935" w:rsidRPr="004B2AE2" w:rsidRDefault="009F6935" w:rsidP="009F6935">
      <w:pPr>
        <w:keepNext/>
        <w:suppressLineNumbers/>
        <w:suppressAutoHyphens/>
        <w:kinsoku w:val="0"/>
        <w:overflowPunct w:val="0"/>
        <w:autoSpaceDE w:val="0"/>
        <w:autoSpaceDN w:val="0"/>
        <w:adjustRightInd w:val="0"/>
        <w:spacing w:before="240" w:after="120"/>
        <w:rPr>
          <w:b/>
          <w:snapToGrid w:val="0"/>
          <w:kern w:val="22"/>
          <w:lang w:val="fr-FR"/>
        </w:rPr>
      </w:pPr>
      <w:r w:rsidRPr="004B2AE2">
        <w:rPr>
          <w:b/>
          <w:snapToGrid w:val="0"/>
          <w:kern w:val="22"/>
          <w:lang w:val="fr-FR"/>
        </w:rPr>
        <w:t>A1.4 Contrôler le commerce et le</w:t>
      </w:r>
      <w:r>
        <w:rPr>
          <w:b/>
          <w:snapToGrid w:val="0"/>
          <w:kern w:val="22"/>
          <w:lang w:val="fr-FR"/>
        </w:rPr>
        <w:t>s</w:t>
      </w:r>
      <w:r w:rsidRPr="004B2AE2">
        <w:rPr>
          <w:b/>
          <w:snapToGrid w:val="0"/>
          <w:kern w:val="22"/>
          <w:lang w:val="fr-FR"/>
        </w:rPr>
        <w:t xml:space="preserve"> mouvement</w:t>
      </w:r>
      <w:r>
        <w:rPr>
          <w:b/>
          <w:snapToGrid w:val="0"/>
          <w:kern w:val="22"/>
          <w:lang w:val="fr-FR"/>
        </w:rPr>
        <w:t>s</w:t>
      </w:r>
      <w:r w:rsidRPr="004B2AE2">
        <w:rPr>
          <w:b/>
          <w:snapToGrid w:val="0"/>
          <w:kern w:val="22"/>
          <w:lang w:val="fr-FR"/>
        </w:rPr>
        <w:t xml:space="preserve"> des pollinisateurs domestiques et d’autres effets liés au commerce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A.1.4.1 </w:t>
      </w:r>
      <w:r w:rsidRPr="004B2AE2">
        <w:rPr>
          <w:snapToGrid w:val="0"/>
          <w:kern w:val="22"/>
          <w:lang w:val="fr-FR"/>
        </w:rPr>
        <w:t>Surveiller le commerce et le</w:t>
      </w:r>
      <w:r>
        <w:rPr>
          <w:snapToGrid w:val="0"/>
          <w:kern w:val="22"/>
          <w:lang w:val="fr-FR"/>
        </w:rPr>
        <w:t>s</w:t>
      </w:r>
      <w:r w:rsidRPr="004B2AE2">
        <w:rPr>
          <w:snapToGrid w:val="0"/>
          <w:kern w:val="22"/>
          <w:lang w:val="fr-FR"/>
        </w:rPr>
        <w:t xml:space="preserve"> mouvement</w:t>
      </w:r>
      <w:r>
        <w:rPr>
          <w:snapToGrid w:val="0"/>
          <w:kern w:val="22"/>
          <w:lang w:val="fr-FR"/>
        </w:rPr>
        <w:t>s</w:t>
      </w:r>
      <w:r w:rsidRPr="004B2AE2">
        <w:rPr>
          <w:snapToGrid w:val="0"/>
          <w:kern w:val="22"/>
          <w:lang w:val="fr-FR"/>
        </w:rPr>
        <w:t xml:space="preserve"> des espèces, sous-espèces et races de pollinisateurs domestiques entre les pays et à l’intérieur des pays;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A.1.4.2 </w:t>
      </w:r>
      <w:r w:rsidRPr="004B2AE2">
        <w:rPr>
          <w:snapToGrid w:val="0"/>
          <w:kern w:val="22"/>
          <w:lang w:val="fr-FR"/>
        </w:rPr>
        <w:t>Élaborer et appuyer des mécanismes propres à limiter la propagation de parasites et d’agents pathogènes aux populations de pollinisateurs domestiques et sauvages;</w:t>
      </w:r>
    </w:p>
    <w:p w:rsidR="009F6935" w:rsidRPr="004B2AE2" w:rsidRDefault="009F6935" w:rsidP="009F6935">
      <w:pPr>
        <w:suppressLineNumbers/>
        <w:suppressAutoHyphens/>
        <w:kinsoku w:val="0"/>
        <w:overflowPunct w:val="0"/>
        <w:autoSpaceDE w:val="0"/>
        <w:autoSpaceDN w:val="0"/>
        <w:adjustRightInd w:val="0"/>
        <w:spacing w:before="120" w:after="240"/>
        <w:rPr>
          <w:snapToGrid w:val="0"/>
          <w:kern w:val="22"/>
          <w:lang w:val="fr-FR"/>
        </w:rPr>
      </w:pPr>
      <w:r w:rsidRPr="004B2AE2">
        <w:rPr>
          <w:b/>
          <w:snapToGrid w:val="0"/>
          <w:kern w:val="22"/>
          <w:lang w:val="fr-FR"/>
        </w:rPr>
        <w:t xml:space="preserve">A.1.4.3 </w:t>
      </w:r>
      <w:r>
        <w:rPr>
          <w:snapToGrid w:val="0"/>
          <w:kern w:val="22"/>
          <w:lang w:val="fr-FR"/>
        </w:rPr>
        <w:t xml:space="preserve">Prévenir et réduire à un </w:t>
      </w:r>
      <w:r w:rsidRPr="004B2AE2">
        <w:rPr>
          <w:snapToGrid w:val="0"/>
          <w:kern w:val="22"/>
          <w:lang w:val="fr-FR"/>
        </w:rPr>
        <w:t>minimum le risque d’introduction d’espèces exotiques envahissantes (plantes, pollinisateurs, prédateurs, ravageurs et agents pathogènes) qui présen</w:t>
      </w:r>
      <w:r>
        <w:rPr>
          <w:snapToGrid w:val="0"/>
          <w:kern w:val="22"/>
          <w:lang w:val="fr-FR"/>
        </w:rPr>
        <w:t>tent un risque inacceptable pour les pollinisateurs et les</w:t>
      </w:r>
      <w:r w:rsidRPr="004B2AE2">
        <w:rPr>
          <w:snapToGrid w:val="0"/>
          <w:kern w:val="22"/>
          <w:lang w:val="fr-FR"/>
        </w:rPr>
        <w:t xml:space="preserve"> ressources végétales dont ils dépendent, et surveiller les</w:t>
      </w:r>
      <w:r>
        <w:rPr>
          <w:snapToGrid w:val="0"/>
          <w:kern w:val="22"/>
          <w:lang w:val="fr-FR"/>
        </w:rPr>
        <w:t xml:space="preserve"> risques de dispersion des espèces exotiques envahissantes</w:t>
      </w:r>
      <w:r w:rsidRPr="004B2AE2">
        <w:rPr>
          <w:snapToGrid w:val="0"/>
          <w:kern w:val="22"/>
          <w:lang w:val="fr-FR"/>
        </w:rPr>
        <w:t xml:space="preserve"> déjà introduites (par exemple</w:t>
      </w:r>
      <w:r w:rsidRPr="004B2AE2">
        <w:rPr>
          <w:i/>
          <w:snapToGrid w:val="0"/>
          <w:kern w:val="22"/>
          <w:lang w:val="fr-FR"/>
        </w:rPr>
        <w:t xml:space="preserve"> Bombus terrestris</w:t>
      </w:r>
      <w:r w:rsidRPr="004B2AE2">
        <w:rPr>
          <w:snapToGrid w:val="0"/>
          <w:kern w:val="22"/>
          <w:lang w:val="fr-FR"/>
        </w:rPr>
        <w:t>).</w:t>
      </w:r>
    </w:p>
    <w:p w:rsidR="009F6935" w:rsidRPr="004B2AE2" w:rsidRDefault="009F6935" w:rsidP="009F6935">
      <w:pPr>
        <w:keepNext/>
        <w:suppressLineNumbers/>
        <w:suppressAutoHyphens/>
        <w:kinsoku w:val="0"/>
        <w:overflowPunct w:val="0"/>
        <w:autoSpaceDE w:val="0"/>
        <w:autoSpaceDN w:val="0"/>
        <w:adjustRightInd w:val="0"/>
        <w:spacing w:before="120" w:after="60"/>
        <w:jc w:val="center"/>
        <w:rPr>
          <w:b/>
          <w:snapToGrid w:val="0"/>
          <w:kern w:val="22"/>
          <w:lang w:val="fr-FR"/>
        </w:rPr>
      </w:pPr>
      <w:r w:rsidRPr="004B2AE2">
        <w:rPr>
          <w:b/>
          <w:snapToGrid w:val="0"/>
          <w:lang w:val="fr-FR"/>
        </w:rPr>
        <w:lastRenderedPageBreak/>
        <w:t xml:space="preserve">Élément 2 : </w:t>
      </w:r>
      <w:r>
        <w:rPr>
          <w:b/>
          <w:snapToGrid w:val="0"/>
          <w:lang w:val="fr-FR"/>
        </w:rPr>
        <w:t>mise en œuvre</w:t>
      </w:r>
      <w:r w:rsidRPr="004B2AE2">
        <w:rPr>
          <w:b/>
          <w:snapToGrid w:val="0"/>
          <w:lang w:val="fr-FR"/>
        </w:rPr>
        <w:t xml:space="preserve"> sur le terrain</w:t>
      </w:r>
    </w:p>
    <w:p w:rsidR="009F6935" w:rsidRPr="004B2AE2" w:rsidRDefault="009F6935" w:rsidP="009F6935">
      <w:pPr>
        <w:keepNext/>
        <w:suppressLineNumbers/>
        <w:suppressAutoHyphens/>
        <w:kinsoku w:val="0"/>
        <w:overflowPunct w:val="0"/>
        <w:autoSpaceDE w:val="0"/>
        <w:autoSpaceDN w:val="0"/>
        <w:adjustRightInd w:val="0"/>
        <w:spacing w:before="120" w:after="120"/>
        <w:rPr>
          <w:i/>
          <w:snapToGrid w:val="0"/>
          <w:kern w:val="22"/>
          <w:lang w:val="fr-FR"/>
        </w:rPr>
      </w:pPr>
      <w:r w:rsidRPr="004B2AE2">
        <w:rPr>
          <w:i/>
          <w:snapToGrid w:val="0"/>
          <w:lang w:val="fr-FR"/>
        </w:rPr>
        <w:t>Objectif opérationnel</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Pr>
          <w:lang w:val="fr-FR"/>
        </w:rPr>
        <w:t>Renforcer et appliquer</w:t>
      </w:r>
      <w:r w:rsidRPr="004B2AE2">
        <w:rPr>
          <w:lang w:val="fr-FR"/>
        </w:rPr>
        <w:t xml:space="preserve"> des pratiques de gestion qui maintiennent des communautés de pollinisateurs saines et permettent aux agriculteurs, apiculteurs, forestiers, gestionnaires des terres et communautés urbain</w:t>
      </w:r>
      <w:r>
        <w:rPr>
          <w:lang w:val="fr-FR"/>
        </w:rPr>
        <w:t>es d’exploiter les avantages procurés par les</w:t>
      </w:r>
      <w:r w:rsidRPr="004B2AE2">
        <w:rPr>
          <w:lang w:val="fr-FR"/>
        </w:rPr>
        <w:t xml:space="preserve"> services de pollinisation pour leur productivité et leurs moyens de subsistance.</w:t>
      </w:r>
    </w:p>
    <w:p w:rsidR="009F6935" w:rsidRPr="004B2AE2" w:rsidRDefault="009F6935" w:rsidP="009F6935">
      <w:pPr>
        <w:suppressLineNumbers/>
        <w:suppressAutoHyphens/>
        <w:kinsoku w:val="0"/>
        <w:overflowPunct w:val="0"/>
        <w:autoSpaceDE w:val="0"/>
        <w:autoSpaceDN w:val="0"/>
        <w:adjustRightInd w:val="0"/>
        <w:spacing w:before="120" w:after="120"/>
        <w:rPr>
          <w:i/>
          <w:snapToGrid w:val="0"/>
          <w:kern w:val="22"/>
          <w:lang w:val="fr-FR"/>
        </w:rPr>
      </w:pPr>
      <w:r w:rsidRPr="004B2AE2">
        <w:rPr>
          <w:i/>
          <w:snapToGrid w:val="0"/>
          <w:lang w:val="fr-FR"/>
        </w:rPr>
        <w:t>Justification</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lang w:val="fr-FR"/>
        </w:rPr>
        <w:t>Afin d’assurer des habitats favorables aux pollinisateurs et</w:t>
      </w:r>
      <w:r>
        <w:rPr>
          <w:lang w:val="fr-FR"/>
        </w:rPr>
        <w:t xml:space="preserve"> de</w:t>
      </w:r>
      <w:r w:rsidRPr="004B2AE2">
        <w:rPr>
          <w:lang w:val="fr-FR"/>
        </w:rPr>
        <w:t xml:space="preserve"> favoriser des écosystèmes agricoles et un élevage de </w:t>
      </w:r>
      <w:r>
        <w:rPr>
          <w:lang w:val="fr-FR"/>
        </w:rPr>
        <w:t>pollinisateurs durables, les fact</w:t>
      </w:r>
      <w:r w:rsidRPr="004B2AE2">
        <w:rPr>
          <w:lang w:val="fr-FR"/>
        </w:rPr>
        <w:t>eurs directs et indirects du déclin de ceux-ci do</w:t>
      </w:r>
      <w:r>
        <w:rPr>
          <w:lang w:val="fr-FR"/>
        </w:rPr>
        <w:t>ivent être gér</w:t>
      </w:r>
      <w:r w:rsidRPr="004B2AE2">
        <w:rPr>
          <w:lang w:val="fr-FR"/>
        </w:rPr>
        <w:t>és sur le terrain</w:t>
      </w:r>
      <w:r>
        <w:rPr>
          <w:lang w:val="fr-FR"/>
        </w:rPr>
        <w:t>,</w:t>
      </w:r>
      <w:r w:rsidRPr="004B2AE2">
        <w:rPr>
          <w:lang w:val="fr-FR"/>
        </w:rPr>
        <w:t xml:space="preserve"> et une attention particulière </w:t>
      </w:r>
      <w:r>
        <w:rPr>
          <w:lang w:val="fr-FR"/>
        </w:rPr>
        <w:t>doit être accordée au niveau des exploitations et à</w:t>
      </w:r>
      <w:r w:rsidRPr="004B2AE2">
        <w:rPr>
          <w:lang w:val="fr-FR"/>
        </w:rPr>
        <w:t xml:space="preserve"> des écosystèmes entiers. Les me</w:t>
      </w:r>
      <w:r>
        <w:rPr>
          <w:lang w:val="fr-FR"/>
        </w:rPr>
        <w:t>sures prises au niveau du paysage abord</w:t>
      </w:r>
      <w:r w:rsidRPr="004B2AE2">
        <w:rPr>
          <w:lang w:val="fr-FR"/>
        </w:rPr>
        <w:t>ent la connectivité et la valeur de la gestion dans tous les paysages et tous les secteurs. Les mesures de gestion améliorée des pollinisateurs comprennent l’apiculture pour les abeilles et d’autres pollinisateurs.</w:t>
      </w:r>
    </w:p>
    <w:p w:rsidR="009F6935" w:rsidRPr="004B2AE2" w:rsidRDefault="009F6935" w:rsidP="009F6935">
      <w:pPr>
        <w:suppressLineNumbers/>
        <w:suppressAutoHyphens/>
        <w:kinsoku w:val="0"/>
        <w:overflowPunct w:val="0"/>
        <w:autoSpaceDE w:val="0"/>
        <w:autoSpaceDN w:val="0"/>
        <w:spacing w:before="60" w:after="60"/>
        <w:rPr>
          <w:i/>
          <w:snapToGrid w:val="0"/>
          <w:kern w:val="22"/>
          <w:lang w:val="fr-FR"/>
        </w:rPr>
      </w:pPr>
      <w:r w:rsidRPr="004B2AE2">
        <w:rPr>
          <w:i/>
          <w:snapToGrid w:val="0"/>
          <w:lang w:val="fr-FR"/>
        </w:rPr>
        <w:t>Activités</w:t>
      </w:r>
    </w:p>
    <w:p w:rsidR="009F6935" w:rsidRPr="004B2AE2" w:rsidRDefault="009F6935" w:rsidP="009F6935">
      <w:pPr>
        <w:suppressLineNumbers/>
        <w:suppressAutoHyphens/>
        <w:kinsoku w:val="0"/>
        <w:overflowPunct w:val="0"/>
        <w:autoSpaceDE w:val="0"/>
        <w:autoSpaceDN w:val="0"/>
        <w:spacing w:before="120" w:after="60"/>
        <w:rPr>
          <w:b/>
          <w:snapToGrid w:val="0"/>
          <w:kern w:val="22"/>
          <w:lang w:val="fr-FR"/>
        </w:rPr>
      </w:pPr>
      <w:r w:rsidRPr="004B2AE2">
        <w:rPr>
          <w:b/>
          <w:snapToGrid w:val="0"/>
          <w:kern w:val="22"/>
          <w:lang w:val="fr-FR"/>
        </w:rPr>
        <w:t>A2.1 Concevoir (en collaboration avec les agriculteurs, apiculteurs urbains et ruraux, gestionnaires des terres, peuples autochtones et communautés locales) et mettre en œuvre des pratiques favorables aux pollinisateurs dans les exploitations et les pâturages et dans les zones urbaines.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A.2.1.1 </w:t>
      </w:r>
      <w:r w:rsidRPr="004B2AE2">
        <w:rPr>
          <w:snapToGrid w:val="0"/>
          <w:kern w:val="22"/>
          <w:lang w:val="fr-FR"/>
        </w:rPr>
        <w:t>Créer des parcelles de végétation non cultivées et accroître la diversité floristique en utilisant principalement des espèces indigènes, comme il convient, et des périodes de floraison prolongées afin d’assurer la diversité, l’abondance et la continuité des ressources floristiques pour les pollinisateurs;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A.2.1.2 </w:t>
      </w:r>
      <w:r w:rsidRPr="004B2AE2">
        <w:rPr>
          <w:snapToGrid w:val="0"/>
          <w:kern w:val="22"/>
          <w:lang w:val="fr-FR"/>
        </w:rPr>
        <w:t>Gérer la floraison de cultures à fleurs prolifiques au profit des pollinisateurs;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A.2.1.3 </w:t>
      </w:r>
      <w:r w:rsidRPr="004B2AE2">
        <w:rPr>
          <w:snapToGrid w:val="0"/>
          <w:kern w:val="22"/>
          <w:lang w:val="fr-FR"/>
        </w:rPr>
        <w:t>Encourager les réseaux d’échange de semences indigènes;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A.2.1.4 </w:t>
      </w:r>
      <w:r w:rsidRPr="004B2AE2">
        <w:rPr>
          <w:snapToGrid w:val="0"/>
          <w:kern w:val="22"/>
          <w:lang w:val="fr-FR"/>
        </w:rPr>
        <w:t>Promouvoir la diversité génétique et sa conservation dans les populations de pollinisateurs domestiques;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A.2.1.5 </w:t>
      </w:r>
      <w:r w:rsidRPr="004B2AE2">
        <w:rPr>
          <w:snapToGrid w:val="0"/>
          <w:kern w:val="22"/>
          <w:lang w:val="fr-FR"/>
        </w:rPr>
        <w:t>Favoriser les services de rayonnement, les échanges entr</w:t>
      </w:r>
      <w:r>
        <w:rPr>
          <w:snapToGrid w:val="0"/>
          <w:kern w:val="22"/>
          <w:lang w:val="fr-FR"/>
        </w:rPr>
        <w:t>e agriculteurs et les écoles d’agriculture de terrain pour partager d</w:t>
      </w:r>
      <w:r w:rsidRPr="004B2AE2">
        <w:rPr>
          <w:snapToGrid w:val="0"/>
          <w:kern w:val="22"/>
          <w:lang w:val="fr-FR"/>
        </w:rPr>
        <w:t>es connaissances et</w:t>
      </w:r>
      <w:r>
        <w:rPr>
          <w:snapToGrid w:val="0"/>
          <w:kern w:val="22"/>
          <w:lang w:val="fr-FR"/>
        </w:rPr>
        <w:t xml:space="preserve"> offrir un enseignement concret et une responsabilisation</w:t>
      </w:r>
      <w:r w:rsidRPr="004B2AE2">
        <w:rPr>
          <w:snapToGrid w:val="0"/>
          <w:kern w:val="22"/>
          <w:lang w:val="fr-FR"/>
        </w:rPr>
        <w:t xml:space="preserve"> </w:t>
      </w:r>
      <w:r>
        <w:rPr>
          <w:snapToGrid w:val="0"/>
          <w:kern w:val="22"/>
          <w:lang w:val="fr-FR"/>
        </w:rPr>
        <w:t xml:space="preserve">des </w:t>
      </w:r>
      <w:r w:rsidRPr="004B2AE2">
        <w:rPr>
          <w:snapToGrid w:val="0"/>
          <w:kern w:val="22"/>
          <w:lang w:val="fr-FR"/>
        </w:rPr>
        <w:t>communautés agricoles locales;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A.2.1.6 </w:t>
      </w:r>
      <w:r w:rsidRPr="004B2AE2">
        <w:rPr>
          <w:snapToGrid w:val="0"/>
          <w:kern w:val="22"/>
          <w:lang w:val="fr-FR"/>
        </w:rPr>
        <w:t xml:space="preserve">Diversifier les systèmes agricoles ainsi que les ressources alimentaires et les </w:t>
      </w:r>
      <w:r>
        <w:rPr>
          <w:snapToGrid w:val="0"/>
          <w:kern w:val="22"/>
          <w:lang w:val="fr-FR"/>
        </w:rPr>
        <w:t>habitats des pollinisateurs au moyen de</w:t>
      </w:r>
      <w:r w:rsidRPr="004B2AE2">
        <w:rPr>
          <w:snapToGrid w:val="0"/>
          <w:kern w:val="22"/>
          <w:lang w:val="fr-FR"/>
        </w:rPr>
        <w:t xml:space="preserve"> jardins familiaux et </w:t>
      </w:r>
      <w:r>
        <w:rPr>
          <w:snapToGrid w:val="0"/>
          <w:kern w:val="22"/>
          <w:lang w:val="fr-FR"/>
        </w:rPr>
        <w:t xml:space="preserve">par </w:t>
      </w:r>
      <w:r w:rsidRPr="004B2AE2">
        <w:rPr>
          <w:snapToGrid w:val="0"/>
          <w:kern w:val="22"/>
          <w:lang w:val="fr-FR"/>
        </w:rPr>
        <w:t>des approches agroécologiques telles que la rotation des cultures, les cultures intercalaires, l’agroforesterie, la lutte intégrée contre les ravag</w:t>
      </w:r>
      <w:r>
        <w:rPr>
          <w:snapToGrid w:val="0"/>
          <w:kern w:val="22"/>
          <w:lang w:val="fr-FR"/>
        </w:rPr>
        <w:t xml:space="preserve">eurs, l’agriculture biologique </w:t>
      </w:r>
      <w:r w:rsidRPr="004B2AE2">
        <w:rPr>
          <w:snapToGrid w:val="0"/>
          <w:kern w:val="22"/>
          <w:lang w:val="fr-FR"/>
        </w:rPr>
        <w:t>et l’intensification écologique;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A.2.1.7 </w:t>
      </w:r>
      <w:r w:rsidRPr="004B2AE2">
        <w:rPr>
          <w:snapToGrid w:val="0"/>
          <w:kern w:val="22"/>
          <w:lang w:val="fr-FR"/>
        </w:rPr>
        <w:t>Promouvoir la sensibilisation, la formation et l’adoption de bonn</w:t>
      </w:r>
      <w:r>
        <w:rPr>
          <w:snapToGrid w:val="0"/>
          <w:kern w:val="22"/>
          <w:lang w:val="fr-FR"/>
        </w:rPr>
        <w:t>es pratiques de lutte intégrée contre l</w:t>
      </w:r>
      <w:r w:rsidRPr="004B2AE2">
        <w:rPr>
          <w:snapToGrid w:val="0"/>
          <w:kern w:val="22"/>
          <w:lang w:val="fr-FR"/>
        </w:rPr>
        <w:t>es ravageurs (par exemple stratégies de gestion des mauvaises herbes et lutte biologique), et, si nécessaire, d’empl</w:t>
      </w:r>
      <w:r>
        <w:rPr>
          <w:snapToGrid w:val="0"/>
          <w:kern w:val="22"/>
          <w:lang w:val="fr-FR"/>
        </w:rPr>
        <w:t>oi de pesticides dans le cadr</w:t>
      </w:r>
      <w:r w:rsidRPr="004B2AE2">
        <w:rPr>
          <w:snapToGrid w:val="0"/>
          <w:kern w:val="22"/>
          <w:lang w:val="fr-FR"/>
        </w:rPr>
        <w:t>e de la g</w:t>
      </w:r>
      <w:r>
        <w:rPr>
          <w:snapToGrid w:val="0"/>
          <w:kern w:val="22"/>
          <w:lang w:val="fr-FR"/>
        </w:rPr>
        <w:t xml:space="preserve">estion des pollinisateurs dans les </w:t>
      </w:r>
      <w:r w:rsidRPr="004B2AE2">
        <w:rPr>
          <w:snapToGrid w:val="0"/>
          <w:kern w:val="22"/>
          <w:lang w:val="fr-FR"/>
        </w:rPr>
        <w:t>exploitation</w:t>
      </w:r>
      <w:r>
        <w:rPr>
          <w:snapToGrid w:val="0"/>
          <w:kern w:val="22"/>
          <w:lang w:val="fr-FR"/>
        </w:rPr>
        <w:t>s agricoles</w:t>
      </w:r>
      <w:r w:rsidRPr="004B2AE2">
        <w:rPr>
          <w:snapToGrid w:val="0"/>
          <w:kern w:val="22"/>
          <w:lang w:val="fr-FR"/>
        </w:rPr>
        <w:t xml:space="preserve"> (par exemple</w:t>
      </w:r>
      <w:r>
        <w:rPr>
          <w:snapToGrid w:val="0"/>
          <w:kern w:val="22"/>
          <w:lang w:val="fr-FR"/>
        </w:rPr>
        <w:t> :</w:t>
      </w:r>
      <w:r w:rsidRPr="004B2AE2">
        <w:rPr>
          <w:snapToGrid w:val="0"/>
          <w:kern w:val="22"/>
          <w:lang w:val="fr-FR"/>
        </w:rPr>
        <w:t xml:space="preserve"> moment d’application de pesticide, conditions </w:t>
      </w:r>
      <w:r>
        <w:rPr>
          <w:snapToGrid w:val="0"/>
          <w:kern w:val="22"/>
          <w:lang w:val="fr-FR"/>
        </w:rPr>
        <w:t xml:space="preserve">météorologiques, </w:t>
      </w:r>
      <w:r w:rsidRPr="004B2AE2">
        <w:rPr>
          <w:snapToGrid w:val="0"/>
          <w:kern w:val="22"/>
          <w:lang w:val="fr-FR"/>
        </w:rPr>
        <w:t>calibration de l’équipement afin de réduire la dérive de pulvérisation vers des zones hors du champ)</w:t>
      </w:r>
      <w:r>
        <w:rPr>
          <w:snapToGrid w:val="0"/>
          <w:kern w:val="22"/>
          <w:lang w:val="fr-FR"/>
        </w:rPr>
        <w:t>,</w:t>
      </w:r>
      <w:r w:rsidRPr="004B2AE2">
        <w:rPr>
          <w:snapToGrid w:val="0"/>
          <w:kern w:val="22"/>
          <w:lang w:val="fr-FR"/>
        </w:rPr>
        <w:t xml:space="preserve"> et éviter ou réduire au minimum tous </w:t>
      </w:r>
      <w:r>
        <w:rPr>
          <w:snapToGrid w:val="0"/>
          <w:kern w:val="22"/>
          <w:lang w:val="fr-FR"/>
        </w:rPr>
        <w:t xml:space="preserve">les </w:t>
      </w:r>
      <w:r w:rsidRPr="004B2AE2">
        <w:rPr>
          <w:snapToGrid w:val="0"/>
          <w:kern w:val="22"/>
          <w:lang w:val="fr-FR"/>
        </w:rPr>
        <w:t>effets synergiques de pesticides avec d’autres facteurs qui se sont avérés gravement ou irréversiblement nocifs pour les pollinisateurs;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A.2.1.8 </w:t>
      </w:r>
      <w:r w:rsidRPr="004B2AE2">
        <w:rPr>
          <w:snapToGrid w:val="0"/>
          <w:kern w:val="22"/>
          <w:lang w:val="fr-FR"/>
        </w:rPr>
        <w:t>Promouvoir les bonnes pratiques d’agriculture résilien</w:t>
      </w:r>
      <w:r>
        <w:rPr>
          <w:snapToGrid w:val="0"/>
          <w:kern w:val="22"/>
          <w:lang w:val="fr-FR"/>
        </w:rPr>
        <w:t>te face au climat et favorables</w:t>
      </w:r>
      <w:r w:rsidRPr="004B2AE2">
        <w:rPr>
          <w:snapToGrid w:val="0"/>
          <w:kern w:val="22"/>
          <w:lang w:val="fr-FR"/>
        </w:rPr>
        <w:t xml:space="preserve"> aux pollinisateurs;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A.2.1.9 </w:t>
      </w:r>
      <w:r>
        <w:rPr>
          <w:snapToGrid w:val="0"/>
          <w:kern w:val="22"/>
          <w:lang w:val="fr-FR"/>
        </w:rPr>
        <w:t>Intégre</w:t>
      </w:r>
      <w:r w:rsidRPr="004B2AE2">
        <w:rPr>
          <w:snapToGrid w:val="0"/>
          <w:kern w:val="22"/>
          <w:lang w:val="fr-FR"/>
        </w:rPr>
        <w:t>r des pratiques respectueuses des pollinisateurs dans les pratiques existantes dans les secteurs pertinents, y compris les programmes de certification pour la production agricole et alimentaire.</w:t>
      </w:r>
    </w:p>
    <w:p w:rsidR="009F6935" w:rsidRPr="004B2AE2" w:rsidRDefault="009F6935" w:rsidP="009F6935">
      <w:pPr>
        <w:suppressLineNumbers/>
        <w:suppressAutoHyphens/>
        <w:kinsoku w:val="0"/>
        <w:overflowPunct w:val="0"/>
        <w:autoSpaceDE w:val="0"/>
        <w:autoSpaceDN w:val="0"/>
        <w:spacing w:before="240" w:after="60"/>
        <w:rPr>
          <w:b/>
          <w:snapToGrid w:val="0"/>
          <w:kern w:val="22"/>
          <w:lang w:val="fr-FR"/>
        </w:rPr>
      </w:pPr>
      <w:r w:rsidRPr="004B2AE2">
        <w:rPr>
          <w:b/>
          <w:snapToGrid w:val="0"/>
          <w:kern w:val="22"/>
          <w:lang w:val="fr-FR"/>
        </w:rPr>
        <w:t>A2.2 Aborder la gestion respectueuse des pollinisateurs et les besoins des pollinisateurs en foresterie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lastRenderedPageBreak/>
        <w:t xml:space="preserve">A.2.2.1 </w:t>
      </w:r>
      <w:r w:rsidRPr="004B2AE2">
        <w:rPr>
          <w:snapToGrid w:val="0"/>
          <w:kern w:val="22"/>
          <w:lang w:val="fr-FR"/>
        </w:rPr>
        <w:t>Éviter ou réduire au minimum les pratiques de gestion forestière qui nuisent à l’environnement et les autres menaces qui ont des effets nuisibles sur les pollinisateurs sauvages et sur l’apiculture traditionnelle;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A.2.2.2 </w:t>
      </w:r>
      <w:r w:rsidRPr="004B2AE2">
        <w:rPr>
          <w:snapToGrid w:val="0"/>
          <w:kern w:val="22"/>
          <w:lang w:val="fr-FR"/>
        </w:rPr>
        <w:t>Prévoi</w:t>
      </w:r>
      <w:r>
        <w:rPr>
          <w:snapToGrid w:val="0"/>
          <w:kern w:val="22"/>
          <w:lang w:val="fr-FR"/>
        </w:rPr>
        <w:t>r et promouvoir des mesures permettant de</w:t>
      </w:r>
      <w:r w:rsidRPr="004B2AE2">
        <w:rPr>
          <w:snapToGrid w:val="0"/>
          <w:kern w:val="22"/>
          <w:lang w:val="fr-FR"/>
        </w:rPr>
        <w:t xml:space="preserve"> capturer, sauvegarder et transporter les ruches t</w:t>
      </w:r>
      <w:r>
        <w:rPr>
          <w:snapToGrid w:val="0"/>
          <w:kern w:val="22"/>
          <w:lang w:val="fr-FR"/>
        </w:rPr>
        <w:t>rouvées à l’intérieur des souches</w:t>
      </w:r>
      <w:r w:rsidRPr="004B2AE2">
        <w:rPr>
          <w:snapToGrid w:val="0"/>
          <w:kern w:val="22"/>
          <w:lang w:val="fr-FR"/>
        </w:rPr>
        <w:t>;</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A.2.2.3 </w:t>
      </w:r>
      <w:r w:rsidRPr="004B2AE2">
        <w:rPr>
          <w:snapToGrid w:val="0"/>
          <w:kern w:val="22"/>
          <w:lang w:val="fr-FR"/>
        </w:rPr>
        <w:t>Promouv</w:t>
      </w:r>
      <w:r>
        <w:rPr>
          <w:snapToGrid w:val="0"/>
          <w:kern w:val="22"/>
          <w:lang w:val="fr-FR"/>
        </w:rPr>
        <w:t>oir les systèmes agroforestiers</w:t>
      </w:r>
      <w:r w:rsidRPr="004B2AE2">
        <w:rPr>
          <w:snapToGrid w:val="0"/>
          <w:kern w:val="22"/>
          <w:lang w:val="fr-FR"/>
        </w:rPr>
        <w:t xml:space="preserve"> afin d’assurer des hab</w:t>
      </w:r>
      <w:r>
        <w:rPr>
          <w:snapToGrid w:val="0"/>
          <w:kern w:val="22"/>
          <w:lang w:val="fr-FR"/>
        </w:rPr>
        <w:t>itats hétérogènes constitués d’espèces indigènes,</w:t>
      </w:r>
      <w:r w:rsidRPr="004B2AE2">
        <w:rPr>
          <w:snapToGrid w:val="0"/>
          <w:kern w:val="22"/>
          <w:lang w:val="fr-FR"/>
        </w:rPr>
        <w:t xml:space="preserve"> qui offrent une diversité de ressources floristiques et de nidification pour les pollinisateurs;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A.2.2.4 </w:t>
      </w:r>
      <w:r>
        <w:rPr>
          <w:snapToGrid w:val="0"/>
          <w:kern w:val="22"/>
          <w:lang w:val="fr-FR"/>
        </w:rPr>
        <w:t>Intégrer</w:t>
      </w:r>
      <w:r w:rsidRPr="004B2AE2">
        <w:rPr>
          <w:snapToGrid w:val="0"/>
          <w:kern w:val="22"/>
          <w:lang w:val="fr-FR"/>
        </w:rPr>
        <w:t xml:space="preserve"> les considérations relatives aux pollinisateurs dans les règles des systèmes de certification de gestion forestière durable.</w:t>
      </w:r>
    </w:p>
    <w:p w:rsidR="009F6935" w:rsidRPr="004B2AE2" w:rsidRDefault="009F6935" w:rsidP="009F6935">
      <w:pPr>
        <w:keepNext/>
        <w:suppressLineNumbers/>
        <w:suppressAutoHyphens/>
        <w:kinsoku w:val="0"/>
        <w:overflowPunct w:val="0"/>
        <w:autoSpaceDE w:val="0"/>
        <w:autoSpaceDN w:val="0"/>
        <w:spacing w:before="240" w:after="60"/>
        <w:rPr>
          <w:b/>
          <w:snapToGrid w:val="0"/>
          <w:kern w:val="22"/>
          <w:lang w:val="fr-FR"/>
        </w:rPr>
      </w:pPr>
      <w:r w:rsidRPr="004B2AE2">
        <w:rPr>
          <w:b/>
          <w:snapToGrid w:val="0"/>
          <w:kern w:val="22"/>
          <w:lang w:val="fr-FR"/>
        </w:rPr>
        <w:t>A2.3 Favoriser la connectivité, la conservation, la gestion et la restauration des habitats des pollinisateurs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A.2.3.1 </w:t>
      </w:r>
      <w:r>
        <w:rPr>
          <w:snapToGrid w:val="0"/>
          <w:kern w:val="22"/>
          <w:lang w:val="fr-FR"/>
        </w:rPr>
        <w:t>Préserv</w:t>
      </w:r>
      <w:r w:rsidRPr="004B2AE2">
        <w:rPr>
          <w:snapToGrid w:val="0"/>
          <w:kern w:val="22"/>
          <w:lang w:val="fr-FR"/>
        </w:rPr>
        <w:t xml:space="preserve">er ou restaurer les pollinisateurs et les habitats répartis </w:t>
      </w:r>
      <w:r>
        <w:rPr>
          <w:snapToGrid w:val="0"/>
          <w:kern w:val="22"/>
          <w:lang w:val="fr-FR"/>
        </w:rPr>
        <w:t xml:space="preserve">dans des zones naturelles, y compris </w:t>
      </w:r>
      <w:r w:rsidRPr="004B2AE2">
        <w:rPr>
          <w:snapToGrid w:val="0"/>
          <w:kern w:val="22"/>
          <w:lang w:val="fr-FR"/>
        </w:rPr>
        <w:t>les forêts, les prairies, les terres agricoles, les zones urbaines et les corridors naturels</w:t>
      </w:r>
      <w:r>
        <w:rPr>
          <w:snapToGrid w:val="0"/>
          <w:kern w:val="22"/>
          <w:lang w:val="fr-FR"/>
        </w:rPr>
        <w:t>,</w:t>
      </w:r>
      <w:r w:rsidRPr="004B2AE2">
        <w:rPr>
          <w:snapToGrid w:val="0"/>
          <w:kern w:val="22"/>
          <w:lang w:val="fr-FR"/>
        </w:rPr>
        <w:t xml:space="preserve"> afin d’augmenter la disponibilité des ressources floristiques et des sites de nidification dans le temps et l’espace;</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A.2.3.2 </w:t>
      </w:r>
      <w:r w:rsidRPr="004B2AE2">
        <w:rPr>
          <w:snapToGrid w:val="0"/>
          <w:kern w:val="22"/>
          <w:lang w:val="fr-FR"/>
        </w:rPr>
        <w:t>Identifier des domaines et des mesures prioritaires aux niveaux mondial, régional, national et local pour la conservation d’espèces de pollinisateurs rares et menacées;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A.2.3.3 </w:t>
      </w:r>
      <w:r w:rsidRPr="004B2AE2">
        <w:rPr>
          <w:snapToGrid w:val="0"/>
          <w:kern w:val="22"/>
          <w:lang w:val="fr-FR"/>
        </w:rPr>
        <w:t>Encourager la création et la gestion respectueuse des</w:t>
      </w:r>
      <w:r>
        <w:rPr>
          <w:snapToGrid w:val="0"/>
          <w:kern w:val="22"/>
          <w:lang w:val="fr-FR"/>
        </w:rPr>
        <w:t xml:space="preserve"> pollinisateurs dans les </w:t>
      </w:r>
      <w:r w:rsidRPr="004B2AE2">
        <w:rPr>
          <w:snapToGrid w:val="0"/>
          <w:kern w:val="22"/>
          <w:lang w:val="fr-FR"/>
        </w:rPr>
        <w:t xml:space="preserve">zones </w:t>
      </w:r>
      <w:r>
        <w:rPr>
          <w:snapToGrid w:val="0"/>
          <w:kern w:val="22"/>
          <w:lang w:val="fr-FR"/>
        </w:rPr>
        <w:t>de protection de la nature et les</w:t>
      </w:r>
      <w:r w:rsidRPr="004B2AE2">
        <w:rPr>
          <w:snapToGrid w:val="0"/>
          <w:kern w:val="22"/>
          <w:lang w:val="fr-FR"/>
        </w:rPr>
        <w:t xml:space="preserve"> zones semi-naturelles, ains</w:t>
      </w:r>
      <w:r>
        <w:rPr>
          <w:snapToGrid w:val="0"/>
          <w:kern w:val="22"/>
          <w:lang w:val="fr-FR"/>
        </w:rPr>
        <w:t>i que d’autres options sur le terrain</w:t>
      </w:r>
      <w:r w:rsidRPr="004B2AE2">
        <w:rPr>
          <w:snapToGrid w:val="0"/>
          <w:kern w:val="22"/>
          <w:lang w:val="fr-FR"/>
        </w:rPr>
        <w:t xml:space="preserve">, telles que les Systèmes ingénieux du patrimoine agricole mondial de la FAO; </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A.2.3.4 </w:t>
      </w:r>
      <w:r w:rsidRPr="004B2AE2">
        <w:rPr>
          <w:snapToGrid w:val="0"/>
          <w:kern w:val="22"/>
          <w:lang w:val="fr-FR"/>
        </w:rPr>
        <w:t>Promouvoir des initiatives dans les zones urbaines et les terrains viabilisés le long des routes et des chemins de fer pour créer et préserver des espace verts qui offrent des ressources floristiques et de nidification aux pollinisateurs</w:t>
      </w:r>
      <w:r>
        <w:rPr>
          <w:snapToGrid w:val="0"/>
          <w:kern w:val="22"/>
          <w:lang w:val="fr-FR"/>
        </w:rPr>
        <w:t>, et améliorer la relation entre les</w:t>
      </w:r>
      <w:r w:rsidRPr="004B2AE2">
        <w:rPr>
          <w:snapToGrid w:val="0"/>
          <w:kern w:val="22"/>
          <w:lang w:val="fr-FR"/>
        </w:rPr>
        <w:t xml:space="preserve"> population</w:t>
      </w:r>
      <w:r>
        <w:rPr>
          <w:snapToGrid w:val="0"/>
          <w:kern w:val="22"/>
          <w:lang w:val="fr-FR"/>
        </w:rPr>
        <w:t>s humaines</w:t>
      </w:r>
      <w:r w:rsidRPr="004B2AE2">
        <w:rPr>
          <w:snapToGrid w:val="0"/>
          <w:kern w:val="22"/>
          <w:lang w:val="fr-FR"/>
        </w:rPr>
        <w:t xml:space="preserve"> et les pollinisateurs en sensibilisant le public à l’importance des pollinisateurs pour leur vie quotidienne;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A.2.3.5 </w:t>
      </w:r>
      <w:r>
        <w:rPr>
          <w:snapToGrid w:val="0"/>
          <w:kern w:val="22"/>
          <w:lang w:val="fr-FR"/>
        </w:rPr>
        <w:t>Gérer l’utilisation des feux de forêt</w:t>
      </w:r>
      <w:r w:rsidRPr="004B2AE2">
        <w:rPr>
          <w:snapToGrid w:val="0"/>
          <w:kern w:val="22"/>
          <w:lang w:val="fr-FR"/>
        </w:rPr>
        <w:t xml:space="preserve"> et de</w:t>
      </w:r>
      <w:r>
        <w:rPr>
          <w:snapToGrid w:val="0"/>
          <w:kern w:val="22"/>
          <w:lang w:val="fr-FR"/>
        </w:rPr>
        <w:t>s mesures de contrôle des</w:t>
      </w:r>
      <w:r w:rsidRPr="004B2AE2">
        <w:rPr>
          <w:snapToGrid w:val="0"/>
          <w:kern w:val="22"/>
          <w:lang w:val="fr-FR"/>
        </w:rPr>
        <w:t xml:space="preserve"> feu</w:t>
      </w:r>
      <w:r>
        <w:rPr>
          <w:snapToGrid w:val="0"/>
          <w:kern w:val="22"/>
          <w:lang w:val="fr-FR"/>
        </w:rPr>
        <w:t>x de forêt,</w:t>
      </w:r>
      <w:r w:rsidRPr="004B2AE2">
        <w:rPr>
          <w:snapToGrid w:val="0"/>
          <w:kern w:val="22"/>
          <w:lang w:val="fr-FR"/>
        </w:rPr>
        <w:t xml:space="preserve"> afin de réduire les effets négatifs des incendies sur les pollinisate</w:t>
      </w:r>
      <w:r>
        <w:rPr>
          <w:snapToGrid w:val="0"/>
          <w:kern w:val="22"/>
          <w:lang w:val="fr-FR"/>
        </w:rPr>
        <w:t>urs et les écosystèmes concerné</w:t>
      </w:r>
      <w:r w:rsidRPr="004B2AE2">
        <w:rPr>
          <w:snapToGrid w:val="0"/>
          <w:kern w:val="22"/>
          <w:lang w:val="fr-FR"/>
        </w:rPr>
        <w:t>s.</w:t>
      </w:r>
    </w:p>
    <w:p w:rsidR="009F6935" w:rsidRPr="004B2AE2" w:rsidRDefault="009F6935" w:rsidP="009F6935">
      <w:pPr>
        <w:suppressLineNumbers/>
        <w:suppressAutoHyphens/>
        <w:kinsoku w:val="0"/>
        <w:overflowPunct w:val="0"/>
        <w:autoSpaceDE w:val="0"/>
        <w:autoSpaceDN w:val="0"/>
        <w:adjustRightInd w:val="0"/>
        <w:snapToGrid w:val="0"/>
        <w:spacing w:before="240" w:after="120"/>
        <w:rPr>
          <w:b/>
          <w:snapToGrid w:val="0"/>
          <w:kern w:val="22"/>
          <w:lang w:val="fr-FR"/>
        </w:rPr>
      </w:pPr>
      <w:r w:rsidRPr="004B2AE2">
        <w:rPr>
          <w:b/>
          <w:snapToGrid w:val="0"/>
          <w:kern w:val="22"/>
          <w:lang w:val="fr-FR"/>
        </w:rPr>
        <w:t>A2.4 Promouvoir l’apiculture durable et la santé des abeilles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A.2.4.1 </w:t>
      </w:r>
      <w:r w:rsidRPr="004B2AE2">
        <w:rPr>
          <w:snapToGrid w:val="0"/>
          <w:kern w:val="22"/>
          <w:lang w:val="fr-FR"/>
        </w:rPr>
        <w:t xml:space="preserve">Réduire la dépendance des pollinisateurs domestiques </w:t>
      </w:r>
      <w:r>
        <w:rPr>
          <w:snapToGrid w:val="0"/>
          <w:kern w:val="22"/>
          <w:lang w:val="fr-FR"/>
        </w:rPr>
        <w:t xml:space="preserve">à l’égard </w:t>
      </w:r>
      <w:r w:rsidRPr="004B2AE2">
        <w:rPr>
          <w:snapToGrid w:val="0"/>
          <w:kern w:val="22"/>
          <w:lang w:val="fr-FR"/>
        </w:rPr>
        <w:t>des substituts de nectar et de pollen</w:t>
      </w:r>
      <w:r>
        <w:rPr>
          <w:snapToGrid w:val="0"/>
          <w:kern w:val="22"/>
          <w:lang w:val="fr-FR"/>
        </w:rPr>
        <w:t>,</w:t>
      </w:r>
      <w:r w:rsidRPr="004B2AE2">
        <w:rPr>
          <w:snapToGrid w:val="0"/>
          <w:kern w:val="22"/>
          <w:lang w:val="fr-FR"/>
        </w:rPr>
        <w:t xml:space="preserve"> en encourageant une plus grande disponibilité et un meilleur élevage de ressources floristiques, améliorant ainsi la nutrition des pollin</w:t>
      </w:r>
      <w:r>
        <w:rPr>
          <w:snapToGrid w:val="0"/>
          <w:kern w:val="22"/>
          <w:lang w:val="fr-FR"/>
        </w:rPr>
        <w:t>isateurs et leur immunité face aux ravageurs et aux</w:t>
      </w:r>
      <w:r w:rsidRPr="004B2AE2">
        <w:rPr>
          <w:snapToGrid w:val="0"/>
          <w:kern w:val="22"/>
          <w:lang w:val="fr-FR"/>
        </w:rPr>
        <w:t xml:space="preserve"> maladies</w:t>
      </w:r>
      <w:r>
        <w:rPr>
          <w:snapToGrid w:val="0"/>
          <w:kern w:val="22"/>
          <w:lang w:val="fr-FR"/>
        </w:rPr>
        <w:t>;</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A.2.4.2 </w:t>
      </w:r>
      <w:r w:rsidRPr="004B2AE2">
        <w:rPr>
          <w:snapToGrid w:val="0"/>
          <w:kern w:val="22"/>
          <w:lang w:val="fr-FR"/>
        </w:rPr>
        <w:t>Réduire au minimum les risques d’infection et la propagation d’ag</w:t>
      </w:r>
      <w:r>
        <w:rPr>
          <w:snapToGrid w:val="0"/>
          <w:kern w:val="22"/>
          <w:lang w:val="fr-FR"/>
        </w:rPr>
        <w:t xml:space="preserve">ents pathogènes, de maladies et </w:t>
      </w:r>
      <w:r w:rsidRPr="004B2AE2">
        <w:rPr>
          <w:snapToGrid w:val="0"/>
          <w:kern w:val="22"/>
          <w:lang w:val="fr-FR"/>
        </w:rPr>
        <w:t>d’espèces exotiques envahissantes, et minimiser le stress pour les pollinisateurs domestiques associé au transport des ruches;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A.2.4.3 </w:t>
      </w:r>
      <w:r>
        <w:rPr>
          <w:snapToGrid w:val="0"/>
          <w:kern w:val="22"/>
          <w:lang w:val="fr-FR"/>
        </w:rPr>
        <w:t>Réglementer les marchés</w:t>
      </w:r>
      <w:r w:rsidRPr="004B2AE2">
        <w:rPr>
          <w:snapToGrid w:val="0"/>
          <w:kern w:val="22"/>
          <w:lang w:val="fr-FR"/>
        </w:rPr>
        <w:t xml:space="preserve"> </w:t>
      </w:r>
      <w:r>
        <w:rPr>
          <w:snapToGrid w:val="0"/>
          <w:kern w:val="22"/>
          <w:lang w:val="fr-FR"/>
        </w:rPr>
        <w:t>commerciaux de</w:t>
      </w:r>
      <w:r w:rsidRPr="004B2AE2">
        <w:rPr>
          <w:snapToGrid w:val="0"/>
          <w:kern w:val="22"/>
          <w:lang w:val="fr-FR"/>
        </w:rPr>
        <w:t xml:space="preserve"> pollinisateurs domestiques;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A.2.4.4 </w:t>
      </w:r>
      <w:r w:rsidRPr="004B2AE2">
        <w:rPr>
          <w:snapToGrid w:val="0"/>
          <w:kern w:val="22"/>
          <w:lang w:val="fr-FR"/>
        </w:rPr>
        <w:t>Élab</w:t>
      </w:r>
      <w:r>
        <w:rPr>
          <w:snapToGrid w:val="0"/>
          <w:kern w:val="22"/>
          <w:lang w:val="fr-FR"/>
        </w:rPr>
        <w:t xml:space="preserve">orer des mesures pour préserver </w:t>
      </w:r>
      <w:r w:rsidRPr="004B2AE2">
        <w:rPr>
          <w:snapToGrid w:val="0"/>
          <w:kern w:val="22"/>
          <w:lang w:val="fr-FR"/>
        </w:rPr>
        <w:t>la diversité génétique des pollinisateurs domestiques;</w:t>
      </w:r>
    </w:p>
    <w:p w:rsidR="009F6935" w:rsidRPr="004B2AE2" w:rsidRDefault="009F6935" w:rsidP="009F6935">
      <w:pPr>
        <w:suppressLineNumbers/>
        <w:suppressAutoHyphens/>
        <w:kinsoku w:val="0"/>
        <w:overflowPunct w:val="0"/>
        <w:autoSpaceDE w:val="0"/>
        <w:autoSpaceDN w:val="0"/>
        <w:adjustRightInd w:val="0"/>
        <w:spacing w:before="120" w:after="240"/>
        <w:rPr>
          <w:snapToGrid w:val="0"/>
          <w:kern w:val="22"/>
          <w:lang w:val="fr-FR"/>
        </w:rPr>
      </w:pPr>
      <w:r w:rsidRPr="004B2AE2">
        <w:rPr>
          <w:b/>
          <w:snapToGrid w:val="0"/>
          <w:kern w:val="22"/>
          <w:lang w:val="fr-FR"/>
        </w:rPr>
        <w:t xml:space="preserve">A.2.4.5 </w:t>
      </w:r>
      <w:r w:rsidRPr="004B2AE2">
        <w:rPr>
          <w:snapToGrid w:val="0"/>
          <w:kern w:val="22"/>
          <w:lang w:val="fr-FR"/>
        </w:rPr>
        <w:t>Promouvoir les connaissances locales et traditionnelles liées à des pratiques innovantes dans la gestion des abeilles mellifères, des abeilles sans dard et autres pollinisateurs domestiques.</w:t>
      </w:r>
    </w:p>
    <w:p w:rsidR="009F6935" w:rsidRPr="004B2AE2" w:rsidRDefault="009F6935" w:rsidP="009F6935">
      <w:pPr>
        <w:keepNext/>
        <w:suppressLineNumbers/>
        <w:suppressAutoHyphens/>
        <w:kinsoku w:val="0"/>
        <w:overflowPunct w:val="0"/>
        <w:autoSpaceDE w:val="0"/>
        <w:autoSpaceDN w:val="0"/>
        <w:spacing w:before="60" w:after="60"/>
        <w:jc w:val="center"/>
        <w:rPr>
          <w:b/>
          <w:snapToGrid w:val="0"/>
          <w:kern w:val="22"/>
          <w:lang w:val="fr-FR"/>
        </w:rPr>
      </w:pPr>
      <w:r w:rsidRPr="004B2AE2">
        <w:rPr>
          <w:b/>
          <w:snapToGrid w:val="0"/>
          <w:lang w:val="fr-FR"/>
        </w:rPr>
        <w:t>Élément 3 : participation de la société civile et du secteur privé</w:t>
      </w:r>
    </w:p>
    <w:p w:rsidR="009F6935" w:rsidRPr="004B2AE2" w:rsidRDefault="009F6935" w:rsidP="009F6935">
      <w:pPr>
        <w:suppressAutoHyphens/>
        <w:spacing w:before="120" w:after="120"/>
        <w:rPr>
          <w:i/>
          <w:snapToGrid w:val="0"/>
          <w:lang w:val="fr-FR"/>
        </w:rPr>
      </w:pPr>
      <w:r w:rsidRPr="004B2AE2">
        <w:rPr>
          <w:i/>
          <w:snapToGrid w:val="0"/>
          <w:lang w:val="fr-FR"/>
        </w:rPr>
        <w:t>Objectif opérationnel</w:t>
      </w:r>
    </w:p>
    <w:p w:rsidR="009F6935" w:rsidRPr="004B2AE2" w:rsidRDefault="009F6935" w:rsidP="009F6935">
      <w:pPr>
        <w:suppressAutoHyphens/>
        <w:spacing w:before="120" w:after="120"/>
        <w:rPr>
          <w:snapToGrid w:val="0"/>
          <w:lang w:val="fr-FR"/>
        </w:rPr>
      </w:pPr>
      <w:r>
        <w:rPr>
          <w:snapToGrid w:val="0"/>
          <w:kern w:val="22"/>
          <w:lang w:val="fr-FR"/>
        </w:rPr>
        <w:t>Promouvoir l’enseignement</w:t>
      </w:r>
      <w:r w:rsidRPr="004B2AE2">
        <w:rPr>
          <w:snapToGrid w:val="0"/>
          <w:kern w:val="22"/>
          <w:lang w:val="fr-FR"/>
        </w:rPr>
        <w:t xml:space="preserve"> et la connaissance, dans les secteurs public et privé, des </w:t>
      </w:r>
      <w:r>
        <w:rPr>
          <w:snapToGrid w:val="0"/>
          <w:kern w:val="22"/>
          <w:lang w:val="fr-FR"/>
        </w:rPr>
        <w:t xml:space="preserve">multiples valeurs </w:t>
      </w:r>
      <w:r w:rsidRPr="004B2AE2">
        <w:rPr>
          <w:snapToGrid w:val="0"/>
          <w:kern w:val="22"/>
          <w:lang w:val="fr-FR"/>
        </w:rPr>
        <w:t>des pollinisateurs et de leurs habitats, améliorer les outils d’estimation de la valeur pour la prise de décisions</w:t>
      </w:r>
      <w:r>
        <w:rPr>
          <w:snapToGrid w:val="0"/>
          <w:kern w:val="22"/>
          <w:lang w:val="fr-FR"/>
        </w:rPr>
        <w:t>, et appliquer des mesures concrètes</w:t>
      </w:r>
      <w:r w:rsidRPr="004B2AE2">
        <w:rPr>
          <w:snapToGrid w:val="0"/>
          <w:kern w:val="22"/>
          <w:lang w:val="fr-FR"/>
        </w:rPr>
        <w:t xml:space="preserve"> propres à réduire et </w:t>
      </w:r>
      <w:r>
        <w:rPr>
          <w:snapToGrid w:val="0"/>
          <w:kern w:val="22"/>
          <w:lang w:val="fr-FR"/>
        </w:rPr>
        <w:t xml:space="preserve">à </w:t>
      </w:r>
      <w:r w:rsidRPr="004B2AE2">
        <w:rPr>
          <w:snapToGrid w:val="0"/>
          <w:kern w:val="22"/>
          <w:lang w:val="fr-FR"/>
        </w:rPr>
        <w:t>prévenir le déclin des pollinisateurs.</w:t>
      </w:r>
    </w:p>
    <w:p w:rsidR="009F6935" w:rsidRPr="004B2AE2" w:rsidRDefault="009F6935" w:rsidP="009F6935">
      <w:pPr>
        <w:suppressLineNumbers/>
        <w:suppressAutoHyphens/>
        <w:adjustRightInd w:val="0"/>
        <w:snapToGrid w:val="0"/>
        <w:spacing w:before="120" w:after="120"/>
        <w:rPr>
          <w:i/>
          <w:snapToGrid w:val="0"/>
          <w:lang w:val="fr-FR"/>
        </w:rPr>
      </w:pPr>
      <w:r w:rsidRPr="004B2AE2">
        <w:rPr>
          <w:i/>
          <w:snapToGrid w:val="0"/>
          <w:lang w:val="fr-FR"/>
        </w:rPr>
        <w:lastRenderedPageBreak/>
        <w:t>Justification</w:t>
      </w:r>
    </w:p>
    <w:p w:rsidR="009F6935" w:rsidRPr="004B2AE2" w:rsidRDefault="009F6935" w:rsidP="009F6935">
      <w:pPr>
        <w:suppressLineNumbers/>
        <w:suppressAutoHyphens/>
        <w:kinsoku w:val="0"/>
        <w:overflowPunct w:val="0"/>
        <w:autoSpaceDE w:val="0"/>
        <w:autoSpaceDN w:val="0"/>
        <w:adjustRightInd w:val="0"/>
        <w:snapToGrid w:val="0"/>
        <w:spacing w:before="120" w:after="120"/>
        <w:rPr>
          <w:snapToGrid w:val="0"/>
          <w:kern w:val="22"/>
          <w:lang w:val="fr-FR"/>
        </w:rPr>
      </w:pPr>
      <w:r w:rsidRPr="004B2AE2">
        <w:rPr>
          <w:snapToGrid w:val="0"/>
          <w:lang w:val="fr-FR"/>
        </w:rPr>
        <w:t xml:space="preserve">L’agriculture mondiale est devenue de plus en plus dépendante des pollinisateurs et une grande partie </w:t>
      </w:r>
      <w:r>
        <w:rPr>
          <w:snapToGrid w:val="0"/>
          <w:lang w:val="fr-FR"/>
        </w:rPr>
        <w:t>de cette dépendance concerne les</w:t>
      </w:r>
      <w:r w:rsidRPr="004B2AE2">
        <w:rPr>
          <w:snapToGrid w:val="0"/>
          <w:lang w:val="fr-FR"/>
        </w:rPr>
        <w:t xml:space="preserve"> pollinisateurs sauvages. Le grand public et le secteur privé, y compris les industries alimentaire et cosmétique et les chaînes logistiques, s’intéressent de plus en plus à la protection des pollinisateurs. Sur cette base, des mesures de conservation des pollinisateurs et de leurs habitats doivent être élaborées pour la société civile et le secteur privé. Une meilleure compréhension de la vulnérabilité </w:t>
      </w:r>
      <w:r>
        <w:rPr>
          <w:snapToGrid w:val="0"/>
          <w:lang w:val="fr-FR"/>
        </w:rPr>
        <w:t xml:space="preserve">face </w:t>
      </w:r>
      <w:r w:rsidRPr="004B2AE2">
        <w:rPr>
          <w:snapToGrid w:val="0"/>
          <w:lang w:val="fr-FR"/>
        </w:rPr>
        <w:t>à la perte de services de pollinisation et de la valeur de ces fonctions et services contribuera à stimuler de telles initiatives.</w:t>
      </w:r>
    </w:p>
    <w:p w:rsidR="009F6935" w:rsidRPr="004B2AE2" w:rsidRDefault="009F6935" w:rsidP="009F6935">
      <w:pPr>
        <w:keepNext/>
        <w:suppressLineNumbers/>
        <w:suppressAutoHyphens/>
        <w:kinsoku w:val="0"/>
        <w:overflowPunct w:val="0"/>
        <w:autoSpaceDE w:val="0"/>
        <w:autoSpaceDN w:val="0"/>
        <w:spacing w:before="60" w:after="60"/>
        <w:rPr>
          <w:i/>
          <w:snapToGrid w:val="0"/>
          <w:kern w:val="22"/>
          <w:lang w:val="fr-FR"/>
        </w:rPr>
      </w:pPr>
      <w:r w:rsidRPr="004B2AE2">
        <w:rPr>
          <w:i/>
          <w:snapToGrid w:val="0"/>
          <w:kern w:val="22"/>
          <w:lang w:val="fr-FR"/>
        </w:rPr>
        <w:t>Activités</w:t>
      </w:r>
    </w:p>
    <w:p w:rsidR="009F6935" w:rsidRPr="004B2AE2" w:rsidRDefault="009F6935" w:rsidP="009F6935">
      <w:pPr>
        <w:keepNext/>
        <w:suppressLineNumbers/>
        <w:suppressAutoHyphens/>
        <w:kinsoku w:val="0"/>
        <w:overflowPunct w:val="0"/>
        <w:autoSpaceDE w:val="0"/>
        <w:autoSpaceDN w:val="0"/>
        <w:spacing w:before="240" w:after="60"/>
        <w:rPr>
          <w:b/>
          <w:snapToGrid w:val="0"/>
          <w:kern w:val="22"/>
          <w:lang w:val="fr-FR" w:eastAsia="de-DE"/>
        </w:rPr>
      </w:pPr>
      <w:r w:rsidRPr="004B2AE2">
        <w:rPr>
          <w:b/>
          <w:lang w:val="fr-FR" w:eastAsia="de-DE"/>
        </w:rPr>
        <w:t>A3.1 Sensibilisation générale du public</w:t>
      </w:r>
    </w:p>
    <w:p w:rsidR="009F6935" w:rsidRPr="004B2AE2" w:rsidRDefault="009F6935" w:rsidP="009F6935">
      <w:pPr>
        <w:suppressAutoHyphens/>
        <w:spacing w:before="120" w:after="60"/>
        <w:rPr>
          <w:lang w:val="fr-FR"/>
        </w:rPr>
      </w:pPr>
      <w:r w:rsidRPr="004B2AE2">
        <w:rPr>
          <w:b/>
          <w:snapToGrid w:val="0"/>
          <w:kern w:val="22"/>
          <w:lang w:val="fr-FR"/>
        </w:rPr>
        <w:t xml:space="preserve">A.3.1.1 </w:t>
      </w:r>
      <w:r w:rsidRPr="004B2AE2">
        <w:rPr>
          <w:snapToGrid w:val="0"/>
          <w:kern w:val="22"/>
          <w:lang w:val="fr-FR"/>
        </w:rPr>
        <w:t>Mener des activités de sensibilisation avec les</w:t>
      </w:r>
      <w:r>
        <w:rPr>
          <w:snapToGrid w:val="0"/>
          <w:kern w:val="22"/>
          <w:lang w:val="fr-FR"/>
        </w:rPr>
        <w:t xml:space="preserve"> principaux</w:t>
      </w:r>
      <w:r w:rsidRPr="004B2AE2">
        <w:rPr>
          <w:snapToGrid w:val="0"/>
          <w:kern w:val="22"/>
          <w:lang w:val="fr-FR"/>
        </w:rPr>
        <w:t xml:space="preserve"> g</w:t>
      </w:r>
      <w:r>
        <w:rPr>
          <w:snapToGrid w:val="0"/>
          <w:kern w:val="22"/>
          <w:lang w:val="fr-FR"/>
        </w:rPr>
        <w:t>roupes de parties prenantes</w:t>
      </w:r>
      <w:r w:rsidRPr="004B2AE2">
        <w:rPr>
          <w:snapToGrid w:val="0"/>
          <w:kern w:val="22"/>
          <w:lang w:val="fr-FR"/>
        </w:rPr>
        <w:t>, notamment les agriculteurs, les services de v</w:t>
      </w:r>
      <w:r>
        <w:rPr>
          <w:snapToGrid w:val="0"/>
          <w:kern w:val="22"/>
          <w:lang w:val="fr-FR"/>
        </w:rPr>
        <w:t>ulgarisation, les apiculteurs, l</w:t>
      </w:r>
      <w:r w:rsidRPr="004B2AE2">
        <w:rPr>
          <w:snapToGrid w:val="0"/>
          <w:kern w:val="22"/>
          <w:lang w:val="fr-FR"/>
        </w:rPr>
        <w:t>es organisations non gouvernementales, les écoles, les médias et les or</w:t>
      </w:r>
      <w:r>
        <w:rPr>
          <w:snapToGrid w:val="0"/>
          <w:kern w:val="22"/>
          <w:lang w:val="fr-FR"/>
        </w:rPr>
        <w:t>ganisations de consommateurs, au sujet de</w:t>
      </w:r>
      <w:r w:rsidRPr="004B2AE2">
        <w:rPr>
          <w:snapToGrid w:val="0"/>
          <w:kern w:val="22"/>
          <w:lang w:val="fr-FR"/>
        </w:rPr>
        <w:t xml:space="preserve"> la valeur des pollinisateurs et de la pollinisation pour la santé, le bien</w:t>
      </w:r>
      <w:r w:rsidRPr="004B2AE2">
        <w:rPr>
          <w:snapToGrid w:val="0"/>
          <w:kern w:val="22"/>
          <w:lang w:val="fr-FR"/>
        </w:rPr>
        <w:noBreakHyphen/>
        <w:t>être et les moyens de subsistance;</w:t>
      </w:r>
    </w:p>
    <w:p w:rsidR="009F6935" w:rsidRPr="004B2AE2" w:rsidRDefault="009F6935" w:rsidP="009F6935">
      <w:pPr>
        <w:suppressAutoHyphens/>
        <w:spacing w:before="120" w:after="60"/>
        <w:rPr>
          <w:lang w:val="fr-FR"/>
        </w:rPr>
      </w:pPr>
      <w:r w:rsidRPr="004B2AE2">
        <w:rPr>
          <w:b/>
          <w:snapToGrid w:val="0"/>
          <w:kern w:val="22"/>
          <w:lang w:val="fr-FR"/>
        </w:rPr>
        <w:t xml:space="preserve">A.3.1.2 </w:t>
      </w:r>
      <w:r w:rsidRPr="004B2AE2">
        <w:rPr>
          <w:lang w:val="fr-FR"/>
        </w:rPr>
        <w:t>Sensibiliser le secteur privé, y compris les entreprises alimentaires, les fabricants de cosmétiques et les gestionnaires des chaînes logistiques</w:t>
      </w:r>
      <w:r>
        <w:rPr>
          <w:lang w:val="fr-FR"/>
        </w:rPr>
        <w:t>,</w:t>
      </w:r>
      <w:r w:rsidRPr="004B2AE2">
        <w:rPr>
          <w:lang w:val="fr-FR"/>
        </w:rPr>
        <w:t xml:space="preserve"> aux risques que présente le déclin des fonctions et services de pollinisation pour leur</w:t>
      </w:r>
      <w:r>
        <w:rPr>
          <w:lang w:val="fr-FR"/>
        </w:rPr>
        <w:t xml:space="preserve">s entreprises et à la valeur que représente </w:t>
      </w:r>
      <w:r w:rsidRPr="004B2AE2">
        <w:rPr>
          <w:lang w:val="fr-FR"/>
        </w:rPr>
        <w:t>la protection des pollinisateurs;</w:t>
      </w:r>
    </w:p>
    <w:p w:rsidR="009F6935" w:rsidRPr="004B2AE2" w:rsidRDefault="009F6935" w:rsidP="009F6935">
      <w:pPr>
        <w:suppressAutoHyphens/>
        <w:spacing w:before="120" w:after="60"/>
        <w:rPr>
          <w:b/>
          <w:lang w:val="fr-FR" w:eastAsia="de-DE"/>
        </w:rPr>
      </w:pPr>
      <w:r w:rsidRPr="004B2AE2">
        <w:rPr>
          <w:b/>
          <w:snapToGrid w:val="0"/>
          <w:kern w:val="22"/>
          <w:lang w:val="fr-FR"/>
        </w:rPr>
        <w:t xml:space="preserve">A.3.1.3 </w:t>
      </w:r>
      <w:r w:rsidRPr="004B2AE2">
        <w:rPr>
          <w:lang w:val="fr-FR"/>
        </w:rPr>
        <w:t xml:space="preserve">Promouvoir l’utilisation de la technologie et renforcer les capacités taxonomiques pour le grand public, y compris les agriculteurs </w:t>
      </w:r>
      <w:r>
        <w:rPr>
          <w:lang w:val="fr-FR"/>
        </w:rPr>
        <w:t>et les apiculteurs, afin de faciliter</w:t>
      </w:r>
      <w:r w:rsidRPr="004B2AE2">
        <w:rPr>
          <w:lang w:val="fr-FR"/>
        </w:rPr>
        <w:t xml:space="preserve"> l’identification et la distinction entre les pollinisateurs et les ravageurs</w:t>
      </w:r>
      <w:r>
        <w:rPr>
          <w:lang w:val="fr-FR"/>
        </w:rPr>
        <w:t>,</w:t>
      </w:r>
      <w:r w:rsidRPr="004B2AE2">
        <w:rPr>
          <w:lang w:val="fr-FR"/>
        </w:rPr>
        <w:t xml:space="preserve"> et contribuer ainsi à la collecte de données sur les pollinisateurs;</w:t>
      </w:r>
    </w:p>
    <w:p w:rsidR="009F6935" w:rsidRPr="004B2AE2" w:rsidRDefault="009F6935" w:rsidP="009F6935">
      <w:pPr>
        <w:suppressLineNumbers/>
        <w:suppressAutoHyphens/>
        <w:kinsoku w:val="0"/>
        <w:overflowPunct w:val="0"/>
        <w:autoSpaceDE w:val="0"/>
        <w:autoSpaceDN w:val="0"/>
        <w:spacing w:before="120" w:after="60"/>
        <w:rPr>
          <w:snapToGrid w:val="0"/>
          <w:kern w:val="22"/>
          <w:szCs w:val="22"/>
          <w:lang w:val="fr-FR" w:eastAsia="de-DE"/>
        </w:rPr>
      </w:pPr>
      <w:r w:rsidRPr="004B2AE2">
        <w:rPr>
          <w:b/>
          <w:snapToGrid w:val="0"/>
          <w:kern w:val="22"/>
          <w:lang w:val="fr-FR"/>
        </w:rPr>
        <w:t xml:space="preserve">A.3.1.4 </w:t>
      </w:r>
      <w:r w:rsidRPr="004B2AE2">
        <w:rPr>
          <w:lang w:val="fr-FR" w:eastAsia="de-DE"/>
        </w:rPr>
        <w:t>Appuyer des campag</w:t>
      </w:r>
      <w:r>
        <w:rPr>
          <w:lang w:val="fr-FR" w:eastAsia="de-DE"/>
        </w:rPr>
        <w:t>nes et des activités visant à assurer la participation d</w:t>
      </w:r>
      <w:r w:rsidRPr="004B2AE2">
        <w:rPr>
          <w:lang w:val="fr-FR" w:eastAsia="de-DE"/>
        </w:rPr>
        <w:t>es parties prenantes à la conservation et à l’utilisation durable des pollinisateurs, notamment les célébrations de la Journée mondiale des</w:t>
      </w:r>
      <w:r>
        <w:rPr>
          <w:lang w:val="fr-FR" w:eastAsia="de-DE"/>
        </w:rPr>
        <w:t xml:space="preserve"> abeilles, le 20 mai, créée </w:t>
      </w:r>
      <w:r w:rsidRPr="004B2AE2">
        <w:rPr>
          <w:lang w:val="fr-FR" w:eastAsia="de-DE"/>
        </w:rPr>
        <w:t>par l’Assem</w:t>
      </w:r>
      <w:r>
        <w:rPr>
          <w:lang w:val="fr-FR" w:eastAsia="de-DE"/>
        </w:rPr>
        <w:t>blée générale des Nations Unies</w:t>
      </w:r>
      <w:r w:rsidRPr="00A23D0C">
        <w:rPr>
          <w:rStyle w:val="FootnoteReference"/>
          <w:sz w:val="20"/>
          <w:szCs w:val="20"/>
          <w:u w:val="none"/>
          <w:vertAlign w:val="superscript"/>
          <w:lang w:val="fr-FR" w:eastAsia="de-DE"/>
        </w:rPr>
        <w:footnoteReference w:id="137"/>
      </w:r>
      <w:r w:rsidR="00A23D0C">
        <w:rPr>
          <w:snapToGrid w:val="0"/>
          <w:kern w:val="22"/>
          <w:szCs w:val="22"/>
          <w:lang w:val="fr-FR" w:eastAsia="de-DE"/>
        </w:rPr>
        <w:t>.</w:t>
      </w:r>
    </w:p>
    <w:p w:rsidR="009F6935" w:rsidRPr="004B2AE2" w:rsidRDefault="009F6935" w:rsidP="009F6935">
      <w:pPr>
        <w:keepNext/>
        <w:suppressLineNumbers/>
        <w:suppressAutoHyphens/>
        <w:kinsoku w:val="0"/>
        <w:overflowPunct w:val="0"/>
        <w:autoSpaceDE w:val="0"/>
        <w:autoSpaceDN w:val="0"/>
        <w:spacing w:before="240" w:after="60"/>
        <w:rPr>
          <w:b/>
          <w:snapToGrid w:val="0"/>
          <w:kern w:val="22"/>
          <w:szCs w:val="22"/>
          <w:lang w:val="fr-FR" w:eastAsia="de-DE"/>
        </w:rPr>
      </w:pPr>
      <w:r w:rsidRPr="004B2AE2">
        <w:rPr>
          <w:b/>
          <w:lang w:val="fr-FR" w:eastAsia="de-DE"/>
        </w:rPr>
        <w:t>A3.2 Actions visant le grand public</w:t>
      </w:r>
    </w:p>
    <w:p w:rsidR="009F6935" w:rsidRPr="004B2AE2" w:rsidRDefault="009F6935" w:rsidP="009F6935">
      <w:pPr>
        <w:suppressAutoHyphens/>
        <w:spacing w:before="120" w:after="120"/>
        <w:rPr>
          <w:lang w:val="fr-FR"/>
        </w:rPr>
      </w:pPr>
      <w:r w:rsidRPr="004B2AE2">
        <w:rPr>
          <w:b/>
          <w:snapToGrid w:val="0"/>
          <w:kern w:val="22"/>
          <w:lang w:val="fr-FR"/>
        </w:rPr>
        <w:t xml:space="preserve">A.3.2.1 </w:t>
      </w:r>
      <w:r>
        <w:rPr>
          <w:lang w:val="fr-FR"/>
        </w:rPr>
        <w:t>Promouvoir des activités auprès des enfants et des étudiants concernant</w:t>
      </w:r>
      <w:r w:rsidRPr="004B2AE2">
        <w:rPr>
          <w:lang w:val="fr-FR"/>
        </w:rPr>
        <w:t xml:space="preserve"> l’importance des pollinisateurs et des fonctions et services écosystémiques dans leur vie quotidienne</w:t>
      </w:r>
      <w:r>
        <w:rPr>
          <w:lang w:val="fr-FR"/>
        </w:rPr>
        <w:t>,</w:t>
      </w:r>
      <w:r w:rsidRPr="004B2AE2">
        <w:rPr>
          <w:lang w:val="fr-FR"/>
        </w:rPr>
        <w:t xml:space="preserve"> et proposer des moyens de contribuer à la protection des pollinisateurs;</w:t>
      </w:r>
    </w:p>
    <w:p w:rsidR="009F6935" w:rsidRPr="004B2AE2" w:rsidRDefault="009F6935" w:rsidP="009F6935">
      <w:pPr>
        <w:suppressAutoHyphens/>
        <w:spacing w:before="120" w:after="120"/>
        <w:rPr>
          <w:lang w:val="fr-FR"/>
        </w:rPr>
      </w:pPr>
      <w:r w:rsidRPr="004B2AE2">
        <w:rPr>
          <w:b/>
          <w:snapToGrid w:val="0"/>
          <w:kern w:val="22"/>
          <w:lang w:val="fr-FR"/>
        </w:rPr>
        <w:t xml:space="preserve">A.3.2.2 </w:t>
      </w:r>
      <w:r w:rsidRPr="004B2AE2">
        <w:rPr>
          <w:lang w:val="fr-FR"/>
        </w:rPr>
        <w:t>Intégrer des sujets sur les pollinisateurs et les fonctions et services écosystémiques dans le programme des cours</w:t>
      </w:r>
      <w:r>
        <w:rPr>
          <w:lang w:val="fr-FR"/>
        </w:rPr>
        <w:t xml:space="preserve"> d’agriculture, d’économie et d</w:t>
      </w:r>
      <w:r w:rsidRPr="004B2AE2">
        <w:rPr>
          <w:lang w:val="fr-FR"/>
        </w:rPr>
        <w:t>’environnement;</w:t>
      </w:r>
    </w:p>
    <w:p w:rsidR="009F6935" w:rsidRPr="004B2AE2" w:rsidRDefault="009F6935" w:rsidP="009F6935">
      <w:pPr>
        <w:suppressAutoHyphens/>
        <w:spacing w:before="120" w:after="120"/>
        <w:rPr>
          <w:lang w:val="fr-FR"/>
        </w:rPr>
      </w:pPr>
      <w:r w:rsidRPr="004B2AE2">
        <w:rPr>
          <w:b/>
          <w:snapToGrid w:val="0"/>
          <w:kern w:val="22"/>
          <w:lang w:val="fr-FR"/>
        </w:rPr>
        <w:t xml:space="preserve">A.3.2.3 </w:t>
      </w:r>
      <w:r>
        <w:rPr>
          <w:lang w:val="fr-FR"/>
        </w:rPr>
        <w:t>Appuyer</w:t>
      </w:r>
      <w:r w:rsidRPr="004B2AE2">
        <w:rPr>
          <w:lang w:val="fr-FR"/>
        </w:rPr>
        <w:t xml:space="preserve"> les sciences citoyennes pour la production de données sur les pollinisateurs et la pollinisation</w:t>
      </w:r>
      <w:r>
        <w:rPr>
          <w:lang w:val="fr-FR"/>
        </w:rPr>
        <w:t>,</w:t>
      </w:r>
      <w:r w:rsidRPr="004B2AE2">
        <w:rPr>
          <w:lang w:val="fr-FR"/>
        </w:rPr>
        <w:t xml:space="preserve"> </w:t>
      </w:r>
      <w:r>
        <w:rPr>
          <w:lang w:val="fr-FR"/>
        </w:rPr>
        <w:t>et pour accroître la sensibilisation au</w:t>
      </w:r>
      <w:r w:rsidRPr="004B2AE2">
        <w:rPr>
          <w:lang w:val="fr-FR"/>
        </w:rPr>
        <w:t xml:space="preserve"> rôle que jouent les pollinisateurs au sein de la société civile;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 xml:space="preserve">A.3.2.4 </w:t>
      </w:r>
      <w:r w:rsidRPr="004B2AE2">
        <w:rPr>
          <w:lang w:val="fr-FR" w:eastAsia="de-DE"/>
        </w:rPr>
        <w:t>Encourager les activités de réseautag</w:t>
      </w:r>
      <w:r>
        <w:rPr>
          <w:lang w:val="fr-FR" w:eastAsia="de-DE"/>
        </w:rPr>
        <w:t>e en organisant des conférence</w:t>
      </w:r>
      <w:r w:rsidRPr="00C61E45">
        <w:rPr>
          <w:rStyle w:val="FootnoteReference"/>
          <w:sz w:val="20"/>
          <w:szCs w:val="20"/>
          <w:u w:val="none"/>
          <w:vertAlign w:val="superscript"/>
          <w:lang w:val="fr-FR" w:eastAsia="de-DE"/>
        </w:rPr>
        <w:footnoteReference w:id="138"/>
      </w:r>
      <w:r>
        <w:rPr>
          <w:lang w:val="fr-FR" w:eastAsia="de-DE"/>
        </w:rPr>
        <w:t xml:space="preserve"> et</w:t>
      </w:r>
      <w:r w:rsidRPr="004B2AE2">
        <w:rPr>
          <w:lang w:val="fr-FR" w:eastAsia="de-DE"/>
        </w:rPr>
        <w:t xml:space="preserve"> en diffusant des informations sur les pollinisateurs et la pollinisation par le biais de bases de données publiques, de portails Internet, des médias sociaux et des réseaux d’information qui facilitent l’accès à toutes les parties prenantes concernées.</w:t>
      </w:r>
    </w:p>
    <w:p w:rsidR="009F6935" w:rsidRPr="004B2AE2" w:rsidRDefault="009F6935" w:rsidP="009F6935">
      <w:pPr>
        <w:keepNext/>
        <w:suppressLineNumbers/>
        <w:suppressAutoHyphens/>
        <w:kinsoku w:val="0"/>
        <w:overflowPunct w:val="0"/>
        <w:autoSpaceDE w:val="0"/>
        <w:autoSpaceDN w:val="0"/>
        <w:spacing w:before="240" w:after="60"/>
        <w:rPr>
          <w:b/>
          <w:snapToGrid w:val="0"/>
          <w:kern w:val="22"/>
          <w:lang w:val="fr-FR" w:eastAsia="de-DE"/>
        </w:rPr>
      </w:pPr>
      <w:r w:rsidRPr="004B2AE2">
        <w:rPr>
          <w:b/>
          <w:lang w:val="fr-FR" w:eastAsia="de-DE"/>
        </w:rPr>
        <w:t>A3.3 Participation des entreprises et des chaînes logistiques</w:t>
      </w:r>
    </w:p>
    <w:p w:rsidR="009F6935" w:rsidRPr="004B2AE2" w:rsidRDefault="009F6935" w:rsidP="009F6935">
      <w:pPr>
        <w:suppressAutoHyphens/>
        <w:spacing w:before="120" w:after="120"/>
        <w:rPr>
          <w:lang w:val="fr-FR" w:eastAsia="de-DE"/>
        </w:rPr>
      </w:pPr>
      <w:r w:rsidRPr="004B2AE2">
        <w:rPr>
          <w:b/>
          <w:snapToGrid w:val="0"/>
          <w:kern w:val="22"/>
          <w:lang w:val="fr-FR"/>
        </w:rPr>
        <w:t xml:space="preserve">A.3.3.1 </w:t>
      </w:r>
      <w:r w:rsidRPr="004B2AE2">
        <w:rPr>
          <w:lang w:val="fr-FR" w:eastAsia="de-DE"/>
        </w:rPr>
        <w:t xml:space="preserve">Fournir des outils </w:t>
      </w:r>
      <w:r>
        <w:rPr>
          <w:lang w:val="fr-FR" w:eastAsia="de-DE"/>
        </w:rPr>
        <w:t xml:space="preserve">d’aide à la </w:t>
      </w:r>
      <w:r w:rsidRPr="004B2AE2">
        <w:rPr>
          <w:lang w:val="fr-FR" w:eastAsia="de-DE"/>
        </w:rPr>
        <w:t>prise de décisions afin d’aider les différentes parties prenantes à assigner des valeurs aux pollinisateurs et à la pollinisation, y compris des valeurs non monétaires;</w:t>
      </w:r>
    </w:p>
    <w:p w:rsidR="009F6935" w:rsidRPr="004B2AE2" w:rsidRDefault="009F6935" w:rsidP="009F6935">
      <w:pPr>
        <w:suppressAutoHyphens/>
        <w:spacing w:before="120" w:after="120"/>
        <w:rPr>
          <w:rFonts w:asciiTheme="majorBidi" w:hAnsiTheme="majorBidi" w:cstheme="majorBidi"/>
          <w:lang w:val="fr-FR" w:eastAsia="de-DE"/>
        </w:rPr>
      </w:pPr>
      <w:r w:rsidRPr="004B2AE2">
        <w:rPr>
          <w:b/>
          <w:snapToGrid w:val="0"/>
          <w:kern w:val="22"/>
          <w:lang w:val="fr-FR"/>
        </w:rPr>
        <w:lastRenderedPageBreak/>
        <w:t xml:space="preserve">A.3.3.2 </w:t>
      </w:r>
      <w:r w:rsidRPr="004B2AE2">
        <w:rPr>
          <w:rFonts w:asciiTheme="majorBidi" w:hAnsiTheme="majorBidi" w:cstheme="majorBidi"/>
          <w:color w:val="000000"/>
          <w:lang w:val="fr-FR" w:eastAsia="zh-CN"/>
        </w:rPr>
        <w:t>Élabo</w:t>
      </w:r>
      <w:r>
        <w:rPr>
          <w:rFonts w:asciiTheme="majorBidi" w:hAnsiTheme="majorBidi" w:cstheme="majorBidi"/>
          <w:color w:val="000000"/>
          <w:lang w:val="fr-FR" w:eastAsia="zh-CN"/>
        </w:rPr>
        <w:t>rer des modalités pour intégre</w:t>
      </w:r>
      <w:r w:rsidRPr="004B2AE2">
        <w:rPr>
          <w:rFonts w:asciiTheme="majorBidi" w:hAnsiTheme="majorBidi" w:cstheme="majorBidi"/>
          <w:color w:val="000000"/>
          <w:lang w:val="fr-FR" w:eastAsia="zh-CN"/>
        </w:rPr>
        <w:t>r les pollinisateurs e</w:t>
      </w:r>
      <w:r>
        <w:rPr>
          <w:rFonts w:asciiTheme="majorBidi" w:hAnsiTheme="majorBidi" w:cstheme="majorBidi"/>
          <w:color w:val="000000"/>
          <w:lang w:val="fr-FR" w:eastAsia="zh-CN"/>
        </w:rPr>
        <w:t>t la pollinisation dans la</w:t>
      </w:r>
      <w:r w:rsidRPr="004B2AE2">
        <w:rPr>
          <w:rFonts w:asciiTheme="majorBidi" w:hAnsiTheme="majorBidi" w:cstheme="majorBidi"/>
          <w:color w:val="000000"/>
          <w:lang w:val="fr-FR" w:eastAsia="zh-CN"/>
        </w:rPr>
        <w:t xml:space="preserve"> comptabilité des coûts </w:t>
      </w:r>
      <w:r>
        <w:rPr>
          <w:rFonts w:asciiTheme="majorBidi" w:hAnsiTheme="majorBidi" w:cstheme="majorBidi"/>
          <w:color w:val="000000"/>
          <w:lang w:val="fr-FR" w:eastAsia="zh-CN"/>
        </w:rPr>
        <w:t xml:space="preserve">réels </w:t>
      </w:r>
      <w:r w:rsidRPr="004B2AE2">
        <w:rPr>
          <w:rFonts w:asciiTheme="majorBidi" w:hAnsiTheme="majorBidi" w:cstheme="majorBidi"/>
          <w:color w:val="000000"/>
          <w:lang w:val="fr-FR" w:eastAsia="zh-CN"/>
        </w:rPr>
        <w:t>de l’agriculture et de la production alimentaire;</w:t>
      </w:r>
    </w:p>
    <w:p w:rsidR="009F6935" w:rsidRPr="004B2AE2" w:rsidRDefault="009F6935" w:rsidP="009F6935">
      <w:pPr>
        <w:suppressLineNumbers/>
        <w:suppressAutoHyphens/>
        <w:kinsoku w:val="0"/>
        <w:overflowPunct w:val="0"/>
        <w:autoSpaceDE w:val="0"/>
        <w:autoSpaceDN w:val="0"/>
        <w:spacing w:before="120" w:after="120"/>
        <w:rPr>
          <w:rFonts w:asciiTheme="majorBidi" w:hAnsiTheme="majorBidi" w:cstheme="majorBidi"/>
          <w:snapToGrid w:val="0"/>
          <w:kern w:val="22"/>
          <w:lang w:val="fr-FR" w:eastAsia="de-DE"/>
        </w:rPr>
      </w:pPr>
      <w:r w:rsidRPr="004B2AE2">
        <w:rPr>
          <w:b/>
          <w:snapToGrid w:val="0"/>
          <w:kern w:val="22"/>
          <w:lang w:val="fr-FR"/>
        </w:rPr>
        <w:t xml:space="preserve">A.3.3.3 </w:t>
      </w:r>
      <w:r w:rsidRPr="004B2AE2">
        <w:rPr>
          <w:lang w:val="fr-FR"/>
        </w:rPr>
        <w:t>Améliorer l</w:t>
      </w:r>
      <w:r>
        <w:rPr>
          <w:lang w:val="fr-FR"/>
        </w:rPr>
        <w:t>a connaissance</w:t>
      </w:r>
      <w:r w:rsidRPr="004B2AE2">
        <w:rPr>
          <w:lang w:val="fr-FR"/>
        </w:rPr>
        <w:t xml:space="preserve"> des liens entre les produits commerciaux et la dépendance des produits de base (rendeme</w:t>
      </w:r>
      <w:r>
        <w:rPr>
          <w:lang w:val="fr-FR"/>
        </w:rPr>
        <w:t xml:space="preserve">nt des cultures et qualité) à l’égard de </w:t>
      </w:r>
      <w:r w:rsidRPr="004B2AE2">
        <w:rPr>
          <w:lang w:val="fr-FR"/>
        </w:rPr>
        <w:t>différents types de pollinisateurs dans le secteur privé;</w:t>
      </w:r>
    </w:p>
    <w:p w:rsidR="009F6935" w:rsidRPr="004B2AE2" w:rsidRDefault="009F6935" w:rsidP="009F6935">
      <w:pPr>
        <w:suppressAutoHyphens/>
        <w:spacing w:before="120" w:after="120"/>
        <w:rPr>
          <w:rFonts w:asciiTheme="majorBidi" w:hAnsiTheme="majorBidi" w:cstheme="majorBidi"/>
          <w:lang w:val="fr-FR" w:eastAsia="de-DE"/>
        </w:rPr>
      </w:pPr>
      <w:r w:rsidRPr="004B2AE2">
        <w:rPr>
          <w:b/>
          <w:snapToGrid w:val="0"/>
          <w:kern w:val="22"/>
          <w:lang w:val="fr-FR"/>
        </w:rPr>
        <w:t xml:space="preserve">A.3.3.4 </w:t>
      </w:r>
      <w:r>
        <w:rPr>
          <w:lang w:val="fr-FR"/>
        </w:rPr>
        <w:t>Partager des données probantes sur le</w:t>
      </w:r>
      <w:r w:rsidRPr="004B2AE2">
        <w:rPr>
          <w:lang w:val="fr-FR"/>
        </w:rPr>
        <w:t xml:space="preserve"> déficit de pollinisation et ses répercussion</w:t>
      </w:r>
      <w:r>
        <w:rPr>
          <w:lang w:val="fr-FR"/>
        </w:rPr>
        <w:t>s économiques, et les impacts</w:t>
      </w:r>
      <w:r w:rsidRPr="004B2AE2">
        <w:rPr>
          <w:lang w:val="fr-FR"/>
        </w:rPr>
        <w:t xml:space="preserve"> sur les moyens de subsistance, afin d’aider les entreprises à identifier </w:t>
      </w:r>
      <w:r>
        <w:rPr>
          <w:lang w:val="fr-FR"/>
        </w:rPr>
        <w:t>les risques potentiels, à entreprendre</w:t>
      </w:r>
      <w:r w:rsidRPr="004B2AE2">
        <w:rPr>
          <w:lang w:val="fr-FR"/>
        </w:rPr>
        <w:t xml:space="preserve"> des évaluations de la vulnérabilité et </w:t>
      </w:r>
      <w:r>
        <w:rPr>
          <w:lang w:val="fr-FR"/>
        </w:rPr>
        <w:t xml:space="preserve">à </w:t>
      </w:r>
      <w:r w:rsidRPr="004B2AE2">
        <w:rPr>
          <w:lang w:val="fr-FR"/>
        </w:rPr>
        <w:t>adopter des mesures favorables aux pollinisateurs;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
          <w:snapToGrid w:val="0"/>
          <w:kern w:val="22"/>
          <w:lang w:val="fr-FR"/>
        </w:rPr>
        <w:t xml:space="preserve">A.3.3.5 </w:t>
      </w:r>
      <w:r w:rsidRPr="004B2AE2">
        <w:rPr>
          <w:lang w:val="fr-FR"/>
        </w:rPr>
        <w:t>Élaborer et partager d</w:t>
      </w:r>
      <w:r>
        <w:rPr>
          <w:lang w:val="fr-FR"/>
        </w:rPr>
        <w:t>es plans d’action en faveur des</w:t>
      </w:r>
      <w:r w:rsidRPr="004B2AE2">
        <w:rPr>
          <w:lang w:val="fr-FR"/>
        </w:rPr>
        <w:t xml:space="preserve"> pollinisateurs;</w:t>
      </w:r>
    </w:p>
    <w:p w:rsidR="009F6935" w:rsidRPr="004B2AE2" w:rsidRDefault="009F6935" w:rsidP="009F6935">
      <w:pPr>
        <w:suppressLineNumbers/>
        <w:suppressAutoHyphens/>
        <w:kinsoku w:val="0"/>
        <w:overflowPunct w:val="0"/>
        <w:autoSpaceDE w:val="0"/>
        <w:autoSpaceDN w:val="0"/>
        <w:spacing w:before="120" w:after="240"/>
        <w:rPr>
          <w:snapToGrid w:val="0"/>
          <w:kern w:val="22"/>
          <w:lang w:val="fr-FR"/>
        </w:rPr>
      </w:pPr>
      <w:r w:rsidRPr="004B2AE2">
        <w:rPr>
          <w:b/>
          <w:snapToGrid w:val="0"/>
          <w:kern w:val="22"/>
          <w:lang w:val="fr-FR"/>
        </w:rPr>
        <w:t>A.3.3.6</w:t>
      </w:r>
      <w:r w:rsidRPr="004B2AE2">
        <w:rPr>
          <w:bCs/>
          <w:snapToGrid w:val="0"/>
          <w:kern w:val="22"/>
          <w:lang w:val="fr-FR"/>
        </w:rPr>
        <w:t xml:space="preserve"> </w:t>
      </w:r>
      <w:r w:rsidRPr="004B2AE2">
        <w:rPr>
          <w:lang w:val="fr-FR"/>
        </w:rPr>
        <w:t xml:space="preserve">Promouvoir l’utilisation d’écolabels et de normes, et </w:t>
      </w:r>
      <w:r>
        <w:rPr>
          <w:lang w:val="fr-FR"/>
        </w:rPr>
        <w:t xml:space="preserve">souligner </w:t>
      </w:r>
      <w:r w:rsidRPr="004B2AE2">
        <w:rPr>
          <w:lang w:val="fr-FR"/>
        </w:rPr>
        <w:t>l’importance des choix qui peuvent bénéfic</w:t>
      </w:r>
      <w:r>
        <w:rPr>
          <w:lang w:val="fr-FR"/>
        </w:rPr>
        <w:t>ier aux pollinisateurs auprès des</w:t>
      </w:r>
      <w:r w:rsidRPr="004B2AE2">
        <w:rPr>
          <w:lang w:val="fr-FR"/>
        </w:rPr>
        <w:t xml:space="preserve"> consommateurs.</w:t>
      </w:r>
    </w:p>
    <w:p w:rsidR="009F6935" w:rsidRPr="004B2AE2" w:rsidRDefault="009F6935" w:rsidP="009F6935">
      <w:pPr>
        <w:keepNext/>
        <w:suppressLineNumbers/>
        <w:suppressAutoHyphens/>
        <w:kinsoku w:val="0"/>
        <w:overflowPunct w:val="0"/>
        <w:autoSpaceDE w:val="0"/>
        <w:autoSpaceDN w:val="0"/>
        <w:spacing w:before="120" w:after="60"/>
        <w:jc w:val="center"/>
        <w:rPr>
          <w:snapToGrid w:val="0"/>
          <w:kern w:val="22"/>
          <w:lang w:val="fr-FR"/>
        </w:rPr>
      </w:pPr>
      <w:r w:rsidRPr="004B2AE2">
        <w:rPr>
          <w:b/>
          <w:snapToGrid w:val="0"/>
          <w:lang w:val="fr-FR"/>
        </w:rPr>
        <w:t>Élément 4 : suivi, recherche et évaluation</w:t>
      </w:r>
    </w:p>
    <w:p w:rsidR="009F6935" w:rsidRPr="004B2AE2" w:rsidRDefault="009F6935" w:rsidP="009F6935">
      <w:pPr>
        <w:suppressAutoHyphens/>
        <w:spacing w:before="120" w:after="120"/>
        <w:rPr>
          <w:i/>
          <w:snapToGrid w:val="0"/>
          <w:lang w:val="fr-FR"/>
        </w:rPr>
      </w:pPr>
      <w:r w:rsidRPr="004B2AE2">
        <w:rPr>
          <w:i/>
          <w:snapToGrid w:val="0"/>
          <w:lang w:val="fr-FR"/>
        </w:rPr>
        <w:t>Objectif opérationnel</w:t>
      </w:r>
    </w:p>
    <w:p w:rsidR="009F6935" w:rsidRPr="004B2AE2" w:rsidRDefault="009F6935" w:rsidP="009F6935">
      <w:pPr>
        <w:suppressAutoHyphens/>
        <w:spacing w:before="120" w:after="120"/>
        <w:rPr>
          <w:b/>
          <w:snapToGrid w:val="0"/>
          <w:lang w:val="fr-FR"/>
        </w:rPr>
      </w:pPr>
      <w:r w:rsidRPr="004B2AE2">
        <w:rPr>
          <w:snapToGrid w:val="0"/>
          <w:lang w:val="fr-FR"/>
        </w:rPr>
        <w:t>Suivre et évaluer l’état et les tendances des pollinisateurs, de la pollinisation et de leurs habitats dans toutes les régions et aborder les lac</w:t>
      </w:r>
      <w:r>
        <w:rPr>
          <w:snapToGrid w:val="0"/>
          <w:lang w:val="fr-FR"/>
        </w:rPr>
        <w:t>unes, notamment en favorisant des</w:t>
      </w:r>
      <w:r w:rsidRPr="004B2AE2">
        <w:rPr>
          <w:snapToGrid w:val="0"/>
          <w:lang w:val="fr-FR"/>
        </w:rPr>
        <w:t xml:space="preserve"> recherche</w:t>
      </w:r>
      <w:r>
        <w:rPr>
          <w:snapToGrid w:val="0"/>
          <w:lang w:val="fr-FR"/>
        </w:rPr>
        <w:t>s</w:t>
      </w:r>
      <w:r w:rsidRPr="004B2AE2">
        <w:rPr>
          <w:snapToGrid w:val="0"/>
          <w:lang w:val="fr-FR"/>
        </w:rPr>
        <w:t xml:space="preserve"> pertinente</w:t>
      </w:r>
      <w:r>
        <w:rPr>
          <w:snapToGrid w:val="0"/>
          <w:lang w:val="fr-FR"/>
        </w:rPr>
        <w:t>s</w:t>
      </w:r>
      <w:r w:rsidRPr="004B2AE2">
        <w:rPr>
          <w:snapToGrid w:val="0"/>
          <w:lang w:val="fr-FR"/>
        </w:rPr>
        <w:t>.</w:t>
      </w:r>
      <w:r w:rsidRPr="004B2AE2">
        <w:rPr>
          <w:lang w:val="fr-FR" w:eastAsia="de-DE"/>
        </w:rPr>
        <w:t xml:space="preserve"> </w:t>
      </w:r>
    </w:p>
    <w:p w:rsidR="009F6935" w:rsidRPr="004B2AE2" w:rsidRDefault="009F6935" w:rsidP="009F6935">
      <w:pPr>
        <w:suppressAutoHyphens/>
        <w:spacing w:before="120" w:after="120"/>
        <w:rPr>
          <w:i/>
          <w:snapToGrid w:val="0"/>
          <w:lang w:val="fr-FR"/>
        </w:rPr>
      </w:pPr>
      <w:r w:rsidRPr="004B2AE2">
        <w:rPr>
          <w:i/>
          <w:snapToGrid w:val="0"/>
          <w:lang w:val="fr-FR"/>
        </w:rPr>
        <w:t>Justification </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bCs/>
          <w:snapToGrid w:val="0"/>
          <w:lang w:val="fr-FR"/>
        </w:rPr>
        <w:t xml:space="preserve">Le suivi et l’évaluation de l’état et des tendances des pollinisateurs et des fonctions et services de pollinisation, des mesures prises pour la conservation et l’utilisation durable des pollinisateurs, et des résultats de ces mesures, sont nécessaires pour éclairer </w:t>
      </w:r>
      <w:r>
        <w:rPr>
          <w:bCs/>
          <w:snapToGrid w:val="0"/>
          <w:lang w:val="fr-FR"/>
        </w:rPr>
        <w:t>une</w:t>
      </w:r>
      <w:r w:rsidRPr="004B2AE2">
        <w:rPr>
          <w:bCs/>
          <w:snapToGrid w:val="0"/>
          <w:lang w:val="fr-FR"/>
        </w:rPr>
        <w:t xml:space="preserve"> g</w:t>
      </w:r>
      <w:r>
        <w:rPr>
          <w:bCs/>
          <w:snapToGrid w:val="0"/>
          <w:lang w:val="fr-FR"/>
        </w:rPr>
        <w:t>estion adaptative. Les établissement</w:t>
      </w:r>
      <w:r w:rsidRPr="004B2AE2">
        <w:rPr>
          <w:bCs/>
          <w:snapToGrid w:val="0"/>
          <w:lang w:val="fr-FR"/>
        </w:rPr>
        <w:t>s universitaires et de recherche et les organisations et réseaux internationaux devraient être encouragés à mener davantage de recherches, en tenant compte des connaissances traditionnelles, afin de combler les lacunes d</w:t>
      </w:r>
      <w:r>
        <w:rPr>
          <w:bCs/>
          <w:snapToGrid w:val="0"/>
          <w:lang w:val="fr-FR"/>
        </w:rPr>
        <w:t>ans les connaissances, à élargir les</w:t>
      </w:r>
      <w:r w:rsidRPr="004B2AE2">
        <w:rPr>
          <w:bCs/>
          <w:snapToGrid w:val="0"/>
          <w:lang w:val="fr-FR"/>
        </w:rPr>
        <w:t xml:space="preserve"> recherche</w:t>
      </w:r>
      <w:r>
        <w:rPr>
          <w:bCs/>
          <w:snapToGrid w:val="0"/>
          <w:lang w:val="fr-FR"/>
        </w:rPr>
        <w:t>s</w:t>
      </w:r>
      <w:r w:rsidRPr="004B2AE2">
        <w:rPr>
          <w:bCs/>
          <w:snapToGrid w:val="0"/>
          <w:lang w:val="fr-FR"/>
        </w:rPr>
        <w:t xml:space="preserve"> pour couvrir une plus gra</w:t>
      </w:r>
      <w:r>
        <w:rPr>
          <w:bCs/>
          <w:snapToGrid w:val="0"/>
          <w:lang w:val="fr-FR"/>
        </w:rPr>
        <w:t>nde variété de pollinisateurs,</w:t>
      </w:r>
      <w:r w:rsidRPr="004B2AE2">
        <w:rPr>
          <w:bCs/>
          <w:snapToGrid w:val="0"/>
          <w:lang w:val="fr-FR"/>
        </w:rPr>
        <w:t xml:space="preserve"> </w:t>
      </w:r>
      <w:r>
        <w:rPr>
          <w:bCs/>
          <w:snapToGrid w:val="0"/>
          <w:lang w:val="fr-FR"/>
        </w:rPr>
        <w:t xml:space="preserve">à </w:t>
      </w:r>
      <w:r w:rsidRPr="004B2AE2">
        <w:rPr>
          <w:bCs/>
          <w:snapToGrid w:val="0"/>
          <w:lang w:val="fr-FR"/>
        </w:rPr>
        <w:t>soutenir des travaux de suivi coordonnés aux échelons mondial, régional, national, infrarégional et local</w:t>
      </w:r>
      <w:r>
        <w:rPr>
          <w:bCs/>
          <w:snapToGrid w:val="0"/>
          <w:lang w:val="fr-FR"/>
        </w:rPr>
        <w:t>,</w:t>
      </w:r>
      <w:r w:rsidRPr="004B2AE2">
        <w:rPr>
          <w:bCs/>
          <w:snapToGrid w:val="0"/>
          <w:lang w:val="fr-FR"/>
        </w:rPr>
        <w:t xml:space="preserve"> et </w:t>
      </w:r>
      <w:r>
        <w:rPr>
          <w:bCs/>
          <w:snapToGrid w:val="0"/>
          <w:lang w:val="fr-FR"/>
        </w:rPr>
        <w:t xml:space="preserve">à </w:t>
      </w:r>
      <w:r w:rsidRPr="004B2AE2">
        <w:rPr>
          <w:bCs/>
          <w:snapToGrid w:val="0"/>
          <w:lang w:val="fr-FR"/>
        </w:rPr>
        <w:t>renforcer les capacités nécessaires, en particulier dans les pays en développement, où les travaux de recherche et de suivi demeurent plus limités jusqu’à présent.</w:t>
      </w:r>
    </w:p>
    <w:p w:rsidR="009F6935" w:rsidRPr="004B2AE2" w:rsidRDefault="009F6935" w:rsidP="009F6935">
      <w:pPr>
        <w:keepNext/>
        <w:suppressLineNumbers/>
        <w:suppressAutoHyphens/>
        <w:kinsoku w:val="0"/>
        <w:overflowPunct w:val="0"/>
        <w:autoSpaceDE w:val="0"/>
        <w:autoSpaceDN w:val="0"/>
        <w:spacing w:before="60" w:after="60"/>
        <w:rPr>
          <w:i/>
          <w:snapToGrid w:val="0"/>
          <w:kern w:val="22"/>
          <w:lang w:val="fr-FR"/>
        </w:rPr>
      </w:pPr>
      <w:r w:rsidRPr="004B2AE2">
        <w:rPr>
          <w:i/>
          <w:snapToGrid w:val="0"/>
          <w:kern w:val="22"/>
          <w:lang w:val="fr-FR"/>
        </w:rPr>
        <w:t>Activités</w:t>
      </w:r>
    </w:p>
    <w:p w:rsidR="009F6935" w:rsidRPr="004B2AE2" w:rsidRDefault="009F6935" w:rsidP="009F6935">
      <w:pPr>
        <w:keepNext/>
        <w:suppressLineNumbers/>
        <w:suppressAutoHyphens/>
        <w:kinsoku w:val="0"/>
        <w:overflowPunct w:val="0"/>
        <w:autoSpaceDE w:val="0"/>
        <w:autoSpaceDN w:val="0"/>
        <w:adjustRightInd w:val="0"/>
        <w:snapToGrid w:val="0"/>
        <w:spacing w:before="240" w:after="120"/>
        <w:rPr>
          <w:b/>
          <w:snapToGrid w:val="0"/>
          <w:kern w:val="22"/>
          <w:lang w:val="fr-FR" w:eastAsia="de-DE"/>
        </w:rPr>
      </w:pPr>
      <w:r w:rsidRPr="004B2AE2">
        <w:rPr>
          <w:b/>
          <w:lang w:val="fr-FR" w:eastAsia="de-DE"/>
        </w:rPr>
        <w:t>A4.1 Suivi</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A.4.1.1 </w:t>
      </w:r>
      <w:r w:rsidRPr="004B2AE2">
        <w:rPr>
          <w:snapToGrid w:val="0"/>
          <w:kern w:val="22"/>
          <w:lang w:val="fr-FR"/>
        </w:rPr>
        <w:t>Assurer le suivi de l’état et des tendances des pollinisateurs</w:t>
      </w:r>
      <w:r>
        <w:rPr>
          <w:snapToGrid w:val="0"/>
          <w:kern w:val="22"/>
          <w:lang w:val="fr-FR"/>
        </w:rPr>
        <w:t>,</w:t>
      </w:r>
      <w:r w:rsidRPr="004B2AE2">
        <w:rPr>
          <w:snapToGrid w:val="0"/>
          <w:kern w:val="22"/>
          <w:lang w:val="fr-FR"/>
        </w:rPr>
        <w:t xml:space="preserve"> en mettant l’accent en particulier sur les régions qui manquent actuellement de données;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A.4.1.2 </w:t>
      </w:r>
      <w:r w:rsidRPr="004B2AE2">
        <w:rPr>
          <w:snapToGrid w:val="0"/>
          <w:kern w:val="22"/>
          <w:lang w:val="fr-FR"/>
        </w:rPr>
        <w:t xml:space="preserve">Quantifier les déficits de pollinisation dans les cultures et dans les écosystèmes naturels, en accordant une attention particulière aux régions et aux systèmes agricoles qui manquent actuellement de </w:t>
      </w:r>
      <w:r>
        <w:rPr>
          <w:snapToGrid w:val="0"/>
          <w:kern w:val="22"/>
          <w:lang w:val="fr-FR"/>
        </w:rPr>
        <w:t>données, lorsque cela est possible</w:t>
      </w:r>
      <w:r w:rsidRPr="004B2AE2">
        <w:rPr>
          <w:snapToGrid w:val="0"/>
          <w:kern w:val="22"/>
          <w:lang w:val="fr-FR"/>
        </w:rPr>
        <w:t xml:space="preserve">, et appliquer des protocoles cohérents et </w:t>
      </w:r>
      <w:r>
        <w:rPr>
          <w:snapToGrid w:val="0"/>
          <w:kern w:val="22"/>
          <w:lang w:val="fr-FR"/>
        </w:rPr>
        <w:t>susceptibles d’être comparé</w:t>
      </w:r>
      <w:r w:rsidRPr="004B2AE2">
        <w:rPr>
          <w:snapToGrid w:val="0"/>
          <w:kern w:val="22"/>
          <w:lang w:val="fr-FR"/>
        </w:rPr>
        <w:t>s pour identifier les mesures d’intervention les plus efficaces;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A.4.1.3 </w:t>
      </w:r>
      <w:r>
        <w:rPr>
          <w:snapToGrid w:val="0"/>
          <w:kern w:val="22"/>
          <w:lang w:val="fr-FR"/>
        </w:rPr>
        <w:t>Surveiller les facteurs de</w:t>
      </w:r>
      <w:r w:rsidRPr="004B2AE2">
        <w:rPr>
          <w:snapToGrid w:val="0"/>
          <w:kern w:val="22"/>
          <w:lang w:val="fr-FR"/>
        </w:rPr>
        <w:t xml:space="preserve"> perte des pollinisateurs et les menaces qui pèsent sur ceux-ci</w:t>
      </w:r>
      <w:r>
        <w:rPr>
          <w:snapToGrid w:val="0"/>
          <w:kern w:val="22"/>
          <w:lang w:val="fr-FR"/>
        </w:rPr>
        <w:t>, en même temps que leur</w:t>
      </w:r>
      <w:r w:rsidRPr="004B2AE2">
        <w:rPr>
          <w:snapToGrid w:val="0"/>
          <w:kern w:val="22"/>
          <w:lang w:val="fr-FR"/>
        </w:rPr>
        <w:t xml:space="preserve"> état et </w:t>
      </w:r>
      <w:r>
        <w:rPr>
          <w:snapToGrid w:val="0"/>
          <w:kern w:val="22"/>
          <w:lang w:val="fr-FR"/>
        </w:rPr>
        <w:t xml:space="preserve">leurs </w:t>
      </w:r>
      <w:r w:rsidRPr="004B2AE2">
        <w:rPr>
          <w:snapToGrid w:val="0"/>
          <w:kern w:val="22"/>
          <w:lang w:val="fr-FR"/>
        </w:rPr>
        <w:t>tendances, afin d’identifier les causes probables de leur déclin;</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A.4.1.4 </w:t>
      </w:r>
      <w:r w:rsidRPr="004B2AE2">
        <w:rPr>
          <w:snapToGrid w:val="0"/>
          <w:kern w:val="22"/>
          <w:lang w:val="fr-FR"/>
        </w:rPr>
        <w:t xml:space="preserve">Surveiller l’efficacité des </w:t>
      </w:r>
      <w:r>
        <w:rPr>
          <w:snapToGrid w:val="0"/>
          <w:kern w:val="22"/>
          <w:lang w:val="fr-FR"/>
        </w:rPr>
        <w:t>mesures d’intervention</w:t>
      </w:r>
      <w:r w:rsidRPr="004B2AE2">
        <w:rPr>
          <w:snapToGrid w:val="0"/>
          <w:kern w:val="22"/>
          <w:lang w:val="fr-FR"/>
        </w:rPr>
        <w:t xml:space="preserve"> visant à protéger les pollinisateurs et gérer les fonctions et services de pollinisation;</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A.4.1.5 </w:t>
      </w:r>
      <w:r w:rsidRPr="004B2AE2">
        <w:rPr>
          <w:snapToGrid w:val="0"/>
          <w:kern w:val="22"/>
          <w:lang w:val="fr-FR"/>
        </w:rPr>
        <w:t>Soutenir l’utilisati</w:t>
      </w:r>
      <w:r>
        <w:rPr>
          <w:snapToGrid w:val="0"/>
          <w:kern w:val="22"/>
          <w:lang w:val="fr-FR"/>
        </w:rPr>
        <w:t>on de technologies</w:t>
      </w:r>
      <w:r w:rsidRPr="004B2AE2">
        <w:rPr>
          <w:snapToGrid w:val="0"/>
          <w:kern w:val="22"/>
          <w:lang w:val="fr-FR"/>
        </w:rPr>
        <w:t xml:space="preserve"> et le développement d’outils faciles à utiliser, tels que les applications mobiles, afin de promouvoir le suivi des</w:t>
      </w:r>
      <w:r>
        <w:rPr>
          <w:snapToGrid w:val="0"/>
          <w:kern w:val="22"/>
          <w:lang w:val="fr-FR"/>
        </w:rPr>
        <w:t xml:space="preserve"> pollinisateurs par les</w:t>
      </w:r>
      <w:r w:rsidRPr="004B2AE2">
        <w:rPr>
          <w:snapToGrid w:val="0"/>
          <w:kern w:val="22"/>
          <w:lang w:val="fr-FR"/>
        </w:rPr>
        <w:t xml:space="preserve"> sciences citoyennes;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A.4.1.6 </w:t>
      </w:r>
      <w:r w:rsidRPr="004B2AE2">
        <w:rPr>
          <w:snapToGrid w:val="0"/>
          <w:kern w:val="22"/>
          <w:lang w:val="fr-FR"/>
        </w:rPr>
        <w:t>Promouvoir l’utilisation des pollinisateurs et de la pollinisation comme indicateurs de l’état de la biodiversité, de la santé des écosystèmes, de la productivité agricole et du développement durable;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kern w:val="22"/>
          <w:lang w:val="fr-FR"/>
        </w:rPr>
        <w:t>A.4.1.7</w:t>
      </w:r>
      <w:r w:rsidRPr="004B2AE2">
        <w:rPr>
          <w:kern w:val="22"/>
          <w:lang w:val="fr-FR"/>
        </w:rPr>
        <w:t xml:space="preserve"> Promouvoir le développement de méthodes de surveillance systématique des pollinisateurs dans les écosystèmes naturels, en particulier dans les</w:t>
      </w:r>
      <w:r>
        <w:rPr>
          <w:kern w:val="22"/>
          <w:lang w:val="fr-FR"/>
        </w:rPr>
        <w:t xml:space="preserve"> zones protégées ou les sites importants</w:t>
      </w:r>
      <w:r w:rsidRPr="004B2AE2">
        <w:rPr>
          <w:kern w:val="22"/>
          <w:lang w:val="fr-FR"/>
        </w:rPr>
        <w:t xml:space="preserve"> pour la </w:t>
      </w:r>
      <w:r w:rsidRPr="004B2AE2">
        <w:rPr>
          <w:kern w:val="22"/>
          <w:lang w:val="fr-FR"/>
        </w:rPr>
        <w:lastRenderedPageBreak/>
        <w:t>conservation et les écosystèmes productifs</w:t>
      </w:r>
      <w:r>
        <w:rPr>
          <w:kern w:val="22"/>
          <w:lang w:val="fr-FR"/>
        </w:rPr>
        <w:t>, de manière</w:t>
      </w:r>
      <w:r w:rsidRPr="004B2AE2">
        <w:rPr>
          <w:kern w:val="22"/>
          <w:lang w:val="fr-FR"/>
        </w:rPr>
        <w:t xml:space="preserve"> à faciliter l'élaboration de cartes visuelles détaillées à l'échelle locale ainsi que la prise de décisions ultérieure.</w:t>
      </w:r>
    </w:p>
    <w:p w:rsidR="009F6935" w:rsidRPr="004B2AE2" w:rsidRDefault="009F6935" w:rsidP="009F6935">
      <w:pPr>
        <w:keepNext/>
        <w:suppressLineNumbers/>
        <w:suppressAutoHyphens/>
        <w:kinsoku w:val="0"/>
        <w:overflowPunct w:val="0"/>
        <w:autoSpaceDE w:val="0"/>
        <w:autoSpaceDN w:val="0"/>
        <w:spacing w:before="240" w:after="120"/>
        <w:rPr>
          <w:b/>
          <w:snapToGrid w:val="0"/>
          <w:kern w:val="22"/>
          <w:lang w:val="fr-FR" w:eastAsia="de-DE"/>
        </w:rPr>
      </w:pPr>
      <w:r w:rsidRPr="004B2AE2">
        <w:rPr>
          <w:b/>
          <w:lang w:val="fr-FR" w:eastAsia="de-DE"/>
        </w:rPr>
        <w:t>A4.2 Recherche</w:t>
      </w:r>
    </w:p>
    <w:p w:rsidR="009F6935" w:rsidRPr="004B2AE2" w:rsidRDefault="009F6935" w:rsidP="009F6935">
      <w:pPr>
        <w:suppressAutoHyphens/>
        <w:spacing w:before="120" w:after="120"/>
        <w:rPr>
          <w:snapToGrid w:val="0"/>
          <w:kern w:val="22"/>
          <w:lang w:val="fr-FR"/>
        </w:rPr>
      </w:pPr>
      <w:r w:rsidRPr="004B2AE2">
        <w:rPr>
          <w:b/>
          <w:snapToGrid w:val="0"/>
          <w:kern w:val="22"/>
          <w:lang w:val="fr-FR"/>
        </w:rPr>
        <w:t xml:space="preserve">A.4.2.1 </w:t>
      </w:r>
      <w:r>
        <w:rPr>
          <w:snapToGrid w:val="0"/>
          <w:kern w:val="22"/>
          <w:lang w:val="fr-FR"/>
        </w:rPr>
        <w:t>Promouvoir la recherche sur d</w:t>
      </w:r>
      <w:r w:rsidRPr="004B2AE2">
        <w:rPr>
          <w:snapToGrid w:val="0"/>
          <w:kern w:val="22"/>
          <w:lang w:val="fr-FR"/>
        </w:rPr>
        <w:t>es taxons autres que les abeilles et d’autres espèces sauvages de pollinisateurs dans les écosystèmes naturels et les fonctions et services qu’ils fournissent</w:t>
      </w:r>
      <w:r>
        <w:rPr>
          <w:snapToGrid w:val="0"/>
          <w:kern w:val="22"/>
          <w:lang w:val="fr-FR"/>
        </w:rPr>
        <w:t>,</w:t>
      </w:r>
      <w:r w:rsidRPr="004B2AE2">
        <w:rPr>
          <w:snapToGrid w:val="0"/>
          <w:kern w:val="22"/>
          <w:lang w:val="fr-FR"/>
        </w:rPr>
        <w:t xml:space="preserve"> afin de concevoir des politiques de gestion et des mesures de protection appropriées;</w:t>
      </w:r>
    </w:p>
    <w:p w:rsidR="009F6935" w:rsidRPr="004B2AE2" w:rsidRDefault="009F6935" w:rsidP="009F6935">
      <w:pPr>
        <w:suppressAutoHyphens/>
        <w:spacing w:before="120" w:after="120"/>
        <w:rPr>
          <w:snapToGrid w:val="0"/>
          <w:kern w:val="22"/>
          <w:lang w:val="fr-FR"/>
        </w:rPr>
      </w:pPr>
      <w:r w:rsidRPr="004B2AE2">
        <w:rPr>
          <w:b/>
          <w:snapToGrid w:val="0"/>
          <w:kern w:val="22"/>
          <w:lang w:val="fr-FR"/>
        </w:rPr>
        <w:t xml:space="preserve">A.4.2.2 </w:t>
      </w:r>
      <w:r w:rsidRPr="004B2AE2">
        <w:rPr>
          <w:snapToGrid w:val="0"/>
          <w:kern w:val="22"/>
          <w:lang w:val="fr-FR"/>
        </w:rPr>
        <w:t>Mener des recherches</w:t>
      </w:r>
      <w:r>
        <w:rPr>
          <w:snapToGrid w:val="0"/>
          <w:kern w:val="22"/>
          <w:lang w:val="fr-FR"/>
        </w:rPr>
        <w:t>, y compris</w:t>
      </w:r>
      <w:r w:rsidRPr="004B2AE2">
        <w:rPr>
          <w:snapToGrid w:val="0"/>
          <w:kern w:val="22"/>
          <w:lang w:val="fr-FR"/>
        </w:rPr>
        <w:t xml:space="preserve"> des recherches participatives, sur les répercussions socioéconomiques et environnementales d</w:t>
      </w:r>
      <w:r>
        <w:rPr>
          <w:snapToGrid w:val="0"/>
          <w:kern w:val="22"/>
          <w:lang w:val="fr-FR"/>
        </w:rPr>
        <w:t>u déclin des pollinisateurs pour</w:t>
      </w:r>
      <w:r w:rsidRPr="004B2AE2">
        <w:rPr>
          <w:snapToGrid w:val="0"/>
          <w:kern w:val="22"/>
          <w:lang w:val="fr-FR"/>
        </w:rPr>
        <w:t xml:space="preserve"> les secteurs agricoles et les entreprises connexes;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szCs w:val="22"/>
          <w:lang w:val="fr-FR"/>
        </w:rPr>
      </w:pPr>
      <w:r w:rsidRPr="004B2AE2">
        <w:rPr>
          <w:b/>
          <w:snapToGrid w:val="0"/>
          <w:kern w:val="22"/>
          <w:lang w:val="fr-FR"/>
        </w:rPr>
        <w:t xml:space="preserve">A.4.2.3 </w:t>
      </w:r>
      <w:r w:rsidRPr="004B2AE2">
        <w:rPr>
          <w:snapToGrid w:val="0"/>
          <w:kern w:val="22"/>
          <w:lang w:val="fr-FR"/>
        </w:rPr>
        <w:t>Faciliter l’harmonisation des prot</w:t>
      </w:r>
      <w:r>
        <w:rPr>
          <w:snapToGrid w:val="0"/>
          <w:kern w:val="22"/>
          <w:lang w:val="fr-FR"/>
        </w:rPr>
        <w:t xml:space="preserve">ocoles de recherche, de collecte </w:t>
      </w:r>
      <w:r w:rsidRPr="004B2AE2">
        <w:rPr>
          <w:snapToGrid w:val="0"/>
          <w:kern w:val="22"/>
          <w:lang w:val="fr-FR"/>
        </w:rPr>
        <w:t>de</w:t>
      </w:r>
      <w:r>
        <w:rPr>
          <w:snapToGrid w:val="0"/>
          <w:kern w:val="22"/>
          <w:lang w:val="fr-FR"/>
        </w:rPr>
        <w:t xml:space="preserve"> données, de gestion, d’analyse, de stockage et de</w:t>
      </w:r>
      <w:r w:rsidRPr="004B2AE2">
        <w:rPr>
          <w:snapToGrid w:val="0"/>
          <w:kern w:val="22"/>
          <w:lang w:val="fr-FR"/>
        </w:rPr>
        <w:t xml:space="preserve"> conservation des spécimens de pollinisateurs, y compris des modalités de recherche collaborative;</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szCs w:val="22"/>
          <w:lang w:val="fr-FR"/>
        </w:rPr>
      </w:pPr>
      <w:r w:rsidRPr="004B2AE2">
        <w:rPr>
          <w:b/>
          <w:snapToGrid w:val="0"/>
          <w:kern w:val="22"/>
          <w:lang w:val="fr-FR"/>
        </w:rPr>
        <w:t xml:space="preserve">A.4.2.4 </w:t>
      </w:r>
      <w:r w:rsidRPr="004B2AE2">
        <w:rPr>
          <w:snapToGrid w:val="0"/>
          <w:kern w:val="22"/>
          <w:lang w:val="fr-FR"/>
        </w:rPr>
        <w:t xml:space="preserve">Promouvoir et partager des recherches plus poussées pour combler les lacunes dans les connaissances, y compris </w:t>
      </w:r>
      <w:r>
        <w:rPr>
          <w:snapToGrid w:val="0"/>
          <w:kern w:val="22"/>
          <w:lang w:val="fr-FR"/>
        </w:rPr>
        <w:t>concernant les effets d’une</w:t>
      </w:r>
      <w:r w:rsidRPr="004B2AE2">
        <w:rPr>
          <w:snapToGrid w:val="0"/>
          <w:kern w:val="22"/>
          <w:lang w:val="fr-FR"/>
        </w:rPr>
        <w:t xml:space="preserve"> perte partielle de pollinisateurs sur la production agricole, les effets potentiels des pesticides, en analysant leurs effets cumulatifs éventuels, et des organismes vivants modifiés dans des conditions naturelles de terrain, y compris les impacts différentiels sur les pollinisateurs domestiques et sauvages, et sur les pollinisateurs sociaux par rapport à ceux qui sont solitaires, ainsi que les impacts sur la pollinisation des végétaux cultivés et non cultivés à court et à long terme, et dans différentes conditions climatiques, ainsi que les impacts de la perte des pollinisateurs sur l’intégrité et le maintien des écosystèmes;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A.4.2.5 </w:t>
      </w:r>
      <w:r w:rsidRPr="004B2AE2">
        <w:rPr>
          <w:snapToGrid w:val="0"/>
          <w:kern w:val="22"/>
          <w:lang w:val="fr-FR"/>
        </w:rPr>
        <w:t>Promouvoir de</w:t>
      </w:r>
      <w:r>
        <w:rPr>
          <w:snapToGrid w:val="0"/>
          <w:kern w:val="22"/>
          <w:lang w:val="fr-FR"/>
        </w:rPr>
        <w:t>s nouvelles recherches pour</w:t>
      </w:r>
      <w:r w:rsidRPr="004B2AE2">
        <w:rPr>
          <w:snapToGrid w:val="0"/>
          <w:kern w:val="22"/>
          <w:lang w:val="fr-FR"/>
        </w:rPr>
        <w:t xml:space="preserve"> identifier des moyens d’intégrer des pratiques respectueuses des pollinisateurs dans les systèmes agricoles</w:t>
      </w:r>
      <w:r>
        <w:rPr>
          <w:snapToGrid w:val="0"/>
          <w:kern w:val="22"/>
          <w:lang w:val="fr-FR"/>
        </w:rPr>
        <w:t>,</w:t>
      </w:r>
      <w:r w:rsidRPr="004B2AE2">
        <w:rPr>
          <w:snapToGrid w:val="0"/>
          <w:kern w:val="22"/>
          <w:lang w:val="fr-FR"/>
        </w:rPr>
        <w:t xml:space="preserve"> dans le cadre des travaux visant à améliorer la quantité et</w:t>
      </w:r>
      <w:r>
        <w:rPr>
          <w:snapToGrid w:val="0"/>
          <w:kern w:val="22"/>
          <w:lang w:val="fr-FR"/>
        </w:rPr>
        <w:t xml:space="preserve"> la qualité des rendements et à </w:t>
      </w:r>
      <w:r w:rsidRPr="004B2AE2">
        <w:rPr>
          <w:snapToGrid w:val="0"/>
          <w:kern w:val="22"/>
          <w:lang w:val="fr-FR"/>
        </w:rPr>
        <w:t>intégrer la biodiversité dans les systèmes agricoles;</w:t>
      </w:r>
    </w:p>
    <w:p w:rsidR="009F6935" w:rsidRPr="004B2AE2" w:rsidRDefault="009F6935" w:rsidP="009F6935">
      <w:pPr>
        <w:suppressLineNumbers/>
        <w:suppressAutoHyphens/>
        <w:adjustRightInd w:val="0"/>
        <w:spacing w:before="120" w:after="120"/>
        <w:rPr>
          <w:snapToGrid w:val="0"/>
          <w:kern w:val="22"/>
          <w:lang w:val="fr-FR"/>
        </w:rPr>
      </w:pPr>
      <w:r w:rsidRPr="004B2AE2">
        <w:rPr>
          <w:b/>
          <w:snapToGrid w:val="0"/>
          <w:kern w:val="22"/>
          <w:lang w:val="fr-FR"/>
        </w:rPr>
        <w:t xml:space="preserve">A.4.2.6 </w:t>
      </w:r>
      <w:r w:rsidRPr="004B2AE2">
        <w:rPr>
          <w:snapToGrid w:val="0"/>
          <w:kern w:val="22"/>
          <w:lang w:val="fr-FR"/>
        </w:rPr>
        <w:t>Promouvoir de nouvelles recherches pour identifier les risques que présentent les changements climat</w:t>
      </w:r>
      <w:r>
        <w:rPr>
          <w:snapToGrid w:val="0"/>
          <w:kern w:val="22"/>
          <w:lang w:val="fr-FR"/>
        </w:rPr>
        <w:t>iques, les mesures d’adaptation</w:t>
      </w:r>
      <w:r w:rsidRPr="004B2AE2">
        <w:rPr>
          <w:snapToGrid w:val="0"/>
          <w:kern w:val="22"/>
          <w:lang w:val="fr-FR"/>
        </w:rPr>
        <w:t xml:space="preserve"> et les outils d’atténuation potentiels pour la pollinisation, notamment la per</w:t>
      </w:r>
      <w:r>
        <w:rPr>
          <w:snapToGrid w:val="0"/>
          <w:kern w:val="22"/>
          <w:lang w:val="fr-FR"/>
        </w:rPr>
        <w:t>te éventuelle</w:t>
      </w:r>
      <w:r w:rsidRPr="004B2AE2">
        <w:rPr>
          <w:snapToGrid w:val="0"/>
          <w:kern w:val="22"/>
          <w:lang w:val="fr-FR"/>
        </w:rPr>
        <w:t xml:space="preserve"> d’espèces clés et de leurs habi</w:t>
      </w:r>
      <w:r>
        <w:rPr>
          <w:snapToGrid w:val="0"/>
          <w:kern w:val="22"/>
          <w:lang w:val="fr-FR"/>
        </w:rPr>
        <w:t>tats, ainsi que le rôle de</w:t>
      </w:r>
      <w:r w:rsidRPr="004B2AE2">
        <w:rPr>
          <w:snapToGrid w:val="0"/>
          <w:kern w:val="22"/>
          <w:lang w:val="fr-FR"/>
        </w:rPr>
        <w:t xml:space="preserve"> la pollinisation dans la résilience et la restauration des écosystèmes en général; </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 xml:space="preserve">A.4.2.7 </w:t>
      </w:r>
      <w:r w:rsidRPr="004B2AE2">
        <w:rPr>
          <w:snapToGrid w:val="0"/>
          <w:kern w:val="22"/>
          <w:lang w:val="fr-FR"/>
        </w:rPr>
        <w:t>Promouvoir de nouvelle</w:t>
      </w:r>
      <w:r>
        <w:rPr>
          <w:snapToGrid w:val="0"/>
          <w:kern w:val="22"/>
          <w:lang w:val="fr-FR"/>
        </w:rPr>
        <w:t>s recherches et l’analyse des i</w:t>
      </w:r>
      <w:r w:rsidRPr="004B2AE2">
        <w:rPr>
          <w:snapToGrid w:val="0"/>
          <w:kern w:val="22"/>
          <w:lang w:val="fr-FR"/>
        </w:rPr>
        <w:t>nteraction</w:t>
      </w:r>
      <w:r>
        <w:rPr>
          <w:snapToGrid w:val="0"/>
          <w:kern w:val="22"/>
          <w:lang w:val="fr-FR"/>
        </w:rPr>
        <w:t>s entre</w:t>
      </w:r>
      <w:r w:rsidRPr="004B2AE2">
        <w:rPr>
          <w:snapToGrid w:val="0"/>
          <w:kern w:val="22"/>
          <w:lang w:val="fr-FR"/>
        </w:rPr>
        <w:t xml:space="preserve"> la gestion des rava</w:t>
      </w:r>
      <w:r>
        <w:rPr>
          <w:snapToGrid w:val="0"/>
          <w:kern w:val="22"/>
          <w:lang w:val="fr-FR"/>
        </w:rPr>
        <w:t xml:space="preserve">geurs et </w:t>
      </w:r>
      <w:r w:rsidRPr="004B2AE2">
        <w:rPr>
          <w:snapToGrid w:val="0"/>
          <w:kern w:val="22"/>
          <w:lang w:val="fr-FR"/>
        </w:rPr>
        <w:t>les fonctions et services</w:t>
      </w:r>
      <w:r>
        <w:rPr>
          <w:snapToGrid w:val="0"/>
          <w:kern w:val="22"/>
          <w:lang w:val="fr-FR"/>
        </w:rPr>
        <w:t xml:space="preserve"> de pollinisation, compte tenu </w:t>
      </w:r>
      <w:r w:rsidRPr="004B2AE2">
        <w:rPr>
          <w:snapToGrid w:val="0"/>
          <w:kern w:val="22"/>
          <w:lang w:val="fr-FR"/>
        </w:rPr>
        <w:t>de l’impact des facteurs du déclin des pollinisateurs, afin de soutenir le développement d’autres solutions plus faisables et durables;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lang w:val="fr-FR"/>
        </w:rPr>
      </w:pPr>
      <w:r w:rsidRPr="004B2AE2">
        <w:rPr>
          <w:b/>
          <w:snapToGrid w:val="0"/>
          <w:kern w:val="22"/>
          <w:lang w:val="fr-FR"/>
        </w:rPr>
        <w:t>A.4.2.</w:t>
      </w:r>
      <w:r>
        <w:rPr>
          <w:b/>
          <w:snapToGrid w:val="0"/>
          <w:kern w:val="22"/>
          <w:lang w:val="fr-FR"/>
        </w:rPr>
        <w:t>8</w:t>
      </w:r>
      <w:r w:rsidRPr="004B2AE2">
        <w:rPr>
          <w:b/>
          <w:snapToGrid w:val="0"/>
          <w:kern w:val="22"/>
          <w:lang w:val="fr-FR"/>
        </w:rPr>
        <w:t xml:space="preserve"> </w:t>
      </w:r>
      <w:r w:rsidRPr="004B2AE2">
        <w:rPr>
          <w:bCs/>
          <w:snapToGrid w:val="0"/>
          <w:kern w:val="22"/>
          <w:lang w:val="fr-FR"/>
        </w:rPr>
        <w:t>Promouvoir d’autres recherches et analyses pour identifier des moyens d’intégrer la fourniture des fonctions et services écosystémiques et la conservation des pollinisateurs, au</w:t>
      </w:r>
      <w:r w:rsidRPr="004B2AE2">
        <w:rPr>
          <w:bCs/>
          <w:snapToGrid w:val="0"/>
          <w:kern w:val="22"/>
          <w:lang w:val="fr-FR"/>
        </w:rPr>
        <w:noBreakHyphen/>
        <w:t>delà de la production alimentaire;</w:t>
      </w:r>
    </w:p>
    <w:p w:rsidR="009F6935" w:rsidRPr="004B2AE2" w:rsidRDefault="009F6935" w:rsidP="009F6935">
      <w:pPr>
        <w:suppressAutoHyphens/>
        <w:spacing w:before="120" w:after="120"/>
        <w:rPr>
          <w:snapToGrid w:val="0"/>
          <w:kern w:val="22"/>
          <w:lang w:val="fr-FR"/>
        </w:rPr>
      </w:pPr>
      <w:r>
        <w:rPr>
          <w:b/>
          <w:snapToGrid w:val="0"/>
          <w:kern w:val="22"/>
          <w:lang w:val="fr-FR"/>
        </w:rPr>
        <w:t>A.4.2.9</w:t>
      </w:r>
      <w:r w:rsidRPr="004B2AE2">
        <w:rPr>
          <w:b/>
          <w:snapToGrid w:val="0"/>
          <w:kern w:val="22"/>
          <w:lang w:val="fr-FR"/>
        </w:rPr>
        <w:t xml:space="preserve"> </w:t>
      </w:r>
      <w:r>
        <w:rPr>
          <w:snapToGrid w:val="0"/>
          <w:kern w:val="22"/>
          <w:lang w:val="fr-FR"/>
        </w:rPr>
        <w:t>Transposer les</w:t>
      </w:r>
      <w:r w:rsidRPr="004B2AE2">
        <w:rPr>
          <w:snapToGrid w:val="0"/>
          <w:kern w:val="22"/>
          <w:lang w:val="fr-FR"/>
        </w:rPr>
        <w:t xml:space="preserve"> recherche</w:t>
      </w:r>
      <w:r>
        <w:rPr>
          <w:snapToGrid w:val="0"/>
          <w:kern w:val="22"/>
          <w:lang w:val="fr-FR"/>
        </w:rPr>
        <w:t>s sur les pollinisateurs et leurs</w:t>
      </w:r>
      <w:r w:rsidRPr="004B2AE2">
        <w:rPr>
          <w:snapToGrid w:val="0"/>
          <w:kern w:val="22"/>
          <w:lang w:val="fr-FR"/>
        </w:rPr>
        <w:t xml:space="preserve"> conclusions en recommandations et bonnes pratiques adaptées à un large éventail de groupes d’intervenants;</w:t>
      </w:r>
    </w:p>
    <w:p w:rsidR="009F6935" w:rsidRPr="004B2AE2" w:rsidRDefault="009F6935" w:rsidP="009F6935">
      <w:pPr>
        <w:suppressLineNumbers/>
        <w:suppressAutoHyphens/>
        <w:kinsoku w:val="0"/>
        <w:overflowPunct w:val="0"/>
        <w:autoSpaceDE w:val="0"/>
        <w:autoSpaceDN w:val="0"/>
        <w:adjustRightInd w:val="0"/>
        <w:snapToGrid w:val="0"/>
        <w:spacing w:before="120" w:after="120"/>
        <w:rPr>
          <w:snapToGrid w:val="0"/>
          <w:kern w:val="22"/>
          <w:lang w:val="fr-FR"/>
        </w:rPr>
      </w:pPr>
      <w:r>
        <w:rPr>
          <w:b/>
          <w:snapToGrid w:val="0"/>
          <w:kern w:val="22"/>
          <w:lang w:val="fr-FR"/>
        </w:rPr>
        <w:t>A.4.2.10</w:t>
      </w:r>
      <w:r w:rsidRPr="004B2AE2">
        <w:rPr>
          <w:b/>
          <w:snapToGrid w:val="0"/>
          <w:kern w:val="22"/>
          <w:lang w:val="fr-FR"/>
        </w:rPr>
        <w:t xml:space="preserve"> </w:t>
      </w:r>
      <w:r w:rsidRPr="004B2AE2">
        <w:rPr>
          <w:snapToGrid w:val="0"/>
          <w:kern w:val="22"/>
          <w:lang w:val="fr-FR"/>
        </w:rPr>
        <w:t>Renforcer les synergies entre les preuves scientifiques, les pratiques de conservation, les pratiques des agriculteurs-chercheurs et les connaissances traditionnelles afin de mieux soutenir les actions.</w:t>
      </w:r>
    </w:p>
    <w:p w:rsidR="009F6935" w:rsidRPr="004B2AE2" w:rsidRDefault="009F6935" w:rsidP="009F6935">
      <w:pPr>
        <w:keepNext/>
        <w:suppressLineNumbers/>
        <w:suppressAutoHyphens/>
        <w:kinsoku w:val="0"/>
        <w:overflowPunct w:val="0"/>
        <w:autoSpaceDE w:val="0"/>
        <w:autoSpaceDN w:val="0"/>
        <w:spacing w:before="240" w:after="120"/>
        <w:rPr>
          <w:b/>
          <w:snapToGrid w:val="0"/>
          <w:kern w:val="22"/>
          <w:lang w:val="fr-FR" w:eastAsia="de-DE"/>
        </w:rPr>
      </w:pPr>
      <w:r w:rsidRPr="004B2AE2">
        <w:rPr>
          <w:b/>
          <w:lang w:val="fr-FR" w:eastAsia="de-DE"/>
        </w:rPr>
        <w:t>A4.3 Évaluation</w:t>
      </w:r>
    </w:p>
    <w:p w:rsidR="009F6935" w:rsidRPr="004B2AE2" w:rsidRDefault="009F6935" w:rsidP="009F6935">
      <w:pPr>
        <w:suppressLineNumbers/>
        <w:suppressAutoHyphens/>
        <w:adjustRightInd w:val="0"/>
        <w:snapToGrid w:val="0"/>
        <w:spacing w:before="120" w:after="120" w:line="240" w:lineRule="atLeast"/>
        <w:rPr>
          <w:snapToGrid w:val="0"/>
          <w:kern w:val="22"/>
          <w:lang w:val="fr-FR"/>
        </w:rPr>
      </w:pPr>
      <w:r w:rsidRPr="004B2AE2">
        <w:rPr>
          <w:b/>
          <w:snapToGrid w:val="0"/>
          <w:kern w:val="22"/>
          <w:lang w:val="fr-FR"/>
        </w:rPr>
        <w:t xml:space="preserve">A.4.3.1 </w:t>
      </w:r>
      <w:r w:rsidRPr="004B2AE2">
        <w:rPr>
          <w:snapToGrid w:val="0"/>
          <w:kern w:val="22"/>
          <w:lang w:val="fr-FR"/>
        </w:rPr>
        <w:t>Générer des fic</w:t>
      </w:r>
      <w:r>
        <w:rPr>
          <w:snapToGrid w:val="0"/>
          <w:kern w:val="22"/>
          <w:lang w:val="fr-FR"/>
        </w:rPr>
        <w:t xml:space="preserve">hiers de données en utilisant </w:t>
      </w:r>
      <w:r w:rsidRPr="004B2AE2">
        <w:rPr>
          <w:snapToGrid w:val="0"/>
          <w:kern w:val="22"/>
          <w:lang w:val="fr-FR"/>
        </w:rPr>
        <w:t>un processus de surveillance permanent des pollinisateurs qui permette la création</w:t>
      </w:r>
      <w:r w:rsidRPr="004B2AE2">
        <w:rPr>
          <w:b/>
          <w:snapToGrid w:val="0"/>
          <w:kern w:val="22"/>
          <w:lang w:val="fr-FR"/>
        </w:rPr>
        <w:t xml:space="preserve"> </w:t>
      </w:r>
      <w:r w:rsidRPr="004B2AE2">
        <w:rPr>
          <w:snapToGrid w:val="0"/>
          <w:kern w:val="22"/>
          <w:lang w:val="fr-FR"/>
        </w:rPr>
        <w:t xml:space="preserve">de cartes visuelles régionales/nationales/infranationales et locales pour indiquer l’état et les tendances des pollinisateurs et de la pollinisation, et la vulnérabilité spécifique aux cultures et soutenir la prise de décisions; </w:t>
      </w:r>
    </w:p>
    <w:p w:rsidR="009F6935" w:rsidRPr="004B2AE2" w:rsidRDefault="009F6935" w:rsidP="009F6935">
      <w:pPr>
        <w:suppressLineNumbers/>
        <w:suppressAutoHyphens/>
        <w:adjustRightInd w:val="0"/>
        <w:snapToGrid w:val="0"/>
        <w:spacing w:before="120" w:after="120" w:line="240" w:lineRule="atLeast"/>
        <w:rPr>
          <w:snapToGrid w:val="0"/>
          <w:kern w:val="22"/>
          <w:lang w:val="fr-FR"/>
        </w:rPr>
      </w:pPr>
      <w:r w:rsidRPr="004B2AE2">
        <w:rPr>
          <w:b/>
          <w:snapToGrid w:val="0"/>
          <w:kern w:val="22"/>
          <w:lang w:val="fr-FR"/>
        </w:rPr>
        <w:lastRenderedPageBreak/>
        <w:t xml:space="preserve">A.4.3.2 </w:t>
      </w:r>
      <w:r>
        <w:rPr>
          <w:snapToGrid w:val="0"/>
          <w:kern w:val="22"/>
          <w:lang w:val="fr-FR"/>
        </w:rPr>
        <w:t xml:space="preserve">Évaluer les avantages procurés par les pollinisateurs et </w:t>
      </w:r>
      <w:r w:rsidRPr="004B2AE2">
        <w:rPr>
          <w:snapToGrid w:val="0"/>
          <w:kern w:val="22"/>
          <w:lang w:val="fr-FR"/>
        </w:rPr>
        <w:t>la pollinisation en tenant compte de leurs valeurs économiques et autres pour l’agriculture et le secteur privé, y compris les industries alimentaires, les fabricants de cosmétiques et les chaînes logistiques;</w:t>
      </w:r>
    </w:p>
    <w:p w:rsidR="009F6935" w:rsidRPr="004B2AE2" w:rsidRDefault="009F6935" w:rsidP="009F6935">
      <w:pPr>
        <w:suppressLineNumbers/>
        <w:suppressAutoHyphens/>
        <w:adjustRightInd w:val="0"/>
        <w:snapToGrid w:val="0"/>
        <w:spacing w:before="120" w:after="120" w:line="240" w:lineRule="atLeast"/>
        <w:rPr>
          <w:snapToGrid w:val="0"/>
          <w:kern w:val="22"/>
          <w:lang w:val="fr-FR"/>
        </w:rPr>
      </w:pPr>
      <w:r w:rsidRPr="004B2AE2">
        <w:rPr>
          <w:b/>
          <w:snapToGrid w:val="0"/>
          <w:kern w:val="22"/>
          <w:lang w:val="fr-FR"/>
        </w:rPr>
        <w:t xml:space="preserve">A.4.3.3 </w:t>
      </w:r>
      <w:r>
        <w:rPr>
          <w:snapToGrid w:val="0"/>
          <w:kern w:val="22"/>
          <w:lang w:val="fr-FR"/>
        </w:rPr>
        <w:t>Évaluer les avantages procurés par d</w:t>
      </w:r>
      <w:r w:rsidRPr="004B2AE2">
        <w:rPr>
          <w:snapToGrid w:val="0"/>
          <w:kern w:val="22"/>
          <w:lang w:val="fr-FR"/>
        </w:rPr>
        <w:t>es pratiques respectueuses des pollinisateurs, y compris la conservation des zones non cultivées des terres agricoles, et proposer des solutions de remplacement du déboisement;</w:t>
      </w:r>
    </w:p>
    <w:p w:rsidR="009F6935" w:rsidRPr="004B2AE2" w:rsidRDefault="009F6935" w:rsidP="009F6935">
      <w:pPr>
        <w:suppressAutoHyphens/>
        <w:spacing w:before="120" w:after="120"/>
        <w:rPr>
          <w:lang w:val="fr-FR" w:eastAsia="de-DE"/>
        </w:rPr>
      </w:pPr>
      <w:r w:rsidRPr="004B2AE2">
        <w:rPr>
          <w:b/>
          <w:snapToGrid w:val="0"/>
          <w:kern w:val="22"/>
          <w:lang w:val="fr-FR"/>
        </w:rPr>
        <w:t xml:space="preserve">A.4.3.4 </w:t>
      </w:r>
      <w:r w:rsidRPr="004B2AE2">
        <w:rPr>
          <w:lang w:val="fr-FR" w:eastAsia="de-DE"/>
        </w:rPr>
        <w:t>Accroître la compréhension des conséquences du déclin des pollinisateurs dans les cultures, les écosystèmes agricoles</w:t>
      </w:r>
      <w:r>
        <w:rPr>
          <w:lang w:val="fr-FR" w:eastAsia="de-DE"/>
        </w:rPr>
        <w:t xml:space="preserve"> et les milieux</w:t>
      </w:r>
      <w:r w:rsidRPr="004B2AE2">
        <w:rPr>
          <w:lang w:val="fr-FR" w:eastAsia="de-DE"/>
        </w:rPr>
        <w:t xml:space="preserve"> naturels;</w:t>
      </w:r>
    </w:p>
    <w:p w:rsidR="009F6935" w:rsidRPr="004B2AE2" w:rsidRDefault="009F6935" w:rsidP="009F6935">
      <w:pPr>
        <w:suppressAutoHyphens/>
        <w:spacing w:before="120" w:after="120"/>
        <w:rPr>
          <w:lang w:val="fr-FR" w:eastAsia="de-DE"/>
        </w:rPr>
      </w:pPr>
      <w:r w:rsidRPr="004B2AE2">
        <w:rPr>
          <w:b/>
          <w:snapToGrid w:val="0"/>
          <w:kern w:val="22"/>
          <w:lang w:val="fr-FR"/>
        </w:rPr>
        <w:t xml:space="preserve">A.4.3.5 </w:t>
      </w:r>
      <w:r w:rsidRPr="004B2AE2">
        <w:rPr>
          <w:lang w:val="fr-FR" w:eastAsia="de-DE"/>
        </w:rPr>
        <w:t xml:space="preserve">Appuyer l’identification des pollinisateurs dans les </w:t>
      </w:r>
      <w:r>
        <w:rPr>
          <w:lang w:val="fr-FR" w:eastAsia="de-DE"/>
        </w:rPr>
        <w:t>zones naturelles les zones gérées par l’homme</w:t>
      </w:r>
      <w:r w:rsidRPr="004B2AE2">
        <w:rPr>
          <w:lang w:val="fr-FR" w:eastAsia="de-DE"/>
        </w:rPr>
        <w:t>, telles que les systèmes forestiers et agricoles, ainsi que les interactions entre pollinisateurs et végétaux, et les incidences des activités anthropiques dans les écosystèmes;</w:t>
      </w:r>
    </w:p>
    <w:p w:rsidR="009F6935" w:rsidRPr="004B2AE2" w:rsidRDefault="009F6935" w:rsidP="009F6935">
      <w:pPr>
        <w:suppressAutoHyphens/>
        <w:spacing w:before="120" w:after="120" w:line="240" w:lineRule="atLeast"/>
        <w:rPr>
          <w:lang w:val="fr-FR"/>
        </w:rPr>
      </w:pPr>
      <w:r w:rsidRPr="004B2AE2">
        <w:rPr>
          <w:b/>
          <w:snapToGrid w:val="0"/>
          <w:kern w:val="22"/>
          <w:lang w:val="fr-FR"/>
        </w:rPr>
        <w:t xml:space="preserve">A.4.3.6 </w:t>
      </w:r>
      <w:r w:rsidRPr="004B2AE2">
        <w:rPr>
          <w:lang w:val="fr-FR" w:eastAsia="de-DE"/>
        </w:rPr>
        <w:t>Aborder les besoins d’évaluation taxonomique dans différentes régions et concevoir des stratégies ciblées pour combler les lacunes existantes;</w:t>
      </w:r>
    </w:p>
    <w:p w:rsidR="009F6935" w:rsidRPr="004B2AE2" w:rsidRDefault="009F6935" w:rsidP="009F6935">
      <w:pPr>
        <w:suppressAutoHyphens/>
        <w:spacing w:before="120" w:after="120" w:line="240" w:lineRule="atLeast"/>
        <w:rPr>
          <w:lang w:val="fr-FR"/>
        </w:rPr>
      </w:pPr>
      <w:r w:rsidRPr="004B2AE2">
        <w:rPr>
          <w:b/>
          <w:snapToGrid w:val="0"/>
          <w:kern w:val="22"/>
          <w:lang w:val="fr-FR"/>
        </w:rPr>
        <w:t xml:space="preserve">A.4.3.7 </w:t>
      </w:r>
      <w:r w:rsidRPr="004B2AE2">
        <w:rPr>
          <w:lang w:val="fr-FR"/>
        </w:rPr>
        <w:t>Augmenter les capacités taxonomiques afin d’améliorer les connaissances sur les pollinisateur</w:t>
      </w:r>
      <w:r>
        <w:rPr>
          <w:lang w:val="fr-FR"/>
        </w:rPr>
        <w:t>s, leur état et leurs tendances;</w:t>
      </w:r>
      <w:r w:rsidRPr="004B2AE2">
        <w:rPr>
          <w:lang w:val="fr-FR"/>
        </w:rPr>
        <w:t xml:space="preserve"> identifier les facteurs de changement dans leurs populations et développer des solutions appropriées;</w:t>
      </w:r>
    </w:p>
    <w:p w:rsidR="009F6935" w:rsidRPr="004B2AE2" w:rsidRDefault="009F6935" w:rsidP="009F6935">
      <w:pPr>
        <w:suppressLineNumbers/>
        <w:suppressAutoHyphens/>
        <w:kinsoku w:val="0"/>
        <w:overflowPunct w:val="0"/>
        <w:autoSpaceDE w:val="0"/>
        <w:autoSpaceDN w:val="0"/>
        <w:spacing w:before="120" w:after="120" w:line="240" w:lineRule="atLeast"/>
        <w:rPr>
          <w:snapToGrid w:val="0"/>
          <w:kern w:val="22"/>
          <w:lang w:val="fr-FR"/>
        </w:rPr>
      </w:pPr>
      <w:r w:rsidRPr="004B2AE2">
        <w:rPr>
          <w:b/>
          <w:snapToGrid w:val="0"/>
          <w:kern w:val="22"/>
          <w:lang w:val="fr-FR"/>
        </w:rPr>
        <w:t xml:space="preserve">A.4.3.8 </w:t>
      </w:r>
      <w:r w:rsidRPr="004B2AE2">
        <w:rPr>
          <w:lang w:val="fr-FR"/>
        </w:rPr>
        <w:t>Promouvoir l’évaluation régul</w:t>
      </w:r>
      <w:r>
        <w:rPr>
          <w:lang w:val="fr-FR"/>
        </w:rPr>
        <w:t xml:space="preserve">ière de l’état de conservation des </w:t>
      </w:r>
      <w:r w:rsidRPr="004B2AE2">
        <w:rPr>
          <w:lang w:val="fr-FR"/>
        </w:rPr>
        <w:t>espèces de pollinisateurs de différents groupes taxonomiques, mettre régulièrement à jour les Livres rouges et les Listes rouges nationaux, régionaux et mondiaux, et élaborer des plans d’action pour la conservation et la restauration des espèces de pollinisateurs menacées.</w:t>
      </w:r>
    </w:p>
    <w:p w:rsidR="009F6935" w:rsidRPr="004B2AE2" w:rsidRDefault="009F6935" w:rsidP="009F6935">
      <w:pPr>
        <w:pStyle w:val="Heading1"/>
        <w:numPr>
          <w:ilvl w:val="1"/>
          <w:numId w:val="0"/>
        </w:numPr>
        <w:suppressLineNumbers/>
        <w:tabs>
          <w:tab w:val="clear" w:pos="720"/>
        </w:tabs>
        <w:suppressAutoHyphens/>
        <w:kinsoku w:val="0"/>
        <w:overflowPunct w:val="0"/>
        <w:autoSpaceDE w:val="0"/>
        <w:autoSpaceDN w:val="0"/>
        <w:spacing w:line="240" w:lineRule="atLeast"/>
        <w:ind w:left="567" w:hanging="567"/>
        <w:jc w:val="both"/>
        <w:rPr>
          <w:b w:val="0"/>
          <w:i/>
          <w:snapToGrid w:val="0"/>
          <w:kern w:val="22"/>
          <w:lang w:val="fr-FR"/>
        </w:rPr>
      </w:pPr>
      <w:bookmarkStart w:id="434" w:name="_Toc525904282"/>
      <w:bookmarkStart w:id="435" w:name="_Toc525904441"/>
      <w:bookmarkStart w:id="436" w:name="_Toc525904685"/>
      <w:r w:rsidRPr="004B2AE2">
        <w:rPr>
          <w:b w:val="0"/>
          <w:i/>
          <w:lang w:val="fr-FR"/>
        </w:rPr>
        <w:t>A</w:t>
      </w:r>
      <w:r w:rsidRPr="004B2AE2">
        <w:rPr>
          <w:b w:val="0"/>
          <w:i/>
          <w:caps w:val="0"/>
          <w:lang w:val="fr-FR"/>
        </w:rPr>
        <w:t>cteurs</w:t>
      </w:r>
      <w:bookmarkEnd w:id="434"/>
      <w:bookmarkEnd w:id="435"/>
      <w:bookmarkEnd w:id="436"/>
    </w:p>
    <w:p w:rsidR="009F6935" w:rsidRPr="004B2AE2" w:rsidRDefault="009F6935" w:rsidP="009F6935">
      <w:pPr>
        <w:suppressAutoHyphens/>
        <w:spacing w:before="120" w:after="120"/>
        <w:rPr>
          <w:lang w:val="fr-FR"/>
        </w:rPr>
      </w:pPr>
      <w:r w:rsidRPr="004B2AE2">
        <w:rPr>
          <w:lang w:val="fr-FR"/>
        </w:rPr>
        <w:t>Le présent pl</w:t>
      </w:r>
      <w:r>
        <w:rPr>
          <w:lang w:val="fr-FR"/>
        </w:rPr>
        <w:t>an d’action est destiné à tous</w:t>
      </w:r>
      <w:r w:rsidRPr="004B2AE2">
        <w:rPr>
          <w:lang w:val="fr-FR"/>
        </w:rPr>
        <w:t xml:space="preserve"> les acteurs concernés, y compris les Parties aux Conventions de Rio et </w:t>
      </w:r>
      <w:r>
        <w:rPr>
          <w:lang w:val="fr-FR"/>
        </w:rPr>
        <w:t>à d’</w:t>
      </w:r>
      <w:r w:rsidRPr="004B2AE2">
        <w:rPr>
          <w:lang w:val="fr-FR"/>
        </w:rPr>
        <w:t>autres accords multilatéraux sur l’environnement, les gouvernements nationaux, infranationaux et municipaux, les organismes donateurs, y compris le Fonds pour l’environnement mondial, la Banque mondiale, les banques de développement régionales et nationales et les banques possédant un portefeuille important de prêts pour le développement rural, les donateurs privés et les entreprises donatri</w:t>
      </w:r>
      <w:r>
        <w:rPr>
          <w:lang w:val="fr-FR"/>
        </w:rPr>
        <w:t>ces, ainsi que les autres organisme</w:t>
      </w:r>
      <w:r w:rsidRPr="004B2AE2">
        <w:rPr>
          <w:lang w:val="fr-FR"/>
        </w:rPr>
        <w:t>s et organisations compétents, les propriétaires fonciers, les gestionnaires des terres, les agriculteurs, les apiculteurs, les peuples autochtones et les communauté locales, le secteur privé et la société civile.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lang w:val="fr-FR"/>
        </w:rPr>
        <w:t>Compte tenu du succès de l’approche adoptée pour le plan précédent, la FAO facilitera la mise en œuvre du présent plan d’action. Cette nouvelle phase vise aussi à aligner les activités relatives à la pollinisati</w:t>
      </w:r>
      <w:r>
        <w:rPr>
          <w:lang w:val="fr-FR"/>
        </w:rPr>
        <w:t xml:space="preserve">on et aux pollinisateurs davantage </w:t>
      </w:r>
      <w:r w:rsidRPr="004B2AE2">
        <w:rPr>
          <w:lang w:val="fr-FR"/>
        </w:rPr>
        <w:t>sur les bureaux régionaux et nationaux de la FAO</w:t>
      </w:r>
      <w:r>
        <w:rPr>
          <w:lang w:val="fr-FR"/>
        </w:rPr>
        <w:t>,</w:t>
      </w:r>
      <w:r w:rsidRPr="004B2AE2">
        <w:rPr>
          <w:lang w:val="fr-FR"/>
        </w:rPr>
        <w:t xml:space="preserve"> afin de créer des synergies et </w:t>
      </w:r>
      <w:r>
        <w:rPr>
          <w:lang w:val="fr-FR"/>
        </w:rPr>
        <w:t>d’</w:t>
      </w:r>
      <w:r w:rsidRPr="004B2AE2">
        <w:rPr>
          <w:lang w:val="fr-FR"/>
        </w:rPr>
        <w:t>offrir un soutien plus ample. La pleine mise en œuvre de la deuxième phase du plan d’action aux niveaux national et régional dépendra de la disponibilité de ressources.</w:t>
      </w:r>
    </w:p>
    <w:p w:rsidR="009F6935" w:rsidRPr="004B2AE2" w:rsidRDefault="009F6935" w:rsidP="009F6935">
      <w:pPr>
        <w:pStyle w:val="Heading1"/>
        <w:suppressLineNumbers/>
        <w:tabs>
          <w:tab w:val="clear" w:pos="720"/>
          <w:tab w:val="left" w:pos="360"/>
        </w:tabs>
        <w:suppressAutoHyphens/>
        <w:kinsoku w:val="0"/>
        <w:overflowPunct w:val="0"/>
        <w:autoSpaceDE w:val="0"/>
        <w:autoSpaceDN w:val="0"/>
        <w:rPr>
          <w:rFonts w:ascii="Times New Roman Bold" w:hAnsi="Times New Roman Bold" w:cs="Times New Roman Bold"/>
          <w:caps w:val="0"/>
          <w:snapToGrid w:val="0"/>
          <w:kern w:val="22"/>
          <w:lang w:val="fr-FR"/>
        </w:rPr>
      </w:pPr>
      <w:bookmarkStart w:id="437" w:name="_Toc525904283"/>
      <w:bookmarkStart w:id="438" w:name="_Toc525904442"/>
      <w:bookmarkStart w:id="439" w:name="_Toc525904686"/>
      <w:r w:rsidRPr="004B2AE2">
        <w:rPr>
          <w:rFonts w:ascii="Times New Roman Bold" w:hAnsi="Times New Roman Bold" w:cs="Times New Roman Bold"/>
          <w:caps w:val="0"/>
          <w:snapToGrid w:val="0"/>
          <w:kern w:val="22"/>
          <w:lang w:val="fr-FR"/>
        </w:rPr>
        <w:t>IV.</w:t>
      </w:r>
      <w:r w:rsidRPr="004B2AE2">
        <w:rPr>
          <w:rFonts w:ascii="Times New Roman Bold" w:hAnsi="Times New Roman Bold" w:cs="Times New Roman Bold"/>
          <w:caps w:val="0"/>
          <w:snapToGrid w:val="0"/>
          <w:kern w:val="22"/>
          <w:lang w:val="fr-FR"/>
        </w:rPr>
        <w:tab/>
      </w:r>
      <w:r w:rsidRPr="004B2AE2">
        <w:rPr>
          <w:lang w:val="fr-FR"/>
        </w:rPr>
        <w:t>O</w:t>
      </w:r>
      <w:r>
        <w:rPr>
          <w:lang w:val="fr-FR"/>
        </w:rPr>
        <w:t>rientations et outils d’aide</w:t>
      </w:r>
      <w:bookmarkEnd w:id="437"/>
      <w:bookmarkEnd w:id="438"/>
      <w:bookmarkEnd w:id="439"/>
    </w:p>
    <w:p w:rsidR="009F6935" w:rsidRPr="004B2AE2" w:rsidRDefault="009F6935" w:rsidP="009F6935">
      <w:pPr>
        <w:suppressLineNumbers/>
        <w:suppressAutoHyphens/>
        <w:kinsoku w:val="0"/>
        <w:overflowPunct w:val="0"/>
        <w:autoSpaceDE w:val="0"/>
        <w:autoSpaceDN w:val="0"/>
        <w:spacing w:before="120" w:after="120"/>
        <w:rPr>
          <w:lang w:val="fr-FR"/>
        </w:rPr>
      </w:pPr>
      <w:r w:rsidRPr="004B2AE2">
        <w:rPr>
          <w:lang w:val="fr-FR"/>
        </w:rPr>
        <w:t>On trouvera dans le document d’information CBD/SBSTTA/22/INF/20 une liste des or</w:t>
      </w:r>
      <w:r>
        <w:rPr>
          <w:lang w:val="fr-FR"/>
        </w:rPr>
        <w:t>ientations et des outils d’aide</w:t>
      </w:r>
      <w:r w:rsidRPr="004B2AE2">
        <w:rPr>
          <w:lang w:val="fr-FR"/>
        </w:rPr>
        <w:t>.</w:t>
      </w:r>
    </w:p>
    <w:p w:rsidR="009F6935" w:rsidRPr="004B2AE2" w:rsidRDefault="009F6935" w:rsidP="009F6935">
      <w:pPr>
        <w:suppressLineNumbers/>
        <w:suppressAutoHyphens/>
        <w:kinsoku w:val="0"/>
        <w:overflowPunct w:val="0"/>
        <w:autoSpaceDE w:val="0"/>
        <w:autoSpaceDN w:val="0"/>
        <w:spacing w:before="120" w:after="120"/>
        <w:rPr>
          <w:lang w:val="fr-FR"/>
        </w:rPr>
      </w:pP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p>
    <w:p w:rsidR="009F6935" w:rsidRPr="004B2AE2" w:rsidRDefault="009F6935" w:rsidP="009F6935">
      <w:pPr>
        <w:pStyle w:val="Para1"/>
        <w:keepNext/>
        <w:numPr>
          <w:ilvl w:val="0"/>
          <w:numId w:val="0"/>
        </w:numPr>
        <w:suppressLineNumbers/>
        <w:suppressAutoHyphens/>
        <w:kinsoku w:val="0"/>
        <w:overflowPunct w:val="0"/>
        <w:autoSpaceDE w:val="0"/>
        <w:autoSpaceDN w:val="0"/>
        <w:adjustRightInd w:val="0"/>
        <w:snapToGrid w:val="0"/>
        <w:spacing w:before="240"/>
        <w:jc w:val="center"/>
        <w:rPr>
          <w:i/>
          <w:kern w:val="22"/>
          <w:lang w:val="fr-FR"/>
        </w:rPr>
      </w:pPr>
      <w:r w:rsidRPr="004B2AE2">
        <w:rPr>
          <w:i/>
          <w:kern w:val="22"/>
          <w:lang w:val="fr-FR"/>
        </w:rPr>
        <w:lastRenderedPageBreak/>
        <w:t>Annexe II</w:t>
      </w:r>
    </w:p>
    <w:p w:rsidR="009F6935" w:rsidRDefault="009F6935" w:rsidP="009F6935">
      <w:pPr>
        <w:pStyle w:val="Heading1"/>
        <w:suppressLineNumbers/>
        <w:tabs>
          <w:tab w:val="clear" w:pos="720"/>
        </w:tabs>
        <w:suppressAutoHyphens/>
        <w:kinsoku w:val="0"/>
        <w:overflowPunct w:val="0"/>
        <w:autoSpaceDE w:val="0"/>
        <w:autoSpaceDN w:val="0"/>
        <w:adjustRightInd w:val="0"/>
        <w:snapToGrid w:val="0"/>
        <w:spacing w:before="120"/>
        <w:rPr>
          <w:snapToGrid w:val="0"/>
          <w:kern w:val="22"/>
          <w:lang w:val="fr-FR"/>
        </w:rPr>
      </w:pPr>
      <w:bookmarkStart w:id="440" w:name="_Toc525904284"/>
      <w:bookmarkStart w:id="441" w:name="_Toc525904443"/>
      <w:bookmarkStart w:id="442" w:name="_Toc525904687"/>
      <w:r>
        <w:rPr>
          <w:snapToGrid w:val="0"/>
          <w:kern w:val="22"/>
          <w:lang w:val="fr-FR"/>
        </w:rPr>
        <w:t xml:space="preserve">résumé – Examen de l’interet que présentent les pollinisateurs et </w:t>
      </w:r>
      <w:r w:rsidRPr="004B2AE2">
        <w:rPr>
          <w:snapToGrid w:val="0"/>
          <w:kern w:val="22"/>
          <w:lang w:val="fr-FR"/>
        </w:rPr>
        <w:t>la pollinisation pour la conservation et</w:t>
      </w:r>
      <w:r>
        <w:rPr>
          <w:snapToGrid w:val="0"/>
          <w:kern w:val="22"/>
          <w:lang w:val="fr-FR"/>
        </w:rPr>
        <w:t xml:space="preserve"> l’utilisation durable de la </w:t>
      </w:r>
      <w:r w:rsidRPr="004B2AE2">
        <w:rPr>
          <w:snapToGrid w:val="0"/>
          <w:kern w:val="22"/>
          <w:lang w:val="fr-FR"/>
        </w:rPr>
        <w:t xml:space="preserve">diversité </w:t>
      </w:r>
      <w:r>
        <w:rPr>
          <w:snapToGrid w:val="0"/>
          <w:kern w:val="22"/>
          <w:lang w:val="fr-FR"/>
        </w:rPr>
        <w:t xml:space="preserve">biologique </w:t>
      </w:r>
      <w:r w:rsidRPr="004B2AE2">
        <w:rPr>
          <w:snapToGrid w:val="0"/>
          <w:kern w:val="22"/>
          <w:lang w:val="fr-FR"/>
        </w:rPr>
        <w:t>dans tous les écosystèmes, au</w:t>
      </w:r>
      <w:r w:rsidRPr="004B2AE2">
        <w:rPr>
          <w:snapToGrid w:val="0"/>
          <w:kern w:val="22"/>
          <w:lang w:val="fr-FR"/>
        </w:rPr>
        <w:noBreakHyphen/>
        <w:t>delà de leur rôle dans la production agricole et alimentaire</w:t>
      </w:r>
      <w:bookmarkEnd w:id="440"/>
      <w:bookmarkEnd w:id="441"/>
      <w:bookmarkEnd w:id="442"/>
    </w:p>
    <w:p w:rsidR="009F6935" w:rsidRPr="007E58A9" w:rsidRDefault="009F6935" w:rsidP="009F6935">
      <w:pPr>
        <w:pStyle w:val="Heading2"/>
        <w:rPr>
          <w:lang w:val="fr-FR"/>
        </w:rPr>
      </w:pPr>
    </w:p>
    <w:p w:rsidR="009F6935" w:rsidRPr="004B2AE2" w:rsidRDefault="009F6935" w:rsidP="009F6935">
      <w:pPr>
        <w:keepNext/>
        <w:suppressLineNumbers/>
        <w:tabs>
          <w:tab w:val="left" w:pos="270"/>
        </w:tabs>
        <w:suppressAutoHyphens/>
        <w:kinsoku w:val="0"/>
        <w:overflowPunct w:val="0"/>
        <w:autoSpaceDE w:val="0"/>
        <w:autoSpaceDN w:val="0"/>
        <w:adjustRightInd w:val="0"/>
        <w:snapToGrid w:val="0"/>
        <w:jc w:val="center"/>
        <w:rPr>
          <w:rFonts w:asciiTheme="majorBidi" w:hAnsiTheme="majorBidi" w:cstheme="majorBidi"/>
          <w:b/>
          <w:bCs/>
          <w:snapToGrid w:val="0"/>
          <w:kern w:val="22"/>
          <w:lang w:val="fr-FR"/>
        </w:rPr>
      </w:pPr>
      <w:r w:rsidRPr="004B2AE2">
        <w:rPr>
          <w:rFonts w:asciiTheme="majorBidi" w:hAnsiTheme="majorBidi" w:cstheme="majorBidi"/>
          <w:b/>
          <w:bCs/>
          <w:snapToGrid w:val="0"/>
          <w:kern w:val="22"/>
          <w:lang w:val="fr-FR"/>
        </w:rPr>
        <w:t>A.</w:t>
      </w:r>
      <w:r w:rsidRPr="004B2AE2">
        <w:rPr>
          <w:rFonts w:asciiTheme="majorBidi" w:hAnsiTheme="majorBidi" w:cstheme="majorBidi"/>
          <w:b/>
          <w:bCs/>
          <w:snapToGrid w:val="0"/>
          <w:kern w:val="22"/>
          <w:lang w:val="fr-FR"/>
        </w:rPr>
        <w:tab/>
        <w:t>Introduction</w:t>
      </w:r>
    </w:p>
    <w:p w:rsidR="009F6935" w:rsidRPr="004B2AE2" w:rsidRDefault="009F6935" w:rsidP="009F6935">
      <w:pPr>
        <w:suppressAutoHyphens/>
        <w:spacing w:before="120" w:after="120"/>
        <w:rPr>
          <w:lang w:val="fr-FR" w:eastAsia="de-DE"/>
        </w:rPr>
      </w:pPr>
      <w:r w:rsidRPr="004B2AE2">
        <w:rPr>
          <w:rFonts w:asciiTheme="majorBidi" w:hAnsiTheme="majorBidi" w:cstheme="majorBidi"/>
          <w:snapToGrid w:val="0"/>
          <w:spacing w:val="-2"/>
          <w:kern w:val="22"/>
          <w:lang w:val="fr-FR" w:eastAsia="en-GB"/>
        </w:rPr>
        <w:t>1.</w:t>
      </w:r>
      <w:r w:rsidRPr="004B2AE2">
        <w:rPr>
          <w:rFonts w:asciiTheme="majorBidi" w:hAnsiTheme="majorBidi" w:cstheme="majorBidi"/>
          <w:snapToGrid w:val="0"/>
          <w:spacing w:val="-2"/>
          <w:kern w:val="22"/>
          <w:lang w:val="fr-FR" w:eastAsia="en-GB"/>
        </w:rPr>
        <w:tab/>
      </w:r>
      <w:r w:rsidRPr="004B2AE2">
        <w:rPr>
          <w:lang w:val="fr-FR" w:eastAsia="de-DE"/>
        </w:rPr>
        <w:t>Le rapport intégral</w:t>
      </w:r>
      <w:r w:rsidRPr="00C61E45">
        <w:rPr>
          <w:rStyle w:val="FootnoteReference"/>
          <w:sz w:val="20"/>
          <w:szCs w:val="20"/>
          <w:u w:val="none"/>
          <w:vertAlign w:val="superscript"/>
          <w:lang w:val="fr-FR" w:eastAsia="de-DE"/>
        </w:rPr>
        <w:footnoteReference w:id="139"/>
      </w:r>
      <w:r w:rsidRPr="004B2AE2">
        <w:rPr>
          <w:lang w:val="fr-FR" w:eastAsia="de-DE"/>
        </w:rPr>
        <w:t xml:space="preserve"> et le présent résumé ont été élaborés en application de la décision </w:t>
      </w:r>
      <w:hyperlink r:id="rId54" w:history="1">
        <w:r w:rsidRPr="004B2AE2">
          <w:rPr>
            <w:rStyle w:val="Hyperlink"/>
            <w:lang w:val="fr-FR" w:eastAsia="de-DE"/>
          </w:rPr>
          <w:t>XIII/15</w:t>
        </w:r>
      </w:hyperlink>
      <w:r w:rsidRPr="004B2AE2">
        <w:rPr>
          <w:lang w:val="fr-FR" w:eastAsia="de-DE"/>
        </w:rPr>
        <w:t>. Le rapport s’appuie sur les contributions de nombreux c</w:t>
      </w:r>
      <w:r>
        <w:rPr>
          <w:lang w:val="fr-FR" w:eastAsia="de-DE"/>
        </w:rPr>
        <w:t>hercheurs et partenaires partout dans le monde</w:t>
      </w:r>
      <w:r w:rsidRPr="00C61E45">
        <w:rPr>
          <w:rStyle w:val="FootnoteReference"/>
          <w:sz w:val="20"/>
          <w:szCs w:val="20"/>
          <w:u w:val="none"/>
          <w:vertAlign w:val="superscript"/>
          <w:lang w:val="fr-FR" w:eastAsia="de-DE"/>
        </w:rPr>
        <w:footnoteReference w:id="140"/>
      </w:r>
      <w:r>
        <w:rPr>
          <w:lang w:val="fr-FR" w:eastAsia="de-DE"/>
        </w:rPr>
        <w:t>.</w:t>
      </w:r>
    </w:p>
    <w:p w:rsidR="009F6935" w:rsidRPr="004B2AE2" w:rsidRDefault="009F6935" w:rsidP="009F6935">
      <w:pPr>
        <w:suppressAutoHyphens/>
        <w:autoSpaceDE w:val="0"/>
        <w:autoSpaceDN w:val="0"/>
        <w:adjustRightInd w:val="0"/>
        <w:spacing w:before="240"/>
        <w:jc w:val="center"/>
        <w:rPr>
          <w:rFonts w:asciiTheme="majorBidi" w:hAnsiTheme="majorBidi" w:cstheme="majorBidi"/>
          <w:b/>
          <w:bCs/>
          <w:lang w:val="fr-FR"/>
        </w:rPr>
      </w:pPr>
      <w:r w:rsidRPr="004B2AE2">
        <w:rPr>
          <w:rFonts w:asciiTheme="majorBidi" w:hAnsiTheme="majorBidi" w:cstheme="majorBidi"/>
          <w:b/>
          <w:bCs/>
          <w:lang w:val="fr-FR"/>
        </w:rPr>
        <w:t>B.</w:t>
      </w:r>
      <w:r w:rsidRPr="004B2AE2">
        <w:rPr>
          <w:rFonts w:asciiTheme="majorBidi" w:hAnsiTheme="majorBidi" w:cstheme="majorBidi"/>
          <w:b/>
          <w:bCs/>
          <w:lang w:val="fr-FR"/>
        </w:rPr>
        <w:tab/>
        <w:t>Rôles et valeurs des pollinisateurs et des plantes qui en dépendent au-delà de l’agriculture</w:t>
      </w:r>
    </w:p>
    <w:p w:rsidR="009F6935" w:rsidRPr="004B2AE2" w:rsidRDefault="009F6935" w:rsidP="009F6935">
      <w:pPr>
        <w:suppressAutoHyphens/>
        <w:autoSpaceDE w:val="0"/>
        <w:autoSpaceDN w:val="0"/>
        <w:adjustRightInd w:val="0"/>
        <w:spacing w:before="120" w:after="120"/>
        <w:rPr>
          <w:lang w:val="fr-FR" w:eastAsia="de-DE"/>
        </w:rPr>
      </w:pPr>
      <w:r w:rsidRPr="004B2AE2">
        <w:rPr>
          <w:lang w:val="fr-FR" w:eastAsia="de-DE"/>
        </w:rPr>
        <w:t>2.</w:t>
      </w:r>
      <w:r w:rsidRPr="004B2AE2">
        <w:rPr>
          <w:lang w:val="fr-FR" w:eastAsia="de-DE"/>
        </w:rPr>
        <w:tab/>
        <w:t>Les pollinisateurs et la pollinisa</w:t>
      </w:r>
      <w:r>
        <w:rPr>
          <w:lang w:val="fr-FR" w:eastAsia="de-DE"/>
        </w:rPr>
        <w:t>tion ont des</w:t>
      </w:r>
      <w:r w:rsidRPr="004B2AE2">
        <w:rPr>
          <w:lang w:val="fr-FR" w:eastAsia="de-DE"/>
        </w:rPr>
        <w:t xml:space="preserve"> valeurs</w:t>
      </w:r>
      <w:r>
        <w:rPr>
          <w:lang w:val="fr-FR" w:eastAsia="de-DE"/>
        </w:rPr>
        <w:t xml:space="preserve"> très diversifiées qui vont</w:t>
      </w:r>
      <w:r w:rsidRPr="004B2AE2">
        <w:rPr>
          <w:lang w:val="fr-FR" w:eastAsia="de-DE"/>
        </w:rPr>
        <w:t xml:space="preserve"> au-delà de l’agriculture et de la production alimentaire, </w:t>
      </w:r>
      <w:r>
        <w:rPr>
          <w:lang w:val="fr-FR" w:eastAsia="de-DE"/>
        </w:rPr>
        <w:t xml:space="preserve">et incluent </w:t>
      </w:r>
      <w:r w:rsidRPr="004B2AE2">
        <w:rPr>
          <w:lang w:val="fr-FR" w:eastAsia="de-DE"/>
        </w:rPr>
        <w:t>notamment des valeurs écologiques, culturelles, financières, sanitaires, humaines et sociales.</w:t>
      </w:r>
    </w:p>
    <w:p w:rsidR="009F6935" w:rsidRPr="004B2AE2" w:rsidRDefault="009F6935" w:rsidP="009F6935">
      <w:pPr>
        <w:suppressLineNumbers/>
        <w:suppressAutoHyphens/>
        <w:kinsoku w:val="0"/>
        <w:overflowPunct w:val="0"/>
        <w:autoSpaceDE w:val="0"/>
        <w:autoSpaceDN w:val="0"/>
        <w:spacing w:before="120" w:after="120"/>
        <w:rPr>
          <w:rFonts w:asciiTheme="majorBidi" w:hAnsiTheme="majorBidi" w:cstheme="majorBidi"/>
          <w:bCs/>
          <w:snapToGrid w:val="0"/>
          <w:kern w:val="22"/>
          <w:lang w:val="fr-FR"/>
        </w:rPr>
      </w:pPr>
      <w:r w:rsidRPr="004B2AE2">
        <w:rPr>
          <w:lang w:val="fr-FR" w:eastAsia="de-DE"/>
        </w:rPr>
        <w:t>3</w:t>
      </w:r>
      <w:r w:rsidRPr="004B2AE2">
        <w:rPr>
          <w:lang w:val="fr-FR" w:eastAsia="de-DE"/>
        </w:rPr>
        <w:tab/>
        <w:t xml:space="preserve">Les pollinisateurs augmentent la reproduction et la diversité génétique de la grande majorité </w:t>
      </w:r>
      <w:r w:rsidRPr="004B2AE2">
        <w:rPr>
          <w:rFonts w:asciiTheme="majorBidi" w:hAnsiTheme="majorBidi" w:cstheme="majorBidi"/>
          <w:bCs/>
          <w:lang w:val="fr-FR"/>
        </w:rPr>
        <w:t>(environ 87,5 %) des espèces végétales</w:t>
      </w:r>
      <w:r w:rsidRPr="004B2AE2">
        <w:rPr>
          <w:lang w:val="fr-FR" w:eastAsia="de-DE"/>
        </w:rPr>
        <w:t>. Environ 50 % de</w:t>
      </w:r>
      <w:r>
        <w:rPr>
          <w:lang w:val="fr-FR" w:eastAsia="de-DE"/>
        </w:rPr>
        <w:t>s espèces végétales sont totalement dépendantes d’une</w:t>
      </w:r>
      <w:r w:rsidRPr="004B2AE2">
        <w:rPr>
          <w:lang w:val="fr-FR" w:eastAsia="de-DE"/>
        </w:rPr>
        <w:t> pol</w:t>
      </w:r>
      <w:r>
        <w:rPr>
          <w:lang w:val="fr-FR" w:eastAsia="de-DE"/>
        </w:rPr>
        <w:t>linisation animale</w:t>
      </w:r>
      <w:r w:rsidRPr="004B2AE2">
        <w:rPr>
          <w:lang w:val="fr-FR" w:eastAsia="de-DE"/>
        </w:rPr>
        <w:t>. La pol</w:t>
      </w:r>
      <w:r>
        <w:rPr>
          <w:lang w:val="fr-FR" w:eastAsia="de-DE"/>
        </w:rPr>
        <w:t>linisation assistée par les animaux</w:t>
      </w:r>
      <w:r w:rsidRPr="004B2AE2">
        <w:rPr>
          <w:lang w:val="fr-FR" w:eastAsia="de-DE"/>
        </w:rPr>
        <w:t xml:space="preserve"> conduit généralement à un certain degré de pollinisation croisée</w:t>
      </w:r>
      <w:r>
        <w:rPr>
          <w:lang w:val="fr-FR" w:eastAsia="de-DE"/>
        </w:rPr>
        <w:t>,</w:t>
      </w:r>
      <w:r w:rsidRPr="004B2AE2">
        <w:rPr>
          <w:lang w:val="fr-FR" w:eastAsia="de-DE"/>
        </w:rPr>
        <w:t xml:space="preserve"> </w:t>
      </w:r>
      <w:r>
        <w:rPr>
          <w:lang w:val="fr-FR" w:eastAsia="de-DE"/>
        </w:rPr>
        <w:t>et favorise et préserve ainsi une variation génétique au sein d</w:t>
      </w:r>
      <w:r w:rsidRPr="004B2AE2">
        <w:rPr>
          <w:lang w:val="fr-FR" w:eastAsia="de-DE"/>
        </w:rPr>
        <w:t xml:space="preserve">es populations, qui </w:t>
      </w:r>
      <w:r>
        <w:rPr>
          <w:lang w:val="fr-FR" w:eastAsia="de-DE"/>
        </w:rPr>
        <w:t xml:space="preserve">permet à son tour </w:t>
      </w:r>
      <w:r w:rsidRPr="004B2AE2">
        <w:rPr>
          <w:lang w:val="fr-FR" w:eastAsia="de-DE"/>
        </w:rPr>
        <w:t xml:space="preserve">aux espèces </w:t>
      </w:r>
      <w:r>
        <w:rPr>
          <w:lang w:val="fr-FR" w:eastAsia="de-DE"/>
        </w:rPr>
        <w:t>végétales de s’adapter à des conditions nouvelles</w:t>
      </w:r>
      <w:r w:rsidRPr="004B2AE2">
        <w:rPr>
          <w:lang w:val="fr-FR" w:eastAsia="de-DE"/>
        </w:rPr>
        <w:t xml:space="preserve"> et en </w:t>
      </w:r>
      <w:r>
        <w:rPr>
          <w:lang w:val="fr-FR" w:eastAsia="de-DE"/>
        </w:rPr>
        <w:t xml:space="preserve">constante </w:t>
      </w:r>
      <w:r w:rsidRPr="004B2AE2">
        <w:rPr>
          <w:lang w:val="fr-FR" w:eastAsia="de-DE"/>
        </w:rPr>
        <w:t>évolution. La pollinisation croisée augmente aussi l</w:t>
      </w:r>
      <w:r>
        <w:rPr>
          <w:lang w:val="fr-FR" w:eastAsia="de-DE"/>
        </w:rPr>
        <w:t xml:space="preserve">a production de semences. Puisque </w:t>
      </w:r>
      <w:r w:rsidRPr="004B2AE2">
        <w:rPr>
          <w:lang w:val="fr-FR" w:eastAsia="de-DE"/>
        </w:rPr>
        <w:t>qu’ils assurent l’approvisionnement en propagules de graines et favorisent la variation génétique, les pollinisate</w:t>
      </w:r>
      <w:r>
        <w:rPr>
          <w:lang w:val="fr-FR" w:eastAsia="de-DE"/>
        </w:rPr>
        <w:t xml:space="preserve">urs sont considérés comme </w:t>
      </w:r>
      <w:r w:rsidRPr="004B2AE2">
        <w:rPr>
          <w:lang w:val="fr-FR" w:eastAsia="de-DE"/>
        </w:rPr>
        <w:t>fondamentalement essentiels au maintien de la diversité des plantes et du fonctionnement des écosystèmes.</w:t>
      </w:r>
    </w:p>
    <w:p w:rsidR="009F6935" w:rsidRPr="004B2AE2" w:rsidRDefault="009F6935" w:rsidP="009F6935">
      <w:pPr>
        <w:suppressAutoHyphens/>
        <w:autoSpaceDE w:val="0"/>
        <w:autoSpaceDN w:val="0"/>
        <w:adjustRightInd w:val="0"/>
        <w:spacing w:before="120" w:after="120"/>
        <w:rPr>
          <w:lang w:val="fr-FR" w:eastAsia="de-DE"/>
        </w:rPr>
      </w:pPr>
      <w:r w:rsidRPr="004B2AE2">
        <w:rPr>
          <w:snapToGrid w:val="0"/>
          <w:kern w:val="22"/>
          <w:szCs w:val="22"/>
          <w:lang w:val="fr-FR" w:eastAsia="de-DE"/>
        </w:rPr>
        <w:t>4.</w:t>
      </w:r>
      <w:r w:rsidRPr="004B2AE2">
        <w:rPr>
          <w:snapToGrid w:val="0"/>
          <w:kern w:val="22"/>
          <w:szCs w:val="22"/>
          <w:lang w:val="fr-FR" w:eastAsia="de-DE"/>
        </w:rPr>
        <w:tab/>
      </w:r>
      <w:r w:rsidRPr="004B2AE2">
        <w:rPr>
          <w:lang w:val="fr-FR" w:eastAsia="de-DE"/>
        </w:rPr>
        <w:t>Les plantes et les pollinisateurs s</w:t>
      </w:r>
      <w:r>
        <w:rPr>
          <w:lang w:val="fr-FR" w:eastAsia="de-DE"/>
        </w:rPr>
        <w:t>ont essentiels au maintien</w:t>
      </w:r>
      <w:r w:rsidRPr="004B2AE2">
        <w:rPr>
          <w:lang w:val="fr-FR" w:eastAsia="de-DE"/>
        </w:rPr>
        <w:t xml:space="preserve"> du </w:t>
      </w:r>
      <w:r>
        <w:rPr>
          <w:lang w:val="fr-FR" w:eastAsia="de-DE"/>
        </w:rPr>
        <w:t xml:space="preserve">bon </w:t>
      </w:r>
      <w:r w:rsidRPr="004B2AE2">
        <w:rPr>
          <w:lang w:val="fr-FR" w:eastAsia="de-DE"/>
        </w:rPr>
        <w:t xml:space="preserve">fonctionnement des écosystèmes et contribuent à la régulation du climat, </w:t>
      </w:r>
      <w:r>
        <w:rPr>
          <w:lang w:val="fr-FR" w:eastAsia="de-DE"/>
        </w:rPr>
        <w:t xml:space="preserve">à </w:t>
      </w:r>
      <w:r w:rsidRPr="004B2AE2">
        <w:rPr>
          <w:lang w:val="fr-FR" w:eastAsia="de-DE"/>
        </w:rPr>
        <w:t xml:space="preserve">la fourniture de viande d’espèces sauvages, de fruits et de graines qui soutiennent de nombreuses autres espèces, </w:t>
      </w:r>
      <w:r>
        <w:rPr>
          <w:lang w:val="fr-FR" w:eastAsia="de-DE"/>
        </w:rPr>
        <w:t>à la régulation du paludisme</w:t>
      </w:r>
      <w:r w:rsidRPr="004B2AE2">
        <w:rPr>
          <w:lang w:val="fr-FR" w:eastAsia="de-DE"/>
        </w:rPr>
        <w:t xml:space="preserve"> et d’autres maladies, entre autres fonctions et services. Les forêts tropicales, qui contiennent une grande proportion d’espèces dioïques, sont particulièrement dépendantes de la pollinisation. Les mangroves, dominées par des plantes hybrides qui fournissent d’importants services et fonctions tels que la prévention de l’érosion </w:t>
      </w:r>
      <w:r>
        <w:rPr>
          <w:lang w:val="fr-FR" w:eastAsia="de-DE"/>
        </w:rPr>
        <w:t xml:space="preserve">côtière, la protection contre les </w:t>
      </w:r>
      <w:r w:rsidRPr="004B2AE2">
        <w:rPr>
          <w:lang w:val="fr-FR" w:eastAsia="de-DE"/>
        </w:rPr>
        <w:t>inondation</w:t>
      </w:r>
      <w:r>
        <w:rPr>
          <w:lang w:val="fr-FR" w:eastAsia="de-DE"/>
        </w:rPr>
        <w:t>s</w:t>
      </w:r>
      <w:r w:rsidRPr="004B2AE2">
        <w:rPr>
          <w:lang w:val="fr-FR" w:eastAsia="de-DE"/>
        </w:rPr>
        <w:t xml:space="preserve"> et l’intrusion d’eau salée, procurent du bois combustible et du bois d’œuvre, et soutiennent la pêche et offrent un habitat et des aliments aux abeilles et à de nombreuses autres espèces, sont un autre exemple de cette dépendance. </w:t>
      </w:r>
    </w:p>
    <w:p w:rsidR="009F6935" w:rsidRPr="004B2AE2" w:rsidRDefault="009F6935" w:rsidP="009F6935">
      <w:pPr>
        <w:suppressLineNumbers/>
        <w:suppressAutoHyphens/>
        <w:kinsoku w:val="0"/>
        <w:overflowPunct w:val="0"/>
        <w:autoSpaceDE w:val="0"/>
        <w:autoSpaceDN w:val="0"/>
        <w:adjustRightInd w:val="0"/>
        <w:spacing w:before="120" w:after="120"/>
        <w:rPr>
          <w:rFonts w:asciiTheme="majorBidi" w:hAnsiTheme="majorBidi" w:cstheme="majorBidi"/>
          <w:bCs/>
          <w:snapToGrid w:val="0"/>
          <w:kern w:val="22"/>
          <w:lang w:val="fr-FR"/>
        </w:rPr>
      </w:pPr>
      <w:r>
        <w:rPr>
          <w:rFonts w:asciiTheme="majorBidi" w:hAnsiTheme="majorBidi" w:cstheme="majorBidi"/>
          <w:bCs/>
          <w:lang w:val="fr-FR"/>
        </w:rPr>
        <w:t>5.</w:t>
      </w:r>
      <w:r>
        <w:rPr>
          <w:rFonts w:asciiTheme="majorBidi" w:hAnsiTheme="majorBidi" w:cstheme="majorBidi"/>
          <w:bCs/>
          <w:lang w:val="fr-FR"/>
        </w:rPr>
        <w:tab/>
        <w:t>La complémentarité</w:t>
      </w:r>
      <w:r w:rsidRPr="004B2AE2">
        <w:rPr>
          <w:rFonts w:asciiTheme="majorBidi" w:hAnsiTheme="majorBidi" w:cstheme="majorBidi"/>
          <w:bCs/>
          <w:lang w:val="fr-FR"/>
        </w:rPr>
        <w:t xml:space="preserve"> entre les plantes et les visiteurs de leurs fleurs préserve non seulement la diversité des végétaux, mais aussi celle d’environ 350 000 esp</w:t>
      </w:r>
      <w:r>
        <w:rPr>
          <w:rFonts w:asciiTheme="majorBidi" w:hAnsiTheme="majorBidi" w:cstheme="majorBidi"/>
          <w:bCs/>
          <w:lang w:val="fr-FR"/>
        </w:rPr>
        <w:t>èces animales. Bien qu’on dispose de données scientifiques robust</w:t>
      </w:r>
      <w:r w:rsidRPr="004B2AE2">
        <w:rPr>
          <w:rFonts w:asciiTheme="majorBidi" w:hAnsiTheme="majorBidi" w:cstheme="majorBidi"/>
          <w:bCs/>
          <w:lang w:val="fr-FR"/>
        </w:rPr>
        <w:t>es sur la disparition locale de populations de pollinisateurs causée par le manque de ressources f</w:t>
      </w:r>
      <w:r>
        <w:rPr>
          <w:rFonts w:asciiTheme="majorBidi" w:hAnsiTheme="majorBidi" w:cstheme="majorBidi"/>
          <w:bCs/>
          <w:lang w:val="fr-FR"/>
        </w:rPr>
        <w:t>loristiques, il n’existe aucun rapport sur</w:t>
      </w:r>
      <w:r w:rsidRPr="004B2AE2">
        <w:rPr>
          <w:rFonts w:asciiTheme="majorBidi" w:hAnsiTheme="majorBidi" w:cstheme="majorBidi"/>
          <w:bCs/>
          <w:lang w:val="fr-FR"/>
        </w:rPr>
        <w:t xml:space="preserve"> l’extin</w:t>
      </w:r>
      <w:r>
        <w:rPr>
          <w:rFonts w:asciiTheme="majorBidi" w:hAnsiTheme="majorBidi" w:cstheme="majorBidi"/>
          <w:bCs/>
          <w:lang w:val="fr-FR"/>
        </w:rPr>
        <w:t>ction d’espèces animales due au manque de ces ressources</w:t>
      </w:r>
      <w:r w:rsidRPr="004B2AE2">
        <w:rPr>
          <w:rFonts w:asciiTheme="majorBidi" w:hAnsiTheme="majorBidi" w:cstheme="majorBidi"/>
          <w:bCs/>
          <w:lang w:val="fr-FR"/>
        </w:rPr>
        <w:t xml:space="preserve">. Cependant, vu l’étendue de la fragmentation des habitats, le grand nombre d’espèces végétales éteintes ou quasiment éteintes au cours des 100 dernières années et l’insuffisance de </w:t>
      </w:r>
      <w:r w:rsidRPr="004B2AE2">
        <w:rPr>
          <w:rFonts w:asciiTheme="majorBidi" w:hAnsiTheme="majorBidi" w:cstheme="majorBidi"/>
          <w:bCs/>
          <w:lang w:val="fr-FR"/>
        </w:rPr>
        <w:lastRenderedPageBreak/>
        <w:t xml:space="preserve">nos connaissances sur l’utilisation de la plante hôte par des animaux visiteurs de fleurs, la possibilité qu’une telle extinction existe sans être documentée est très réelle. Il est bien </w:t>
      </w:r>
      <w:r>
        <w:rPr>
          <w:rFonts w:asciiTheme="majorBidi" w:hAnsiTheme="majorBidi" w:cstheme="majorBidi"/>
          <w:bCs/>
          <w:lang w:val="fr-FR"/>
        </w:rPr>
        <w:t>re</w:t>
      </w:r>
      <w:r w:rsidRPr="004B2AE2">
        <w:rPr>
          <w:rFonts w:asciiTheme="majorBidi" w:hAnsiTheme="majorBidi" w:cstheme="majorBidi"/>
          <w:bCs/>
          <w:lang w:val="fr-FR"/>
        </w:rPr>
        <w:t>connu que les données sur les changemen</w:t>
      </w:r>
      <w:r>
        <w:rPr>
          <w:rFonts w:asciiTheme="majorBidi" w:hAnsiTheme="majorBidi" w:cstheme="majorBidi"/>
          <w:bCs/>
          <w:lang w:val="fr-FR"/>
        </w:rPr>
        <w:t>ts de populations au sein d</w:t>
      </w:r>
      <w:r w:rsidRPr="004B2AE2">
        <w:rPr>
          <w:rFonts w:asciiTheme="majorBidi" w:hAnsiTheme="majorBidi" w:cstheme="majorBidi"/>
          <w:bCs/>
          <w:lang w:val="fr-FR"/>
        </w:rPr>
        <w:t xml:space="preserve">es animaux sauvages visiteurs de fleurs sont très difficiles à obtenir et les causes de ces changements </w:t>
      </w:r>
      <w:r>
        <w:rPr>
          <w:rFonts w:asciiTheme="majorBidi" w:hAnsiTheme="majorBidi" w:cstheme="majorBidi"/>
          <w:bCs/>
          <w:lang w:val="fr-FR"/>
        </w:rPr>
        <w:t xml:space="preserve">sont </w:t>
      </w:r>
      <w:r w:rsidRPr="004B2AE2">
        <w:rPr>
          <w:rFonts w:asciiTheme="majorBidi" w:hAnsiTheme="majorBidi" w:cstheme="majorBidi"/>
          <w:bCs/>
          <w:lang w:val="fr-FR"/>
        </w:rPr>
        <w:t>encore plus difficiles à établir.</w:t>
      </w:r>
    </w:p>
    <w:p w:rsidR="009F6935" w:rsidRPr="004B2AE2" w:rsidRDefault="009F6935" w:rsidP="009F6935">
      <w:pPr>
        <w:suppressAutoHyphens/>
        <w:spacing w:before="120" w:after="120"/>
        <w:rPr>
          <w:lang w:val="fr-FR" w:eastAsia="de-DE"/>
        </w:rPr>
      </w:pPr>
      <w:r w:rsidRPr="004B2AE2">
        <w:rPr>
          <w:snapToGrid w:val="0"/>
          <w:kern w:val="22"/>
          <w:lang w:val="fr-FR" w:eastAsia="de-DE"/>
        </w:rPr>
        <w:t>6.</w:t>
      </w:r>
      <w:r w:rsidRPr="004B2AE2">
        <w:rPr>
          <w:snapToGrid w:val="0"/>
          <w:kern w:val="22"/>
          <w:lang w:val="fr-FR" w:eastAsia="de-DE"/>
        </w:rPr>
        <w:tab/>
      </w:r>
      <w:r w:rsidRPr="004B2AE2">
        <w:rPr>
          <w:lang w:val="fr-FR" w:eastAsia="de-DE"/>
        </w:rPr>
        <w:t xml:space="preserve">Les pollinisateurs, leurs habitats et leurs produits sont une source d’inspiration pour l’art, l’éducation, la littérature, la musique, la religion, les traditions et la technologie. Les pratiques de récolte du miel et d’apiculture fondées sur les connaissances autochtones et traditionnelles ont été documentées dans plus de 50 pays. Les abeilles ont inspiré l’art et la littérature religieux dans le monde entier et d’autres pollinisateurs, tels que le colibri, contribuent à l’identité nationale de pays comme la Jamaïque et Singapour. Les pollinisateurs et les plantes qui en dépendent contribuent </w:t>
      </w:r>
      <w:r>
        <w:rPr>
          <w:lang w:val="fr-FR" w:eastAsia="de-DE"/>
        </w:rPr>
        <w:t>aux progrès technologiques et aux connaissances grâce à</w:t>
      </w:r>
      <w:r w:rsidRPr="004B2AE2">
        <w:rPr>
          <w:lang w:val="fr-FR" w:eastAsia="de-DE"/>
        </w:rPr>
        <w:t xml:space="preserve"> l’inspiration </w:t>
      </w:r>
      <w:r>
        <w:rPr>
          <w:lang w:val="fr-FR" w:eastAsia="de-DE"/>
        </w:rPr>
        <w:t xml:space="preserve">procurée </w:t>
      </w:r>
      <w:r w:rsidRPr="004B2AE2">
        <w:rPr>
          <w:lang w:val="fr-FR" w:eastAsia="de-DE"/>
        </w:rPr>
        <w:t xml:space="preserve">et </w:t>
      </w:r>
      <w:r>
        <w:rPr>
          <w:lang w:val="fr-FR" w:eastAsia="de-DE"/>
        </w:rPr>
        <w:t xml:space="preserve">à </w:t>
      </w:r>
      <w:r w:rsidRPr="004B2AE2">
        <w:rPr>
          <w:lang w:val="fr-FR" w:eastAsia="de-DE"/>
        </w:rPr>
        <w:t xml:space="preserve">l’application de leur biologie aux innovations humaines, comme par exemple le vol de robots guidés visuellement. </w:t>
      </w:r>
    </w:p>
    <w:p w:rsidR="009F6935" w:rsidRPr="004B2AE2" w:rsidRDefault="009F6935" w:rsidP="009F6935">
      <w:pPr>
        <w:suppressAutoHyphens/>
        <w:spacing w:before="120" w:after="120"/>
        <w:rPr>
          <w:lang w:val="fr-FR" w:eastAsia="de-DE"/>
        </w:rPr>
      </w:pPr>
      <w:r w:rsidRPr="004B2AE2">
        <w:rPr>
          <w:lang w:val="fr-FR" w:eastAsia="de-DE"/>
        </w:rPr>
        <w:t>7.</w:t>
      </w:r>
      <w:r w:rsidRPr="004B2AE2">
        <w:rPr>
          <w:lang w:val="fr-FR" w:eastAsia="de-DE"/>
        </w:rPr>
        <w:tab/>
        <w:t>Les produits des abeilles contribuent au revenu des apiculteurs dans le monde entier</w:t>
      </w:r>
      <w:r>
        <w:rPr>
          <w:lang w:val="fr-FR" w:eastAsia="de-DE"/>
        </w:rPr>
        <w:t xml:space="preserve">. L’apiculture peut potentiellement </w:t>
      </w:r>
      <w:r w:rsidRPr="004B2AE2">
        <w:rPr>
          <w:lang w:val="fr-FR" w:eastAsia="de-DE"/>
        </w:rPr>
        <w:t>être un outil efficace de r</w:t>
      </w:r>
      <w:r>
        <w:rPr>
          <w:lang w:val="fr-FR" w:eastAsia="de-DE"/>
        </w:rPr>
        <w:t>éduction de la pauvreté, responsabilis</w:t>
      </w:r>
      <w:r w:rsidRPr="004B2AE2">
        <w:rPr>
          <w:lang w:val="fr-FR" w:eastAsia="de-DE"/>
        </w:rPr>
        <w:t>ant le</w:t>
      </w:r>
      <w:r>
        <w:rPr>
          <w:lang w:val="fr-FR" w:eastAsia="de-DE"/>
        </w:rPr>
        <w:t>s jeunes et créant des opportuni</w:t>
      </w:r>
      <w:r w:rsidRPr="004B2AE2">
        <w:rPr>
          <w:lang w:val="fr-FR" w:eastAsia="de-DE"/>
        </w:rPr>
        <w:t>tés de conservation de la biodiversit</w:t>
      </w:r>
      <w:r>
        <w:rPr>
          <w:lang w:val="fr-FR" w:eastAsia="de-DE"/>
        </w:rPr>
        <w:t>é grâce à des actions en faveur des</w:t>
      </w:r>
      <w:r w:rsidRPr="004B2AE2">
        <w:rPr>
          <w:lang w:val="fr-FR" w:eastAsia="de-DE"/>
        </w:rPr>
        <w:t xml:space="preserve"> abeilles.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eastAsia="de-DE"/>
        </w:rPr>
      </w:pPr>
      <w:r>
        <w:rPr>
          <w:lang w:val="fr-FR" w:eastAsia="de-DE"/>
        </w:rPr>
        <w:t>8.</w:t>
      </w:r>
      <w:r>
        <w:rPr>
          <w:lang w:val="fr-FR" w:eastAsia="de-DE"/>
        </w:rPr>
        <w:tab/>
        <w:t>Il existe différente</w:t>
      </w:r>
      <w:r w:rsidRPr="004B2AE2">
        <w:rPr>
          <w:lang w:val="fr-FR" w:eastAsia="de-DE"/>
        </w:rPr>
        <w:t>s plan</w:t>
      </w:r>
      <w:r>
        <w:rPr>
          <w:lang w:val="fr-FR" w:eastAsia="de-DE"/>
        </w:rPr>
        <w:t>tes importantes sur le plan</w:t>
      </w:r>
      <w:r w:rsidRPr="004B2AE2">
        <w:rPr>
          <w:lang w:val="fr-FR" w:eastAsia="de-DE"/>
        </w:rPr>
        <w:t xml:space="preserve"> économique en dehors des cultures qui dépendent d’animaux pollinisateurs, dont plusieurs espèces de plantes médicinales. D’autres plantes dépendantes des pollinisateurs peuvent fournir des fonction et services précieux, notamment des plantes ornementales, des biocarburants, des fibres, des matériaux de construction, des instruments de musique, des objets d’art, des produits d’artisanat et des activités récréatives. Les plantes dépendantes des pollinisateurs recyclent le </w:t>
      </w:r>
      <w:r w:rsidRPr="004B2AE2">
        <w:rPr>
          <w:snapToGrid w:val="0"/>
          <w:kern w:val="22"/>
          <w:lang w:val="fr-FR" w:eastAsia="de-DE"/>
        </w:rPr>
        <w:t>CO</w:t>
      </w:r>
      <w:r w:rsidRPr="004B2AE2">
        <w:rPr>
          <w:snapToGrid w:val="0"/>
          <w:kern w:val="22"/>
          <w:vertAlign w:val="subscript"/>
          <w:lang w:val="fr-FR" w:eastAsia="de-DE"/>
        </w:rPr>
        <w:t>2</w:t>
      </w:r>
      <w:r w:rsidRPr="004B2AE2">
        <w:rPr>
          <w:snapToGrid w:val="0"/>
          <w:kern w:val="22"/>
          <w:lang w:val="fr-FR" w:eastAsia="de-DE"/>
        </w:rPr>
        <w:t>, contribuent à la régulation du climat et améliorent la qualit</w:t>
      </w:r>
      <w:r>
        <w:rPr>
          <w:snapToGrid w:val="0"/>
          <w:kern w:val="22"/>
          <w:lang w:val="fr-FR" w:eastAsia="de-DE"/>
        </w:rPr>
        <w:t>é de l’air et de l’eau. De plus</w:t>
      </w:r>
      <w:r w:rsidRPr="004B2AE2">
        <w:rPr>
          <w:snapToGrid w:val="0"/>
          <w:kern w:val="22"/>
          <w:lang w:val="fr-FR" w:eastAsia="de-DE"/>
        </w:rPr>
        <w:t>, plusieurs micronutriments, notamment les vitamines A et C, le calcium, le fluorure et l’acide folique, sont obtenus principalement à partir de plantes dépendantes de pollinisateurs, et les produits des pollinisateurs sont employés pour améliorer la santé (produits antibactériens, antifongiques et antidiabétiques). Les insectes pollinisateurs, y compris les larves d’abeilles, les hannetons et les charançons du palmier, constituen</w:t>
      </w:r>
      <w:r>
        <w:rPr>
          <w:snapToGrid w:val="0"/>
          <w:kern w:val="22"/>
          <w:lang w:val="fr-FR" w:eastAsia="de-DE"/>
        </w:rPr>
        <w:t>t un pourcentage substantiel</w:t>
      </w:r>
      <w:r w:rsidRPr="004B2AE2">
        <w:rPr>
          <w:snapToGrid w:val="0"/>
          <w:kern w:val="22"/>
          <w:lang w:val="fr-FR" w:eastAsia="de-DE"/>
        </w:rPr>
        <w:t xml:space="preserve"> des quelques 2 000 espèces d’insectes consommées mondialement parce qu’elles sont riches en protéines, vitamines et minéraux.</w:t>
      </w:r>
    </w:p>
    <w:p w:rsidR="009F6935" w:rsidRPr="004B2AE2" w:rsidRDefault="009F6935" w:rsidP="009F6935">
      <w:pPr>
        <w:keepNext/>
        <w:suppressLineNumbers/>
        <w:tabs>
          <w:tab w:val="left" w:pos="360"/>
        </w:tabs>
        <w:suppressAutoHyphens/>
        <w:kinsoku w:val="0"/>
        <w:overflowPunct w:val="0"/>
        <w:autoSpaceDE w:val="0"/>
        <w:autoSpaceDN w:val="0"/>
        <w:adjustRightInd w:val="0"/>
        <w:spacing w:before="120" w:after="120"/>
        <w:jc w:val="center"/>
        <w:rPr>
          <w:rFonts w:asciiTheme="majorBidi" w:hAnsiTheme="majorBidi" w:cstheme="majorBidi"/>
          <w:b/>
          <w:bCs/>
          <w:snapToGrid w:val="0"/>
          <w:kern w:val="22"/>
          <w:lang w:val="fr-FR"/>
        </w:rPr>
      </w:pPr>
      <w:r w:rsidRPr="004B2AE2">
        <w:rPr>
          <w:rFonts w:asciiTheme="majorBidi" w:hAnsiTheme="majorBidi" w:cstheme="majorBidi"/>
          <w:b/>
          <w:bCs/>
          <w:snapToGrid w:val="0"/>
          <w:kern w:val="22"/>
          <w:lang w:val="fr-FR"/>
        </w:rPr>
        <w:t>C.</w:t>
      </w:r>
      <w:r w:rsidRPr="004B2AE2">
        <w:rPr>
          <w:rFonts w:asciiTheme="majorBidi" w:hAnsiTheme="majorBidi" w:cstheme="majorBidi"/>
          <w:b/>
          <w:bCs/>
          <w:snapToGrid w:val="0"/>
          <w:kern w:val="22"/>
          <w:lang w:val="fr-FR"/>
        </w:rPr>
        <w:tab/>
        <w:t>État et tendances des pollinisateurs et les plantes qui en dépendent dans tous les écosystèmes</w:t>
      </w:r>
    </w:p>
    <w:p w:rsidR="009F6935" w:rsidRPr="004B2AE2" w:rsidRDefault="009F6935" w:rsidP="009F6935">
      <w:pPr>
        <w:suppressLineNumbers/>
        <w:suppressAutoHyphens/>
        <w:kinsoku w:val="0"/>
        <w:overflowPunct w:val="0"/>
        <w:autoSpaceDE w:val="0"/>
        <w:autoSpaceDN w:val="0"/>
        <w:spacing w:before="120" w:after="120"/>
        <w:rPr>
          <w:rFonts w:asciiTheme="majorBidi" w:eastAsiaTheme="minorEastAsia" w:hAnsiTheme="majorBidi" w:cstheme="majorBidi"/>
          <w:snapToGrid w:val="0"/>
          <w:color w:val="000000" w:themeColor="text1"/>
          <w:kern w:val="22"/>
          <w:lang w:val="fr-FR" w:eastAsia="ja-JP"/>
        </w:rPr>
      </w:pPr>
      <w:r w:rsidRPr="004B2AE2">
        <w:rPr>
          <w:rFonts w:asciiTheme="majorBidi" w:hAnsiTheme="majorBidi" w:cstheme="majorBidi"/>
          <w:bCs/>
          <w:snapToGrid w:val="0"/>
          <w:kern w:val="22"/>
          <w:szCs w:val="22"/>
          <w:lang w:val="fr-FR"/>
        </w:rPr>
        <w:t>9.</w:t>
      </w:r>
      <w:r w:rsidRPr="004B2AE2">
        <w:rPr>
          <w:rFonts w:asciiTheme="majorBidi" w:hAnsiTheme="majorBidi" w:cstheme="majorBidi"/>
          <w:bCs/>
          <w:snapToGrid w:val="0"/>
          <w:kern w:val="22"/>
          <w:szCs w:val="22"/>
          <w:lang w:val="fr-FR"/>
        </w:rPr>
        <w:tab/>
      </w:r>
      <w:r w:rsidRPr="004B2AE2">
        <w:rPr>
          <w:rFonts w:asciiTheme="majorBidi" w:eastAsiaTheme="minorEastAsia" w:hAnsiTheme="majorBidi" w:cstheme="majorBidi"/>
          <w:snapToGrid w:val="0"/>
          <w:color w:val="000000" w:themeColor="text1"/>
          <w:kern w:val="22"/>
          <w:lang w:val="fr-FR" w:eastAsia="ja-JP"/>
        </w:rPr>
        <w:t>L</w:t>
      </w:r>
      <w:r>
        <w:rPr>
          <w:rFonts w:asciiTheme="majorBidi" w:eastAsiaTheme="minorEastAsia" w:hAnsiTheme="majorBidi" w:cstheme="majorBidi"/>
          <w:snapToGrid w:val="0"/>
          <w:color w:val="000000" w:themeColor="text1"/>
          <w:kern w:val="22"/>
          <w:lang w:val="fr-FR" w:eastAsia="ja-JP"/>
        </w:rPr>
        <w:t>’abondance, la présence</w:t>
      </w:r>
      <w:r w:rsidRPr="004B2AE2">
        <w:rPr>
          <w:rFonts w:asciiTheme="majorBidi" w:eastAsiaTheme="minorEastAsia" w:hAnsiTheme="majorBidi" w:cstheme="majorBidi"/>
          <w:snapToGrid w:val="0"/>
          <w:color w:val="000000" w:themeColor="text1"/>
          <w:kern w:val="22"/>
          <w:lang w:val="fr-FR" w:eastAsia="ja-JP"/>
        </w:rPr>
        <w:t xml:space="preserve"> et la diversité d’un grand nombre d’insectes pollinisateurs (p. ex. abeilles sauvages, papillons, guêpes et hannetons) ainsi que de pollinisateurs vertébrés (oiseaux, marsupiaux, rongeurs, chauve-souris, etc.) sont en déclin aux niveaux local et régional. Le nombre d’espèces végétales qui dépendent des pollinisateurs diminue par rapport aux plantes </w:t>
      </w:r>
      <w:r>
        <w:rPr>
          <w:rFonts w:asciiTheme="majorBidi" w:eastAsiaTheme="minorEastAsia" w:hAnsiTheme="majorBidi" w:cstheme="majorBidi"/>
          <w:snapToGrid w:val="0"/>
          <w:color w:val="000000" w:themeColor="text1"/>
          <w:kern w:val="22"/>
          <w:lang w:val="fr-FR" w:eastAsia="ja-JP"/>
        </w:rPr>
        <w:t>auto-compatibles et aux plantes poll</w:t>
      </w:r>
      <w:r w:rsidRPr="004B2AE2">
        <w:rPr>
          <w:rFonts w:asciiTheme="majorBidi" w:eastAsiaTheme="minorEastAsia" w:hAnsiTheme="majorBidi" w:cstheme="majorBidi"/>
          <w:snapToGrid w:val="0"/>
          <w:color w:val="000000" w:themeColor="text1"/>
          <w:kern w:val="22"/>
          <w:lang w:val="fr-FR" w:eastAsia="ja-JP"/>
        </w:rPr>
        <w:t>inisées par le vent.</w:t>
      </w:r>
    </w:p>
    <w:p w:rsidR="009F6935" w:rsidRPr="004B2AE2" w:rsidRDefault="009F6935" w:rsidP="009F6935">
      <w:pPr>
        <w:suppressLineNumbers/>
        <w:suppressAutoHyphens/>
        <w:kinsoku w:val="0"/>
        <w:overflowPunct w:val="0"/>
        <w:autoSpaceDE w:val="0"/>
        <w:autoSpaceDN w:val="0"/>
        <w:spacing w:before="120" w:after="120"/>
        <w:rPr>
          <w:snapToGrid w:val="0"/>
          <w:color w:val="231F20"/>
          <w:kern w:val="22"/>
          <w:lang w:val="fr-FR" w:eastAsia="pt-BR"/>
        </w:rPr>
      </w:pPr>
      <w:r w:rsidRPr="004B2AE2">
        <w:rPr>
          <w:rFonts w:asciiTheme="majorBidi" w:eastAsiaTheme="minorEastAsia" w:hAnsiTheme="majorBidi" w:cstheme="majorBidi"/>
          <w:snapToGrid w:val="0"/>
          <w:color w:val="000000" w:themeColor="text1"/>
          <w:kern w:val="22"/>
          <w:lang w:val="fr-FR" w:eastAsia="ja-JP"/>
        </w:rPr>
        <w:t>10.</w:t>
      </w:r>
      <w:r w:rsidRPr="004B2AE2">
        <w:rPr>
          <w:rFonts w:asciiTheme="majorBidi" w:eastAsiaTheme="minorEastAsia" w:hAnsiTheme="majorBidi" w:cstheme="majorBidi"/>
          <w:snapToGrid w:val="0"/>
          <w:color w:val="000000" w:themeColor="text1"/>
          <w:kern w:val="22"/>
          <w:lang w:val="fr-FR" w:eastAsia="ja-JP"/>
        </w:rPr>
        <w:tab/>
      </w:r>
      <w:r w:rsidRPr="004B2AE2">
        <w:rPr>
          <w:rFonts w:asciiTheme="majorBidi" w:hAnsiTheme="majorBidi" w:cstheme="majorBidi"/>
          <w:bCs/>
          <w:snapToGrid w:val="0"/>
          <w:kern w:val="22"/>
          <w:szCs w:val="22"/>
          <w:lang w:val="fr-FR"/>
        </w:rPr>
        <w:t xml:space="preserve">Dans toutes les régions, </w:t>
      </w:r>
      <w:r>
        <w:rPr>
          <w:snapToGrid w:val="0"/>
          <w:kern w:val="22"/>
          <w:lang w:val="fr-FR" w:eastAsia="de-DE"/>
        </w:rPr>
        <w:t>les changements d’affectation des terres sont reconnus</w:t>
      </w:r>
      <w:r w:rsidRPr="004B2AE2">
        <w:rPr>
          <w:snapToGrid w:val="0"/>
          <w:kern w:val="22"/>
          <w:lang w:val="fr-FR" w:eastAsia="de-DE"/>
        </w:rPr>
        <w:t xml:space="preserve"> comme étant le principal facteur de déclin des pollinisateurs. En Afrique, le déboisement se poursuit en conséquence de la conversion des terres à l’agriculture et </w:t>
      </w:r>
      <w:r>
        <w:rPr>
          <w:snapToGrid w:val="0"/>
          <w:kern w:val="22"/>
          <w:lang w:val="fr-FR" w:eastAsia="de-DE"/>
        </w:rPr>
        <w:t xml:space="preserve">de </w:t>
      </w:r>
      <w:r w:rsidRPr="004B2AE2">
        <w:rPr>
          <w:snapToGrid w:val="0"/>
          <w:kern w:val="22"/>
          <w:lang w:val="fr-FR" w:eastAsia="de-DE"/>
        </w:rPr>
        <w:t xml:space="preserve">l’emploi de bois d’œuvre pour la construction et le bois combustible. En Amérique latine et </w:t>
      </w:r>
      <w:r>
        <w:rPr>
          <w:snapToGrid w:val="0"/>
          <w:kern w:val="22"/>
          <w:lang w:val="fr-FR" w:eastAsia="de-DE"/>
        </w:rPr>
        <w:t>en Asie et Pacifique, l’augmentation des cultures de</w:t>
      </w:r>
      <w:r w:rsidRPr="004B2AE2">
        <w:rPr>
          <w:snapToGrid w:val="0"/>
          <w:kern w:val="22"/>
          <w:lang w:val="fr-FR" w:eastAsia="de-DE"/>
        </w:rPr>
        <w:t xml:space="preserve"> soja et de plantations de palmiers à huile</w:t>
      </w:r>
      <w:r>
        <w:rPr>
          <w:snapToGrid w:val="0"/>
          <w:kern w:val="22"/>
          <w:lang w:val="fr-FR" w:eastAsia="de-DE"/>
        </w:rPr>
        <w:t>,</w:t>
      </w:r>
      <w:r w:rsidRPr="004B2AE2">
        <w:rPr>
          <w:snapToGrid w:val="0"/>
          <w:kern w:val="22"/>
          <w:lang w:val="fr-FR" w:eastAsia="de-DE"/>
        </w:rPr>
        <w:t xml:space="preserve"> respectivement</w:t>
      </w:r>
      <w:r>
        <w:rPr>
          <w:snapToGrid w:val="0"/>
          <w:kern w:val="22"/>
          <w:lang w:val="fr-FR" w:eastAsia="de-DE"/>
        </w:rPr>
        <w:t>,</w:t>
      </w:r>
      <w:r w:rsidRPr="004B2AE2">
        <w:rPr>
          <w:snapToGrid w:val="0"/>
          <w:kern w:val="22"/>
          <w:lang w:val="fr-FR" w:eastAsia="de-DE"/>
        </w:rPr>
        <w:t xml:space="preserve"> a eu un impact sur un grand nombre de biomes importants.</w:t>
      </w:r>
    </w:p>
    <w:p w:rsidR="009F6935" w:rsidRPr="004B2AE2" w:rsidRDefault="009F6935" w:rsidP="009F6935">
      <w:pPr>
        <w:suppressLineNumbers/>
        <w:suppressAutoHyphens/>
        <w:kinsoku w:val="0"/>
        <w:overflowPunct w:val="0"/>
        <w:autoSpaceDE w:val="0"/>
        <w:autoSpaceDN w:val="0"/>
        <w:adjustRightInd w:val="0"/>
        <w:spacing w:before="120" w:after="120"/>
        <w:rPr>
          <w:snapToGrid w:val="0"/>
          <w:kern w:val="22"/>
          <w:szCs w:val="22"/>
          <w:shd w:val="clear" w:color="auto" w:fill="FCFCFC"/>
          <w:lang w:val="fr-FR"/>
        </w:rPr>
      </w:pPr>
      <w:r w:rsidRPr="004B2AE2">
        <w:rPr>
          <w:snapToGrid w:val="0"/>
          <w:kern w:val="22"/>
          <w:szCs w:val="22"/>
          <w:lang w:val="fr-FR"/>
        </w:rPr>
        <w:t>11.</w:t>
      </w:r>
      <w:r w:rsidRPr="004B2AE2">
        <w:rPr>
          <w:snapToGrid w:val="0"/>
          <w:kern w:val="22"/>
          <w:szCs w:val="22"/>
          <w:lang w:val="fr-FR"/>
        </w:rPr>
        <w:tab/>
        <w:t>Les nids d’abeille sauvages sont en danger d</w:t>
      </w:r>
      <w:r>
        <w:rPr>
          <w:snapToGrid w:val="0"/>
          <w:kern w:val="22"/>
          <w:szCs w:val="22"/>
          <w:lang w:val="fr-FR"/>
        </w:rPr>
        <w:t xml:space="preserve">’appauvrissement en raison </w:t>
      </w:r>
      <w:r w:rsidRPr="004B2AE2">
        <w:rPr>
          <w:snapToGrid w:val="0"/>
          <w:kern w:val="22"/>
          <w:szCs w:val="22"/>
          <w:lang w:val="fr-FR"/>
        </w:rPr>
        <w:t xml:space="preserve">des pratiques d’exploitation forestière. En Malaisie et au Brésil, il a été démontré que l’exploitation forestière réduit le nombre de nids d’abeilles sauvages et, par conséquent, de pollinisateurs, ce qui a </w:t>
      </w:r>
      <w:r>
        <w:rPr>
          <w:snapToGrid w:val="0"/>
          <w:kern w:val="22"/>
          <w:szCs w:val="22"/>
          <w:lang w:val="fr-FR"/>
        </w:rPr>
        <w:t>des répercussions sur la régénér</w:t>
      </w:r>
      <w:r w:rsidRPr="004B2AE2">
        <w:rPr>
          <w:snapToGrid w:val="0"/>
          <w:kern w:val="22"/>
          <w:szCs w:val="22"/>
          <w:lang w:val="fr-FR"/>
        </w:rPr>
        <w:t>ation et la restauration des forêts. En outre, l’exploitation forestière réduit l’étendue de l’habitat forestier qui contient des</w:t>
      </w:r>
      <w:r>
        <w:rPr>
          <w:snapToGrid w:val="0"/>
          <w:kern w:val="22"/>
          <w:szCs w:val="22"/>
          <w:lang w:val="fr-FR"/>
        </w:rPr>
        <w:t xml:space="preserve"> sites de nidification adapté</w:t>
      </w:r>
      <w:r w:rsidRPr="004B2AE2">
        <w:rPr>
          <w:snapToGrid w:val="0"/>
          <w:kern w:val="22"/>
          <w:szCs w:val="22"/>
          <w:lang w:val="fr-FR"/>
        </w:rPr>
        <w:t>s et non occupés. La perte de pollinisateurs a lieu même lorsque les règles actuelles de gestion du bois certifié sont prises en compte.</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snapToGrid w:val="0"/>
          <w:kern w:val="22"/>
          <w:lang w:val="fr-FR"/>
        </w:rPr>
        <w:t>12.</w:t>
      </w:r>
      <w:r w:rsidRPr="004B2AE2">
        <w:rPr>
          <w:snapToGrid w:val="0"/>
          <w:kern w:val="22"/>
          <w:lang w:val="fr-FR"/>
        </w:rPr>
        <w:tab/>
        <w:t>Par ailleurs, en Afrique, la fréquence et l’intensité des feux</w:t>
      </w:r>
      <w:r>
        <w:rPr>
          <w:snapToGrid w:val="0"/>
          <w:kern w:val="22"/>
          <w:lang w:val="fr-FR"/>
        </w:rPr>
        <w:t xml:space="preserve"> de forêt</w:t>
      </w:r>
      <w:r w:rsidRPr="004B2AE2">
        <w:rPr>
          <w:snapToGrid w:val="0"/>
          <w:kern w:val="22"/>
          <w:lang w:val="fr-FR"/>
        </w:rPr>
        <w:t>, qui, à leur tour, ont un effet sur la production de nouvelles graines et leur reprise, ont une incidence sur différents écosystèmes</w:t>
      </w:r>
      <w:r>
        <w:rPr>
          <w:snapToGrid w:val="0"/>
          <w:kern w:val="22"/>
          <w:lang w:val="fr-FR"/>
        </w:rPr>
        <w:t xml:space="preserve">, en raison du taux élevé de spécialisation </w:t>
      </w:r>
      <w:r w:rsidRPr="004B2AE2">
        <w:rPr>
          <w:snapToGrid w:val="0"/>
          <w:kern w:val="22"/>
          <w:lang w:val="fr-FR"/>
        </w:rPr>
        <w:t xml:space="preserve">pollinisateur-plante. Une telle spécialisation suggère une susceptibilité marquée à la perte de pollinisateurs et la dépendance </w:t>
      </w:r>
      <w:r>
        <w:rPr>
          <w:snapToGrid w:val="0"/>
          <w:kern w:val="22"/>
          <w:lang w:val="fr-FR"/>
        </w:rPr>
        <w:t xml:space="preserve">à l’égard </w:t>
      </w:r>
      <w:r w:rsidRPr="004B2AE2">
        <w:rPr>
          <w:snapToGrid w:val="0"/>
          <w:kern w:val="22"/>
          <w:lang w:val="fr-FR"/>
        </w:rPr>
        <w:t xml:space="preserve">d’une seule espèce de </w:t>
      </w:r>
      <w:r w:rsidRPr="004B2AE2">
        <w:rPr>
          <w:snapToGrid w:val="0"/>
          <w:kern w:val="22"/>
          <w:lang w:val="fr-FR"/>
        </w:rPr>
        <w:lastRenderedPageBreak/>
        <w:t>pollinisateurs est potentiellement risquée face aux changements mondiaux</w:t>
      </w:r>
      <w:r>
        <w:rPr>
          <w:snapToGrid w:val="0"/>
          <w:kern w:val="22"/>
          <w:lang w:val="fr-FR"/>
        </w:rPr>
        <w:t xml:space="preserve"> en cours. Les prévisions concernant le</w:t>
      </w:r>
      <w:r w:rsidRPr="004B2AE2">
        <w:rPr>
          <w:snapToGrid w:val="0"/>
          <w:kern w:val="22"/>
          <w:lang w:val="fr-FR"/>
        </w:rPr>
        <w:t xml:space="preserve"> changement climatique suggèrent que la fréquence des incendies pourrait augmenter, de même que la longueur de la saison des conditions météorologiques qui leur sont propices.</w:t>
      </w:r>
    </w:p>
    <w:p w:rsidR="009F6935" w:rsidRPr="004B2AE2" w:rsidRDefault="009F6935" w:rsidP="009F6935">
      <w:pPr>
        <w:pStyle w:val="Default"/>
        <w:suppressLineNumbers/>
        <w:suppressAutoHyphens/>
        <w:kinsoku w:val="0"/>
        <w:overflowPunct w:val="0"/>
        <w:spacing w:before="120" w:after="120"/>
        <w:jc w:val="both"/>
        <w:rPr>
          <w:rFonts w:asciiTheme="majorBidi" w:hAnsiTheme="majorBidi" w:cstheme="majorBidi"/>
          <w:snapToGrid w:val="0"/>
          <w:color w:val="auto"/>
          <w:kern w:val="22"/>
          <w:sz w:val="22"/>
          <w:szCs w:val="22"/>
          <w:lang w:val="fr-FR"/>
        </w:rPr>
      </w:pPr>
      <w:r w:rsidRPr="004B2AE2">
        <w:rPr>
          <w:snapToGrid w:val="0"/>
          <w:kern w:val="22"/>
          <w:sz w:val="22"/>
          <w:lang w:val="fr-FR"/>
        </w:rPr>
        <w:t>13.</w:t>
      </w:r>
      <w:r w:rsidRPr="004B2AE2">
        <w:rPr>
          <w:snapToGrid w:val="0"/>
          <w:kern w:val="22"/>
          <w:sz w:val="22"/>
          <w:lang w:val="fr-FR"/>
        </w:rPr>
        <w:tab/>
      </w:r>
      <w:r w:rsidRPr="004B2AE2">
        <w:rPr>
          <w:bCs/>
          <w:iCs/>
          <w:snapToGrid w:val="0"/>
          <w:kern w:val="22"/>
          <w:sz w:val="22"/>
          <w:lang w:val="fr-FR"/>
        </w:rPr>
        <w:t>En Amérique latine, les invasions d’abeil</w:t>
      </w:r>
      <w:r>
        <w:rPr>
          <w:bCs/>
          <w:iCs/>
          <w:snapToGrid w:val="0"/>
          <w:kern w:val="22"/>
          <w:sz w:val="22"/>
          <w:lang w:val="fr-FR"/>
        </w:rPr>
        <w:t>les exotiques constituent</w:t>
      </w:r>
      <w:r w:rsidRPr="004B2AE2">
        <w:rPr>
          <w:bCs/>
          <w:iCs/>
          <w:snapToGrid w:val="0"/>
          <w:kern w:val="22"/>
          <w:sz w:val="22"/>
          <w:lang w:val="fr-FR"/>
        </w:rPr>
        <w:t xml:space="preserve"> le deuxième facteur le plus important du déclin des abeilles locales. L’introduction d’espèces d’abeilles est aussi un sujet de préoccupation,</w:t>
      </w:r>
      <w:r>
        <w:rPr>
          <w:bCs/>
          <w:iCs/>
          <w:snapToGrid w:val="0"/>
          <w:kern w:val="22"/>
          <w:sz w:val="22"/>
          <w:lang w:val="fr-FR"/>
        </w:rPr>
        <w:t xml:space="preserve"> au Japon par exemple, où il existe</w:t>
      </w:r>
      <w:r w:rsidRPr="004B2AE2">
        <w:rPr>
          <w:bCs/>
          <w:iCs/>
          <w:snapToGrid w:val="0"/>
          <w:kern w:val="22"/>
          <w:sz w:val="22"/>
          <w:lang w:val="fr-FR"/>
        </w:rPr>
        <w:t xml:space="preserve"> un risque de perturbation du réseau de pollinisation indigène. En Asie, l’érosion des connaissances traditionnelles, notamment la gestion des abeilles locales, pourrait contribuer au déclin des pollinisateurs locaux. En Europe, au Canada, aux États-Unis, en Australie et en Nouvelle-Zélande, le risque que les pesticides et la transmission d’agents pathogènes et de parasite présen</w:t>
      </w:r>
      <w:r>
        <w:rPr>
          <w:bCs/>
          <w:iCs/>
          <w:snapToGrid w:val="0"/>
          <w:kern w:val="22"/>
          <w:sz w:val="22"/>
          <w:lang w:val="fr-FR"/>
        </w:rPr>
        <w:t>tent pour les pollinisateurs constitue</w:t>
      </w:r>
      <w:r w:rsidRPr="004B2AE2">
        <w:rPr>
          <w:bCs/>
          <w:iCs/>
          <w:snapToGrid w:val="0"/>
          <w:kern w:val="22"/>
          <w:sz w:val="22"/>
          <w:lang w:val="fr-FR"/>
        </w:rPr>
        <w:t xml:space="preserve"> une importante préoccupation.</w:t>
      </w:r>
    </w:p>
    <w:p w:rsidR="009F6935" w:rsidRPr="00CD76CB" w:rsidRDefault="009F6935" w:rsidP="009F6935">
      <w:pPr>
        <w:suppressLineNumbers/>
        <w:suppressAutoHyphens/>
        <w:kinsoku w:val="0"/>
        <w:overflowPunct w:val="0"/>
        <w:autoSpaceDE w:val="0"/>
        <w:autoSpaceDN w:val="0"/>
        <w:spacing w:before="120" w:after="120"/>
        <w:rPr>
          <w:snapToGrid w:val="0"/>
          <w:kern w:val="22"/>
          <w:szCs w:val="22"/>
          <w:lang w:val="fr-FR" w:eastAsia="de-DE"/>
        </w:rPr>
      </w:pPr>
      <w:r w:rsidRPr="004B2AE2">
        <w:rPr>
          <w:rFonts w:asciiTheme="majorBidi" w:hAnsiTheme="majorBidi" w:cstheme="majorBidi"/>
          <w:snapToGrid w:val="0"/>
          <w:kern w:val="22"/>
          <w:lang w:val="fr-FR"/>
        </w:rPr>
        <w:t>14.</w:t>
      </w:r>
      <w:r w:rsidRPr="004B2AE2">
        <w:rPr>
          <w:rFonts w:asciiTheme="majorBidi" w:hAnsiTheme="majorBidi" w:cstheme="majorBidi"/>
          <w:snapToGrid w:val="0"/>
          <w:kern w:val="22"/>
          <w:lang w:val="fr-FR"/>
        </w:rPr>
        <w:tab/>
        <w:t>Dans un grand nombre de régions, l’absence de changements spatiaux et temporels dans l</w:t>
      </w:r>
      <w:r>
        <w:rPr>
          <w:rFonts w:asciiTheme="majorBidi" w:hAnsiTheme="majorBidi" w:cstheme="majorBidi"/>
          <w:snapToGrid w:val="0"/>
          <w:kern w:val="22"/>
          <w:lang w:val="fr-FR"/>
        </w:rPr>
        <w:t>es pollinisateurs, conjuguée à une taxonomie limitée, limite</w:t>
      </w:r>
      <w:r w:rsidRPr="004B2AE2">
        <w:rPr>
          <w:rFonts w:asciiTheme="majorBidi" w:hAnsiTheme="majorBidi" w:cstheme="majorBidi"/>
          <w:snapToGrid w:val="0"/>
          <w:kern w:val="22"/>
          <w:lang w:val="fr-FR"/>
        </w:rPr>
        <w:t xml:space="preserve"> l’évaluation de l’état et des tendances des pollinisateurs. En outre, le manque d’évaluations mondiales des espèces inscrites sur</w:t>
      </w:r>
      <w:r>
        <w:rPr>
          <w:rFonts w:asciiTheme="majorBidi" w:hAnsiTheme="majorBidi" w:cstheme="majorBidi"/>
          <w:snapToGrid w:val="0"/>
          <w:kern w:val="22"/>
          <w:lang w:val="fr-FR"/>
        </w:rPr>
        <w:t xml:space="preserve"> la Liste rouge, spécifiquement</w:t>
      </w:r>
      <w:r w:rsidRPr="004B2AE2">
        <w:rPr>
          <w:rFonts w:asciiTheme="majorBidi" w:hAnsiTheme="majorBidi" w:cstheme="majorBidi"/>
          <w:snapToGrid w:val="0"/>
          <w:kern w:val="22"/>
          <w:lang w:val="fr-FR"/>
        </w:rPr>
        <w:t xml:space="preserve"> pour les insectes pollinisateurs et, dans la plupart des régions du monde, le manque de données sur</w:t>
      </w:r>
      <w:r>
        <w:rPr>
          <w:rFonts w:asciiTheme="majorBidi" w:hAnsiTheme="majorBidi" w:cstheme="majorBidi"/>
          <w:snapToGrid w:val="0"/>
          <w:kern w:val="22"/>
          <w:lang w:val="fr-FR"/>
        </w:rPr>
        <w:t xml:space="preserve"> les</w:t>
      </w:r>
      <w:r w:rsidRPr="004B2AE2">
        <w:rPr>
          <w:rFonts w:asciiTheme="majorBidi" w:hAnsiTheme="majorBidi" w:cstheme="majorBidi"/>
          <w:snapToGrid w:val="0"/>
          <w:kern w:val="22"/>
          <w:lang w:val="fr-FR"/>
        </w:rPr>
        <w:t xml:space="preserve"> population</w:t>
      </w:r>
      <w:r>
        <w:rPr>
          <w:rFonts w:asciiTheme="majorBidi" w:hAnsiTheme="majorBidi" w:cstheme="majorBidi"/>
          <w:snapToGrid w:val="0"/>
          <w:kern w:val="22"/>
          <w:lang w:val="fr-FR"/>
        </w:rPr>
        <w:t>s</w:t>
      </w:r>
      <w:r w:rsidRPr="004B2AE2">
        <w:rPr>
          <w:rFonts w:asciiTheme="majorBidi" w:hAnsiTheme="majorBidi" w:cstheme="majorBidi"/>
          <w:snapToGrid w:val="0"/>
          <w:kern w:val="22"/>
          <w:lang w:val="fr-FR"/>
        </w:rPr>
        <w:t xml:space="preserve"> ou </w:t>
      </w:r>
      <w:r>
        <w:rPr>
          <w:rFonts w:asciiTheme="majorBidi" w:hAnsiTheme="majorBidi" w:cstheme="majorBidi"/>
          <w:snapToGrid w:val="0"/>
          <w:kern w:val="22"/>
          <w:lang w:val="fr-FR"/>
        </w:rPr>
        <w:t xml:space="preserve">le manque </w:t>
      </w:r>
      <w:r w:rsidRPr="004B2AE2">
        <w:rPr>
          <w:rFonts w:asciiTheme="majorBidi" w:hAnsiTheme="majorBidi" w:cstheme="majorBidi"/>
          <w:snapToGrid w:val="0"/>
          <w:kern w:val="22"/>
          <w:lang w:val="fr-FR"/>
        </w:rPr>
        <w:t xml:space="preserve">de données de déférence pour comparer l’état actuel des populations </w:t>
      </w:r>
      <w:r w:rsidRPr="00CD76CB">
        <w:rPr>
          <w:rFonts w:asciiTheme="majorBidi" w:hAnsiTheme="majorBidi" w:cstheme="majorBidi"/>
          <w:snapToGrid w:val="0"/>
          <w:kern w:val="22"/>
          <w:szCs w:val="22"/>
          <w:lang w:val="fr-FR"/>
        </w:rPr>
        <w:t>de pollinisateurs sauvages, rend difficile le discernement de toute tendance temporelle.</w:t>
      </w:r>
    </w:p>
    <w:p w:rsidR="009F6935" w:rsidRPr="00CD76CB" w:rsidRDefault="009F6935" w:rsidP="009F6935">
      <w:pPr>
        <w:pStyle w:val="Default"/>
        <w:suppressLineNumbers/>
        <w:suppressAutoHyphens/>
        <w:kinsoku w:val="0"/>
        <w:overflowPunct w:val="0"/>
        <w:spacing w:before="120" w:after="120"/>
        <w:jc w:val="both"/>
        <w:rPr>
          <w:snapToGrid w:val="0"/>
          <w:kern w:val="22"/>
          <w:sz w:val="22"/>
          <w:szCs w:val="22"/>
          <w:lang w:val="fr-FR" w:eastAsia="de-DE"/>
        </w:rPr>
      </w:pPr>
      <w:r w:rsidRPr="00CD76CB">
        <w:rPr>
          <w:snapToGrid w:val="0"/>
          <w:kern w:val="22"/>
          <w:sz w:val="22"/>
          <w:szCs w:val="22"/>
          <w:lang w:val="fr-FR" w:eastAsia="de-DE"/>
        </w:rPr>
        <w:t>15.</w:t>
      </w:r>
      <w:r w:rsidRPr="00CD76CB">
        <w:rPr>
          <w:snapToGrid w:val="0"/>
          <w:kern w:val="22"/>
          <w:sz w:val="22"/>
          <w:szCs w:val="22"/>
          <w:lang w:val="fr-FR" w:eastAsia="de-DE"/>
        </w:rPr>
        <w:tab/>
        <w:t>Les habita</w:t>
      </w:r>
      <w:r>
        <w:rPr>
          <w:snapToGrid w:val="0"/>
          <w:kern w:val="22"/>
          <w:sz w:val="22"/>
          <w:szCs w:val="22"/>
          <w:lang w:val="fr-FR" w:eastAsia="de-DE"/>
        </w:rPr>
        <w:t>t</w:t>
      </w:r>
      <w:r w:rsidRPr="00CD76CB">
        <w:rPr>
          <w:snapToGrid w:val="0"/>
          <w:kern w:val="22"/>
          <w:sz w:val="22"/>
          <w:szCs w:val="22"/>
          <w:lang w:val="fr-FR" w:eastAsia="de-DE"/>
        </w:rPr>
        <w:t>s et les biomes recensés comme étant les plus vulnérables aux déclins de pollinisateurs par région sont les suivants :</w:t>
      </w:r>
    </w:p>
    <w:p w:rsidR="009F6935" w:rsidRPr="004B2AE2" w:rsidRDefault="009F6935" w:rsidP="00004EAF">
      <w:pPr>
        <w:pStyle w:val="Default"/>
        <w:numPr>
          <w:ilvl w:val="0"/>
          <w:numId w:val="85"/>
        </w:numPr>
        <w:suppressLineNumbers/>
        <w:suppressAutoHyphens/>
        <w:kinsoku w:val="0"/>
        <w:overflowPunct w:val="0"/>
        <w:spacing w:after="120"/>
        <w:ind w:left="0" w:firstLine="720"/>
        <w:jc w:val="both"/>
        <w:rPr>
          <w:rFonts w:asciiTheme="majorBidi" w:hAnsiTheme="majorBidi" w:cstheme="majorBidi"/>
          <w:snapToGrid w:val="0"/>
          <w:kern w:val="22"/>
          <w:sz w:val="22"/>
          <w:szCs w:val="22"/>
          <w:lang w:val="fr-FR"/>
        </w:rPr>
      </w:pPr>
      <w:r w:rsidRPr="00CD76CB">
        <w:rPr>
          <w:rFonts w:asciiTheme="majorBidi" w:hAnsiTheme="majorBidi" w:cstheme="majorBidi"/>
          <w:bCs/>
          <w:i/>
          <w:iCs/>
          <w:snapToGrid w:val="0"/>
          <w:kern w:val="22"/>
          <w:sz w:val="22"/>
          <w:szCs w:val="22"/>
          <w:lang w:val="fr-FR"/>
        </w:rPr>
        <w:t>Afrique :</w:t>
      </w:r>
      <w:r w:rsidRPr="00CD76CB">
        <w:rPr>
          <w:rFonts w:asciiTheme="majorBidi" w:hAnsiTheme="majorBidi" w:cstheme="majorBidi"/>
          <w:bCs/>
          <w:snapToGrid w:val="0"/>
          <w:kern w:val="22"/>
          <w:sz w:val="22"/>
          <w:szCs w:val="22"/>
          <w:lang w:val="fr-FR"/>
        </w:rPr>
        <w:t xml:space="preserve"> </w:t>
      </w:r>
      <w:r w:rsidRPr="00CD76CB">
        <w:rPr>
          <w:rFonts w:asciiTheme="majorBidi" w:hAnsiTheme="majorBidi" w:cstheme="majorBidi"/>
          <w:snapToGrid w:val="0"/>
          <w:kern w:val="22"/>
          <w:sz w:val="22"/>
          <w:szCs w:val="22"/>
          <w:lang w:val="fr-FR"/>
        </w:rPr>
        <w:t>forêt tropicale, forêt sèche décidue, forêt subtropicale, Méditerranée, prairies de montagne, savanes tropicales</w:t>
      </w:r>
      <w:r w:rsidRPr="004B2AE2">
        <w:rPr>
          <w:rFonts w:asciiTheme="majorBidi" w:hAnsiTheme="majorBidi" w:cstheme="majorBidi"/>
          <w:snapToGrid w:val="0"/>
          <w:kern w:val="22"/>
          <w:sz w:val="22"/>
          <w:szCs w:val="22"/>
          <w:lang w:val="fr-FR"/>
        </w:rPr>
        <w:t xml:space="preserve"> et subtropicales, terres arides et déserts, zones humides et dambos, zones urbaines et périurbaines, zones côtières;</w:t>
      </w:r>
    </w:p>
    <w:p w:rsidR="009F6935" w:rsidRPr="004B2AE2" w:rsidRDefault="009F6935" w:rsidP="00004EAF">
      <w:pPr>
        <w:pStyle w:val="ListParagraph"/>
        <w:numPr>
          <w:ilvl w:val="0"/>
          <w:numId w:val="85"/>
        </w:numPr>
        <w:suppressLineNumbers/>
        <w:suppressAutoHyphens/>
        <w:kinsoku w:val="0"/>
        <w:overflowPunct w:val="0"/>
        <w:autoSpaceDE w:val="0"/>
        <w:autoSpaceDN w:val="0"/>
        <w:adjustRightInd w:val="0"/>
        <w:spacing w:after="120"/>
        <w:ind w:left="0" w:firstLine="720"/>
        <w:contextualSpacing w:val="0"/>
        <w:rPr>
          <w:rFonts w:asciiTheme="majorBidi" w:hAnsiTheme="majorBidi" w:cstheme="majorBidi"/>
          <w:snapToGrid w:val="0"/>
          <w:kern w:val="22"/>
          <w:lang w:val="fr-FR"/>
        </w:rPr>
      </w:pPr>
      <w:r w:rsidRPr="004B2AE2">
        <w:rPr>
          <w:bCs/>
          <w:i/>
          <w:iCs/>
          <w:snapToGrid w:val="0"/>
          <w:kern w:val="22"/>
          <w:lang w:val="fr-FR" w:eastAsia="de-DE"/>
        </w:rPr>
        <w:t>Asie et Pacifique :</w:t>
      </w:r>
      <w:r w:rsidRPr="004B2AE2">
        <w:rPr>
          <w:rFonts w:asciiTheme="majorBidi" w:hAnsiTheme="majorBidi" w:cstheme="majorBidi"/>
          <w:bCs/>
          <w:snapToGrid w:val="0"/>
          <w:kern w:val="22"/>
          <w:lang w:val="fr-FR"/>
        </w:rPr>
        <w:t xml:space="preserve"> </w:t>
      </w:r>
      <w:r w:rsidRPr="004B2AE2">
        <w:rPr>
          <w:rFonts w:asciiTheme="majorBidi" w:hAnsiTheme="majorBidi" w:cstheme="majorBidi"/>
          <w:snapToGrid w:val="0"/>
          <w:kern w:val="22"/>
          <w:lang w:val="fr-FR"/>
        </w:rPr>
        <w:t>forêts tropicales sempervirentes sèches ;</w:t>
      </w:r>
    </w:p>
    <w:p w:rsidR="009F6935" w:rsidRPr="004B2AE2" w:rsidRDefault="009F6935" w:rsidP="00004EAF">
      <w:pPr>
        <w:pStyle w:val="ListParagraph"/>
        <w:numPr>
          <w:ilvl w:val="0"/>
          <w:numId w:val="85"/>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lang w:val="fr-FR"/>
        </w:rPr>
      </w:pPr>
      <w:r w:rsidRPr="004B2AE2">
        <w:rPr>
          <w:bCs/>
          <w:i/>
          <w:iCs/>
          <w:snapToGrid w:val="0"/>
          <w:kern w:val="22"/>
          <w:lang w:val="fr-FR" w:eastAsia="de-DE"/>
        </w:rPr>
        <w:t>Amérique latine :</w:t>
      </w:r>
      <w:r w:rsidRPr="004B2AE2">
        <w:rPr>
          <w:bCs/>
          <w:snapToGrid w:val="0"/>
          <w:kern w:val="22"/>
          <w:lang w:val="fr-FR" w:eastAsia="de-DE"/>
        </w:rPr>
        <w:t xml:space="preserve"> </w:t>
      </w:r>
      <w:r w:rsidRPr="004B2AE2">
        <w:rPr>
          <w:rFonts w:asciiTheme="majorBidi" w:hAnsiTheme="majorBidi" w:cstheme="majorBidi"/>
          <w:snapToGrid w:val="0"/>
          <w:color w:val="222222"/>
          <w:kern w:val="22"/>
          <w:shd w:val="clear" w:color="auto" w:fill="FFFFFF"/>
          <w:lang w:val="fr-FR"/>
        </w:rPr>
        <w:t>Andes, montagnes méso-américaines et régions d’altitude élevée, la forêt subtropicale de Chaco, la savane du Cerrado, les zones humides du Pantanal, la forêt amazonienne et la forêt atlantique;</w:t>
      </w:r>
    </w:p>
    <w:p w:rsidR="009F6935" w:rsidRPr="004B2AE2" w:rsidRDefault="009F6935" w:rsidP="00004EAF">
      <w:pPr>
        <w:pStyle w:val="ListParagraph"/>
        <w:numPr>
          <w:ilvl w:val="0"/>
          <w:numId w:val="85"/>
        </w:numPr>
        <w:suppressLineNumbers/>
        <w:suppressAutoHyphens/>
        <w:kinsoku w:val="0"/>
        <w:overflowPunct w:val="0"/>
        <w:autoSpaceDE w:val="0"/>
        <w:autoSpaceDN w:val="0"/>
        <w:adjustRightInd w:val="0"/>
        <w:spacing w:after="120"/>
        <w:ind w:left="0" w:firstLine="720"/>
        <w:contextualSpacing w:val="0"/>
        <w:rPr>
          <w:rFonts w:eastAsia="HelveticaNeueLTStd-Lt"/>
          <w:snapToGrid w:val="0"/>
          <w:kern w:val="22"/>
          <w:lang w:val="fr-FR"/>
        </w:rPr>
      </w:pPr>
      <w:r w:rsidRPr="004B2AE2">
        <w:rPr>
          <w:rFonts w:asciiTheme="majorBidi" w:hAnsiTheme="majorBidi" w:cstheme="majorBidi"/>
          <w:i/>
          <w:iCs/>
          <w:snapToGrid w:val="0"/>
          <w:kern w:val="22"/>
          <w:szCs w:val="22"/>
          <w:lang w:val="fr-FR"/>
        </w:rPr>
        <w:t>Europe, Canada, États-Unis, Australie et Nouvelle-Zélande :</w:t>
      </w:r>
      <w:r w:rsidRPr="004B2AE2">
        <w:rPr>
          <w:rFonts w:eastAsia="HelveticaNeueLTStd-Lt"/>
          <w:snapToGrid w:val="0"/>
          <w:kern w:val="22"/>
          <w:lang w:val="fr-FR"/>
        </w:rPr>
        <w:t xml:space="preserve"> </w:t>
      </w:r>
      <w:r w:rsidRPr="004B2AE2">
        <w:rPr>
          <w:rFonts w:asciiTheme="majorBidi" w:hAnsiTheme="majorBidi" w:cstheme="majorBidi"/>
          <w:snapToGrid w:val="0"/>
          <w:kern w:val="22"/>
          <w:lang w:val="fr-FR"/>
        </w:rPr>
        <w:t>tourbières, prairies, lande et  garrigue.</w:t>
      </w:r>
    </w:p>
    <w:p w:rsidR="009F6935" w:rsidRPr="004B2AE2" w:rsidRDefault="009F6935" w:rsidP="009F6935">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fr-FR"/>
        </w:rPr>
      </w:pPr>
      <w:r w:rsidRPr="004B2AE2">
        <w:rPr>
          <w:rFonts w:asciiTheme="majorBidi" w:eastAsiaTheme="minorHAnsi" w:hAnsiTheme="majorBidi" w:cstheme="majorBidi"/>
          <w:snapToGrid w:val="0"/>
          <w:color w:val="000000" w:themeColor="text1"/>
          <w:kern w:val="22"/>
          <w:sz w:val="22"/>
          <w:szCs w:val="22"/>
          <w:lang w:val="fr-FR"/>
        </w:rPr>
        <w:t>16.</w:t>
      </w:r>
      <w:r w:rsidRPr="004B2AE2">
        <w:rPr>
          <w:rFonts w:asciiTheme="majorBidi" w:eastAsiaTheme="minorHAnsi" w:hAnsiTheme="majorBidi" w:cstheme="majorBidi"/>
          <w:snapToGrid w:val="0"/>
          <w:color w:val="000000" w:themeColor="text1"/>
          <w:kern w:val="22"/>
          <w:sz w:val="22"/>
          <w:szCs w:val="22"/>
          <w:lang w:val="fr-FR"/>
        </w:rPr>
        <w:tab/>
        <w:t>La forêt atlantique est un biome riche en mutu</w:t>
      </w:r>
      <w:r>
        <w:rPr>
          <w:rFonts w:asciiTheme="majorBidi" w:eastAsiaTheme="minorHAnsi" w:hAnsiTheme="majorBidi" w:cstheme="majorBidi"/>
          <w:snapToGrid w:val="0"/>
          <w:color w:val="000000" w:themeColor="text1"/>
          <w:kern w:val="22"/>
          <w:sz w:val="22"/>
          <w:szCs w:val="22"/>
          <w:lang w:val="fr-FR"/>
        </w:rPr>
        <w:t>alismes plante-pollinisateur qui</w:t>
      </w:r>
      <w:r w:rsidRPr="004B2AE2">
        <w:rPr>
          <w:rFonts w:asciiTheme="majorBidi" w:eastAsiaTheme="minorHAnsi" w:hAnsiTheme="majorBidi" w:cstheme="majorBidi"/>
          <w:snapToGrid w:val="0"/>
          <w:color w:val="000000" w:themeColor="text1"/>
          <w:kern w:val="22"/>
          <w:sz w:val="22"/>
          <w:szCs w:val="22"/>
          <w:lang w:val="fr-FR"/>
        </w:rPr>
        <w:t>, avec seulement 29 pour cent de</w:t>
      </w:r>
      <w:r>
        <w:rPr>
          <w:rFonts w:asciiTheme="majorBidi" w:eastAsiaTheme="minorHAnsi" w:hAnsiTheme="majorBidi" w:cstheme="majorBidi"/>
          <w:snapToGrid w:val="0"/>
          <w:color w:val="000000" w:themeColor="text1"/>
          <w:kern w:val="22"/>
          <w:sz w:val="22"/>
          <w:szCs w:val="22"/>
          <w:lang w:val="fr-FR"/>
        </w:rPr>
        <w:t xml:space="preserve"> son couvert forestier original</w:t>
      </w:r>
      <w:r w:rsidRPr="00C61E45">
        <w:rPr>
          <w:rStyle w:val="FootnoteReference"/>
          <w:rFonts w:asciiTheme="majorBidi" w:eastAsiaTheme="minorHAnsi" w:hAnsiTheme="majorBidi" w:cstheme="majorBidi"/>
          <w:snapToGrid w:val="0"/>
          <w:color w:val="000000" w:themeColor="text1"/>
          <w:kern w:val="22"/>
          <w:sz w:val="20"/>
          <w:szCs w:val="20"/>
          <w:u w:val="none"/>
          <w:vertAlign w:val="superscript"/>
          <w:lang w:val="fr-FR"/>
        </w:rPr>
        <w:footnoteReference w:id="141"/>
      </w:r>
      <w:r>
        <w:rPr>
          <w:rFonts w:asciiTheme="majorBidi" w:eastAsiaTheme="minorHAnsi" w:hAnsiTheme="majorBidi" w:cstheme="majorBidi"/>
          <w:snapToGrid w:val="0"/>
          <w:color w:val="000000" w:themeColor="text1"/>
          <w:kern w:val="22"/>
          <w:sz w:val="22"/>
          <w:szCs w:val="22"/>
          <w:lang w:val="fr-FR"/>
        </w:rPr>
        <w:t>,</w:t>
      </w:r>
      <w:r w:rsidRPr="004B2AE2">
        <w:rPr>
          <w:rFonts w:asciiTheme="majorBidi" w:eastAsiaTheme="minorHAnsi" w:hAnsiTheme="majorBidi" w:cstheme="majorBidi"/>
          <w:snapToGrid w:val="0"/>
          <w:color w:val="000000" w:themeColor="text1"/>
          <w:kern w:val="22"/>
          <w:sz w:val="22"/>
          <w:szCs w:val="22"/>
          <w:lang w:val="fr-FR"/>
        </w:rPr>
        <w:t xml:space="preserve">  est grandement menacé par la perte et la fragmentation des habitats. La fragment</w:t>
      </w:r>
      <w:r>
        <w:rPr>
          <w:rFonts w:asciiTheme="majorBidi" w:eastAsiaTheme="minorHAnsi" w:hAnsiTheme="majorBidi" w:cstheme="majorBidi"/>
          <w:snapToGrid w:val="0"/>
          <w:color w:val="000000" w:themeColor="text1"/>
          <w:kern w:val="22"/>
          <w:sz w:val="22"/>
          <w:szCs w:val="22"/>
          <w:lang w:val="fr-FR"/>
        </w:rPr>
        <w:t>ation extrême de ce biome a entraîn</w:t>
      </w:r>
      <w:r w:rsidRPr="004B2AE2">
        <w:rPr>
          <w:rFonts w:asciiTheme="majorBidi" w:eastAsiaTheme="minorHAnsi" w:hAnsiTheme="majorBidi" w:cstheme="majorBidi"/>
          <w:snapToGrid w:val="0"/>
          <w:color w:val="000000" w:themeColor="text1"/>
          <w:kern w:val="22"/>
          <w:sz w:val="22"/>
          <w:szCs w:val="22"/>
          <w:lang w:val="fr-FR"/>
        </w:rPr>
        <w:t>é une perte dif</w:t>
      </w:r>
      <w:r>
        <w:rPr>
          <w:rFonts w:asciiTheme="majorBidi" w:eastAsiaTheme="minorHAnsi" w:hAnsiTheme="majorBidi" w:cstheme="majorBidi"/>
          <w:snapToGrid w:val="0"/>
          <w:color w:val="000000" w:themeColor="text1"/>
          <w:kern w:val="22"/>
          <w:sz w:val="22"/>
          <w:szCs w:val="22"/>
          <w:lang w:val="fr-FR"/>
        </w:rPr>
        <w:t>férentielle d’espèces végétales</w:t>
      </w:r>
      <w:r w:rsidRPr="004B2AE2">
        <w:rPr>
          <w:rFonts w:asciiTheme="majorBidi" w:eastAsiaTheme="minorHAnsi" w:hAnsiTheme="majorBidi" w:cstheme="majorBidi"/>
          <w:snapToGrid w:val="0"/>
          <w:color w:val="000000" w:themeColor="text1"/>
          <w:kern w:val="22"/>
          <w:sz w:val="22"/>
          <w:szCs w:val="22"/>
          <w:lang w:val="fr-FR"/>
        </w:rPr>
        <w:t xml:space="preserve"> et des systèmes sexuels et de pollinisation </w:t>
      </w:r>
      <w:r>
        <w:rPr>
          <w:rFonts w:asciiTheme="majorBidi" w:eastAsiaTheme="minorHAnsi" w:hAnsiTheme="majorBidi" w:cstheme="majorBidi"/>
          <w:snapToGrid w:val="0"/>
          <w:color w:val="000000" w:themeColor="text1"/>
          <w:kern w:val="22"/>
          <w:sz w:val="22"/>
          <w:szCs w:val="22"/>
          <w:lang w:val="fr-FR"/>
        </w:rPr>
        <w:t>relativement spécialisés qui n</w:t>
      </w:r>
      <w:r w:rsidRPr="004B2AE2">
        <w:rPr>
          <w:rFonts w:asciiTheme="majorBidi" w:eastAsiaTheme="minorHAnsi" w:hAnsiTheme="majorBidi" w:cstheme="majorBidi"/>
          <w:snapToGrid w:val="0"/>
          <w:color w:val="000000" w:themeColor="text1"/>
          <w:kern w:val="22"/>
          <w:sz w:val="22"/>
          <w:szCs w:val="22"/>
          <w:lang w:val="fr-FR"/>
        </w:rPr>
        <w:t>e survivent qu’à l’intérieur d</w:t>
      </w:r>
      <w:r>
        <w:rPr>
          <w:rFonts w:asciiTheme="majorBidi" w:eastAsiaTheme="minorHAnsi" w:hAnsiTheme="majorBidi" w:cstheme="majorBidi"/>
          <w:snapToGrid w:val="0"/>
          <w:color w:val="000000" w:themeColor="text1"/>
          <w:kern w:val="22"/>
          <w:sz w:val="22"/>
          <w:szCs w:val="22"/>
          <w:lang w:val="fr-FR"/>
        </w:rPr>
        <w:t>es grandes étendues de forêt subsis</w:t>
      </w:r>
      <w:r w:rsidRPr="004B2AE2">
        <w:rPr>
          <w:rFonts w:asciiTheme="majorBidi" w:eastAsiaTheme="minorHAnsi" w:hAnsiTheme="majorBidi" w:cstheme="majorBidi"/>
          <w:snapToGrid w:val="0"/>
          <w:color w:val="000000" w:themeColor="text1"/>
          <w:kern w:val="22"/>
          <w:sz w:val="22"/>
          <w:szCs w:val="22"/>
          <w:lang w:val="fr-FR"/>
        </w:rPr>
        <w:t>tante. Dans la forêt sèche du Chaco, il a été suggéré qu’une augmentation de l’autopo</w:t>
      </w:r>
      <w:r>
        <w:rPr>
          <w:rFonts w:asciiTheme="majorBidi" w:eastAsiaTheme="minorHAnsi" w:hAnsiTheme="majorBidi" w:cstheme="majorBidi"/>
          <w:snapToGrid w:val="0"/>
          <w:color w:val="000000" w:themeColor="text1"/>
          <w:kern w:val="22"/>
          <w:sz w:val="22"/>
          <w:szCs w:val="22"/>
          <w:lang w:val="fr-FR"/>
        </w:rPr>
        <w:t>llinisation pourrait être li</w:t>
      </w:r>
      <w:r w:rsidRPr="004B2AE2">
        <w:rPr>
          <w:rFonts w:asciiTheme="majorBidi" w:eastAsiaTheme="minorHAnsi" w:hAnsiTheme="majorBidi" w:cstheme="majorBidi"/>
          <w:snapToGrid w:val="0"/>
          <w:color w:val="000000" w:themeColor="text1"/>
          <w:kern w:val="22"/>
          <w:sz w:val="22"/>
          <w:szCs w:val="22"/>
          <w:lang w:val="fr-FR"/>
        </w:rPr>
        <w:t>ée à l’invasion d’abeilles mellifères africanisées.</w:t>
      </w:r>
    </w:p>
    <w:p w:rsidR="009F6935" w:rsidRPr="004B2AE2" w:rsidRDefault="009F6935" w:rsidP="009F6935">
      <w:pPr>
        <w:pStyle w:val="Default"/>
        <w:suppressLineNumbers/>
        <w:suppressAutoHyphens/>
        <w:kinsoku w:val="0"/>
        <w:overflowPunct w:val="0"/>
        <w:spacing w:before="120" w:after="120"/>
        <w:jc w:val="both"/>
        <w:rPr>
          <w:rFonts w:asciiTheme="majorBidi" w:hAnsiTheme="majorBidi" w:cstheme="majorBidi"/>
          <w:snapToGrid w:val="0"/>
          <w:kern w:val="22"/>
          <w:sz w:val="22"/>
          <w:szCs w:val="22"/>
          <w:lang w:val="fr-FR"/>
        </w:rPr>
      </w:pPr>
      <w:r w:rsidRPr="004B2AE2">
        <w:rPr>
          <w:rFonts w:asciiTheme="majorBidi" w:hAnsiTheme="majorBidi" w:cstheme="majorBidi"/>
          <w:snapToGrid w:val="0"/>
          <w:kern w:val="22"/>
          <w:sz w:val="22"/>
          <w:szCs w:val="22"/>
          <w:lang w:val="fr-FR"/>
        </w:rPr>
        <w:t>17.</w:t>
      </w:r>
      <w:r w:rsidRPr="004B2AE2">
        <w:rPr>
          <w:rFonts w:asciiTheme="majorBidi" w:hAnsiTheme="majorBidi" w:cstheme="majorBidi"/>
          <w:snapToGrid w:val="0"/>
          <w:kern w:val="22"/>
          <w:sz w:val="22"/>
          <w:szCs w:val="22"/>
          <w:lang w:val="fr-FR"/>
        </w:rPr>
        <w:tab/>
        <w:t xml:space="preserve">Le changement climatique est considéré comme une menace potentielle importante en Europe et en Amérique du Nord. Les bourdons </w:t>
      </w:r>
      <w:r>
        <w:rPr>
          <w:rFonts w:asciiTheme="majorBidi" w:hAnsiTheme="majorBidi" w:cstheme="majorBidi"/>
          <w:snapToGrid w:val="0"/>
          <w:kern w:val="22"/>
          <w:sz w:val="22"/>
          <w:szCs w:val="22"/>
          <w:lang w:val="fr-FR"/>
        </w:rPr>
        <w:t>ne suivent pas le réchauffement</w:t>
      </w:r>
      <w:r w:rsidRPr="004B2AE2">
        <w:rPr>
          <w:rFonts w:asciiTheme="majorBidi" w:hAnsiTheme="majorBidi" w:cstheme="majorBidi"/>
          <w:snapToGrid w:val="0"/>
          <w:kern w:val="22"/>
          <w:sz w:val="22"/>
          <w:szCs w:val="22"/>
          <w:lang w:val="fr-FR"/>
        </w:rPr>
        <w:t xml:space="preserve"> en colonisant de nouveaux habitats au nord de leur aire de répartition historique. En même temps, ils disparaissent des parties méridionales de leur aire de répartition. Certaines espèces ont connu un grave déclin.</w:t>
      </w:r>
    </w:p>
    <w:p w:rsidR="009F6935" w:rsidRPr="004B2AE2" w:rsidRDefault="009F6935" w:rsidP="009F6935">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fr-FR" w:eastAsia="ja-JP"/>
        </w:rPr>
      </w:pPr>
      <w:r w:rsidRPr="004B2AE2">
        <w:rPr>
          <w:rFonts w:asciiTheme="majorBidi" w:eastAsiaTheme="minorEastAsia" w:hAnsiTheme="majorBidi" w:cstheme="majorBidi"/>
          <w:snapToGrid w:val="0"/>
          <w:color w:val="000000" w:themeColor="text1"/>
          <w:kern w:val="22"/>
          <w:sz w:val="22"/>
          <w:lang w:val="fr-FR" w:eastAsia="ja-JP"/>
        </w:rPr>
        <w:t>18.</w:t>
      </w:r>
      <w:r w:rsidRPr="004B2AE2">
        <w:rPr>
          <w:rFonts w:asciiTheme="majorBidi" w:eastAsiaTheme="minorEastAsia" w:hAnsiTheme="majorBidi" w:cstheme="majorBidi"/>
          <w:snapToGrid w:val="0"/>
          <w:color w:val="000000" w:themeColor="text1"/>
          <w:kern w:val="22"/>
          <w:sz w:val="22"/>
          <w:lang w:val="fr-FR" w:eastAsia="ja-JP"/>
        </w:rPr>
        <w:tab/>
        <w:t>La méliponiculture, ou apiculture d’abeilles sans dard</w:t>
      </w:r>
      <w:r w:rsidRPr="004B2AE2">
        <w:rPr>
          <w:snapToGrid w:val="0"/>
          <w:kern w:val="22"/>
          <w:sz w:val="22"/>
          <w:szCs w:val="22"/>
          <w:lang w:val="fr-FR"/>
        </w:rPr>
        <w:t xml:space="preserve"> (Meliponini), est largement entreprise par les peuples autochtones et les communautés locales, les connaissances ayant été transmis</w:t>
      </w:r>
      <w:r>
        <w:rPr>
          <w:snapToGrid w:val="0"/>
          <w:kern w:val="22"/>
          <w:sz w:val="22"/>
          <w:szCs w:val="22"/>
          <w:lang w:val="fr-FR"/>
        </w:rPr>
        <w:t>es de génération en génération</w:t>
      </w:r>
      <w:r w:rsidRPr="004B2AE2">
        <w:rPr>
          <w:snapToGrid w:val="0"/>
          <w:kern w:val="22"/>
          <w:sz w:val="22"/>
          <w:szCs w:val="22"/>
          <w:lang w:val="fr-FR"/>
        </w:rPr>
        <w:t>. Les abeilles sans dard sont des pollinisateurs utiles aux cultures et aux fruits sauvages, et la plupart</w:t>
      </w:r>
      <w:r>
        <w:rPr>
          <w:snapToGrid w:val="0"/>
          <w:kern w:val="22"/>
          <w:sz w:val="22"/>
          <w:szCs w:val="22"/>
          <w:lang w:val="fr-FR"/>
        </w:rPr>
        <w:t xml:space="preserve"> d’entre eux produisent du miel</w:t>
      </w:r>
      <w:r w:rsidRPr="004B2AE2">
        <w:rPr>
          <w:snapToGrid w:val="0"/>
          <w:kern w:val="22"/>
          <w:sz w:val="22"/>
          <w:szCs w:val="22"/>
          <w:lang w:val="fr-FR"/>
        </w:rPr>
        <w:t xml:space="preserve"> qui est utilisé à des fins médicinales. </w:t>
      </w:r>
      <w:r>
        <w:rPr>
          <w:snapToGrid w:val="0"/>
          <w:kern w:val="22"/>
          <w:sz w:val="22"/>
          <w:szCs w:val="22"/>
          <w:lang w:val="fr-FR"/>
        </w:rPr>
        <w:t>Bien que la méliponiculture représente une opportunité économique pour</w:t>
      </w:r>
      <w:r w:rsidRPr="004B2AE2">
        <w:rPr>
          <w:snapToGrid w:val="0"/>
          <w:kern w:val="22"/>
          <w:sz w:val="22"/>
          <w:szCs w:val="22"/>
          <w:lang w:val="fr-FR"/>
        </w:rPr>
        <w:t xml:space="preserve"> les pays tropicaux, l’élevage d’abeilles sans dard à grande échelle pourrait avoir des effets négatif</w:t>
      </w:r>
      <w:r>
        <w:rPr>
          <w:snapToGrid w:val="0"/>
          <w:kern w:val="22"/>
          <w:sz w:val="22"/>
          <w:szCs w:val="22"/>
          <w:lang w:val="fr-FR"/>
        </w:rPr>
        <w:t>s et est considéré comme un enjeu</w:t>
      </w:r>
      <w:r w:rsidRPr="004B2AE2">
        <w:rPr>
          <w:snapToGrid w:val="0"/>
          <w:kern w:val="22"/>
          <w:sz w:val="22"/>
          <w:szCs w:val="22"/>
          <w:lang w:val="fr-FR"/>
        </w:rPr>
        <w:t xml:space="preserve"> actuel.</w:t>
      </w:r>
    </w:p>
    <w:p w:rsidR="009F6935" w:rsidRPr="004B2AE2" w:rsidRDefault="009F6935" w:rsidP="009F6935">
      <w:pPr>
        <w:pStyle w:val="Default"/>
        <w:suppressLineNumbers/>
        <w:suppressAutoHyphens/>
        <w:kinsoku w:val="0"/>
        <w:overflowPunct w:val="0"/>
        <w:spacing w:before="120" w:after="120"/>
        <w:jc w:val="both"/>
        <w:rPr>
          <w:rFonts w:asciiTheme="majorBidi" w:eastAsiaTheme="minorHAnsi" w:hAnsiTheme="majorBidi" w:cstheme="majorBidi"/>
          <w:snapToGrid w:val="0"/>
          <w:color w:val="000000" w:themeColor="text1"/>
          <w:kern w:val="22"/>
          <w:sz w:val="22"/>
          <w:szCs w:val="22"/>
          <w:lang w:val="fr-FR"/>
        </w:rPr>
      </w:pPr>
      <w:r w:rsidRPr="004B2AE2">
        <w:rPr>
          <w:rFonts w:asciiTheme="majorBidi" w:eastAsiaTheme="minorEastAsia" w:hAnsiTheme="majorBidi" w:cstheme="majorBidi"/>
          <w:snapToGrid w:val="0"/>
          <w:color w:val="000000" w:themeColor="text1"/>
          <w:kern w:val="22"/>
          <w:sz w:val="22"/>
          <w:lang w:val="fr-FR" w:eastAsia="ja-JP"/>
        </w:rPr>
        <w:t>19.</w:t>
      </w:r>
      <w:r w:rsidRPr="004B2AE2">
        <w:rPr>
          <w:rFonts w:asciiTheme="majorBidi" w:eastAsiaTheme="minorEastAsia" w:hAnsiTheme="majorBidi" w:cstheme="majorBidi"/>
          <w:snapToGrid w:val="0"/>
          <w:color w:val="000000" w:themeColor="text1"/>
          <w:kern w:val="22"/>
          <w:sz w:val="22"/>
          <w:lang w:val="fr-FR" w:eastAsia="ja-JP"/>
        </w:rPr>
        <w:tab/>
      </w:r>
      <w:r w:rsidRPr="004B2AE2">
        <w:rPr>
          <w:rFonts w:asciiTheme="majorBidi" w:eastAsiaTheme="minorHAnsi" w:hAnsiTheme="majorBidi" w:cstheme="majorBidi"/>
          <w:snapToGrid w:val="0"/>
          <w:color w:val="000000" w:themeColor="text1"/>
          <w:kern w:val="22"/>
          <w:sz w:val="22"/>
          <w:szCs w:val="22"/>
          <w:lang w:val="fr-FR"/>
        </w:rPr>
        <w:t xml:space="preserve">L’introduction d’espèces d’abeilles mellifères (Apis) dans les mangroves a été étudiée dans de nombreux pays, dont la Chine, Cuba, l’Inde et les États-Unis, et augmente aussi en Thaïlande et au Brésil. </w:t>
      </w:r>
      <w:r w:rsidRPr="004B2AE2">
        <w:rPr>
          <w:rFonts w:asciiTheme="majorBidi" w:eastAsiaTheme="minorHAnsi" w:hAnsiTheme="majorBidi" w:cstheme="majorBidi"/>
          <w:snapToGrid w:val="0"/>
          <w:color w:val="000000" w:themeColor="text1"/>
          <w:kern w:val="22"/>
          <w:sz w:val="22"/>
          <w:szCs w:val="22"/>
          <w:lang w:val="fr-FR"/>
        </w:rPr>
        <w:lastRenderedPageBreak/>
        <w:t>Bien que ce</w:t>
      </w:r>
      <w:r>
        <w:rPr>
          <w:rFonts w:asciiTheme="majorBidi" w:eastAsiaTheme="minorHAnsi" w:hAnsiTheme="majorBidi" w:cstheme="majorBidi"/>
          <w:snapToGrid w:val="0"/>
          <w:color w:val="000000" w:themeColor="text1"/>
          <w:kern w:val="22"/>
          <w:sz w:val="22"/>
          <w:szCs w:val="22"/>
          <w:lang w:val="fr-FR"/>
        </w:rPr>
        <w:t>tte activité puisse potentiellement</w:t>
      </w:r>
      <w:r w:rsidRPr="004B2AE2">
        <w:rPr>
          <w:rFonts w:asciiTheme="majorBidi" w:eastAsiaTheme="minorHAnsi" w:hAnsiTheme="majorBidi" w:cstheme="majorBidi"/>
          <w:snapToGrid w:val="0"/>
          <w:color w:val="000000" w:themeColor="text1"/>
          <w:kern w:val="22"/>
          <w:sz w:val="22"/>
          <w:szCs w:val="22"/>
          <w:lang w:val="fr-FR"/>
        </w:rPr>
        <w:t xml:space="preserve"> contribuer à la conservation des systèmes de mangroves, les impacts doivent être davantage évalués. La gestion des colonies, y compris la reproduction artificielle et l’élevage des reines, doit être avancée pour utiliser les ressources naturelles de manière durable. </w:t>
      </w:r>
    </w:p>
    <w:p w:rsidR="009F6935" w:rsidRPr="004B2AE2" w:rsidRDefault="009F6935" w:rsidP="009F6935">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lang w:val="fr-FR" w:eastAsia="ja-JP"/>
        </w:rPr>
      </w:pPr>
      <w:r w:rsidRPr="004B2AE2">
        <w:rPr>
          <w:rFonts w:asciiTheme="majorBidi" w:eastAsiaTheme="minorEastAsia" w:hAnsiTheme="majorBidi" w:cstheme="majorBidi"/>
          <w:snapToGrid w:val="0"/>
          <w:color w:val="000000" w:themeColor="text1"/>
          <w:kern w:val="22"/>
          <w:sz w:val="22"/>
          <w:lang w:val="fr-FR" w:eastAsia="ja-JP"/>
        </w:rPr>
        <w:t>20.</w:t>
      </w:r>
      <w:r w:rsidRPr="004B2AE2">
        <w:rPr>
          <w:rFonts w:asciiTheme="majorBidi" w:eastAsiaTheme="minorEastAsia" w:hAnsiTheme="majorBidi" w:cstheme="majorBidi"/>
          <w:snapToGrid w:val="0"/>
          <w:color w:val="000000" w:themeColor="text1"/>
          <w:kern w:val="22"/>
          <w:sz w:val="22"/>
          <w:lang w:val="fr-FR" w:eastAsia="ja-JP"/>
        </w:rPr>
        <w:tab/>
        <w:t>Quant aux effets des pesticides sur les espèces non ciblées, une méta-an</w:t>
      </w:r>
      <w:r>
        <w:rPr>
          <w:rFonts w:asciiTheme="majorBidi" w:eastAsiaTheme="minorEastAsia" w:hAnsiTheme="majorBidi" w:cstheme="majorBidi"/>
          <w:snapToGrid w:val="0"/>
          <w:color w:val="000000" w:themeColor="text1"/>
          <w:kern w:val="22"/>
          <w:sz w:val="22"/>
          <w:lang w:val="fr-FR" w:eastAsia="ja-JP"/>
        </w:rPr>
        <w:t>alyse récente a montré que, comparées</w:t>
      </w:r>
      <w:r w:rsidRPr="004B2AE2">
        <w:rPr>
          <w:rFonts w:asciiTheme="majorBidi" w:eastAsiaTheme="minorEastAsia" w:hAnsiTheme="majorBidi" w:cstheme="majorBidi"/>
          <w:snapToGrid w:val="0"/>
          <w:color w:val="000000" w:themeColor="text1"/>
          <w:kern w:val="22"/>
          <w:sz w:val="22"/>
          <w:lang w:val="fr-FR" w:eastAsia="ja-JP"/>
        </w:rPr>
        <w:t xml:space="preserve"> aux abeilles mellifères, les abeilles sans da</w:t>
      </w:r>
      <w:r>
        <w:rPr>
          <w:rFonts w:asciiTheme="majorBidi" w:eastAsiaTheme="minorEastAsia" w:hAnsiTheme="majorBidi" w:cstheme="majorBidi"/>
          <w:snapToGrid w:val="0"/>
          <w:color w:val="000000" w:themeColor="text1"/>
          <w:kern w:val="22"/>
          <w:sz w:val="22"/>
          <w:lang w:val="fr-FR" w:eastAsia="ja-JP"/>
        </w:rPr>
        <w:t>rd sont plus sensibles aux différent</w:t>
      </w:r>
      <w:r w:rsidRPr="004B2AE2">
        <w:rPr>
          <w:rFonts w:asciiTheme="majorBidi" w:eastAsiaTheme="minorEastAsia" w:hAnsiTheme="majorBidi" w:cstheme="majorBidi"/>
          <w:snapToGrid w:val="0"/>
          <w:color w:val="000000" w:themeColor="text1"/>
          <w:kern w:val="22"/>
          <w:sz w:val="22"/>
          <w:lang w:val="fr-FR" w:eastAsia="ja-JP"/>
        </w:rPr>
        <w:t>s pesticides. Des é</w:t>
      </w:r>
      <w:r>
        <w:rPr>
          <w:rFonts w:asciiTheme="majorBidi" w:eastAsiaTheme="minorEastAsia" w:hAnsiTheme="majorBidi" w:cstheme="majorBidi"/>
          <w:snapToGrid w:val="0"/>
          <w:color w:val="000000" w:themeColor="text1"/>
          <w:kern w:val="22"/>
          <w:sz w:val="22"/>
          <w:lang w:val="fr-FR" w:eastAsia="ja-JP"/>
        </w:rPr>
        <w:t>tudes expérimentales menées sur</w:t>
      </w:r>
      <w:r w:rsidRPr="004B2AE2">
        <w:rPr>
          <w:rFonts w:asciiTheme="majorBidi" w:eastAsiaTheme="minorEastAsia" w:hAnsiTheme="majorBidi" w:cstheme="majorBidi"/>
          <w:snapToGrid w:val="0"/>
          <w:color w:val="000000" w:themeColor="text1"/>
          <w:kern w:val="22"/>
          <w:sz w:val="22"/>
          <w:lang w:val="fr-FR" w:eastAsia="ja-JP"/>
        </w:rPr>
        <w:t xml:space="preserve"> d’autres pollinisateurs, tels que la roussette frugivore (</w:t>
      </w:r>
      <w:r w:rsidRPr="004B2AE2">
        <w:rPr>
          <w:rFonts w:asciiTheme="majorBidi" w:eastAsiaTheme="minorEastAsia" w:hAnsiTheme="majorBidi" w:cstheme="majorBidi"/>
          <w:i/>
          <w:iCs/>
          <w:snapToGrid w:val="0"/>
          <w:color w:val="000000" w:themeColor="text1"/>
          <w:kern w:val="22"/>
          <w:sz w:val="22"/>
          <w:lang w:val="fr-FR" w:eastAsia="ja-JP"/>
        </w:rPr>
        <w:t>Artibeus lituratus</w:t>
      </w:r>
      <w:r w:rsidRPr="004B2AE2">
        <w:rPr>
          <w:rFonts w:asciiTheme="majorBidi" w:eastAsiaTheme="minorEastAsia" w:hAnsiTheme="majorBidi" w:cstheme="majorBidi"/>
          <w:snapToGrid w:val="0"/>
          <w:color w:val="000000" w:themeColor="text1"/>
          <w:kern w:val="22"/>
          <w:sz w:val="22"/>
          <w:lang w:val="fr-FR" w:eastAsia="ja-JP"/>
        </w:rPr>
        <w:t>) du Brésil, indiquent que l’exposition chronique des roussettes à des concentrations pertinentes d’endosulfan peut conduire à une</w:t>
      </w:r>
      <w:r>
        <w:rPr>
          <w:rFonts w:asciiTheme="majorBidi" w:eastAsiaTheme="minorEastAsia" w:hAnsiTheme="majorBidi" w:cstheme="majorBidi"/>
          <w:snapToGrid w:val="0"/>
          <w:color w:val="000000" w:themeColor="text1"/>
          <w:kern w:val="22"/>
          <w:sz w:val="22"/>
          <w:lang w:val="fr-FR" w:eastAsia="ja-JP"/>
        </w:rPr>
        <w:t xml:space="preserve"> importante bioaccumulation, qui</w:t>
      </w:r>
      <w:r w:rsidRPr="004B2AE2">
        <w:rPr>
          <w:rFonts w:asciiTheme="majorBidi" w:eastAsiaTheme="minorEastAsia" w:hAnsiTheme="majorBidi" w:cstheme="majorBidi"/>
          <w:snapToGrid w:val="0"/>
          <w:color w:val="000000" w:themeColor="text1"/>
          <w:kern w:val="22"/>
          <w:sz w:val="22"/>
          <w:lang w:val="fr-FR" w:eastAsia="ja-JP"/>
        </w:rPr>
        <w:t xml:space="preserve"> peut avoir des effets néfastes sur la santé de cet </w:t>
      </w:r>
      <w:r>
        <w:rPr>
          <w:rFonts w:asciiTheme="majorBidi" w:eastAsiaTheme="minorEastAsia" w:hAnsiTheme="majorBidi" w:cstheme="majorBidi"/>
          <w:snapToGrid w:val="0"/>
          <w:color w:val="000000" w:themeColor="text1"/>
          <w:kern w:val="22"/>
          <w:sz w:val="22"/>
          <w:lang w:val="fr-FR" w:eastAsia="ja-JP"/>
        </w:rPr>
        <w:t>important propagateur</w:t>
      </w:r>
      <w:r w:rsidRPr="004B2AE2">
        <w:rPr>
          <w:rFonts w:asciiTheme="majorBidi" w:eastAsiaTheme="minorEastAsia" w:hAnsiTheme="majorBidi" w:cstheme="majorBidi"/>
          <w:snapToGrid w:val="0"/>
          <w:color w:val="000000" w:themeColor="text1"/>
          <w:kern w:val="22"/>
          <w:sz w:val="22"/>
          <w:lang w:val="fr-FR" w:eastAsia="ja-JP"/>
        </w:rPr>
        <w:t xml:space="preserve"> de semences des forêts néotropicales. De même, l’analyse à long terme des données sur les populations de papillons du nord de la Californie a révélé un rapport négatif entre les populations de papillons et l’application croissante de néonicotinoïdes. Une expérience contrôlée à l’échelle du paysage menée dans trois pays (Hongri</w:t>
      </w:r>
      <w:r>
        <w:rPr>
          <w:rFonts w:asciiTheme="majorBidi" w:eastAsiaTheme="minorEastAsia" w:hAnsiTheme="majorBidi" w:cstheme="majorBidi"/>
          <w:snapToGrid w:val="0"/>
          <w:color w:val="000000" w:themeColor="text1"/>
          <w:kern w:val="22"/>
          <w:sz w:val="22"/>
          <w:lang w:val="fr-FR" w:eastAsia="ja-JP"/>
        </w:rPr>
        <w:t>e, Allemagne et Royaume-Uni) concernant</w:t>
      </w:r>
      <w:r w:rsidRPr="004B2AE2">
        <w:rPr>
          <w:rFonts w:asciiTheme="majorBidi" w:eastAsiaTheme="minorEastAsia" w:hAnsiTheme="majorBidi" w:cstheme="majorBidi"/>
          <w:snapToGrid w:val="0"/>
          <w:color w:val="000000" w:themeColor="text1"/>
          <w:kern w:val="22"/>
          <w:sz w:val="22"/>
          <w:lang w:val="fr-FR" w:eastAsia="ja-JP"/>
        </w:rPr>
        <w:t xml:space="preserve"> l’emploi de colza oléagineux (canola) traité avec des néonicotinoïdes (clothianidine ou thiamethoxam) a montré que la reproduction des abeilles sauvages (</w:t>
      </w:r>
      <w:r w:rsidRPr="004B2AE2">
        <w:rPr>
          <w:rFonts w:asciiTheme="majorBidi" w:eastAsiaTheme="minorEastAsia" w:hAnsiTheme="majorBidi" w:cstheme="majorBidi"/>
          <w:i/>
          <w:iCs/>
          <w:snapToGrid w:val="0"/>
          <w:color w:val="000000" w:themeColor="text1"/>
          <w:kern w:val="22"/>
          <w:sz w:val="22"/>
          <w:lang w:val="fr-FR" w:eastAsia="ja-JP"/>
        </w:rPr>
        <w:t>B. terrestris</w:t>
      </w:r>
      <w:r w:rsidRPr="004B2AE2">
        <w:rPr>
          <w:rFonts w:asciiTheme="majorBidi" w:eastAsiaTheme="minorEastAsia" w:hAnsiTheme="majorBidi" w:cstheme="majorBidi"/>
          <w:snapToGrid w:val="0"/>
          <w:color w:val="000000" w:themeColor="text1"/>
          <w:kern w:val="22"/>
          <w:sz w:val="22"/>
          <w:lang w:val="fr-FR" w:eastAsia="ja-JP"/>
        </w:rPr>
        <w:t xml:space="preserve"> et </w:t>
      </w:r>
      <w:r w:rsidRPr="004B2AE2">
        <w:rPr>
          <w:rFonts w:asciiTheme="majorBidi" w:eastAsiaTheme="minorEastAsia" w:hAnsiTheme="majorBidi" w:cstheme="majorBidi"/>
          <w:i/>
          <w:iCs/>
          <w:snapToGrid w:val="0"/>
          <w:color w:val="000000" w:themeColor="text1"/>
          <w:kern w:val="22"/>
          <w:sz w:val="22"/>
          <w:lang w:val="fr-FR" w:eastAsia="ja-JP"/>
        </w:rPr>
        <w:t>Osmia bicornis</w:t>
      </w:r>
      <w:r w:rsidRPr="004B2AE2">
        <w:rPr>
          <w:rFonts w:asciiTheme="majorBidi" w:eastAsiaTheme="minorEastAsia" w:hAnsiTheme="majorBidi" w:cstheme="majorBidi"/>
          <w:snapToGrid w:val="0"/>
          <w:color w:val="000000" w:themeColor="text1"/>
          <w:kern w:val="22"/>
          <w:sz w:val="22"/>
          <w:lang w:val="fr-FR" w:eastAsia="ja-JP"/>
        </w:rPr>
        <w:t>) était négativement corrélée avec des résidus de néonicotinoïdes dans les nids d’abeilles.</w:t>
      </w:r>
    </w:p>
    <w:p w:rsidR="009F6935" w:rsidRPr="00546DC0" w:rsidRDefault="009F6935" w:rsidP="009F6935">
      <w:pPr>
        <w:pStyle w:val="Default"/>
        <w:suppressLineNumbers/>
        <w:suppressAutoHyphens/>
        <w:kinsoku w:val="0"/>
        <w:overflowPunct w:val="0"/>
        <w:snapToGrid w:val="0"/>
        <w:spacing w:before="120" w:after="120"/>
        <w:jc w:val="both"/>
        <w:rPr>
          <w:rFonts w:eastAsiaTheme="minorEastAsia"/>
          <w:color w:val="000000" w:themeColor="text1"/>
          <w:kern w:val="22"/>
          <w:sz w:val="22"/>
          <w:szCs w:val="22"/>
          <w:lang w:val="fr-FR" w:eastAsia="ja-JP"/>
        </w:rPr>
      </w:pPr>
      <w:r w:rsidRPr="004B2AE2">
        <w:rPr>
          <w:rFonts w:asciiTheme="majorBidi" w:eastAsiaTheme="minorEastAsia" w:hAnsiTheme="majorBidi" w:cstheme="majorBidi"/>
          <w:snapToGrid w:val="0"/>
          <w:color w:val="000000" w:themeColor="text1"/>
          <w:kern w:val="22"/>
          <w:sz w:val="22"/>
          <w:szCs w:val="22"/>
          <w:lang w:val="fr-FR" w:eastAsia="ja-JP"/>
        </w:rPr>
        <w:t>21.</w:t>
      </w:r>
      <w:r w:rsidRPr="004B2AE2">
        <w:rPr>
          <w:rFonts w:asciiTheme="majorBidi" w:eastAsiaTheme="minorEastAsia" w:hAnsiTheme="majorBidi" w:cstheme="majorBidi"/>
          <w:snapToGrid w:val="0"/>
          <w:color w:val="000000" w:themeColor="text1"/>
          <w:kern w:val="22"/>
          <w:sz w:val="22"/>
          <w:szCs w:val="22"/>
          <w:lang w:val="fr-FR" w:eastAsia="ja-JP"/>
        </w:rPr>
        <w:tab/>
        <w:t>[Sur le plan génétique, les cultures modifiées qui ont des caractéristiques de tolérance des herbicides ou de résistance aux insectes peuvent constituer un danger pour les pollinisateurs du fait de le</w:t>
      </w:r>
      <w:r>
        <w:rPr>
          <w:rFonts w:asciiTheme="majorBidi" w:eastAsiaTheme="minorEastAsia" w:hAnsiTheme="majorBidi" w:cstheme="majorBidi"/>
          <w:snapToGrid w:val="0"/>
          <w:color w:val="000000" w:themeColor="text1"/>
          <w:kern w:val="22"/>
          <w:sz w:val="22"/>
          <w:szCs w:val="22"/>
          <w:lang w:val="fr-FR" w:eastAsia="ja-JP"/>
        </w:rPr>
        <w:t>urs effets létaux ou sublétaux s</w:t>
      </w:r>
      <w:r w:rsidRPr="004B2AE2">
        <w:rPr>
          <w:rFonts w:asciiTheme="majorBidi" w:eastAsiaTheme="minorEastAsia" w:hAnsiTheme="majorBidi" w:cstheme="majorBidi"/>
          <w:snapToGrid w:val="0"/>
          <w:color w:val="000000" w:themeColor="text1"/>
          <w:kern w:val="22"/>
          <w:sz w:val="22"/>
          <w:szCs w:val="22"/>
          <w:lang w:val="fr-FR" w:eastAsia="ja-JP"/>
        </w:rPr>
        <w:t xml:space="preserve">ur les insectes adultes ou les larves. Cependant, de récentes analyses n’ont </w:t>
      </w:r>
      <w:r>
        <w:rPr>
          <w:rFonts w:asciiTheme="majorBidi" w:eastAsiaTheme="minorEastAsia" w:hAnsiTheme="majorBidi" w:cstheme="majorBidi"/>
          <w:snapToGrid w:val="0"/>
          <w:color w:val="000000" w:themeColor="text1"/>
          <w:kern w:val="22"/>
          <w:sz w:val="22"/>
          <w:szCs w:val="22"/>
          <w:lang w:val="fr-FR" w:eastAsia="ja-JP"/>
        </w:rPr>
        <w:t xml:space="preserve">montré aucun effet négatif certain des </w:t>
      </w:r>
      <w:r w:rsidRPr="004B2AE2">
        <w:rPr>
          <w:rFonts w:asciiTheme="majorBidi" w:eastAsiaTheme="minorEastAsia" w:hAnsiTheme="majorBidi" w:cstheme="majorBidi"/>
          <w:snapToGrid w:val="0"/>
          <w:color w:val="000000" w:themeColor="text1"/>
          <w:kern w:val="22"/>
          <w:sz w:val="22"/>
          <w:szCs w:val="22"/>
          <w:lang w:val="fr-FR" w:eastAsia="ja-JP"/>
        </w:rPr>
        <w:t>organismes vivants modifiés sur les abeilles mellifères.]</w:t>
      </w:r>
      <w:r w:rsidRPr="00DE0153">
        <w:rPr>
          <w:rFonts w:eastAsiaTheme="minorEastAsia"/>
          <w:color w:val="000000" w:themeColor="text1"/>
          <w:kern w:val="22"/>
          <w:sz w:val="22"/>
          <w:lang w:val="fr-FR" w:eastAsia="ja-JP"/>
        </w:rPr>
        <w:t xml:space="preserve"> </w:t>
      </w:r>
      <w:r w:rsidRPr="00546DC0">
        <w:rPr>
          <w:rFonts w:eastAsiaTheme="minorEastAsia"/>
          <w:color w:val="000000" w:themeColor="text1"/>
          <w:kern w:val="22"/>
          <w:sz w:val="22"/>
          <w:szCs w:val="22"/>
          <w:lang w:val="fr-FR" w:eastAsia="ja-JP"/>
        </w:rPr>
        <w:t xml:space="preserve">[En ce qui concerne les effets </w:t>
      </w:r>
      <w:r>
        <w:rPr>
          <w:rFonts w:eastAsiaTheme="minorEastAsia"/>
          <w:color w:val="000000" w:themeColor="text1"/>
          <w:kern w:val="22"/>
          <w:sz w:val="22"/>
          <w:szCs w:val="22"/>
          <w:lang w:val="fr-FR" w:eastAsia="ja-JP"/>
        </w:rPr>
        <w:t xml:space="preserve">létaux ou sublétaux potentiels </w:t>
      </w:r>
      <w:r w:rsidRPr="00546DC0">
        <w:rPr>
          <w:rFonts w:eastAsiaTheme="minorEastAsia"/>
          <w:color w:val="000000" w:themeColor="text1"/>
          <w:kern w:val="22"/>
          <w:sz w:val="22"/>
          <w:szCs w:val="22"/>
          <w:lang w:val="fr-FR" w:eastAsia="ja-JP"/>
        </w:rPr>
        <w:t xml:space="preserve">sur les pollinisateurs </w:t>
      </w:r>
      <w:r>
        <w:rPr>
          <w:rFonts w:eastAsiaTheme="minorEastAsia"/>
          <w:color w:val="000000" w:themeColor="text1"/>
          <w:kern w:val="22"/>
          <w:sz w:val="22"/>
          <w:szCs w:val="22"/>
          <w:lang w:val="fr-FR" w:eastAsia="ja-JP"/>
        </w:rPr>
        <w:t>ré</w:t>
      </w:r>
      <w:r w:rsidRPr="00546DC0">
        <w:rPr>
          <w:rFonts w:eastAsiaTheme="minorEastAsia"/>
          <w:color w:val="000000" w:themeColor="text1"/>
          <w:kern w:val="22"/>
          <w:sz w:val="22"/>
          <w:szCs w:val="22"/>
          <w:lang w:val="fr-FR" w:eastAsia="ja-JP"/>
        </w:rPr>
        <w:t>sultant des cultures génétiquement modifi</w:t>
      </w:r>
      <w:r>
        <w:rPr>
          <w:rFonts w:eastAsiaTheme="minorEastAsia"/>
          <w:color w:val="000000" w:themeColor="text1"/>
          <w:kern w:val="22"/>
          <w:sz w:val="22"/>
          <w:szCs w:val="22"/>
          <w:lang w:val="fr-FR" w:eastAsia="ja-JP"/>
        </w:rPr>
        <w:t>é</w:t>
      </w:r>
      <w:r w:rsidRPr="00546DC0">
        <w:rPr>
          <w:rFonts w:eastAsiaTheme="minorEastAsia"/>
          <w:color w:val="000000" w:themeColor="text1"/>
          <w:kern w:val="22"/>
          <w:sz w:val="22"/>
          <w:szCs w:val="22"/>
          <w:lang w:val="fr-FR" w:eastAsia="ja-JP"/>
        </w:rPr>
        <w:t xml:space="preserve">es </w:t>
      </w:r>
      <w:r w:rsidRPr="004B2AE2">
        <w:rPr>
          <w:rFonts w:asciiTheme="majorBidi" w:eastAsiaTheme="minorEastAsia" w:hAnsiTheme="majorBidi" w:cstheme="majorBidi"/>
          <w:snapToGrid w:val="0"/>
          <w:color w:val="000000" w:themeColor="text1"/>
          <w:kern w:val="22"/>
          <w:sz w:val="22"/>
          <w:szCs w:val="22"/>
          <w:lang w:val="fr-FR" w:eastAsia="ja-JP"/>
        </w:rPr>
        <w:t>qui ont des caractéristiques de tolérance des herbicide</w:t>
      </w:r>
      <w:r>
        <w:rPr>
          <w:rFonts w:asciiTheme="majorBidi" w:eastAsiaTheme="minorEastAsia" w:hAnsiTheme="majorBidi" w:cstheme="majorBidi"/>
          <w:snapToGrid w:val="0"/>
          <w:color w:val="000000" w:themeColor="text1"/>
          <w:kern w:val="22"/>
          <w:sz w:val="22"/>
          <w:szCs w:val="22"/>
          <w:lang w:val="fr-FR" w:eastAsia="ja-JP"/>
        </w:rPr>
        <w:t>s ou de résistance aux insectes</w:t>
      </w:r>
      <w:r w:rsidRPr="00546DC0">
        <w:rPr>
          <w:rFonts w:eastAsiaTheme="minorEastAsia"/>
          <w:color w:val="000000" w:themeColor="text1"/>
          <w:kern w:val="22"/>
          <w:sz w:val="22"/>
          <w:szCs w:val="22"/>
          <w:lang w:val="fr-FR" w:eastAsia="ja-JP"/>
        </w:rPr>
        <w:t xml:space="preserve">, </w:t>
      </w:r>
      <w:r>
        <w:rPr>
          <w:rFonts w:eastAsiaTheme="minorEastAsia"/>
          <w:color w:val="000000" w:themeColor="text1"/>
          <w:kern w:val="22"/>
          <w:sz w:val="22"/>
          <w:szCs w:val="22"/>
          <w:lang w:val="fr-FR" w:eastAsia="ja-JP"/>
        </w:rPr>
        <w:t xml:space="preserve">bien que certaines études récentes montrent qu’il n’existe aucun effet négatif avéré des organismes génétiquement modifiés sur les abeilles mellifères, il est trop tôt pour parvenir à une </w:t>
      </w:r>
      <w:r w:rsidRPr="00546DC0">
        <w:rPr>
          <w:rFonts w:eastAsiaTheme="minorEastAsia"/>
          <w:color w:val="000000" w:themeColor="text1"/>
          <w:kern w:val="22"/>
          <w:sz w:val="22"/>
          <w:szCs w:val="22"/>
          <w:lang w:val="fr-FR" w:eastAsia="ja-JP"/>
        </w:rPr>
        <w:t xml:space="preserve">conclusion </w:t>
      </w:r>
      <w:r>
        <w:rPr>
          <w:rFonts w:eastAsiaTheme="minorEastAsia"/>
          <w:color w:val="000000" w:themeColor="text1"/>
          <w:kern w:val="22"/>
          <w:sz w:val="22"/>
          <w:szCs w:val="22"/>
          <w:lang w:val="fr-FR" w:eastAsia="ja-JP"/>
        </w:rPr>
        <w:t>sur de tels effets</w:t>
      </w:r>
      <w:r w:rsidRPr="00546DC0">
        <w:rPr>
          <w:rFonts w:eastAsiaTheme="minorEastAsia"/>
          <w:color w:val="000000" w:themeColor="text1"/>
          <w:kern w:val="22"/>
          <w:sz w:val="22"/>
          <w:szCs w:val="22"/>
          <w:lang w:val="fr-FR" w:eastAsia="ja-JP"/>
        </w:rPr>
        <w:t xml:space="preserve">. En conséquence, d’autres études doivent </w:t>
      </w:r>
      <w:r>
        <w:rPr>
          <w:rFonts w:eastAsiaTheme="minorEastAsia"/>
          <w:color w:val="000000" w:themeColor="text1"/>
          <w:kern w:val="22"/>
          <w:sz w:val="22"/>
          <w:szCs w:val="22"/>
          <w:lang w:val="fr-FR" w:eastAsia="ja-JP"/>
        </w:rPr>
        <w:t>être men</w:t>
      </w:r>
      <w:r w:rsidRPr="00546DC0">
        <w:rPr>
          <w:rFonts w:eastAsiaTheme="minorEastAsia"/>
          <w:color w:val="000000" w:themeColor="text1"/>
          <w:kern w:val="22"/>
          <w:sz w:val="22"/>
          <w:szCs w:val="22"/>
          <w:lang w:val="fr-FR" w:eastAsia="ja-JP"/>
        </w:rPr>
        <w:t>ées sur d’autres espèces pollinisatrices et dans d’</w:t>
      </w:r>
      <w:r>
        <w:rPr>
          <w:rFonts w:eastAsiaTheme="minorEastAsia"/>
          <w:color w:val="000000" w:themeColor="text1"/>
          <w:kern w:val="22"/>
          <w:sz w:val="22"/>
          <w:szCs w:val="22"/>
          <w:lang w:val="fr-FR" w:eastAsia="ja-JP"/>
        </w:rPr>
        <w:t>autres conditions</w:t>
      </w:r>
      <w:r w:rsidRPr="00546DC0">
        <w:rPr>
          <w:rFonts w:eastAsiaTheme="minorEastAsia"/>
          <w:color w:val="000000" w:themeColor="text1"/>
          <w:kern w:val="22"/>
          <w:sz w:val="22"/>
          <w:szCs w:val="22"/>
          <w:lang w:val="fr-FR" w:eastAsia="ja-JP"/>
        </w:rPr>
        <w:t>.]</w:t>
      </w:r>
    </w:p>
    <w:p w:rsidR="009F6935" w:rsidRPr="004B2AE2" w:rsidRDefault="009F6935" w:rsidP="009F6935">
      <w:pPr>
        <w:pStyle w:val="Default"/>
        <w:suppressLineNumbers/>
        <w:suppressAutoHyphens/>
        <w:kinsoku w:val="0"/>
        <w:overflowPunct w:val="0"/>
        <w:spacing w:before="120" w:after="120"/>
        <w:jc w:val="both"/>
        <w:rPr>
          <w:rFonts w:asciiTheme="majorBidi" w:eastAsiaTheme="minorEastAsia" w:hAnsiTheme="majorBidi" w:cstheme="majorBidi"/>
          <w:snapToGrid w:val="0"/>
          <w:color w:val="000000" w:themeColor="text1"/>
          <w:kern w:val="22"/>
          <w:sz w:val="22"/>
          <w:szCs w:val="22"/>
          <w:lang w:val="fr-FR" w:eastAsia="ja-JP"/>
        </w:rPr>
      </w:pPr>
      <w:r w:rsidRPr="004B2AE2">
        <w:rPr>
          <w:rFonts w:asciiTheme="majorBidi" w:eastAsiaTheme="minorEastAsia" w:hAnsiTheme="majorBidi" w:cstheme="majorBidi"/>
          <w:snapToGrid w:val="0"/>
          <w:color w:val="000000" w:themeColor="text1"/>
          <w:kern w:val="22"/>
          <w:sz w:val="22"/>
          <w:szCs w:val="22"/>
          <w:lang w:val="fr-FR" w:eastAsia="ja-JP"/>
        </w:rPr>
        <w:t>22.</w:t>
      </w:r>
      <w:r w:rsidRPr="004B2AE2">
        <w:rPr>
          <w:rFonts w:asciiTheme="majorBidi" w:eastAsiaTheme="minorEastAsia" w:hAnsiTheme="majorBidi" w:cstheme="majorBidi"/>
          <w:snapToGrid w:val="0"/>
          <w:color w:val="000000" w:themeColor="text1"/>
          <w:kern w:val="22"/>
          <w:sz w:val="22"/>
          <w:szCs w:val="22"/>
          <w:lang w:val="fr-FR" w:eastAsia="ja-JP"/>
        </w:rPr>
        <w:tab/>
        <w:t>L’Amérique latine abrite le germoplasme sauvage de nombreuses cultures alimentaires</w:t>
      </w:r>
      <w:r w:rsidRPr="00C61E45">
        <w:rPr>
          <w:rStyle w:val="FootnoteReference"/>
          <w:snapToGrid w:val="0"/>
          <w:color w:val="auto"/>
          <w:kern w:val="22"/>
          <w:sz w:val="20"/>
          <w:szCs w:val="20"/>
          <w:u w:val="none"/>
          <w:vertAlign w:val="superscript"/>
          <w:lang w:val="fr-FR" w:eastAsia="de-DE"/>
        </w:rPr>
        <w:footnoteReference w:id="142"/>
      </w:r>
      <w:r w:rsidRPr="00C61E45">
        <w:rPr>
          <w:rStyle w:val="FootnoteReference"/>
          <w:snapToGrid w:val="0"/>
          <w:color w:val="auto"/>
          <w:kern w:val="22"/>
          <w:sz w:val="20"/>
          <w:szCs w:val="20"/>
          <w:u w:val="none"/>
          <w:vertAlign w:val="superscript"/>
          <w:lang w:val="fr-FR" w:eastAsia="de-DE"/>
        </w:rPr>
        <w:t xml:space="preserve"> </w:t>
      </w:r>
      <w:r w:rsidRPr="004B2AE2">
        <w:rPr>
          <w:rFonts w:asciiTheme="majorBidi" w:eastAsiaTheme="minorEastAsia" w:hAnsiTheme="majorBidi" w:cstheme="majorBidi"/>
          <w:snapToGrid w:val="0"/>
          <w:color w:val="000000" w:themeColor="text1"/>
          <w:kern w:val="22"/>
          <w:sz w:val="22"/>
          <w:szCs w:val="22"/>
          <w:lang w:val="fr-FR" w:eastAsia="ja-JP"/>
        </w:rPr>
        <w:t xml:space="preserve">qui dépendent directement ou indirectement des pollinisateurs pour </w:t>
      </w:r>
      <w:r>
        <w:rPr>
          <w:rFonts w:asciiTheme="majorBidi" w:eastAsiaTheme="minorEastAsia" w:hAnsiTheme="majorBidi" w:cstheme="majorBidi"/>
          <w:snapToGrid w:val="0"/>
          <w:color w:val="000000" w:themeColor="text1"/>
          <w:kern w:val="22"/>
          <w:sz w:val="22"/>
          <w:szCs w:val="22"/>
          <w:lang w:val="fr-FR" w:eastAsia="ja-JP"/>
        </w:rPr>
        <w:t xml:space="preserve">assurer </w:t>
      </w:r>
      <w:r w:rsidRPr="004B2AE2">
        <w:rPr>
          <w:rFonts w:asciiTheme="majorBidi" w:eastAsiaTheme="minorEastAsia" w:hAnsiTheme="majorBidi" w:cstheme="majorBidi"/>
          <w:snapToGrid w:val="0"/>
          <w:color w:val="000000" w:themeColor="text1"/>
          <w:kern w:val="22"/>
          <w:sz w:val="22"/>
          <w:szCs w:val="22"/>
          <w:lang w:val="fr-FR" w:eastAsia="ja-JP"/>
        </w:rPr>
        <w:t>un rendement élevé. Le germoplasme de celles-ci</w:t>
      </w:r>
      <w:r>
        <w:rPr>
          <w:rFonts w:asciiTheme="majorBidi" w:eastAsiaTheme="minorEastAsia" w:hAnsiTheme="majorBidi" w:cstheme="majorBidi"/>
          <w:snapToGrid w:val="0"/>
          <w:color w:val="000000" w:themeColor="text1"/>
          <w:kern w:val="22"/>
          <w:sz w:val="22"/>
          <w:szCs w:val="22"/>
          <w:lang w:val="fr-FR" w:eastAsia="ja-JP"/>
        </w:rPr>
        <w:t>,</w:t>
      </w:r>
      <w:r w:rsidRPr="004B2AE2">
        <w:rPr>
          <w:rFonts w:asciiTheme="majorBidi" w:eastAsiaTheme="minorEastAsia" w:hAnsiTheme="majorBidi" w:cstheme="majorBidi"/>
          <w:snapToGrid w:val="0"/>
          <w:color w:val="000000" w:themeColor="text1"/>
          <w:kern w:val="22"/>
          <w:sz w:val="22"/>
          <w:szCs w:val="22"/>
          <w:lang w:val="fr-FR" w:eastAsia="ja-JP"/>
        </w:rPr>
        <w:t xml:space="preserve"> et peut-être de centaines d’autres espèces sauvages à potentiel agricole, persiste dans les vestiges d’habitats naturels et</w:t>
      </w:r>
      <w:r>
        <w:rPr>
          <w:rFonts w:asciiTheme="majorBidi" w:eastAsiaTheme="minorEastAsia" w:hAnsiTheme="majorBidi" w:cstheme="majorBidi"/>
          <w:snapToGrid w:val="0"/>
          <w:color w:val="000000" w:themeColor="text1"/>
          <w:kern w:val="22"/>
          <w:sz w:val="22"/>
          <w:szCs w:val="22"/>
          <w:lang w:val="fr-FR" w:eastAsia="ja-JP"/>
        </w:rPr>
        <w:t xml:space="preserve"> semi-naturels gérés par l</w:t>
      </w:r>
      <w:r w:rsidRPr="004B2AE2">
        <w:rPr>
          <w:rFonts w:asciiTheme="majorBidi" w:eastAsiaTheme="minorEastAsia" w:hAnsiTheme="majorBidi" w:cstheme="majorBidi"/>
          <w:snapToGrid w:val="0"/>
          <w:color w:val="000000" w:themeColor="text1"/>
          <w:kern w:val="22"/>
          <w:sz w:val="22"/>
          <w:szCs w:val="22"/>
          <w:lang w:val="fr-FR" w:eastAsia="ja-JP"/>
        </w:rPr>
        <w:t xml:space="preserve">es communautés autochtones de cette région. Par conséquent, la diversité des assemblages de pollinisateurs est importante pour assurer non seulement la reproduction des plantes sauvages en général, mais aussi la persistance de ce germoplasme. Cependant, </w:t>
      </w:r>
      <w:r>
        <w:rPr>
          <w:rFonts w:asciiTheme="majorBidi" w:eastAsiaTheme="minorEastAsia" w:hAnsiTheme="majorBidi" w:cstheme="majorBidi"/>
          <w:snapToGrid w:val="0"/>
          <w:color w:val="000000" w:themeColor="text1"/>
          <w:kern w:val="22"/>
          <w:sz w:val="22"/>
          <w:szCs w:val="22"/>
          <w:lang w:val="fr-FR" w:eastAsia="ja-JP"/>
        </w:rPr>
        <w:t xml:space="preserve">mises </w:t>
      </w:r>
      <w:r w:rsidRPr="004B2AE2">
        <w:rPr>
          <w:rFonts w:asciiTheme="majorBidi" w:eastAsiaTheme="minorEastAsia" w:hAnsiTheme="majorBidi" w:cstheme="majorBidi"/>
          <w:snapToGrid w:val="0"/>
          <w:color w:val="000000" w:themeColor="text1"/>
          <w:kern w:val="22"/>
          <w:sz w:val="22"/>
          <w:szCs w:val="22"/>
          <w:lang w:val="fr-FR" w:eastAsia="ja-JP"/>
        </w:rPr>
        <w:t>à part q</w:t>
      </w:r>
      <w:r>
        <w:rPr>
          <w:rFonts w:asciiTheme="majorBidi" w:eastAsiaTheme="minorEastAsia" w:hAnsiTheme="majorBidi" w:cstheme="majorBidi"/>
          <w:snapToGrid w:val="0"/>
          <w:color w:val="000000" w:themeColor="text1"/>
          <w:kern w:val="22"/>
          <w:sz w:val="22"/>
          <w:szCs w:val="22"/>
          <w:lang w:val="fr-FR" w:eastAsia="ja-JP"/>
        </w:rPr>
        <w:t>uelques exceptions, la présence</w:t>
      </w:r>
      <w:r w:rsidRPr="004B2AE2">
        <w:rPr>
          <w:rFonts w:asciiTheme="majorBidi" w:eastAsiaTheme="minorEastAsia" w:hAnsiTheme="majorBidi" w:cstheme="majorBidi"/>
          <w:snapToGrid w:val="0"/>
          <w:color w:val="000000" w:themeColor="text1"/>
          <w:kern w:val="22"/>
          <w:sz w:val="22"/>
          <w:szCs w:val="22"/>
          <w:lang w:val="fr-FR" w:eastAsia="ja-JP"/>
        </w:rPr>
        <w:t xml:space="preserve"> et la diversité de ce germoplasme et son éta</w:t>
      </w:r>
      <w:r>
        <w:rPr>
          <w:rFonts w:asciiTheme="majorBidi" w:eastAsiaTheme="minorEastAsia" w:hAnsiTheme="majorBidi" w:cstheme="majorBidi"/>
          <w:snapToGrid w:val="0"/>
          <w:color w:val="000000" w:themeColor="text1"/>
          <w:kern w:val="22"/>
          <w:sz w:val="22"/>
          <w:szCs w:val="22"/>
          <w:lang w:val="fr-FR" w:eastAsia="ja-JP"/>
        </w:rPr>
        <w:t xml:space="preserve">t actuel de conservation ne sont pas </w:t>
      </w:r>
      <w:r w:rsidRPr="004B2AE2">
        <w:rPr>
          <w:rFonts w:asciiTheme="majorBidi" w:eastAsiaTheme="minorEastAsia" w:hAnsiTheme="majorBidi" w:cstheme="majorBidi"/>
          <w:snapToGrid w:val="0"/>
          <w:color w:val="000000" w:themeColor="text1"/>
          <w:kern w:val="22"/>
          <w:sz w:val="22"/>
          <w:szCs w:val="22"/>
          <w:lang w:val="fr-FR" w:eastAsia="ja-JP"/>
        </w:rPr>
        <w:t>connus.</w:t>
      </w:r>
    </w:p>
    <w:p w:rsidR="009F6935" w:rsidRPr="004B2AE2" w:rsidRDefault="009F6935" w:rsidP="009F6935">
      <w:pPr>
        <w:keepNext/>
        <w:suppressLineNumbers/>
        <w:tabs>
          <w:tab w:val="left" w:pos="270"/>
        </w:tabs>
        <w:suppressAutoHyphens/>
        <w:kinsoku w:val="0"/>
        <w:overflowPunct w:val="0"/>
        <w:autoSpaceDE w:val="0"/>
        <w:autoSpaceDN w:val="0"/>
        <w:adjustRightInd w:val="0"/>
        <w:spacing w:before="120" w:after="120"/>
        <w:jc w:val="left"/>
        <w:rPr>
          <w:rFonts w:asciiTheme="majorBidi" w:hAnsiTheme="majorBidi" w:cstheme="majorBidi"/>
          <w:b/>
          <w:bCs/>
          <w:snapToGrid w:val="0"/>
          <w:kern w:val="22"/>
          <w:lang w:val="fr-FR"/>
        </w:rPr>
      </w:pPr>
      <w:r w:rsidRPr="004B2AE2">
        <w:rPr>
          <w:rFonts w:asciiTheme="majorBidi" w:hAnsiTheme="majorBidi" w:cstheme="majorBidi"/>
          <w:b/>
          <w:bCs/>
          <w:snapToGrid w:val="0"/>
          <w:kern w:val="22"/>
          <w:lang w:val="fr-FR"/>
        </w:rPr>
        <w:t>D.</w:t>
      </w:r>
      <w:r w:rsidRPr="004B2AE2">
        <w:rPr>
          <w:rFonts w:asciiTheme="majorBidi" w:hAnsiTheme="majorBidi" w:cstheme="majorBidi"/>
          <w:b/>
          <w:bCs/>
          <w:snapToGrid w:val="0"/>
          <w:kern w:val="22"/>
          <w:lang w:val="fr-FR"/>
        </w:rPr>
        <w:tab/>
      </w:r>
      <w:r>
        <w:rPr>
          <w:rFonts w:asciiTheme="majorBidi" w:hAnsiTheme="majorBidi" w:cstheme="majorBidi"/>
          <w:b/>
          <w:bCs/>
          <w:snapToGrid w:val="0"/>
          <w:kern w:val="22"/>
          <w:lang w:val="fr-FR"/>
        </w:rPr>
        <w:t xml:space="preserve">Options de mesures d’intervention pour </w:t>
      </w:r>
      <w:r w:rsidRPr="004B2AE2">
        <w:rPr>
          <w:rFonts w:asciiTheme="majorBidi" w:hAnsiTheme="majorBidi" w:cstheme="majorBidi"/>
          <w:b/>
          <w:bCs/>
          <w:snapToGrid w:val="0"/>
          <w:kern w:val="22"/>
          <w:lang w:val="fr-FR"/>
        </w:rPr>
        <w:t>la conservation et l’utilisation durable des pollinisateurs et de leurs habitats</w:t>
      </w:r>
    </w:p>
    <w:p w:rsidR="009F6935" w:rsidRPr="004B2AE2" w:rsidRDefault="009F6935" w:rsidP="009F6935">
      <w:pPr>
        <w:suppressLineNumbers/>
        <w:suppressAutoHyphens/>
        <w:kinsoku w:val="0"/>
        <w:overflowPunct w:val="0"/>
        <w:autoSpaceDE w:val="0"/>
        <w:autoSpaceDN w:val="0"/>
        <w:spacing w:before="120" w:after="120"/>
        <w:rPr>
          <w:rFonts w:asciiTheme="majorBidi" w:hAnsiTheme="majorBidi" w:cstheme="majorBidi"/>
          <w:bCs/>
          <w:snapToGrid w:val="0"/>
          <w:kern w:val="22"/>
          <w:lang w:val="fr-FR"/>
        </w:rPr>
      </w:pPr>
      <w:r w:rsidRPr="004B2AE2">
        <w:rPr>
          <w:snapToGrid w:val="0"/>
          <w:kern w:val="22"/>
          <w:shd w:val="clear" w:color="auto" w:fill="FCFCFC"/>
          <w:lang w:val="fr-FR"/>
        </w:rPr>
        <w:t>23.</w:t>
      </w:r>
      <w:r w:rsidRPr="004B2AE2">
        <w:rPr>
          <w:snapToGrid w:val="0"/>
          <w:kern w:val="22"/>
          <w:shd w:val="clear" w:color="auto" w:fill="FCFCFC"/>
          <w:lang w:val="fr-FR"/>
        </w:rPr>
        <w:tab/>
      </w:r>
      <w:r>
        <w:rPr>
          <w:snapToGrid w:val="0"/>
          <w:kern w:val="22"/>
          <w:shd w:val="clear" w:color="auto" w:fill="FCFCFC"/>
          <w:lang w:val="fr-FR"/>
        </w:rPr>
        <w:t>Un grand nombre d’</w:t>
      </w:r>
      <w:r w:rsidRPr="004B2AE2">
        <w:rPr>
          <w:snapToGrid w:val="0"/>
          <w:kern w:val="22"/>
          <w:shd w:val="clear" w:color="auto" w:fill="FCFCFC"/>
          <w:lang w:val="fr-FR"/>
        </w:rPr>
        <w:t>activités identifiées dans l’évaluation de l’IPBES et reproduites dans la décision XIII/15 contribueront à la conservation et à l’utilisation durable des pollinisateurs et de leurs habitats et, par conséquent, à préserver les fonctions de pollinisation dans les écosystèmes au-delà des systèmes agricoles et de production alimentaire.</w:t>
      </w:r>
    </w:p>
    <w:p w:rsidR="009F6935" w:rsidRPr="004B2AE2" w:rsidRDefault="009F6935" w:rsidP="009F6935">
      <w:pPr>
        <w:suppressLineNumbers/>
        <w:suppressAutoHyphens/>
        <w:kinsoku w:val="0"/>
        <w:overflowPunct w:val="0"/>
        <w:autoSpaceDE w:val="0"/>
        <w:autoSpaceDN w:val="0"/>
        <w:spacing w:before="120" w:after="120"/>
        <w:rPr>
          <w:snapToGrid w:val="0"/>
          <w:kern w:val="22"/>
          <w:shd w:val="clear" w:color="auto" w:fill="FCFCFC"/>
          <w:lang w:val="fr-FR"/>
        </w:rPr>
      </w:pPr>
      <w:r w:rsidRPr="004B2AE2">
        <w:rPr>
          <w:rFonts w:asciiTheme="majorBidi" w:hAnsiTheme="majorBidi" w:cstheme="majorBidi"/>
          <w:bCs/>
          <w:snapToGrid w:val="0"/>
          <w:kern w:val="22"/>
          <w:lang w:val="fr-FR"/>
        </w:rPr>
        <w:t>24.</w:t>
      </w:r>
      <w:r w:rsidRPr="004B2AE2">
        <w:rPr>
          <w:rFonts w:asciiTheme="majorBidi" w:hAnsiTheme="majorBidi" w:cstheme="majorBidi"/>
          <w:bCs/>
          <w:snapToGrid w:val="0"/>
          <w:kern w:val="22"/>
          <w:lang w:val="fr-FR"/>
        </w:rPr>
        <w:tab/>
        <w:t>Une approche à l’échelle du paysage est particulièrement intéressante pour veiller à ce que la conservation et l’utilisation durable des pollinisateurs et de leurs habitats maintienne</w:t>
      </w:r>
      <w:r>
        <w:rPr>
          <w:rFonts w:asciiTheme="majorBidi" w:hAnsiTheme="majorBidi" w:cstheme="majorBidi"/>
          <w:bCs/>
          <w:snapToGrid w:val="0"/>
          <w:kern w:val="22"/>
          <w:lang w:val="fr-FR"/>
        </w:rPr>
        <w:t>nt</w:t>
      </w:r>
      <w:r w:rsidRPr="004B2AE2">
        <w:rPr>
          <w:rFonts w:asciiTheme="majorBidi" w:hAnsiTheme="majorBidi" w:cstheme="majorBidi"/>
          <w:bCs/>
          <w:snapToGrid w:val="0"/>
          <w:kern w:val="22"/>
          <w:lang w:val="fr-FR"/>
        </w:rPr>
        <w:t xml:space="preserve"> les fonctions de pollinisation dans les écosystèmes au-delà des systèmes agricoles et de production alimentaire. Celle-ci comprend le maintien de corridors de végétation naturelle, la restauration des terres dégradées et l’adoption de pratiques agricoles respectueuses des pollinisateurs. Il convient d’accorder une attention particulière à la réduction du déboisement et </w:t>
      </w:r>
      <w:r>
        <w:rPr>
          <w:rFonts w:asciiTheme="majorBidi" w:hAnsiTheme="majorBidi" w:cstheme="majorBidi"/>
          <w:bCs/>
          <w:snapToGrid w:val="0"/>
          <w:kern w:val="22"/>
          <w:lang w:val="fr-FR"/>
        </w:rPr>
        <w:t xml:space="preserve">à </w:t>
      </w:r>
      <w:r w:rsidRPr="004B2AE2">
        <w:rPr>
          <w:rFonts w:asciiTheme="majorBidi" w:hAnsiTheme="majorBidi" w:cstheme="majorBidi"/>
          <w:bCs/>
          <w:snapToGrid w:val="0"/>
          <w:kern w:val="22"/>
          <w:lang w:val="fr-FR"/>
        </w:rPr>
        <w:t xml:space="preserve">la perte et la dégradation des habitats dans tous les biomes. Les régimes de gestion des feux </w:t>
      </w:r>
      <w:r>
        <w:rPr>
          <w:rFonts w:asciiTheme="majorBidi" w:hAnsiTheme="majorBidi" w:cstheme="majorBidi"/>
          <w:bCs/>
          <w:snapToGrid w:val="0"/>
          <w:kern w:val="22"/>
          <w:lang w:val="fr-FR"/>
        </w:rPr>
        <w:t xml:space="preserve">de forêt </w:t>
      </w:r>
      <w:r w:rsidRPr="004B2AE2">
        <w:rPr>
          <w:rFonts w:asciiTheme="majorBidi" w:hAnsiTheme="majorBidi" w:cstheme="majorBidi"/>
          <w:bCs/>
          <w:snapToGrid w:val="0"/>
          <w:kern w:val="22"/>
          <w:lang w:val="fr-FR"/>
        </w:rPr>
        <w:t>devraient tenir compte des effets sur les pollinisateurs et la végétation connexe. La restauration peut accroître la connectivité des habitats favorable</w:t>
      </w:r>
      <w:r>
        <w:rPr>
          <w:rFonts w:asciiTheme="majorBidi" w:hAnsiTheme="majorBidi" w:cstheme="majorBidi"/>
          <w:bCs/>
          <w:snapToGrid w:val="0"/>
          <w:kern w:val="22"/>
          <w:lang w:val="fr-FR"/>
        </w:rPr>
        <w:t xml:space="preserve">s aux </w:t>
      </w:r>
      <w:r>
        <w:rPr>
          <w:rFonts w:asciiTheme="majorBidi" w:hAnsiTheme="majorBidi" w:cstheme="majorBidi"/>
          <w:bCs/>
          <w:snapToGrid w:val="0"/>
          <w:kern w:val="22"/>
          <w:lang w:val="fr-FR"/>
        </w:rPr>
        <w:lastRenderedPageBreak/>
        <w:t>pollinisateurs et favoriser</w:t>
      </w:r>
      <w:r w:rsidRPr="004B2AE2">
        <w:rPr>
          <w:rFonts w:asciiTheme="majorBidi" w:hAnsiTheme="majorBidi" w:cstheme="majorBidi"/>
          <w:bCs/>
          <w:snapToGrid w:val="0"/>
          <w:kern w:val="22"/>
          <w:lang w:val="fr-FR"/>
        </w:rPr>
        <w:t xml:space="preserve"> la dispersion des espèces et le flux génétique. Ces mesures peuvent aussi contribuer à l’adaptation et l’atténuation des effets des changements climatiques et à la réduction des risques de catastrophe</w:t>
      </w:r>
      <w:r>
        <w:rPr>
          <w:rFonts w:asciiTheme="majorBidi" w:hAnsiTheme="majorBidi" w:cstheme="majorBidi"/>
          <w:bCs/>
          <w:snapToGrid w:val="0"/>
          <w:kern w:val="22"/>
          <w:lang w:val="fr-FR"/>
        </w:rPr>
        <w:t xml:space="preserve"> naturelle</w:t>
      </w:r>
      <w:r w:rsidRPr="004B2AE2">
        <w:rPr>
          <w:rFonts w:asciiTheme="majorBidi" w:hAnsiTheme="majorBidi" w:cstheme="majorBidi"/>
          <w:bCs/>
          <w:snapToGrid w:val="0"/>
          <w:kern w:val="22"/>
          <w:lang w:val="fr-FR"/>
        </w:rPr>
        <w:t>.</w:t>
      </w:r>
    </w:p>
    <w:p w:rsidR="009F6935" w:rsidRPr="004B2AE2" w:rsidRDefault="009F6935" w:rsidP="009F6935">
      <w:pPr>
        <w:suppressLineNumbers/>
        <w:suppressAutoHyphens/>
        <w:kinsoku w:val="0"/>
        <w:overflowPunct w:val="0"/>
        <w:autoSpaceDE w:val="0"/>
        <w:autoSpaceDN w:val="0"/>
        <w:spacing w:before="120" w:after="120"/>
        <w:rPr>
          <w:snapToGrid w:val="0"/>
          <w:kern w:val="22"/>
          <w:shd w:val="clear" w:color="auto" w:fill="FCFCFC"/>
          <w:lang w:val="fr-FR"/>
        </w:rPr>
      </w:pPr>
      <w:r w:rsidRPr="004B2AE2">
        <w:rPr>
          <w:snapToGrid w:val="0"/>
          <w:kern w:val="22"/>
          <w:shd w:val="clear" w:color="auto" w:fill="FCFCFC"/>
          <w:lang w:val="fr-FR"/>
        </w:rPr>
        <w:t>25.</w:t>
      </w:r>
      <w:r w:rsidRPr="004B2AE2">
        <w:rPr>
          <w:snapToGrid w:val="0"/>
          <w:kern w:val="22"/>
          <w:shd w:val="clear" w:color="auto" w:fill="FCFCFC"/>
          <w:lang w:val="fr-FR"/>
        </w:rPr>
        <w:tab/>
        <w:t>Les mesures suiva</w:t>
      </w:r>
      <w:r>
        <w:rPr>
          <w:snapToGrid w:val="0"/>
          <w:kern w:val="22"/>
          <w:shd w:val="clear" w:color="auto" w:fill="FCFCFC"/>
          <w:lang w:val="fr-FR"/>
        </w:rPr>
        <w:t xml:space="preserve">ntes pourraient être prises en appui à </w:t>
      </w:r>
      <w:r w:rsidRPr="004B2AE2">
        <w:rPr>
          <w:snapToGrid w:val="0"/>
          <w:kern w:val="22"/>
          <w:shd w:val="clear" w:color="auto" w:fill="FCFCFC"/>
          <w:lang w:val="fr-FR"/>
        </w:rPr>
        <w:t>une approche fondée sur le paysage :</w:t>
      </w:r>
    </w:p>
    <w:p w:rsidR="009F6935" w:rsidRPr="004B2AE2" w:rsidRDefault="009F6935" w:rsidP="009F6935">
      <w:pPr>
        <w:suppressLineNumbers/>
        <w:suppressAutoHyphens/>
        <w:kinsoku w:val="0"/>
        <w:overflowPunct w:val="0"/>
        <w:autoSpaceDE w:val="0"/>
        <w:autoSpaceDN w:val="0"/>
        <w:spacing w:before="120" w:after="120"/>
        <w:ind w:firstLine="720"/>
        <w:rPr>
          <w:snapToGrid w:val="0"/>
          <w:kern w:val="22"/>
          <w:shd w:val="clear" w:color="auto" w:fill="FCFCFC"/>
          <w:lang w:val="fr-FR"/>
        </w:rPr>
      </w:pPr>
      <w:r w:rsidRPr="004B2AE2">
        <w:rPr>
          <w:snapToGrid w:val="0"/>
          <w:kern w:val="22"/>
          <w:shd w:val="clear" w:color="auto" w:fill="FCFCFC"/>
          <w:lang w:val="fr-FR"/>
        </w:rPr>
        <w:t>a)</w:t>
      </w:r>
      <w:r w:rsidRPr="004B2AE2">
        <w:rPr>
          <w:snapToGrid w:val="0"/>
          <w:kern w:val="22"/>
          <w:shd w:val="clear" w:color="auto" w:fill="FCFCFC"/>
          <w:lang w:val="fr-FR"/>
        </w:rPr>
        <w:tab/>
        <w:t>Les aires gérées par les peuples autochtones et les communautés locales sont importantes  pour la conservation de la biodiversité;</w:t>
      </w:r>
    </w:p>
    <w:p w:rsidR="009F6935" w:rsidRPr="004B2AE2" w:rsidRDefault="009F6935" w:rsidP="009F6935">
      <w:pPr>
        <w:suppressLineNumbers/>
        <w:suppressAutoHyphens/>
        <w:kinsoku w:val="0"/>
        <w:overflowPunct w:val="0"/>
        <w:autoSpaceDE w:val="0"/>
        <w:autoSpaceDN w:val="0"/>
        <w:spacing w:before="120" w:after="120"/>
        <w:ind w:firstLine="720"/>
        <w:rPr>
          <w:snapToGrid w:val="0"/>
          <w:kern w:val="22"/>
          <w:shd w:val="clear" w:color="auto" w:fill="FCFCFC"/>
          <w:lang w:val="fr-FR"/>
        </w:rPr>
      </w:pPr>
      <w:r>
        <w:rPr>
          <w:snapToGrid w:val="0"/>
          <w:kern w:val="22"/>
          <w:shd w:val="clear" w:color="auto" w:fill="FCFCFC"/>
          <w:lang w:val="fr-FR"/>
        </w:rPr>
        <w:t>b)</w:t>
      </w:r>
      <w:r>
        <w:rPr>
          <w:snapToGrid w:val="0"/>
          <w:kern w:val="22"/>
          <w:shd w:val="clear" w:color="auto" w:fill="FCFCFC"/>
          <w:lang w:val="fr-FR"/>
        </w:rPr>
        <w:tab/>
        <w:t>Les changements d’affect</w:t>
      </w:r>
      <w:r w:rsidRPr="004B2AE2">
        <w:rPr>
          <w:snapToGrid w:val="0"/>
          <w:kern w:val="22"/>
          <w:shd w:val="clear" w:color="auto" w:fill="FCFCFC"/>
          <w:lang w:val="fr-FR"/>
        </w:rPr>
        <w:t>ation des terres importants sont lié</w:t>
      </w:r>
      <w:r>
        <w:rPr>
          <w:snapToGrid w:val="0"/>
          <w:kern w:val="22"/>
          <w:shd w:val="clear" w:color="auto" w:fill="FCFCFC"/>
          <w:lang w:val="fr-FR"/>
        </w:rPr>
        <w:t>s</w:t>
      </w:r>
      <w:r w:rsidRPr="004B2AE2">
        <w:rPr>
          <w:snapToGrid w:val="0"/>
          <w:kern w:val="22"/>
          <w:shd w:val="clear" w:color="auto" w:fill="FCFCFC"/>
          <w:lang w:val="fr-FR"/>
        </w:rPr>
        <w:t xml:space="preserve"> au déboisement causé par les cultures. La sensibilisation des acheteurs de ces produits de base peut augmenter l</w:t>
      </w:r>
      <w:r>
        <w:rPr>
          <w:snapToGrid w:val="0"/>
          <w:kern w:val="22"/>
          <w:shd w:val="clear" w:color="auto" w:fill="FCFCFC"/>
          <w:lang w:val="fr-FR"/>
        </w:rPr>
        <w:t>es pressions exercées pour parvenir à</w:t>
      </w:r>
      <w:r w:rsidRPr="004B2AE2">
        <w:rPr>
          <w:snapToGrid w:val="0"/>
          <w:kern w:val="22"/>
          <w:shd w:val="clear" w:color="auto" w:fill="FCFCFC"/>
          <w:lang w:val="fr-FR"/>
        </w:rPr>
        <w:t xml:space="preserve"> une production durable;</w:t>
      </w:r>
    </w:p>
    <w:p w:rsidR="009F6935" w:rsidRPr="004B2AE2" w:rsidRDefault="009F6935" w:rsidP="009F6935">
      <w:pPr>
        <w:suppressLineNumbers/>
        <w:suppressAutoHyphens/>
        <w:kinsoku w:val="0"/>
        <w:overflowPunct w:val="0"/>
        <w:autoSpaceDE w:val="0"/>
        <w:autoSpaceDN w:val="0"/>
        <w:spacing w:before="120" w:after="120"/>
        <w:ind w:firstLine="720"/>
        <w:rPr>
          <w:snapToGrid w:val="0"/>
          <w:kern w:val="22"/>
          <w:shd w:val="clear" w:color="auto" w:fill="FCFCFC"/>
          <w:lang w:val="fr-FR"/>
        </w:rPr>
      </w:pPr>
      <w:r w:rsidRPr="004B2AE2">
        <w:rPr>
          <w:snapToGrid w:val="0"/>
          <w:kern w:val="22"/>
          <w:shd w:val="clear" w:color="auto" w:fill="FCFCFC"/>
          <w:lang w:val="fr-FR"/>
        </w:rPr>
        <w:t>c)</w:t>
      </w:r>
      <w:r w:rsidRPr="004B2AE2">
        <w:rPr>
          <w:snapToGrid w:val="0"/>
          <w:kern w:val="22"/>
          <w:shd w:val="clear" w:color="auto" w:fill="FCFCFC"/>
          <w:lang w:val="fr-FR"/>
        </w:rPr>
        <w:tab/>
        <w:t>La collecte de données, les cartes, la</w:t>
      </w:r>
      <w:r>
        <w:rPr>
          <w:snapToGrid w:val="0"/>
          <w:kern w:val="22"/>
          <w:shd w:val="clear" w:color="auto" w:fill="FCFCFC"/>
          <w:lang w:val="fr-FR"/>
        </w:rPr>
        <w:t xml:space="preserve"> modélisation, sont des</w:t>
      </w:r>
      <w:r w:rsidRPr="004B2AE2">
        <w:rPr>
          <w:snapToGrid w:val="0"/>
          <w:kern w:val="22"/>
          <w:shd w:val="clear" w:color="auto" w:fill="FCFCFC"/>
          <w:lang w:val="fr-FR"/>
        </w:rPr>
        <w:t xml:space="preserve"> outils </w:t>
      </w:r>
      <w:r>
        <w:rPr>
          <w:snapToGrid w:val="0"/>
          <w:kern w:val="22"/>
          <w:shd w:val="clear" w:color="auto" w:fill="FCFCFC"/>
          <w:lang w:val="fr-FR"/>
        </w:rPr>
        <w:t xml:space="preserve">importants </w:t>
      </w:r>
      <w:r w:rsidRPr="004B2AE2">
        <w:rPr>
          <w:snapToGrid w:val="0"/>
          <w:kern w:val="22"/>
          <w:shd w:val="clear" w:color="auto" w:fill="FCFCFC"/>
          <w:lang w:val="fr-FR"/>
        </w:rPr>
        <w:t>de prévision de l’impact des changements climatiques et de soutien des politiques de conservation, restauration et régénération des habitats naturels;</w:t>
      </w:r>
    </w:p>
    <w:p w:rsidR="009F6935" w:rsidRPr="004B2AE2" w:rsidRDefault="009F6935" w:rsidP="009F6935">
      <w:pPr>
        <w:suppressLineNumbers/>
        <w:suppressAutoHyphens/>
        <w:kinsoku w:val="0"/>
        <w:overflowPunct w:val="0"/>
        <w:autoSpaceDE w:val="0"/>
        <w:autoSpaceDN w:val="0"/>
        <w:spacing w:before="120" w:after="240"/>
        <w:ind w:firstLine="720"/>
        <w:rPr>
          <w:snapToGrid w:val="0"/>
          <w:kern w:val="22"/>
          <w:shd w:val="clear" w:color="auto" w:fill="FCFCFC"/>
          <w:lang w:val="fr-FR"/>
        </w:rPr>
      </w:pPr>
      <w:r w:rsidRPr="004B2AE2">
        <w:rPr>
          <w:snapToGrid w:val="0"/>
          <w:kern w:val="22"/>
          <w:shd w:val="clear" w:color="auto" w:fill="FCFCFC"/>
          <w:lang w:val="fr-FR"/>
        </w:rPr>
        <w:t>d)</w:t>
      </w:r>
      <w:r w:rsidRPr="004B2AE2">
        <w:rPr>
          <w:snapToGrid w:val="0"/>
          <w:kern w:val="22"/>
          <w:shd w:val="clear" w:color="auto" w:fill="FCFCFC"/>
          <w:lang w:val="fr-FR"/>
        </w:rPr>
        <w:tab/>
        <w:t>La génétique paysagère est un outil utile pour déterminer les caractéristiques des populations de pollinisateurs, ainsi que les conséquences génétiques de la gestion des abeilles dans les grandes étendues, à l’intérieur ou à l’extérieur de leur aire de répartition.</w:t>
      </w:r>
    </w:p>
    <w:p w:rsidR="009F6935" w:rsidRPr="004B2AE2" w:rsidRDefault="009F6935" w:rsidP="009F6935">
      <w:pPr>
        <w:suppressLineNumbers/>
        <w:suppressAutoHyphens/>
        <w:kinsoku w:val="0"/>
        <w:overflowPunct w:val="0"/>
        <w:autoSpaceDE w:val="0"/>
        <w:autoSpaceDN w:val="0"/>
        <w:spacing w:before="120" w:after="120"/>
        <w:rPr>
          <w:snapToGrid w:val="0"/>
          <w:kern w:val="22"/>
          <w:shd w:val="clear" w:color="auto" w:fill="FCFCFC"/>
          <w:lang w:val="fr-FR"/>
        </w:rPr>
      </w:pPr>
      <w:r w:rsidRPr="004B2AE2">
        <w:rPr>
          <w:snapToGrid w:val="0"/>
          <w:kern w:val="22"/>
          <w:shd w:val="clear" w:color="auto" w:fill="FCFCFC"/>
          <w:lang w:val="fr-FR"/>
        </w:rPr>
        <w:t>26.</w:t>
      </w:r>
      <w:r w:rsidRPr="004B2AE2">
        <w:rPr>
          <w:b/>
          <w:snapToGrid w:val="0"/>
          <w:kern w:val="22"/>
          <w:shd w:val="clear" w:color="auto" w:fill="FCFCFC"/>
          <w:lang w:val="fr-FR"/>
        </w:rPr>
        <w:tab/>
      </w:r>
      <w:r w:rsidRPr="004B2AE2">
        <w:rPr>
          <w:snapToGrid w:val="0"/>
          <w:kern w:val="22"/>
          <w:shd w:val="clear" w:color="auto" w:fill="FCFCFC"/>
          <w:lang w:val="fr-FR"/>
        </w:rPr>
        <w:t>Il est urgent de mettre en place et d’harmoniser la réglementation du commerce de pollinisateurs domestiques (meilleures pratiques  de gestion, ge</w:t>
      </w:r>
      <w:r>
        <w:rPr>
          <w:snapToGrid w:val="0"/>
          <w:kern w:val="22"/>
          <w:shd w:val="clear" w:color="auto" w:fill="FCFCFC"/>
          <w:lang w:val="fr-FR"/>
        </w:rPr>
        <w:t>stion des risques et surveillance pour prévenir les risques, procédures d’établissement de</w:t>
      </w:r>
      <w:r w:rsidRPr="004B2AE2">
        <w:rPr>
          <w:snapToGrid w:val="0"/>
          <w:kern w:val="22"/>
          <w:shd w:val="clear" w:color="auto" w:fill="FCFCFC"/>
          <w:lang w:val="fr-FR"/>
        </w:rPr>
        <w:t xml:space="preserve"> rapport</w:t>
      </w:r>
      <w:r>
        <w:rPr>
          <w:snapToGrid w:val="0"/>
          <w:kern w:val="22"/>
          <w:shd w:val="clear" w:color="auto" w:fill="FCFCFC"/>
          <w:lang w:val="fr-FR"/>
        </w:rPr>
        <w:t>s</w:t>
      </w:r>
      <w:r w:rsidRPr="004B2AE2">
        <w:rPr>
          <w:snapToGrid w:val="0"/>
          <w:kern w:val="22"/>
          <w:shd w:val="clear" w:color="auto" w:fill="FCFCFC"/>
          <w:lang w:val="fr-FR"/>
        </w:rPr>
        <w:t xml:space="preserve"> harmonisées, stratégie de gestion des données)</w:t>
      </w:r>
      <w:r>
        <w:rPr>
          <w:snapToGrid w:val="0"/>
          <w:kern w:val="22"/>
          <w:shd w:val="clear" w:color="auto" w:fill="FCFCFC"/>
          <w:lang w:val="fr-FR"/>
        </w:rPr>
        <w:t>,</w:t>
      </w:r>
      <w:r w:rsidRPr="004B2AE2">
        <w:rPr>
          <w:snapToGrid w:val="0"/>
          <w:kern w:val="22"/>
          <w:shd w:val="clear" w:color="auto" w:fill="FCFCFC"/>
          <w:lang w:val="fr-FR"/>
        </w:rPr>
        <w:t xml:space="preserve"> afin que les risques e</w:t>
      </w:r>
      <w:r>
        <w:rPr>
          <w:snapToGrid w:val="0"/>
          <w:kern w:val="22"/>
          <w:shd w:val="clear" w:color="auto" w:fill="FCFCFC"/>
          <w:lang w:val="fr-FR"/>
        </w:rPr>
        <w:t>t les menaces actuels et émerge</w:t>
      </w:r>
      <w:r w:rsidRPr="004B2AE2">
        <w:rPr>
          <w:snapToGrid w:val="0"/>
          <w:kern w:val="22"/>
          <w:shd w:val="clear" w:color="auto" w:fill="FCFCFC"/>
          <w:lang w:val="fr-FR"/>
        </w:rPr>
        <w:t>nts puissent être détectés en temps quasi réel et au-delà des</w:t>
      </w:r>
      <w:r>
        <w:rPr>
          <w:snapToGrid w:val="0"/>
          <w:kern w:val="22"/>
          <w:shd w:val="clear" w:color="auto" w:fill="FCFCFC"/>
          <w:lang w:val="fr-FR"/>
        </w:rPr>
        <w:t xml:space="preserve"> frontières, permettant</w:t>
      </w:r>
      <w:r w:rsidRPr="004B2AE2">
        <w:rPr>
          <w:snapToGrid w:val="0"/>
          <w:kern w:val="22"/>
          <w:shd w:val="clear" w:color="auto" w:fill="FCFCFC"/>
          <w:lang w:val="fr-FR"/>
        </w:rPr>
        <w:t xml:space="preserve"> de</w:t>
      </w:r>
      <w:r>
        <w:rPr>
          <w:snapToGrid w:val="0"/>
          <w:kern w:val="22"/>
          <w:shd w:val="clear" w:color="auto" w:fill="FCFCFC"/>
          <w:lang w:val="fr-FR"/>
        </w:rPr>
        <w:t>s</w:t>
      </w:r>
      <w:r w:rsidRPr="004B2AE2">
        <w:rPr>
          <w:snapToGrid w:val="0"/>
          <w:kern w:val="22"/>
          <w:shd w:val="clear" w:color="auto" w:fill="FCFCFC"/>
          <w:lang w:val="fr-FR"/>
        </w:rPr>
        <w:t xml:space="preserve"> mesures d’intervention.</w:t>
      </w:r>
    </w:p>
    <w:p w:rsidR="009F6935" w:rsidRPr="004B2AE2" w:rsidRDefault="009F6935" w:rsidP="009F6935">
      <w:pPr>
        <w:suppressLineNumbers/>
        <w:suppressAutoHyphens/>
        <w:kinsoku w:val="0"/>
        <w:overflowPunct w:val="0"/>
        <w:autoSpaceDE w:val="0"/>
        <w:autoSpaceDN w:val="0"/>
        <w:spacing w:before="120" w:after="120"/>
        <w:rPr>
          <w:b/>
          <w:snapToGrid w:val="0"/>
          <w:kern w:val="22"/>
          <w:shd w:val="clear" w:color="auto" w:fill="FCFCFC"/>
          <w:lang w:val="fr-FR"/>
        </w:rPr>
      </w:pPr>
      <w:r w:rsidRPr="004B2AE2">
        <w:rPr>
          <w:snapToGrid w:val="0"/>
          <w:kern w:val="22"/>
          <w:shd w:val="clear" w:color="auto" w:fill="FCFCFC"/>
          <w:lang w:val="fr-FR"/>
        </w:rPr>
        <w:t>27.</w:t>
      </w:r>
      <w:r w:rsidRPr="004B2AE2">
        <w:rPr>
          <w:snapToGrid w:val="0"/>
          <w:kern w:val="22"/>
          <w:shd w:val="clear" w:color="auto" w:fill="FCFCFC"/>
          <w:lang w:val="fr-FR"/>
        </w:rPr>
        <w:tab/>
        <w:t xml:space="preserve">La gestion durable du bois et les règles de certification devraient tenir compte de mesures telles que la capture, le transport et </w:t>
      </w:r>
      <w:r>
        <w:rPr>
          <w:snapToGrid w:val="0"/>
          <w:kern w:val="22"/>
          <w:shd w:val="clear" w:color="auto" w:fill="FCFCFC"/>
          <w:lang w:val="fr-FR"/>
        </w:rPr>
        <w:t xml:space="preserve">la </w:t>
      </w:r>
      <w:r w:rsidRPr="004B2AE2">
        <w:rPr>
          <w:snapToGrid w:val="0"/>
          <w:kern w:val="22"/>
          <w:shd w:val="clear" w:color="auto" w:fill="FCFCFC"/>
          <w:lang w:val="fr-FR"/>
        </w:rPr>
        <w:t>sauvegarde des ruches trouvées dans les produits forestiers.</w:t>
      </w:r>
    </w:p>
    <w:p w:rsidR="009F6935" w:rsidRPr="004B2AE2" w:rsidRDefault="009F6935" w:rsidP="009F6935">
      <w:pPr>
        <w:suppressLineNumbers/>
        <w:suppressAutoHyphens/>
        <w:kinsoku w:val="0"/>
        <w:overflowPunct w:val="0"/>
        <w:autoSpaceDE w:val="0"/>
        <w:autoSpaceDN w:val="0"/>
        <w:spacing w:before="120" w:after="120"/>
        <w:rPr>
          <w:snapToGrid w:val="0"/>
          <w:kern w:val="22"/>
          <w:shd w:val="clear" w:color="auto" w:fill="FCFCFC"/>
          <w:lang w:val="fr-FR"/>
        </w:rPr>
      </w:pPr>
      <w:r w:rsidRPr="004B2AE2">
        <w:rPr>
          <w:snapToGrid w:val="0"/>
          <w:kern w:val="22"/>
          <w:shd w:val="clear" w:color="auto" w:fill="FCFCFC"/>
          <w:lang w:val="fr-FR"/>
        </w:rPr>
        <w:t>2</w:t>
      </w:r>
      <w:r>
        <w:rPr>
          <w:snapToGrid w:val="0"/>
          <w:kern w:val="22"/>
          <w:shd w:val="clear" w:color="auto" w:fill="FCFCFC"/>
          <w:lang w:val="fr-FR"/>
        </w:rPr>
        <w:t>8.</w:t>
      </w:r>
      <w:r>
        <w:rPr>
          <w:snapToGrid w:val="0"/>
          <w:kern w:val="22"/>
          <w:shd w:val="clear" w:color="auto" w:fill="FCFCFC"/>
          <w:lang w:val="fr-FR"/>
        </w:rPr>
        <w:tab/>
        <w:t>Il est nécessaire d’accroître</w:t>
      </w:r>
      <w:r w:rsidRPr="004B2AE2">
        <w:rPr>
          <w:snapToGrid w:val="0"/>
          <w:kern w:val="22"/>
          <w:shd w:val="clear" w:color="auto" w:fill="FCFCFC"/>
          <w:lang w:val="fr-FR"/>
        </w:rPr>
        <w:t xml:space="preserve"> la connaissance de</w:t>
      </w:r>
      <w:r>
        <w:rPr>
          <w:snapToGrid w:val="0"/>
          <w:kern w:val="22"/>
          <w:shd w:val="clear" w:color="auto" w:fill="FCFCFC"/>
          <w:lang w:val="fr-FR"/>
        </w:rPr>
        <w:t>s</w:t>
      </w:r>
      <w:r w:rsidRPr="004B2AE2">
        <w:rPr>
          <w:snapToGrid w:val="0"/>
          <w:kern w:val="22"/>
          <w:shd w:val="clear" w:color="auto" w:fill="FCFCFC"/>
          <w:lang w:val="fr-FR"/>
        </w:rPr>
        <w:t xml:space="preserve"> pollinisateurs, de la pollinisation et du rôle qu’ils jouent dans le maintien de la santé et de l’intégrité des écosystèmes au-delà de l’agriculture et de la production alimentaire. La majorité de la documentation existante met l’accent sur des groupes spécifiques d’hyménoptères. Les informations concernant l’impact des changements du paysage ou des pesticides sur les taxons autres que les abeilles sont insuffisantes.</w:t>
      </w:r>
    </w:p>
    <w:p w:rsidR="009F6935" w:rsidRPr="004B2AE2" w:rsidRDefault="009F6935" w:rsidP="009F6935">
      <w:pPr>
        <w:suppressLineNumbers/>
        <w:suppressAutoHyphens/>
        <w:kinsoku w:val="0"/>
        <w:overflowPunct w:val="0"/>
        <w:autoSpaceDE w:val="0"/>
        <w:autoSpaceDN w:val="0"/>
        <w:spacing w:before="120" w:after="120"/>
        <w:rPr>
          <w:snapToGrid w:val="0"/>
          <w:kern w:val="22"/>
          <w:lang w:val="fr-FR"/>
        </w:rPr>
      </w:pPr>
      <w:r w:rsidRPr="004B2AE2">
        <w:rPr>
          <w:snapToGrid w:val="0"/>
          <w:kern w:val="22"/>
          <w:shd w:val="clear" w:color="auto" w:fill="FCFCFC"/>
          <w:lang w:val="fr-FR"/>
        </w:rPr>
        <w:t>29.</w:t>
      </w:r>
      <w:r w:rsidRPr="004B2AE2">
        <w:rPr>
          <w:snapToGrid w:val="0"/>
          <w:kern w:val="22"/>
          <w:shd w:val="clear" w:color="auto" w:fill="FCFCFC"/>
          <w:lang w:val="fr-FR"/>
        </w:rPr>
        <w:tab/>
        <w:t>Les mesures suivantes pourraient être prises pour améliorer les connaissances :</w:t>
      </w:r>
    </w:p>
    <w:p w:rsidR="009F6935" w:rsidRPr="004B2AE2" w:rsidRDefault="009F6935" w:rsidP="009F6935">
      <w:pPr>
        <w:suppressLineNumbers/>
        <w:suppressAutoHyphens/>
        <w:kinsoku w:val="0"/>
        <w:overflowPunct w:val="0"/>
        <w:autoSpaceDE w:val="0"/>
        <w:autoSpaceDN w:val="0"/>
        <w:spacing w:before="120" w:after="120"/>
        <w:ind w:firstLine="720"/>
        <w:rPr>
          <w:snapToGrid w:val="0"/>
          <w:kern w:val="22"/>
          <w:lang w:val="fr-FR"/>
        </w:rPr>
      </w:pPr>
      <w:r w:rsidRPr="004B2AE2">
        <w:rPr>
          <w:snapToGrid w:val="0"/>
          <w:kern w:val="22"/>
          <w:lang w:val="fr-FR"/>
        </w:rPr>
        <w:t>a)</w:t>
      </w:r>
      <w:r w:rsidRPr="004B2AE2">
        <w:rPr>
          <w:snapToGrid w:val="0"/>
          <w:kern w:val="22"/>
          <w:lang w:val="fr-FR"/>
        </w:rPr>
        <w:tab/>
      </w:r>
      <w:r>
        <w:rPr>
          <w:snapToGrid w:val="0"/>
          <w:kern w:val="22"/>
          <w:shd w:val="clear" w:color="auto" w:fill="FCFCFC"/>
          <w:lang w:val="fr-FR"/>
        </w:rPr>
        <w:t>Améliorer la</w:t>
      </w:r>
      <w:r w:rsidRPr="004B2AE2">
        <w:rPr>
          <w:snapToGrid w:val="0"/>
          <w:kern w:val="22"/>
          <w:shd w:val="clear" w:color="auto" w:fill="FCFCFC"/>
          <w:lang w:val="fr-FR"/>
        </w:rPr>
        <w:t xml:space="preserve"> gestion des conn</w:t>
      </w:r>
      <w:r>
        <w:rPr>
          <w:snapToGrid w:val="0"/>
          <w:kern w:val="22"/>
          <w:shd w:val="clear" w:color="auto" w:fill="FCFCFC"/>
          <w:lang w:val="fr-FR"/>
        </w:rPr>
        <w:t>aissances, notamment par</w:t>
      </w:r>
      <w:r w:rsidRPr="004B2AE2">
        <w:rPr>
          <w:snapToGrid w:val="0"/>
          <w:kern w:val="22"/>
          <w:shd w:val="clear" w:color="auto" w:fill="FCFCFC"/>
          <w:lang w:val="fr-FR"/>
        </w:rPr>
        <w:t xml:space="preserve"> la taxonomie, l’enregistrement volontaire</w:t>
      </w:r>
      <w:r>
        <w:rPr>
          <w:snapToGrid w:val="0"/>
          <w:kern w:val="22"/>
          <w:shd w:val="clear" w:color="auto" w:fill="FCFCFC"/>
          <w:lang w:val="fr-FR"/>
        </w:rPr>
        <w:t xml:space="preserve">, les </w:t>
      </w:r>
      <w:r w:rsidRPr="004B2AE2">
        <w:rPr>
          <w:snapToGrid w:val="0"/>
          <w:kern w:val="22"/>
          <w:shd w:val="clear" w:color="auto" w:fill="FCFCFC"/>
          <w:lang w:val="fr-FR"/>
        </w:rPr>
        <w:t>codes à barres de l’ADN, les outils informatiques sur la biodiversité, le référencement géographique des spécimens de musée, la surveillance normalisée à long terme des pollinisateurs et des fonctions et services de pollinisation;</w:t>
      </w:r>
    </w:p>
    <w:p w:rsidR="009F6935" w:rsidRPr="004B2AE2" w:rsidRDefault="009F6935" w:rsidP="009F6935">
      <w:pPr>
        <w:suppressLineNumbers/>
        <w:suppressAutoHyphens/>
        <w:kinsoku w:val="0"/>
        <w:overflowPunct w:val="0"/>
        <w:autoSpaceDE w:val="0"/>
        <w:autoSpaceDN w:val="0"/>
        <w:spacing w:before="120" w:after="120"/>
        <w:ind w:firstLine="720"/>
        <w:rPr>
          <w:snapToGrid w:val="0"/>
          <w:kern w:val="22"/>
          <w:lang w:val="fr-FR"/>
        </w:rPr>
      </w:pPr>
      <w:r w:rsidRPr="004B2AE2">
        <w:rPr>
          <w:snapToGrid w:val="0"/>
          <w:kern w:val="22"/>
          <w:lang w:val="fr-FR"/>
        </w:rPr>
        <w:t>b)</w:t>
      </w:r>
      <w:r w:rsidRPr="004B2AE2">
        <w:rPr>
          <w:snapToGrid w:val="0"/>
          <w:kern w:val="22"/>
          <w:lang w:val="fr-FR"/>
        </w:rPr>
        <w:tab/>
      </w:r>
      <w:r>
        <w:rPr>
          <w:snapToGrid w:val="0"/>
          <w:kern w:val="22"/>
          <w:shd w:val="clear" w:color="auto" w:fill="FCFCFC"/>
          <w:lang w:val="fr-FR"/>
        </w:rPr>
        <w:t>Accorder une importance</w:t>
      </w:r>
      <w:r w:rsidRPr="004B2AE2">
        <w:rPr>
          <w:snapToGrid w:val="0"/>
          <w:kern w:val="22"/>
          <w:shd w:val="clear" w:color="auto" w:fill="FCFCFC"/>
          <w:lang w:val="fr-FR"/>
        </w:rPr>
        <w:t xml:space="preserve"> aux connaissances traditionnelles et expérientielles, en notant que les méthodes de synthèse des connaissances conventionnelles ne sont pas nécessairement appropriées pour la synthèse d’autres formes de connaissance</w:t>
      </w:r>
      <w:r w:rsidR="00EF2F71">
        <w:rPr>
          <w:snapToGrid w:val="0"/>
          <w:kern w:val="22"/>
          <w:shd w:val="clear" w:color="auto" w:fill="FCFCFC"/>
          <w:lang w:val="fr-FR"/>
        </w:rPr>
        <w:t xml:space="preserve">s, telles que les connaissances </w:t>
      </w:r>
      <w:r w:rsidRPr="004B2AE2">
        <w:rPr>
          <w:snapToGrid w:val="0"/>
          <w:kern w:val="22"/>
          <w:shd w:val="clear" w:color="auto" w:fill="FCFCFC"/>
          <w:lang w:val="fr-FR"/>
        </w:rPr>
        <w:t>autochtones et locales ou les conn</w:t>
      </w:r>
      <w:r>
        <w:rPr>
          <w:snapToGrid w:val="0"/>
          <w:kern w:val="22"/>
          <w:shd w:val="clear" w:color="auto" w:fill="FCFCFC"/>
          <w:lang w:val="fr-FR"/>
        </w:rPr>
        <w:t>aissances tacites détenues par d</w:t>
      </w:r>
      <w:r w:rsidRPr="004B2AE2">
        <w:rPr>
          <w:snapToGrid w:val="0"/>
          <w:kern w:val="22"/>
          <w:shd w:val="clear" w:color="auto" w:fill="FCFCFC"/>
          <w:lang w:val="fr-FR"/>
        </w:rPr>
        <w:t>es praticiens comme les gestionnaires de terres et les professionnels de la conservation.</w:t>
      </w:r>
    </w:p>
    <w:p w:rsidR="009F6935" w:rsidRDefault="009F6935">
      <w:pPr>
        <w:jc w:val="left"/>
        <w:rPr>
          <w:snapToGrid w:val="0"/>
          <w:kern w:val="22"/>
          <w:szCs w:val="22"/>
          <w:lang w:val="fr-FR"/>
        </w:rPr>
      </w:pPr>
      <w:r>
        <w:rPr>
          <w:kern w:val="22"/>
          <w:szCs w:val="22"/>
          <w:lang w:val="fr-FR"/>
        </w:rPr>
        <w:br w:type="page"/>
      </w:r>
    </w:p>
    <w:p w:rsidR="009F6935" w:rsidRDefault="009F6935" w:rsidP="009B168F">
      <w:pPr>
        <w:pStyle w:val="Para1"/>
        <w:numPr>
          <w:ilvl w:val="0"/>
          <w:numId w:val="0"/>
        </w:numPr>
        <w:suppressLineNumbers/>
        <w:suppressAutoHyphens/>
        <w:spacing w:after="240"/>
        <w:ind w:left="709" w:hanging="709"/>
        <w:jc w:val="left"/>
        <w:outlineLvl w:val="1"/>
        <w:rPr>
          <w:b/>
          <w:kern w:val="22"/>
          <w:szCs w:val="22"/>
          <w:lang w:val="fr-CA"/>
        </w:rPr>
      </w:pPr>
      <w:bookmarkStart w:id="443" w:name="_Toc525904285"/>
      <w:bookmarkStart w:id="444" w:name="_Toc525904688"/>
      <w:r>
        <w:rPr>
          <w:b/>
          <w:noProof/>
          <w:kern w:val="22"/>
          <w:szCs w:val="22"/>
          <w:lang w:val="fr-FR"/>
        </w:rPr>
        <w:lastRenderedPageBreak/>
        <w:t>22/10.</w:t>
      </w:r>
      <w:r>
        <w:rPr>
          <w:b/>
          <w:noProof/>
          <w:kern w:val="22"/>
          <w:szCs w:val="22"/>
          <w:lang w:val="fr-FR"/>
        </w:rPr>
        <w:tab/>
        <w:t>D</w:t>
      </w:r>
      <w:r w:rsidRPr="009C559A">
        <w:rPr>
          <w:b/>
          <w:noProof/>
          <w:kern w:val="22"/>
          <w:szCs w:val="22"/>
          <w:lang w:val="fr-CA"/>
        </w:rPr>
        <w:t>euxi</w:t>
      </w:r>
      <w:r>
        <w:rPr>
          <w:b/>
          <w:noProof/>
          <w:kern w:val="22"/>
          <w:szCs w:val="22"/>
          <w:lang w:val="fr-CA"/>
        </w:rPr>
        <w:t>ème programme de travail de la P</w:t>
      </w:r>
      <w:r w:rsidRPr="009C559A">
        <w:rPr>
          <w:b/>
          <w:noProof/>
          <w:kern w:val="22"/>
          <w:szCs w:val="22"/>
          <w:lang w:val="fr-CA"/>
        </w:rPr>
        <w:t xml:space="preserve">lateforme intergouvernementale </w:t>
      </w:r>
      <w:r>
        <w:rPr>
          <w:b/>
          <w:noProof/>
          <w:kern w:val="22"/>
          <w:szCs w:val="22"/>
          <w:lang w:val="fr-CA"/>
        </w:rPr>
        <w:t xml:space="preserve">scientifique et politique </w:t>
      </w:r>
      <w:r w:rsidRPr="009C559A">
        <w:rPr>
          <w:b/>
          <w:noProof/>
          <w:kern w:val="22"/>
          <w:szCs w:val="22"/>
          <w:lang w:val="fr-CA"/>
        </w:rPr>
        <w:t>sur la biodiversité et les</w:t>
      </w:r>
      <w:r w:rsidRPr="009C559A">
        <w:rPr>
          <w:b/>
          <w:kern w:val="22"/>
          <w:szCs w:val="22"/>
          <w:lang w:val="fr-CA"/>
        </w:rPr>
        <w:t xml:space="preserve"> services écosystémiques</w:t>
      </w:r>
      <w:bookmarkEnd w:id="443"/>
      <w:bookmarkEnd w:id="444"/>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firstLine="720"/>
        <w:rPr>
          <w:snapToGrid/>
          <w:kern w:val="22"/>
          <w:lang w:val="fr-CA"/>
        </w:rPr>
      </w:pPr>
      <w:r w:rsidRPr="00052024">
        <w:rPr>
          <w:i/>
          <w:iCs/>
          <w:lang w:val="fr-CA"/>
        </w:rPr>
        <w:t>L</w:t>
      </w:r>
      <w:r>
        <w:rPr>
          <w:i/>
          <w:iCs/>
          <w:lang w:val="fr-CA"/>
        </w:rPr>
        <w:t>’</w:t>
      </w:r>
      <w:r w:rsidRPr="00052024">
        <w:rPr>
          <w:i/>
          <w:iCs/>
          <w:lang w:val="fr-CA"/>
        </w:rPr>
        <w:t>Organe subsidiaire chargé de fournir des avis scientifiques</w:t>
      </w:r>
      <w:r>
        <w:rPr>
          <w:i/>
          <w:iCs/>
          <w:lang w:val="fr-CA"/>
        </w:rPr>
        <w:t>, techniques et technologiques</w:t>
      </w:r>
    </w:p>
    <w:p w:rsidR="009F6935" w:rsidRPr="00052024" w:rsidRDefault="009F6935" w:rsidP="009F6935">
      <w:pPr>
        <w:pStyle w:val="StylePara1HeadingsCSTimesNewRoman"/>
        <w:ind w:firstLine="709"/>
        <w:rPr>
          <w:rFonts w:ascii="Times New Roman" w:hAnsi="Times New Roman"/>
          <w:noProof/>
          <w:lang w:val="fr-CA"/>
        </w:rPr>
      </w:pPr>
      <w:r w:rsidRPr="00052024">
        <w:rPr>
          <w:rFonts w:ascii="Times New Roman" w:hAnsi="Times New Roman"/>
          <w:iCs/>
          <w:lang w:val="fr-CA"/>
        </w:rPr>
        <w:t>1.</w:t>
      </w:r>
      <w:r w:rsidRPr="00052024">
        <w:rPr>
          <w:rFonts w:ascii="Times New Roman" w:hAnsi="Times New Roman"/>
          <w:i/>
          <w:iCs/>
          <w:lang w:val="fr-CA"/>
        </w:rPr>
        <w:tab/>
        <w:t xml:space="preserve">Exhorte </w:t>
      </w:r>
      <w:r w:rsidRPr="00052024">
        <w:rPr>
          <w:rFonts w:ascii="Times New Roman" w:hAnsi="Times New Roman"/>
          <w:iCs/>
          <w:lang w:val="fr-CA"/>
        </w:rPr>
        <w:t xml:space="preserve">les Parties et </w:t>
      </w:r>
      <w:r w:rsidRPr="00052024">
        <w:rPr>
          <w:rFonts w:ascii="Times New Roman" w:hAnsi="Times New Roman"/>
          <w:i/>
          <w:iCs/>
          <w:lang w:val="fr-CA"/>
        </w:rPr>
        <w:t>invite</w:t>
      </w:r>
      <w:r w:rsidRPr="00052024">
        <w:rPr>
          <w:rFonts w:ascii="Times New Roman" w:hAnsi="Times New Roman"/>
          <w:iCs/>
          <w:lang w:val="fr-CA"/>
        </w:rPr>
        <w:t xml:space="preserve"> les observateurs, selon qu</w:t>
      </w:r>
      <w:r>
        <w:rPr>
          <w:rFonts w:ascii="Times New Roman" w:hAnsi="Times New Roman"/>
          <w:iCs/>
          <w:lang w:val="fr-CA"/>
        </w:rPr>
        <w:t>’</w:t>
      </w:r>
      <w:r w:rsidRPr="00052024">
        <w:rPr>
          <w:rFonts w:ascii="Times New Roman" w:hAnsi="Times New Roman"/>
          <w:iCs/>
          <w:lang w:val="fr-CA"/>
        </w:rPr>
        <w:t xml:space="preserve">il convient, à répondre à </w:t>
      </w:r>
      <w:r>
        <w:rPr>
          <w:rFonts w:ascii="Times New Roman" w:hAnsi="Times New Roman"/>
          <w:iCs/>
          <w:lang w:val="fr-CA"/>
        </w:rPr>
        <w:t>la demande</w:t>
      </w:r>
      <w:r w:rsidRPr="00052024">
        <w:rPr>
          <w:rFonts w:ascii="Times New Roman" w:hAnsi="Times New Roman"/>
          <w:iCs/>
          <w:lang w:val="fr-CA"/>
        </w:rPr>
        <w:t xml:space="preserve"> de requêtes, contributions </w:t>
      </w:r>
      <w:r>
        <w:rPr>
          <w:rFonts w:ascii="Times New Roman" w:hAnsi="Times New Roman"/>
          <w:iCs/>
          <w:noProof/>
          <w:lang w:val="fr-CA"/>
        </w:rPr>
        <w:t>et suggestions par</w:t>
      </w:r>
      <w:r w:rsidRPr="00052024">
        <w:rPr>
          <w:rFonts w:ascii="Times New Roman" w:hAnsi="Times New Roman"/>
          <w:iCs/>
          <w:noProof/>
          <w:lang w:val="fr-CA"/>
        </w:rPr>
        <w:t xml:space="preserve"> la Plateforme intergouvernementale scientifique et politique sur la biodiversité et les services écosystémiques, conformément </w:t>
      </w:r>
      <w:r w:rsidR="00C61E45">
        <w:rPr>
          <w:rFonts w:ascii="Times New Roman" w:hAnsi="Times New Roman"/>
          <w:iCs/>
          <w:noProof/>
          <w:lang w:val="fr-CA"/>
        </w:rPr>
        <w:t>au paragraphe d) de la décision </w:t>
      </w:r>
      <w:r w:rsidRPr="00052024">
        <w:rPr>
          <w:rFonts w:ascii="Times New Roman" w:hAnsi="Times New Roman"/>
          <w:iCs/>
          <w:noProof/>
          <w:lang w:val="fr-CA"/>
        </w:rPr>
        <w:t>IPBES</w:t>
      </w:r>
      <w:r>
        <w:rPr>
          <w:rFonts w:ascii="Times New Roman" w:hAnsi="Times New Roman"/>
          <w:iCs/>
          <w:noProof/>
          <w:lang w:val="fr-CA"/>
        </w:rPr>
        <w:noBreakHyphen/>
      </w:r>
      <w:r w:rsidRPr="00052024">
        <w:rPr>
          <w:rFonts w:ascii="Times New Roman" w:hAnsi="Times New Roman"/>
          <w:iCs/>
          <w:noProof/>
          <w:lang w:val="fr-CA"/>
        </w:rPr>
        <w:t>6/2</w:t>
      </w:r>
      <w:r>
        <w:rPr>
          <w:rFonts w:ascii="Times New Roman" w:hAnsi="Times New Roman"/>
          <w:noProof/>
          <w:lang w:val="fr-CA"/>
        </w:rPr>
        <w:t>;</w:t>
      </w:r>
      <w:r w:rsidRPr="00052024">
        <w:rPr>
          <w:rFonts w:ascii="Times New Roman" w:hAnsi="Times New Roman"/>
          <w:noProof/>
          <w:lang w:val="fr-CA"/>
        </w:rPr>
        <w:t xml:space="preserve"> </w:t>
      </w:r>
    </w:p>
    <w:p w:rsidR="009F6935" w:rsidRPr="00052024" w:rsidRDefault="009F6935" w:rsidP="009F6935">
      <w:pPr>
        <w:pStyle w:val="StylePara1HeadingsCSTimesNewRoman"/>
        <w:ind w:firstLine="709"/>
        <w:rPr>
          <w:rFonts w:ascii="Times New Roman" w:hAnsi="Times New Roman"/>
          <w:noProof/>
          <w:lang w:val="fr-CA"/>
        </w:rPr>
      </w:pPr>
      <w:r w:rsidRPr="00052024">
        <w:rPr>
          <w:rFonts w:ascii="Times New Roman" w:hAnsi="Times New Roman"/>
          <w:iCs/>
          <w:noProof/>
          <w:lang w:val="fr-CA"/>
        </w:rPr>
        <w:t>2</w:t>
      </w:r>
      <w:r w:rsidRPr="00052024">
        <w:rPr>
          <w:rFonts w:ascii="Times New Roman" w:hAnsi="Times New Roman"/>
          <w:i/>
          <w:iCs/>
          <w:noProof/>
          <w:lang w:val="fr-CA"/>
        </w:rPr>
        <w:t>.</w:t>
      </w:r>
      <w:r w:rsidRPr="00052024">
        <w:rPr>
          <w:rFonts w:ascii="Times New Roman" w:hAnsi="Times New Roman"/>
          <w:i/>
          <w:iCs/>
          <w:noProof/>
          <w:lang w:val="fr-CA"/>
        </w:rPr>
        <w:tab/>
        <w:t xml:space="preserve">Prie </w:t>
      </w:r>
      <w:r w:rsidRPr="00052024">
        <w:rPr>
          <w:rFonts w:ascii="Times New Roman" w:hAnsi="Times New Roman"/>
          <w:iCs/>
          <w:noProof/>
          <w:lang w:val="fr-CA"/>
        </w:rPr>
        <w:t>la Secrétaire exécutive</w:t>
      </w:r>
      <w:r w:rsidRPr="00052024">
        <w:rPr>
          <w:rFonts w:ascii="Times New Roman" w:hAnsi="Times New Roman"/>
          <w:i/>
          <w:iCs/>
          <w:noProof/>
          <w:lang w:val="fr-CA"/>
        </w:rPr>
        <w:t xml:space="preserve"> </w:t>
      </w:r>
      <w:r>
        <w:rPr>
          <w:rFonts w:ascii="Times New Roman" w:hAnsi="Times New Roman"/>
          <w:iCs/>
          <w:noProof/>
          <w:lang w:val="fr-CA"/>
        </w:rPr>
        <w:t>de transmettre l’</w:t>
      </w:r>
      <w:r w:rsidRPr="00052024">
        <w:rPr>
          <w:rFonts w:ascii="Times New Roman" w:hAnsi="Times New Roman"/>
          <w:iCs/>
          <w:noProof/>
          <w:lang w:val="fr-CA"/>
        </w:rPr>
        <w:t>annexe à la pr</w:t>
      </w:r>
      <w:r>
        <w:rPr>
          <w:rFonts w:ascii="Times New Roman" w:hAnsi="Times New Roman"/>
          <w:iCs/>
          <w:noProof/>
          <w:lang w:val="fr-CA"/>
        </w:rPr>
        <w:t xml:space="preserve">ésente recommandation, comme </w:t>
      </w:r>
      <w:r w:rsidRPr="00052024">
        <w:rPr>
          <w:rFonts w:ascii="Times New Roman" w:hAnsi="Times New Roman"/>
          <w:iCs/>
          <w:noProof/>
          <w:lang w:val="fr-CA"/>
        </w:rPr>
        <w:t>information scientifique et technique découlant de l</w:t>
      </w:r>
      <w:r>
        <w:rPr>
          <w:rFonts w:ascii="Times New Roman" w:hAnsi="Times New Roman"/>
          <w:iCs/>
          <w:noProof/>
          <w:lang w:val="fr-CA"/>
        </w:rPr>
        <w:t>’</w:t>
      </w:r>
      <w:r w:rsidRPr="00052024">
        <w:rPr>
          <w:rFonts w:ascii="Times New Roman" w:hAnsi="Times New Roman"/>
          <w:iCs/>
          <w:noProof/>
          <w:lang w:val="fr-CA"/>
        </w:rPr>
        <w:t>examen de ce point par l</w:t>
      </w:r>
      <w:r>
        <w:rPr>
          <w:rFonts w:ascii="Times New Roman" w:hAnsi="Times New Roman"/>
          <w:iCs/>
          <w:noProof/>
          <w:lang w:val="fr-CA"/>
        </w:rPr>
        <w:t>’</w:t>
      </w:r>
      <w:r w:rsidRPr="00052024">
        <w:rPr>
          <w:rFonts w:ascii="Times New Roman" w:hAnsi="Times New Roman"/>
          <w:iCs/>
          <w:noProof/>
          <w:lang w:val="fr-CA"/>
        </w:rPr>
        <w:t>Organe subsidiaire</w:t>
      </w:r>
      <w:r>
        <w:rPr>
          <w:rFonts w:ascii="Times New Roman" w:hAnsi="Times New Roman"/>
          <w:iCs/>
          <w:noProof/>
          <w:lang w:val="fr-CA"/>
        </w:rPr>
        <w:t>,</w:t>
      </w:r>
      <w:r w:rsidRPr="00052024">
        <w:rPr>
          <w:rFonts w:ascii="Times New Roman" w:hAnsi="Times New Roman"/>
          <w:iCs/>
          <w:noProof/>
          <w:lang w:val="fr-CA"/>
        </w:rPr>
        <w:t xml:space="preserve"> au Secrétariat de la Plateforme intergouvernementale scientifique et politique sur la biodiversité et les services éc</w:t>
      </w:r>
      <w:r>
        <w:rPr>
          <w:rFonts w:ascii="Times New Roman" w:hAnsi="Times New Roman"/>
          <w:iCs/>
          <w:noProof/>
          <w:lang w:val="fr-CA"/>
        </w:rPr>
        <w:t xml:space="preserve">osystémiques, en vue </w:t>
      </w:r>
      <w:r w:rsidRPr="00052024">
        <w:rPr>
          <w:rFonts w:ascii="Times New Roman" w:hAnsi="Times New Roman"/>
          <w:iCs/>
          <w:noProof/>
          <w:lang w:val="fr-CA"/>
        </w:rPr>
        <w:t>d</w:t>
      </w:r>
      <w:r>
        <w:rPr>
          <w:rFonts w:ascii="Times New Roman" w:hAnsi="Times New Roman"/>
          <w:iCs/>
          <w:noProof/>
          <w:lang w:val="fr-CA"/>
        </w:rPr>
        <w:t xml:space="preserve">’informer </w:t>
      </w:r>
      <w:r w:rsidRPr="00052024">
        <w:rPr>
          <w:rFonts w:ascii="Times New Roman" w:hAnsi="Times New Roman"/>
          <w:iCs/>
          <w:noProof/>
          <w:lang w:val="fr-CA"/>
        </w:rPr>
        <w:t>le Groupe d</w:t>
      </w:r>
      <w:r>
        <w:rPr>
          <w:rFonts w:ascii="Times New Roman" w:hAnsi="Times New Roman"/>
          <w:iCs/>
          <w:noProof/>
          <w:lang w:val="fr-CA"/>
        </w:rPr>
        <w:t>’</w:t>
      </w:r>
      <w:r w:rsidRPr="00052024">
        <w:rPr>
          <w:rFonts w:ascii="Times New Roman" w:hAnsi="Times New Roman"/>
          <w:iCs/>
          <w:noProof/>
          <w:lang w:val="fr-CA"/>
        </w:rPr>
        <w:t>experts multidisciplinaire et le Bureau;</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firstLine="720"/>
        <w:rPr>
          <w:noProof/>
          <w:snapToGrid/>
          <w:kern w:val="22"/>
          <w:lang w:val="fr-CA"/>
        </w:rPr>
      </w:pPr>
      <w:r w:rsidRPr="00052024">
        <w:rPr>
          <w:iCs/>
          <w:noProof/>
          <w:lang w:val="fr-CA"/>
        </w:rPr>
        <w:t>3.</w:t>
      </w:r>
      <w:r w:rsidRPr="00052024">
        <w:rPr>
          <w:i/>
          <w:iCs/>
          <w:noProof/>
          <w:lang w:val="fr-CA"/>
        </w:rPr>
        <w:tab/>
        <w:t xml:space="preserve">Recommande </w:t>
      </w:r>
      <w:r w:rsidRPr="00052024">
        <w:rPr>
          <w:iCs/>
          <w:noProof/>
          <w:lang w:val="fr-CA"/>
        </w:rPr>
        <w:t>que la Conférence des Parties adopte</w:t>
      </w:r>
      <w:r>
        <w:rPr>
          <w:iCs/>
          <w:noProof/>
          <w:lang w:val="fr-CA"/>
        </w:rPr>
        <w:t>, à sa quatorzième réunion,</w:t>
      </w:r>
      <w:r w:rsidRPr="00052024">
        <w:rPr>
          <w:iCs/>
          <w:noProof/>
          <w:lang w:val="fr-CA"/>
        </w:rPr>
        <w:t xml:space="preserve"> une </w:t>
      </w:r>
      <w:r>
        <w:rPr>
          <w:iCs/>
          <w:noProof/>
          <w:lang w:val="fr-CA"/>
        </w:rPr>
        <w:t xml:space="preserve">décision libellée comme </w:t>
      </w:r>
      <w:r w:rsidRPr="00052024">
        <w:rPr>
          <w:iCs/>
          <w:noProof/>
          <w:lang w:val="fr-CA"/>
        </w:rPr>
        <w:t>suit </w:t>
      </w:r>
      <w:r w:rsidRPr="00052024">
        <w:rPr>
          <w:noProof/>
          <w:lang w:val="fr-CA"/>
        </w:rPr>
        <w:t>:</w:t>
      </w:r>
    </w:p>
    <w:p w:rsidR="009F6935" w:rsidRDefault="009F6935" w:rsidP="009F6935">
      <w:pPr>
        <w:pStyle w:val="Para1"/>
        <w:numPr>
          <w:ilvl w:val="0"/>
          <w:numId w:val="0"/>
        </w:numPr>
        <w:suppressLineNumbers/>
        <w:suppressAutoHyphens/>
        <w:ind w:left="709" w:firstLine="709"/>
        <w:rPr>
          <w:i/>
          <w:iCs/>
          <w:lang w:val="fr-CA"/>
        </w:rPr>
      </w:pPr>
      <w:r>
        <w:rPr>
          <w:i/>
          <w:iCs/>
          <w:lang w:val="fr-CA"/>
        </w:rPr>
        <w:t>La Conférence des Parties,</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i/>
          <w:iCs/>
          <w:snapToGrid/>
          <w:kern w:val="22"/>
          <w:lang w:val="fr-CA"/>
        </w:rPr>
      </w:pPr>
      <w:r>
        <w:rPr>
          <w:i/>
          <w:iCs/>
          <w:lang w:val="fr-CA"/>
        </w:rPr>
        <w:t xml:space="preserve">Rappelant </w:t>
      </w:r>
      <w:r>
        <w:rPr>
          <w:iCs/>
          <w:lang w:val="fr-CA"/>
        </w:rPr>
        <w:t>les décisions </w:t>
      </w:r>
      <w:r w:rsidRPr="00057D4D">
        <w:rPr>
          <w:iCs/>
          <w:lang w:val="fr-CA"/>
        </w:rPr>
        <w:t>XII</w:t>
      </w:r>
      <w:r>
        <w:rPr>
          <w:iCs/>
          <w:lang w:val="fr-CA"/>
        </w:rPr>
        <w:t>/25 et </w:t>
      </w:r>
      <w:r w:rsidRPr="00057D4D">
        <w:rPr>
          <w:iCs/>
          <w:lang w:val="fr-CA"/>
        </w:rPr>
        <w:t>XIII/29,</w:t>
      </w:r>
    </w:p>
    <w:p w:rsidR="009F6935" w:rsidRPr="00052024" w:rsidRDefault="009F6935" w:rsidP="009F6935">
      <w:pPr>
        <w:pStyle w:val="StylePara1HeadingsCSTimesNewRoman"/>
        <w:ind w:left="709" w:firstLine="709"/>
        <w:rPr>
          <w:rFonts w:ascii="Times New Roman" w:hAnsi="Times New Roman"/>
          <w:noProof/>
          <w:lang w:val="fr-CA"/>
        </w:rPr>
      </w:pPr>
      <w:r w:rsidRPr="00052024">
        <w:rPr>
          <w:rFonts w:ascii="Times New Roman" w:hAnsi="Times New Roman"/>
          <w:iCs/>
          <w:lang w:val="fr-CA"/>
        </w:rPr>
        <w:t>1.</w:t>
      </w:r>
      <w:r>
        <w:rPr>
          <w:rFonts w:ascii="Times New Roman" w:hAnsi="Times New Roman"/>
          <w:i/>
          <w:iCs/>
          <w:lang w:val="fr-CA"/>
        </w:rPr>
        <w:tab/>
        <w:t>Se félicite</w:t>
      </w:r>
      <w:r w:rsidRPr="00052024">
        <w:rPr>
          <w:rFonts w:ascii="Times New Roman" w:hAnsi="Times New Roman"/>
          <w:i/>
          <w:iCs/>
          <w:lang w:val="fr-CA"/>
        </w:rPr>
        <w:t xml:space="preserve"> </w:t>
      </w:r>
      <w:r>
        <w:rPr>
          <w:rFonts w:ascii="Times New Roman" w:hAnsi="Times New Roman"/>
          <w:iCs/>
          <w:lang w:val="fr-CA"/>
        </w:rPr>
        <w:t>d</w:t>
      </w:r>
      <w:r w:rsidRPr="00052024">
        <w:rPr>
          <w:rFonts w:ascii="Times New Roman" w:hAnsi="Times New Roman"/>
          <w:iCs/>
          <w:lang w:val="fr-CA"/>
        </w:rPr>
        <w:t xml:space="preserve">es progrès accomplis dans la mise en œuvre du premier programme de travail de la Plateforme intergouvernementale scientifique et politique sur la biodiversité et les </w:t>
      </w:r>
      <w:r w:rsidRPr="00052024">
        <w:rPr>
          <w:rFonts w:ascii="Times New Roman" w:hAnsi="Times New Roman"/>
          <w:iCs/>
          <w:noProof/>
          <w:lang w:val="fr-CA"/>
        </w:rPr>
        <w:t>services écosystémiques</w:t>
      </w:r>
      <w:r w:rsidRPr="00052024">
        <w:rPr>
          <w:rFonts w:ascii="Times New Roman" w:hAnsi="Times New Roman"/>
          <w:noProof/>
          <w:lang w:val="fr-CA"/>
        </w:rPr>
        <w:t xml:space="preserve">; </w:t>
      </w:r>
    </w:p>
    <w:p w:rsidR="009F6935" w:rsidRPr="000A66B8" w:rsidRDefault="009F6935" w:rsidP="009F6935">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fr-CA"/>
        </w:rPr>
      </w:pPr>
      <w:r w:rsidRPr="00052024">
        <w:rPr>
          <w:rFonts w:ascii="Times New Roman" w:hAnsi="Times New Roman"/>
          <w:iCs/>
          <w:noProof/>
          <w:lang w:val="fr-CA"/>
        </w:rPr>
        <w:t>2.</w:t>
      </w:r>
      <w:r>
        <w:rPr>
          <w:rFonts w:ascii="Times New Roman" w:hAnsi="Times New Roman"/>
          <w:i/>
          <w:iCs/>
          <w:noProof/>
          <w:lang w:val="fr-CA"/>
        </w:rPr>
        <w:tab/>
        <w:t>Se félicite également</w:t>
      </w:r>
      <w:r w:rsidRPr="00052024">
        <w:rPr>
          <w:rFonts w:ascii="Times New Roman" w:hAnsi="Times New Roman"/>
          <w:i/>
          <w:iCs/>
          <w:noProof/>
          <w:lang w:val="fr-CA"/>
        </w:rPr>
        <w:t xml:space="preserve"> </w:t>
      </w:r>
      <w:r w:rsidRPr="00052024">
        <w:rPr>
          <w:rFonts w:ascii="Times New Roman" w:hAnsi="Times New Roman"/>
          <w:iCs/>
          <w:noProof/>
          <w:lang w:val="fr-CA"/>
        </w:rPr>
        <w:t>de l</w:t>
      </w:r>
      <w:r>
        <w:rPr>
          <w:rFonts w:ascii="Times New Roman" w:hAnsi="Times New Roman"/>
          <w:iCs/>
          <w:noProof/>
          <w:lang w:val="fr-CA"/>
        </w:rPr>
        <w:t xml:space="preserve">a décision de </w:t>
      </w:r>
      <w:r w:rsidRPr="00052024">
        <w:rPr>
          <w:rFonts w:ascii="Times New Roman" w:hAnsi="Times New Roman"/>
          <w:iCs/>
          <w:noProof/>
          <w:lang w:val="fr-CA"/>
        </w:rPr>
        <w:t>l</w:t>
      </w:r>
      <w:r>
        <w:rPr>
          <w:rFonts w:ascii="Times New Roman" w:hAnsi="Times New Roman"/>
          <w:iCs/>
          <w:noProof/>
          <w:lang w:val="fr-CA"/>
        </w:rPr>
        <w:t>a</w:t>
      </w:r>
      <w:r w:rsidRPr="00052024">
        <w:rPr>
          <w:rFonts w:ascii="Times New Roman" w:hAnsi="Times New Roman"/>
          <w:iCs/>
          <w:noProof/>
          <w:lang w:val="fr-CA"/>
        </w:rPr>
        <w:t xml:space="preserve"> Plénière de la Plateforme intergouvernementale scientifique et politique sur la biodiversité et les services écosystémiques d</w:t>
      </w:r>
      <w:r>
        <w:rPr>
          <w:rFonts w:ascii="Times New Roman" w:hAnsi="Times New Roman"/>
          <w:iCs/>
          <w:noProof/>
          <w:lang w:val="fr-CA"/>
        </w:rPr>
        <w:t>’</w:t>
      </w:r>
      <w:r w:rsidRPr="00052024">
        <w:rPr>
          <w:rFonts w:ascii="Times New Roman" w:hAnsi="Times New Roman"/>
          <w:iCs/>
          <w:noProof/>
          <w:lang w:val="fr-CA"/>
        </w:rPr>
        <w:t>entreprendre l</w:t>
      </w:r>
      <w:r>
        <w:rPr>
          <w:rFonts w:ascii="Times New Roman" w:hAnsi="Times New Roman"/>
          <w:iCs/>
          <w:noProof/>
          <w:lang w:val="fr-CA"/>
        </w:rPr>
        <w:t>’</w:t>
      </w:r>
      <w:r w:rsidRPr="00052024">
        <w:rPr>
          <w:rFonts w:ascii="Times New Roman" w:hAnsi="Times New Roman"/>
          <w:iCs/>
          <w:noProof/>
          <w:lang w:val="fr-CA"/>
        </w:rPr>
        <w:t>évaluation thématique de l</w:t>
      </w:r>
      <w:r>
        <w:rPr>
          <w:rFonts w:ascii="Times New Roman" w:hAnsi="Times New Roman"/>
          <w:iCs/>
          <w:noProof/>
          <w:lang w:val="fr-CA"/>
        </w:rPr>
        <w:t>’</w:t>
      </w:r>
      <w:r w:rsidRPr="00052024">
        <w:rPr>
          <w:rFonts w:ascii="Times New Roman" w:hAnsi="Times New Roman"/>
          <w:iCs/>
          <w:noProof/>
          <w:lang w:val="fr-CA"/>
        </w:rPr>
        <w:t>utilisation</w:t>
      </w:r>
      <w:r>
        <w:rPr>
          <w:rFonts w:ascii="Times New Roman" w:hAnsi="Times New Roman"/>
          <w:iCs/>
          <w:noProof/>
          <w:lang w:val="fr-CA"/>
        </w:rPr>
        <w:t xml:space="preserve"> durable des espèces sauvages,</w:t>
      </w:r>
      <w:r w:rsidRPr="00052024">
        <w:rPr>
          <w:rFonts w:ascii="Times New Roman" w:hAnsi="Times New Roman"/>
          <w:iCs/>
          <w:noProof/>
          <w:lang w:val="fr-CA"/>
        </w:rPr>
        <w:t xml:space="preserve"> l</w:t>
      </w:r>
      <w:r>
        <w:rPr>
          <w:rFonts w:ascii="Times New Roman" w:hAnsi="Times New Roman"/>
          <w:iCs/>
          <w:noProof/>
          <w:lang w:val="fr-CA"/>
        </w:rPr>
        <w:t>’</w:t>
      </w:r>
      <w:r w:rsidRPr="00052024">
        <w:rPr>
          <w:rFonts w:ascii="Times New Roman" w:hAnsi="Times New Roman"/>
          <w:iCs/>
          <w:noProof/>
          <w:lang w:val="fr-CA"/>
        </w:rPr>
        <w:t>évaluation thématique des espèces exotiques envahissantes</w:t>
      </w:r>
      <w:r>
        <w:rPr>
          <w:rFonts w:ascii="Times New Roman" w:hAnsi="Times New Roman"/>
          <w:iCs/>
          <w:noProof/>
          <w:lang w:val="fr-CA"/>
        </w:rPr>
        <w:t>,</w:t>
      </w:r>
      <w:r w:rsidRPr="00052024">
        <w:rPr>
          <w:rFonts w:ascii="Times New Roman" w:hAnsi="Times New Roman"/>
          <w:iCs/>
          <w:noProof/>
          <w:lang w:val="fr-CA"/>
        </w:rPr>
        <w:t xml:space="preserve"> et l</w:t>
      </w:r>
      <w:r>
        <w:rPr>
          <w:rFonts w:ascii="Times New Roman" w:hAnsi="Times New Roman"/>
          <w:iCs/>
          <w:noProof/>
          <w:lang w:val="fr-CA"/>
        </w:rPr>
        <w:t>’</w:t>
      </w:r>
      <w:r w:rsidRPr="00052024">
        <w:rPr>
          <w:rFonts w:ascii="Times New Roman" w:hAnsi="Times New Roman"/>
          <w:iCs/>
          <w:noProof/>
          <w:lang w:val="fr-CA"/>
        </w:rPr>
        <w:t>évaluation</w:t>
      </w:r>
      <w:r>
        <w:rPr>
          <w:rFonts w:ascii="Times New Roman" w:hAnsi="Times New Roman"/>
          <w:iCs/>
          <w:lang w:val="fr-CA"/>
        </w:rPr>
        <w:t xml:space="preserve"> méthodologique concernant</w:t>
      </w:r>
      <w:r w:rsidRPr="00052024">
        <w:rPr>
          <w:rFonts w:ascii="Times New Roman" w:hAnsi="Times New Roman"/>
          <w:iCs/>
          <w:lang w:val="fr-CA"/>
        </w:rPr>
        <w:t xml:space="preserve"> la conceptualisation diversifiée des nombreuses valeurs de la nature et de ses bienfaits</w:t>
      </w:r>
      <w:r w:rsidRPr="00052024">
        <w:rPr>
          <w:rFonts w:ascii="Times New Roman" w:hAnsi="Times New Roman"/>
          <w:lang w:val="fr-CA"/>
        </w:rPr>
        <w:t>;</w:t>
      </w:r>
    </w:p>
    <w:p w:rsidR="009F6935" w:rsidRPr="000A66B8" w:rsidRDefault="009F6935" w:rsidP="009F6935">
      <w:pPr>
        <w:pStyle w:val="StylePara1HeadingsCSTimesNewRoman"/>
        <w:suppressLineNumbers/>
        <w:suppressAutoHyphens/>
        <w:kinsoku w:val="0"/>
        <w:overflowPunct w:val="0"/>
        <w:autoSpaceDE w:val="0"/>
        <w:autoSpaceDN w:val="0"/>
        <w:adjustRightInd w:val="0"/>
        <w:snapToGrid w:val="0"/>
        <w:ind w:left="720" w:firstLine="720"/>
        <w:rPr>
          <w:iCs/>
          <w:snapToGrid/>
          <w:kern w:val="22"/>
          <w:szCs w:val="22"/>
          <w:lang w:val="fr-CA"/>
        </w:rPr>
      </w:pPr>
      <w:r w:rsidRPr="000A66B8">
        <w:rPr>
          <w:iCs/>
          <w:snapToGrid/>
          <w:kern w:val="22"/>
          <w:szCs w:val="22"/>
          <w:lang w:val="fr-CA"/>
        </w:rPr>
        <w:t>3.</w:t>
      </w:r>
      <w:r w:rsidRPr="000A66B8">
        <w:rPr>
          <w:iCs/>
          <w:snapToGrid/>
          <w:kern w:val="22"/>
          <w:szCs w:val="22"/>
          <w:lang w:val="fr-CA"/>
        </w:rPr>
        <w:tab/>
      </w:r>
      <w:r>
        <w:rPr>
          <w:rFonts w:ascii="Times New Roman" w:hAnsi="Times New Roman"/>
          <w:i/>
          <w:iCs/>
          <w:lang w:val="fr-CA"/>
        </w:rPr>
        <w:t>Convient</w:t>
      </w:r>
      <w:r w:rsidRPr="00052024">
        <w:rPr>
          <w:rFonts w:ascii="Times New Roman" w:hAnsi="Times New Roman"/>
          <w:i/>
          <w:iCs/>
          <w:lang w:val="fr-CA"/>
        </w:rPr>
        <w:t xml:space="preserve"> </w:t>
      </w:r>
      <w:r w:rsidRPr="00052024">
        <w:rPr>
          <w:rFonts w:ascii="Times New Roman" w:hAnsi="Times New Roman"/>
          <w:iCs/>
          <w:lang w:val="fr-CA"/>
        </w:rPr>
        <w:t>que le cadre stratégique à l</w:t>
      </w:r>
      <w:r>
        <w:rPr>
          <w:rFonts w:ascii="Times New Roman" w:hAnsi="Times New Roman"/>
          <w:iCs/>
          <w:lang w:val="fr-CA"/>
        </w:rPr>
        <w:t>’</w:t>
      </w:r>
      <w:r w:rsidRPr="00052024">
        <w:rPr>
          <w:rFonts w:ascii="Times New Roman" w:hAnsi="Times New Roman"/>
          <w:iCs/>
          <w:lang w:val="fr-CA"/>
        </w:rPr>
        <w:t xml:space="preserve">horizon 2030 et les éléments du </w:t>
      </w:r>
      <w:r>
        <w:rPr>
          <w:rFonts w:ascii="Times New Roman" w:hAnsi="Times New Roman"/>
          <w:iCs/>
          <w:lang w:val="fr-CA"/>
        </w:rPr>
        <w:t>programme de travail glissant</w:t>
      </w:r>
      <w:r w:rsidRPr="00052024">
        <w:rPr>
          <w:rFonts w:ascii="Times New Roman" w:hAnsi="Times New Roman"/>
          <w:iCs/>
          <w:lang w:val="fr-CA"/>
        </w:rPr>
        <w:t xml:space="preserve"> de la Plateforme intergouvernementale scientifique et politique sur la biodiversité et le</w:t>
      </w:r>
      <w:r>
        <w:rPr>
          <w:rFonts w:ascii="Times New Roman" w:hAnsi="Times New Roman"/>
          <w:iCs/>
          <w:lang w:val="fr-CA"/>
        </w:rPr>
        <w:t xml:space="preserve">s services écosystémiques devraient intéresser le cadre mondial de </w:t>
      </w:r>
      <w:r w:rsidRPr="00052024">
        <w:rPr>
          <w:rFonts w:ascii="Times New Roman" w:hAnsi="Times New Roman"/>
          <w:iCs/>
          <w:lang w:val="fr-CA"/>
        </w:rPr>
        <w:t xml:space="preserve">la </w:t>
      </w:r>
      <w:r>
        <w:rPr>
          <w:rFonts w:ascii="Times New Roman" w:hAnsi="Times New Roman"/>
          <w:iCs/>
          <w:lang w:val="fr-CA"/>
        </w:rPr>
        <w:t>bio</w:t>
      </w:r>
      <w:r w:rsidRPr="00052024">
        <w:rPr>
          <w:rFonts w:ascii="Times New Roman" w:hAnsi="Times New Roman"/>
          <w:iCs/>
          <w:lang w:val="fr-CA"/>
        </w:rPr>
        <w:t xml:space="preserve">diversité </w:t>
      </w:r>
      <w:r>
        <w:rPr>
          <w:rFonts w:ascii="Times New Roman" w:hAnsi="Times New Roman"/>
          <w:iCs/>
          <w:lang w:val="fr-CA"/>
        </w:rPr>
        <w:t xml:space="preserve">pour l’après-2020 et </w:t>
      </w:r>
      <w:r w:rsidRPr="00052024">
        <w:rPr>
          <w:rFonts w:ascii="Times New Roman" w:hAnsi="Times New Roman"/>
          <w:iCs/>
          <w:lang w:val="fr-CA"/>
        </w:rPr>
        <w:t>contribuer</w:t>
      </w:r>
      <w:r>
        <w:rPr>
          <w:rFonts w:ascii="Times New Roman" w:hAnsi="Times New Roman"/>
          <w:iCs/>
          <w:lang w:val="fr-CA"/>
        </w:rPr>
        <w:t>ont</w:t>
      </w:r>
      <w:r w:rsidRPr="00052024">
        <w:rPr>
          <w:rFonts w:ascii="Times New Roman" w:hAnsi="Times New Roman"/>
          <w:iCs/>
          <w:lang w:val="fr-CA"/>
        </w:rPr>
        <w:t xml:space="preserve"> à soutenir sa mise en œuvre et l</w:t>
      </w:r>
      <w:r>
        <w:rPr>
          <w:rFonts w:ascii="Times New Roman" w:hAnsi="Times New Roman"/>
          <w:iCs/>
          <w:lang w:val="fr-CA"/>
        </w:rPr>
        <w:t>’</w:t>
      </w:r>
      <w:r w:rsidRPr="00052024">
        <w:rPr>
          <w:rFonts w:ascii="Times New Roman" w:hAnsi="Times New Roman"/>
          <w:iCs/>
          <w:lang w:val="fr-CA"/>
        </w:rPr>
        <w:t>évaluation des progrès</w:t>
      </w:r>
      <w:r>
        <w:rPr>
          <w:rFonts w:ascii="Times New Roman" w:hAnsi="Times New Roman"/>
          <w:iCs/>
          <w:lang w:val="fr-CA"/>
        </w:rPr>
        <w:t xml:space="preserve"> accomplis</w:t>
      </w:r>
      <w:r w:rsidRPr="00052024">
        <w:rPr>
          <w:rFonts w:ascii="Times New Roman" w:hAnsi="Times New Roman"/>
          <w:iCs/>
          <w:lang w:val="fr-CA"/>
        </w:rPr>
        <w:t xml:space="preserve">, et </w:t>
      </w:r>
      <w:r>
        <w:rPr>
          <w:rFonts w:ascii="Times New Roman" w:hAnsi="Times New Roman"/>
          <w:i/>
          <w:iCs/>
          <w:lang w:val="fr-CA"/>
        </w:rPr>
        <w:t>reconnaît</w:t>
      </w:r>
      <w:r w:rsidRPr="00052024">
        <w:rPr>
          <w:rFonts w:ascii="Times New Roman" w:hAnsi="Times New Roman"/>
          <w:iCs/>
          <w:lang w:val="fr-CA"/>
        </w:rPr>
        <w:t xml:space="preserve"> que la </w:t>
      </w:r>
      <w:r w:rsidRPr="00052024">
        <w:rPr>
          <w:rFonts w:ascii="Times New Roman" w:hAnsi="Times New Roman"/>
          <w:lang w:val="fr-CA"/>
        </w:rPr>
        <w:t>mobilité de l</w:t>
      </w:r>
      <w:r>
        <w:rPr>
          <w:rFonts w:ascii="Times New Roman" w:hAnsi="Times New Roman"/>
          <w:lang w:val="fr-CA"/>
        </w:rPr>
        <w:t>’</w:t>
      </w:r>
      <w:r w:rsidRPr="00052024">
        <w:rPr>
          <w:rFonts w:ascii="Times New Roman" w:hAnsi="Times New Roman"/>
          <w:lang w:val="fr-CA"/>
        </w:rPr>
        <w:t>horiz</w:t>
      </w:r>
      <w:r>
        <w:rPr>
          <w:rFonts w:ascii="Times New Roman" w:hAnsi="Times New Roman"/>
          <w:lang w:val="fr-CA"/>
        </w:rPr>
        <w:t>on du programme de travail devr</w:t>
      </w:r>
      <w:r w:rsidRPr="00052024">
        <w:rPr>
          <w:rFonts w:ascii="Times New Roman" w:hAnsi="Times New Roman"/>
          <w:lang w:val="fr-CA"/>
        </w:rPr>
        <w:t>ait favoriser</w:t>
      </w:r>
      <w:r>
        <w:rPr>
          <w:rFonts w:ascii="Times New Roman" w:hAnsi="Times New Roman"/>
          <w:lang w:val="fr-CA"/>
        </w:rPr>
        <w:t xml:space="preserve"> l’échange continu d’informations et</w:t>
      </w:r>
      <w:r w:rsidRPr="00052024">
        <w:rPr>
          <w:rFonts w:ascii="Times New Roman" w:hAnsi="Times New Roman"/>
          <w:lang w:val="fr-CA"/>
        </w:rPr>
        <w:t xml:space="preserve"> d</w:t>
      </w:r>
      <w:r>
        <w:rPr>
          <w:rFonts w:ascii="Times New Roman" w:hAnsi="Times New Roman"/>
          <w:lang w:val="fr-CA"/>
        </w:rPr>
        <w:t xml:space="preserve">’autres demandes </w:t>
      </w:r>
      <w:r w:rsidRPr="00052024">
        <w:rPr>
          <w:rFonts w:ascii="Times New Roman" w:hAnsi="Times New Roman"/>
          <w:lang w:val="fr-CA"/>
        </w:rPr>
        <w:t>de la Convention</w:t>
      </w:r>
      <w:r>
        <w:rPr>
          <w:rFonts w:ascii="Times New Roman" w:hAnsi="Times New Roman"/>
          <w:lang w:val="fr-CA"/>
        </w:rPr>
        <w:t>,</w:t>
      </w:r>
      <w:r w:rsidRPr="00052024">
        <w:rPr>
          <w:rFonts w:ascii="Times New Roman" w:hAnsi="Times New Roman"/>
          <w:lang w:val="fr-CA"/>
        </w:rPr>
        <w:t xml:space="preserve"> à la lumière des besoin</w:t>
      </w:r>
      <w:r>
        <w:rPr>
          <w:rFonts w:ascii="Times New Roman" w:hAnsi="Times New Roman"/>
          <w:lang w:val="fr-CA"/>
        </w:rPr>
        <w:t xml:space="preserve">s découlant de la version finale et de la mise en œuvre </w:t>
      </w:r>
      <w:r w:rsidRPr="00052024">
        <w:rPr>
          <w:rFonts w:ascii="Times New Roman" w:hAnsi="Times New Roman"/>
          <w:lang w:val="fr-CA"/>
        </w:rPr>
        <w:t xml:space="preserve">du </w:t>
      </w:r>
      <w:r>
        <w:rPr>
          <w:rFonts w:ascii="Times New Roman" w:hAnsi="Times New Roman"/>
          <w:lang w:val="fr-CA"/>
        </w:rPr>
        <w:t>cadre mondial de la biodiversité pour l’après-2020</w:t>
      </w:r>
      <w:r w:rsidRPr="00052024">
        <w:rPr>
          <w:rFonts w:ascii="Times New Roman" w:hAnsi="Times New Roman"/>
          <w:lang w:val="fr-CA"/>
        </w:rPr>
        <w:t>;</w:t>
      </w:r>
    </w:p>
    <w:p w:rsidR="009F6935" w:rsidRPr="000A66B8" w:rsidRDefault="009F6935" w:rsidP="009F6935">
      <w:pPr>
        <w:pStyle w:val="StylePara1HeadingsCSTimesNewRoman"/>
        <w:suppressLineNumbers/>
        <w:suppressAutoHyphens/>
        <w:kinsoku w:val="0"/>
        <w:overflowPunct w:val="0"/>
        <w:autoSpaceDE w:val="0"/>
        <w:autoSpaceDN w:val="0"/>
        <w:adjustRightInd w:val="0"/>
        <w:snapToGrid w:val="0"/>
        <w:ind w:left="720" w:firstLine="720"/>
        <w:rPr>
          <w:iCs/>
          <w:snapToGrid/>
          <w:spacing w:val="-1"/>
          <w:kern w:val="22"/>
          <w:szCs w:val="22"/>
          <w:lang w:val="fr-CA"/>
        </w:rPr>
      </w:pPr>
      <w:r w:rsidRPr="000A66B8">
        <w:rPr>
          <w:snapToGrid/>
          <w:spacing w:val="-1"/>
          <w:kern w:val="22"/>
          <w:szCs w:val="22"/>
          <w:lang w:val="fr-CA"/>
        </w:rPr>
        <w:t>4.</w:t>
      </w:r>
      <w:r w:rsidRPr="000A66B8">
        <w:rPr>
          <w:i/>
          <w:snapToGrid/>
          <w:spacing w:val="-1"/>
          <w:kern w:val="22"/>
          <w:szCs w:val="22"/>
          <w:lang w:val="fr-CA"/>
        </w:rPr>
        <w:tab/>
      </w:r>
      <w:r>
        <w:rPr>
          <w:i/>
          <w:spacing w:val="-1"/>
          <w:kern w:val="22"/>
          <w:szCs w:val="22"/>
          <w:lang w:val="fr-CA"/>
        </w:rPr>
        <w:t>Prend note</w:t>
      </w:r>
      <w:r>
        <w:rPr>
          <w:iCs/>
          <w:spacing w:val="-1"/>
          <w:kern w:val="22"/>
          <w:szCs w:val="22"/>
          <w:lang w:val="fr-CA"/>
        </w:rPr>
        <w:t xml:space="preserve"> du fait q</w:t>
      </w:r>
      <w:r w:rsidRPr="00DF5B23">
        <w:rPr>
          <w:iCs/>
          <w:spacing w:val="-1"/>
          <w:kern w:val="22"/>
          <w:szCs w:val="22"/>
          <w:lang w:val="fr-CA"/>
        </w:rPr>
        <w:t>ue le cadre stratégique à l</w:t>
      </w:r>
      <w:r>
        <w:rPr>
          <w:iCs/>
          <w:spacing w:val="-1"/>
          <w:kern w:val="22"/>
          <w:szCs w:val="22"/>
          <w:lang w:val="fr-CA"/>
        </w:rPr>
        <w:t>’</w:t>
      </w:r>
      <w:r w:rsidRPr="00DF5B23">
        <w:rPr>
          <w:iCs/>
          <w:spacing w:val="-1"/>
          <w:kern w:val="22"/>
          <w:szCs w:val="22"/>
          <w:lang w:val="fr-CA"/>
        </w:rPr>
        <w:t xml:space="preserve">horizon 2030 et les éléments du </w:t>
      </w:r>
      <w:r>
        <w:rPr>
          <w:iCs/>
          <w:spacing w:val="-1"/>
          <w:kern w:val="22"/>
          <w:szCs w:val="22"/>
          <w:lang w:val="fr-CA"/>
        </w:rPr>
        <w:t>programme de travail glissant</w:t>
      </w:r>
      <w:r w:rsidRPr="00052024">
        <w:rPr>
          <w:rFonts w:ascii="Times New Roman" w:hAnsi="Times New Roman"/>
          <w:iCs/>
          <w:lang w:val="fr-CA"/>
        </w:rPr>
        <w:t xml:space="preserve"> de la Plateforme intergouvernementale scientifique et politique sur la biodiversité et le</w:t>
      </w:r>
      <w:r>
        <w:rPr>
          <w:rFonts w:ascii="Times New Roman" w:hAnsi="Times New Roman"/>
          <w:iCs/>
          <w:lang w:val="fr-CA"/>
        </w:rPr>
        <w:t xml:space="preserve">s services écosystémiques </w:t>
      </w:r>
      <w:r>
        <w:rPr>
          <w:iCs/>
          <w:spacing w:val="-1"/>
          <w:kern w:val="22"/>
          <w:szCs w:val="22"/>
          <w:lang w:val="fr-CA"/>
        </w:rPr>
        <w:t>devraient intéresser le Programme de développement durable à l’horizon 2030</w:t>
      </w:r>
      <w:r w:rsidRPr="00C61E45">
        <w:rPr>
          <w:rStyle w:val="FootnoteReference"/>
          <w:spacing w:val="-1"/>
          <w:kern w:val="22"/>
          <w:sz w:val="20"/>
          <w:szCs w:val="20"/>
          <w:u w:val="none"/>
          <w:vertAlign w:val="superscript"/>
        </w:rPr>
        <w:footnoteReference w:id="143"/>
      </w:r>
      <w:r>
        <w:rPr>
          <w:iCs/>
          <w:spacing w:val="-1"/>
          <w:kern w:val="22"/>
          <w:szCs w:val="22"/>
          <w:lang w:val="fr-FR"/>
        </w:rPr>
        <w:t xml:space="preserve">, ainsi que </w:t>
      </w:r>
      <w:r w:rsidRPr="00DF5B23">
        <w:rPr>
          <w:iCs/>
          <w:spacing w:val="-1"/>
          <w:kern w:val="22"/>
          <w:szCs w:val="22"/>
          <w:lang w:val="fr-FR"/>
        </w:rPr>
        <w:t>l</w:t>
      </w:r>
      <w:r>
        <w:rPr>
          <w:iCs/>
          <w:spacing w:val="-1"/>
          <w:kern w:val="22"/>
          <w:szCs w:val="22"/>
          <w:lang w:val="fr-FR"/>
        </w:rPr>
        <w:t>’</w:t>
      </w:r>
      <w:r w:rsidRPr="00DF5B23">
        <w:rPr>
          <w:iCs/>
          <w:spacing w:val="-1"/>
          <w:kern w:val="22"/>
          <w:szCs w:val="22"/>
          <w:lang w:val="fr-FR"/>
        </w:rPr>
        <w:t>Accord de</w:t>
      </w:r>
      <w:r w:rsidRPr="00DF5B23">
        <w:rPr>
          <w:iCs/>
          <w:spacing w:val="-1"/>
          <w:kern w:val="22"/>
          <w:szCs w:val="22"/>
          <w:lang w:val="fr-CA"/>
        </w:rPr>
        <w:t xml:space="preserve"> Paris</w:t>
      </w:r>
      <w:r>
        <w:rPr>
          <w:iCs/>
          <w:spacing w:val="-1"/>
          <w:kern w:val="22"/>
          <w:szCs w:val="22"/>
          <w:lang w:val="fr-CA"/>
        </w:rPr>
        <w:t xml:space="preserve"> sur les changements climatiques</w:t>
      </w:r>
      <w:r w:rsidRPr="00C61E45">
        <w:rPr>
          <w:rStyle w:val="FootnoteReference"/>
          <w:spacing w:val="-1"/>
          <w:kern w:val="22"/>
          <w:sz w:val="20"/>
          <w:szCs w:val="20"/>
          <w:u w:val="none"/>
          <w:vertAlign w:val="superscript"/>
        </w:rPr>
        <w:footnoteReference w:id="144"/>
      </w:r>
      <w:r w:rsidRPr="00DF5B23">
        <w:rPr>
          <w:iCs/>
          <w:spacing w:val="-1"/>
          <w:kern w:val="22"/>
          <w:szCs w:val="22"/>
          <w:lang w:val="fr-CA"/>
        </w:rPr>
        <w:t xml:space="preserve"> </w:t>
      </w:r>
      <w:r>
        <w:rPr>
          <w:iCs/>
          <w:spacing w:val="-1"/>
          <w:kern w:val="22"/>
          <w:szCs w:val="22"/>
          <w:lang w:val="fr-CA"/>
        </w:rPr>
        <w:t>et d’autres processus relatifs à la diversité biologique</w:t>
      </w:r>
      <w:r w:rsidRPr="00DF5B23">
        <w:rPr>
          <w:iCs/>
          <w:spacing w:val="-1"/>
          <w:kern w:val="22"/>
          <w:szCs w:val="22"/>
          <w:lang w:val="fr-CA"/>
        </w:rPr>
        <w:t>;</w:t>
      </w:r>
    </w:p>
    <w:p w:rsidR="009F6935" w:rsidRPr="000A66B8" w:rsidRDefault="009F6935" w:rsidP="009F6935">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fr-CA"/>
        </w:rPr>
      </w:pPr>
      <w:r w:rsidRPr="000A66B8">
        <w:rPr>
          <w:iCs/>
          <w:snapToGrid/>
          <w:kern w:val="22"/>
          <w:szCs w:val="22"/>
          <w:lang w:val="fr-CA"/>
        </w:rPr>
        <w:t>5</w:t>
      </w:r>
      <w:r w:rsidRPr="000A66B8">
        <w:rPr>
          <w:i/>
          <w:iCs/>
          <w:snapToGrid/>
          <w:kern w:val="22"/>
          <w:szCs w:val="22"/>
          <w:lang w:val="fr-CA"/>
        </w:rPr>
        <w:t>.</w:t>
      </w:r>
      <w:r w:rsidRPr="000A66B8">
        <w:rPr>
          <w:i/>
          <w:iCs/>
          <w:snapToGrid/>
          <w:kern w:val="22"/>
          <w:szCs w:val="22"/>
          <w:lang w:val="fr-CA"/>
        </w:rPr>
        <w:tab/>
      </w:r>
      <w:r>
        <w:rPr>
          <w:rFonts w:ascii="Times New Roman" w:hAnsi="Times New Roman"/>
          <w:i/>
          <w:iCs/>
          <w:lang w:val="fr-FR"/>
        </w:rPr>
        <w:t>Se félicite</w:t>
      </w:r>
      <w:r>
        <w:rPr>
          <w:rFonts w:ascii="Times New Roman" w:hAnsi="Times New Roman"/>
          <w:lang w:val="fr-FR"/>
        </w:rPr>
        <w:t xml:space="preserve"> des efforts déployés par</w:t>
      </w:r>
      <w:r w:rsidRPr="00DF5B23">
        <w:rPr>
          <w:rFonts w:ascii="Times New Roman" w:hAnsi="Times New Roman"/>
          <w:i/>
          <w:iCs/>
          <w:lang w:val="fr-FR"/>
        </w:rPr>
        <w:t xml:space="preserve"> </w:t>
      </w:r>
      <w:r w:rsidRPr="00DF5B23">
        <w:rPr>
          <w:rFonts w:ascii="Times New Roman" w:hAnsi="Times New Roman"/>
          <w:iCs/>
          <w:lang w:val="fr-FR"/>
        </w:rPr>
        <w:t xml:space="preserve">la Plateforme intergouvernementale scientifique et politique sur la biodiversité </w:t>
      </w:r>
      <w:r>
        <w:rPr>
          <w:rFonts w:ascii="Times New Roman" w:hAnsi="Times New Roman"/>
          <w:iCs/>
          <w:lang w:val="fr-FR"/>
        </w:rPr>
        <w:t>et les services écosystémiques pour</w:t>
      </w:r>
      <w:r w:rsidRPr="00DF5B23">
        <w:rPr>
          <w:rFonts w:ascii="Times New Roman" w:hAnsi="Times New Roman"/>
          <w:iCs/>
          <w:lang w:val="fr-FR"/>
        </w:rPr>
        <w:t xml:space="preserve"> </w:t>
      </w:r>
      <w:r>
        <w:rPr>
          <w:rFonts w:ascii="Times New Roman" w:hAnsi="Times New Roman"/>
          <w:iCs/>
          <w:lang w:val="fr-CA"/>
        </w:rPr>
        <w:t xml:space="preserve">renforcer </w:t>
      </w:r>
      <w:r w:rsidRPr="00052024">
        <w:rPr>
          <w:rFonts w:ascii="Times New Roman" w:hAnsi="Times New Roman"/>
          <w:iCs/>
          <w:lang w:val="fr-CA"/>
        </w:rPr>
        <w:t xml:space="preserve">davantage </w:t>
      </w:r>
      <w:r>
        <w:rPr>
          <w:rFonts w:ascii="Times New Roman" w:hAnsi="Times New Roman"/>
          <w:iCs/>
          <w:lang w:val="fr-CA"/>
        </w:rPr>
        <w:t xml:space="preserve">sa coopération </w:t>
      </w:r>
      <w:r w:rsidRPr="00052024">
        <w:rPr>
          <w:rFonts w:ascii="Times New Roman" w:hAnsi="Times New Roman"/>
          <w:iCs/>
          <w:lang w:val="fr-CA"/>
        </w:rPr>
        <w:t>avec le Groupe d</w:t>
      </w:r>
      <w:r>
        <w:rPr>
          <w:rFonts w:ascii="Times New Roman" w:hAnsi="Times New Roman"/>
          <w:iCs/>
          <w:lang w:val="fr-CA"/>
        </w:rPr>
        <w:t>’experts intergouvernemental</w:t>
      </w:r>
      <w:r w:rsidRPr="00052024">
        <w:rPr>
          <w:rFonts w:ascii="Times New Roman" w:hAnsi="Times New Roman"/>
          <w:iCs/>
          <w:lang w:val="fr-CA"/>
        </w:rPr>
        <w:t xml:space="preserve"> sur l</w:t>
      </w:r>
      <w:r>
        <w:rPr>
          <w:rFonts w:ascii="Times New Roman" w:hAnsi="Times New Roman"/>
          <w:iCs/>
          <w:lang w:val="fr-CA"/>
        </w:rPr>
        <w:t>’</w:t>
      </w:r>
      <w:r w:rsidRPr="00052024">
        <w:rPr>
          <w:rFonts w:ascii="Times New Roman" w:hAnsi="Times New Roman"/>
          <w:iCs/>
          <w:lang w:val="fr-CA"/>
        </w:rPr>
        <w:t>évolution du climat</w:t>
      </w:r>
      <w:r>
        <w:rPr>
          <w:rFonts w:ascii="Times New Roman" w:hAnsi="Times New Roman"/>
          <w:iCs/>
          <w:lang w:val="fr-CA"/>
        </w:rPr>
        <w:t xml:space="preserve">, dans le cadre de l’élaboration </w:t>
      </w:r>
      <w:r w:rsidRPr="00052024">
        <w:rPr>
          <w:rFonts w:ascii="Times New Roman" w:hAnsi="Times New Roman"/>
          <w:iCs/>
          <w:lang w:val="fr-CA"/>
        </w:rPr>
        <w:t>et la mise en œuvre de son programme de travail,</w:t>
      </w:r>
      <w:r>
        <w:rPr>
          <w:rFonts w:ascii="Times New Roman" w:hAnsi="Times New Roman"/>
          <w:iCs/>
          <w:lang w:val="fr-CA"/>
        </w:rPr>
        <w:t xml:space="preserve"> et </w:t>
      </w:r>
      <w:r>
        <w:rPr>
          <w:rFonts w:ascii="Times New Roman" w:hAnsi="Times New Roman"/>
          <w:i/>
          <w:lang w:val="fr-CA"/>
        </w:rPr>
        <w:t>prend note également</w:t>
      </w:r>
      <w:r>
        <w:rPr>
          <w:rFonts w:ascii="Times New Roman" w:hAnsi="Times New Roman"/>
          <w:iCs/>
          <w:lang w:val="fr-CA"/>
        </w:rPr>
        <w:t xml:space="preserve"> du fait que la Convention retirera des avantages de la cohérence entre les scénarios et l</w:t>
      </w:r>
      <w:r w:rsidRPr="00052024">
        <w:rPr>
          <w:rFonts w:ascii="Times New Roman" w:hAnsi="Times New Roman"/>
          <w:iCs/>
          <w:lang w:val="fr-CA"/>
        </w:rPr>
        <w:t>es évaluations connexes préparés dans le contexte de la diversité biologique et des changements climatiques</w:t>
      </w:r>
      <w:r>
        <w:rPr>
          <w:rFonts w:ascii="Times New Roman" w:hAnsi="Times New Roman"/>
          <w:iCs/>
          <w:lang w:val="fr-CA"/>
        </w:rPr>
        <w:t>,</w:t>
      </w:r>
      <w:r w:rsidRPr="00052024">
        <w:rPr>
          <w:rFonts w:ascii="Times New Roman" w:hAnsi="Times New Roman"/>
          <w:iCs/>
          <w:lang w:val="fr-CA"/>
        </w:rPr>
        <w:t xml:space="preserve"> et </w:t>
      </w:r>
      <w:r>
        <w:rPr>
          <w:rFonts w:ascii="Times New Roman" w:hAnsi="Times New Roman"/>
          <w:iCs/>
          <w:lang w:val="fr-CA"/>
        </w:rPr>
        <w:t xml:space="preserve">de la </w:t>
      </w:r>
      <w:r w:rsidRPr="00052024">
        <w:rPr>
          <w:rFonts w:ascii="Times New Roman" w:hAnsi="Times New Roman"/>
          <w:iCs/>
          <w:lang w:val="fr-CA"/>
        </w:rPr>
        <w:t>collabor</w:t>
      </w:r>
      <w:r>
        <w:rPr>
          <w:rFonts w:ascii="Times New Roman" w:hAnsi="Times New Roman"/>
          <w:iCs/>
          <w:lang w:val="fr-CA"/>
        </w:rPr>
        <w:t>ation renforcée</w:t>
      </w:r>
      <w:r w:rsidRPr="00052024">
        <w:rPr>
          <w:rFonts w:ascii="Times New Roman" w:hAnsi="Times New Roman"/>
          <w:iCs/>
          <w:lang w:val="fr-CA"/>
        </w:rPr>
        <w:t xml:space="preserve"> entre les co</w:t>
      </w:r>
      <w:r>
        <w:rPr>
          <w:rFonts w:ascii="Times New Roman" w:hAnsi="Times New Roman"/>
          <w:iCs/>
          <w:lang w:val="fr-CA"/>
        </w:rPr>
        <w:t>mmunautés scientifiques en</w:t>
      </w:r>
      <w:r w:rsidRPr="00052024">
        <w:rPr>
          <w:rFonts w:ascii="Times New Roman" w:hAnsi="Times New Roman"/>
          <w:iCs/>
          <w:lang w:val="fr-CA"/>
        </w:rPr>
        <w:t xml:space="preserve"> lien avec ces organismes</w:t>
      </w:r>
      <w:r>
        <w:rPr>
          <w:rFonts w:ascii="Times New Roman" w:hAnsi="Times New Roman"/>
          <w:iCs/>
          <w:lang w:val="fr-CA"/>
        </w:rPr>
        <w:t>;</w:t>
      </w:r>
    </w:p>
    <w:p w:rsidR="009F6935" w:rsidRPr="000A66B8" w:rsidRDefault="009F6935" w:rsidP="009F6935">
      <w:pPr>
        <w:pStyle w:val="StylePara1HeadingsCSTimesNewRoman"/>
        <w:suppressLineNumbers/>
        <w:suppressAutoHyphens/>
        <w:kinsoku w:val="0"/>
        <w:overflowPunct w:val="0"/>
        <w:autoSpaceDE w:val="0"/>
        <w:autoSpaceDN w:val="0"/>
        <w:adjustRightInd w:val="0"/>
        <w:snapToGrid w:val="0"/>
        <w:ind w:left="720" w:firstLine="720"/>
        <w:rPr>
          <w:snapToGrid/>
          <w:kern w:val="22"/>
          <w:szCs w:val="22"/>
          <w:lang w:val="fr-CA"/>
        </w:rPr>
      </w:pPr>
      <w:r w:rsidRPr="000A66B8">
        <w:rPr>
          <w:snapToGrid/>
          <w:kern w:val="22"/>
          <w:szCs w:val="22"/>
          <w:lang w:val="fr-CA"/>
        </w:rPr>
        <w:lastRenderedPageBreak/>
        <w:t>6.</w:t>
      </w:r>
      <w:r w:rsidRPr="000A66B8">
        <w:rPr>
          <w:snapToGrid/>
          <w:kern w:val="22"/>
          <w:szCs w:val="22"/>
          <w:lang w:val="fr-CA"/>
        </w:rPr>
        <w:tab/>
      </w:r>
      <w:r w:rsidRPr="00291C71">
        <w:rPr>
          <w:i/>
          <w:iCs/>
          <w:kern w:val="22"/>
          <w:szCs w:val="22"/>
          <w:lang w:val="fr-CA"/>
        </w:rPr>
        <w:t xml:space="preserve">Reconnaît </w:t>
      </w:r>
      <w:r w:rsidRPr="00291C71">
        <w:rPr>
          <w:iCs/>
          <w:kern w:val="22"/>
          <w:szCs w:val="22"/>
          <w:lang w:val="fr-CA"/>
        </w:rPr>
        <w:t>les avantages</w:t>
      </w:r>
      <w:r>
        <w:rPr>
          <w:iCs/>
          <w:kern w:val="22"/>
          <w:szCs w:val="22"/>
          <w:lang w:val="fr-CA"/>
        </w:rPr>
        <w:t xml:space="preserve"> retirés par la Convention grâce à une</w:t>
      </w:r>
      <w:r w:rsidRPr="00291C71">
        <w:rPr>
          <w:iCs/>
          <w:kern w:val="22"/>
          <w:szCs w:val="22"/>
          <w:lang w:val="fr-CA"/>
        </w:rPr>
        <w:t xml:space="preserve"> coopération renforcée entre la</w:t>
      </w:r>
      <w:r w:rsidRPr="00291C71">
        <w:rPr>
          <w:rFonts w:ascii="Times New Roman" w:hAnsi="Times New Roman"/>
          <w:iCs/>
          <w:lang w:val="fr-CA"/>
        </w:rPr>
        <w:t xml:space="preserve"> Plateforme intergouvernementale scientifique et politique sur la biodiversité et les services écosystémiques</w:t>
      </w:r>
      <w:r w:rsidRPr="00291C71">
        <w:rPr>
          <w:kern w:val="22"/>
          <w:szCs w:val="22"/>
          <w:lang w:val="fr-CA"/>
        </w:rPr>
        <w:t xml:space="preserve"> et </w:t>
      </w:r>
      <w:r>
        <w:rPr>
          <w:kern w:val="22"/>
          <w:szCs w:val="22"/>
          <w:lang w:val="fr-CA"/>
        </w:rPr>
        <w:t xml:space="preserve">à </w:t>
      </w:r>
      <w:r w:rsidRPr="00291C71">
        <w:rPr>
          <w:kern w:val="22"/>
          <w:szCs w:val="22"/>
          <w:lang w:val="fr-CA"/>
        </w:rPr>
        <w:t>d</w:t>
      </w:r>
      <w:r>
        <w:rPr>
          <w:kern w:val="22"/>
          <w:szCs w:val="22"/>
          <w:lang w:val="fr-CA"/>
        </w:rPr>
        <w:t>’</w:t>
      </w:r>
      <w:r w:rsidRPr="00291C71">
        <w:rPr>
          <w:kern w:val="22"/>
          <w:szCs w:val="22"/>
          <w:lang w:val="fr-CA"/>
        </w:rPr>
        <w:t>autres</w:t>
      </w:r>
      <w:r>
        <w:rPr>
          <w:kern w:val="22"/>
          <w:szCs w:val="22"/>
          <w:lang w:val="fr-CA"/>
        </w:rPr>
        <w:t xml:space="preserve"> activité</w:t>
      </w:r>
      <w:r w:rsidRPr="00291C71">
        <w:rPr>
          <w:kern w:val="22"/>
          <w:szCs w:val="22"/>
          <w:lang w:val="fr-CA"/>
        </w:rPr>
        <w:t>s</w:t>
      </w:r>
      <w:r>
        <w:rPr>
          <w:kern w:val="22"/>
          <w:szCs w:val="22"/>
          <w:lang w:val="fr-CA"/>
        </w:rPr>
        <w:t xml:space="preserve"> d’évaluation pertinentes entreprises par les institutions de l’Organisation des Nations Unies et les accords multilatéraux sur l’environnement, et </w:t>
      </w:r>
      <w:r>
        <w:rPr>
          <w:i/>
          <w:kern w:val="22"/>
          <w:szCs w:val="22"/>
          <w:lang w:val="fr-CA"/>
        </w:rPr>
        <w:t>invite</w:t>
      </w:r>
      <w:r w:rsidRPr="00291C71">
        <w:rPr>
          <w:kern w:val="22"/>
          <w:szCs w:val="22"/>
          <w:lang w:val="fr-CA"/>
        </w:rPr>
        <w:t xml:space="preserve"> </w:t>
      </w:r>
      <w:r>
        <w:rPr>
          <w:kern w:val="22"/>
          <w:szCs w:val="22"/>
          <w:lang w:val="fr-CA"/>
        </w:rPr>
        <w:t xml:space="preserve">la </w:t>
      </w:r>
      <w:r w:rsidRPr="00291C71">
        <w:rPr>
          <w:rFonts w:ascii="Times New Roman" w:hAnsi="Times New Roman"/>
          <w:iCs/>
          <w:lang w:val="fr-CA"/>
        </w:rPr>
        <w:t>Plateforme intergouvernementale scientifique et politique sur la biodiversité et les services écosystémiques</w:t>
      </w:r>
      <w:r w:rsidRPr="00291C71">
        <w:rPr>
          <w:kern w:val="22"/>
          <w:szCs w:val="22"/>
          <w:lang w:val="fr-CA"/>
        </w:rPr>
        <w:t xml:space="preserve"> </w:t>
      </w:r>
      <w:r>
        <w:rPr>
          <w:kern w:val="22"/>
          <w:szCs w:val="22"/>
          <w:lang w:val="fr-CA"/>
        </w:rPr>
        <w:t>à poursuivre sa collaboration avec les organisations internationales concernées</w:t>
      </w:r>
      <w:r w:rsidRPr="00291C71">
        <w:rPr>
          <w:kern w:val="22"/>
          <w:szCs w:val="22"/>
          <w:lang w:val="fr-CA"/>
        </w:rPr>
        <w:t>,</w:t>
      </w:r>
      <w:r>
        <w:rPr>
          <w:kern w:val="22"/>
          <w:szCs w:val="22"/>
          <w:lang w:val="fr-CA"/>
        </w:rPr>
        <w:t xml:space="preserve"> notamment celles qui contribuent aux activité</w:t>
      </w:r>
      <w:r w:rsidRPr="00291C71">
        <w:rPr>
          <w:kern w:val="22"/>
          <w:szCs w:val="22"/>
          <w:lang w:val="fr-CA"/>
        </w:rPr>
        <w:t>s</w:t>
      </w:r>
      <w:r>
        <w:rPr>
          <w:kern w:val="22"/>
          <w:szCs w:val="22"/>
          <w:lang w:val="fr-CA"/>
        </w:rPr>
        <w:t xml:space="preserve"> en lien avec l’intégration de la diversité biologique dans les secteurs de production;</w:t>
      </w:r>
    </w:p>
    <w:p w:rsidR="009F6935" w:rsidRDefault="009F6935" w:rsidP="009F6935">
      <w:pPr>
        <w:pStyle w:val="StylePara1HeadingsCSTimesNewRoman"/>
        <w:ind w:left="709" w:firstLine="709"/>
        <w:rPr>
          <w:rFonts w:ascii="Times New Roman" w:hAnsi="Times New Roman"/>
          <w:iCs/>
          <w:lang w:val="fr-CA"/>
        </w:rPr>
      </w:pPr>
      <w:r>
        <w:rPr>
          <w:rFonts w:ascii="Times New Roman" w:hAnsi="Times New Roman"/>
          <w:iCs/>
          <w:lang w:val="fr-CA"/>
        </w:rPr>
        <w:t>7</w:t>
      </w:r>
      <w:r w:rsidRPr="00052024">
        <w:rPr>
          <w:rFonts w:ascii="Times New Roman" w:hAnsi="Times New Roman"/>
          <w:iCs/>
          <w:lang w:val="fr-CA"/>
        </w:rPr>
        <w:t>.</w:t>
      </w:r>
      <w:r w:rsidRPr="00052024">
        <w:rPr>
          <w:rFonts w:ascii="Times New Roman" w:hAnsi="Times New Roman"/>
          <w:i/>
          <w:iCs/>
          <w:lang w:val="fr-CA"/>
        </w:rPr>
        <w:tab/>
        <w:t xml:space="preserve">Invite </w:t>
      </w:r>
      <w:r w:rsidRPr="00052024">
        <w:rPr>
          <w:rFonts w:ascii="Times New Roman" w:hAnsi="Times New Roman"/>
          <w:iCs/>
          <w:lang w:val="fr-CA"/>
        </w:rPr>
        <w:t>la Plateforme intergouvernementale scientifique et politique sur la biodiversité et les services écosystémiqu</w:t>
      </w:r>
      <w:r>
        <w:rPr>
          <w:rFonts w:ascii="Times New Roman" w:hAnsi="Times New Roman"/>
          <w:iCs/>
          <w:lang w:val="fr-CA"/>
        </w:rPr>
        <w:t>es à examiner la demande contenue dans l’</w:t>
      </w:r>
      <w:r w:rsidRPr="00052024">
        <w:rPr>
          <w:rFonts w:ascii="Times New Roman" w:hAnsi="Times New Roman"/>
          <w:iCs/>
          <w:lang w:val="fr-CA"/>
        </w:rPr>
        <w:t>annexe à la présente décision</w:t>
      </w:r>
      <w:r>
        <w:rPr>
          <w:rFonts w:ascii="Times New Roman" w:hAnsi="Times New Roman"/>
          <w:iCs/>
          <w:lang w:val="fr-CA"/>
        </w:rPr>
        <w:t>, dans le contexte de son cadre stratégique et de son</w:t>
      </w:r>
      <w:r w:rsidRPr="00052024">
        <w:rPr>
          <w:rFonts w:ascii="Times New Roman" w:hAnsi="Times New Roman"/>
          <w:iCs/>
          <w:lang w:val="fr-CA"/>
        </w:rPr>
        <w:t xml:space="preserve"> programme de travail à l</w:t>
      </w:r>
      <w:r>
        <w:rPr>
          <w:rFonts w:ascii="Times New Roman" w:hAnsi="Times New Roman"/>
          <w:iCs/>
          <w:lang w:val="fr-CA"/>
        </w:rPr>
        <w:t>’</w:t>
      </w:r>
      <w:r w:rsidRPr="00052024">
        <w:rPr>
          <w:rFonts w:ascii="Times New Roman" w:hAnsi="Times New Roman"/>
          <w:iCs/>
          <w:lang w:val="fr-CA"/>
        </w:rPr>
        <w:t>horizon 2030</w:t>
      </w:r>
      <w:r>
        <w:rPr>
          <w:rFonts w:ascii="Times New Roman" w:hAnsi="Times New Roman"/>
          <w:iCs/>
          <w:lang w:val="fr-CA"/>
        </w:rPr>
        <w:t>;</w:t>
      </w:r>
    </w:p>
    <w:p w:rsidR="009F6935" w:rsidRPr="00A521B3" w:rsidRDefault="009F6935" w:rsidP="009F6935">
      <w:pPr>
        <w:pStyle w:val="StylePara1HeadingsCSTimesNewRoman"/>
        <w:ind w:left="709" w:firstLine="709"/>
        <w:rPr>
          <w:rFonts w:ascii="Times New Roman" w:hAnsi="Times New Roman"/>
          <w:iCs/>
          <w:lang w:val="fr-CA"/>
        </w:rPr>
      </w:pPr>
      <w:r w:rsidRPr="00A521B3">
        <w:rPr>
          <w:rFonts w:ascii="Times New Roman" w:hAnsi="Times New Roman"/>
          <w:iCs/>
          <w:lang w:val="fr-CA"/>
        </w:rPr>
        <w:t>8.</w:t>
      </w:r>
      <w:r w:rsidRPr="00A521B3">
        <w:rPr>
          <w:rFonts w:ascii="Times New Roman" w:hAnsi="Times New Roman"/>
          <w:iCs/>
          <w:lang w:val="fr-CA"/>
        </w:rPr>
        <w:tab/>
      </w:r>
      <w:r>
        <w:rPr>
          <w:i/>
          <w:iCs/>
          <w:kern w:val="22"/>
          <w:szCs w:val="22"/>
          <w:lang w:val="fr-CA"/>
        </w:rPr>
        <w:t>Invite aussi</w:t>
      </w:r>
      <w:r w:rsidRPr="00A521B3">
        <w:rPr>
          <w:i/>
          <w:iCs/>
          <w:kern w:val="22"/>
          <w:szCs w:val="22"/>
          <w:lang w:val="fr-CA"/>
        </w:rPr>
        <w:t xml:space="preserve"> </w:t>
      </w:r>
      <w:r w:rsidRPr="00A521B3">
        <w:rPr>
          <w:rFonts w:ascii="Times New Roman" w:hAnsi="Times New Roman"/>
          <w:iCs/>
          <w:lang w:val="fr-CA"/>
        </w:rPr>
        <w:t>la Plateforme intergouvernementale scientifique et politique sur la biodiversité et les services écosystémiques</w:t>
      </w:r>
      <w:r>
        <w:rPr>
          <w:iCs/>
          <w:kern w:val="22"/>
          <w:szCs w:val="22"/>
          <w:lang w:val="fr-CA"/>
        </w:rPr>
        <w:t xml:space="preserve"> à permettre l’apport de contributions supplémentaires à son programme de travail à l’horizon 2030, à la lumière de l’élaboration du </w:t>
      </w:r>
      <w:r>
        <w:rPr>
          <w:rFonts w:ascii="Times New Roman" w:hAnsi="Times New Roman"/>
          <w:lang w:val="fr-CA"/>
        </w:rPr>
        <w:t>cadre mondial de la biodiversité pour l’après-2020</w:t>
      </w:r>
      <w:r w:rsidRPr="00A521B3">
        <w:rPr>
          <w:iCs/>
          <w:kern w:val="22"/>
          <w:szCs w:val="22"/>
          <w:lang w:val="fr-CA"/>
        </w:rPr>
        <w:t>;</w:t>
      </w:r>
    </w:p>
    <w:p w:rsidR="009F6935" w:rsidRPr="00F2341B" w:rsidRDefault="009F6935" w:rsidP="009F6935">
      <w:pPr>
        <w:pStyle w:val="StylePara1HeadingsCSTimesNewRoman"/>
        <w:ind w:left="709" w:firstLine="709"/>
        <w:rPr>
          <w:rFonts w:ascii="Times New Roman" w:hAnsi="Times New Roman"/>
          <w:iCs/>
          <w:lang w:val="fr-FR"/>
        </w:rPr>
      </w:pPr>
      <w:r w:rsidRPr="00615CDA">
        <w:rPr>
          <w:iCs/>
          <w:kern w:val="22"/>
          <w:szCs w:val="22"/>
          <w:lang w:val="fr-FR"/>
        </w:rPr>
        <w:t>9</w:t>
      </w:r>
      <w:r w:rsidRPr="00615CDA">
        <w:rPr>
          <w:i/>
          <w:iCs/>
          <w:kern w:val="22"/>
          <w:szCs w:val="22"/>
          <w:lang w:val="fr-FR"/>
        </w:rPr>
        <w:t xml:space="preserve">. </w:t>
      </w:r>
      <w:r w:rsidRPr="00615CDA">
        <w:rPr>
          <w:i/>
          <w:iCs/>
          <w:kern w:val="22"/>
          <w:szCs w:val="22"/>
          <w:lang w:val="fr-FR"/>
        </w:rPr>
        <w:tab/>
      </w:r>
      <w:r w:rsidRPr="00F2341B">
        <w:rPr>
          <w:i/>
          <w:iCs/>
          <w:kern w:val="22"/>
          <w:szCs w:val="22"/>
          <w:lang w:val="fr-FR"/>
        </w:rPr>
        <w:t xml:space="preserve">Prie </w:t>
      </w:r>
      <w:r w:rsidRPr="00F2341B">
        <w:rPr>
          <w:iCs/>
          <w:kern w:val="22"/>
          <w:szCs w:val="22"/>
          <w:lang w:val="fr-FR"/>
        </w:rPr>
        <w:t>l</w:t>
      </w:r>
      <w:r>
        <w:rPr>
          <w:iCs/>
          <w:kern w:val="22"/>
          <w:szCs w:val="22"/>
          <w:lang w:val="fr-FR"/>
        </w:rPr>
        <w:t>’</w:t>
      </w:r>
      <w:r w:rsidRPr="00F2341B">
        <w:rPr>
          <w:iCs/>
          <w:kern w:val="22"/>
          <w:szCs w:val="22"/>
          <w:lang w:val="fr-FR"/>
        </w:rPr>
        <w:t>Organe subsidiaire chargé de fournir des avis scientifiques, techniques et technologiques d</w:t>
      </w:r>
      <w:r>
        <w:rPr>
          <w:iCs/>
          <w:kern w:val="22"/>
          <w:szCs w:val="22"/>
          <w:lang w:val="fr-FR"/>
        </w:rPr>
        <w:t>’élaborer, aux fins d’</w:t>
      </w:r>
      <w:r w:rsidRPr="00F2341B">
        <w:rPr>
          <w:iCs/>
          <w:kern w:val="22"/>
          <w:szCs w:val="22"/>
          <w:lang w:val="fr-FR"/>
        </w:rPr>
        <w:t xml:space="preserve">examen par la Conférence des Parties à sa quinzième réunion, des propositions concernant </w:t>
      </w:r>
      <w:r>
        <w:rPr>
          <w:iCs/>
          <w:kern w:val="22"/>
          <w:szCs w:val="22"/>
          <w:lang w:val="fr-FR"/>
        </w:rPr>
        <w:t>une autre demande faite au</w:t>
      </w:r>
      <w:r w:rsidRPr="00F2341B">
        <w:rPr>
          <w:iCs/>
          <w:kern w:val="22"/>
          <w:szCs w:val="22"/>
          <w:lang w:val="fr-FR"/>
        </w:rPr>
        <w:t xml:space="preserve"> programme de travail à l</w:t>
      </w:r>
      <w:r>
        <w:rPr>
          <w:iCs/>
          <w:kern w:val="22"/>
          <w:szCs w:val="22"/>
          <w:lang w:val="fr-FR"/>
        </w:rPr>
        <w:t>’</w:t>
      </w:r>
      <w:r w:rsidRPr="00F2341B">
        <w:rPr>
          <w:iCs/>
          <w:kern w:val="22"/>
          <w:szCs w:val="22"/>
          <w:lang w:val="fr-FR"/>
        </w:rPr>
        <w:t xml:space="preserve">horizon </w:t>
      </w:r>
      <w:r>
        <w:rPr>
          <w:iCs/>
          <w:kern w:val="22"/>
          <w:szCs w:val="22"/>
          <w:lang w:val="fr-FR"/>
        </w:rPr>
        <w:t xml:space="preserve">2030 de </w:t>
      </w:r>
      <w:r w:rsidRPr="00F2341B">
        <w:rPr>
          <w:rFonts w:ascii="Times New Roman" w:hAnsi="Times New Roman"/>
          <w:iCs/>
          <w:lang w:val="fr-FR"/>
        </w:rPr>
        <w:t>la Plateforme intergouvernementale scientifique et politique sur la biodiversité et les services écosystémiqu</w:t>
      </w:r>
      <w:r>
        <w:rPr>
          <w:rFonts w:ascii="Times New Roman" w:hAnsi="Times New Roman"/>
          <w:iCs/>
          <w:lang w:val="fr-FR"/>
        </w:rPr>
        <w:t xml:space="preserve">es, en vue de faciliter la mise en œuvre du </w:t>
      </w:r>
      <w:r>
        <w:rPr>
          <w:rFonts w:ascii="Times New Roman" w:hAnsi="Times New Roman"/>
          <w:lang w:val="fr-FR"/>
        </w:rPr>
        <w:t>cadre mondial de la biodiversité pour l’après-2020</w:t>
      </w:r>
      <w:r w:rsidRPr="00F2341B">
        <w:rPr>
          <w:iCs/>
          <w:kern w:val="22"/>
          <w:szCs w:val="22"/>
          <w:lang w:val="fr-FR"/>
        </w:rPr>
        <w:t>;</w:t>
      </w:r>
    </w:p>
    <w:p w:rsidR="009F6935" w:rsidRPr="000A66B8" w:rsidRDefault="009F6935" w:rsidP="009F6935">
      <w:pPr>
        <w:pStyle w:val="StylePara1HeadingsCSTimesNewRoman"/>
        <w:suppressLineNumbers/>
        <w:suppressAutoHyphens/>
        <w:kinsoku w:val="0"/>
        <w:overflowPunct w:val="0"/>
        <w:autoSpaceDE w:val="0"/>
        <w:autoSpaceDN w:val="0"/>
        <w:adjustRightInd w:val="0"/>
        <w:snapToGrid w:val="0"/>
        <w:ind w:left="720" w:firstLine="720"/>
        <w:rPr>
          <w:snapToGrid/>
          <w:kern w:val="22"/>
          <w:lang w:val="fr-CA"/>
        </w:rPr>
      </w:pPr>
      <w:r w:rsidRPr="00F2341B">
        <w:rPr>
          <w:kern w:val="22"/>
          <w:szCs w:val="22"/>
          <w:lang w:val="fr-FR"/>
        </w:rPr>
        <w:t>10.</w:t>
      </w:r>
      <w:r w:rsidRPr="00F2341B">
        <w:rPr>
          <w:kern w:val="22"/>
          <w:szCs w:val="22"/>
          <w:lang w:val="fr-FR"/>
        </w:rPr>
        <w:tab/>
      </w:r>
      <w:r w:rsidRPr="00F2341B">
        <w:rPr>
          <w:i/>
          <w:iCs/>
          <w:kern w:val="22"/>
          <w:szCs w:val="22"/>
          <w:lang w:val="fr-FR"/>
        </w:rPr>
        <w:t>Prie</w:t>
      </w:r>
      <w:r w:rsidRPr="00F2341B">
        <w:rPr>
          <w:kern w:val="22"/>
          <w:szCs w:val="22"/>
          <w:lang w:val="fr-FR"/>
        </w:rPr>
        <w:t xml:space="preserve"> la Secrétaire exécutive, en application de la décision XII/25, d</w:t>
      </w:r>
      <w:r>
        <w:rPr>
          <w:kern w:val="22"/>
          <w:szCs w:val="22"/>
          <w:lang w:val="fr-FR"/>
        </w:rPr>
        <w:t>’élaborer des modalités pour u</w:t>
      </w:r>
      <w:r w:rsidRPr="00F2341B">
        <w:rPr>
          <w:kern w:val="22"/>
          <w:szCs w:val="22"/>
          <w:lang w:val="fr-FR"/>
        </w:rPr>
        <w:t>n examen systématique de</w:t>
      </w:r>
      <w:r>
        <w:rPr>
          <w:kern w:val="22"/>
          <w:szCs w:val="22"/>
          <w:lang w:val="fr-FR"/>
        </w:rPr>
        <w:t xml:space="preserve"> tous les produits de </w:t>
      </w:r>
      <w:r w:rsidRPr="00F2341B">
        <w:rPr>
          <w:rFonts w:ascii="Times New Roman" w:hAnsi="Times New Roman"/>
          <w:iCs/>
          <w:lang w:val="fr-FR"/>
        </w:rPr>
        <w:t>la Plateforme intergouvernementale scientifique et politique sur la biodiversité et les services écosystémiqu</w:t>
      </w:r>
      <w:r>
        <w:rPr>
          <w:rFonts w:ascii="Times New Roman" w:hAnsi="Times New Roman"/>
          <w:iCs/>
          <w:lang w:val="fr-FR"/>
        </w:rPr>
        <w:t>es</w:t>
      </w:r>
      <w:r w:rsidRPr="00F2341B">
        <w:rPr>
          <w:kern w:val="22"/>
          <w:szCs w:val="22"/>
          <w:lang w:val="fr-FR"/>
        </w:rPr>
        <w:t xml:space="preserve">, </w:t>
      </w:r>
      <w:r>
        <w:rPr>
          <w:kern w:val="22"/>
          <w:szCs w:val="22"/>
          <w:lang w:val="fr-FR"/>
        </w:rPr>
        <w:t xml:space="preserve">en vue d’optimiser leur utilisation pour faciliter l’application de la </w:t>
      </w:r>
      <w:r w:rsidRPr="00F2341B">
        <w:rPr>
          <w:kern w:val="22"/>
          <w:szCs w:val="22"/>
          <w:lang w:val="fr-FR"/>
        </w:rPr>
        <w:t xml:space="preserve">Convention, </w:t>
      </w:r>
      <w:r>
        <w:rPr>
          <w:kern w:val="22"/>
          <w:szCs w:val="22"/>
          <w:lang w:val="fr-FR"/>
        </w:rPr>
        <w:t>et de faire rapport à l’</w:t>
      </w:r>
      <w:r w:rsidRPr="00F2341B">
        <w:rPr>
          <w:kern w:val="22"/>
          <w:szCs w:val="22"/>
          <w:lang w:val="fr-FR"/>
        </w:rPr>
        <w:t xml:space="preserve">Organe subsidiaire chargé de fournir des avis scientifiques, techniques et technologiques </w:t>
      </w:r>
      <w:r>
        <w:rPr>
          <w:kern w:val="22"/>
          <w:szCs w:val="22"/>
          <w:lang w:val="fr-FR"/>
        </w:rPr>
        <w:t xml:space="preserve">à une réunion qui se tiendra avant la quinzième réunion de la Conférence des </w:t>
      </w:r>
      <w:r w:rsidRPr="00F2341B">
        <w:rPr>
          <w:kern w:val="22"/>
          <w:szCs w:val="22"/>
          <w:lang w:val="fr-FR"/>
        </w:rPr>
        <w:t>Parties</w:t>
      </w:r>
      <w:r w:rsidRPr="000A66B8">
        <w:rPr>
          <w:snapToGrid/>
          <w:kern w:val="22"/>
          <w:szCs w:val="22"/>
          <w:lang w:val="fr-CA"/>
        </w:rPr>
        <w:t>.</w:t>
      </w:r>
    </w:p>
    <w:p w:rsidR="009F6935" w:rsidRPr="000A66B8" w:rsidRDefault="009F6935" w:rsidP="009F6935">
      <w:pPr>
        <w:pStyle w:val="StylePara1HeadingsCSTimesNewRoman"/>
        <w:keepNext/>
        <w:suppressLineNumbers/>
        <w:suppressAutoHyphens/>
        <w:kinsoku w:val="0"/>
        <w:overflowPunct w:val="0"/>
        <w:autoSpaceDE w:val="0"/>
        <w:autoSpaceDN w:val="0"/>
        <w:adjustRightInd w:val="0"/>
        <w:snapToGrid w:val="0"/>
        <w:spacing w:before="240"/>
        <w:ind w:left="720"/>
        <w:jc w:val="center"/>
        <w:rPr>
          <w:i/>
          <w:iCs/>
          <w:snapToGrid/>
          <w:kern w:val="22"/>
          <w:lang w:val="fr-CA"/>
        </w:rPr>
      </w:pPr>
      <w:r w:rsidRPr="000A66B8">
        <w:rPr>
          <w:i/>
          <w:iCs/>
          <w:snapToGrid/>
          <w:kern w:val="22"/>
          <w:lang w:val="fr-CA"/>
        </w:rPr>
        <w:t>Annex</w:t>
      </w:r>
      <w:r>
        <w:rPr>
          <w:i/>
          <w:iCs/>
          <w:snapToGrid/>
          <w:kern w:val="22"/>
          <w:lang w:val="fr-CA"/>
        </w:rPr>
        <w:t>e</w:t>
      </w:r>
    </w:p>
    <w:p w:rsidR="009F6935" w:rsidRPr="000A66B8" w:rsidRDefault="009F6935" w:rsidP="009F6935">
      <w:pPr>
        <w:pStyle w:val="Para1"/>
        <w:keepNext/>
        <w:numPr>
          <w:ilvl w:val="0"/>
          <w:numId w:val="0"/>
        </w:numPr>
        <w:suppressLineNumbers/>
        <w:suppressAutoHyphens/>
        <w:kinsoku w:val="0"/>
        <w:overflowPunct w:val="0"/>
        <w:autoSpaceDE w:val="0"/>
        <w:autoSpaceDN w:val="0"/>
        <w:adjustRightInd w:val="0"/>
        <w:snapToGrid w:val="0"/>
        <w:spacing w:after="240"/>
        <w:ind w:left="720"/>
        <w:jc w:val="center"/>
        <w:rPr>
          <w:b/>
          <w:iCs/>
          <w:snapToGrid/>
          <w:kern w:val="22"/>
          <w:lang w:val="fr-CA"/>
        </w:rPr>
      </w:pPr>
      <w:r>
        <w:rPr>
          <w:b/>
          <w:iCs/>
          <w:lang w:val="fr-FR"/>
        </w:rPr>
        <w:t>DEMANDE À</w:t>
      </w:r>
      <w:r w:rsidRPr="00AE0A33">
        <w:rPr>
          <w:b/>
          <w:iCs/>
          <w:lang w:val="fr-FR"/>
        </w:rPr>
        <w:t xml:space="preserve"> EXA</w:t>
      </w:r>
      <w:r>
        <w:rPr>
          <w:b/>
          <w:iCs/>
          <w:lang w:val="fr-FR"/>
        </w:rPr>
        <w:t>MI</w:t>
      </w:r>
      <w:r w:rsidRPr="00AE0A33">
        <w:rPr>
          <w:b/>
          <w:iCs/>
          <w:lang w:val="fr-FR"/>
        </w:rPr>
        <w:t>N</w:t>
      </w:r>
      <w:r>
        <w:rPr>
          <w:b/>
          <w:iCs/>
          <w:lang w:val="fr-FR"/>
        </w:rPr>
        <w:t>ER</w:t>
      </w:r>
      <w:r w:rsidRPr="00AE0A33">
        <w:rPr>
          <w:b/>
          <w:iCs/>
          <w:lang w:val="fr-FR"/>
        </w:rPr>
        <w:t xml:space="preserve"> PAR LA PLATEFORME INTERGOUVERNEMENTALE SCIENTIFIQUE ET POLITIQUE SUR LA BIODIVERSITÉ E</w:t>
      </w:r>
      <w:r w:rsidRPr="00052024">
        <w:rPr>
          <w:b/>
          <w:iCs/>
          <w:lang w:val="fr-CA"/>
        </w:rPr>
        <w:t xml:space="preserve">T LES SERVICES ÉCOSYSTÉMIQUES DANS LE CONTEXTE DE SON CADRE STRATÉGIQUE ET </w:t>
      </w:r>
      <w:r>
        <w:rPr>
          <w:b/>
          <w:iCs/>
          <w:lang w:val="fr-CA"/>
        </w:rPr>
        <w:t xml:space="preserve">SON </w:t>
      </w:r>
      <w:r w:rsidRPr="00052024">
        <w:rPr>
          <w:b/>
          <w:iCs/>
          <w:lang w:val="fr-CA"/>
        </w:rPr>
        <w:t>P</w:t>
      </w:r>
      <w:r>
        <w:rPr>
          <w:b/>
          <w:iCs/>
          <w:lang w:val="fr-CA"/>
        </w:rPr>
        <w:t>ROGRAMME DE TRAVAIL À L’HORIZON </w:t>
      </w:r>
      <w:r w:rsidRPr="00052024">
        <w:rPr>
          <w:b/>
          <w:iCs/>
          <w:lang w:val="fr-CA"/>
        </w:rPr>
        <w:t>2030</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rPr>
          <w:iCs/>
          <w:noProof/>
          <w:snapToGrid/>
          <w:kern w:val="22"/>
          <w:lang w:val="fr-CA"/>
        </w:rPr>
      </w:pPr>
      <w:r w:rsidRPr="000A66B8">
        <w:rPr>
          <w:iCs/>
          <w:snapToGrid/>
          <w:kern w:val="22"/>
          <w:lang w:val="fr-CA"/>
        </w:rPr>
        <w:t>1.</w:t>
      </w:r>
      <w:r w:rsidRPr="000A66B8">
        <w:rPr>
          <w:iCs/>
          <w:snapToGrid/>
          <w:kern w:val="22"/>
          <w:lang w:val="fr-CA"/>
        </w:rPr>
        <w:tab/>
      </w:r>
      <w:r w:rsidRPr="00C3743D">
        <w:rPr>
          <w:iCs/>
          <w:noProof/>
          <w:lang w:val="fr-CA"/>
        </w:rPr>
        <w:t>La Plateforme intergouvernementale scientifique et politique sur la biodiversité et les services écosystémiques</w:t>
      </w:r>
      <w:r w:rsidRPr="00C3743D">
        <w:rPr>
          <w:iCs/>
          <w:noProof/>
          <w:kern w:val="22"/>
          <w:lang w:val="fr-CA"/>
        </w:rPr>
        <w:t xml:space="preserve"> est invit</w:t>
      </w:r>
      <w:r>
        <w:rPr>
          <w:iCs/>
          <w:noProof/>
          <w:kern w:val="22"/>
          <w:lang w:val="fr-CA"/>
        </w:rPr>
        <w:t>ée à examiner les considé</w:t>
      </w:r>
      <w:r w:rsidRPr="00C3743D">
        <w:rPr>
          <w:iCs/>
          <w:noProof/>
          <w:kern w:val="22"/>
          <w:lang w:val="fr-CA"/>
        </w:rPr>
        <w:t>rations</w:t>
      </w:r>
      <w:r>
        <w:rPr>
          <w:iCs/>
          <w:noProof/>
          <w:kern w:val="22"/>
          <w:lang w:val="fr-CA"/>
        </w:rPr>
        <w:t xml:space="preserve"> ci</w:t>
      </w:r>
      <w:r>
        <w:rPr>
          <w:iCs/>
          <w:noProof/>
          <w:kern w:val="22"/>
          <w:lang w:val="fr-CA"/>
        </w:rPr>
        <w:noBreakHyphen/>
        <w:t xml:space="preserve">après dans l’élaboration de son cadre stratégique et de son programme de travail à l’horizon </w:t>
      </w:r>
      <w:r w:rsidRPr="00C3743D">
        <w:rPr>
          <w:iCs/>
          <w:noProof/>
          <w:kern w:val="22"/>
          <w:lang w:val="fr-CA"/>
        </w:rPr>
        <w:t>2030</w:t>
      </w:r>
      <w:r>
        <w:rPr>
          <w:iCs/>
          <w:noProof/>
          <w:kern w:val="22"/>
          <w:lang w:val="fr-CA"/>
        </w:rPr>
        <w:t> :</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iCs/>
          <w:snapToGrid/>
          <w:spacing w:val="-4"/>
          <w:kern w:val="22"/>
          <w:lang w:val="fr-CA"/>
        </w:rPr>
      </w:pPr>
      <w:r w:rsidRPr="000A66B8">
        <w:rPr>
          <w:iCs/>
          <w:noProof/>
          <w:snapToGrid/>
          <w:spacing w:val="-4"/>
          <w:kern w:val="22"/>
          <w:lang w:val="fr-CA"/>
        </w:rPr>
        <w:t>a)</w:t>
      </w:r>
      <w:r w:rsidRPr="000A66B8">
        <w:rPr>
          <w:iCs/>
          <w:noProof/>
          <w:snapToGrid/>
          <w:spacing w:val="-4"/>
          <w:kern w:val="22"/>
          <w:lang w:val="fr-CA"/>
        </w:rPr>
        <w:tab/>
      </w:r>
      <w:r w:rsidRPr="004C707C">
        <w:rPr>
          <w:iCs/>
          <w:noProof/>
          <w:spacing w:val="-4"/>
          <w:kern w:val="22"/>
          <w:lang w:val="fr-CA"/>
        </w:rPr>
        <w:t xml:space="preserve">Les principaux besoins </w:t>
      </w:r>
      <w:r w:rsidRPr="004C707C">
        <w:rPr>
          <w:noProof/>
          <w:spacing w:val="-4"/>
          <w:kern w:val="22"/>
          <w:lang w:val="fr-CA"/>
        </w:rPr>
        <w:t xml:space="preserve">scientifiques et techniques </w:t>
      </w:r>
      <w:r>
        <w:rPr>
          <w:noProof/>
          <w:spacing w:val="-4"/>
          <w:kern w:val="22"/>
          <w:lang w:val="fr-CA"/>
        </w:rPr>
        <w:t>identifié</w:t>
      </w:r>
      <w:r w:rsidRPr="004C707C">
        <w:rPr>
          <w:noProof/>
          <w:spacing w:val="-4"/>
          <w:kern w:val="22"/>
          <w:lang w:val="fr-CA"/>
        </w:rPr>
        <w:t xml:space="preserve">s pour la mise en </w:t>
      </w:r>
      <w:r>
        <w:rPr>
          <w:noProof/>
          <w:spacing w:val="-4"/>
          <w:kern w:val="22"/>
          <w:lang w:val="fr-CA"/>
        </w:rPr>
        <w:t>œuvre</w:t>
      </w:r>
      <w:r w:rsidRPr="004C707C">
        <w:rPr>
          <w:noProof/>
          <w:spacing w:val="-4"/>
          <w:kern w:val="22"/>
          <w:lang w:val="fr-CA"/>
        </w:rPr>
        <w:t xml:space="preserve"> du Plan stratégique pour la diversité biologique</w:t>
      </w:r>
      <w:r>
        <w:rPr>
          <w:noProof/>
          <w:spacing w:val="-4"/>
          <w:kern w:val="22"/>
          <w:lang w:val="fr-CA"/>
        </w:rPr>
        <w:t xml:space="preserve"> </w:t>
      </w:r>
      <w:r w:rsidRPr="004C707C">
        <w:rPr>
          <w:noProof/>
          <w:spacing w:val="-4"/>
          <w:kern w:val="22"/>
          <w:lang w:val="fr-CA"/>
        </w:rPr>
        <w:t>2011</w:t>
      </w:r>
      <w:r>
        <w:rPr>
          <w:noProof/>
          <w:spacing w:val="-4"/>
          <w:kern w:val="22"/>
          <w:lang w:val="fr-CA"/>
        </w:rPr>
        <w:noBreakHyphen/>
      </w:r>
      <w:r w:rsidRPr="004C707C">
        <w:rPr>
          <w:noProof/>
          <w:spacing w:val="-4"/>
          <w:kern w:val="22"/>
          <w:lang w:val="fr-CA"/>
        </w:rPr>
        <w:t xml:space="preserve">2020, approuvés dans la </w:t>
      </w:r>
      <w:r>
        <w:rPr>
          <w:noProof/>
          <w:spacing w:val="-4"/>
          <w:kern w:val="22"/>
          <w:lang w:val="fr-CA"/>
        </w:rPr>
        <w:t>dé</w:t>
      </w:r>
      <w:r w:rsidRPr="004C707C">
        <w:rPr>
          <w:noProof/>
          <w:spacing w:val="-4"/>
          <w:kern w:val="22"/>
          <w:lang w:val="fr-CA"/>
        </w:rPr>
        <w:t>cision XII/1, re</w:t>
      </w:r>
      <w:r>
        <w:rPr>
          <w:noProof/>
          <w:spacing w:val="-4"/>
          <w:kern w:val="22"/>
          <w:lang w:val="fr-CA"/>
        </w:rPr>
        <w:t>stent valides et devraient donc continuer à être pris en compte dans la conception et la réalisation des futures activités de la</w:t>
      </w:r>
      <w:r w:rsidRPr="004C707C">
        <w:rPr>
          <w:noProof/>
          <w:spacing w:val="-4"/>
          <w:kern w:val="22"/>
          <w:lang w:val="fr-CA"/>
        </w:rPr>
        <w:t xml:space="preserve"> Plat</w:t>
      </w:r>
      <w:r>
        <w:rPr>
          <w:noProof/>
          <w:spacing w:val="-4"/>
          <w:kern w:val="22"/>
          <w:lang w:val="fr-CA"/>
        </w:rPr>
        <w:t>e</w:t>
      </w:r>
      <w:r w:rsidRPr="004C707C">
        <w:rPr>
          <w:noProof/>
          <w:spacing w:val="-4"/>
          <w:kern w:val="22"/>
          <w:lang w:val="fr-CA"/>
        </w:rPr>
        <w:t>form</w:t>
      </w:r>
      <w:r>
        <w:rPr>
          <w:noProof/>
          <w:spacing w:val="-4"/>
          <w:kern w:val="22"/>
          <w:lang w:val="fr-CA"/>
        </w:rPr>
        <w:t>e</w:t>
      </w:r>
      <w:r>
        <w:rPr>
          <w:spacing w:val="-4"/>
          <w:kern w:val="22"/>
          <w:lang w:val="fr-CA"/>
        </w:rPr>
        <w:t xml:space="preserve"> pour l’ensemble de ses quatre fo</w:t>
      </w:r>
      <w:r w:rsidRPr="004C707C">
        <w:rPr>
          <w:spacing w:val="-4"/>
          <w:kern w:val="22"/>
          <w:lang w:val="fr-CA"/>
        </w:rPr>
        <w:t>nctions</w:t>
      </w:r>
      <w:r w:rsidRPr="000A66B8">
        <w:rPr>
          <w:snapToGrid/>
          <w:spacing w:val="-4"/>
          <w:kern w:val="22"/>
          <w:lang w:val="fr-CA"/>
        </w:rPr>
        <w:t>;</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lang w:val="fr-CA"/>
        </w:rPr>
      </w:pPr>
      <w:r w:rsidRPr="000A66B8">
        <w:rPr>
          <w:iCs/>
          <w:snapToGrid/>
          <w:kern w:val="22"/>
          <w:lang w:val="fr-CA"/>
        </w:rPr>
        <w:t>b)</w:t>
      </w:r>
      <w:r w:rsidRPr="000A66B8">
        <w:rPr>
          <w:iCs/>
          <w:snapToGrid/>
          <w:kern w:val="22"/>
          <w:lang w:val="fr-CA"/>
        </w:rPr>
        <w:tab/>
      </w:r>
      <w:r>
        <w:rPr>
          <w:lang w:val="fr-CA"/>
        </w:rPr>
        <w:t>Le champ d’application</w:t>
      </w:r>
      <w:r w:rsidRPr="00052024">
        <w:rPr>
          <w:lang w:val="fr-CA"/>
        </w:rPr>
        <w:t xml:space="preserve"> et le calendrier d</w:t>
      </w:r>
      <w:r>
        <w:rPr>
          <w:lang w:val="fr-CA"/>
        </w:rPr>
        <w:t>’</w:t>
      </w:r>
      <w:r w:rsidRPr="00052024">
        <w:rPr>
          <w:lang w:val="fr-CA"/>
        </w:rPr>
        <w:t xml:space="preserve">une future évaluation mondiale, y compris </w:t>
      </w:r>
      <w:r>
        <w:rPr>
          <w:lang w:val="fr-CA"/>
        </w:rPr>
        <w:t>l’examen</w:t>
      </w:r>
      <w:r w:rsidRPr="00052024">
        <w:rPr>
          <w:lang w:val="fr-CA"/>
        </w:rPr>
        <w:t xml:space="preserve"> d</w:t>
      </w:r>
      <w:r>
        <w:rPr>
          <w:lang w:val="fr-CA"/>
        </w:rPr>
        <w:t>’</w:t>
      </w:r>
      <w:r w:rsidRPr="00052024">
        <w:rPr>
          <w:lang w:val="fr-CA"/>
        </w:rPr>
        <w:t>un</w:t>
      </w:r>
      <w:r>
        <w:rPr>
          <w:lang w:val="fr-CA"/>
        </w:rPr>
        <w:t>e évaluation unique intégrant un volet régional et un vole</w:t>
      </w:r>
      <w:r w:rsidRPr="00052024">
        <w:rPr>
          <w:lang w:val="fr-CA"/>
        </w:rPr>
        <w:t xml:space="preserve">t mondial, </w:t>
      </w:r>
      <w:r>
        <w:rPr>
          <w:lang w:val="fr-CA"/>
        </w:rPr>
        <w:t>y compris les besoins en ressources pour le volet régional, devraie</w:t>
      </w:r>
      <w:r w:rsidRPr="00052024">
        <w:rPr>
          <w:lang w:val="fr-CA"/>
        </w:rPr>
        <w:t>nt être</w:t>
      </w:r>
      <w:r>
        <w:rPr>
          <w:lang w:val="fr-CA"/>
        </w:rPr>
        <w:t xml:space="preserve"> examinés attentivement pour </w:t>
      </w:r>
      <w:r w:rsidRPr="00052024">
        <w:rPr>
          <w:lang w:val="fr-CA"/>
        </w:rPr>
        <w:t>ré</w:t>
      </w:r>
      <w:r>
        <w:rPr>
          <w:lang w:val="fr-CA"/>
        </w:rPr>
        <w:t>pondre aux besoins d’évaluation découlant du cadre mondial de la biodiversité pour l’après-2020</w:t>
      </w:r>
      <w:r w:rsidRPr="00052024">
        <w:rPr>
          <w:lang w:val="fr-CA"/>
        </w:rPr>
        <w:t xml:space="preserve"> et du Programme de développement durable à l</w:t>
      </w:r>
      <w:r>
        <w:rPr>
          <w:lang w:val="fr-CA"/>
        </w:rPr>
        <w:t>’</w:t>
      </w:r>
      <w:r w:rsidRPr="00052024">
        <w:rPr>
          <w:lang w:val="fr-CA"/>
        </w:rPr>
        <w:t>horizon 2030</w:t>
      </w:r>
      <w:r>
        <w:rPr>
          <w:lang w:val="fr-CA"/>
        </w:rPr>
        <w:t>, en ce qui concerne</w:t>
      </w:r>
      <w:r w:rsidRPr="00052024">
        <w:rPr>
          <w:lang w:val="fr-CA"/>
        </w:rPr>
        <w:t xml:space="preserve"> la diversité biologique et </w:t>
      </w:r>
      <w:r>
        <w:rPr>
          <w:lang w:val="fr-CA"/>
        </w:rPr>
        <w:t>les</w:t>
      </w:r>
      <w:r w:rsidRPr="00052024">
        <w:rPr>
          <w:lang w:val="fr-CA"/>
        </w:rPr>
        <w:t xml:space="preserve"> services écosystémiques</w:t>
      </w:r>
      <w:r>
        <w:rPr>
          <w:lang w:val="fr-CA"/>
        </w:rPr>
        <w:t xml:space="preserve">. </w:t>
      </w:r>
      <w:r w:rsidRPr="004C707C">
        <w:rPr>
          <w:lang w:val="fr-FR"/>
        </w:rPr>
        <w:t>Le</w:t>
      </w:r>
      <w:r>
        <w:rPr>
          <w:lang w:val="fr-FR"/>
        </w:rPr>
        <w:t>s</w:t>
      </w:r>
      <w:r w:rsidRPr="004C707C">
        <w:rPr>
          <w:lang w:val="fr-FR"/>
        </w:rPr>
        <w:t xml:space="preserve"> chevauchement</w:t>
      </w:r>
      <w:r>
        <w:rPr>
          <w:lang w:val="fr-FR"/>
        </w:rPr>
        <w:t>s</w:t>
      </w:r>
      <w:r w:rsidRPr="004C707C">
        <w:rPr>
          <w:lang w:val="fr-FR"/>
        </w:rPr>
        <w:t xml:space="preserve"> avec d</w:t>
      </w:r>
      <w:r>
        <w:rPr>
          <w:lang w:val="fr-FR"/>
        </w:rPr>
        <w:t>’</w:t>
      </w:r>
      <w:r w:rsidRPr="004C707C">
        <w:rPr>
          <w:lang w:val="fr-FR"/>
        </w:rPr>
        <w:t>autres activités, analyses et évaluations, y compris les</w:t>
      </w:r>
      <w:r>
        <w:rPr>
          <w:lang w:val="fr-FR"/>
        </w:rPr>
        <w:t xml:space="preserve"> </w:t>
      </w:r>
      <w:r w:rsidRPr="004C707C">
        <w:rPr>
          <w:lang w:val="fr-FR"/>
        </w:rPr>
        <w:t xml:space="preserve">futures éditions </w:t>
      </w:r>
      <w:r>
        <w:rPr>
          <w:lang w:val="fr-FR"/>
        </w:rPr>
        <w:t xml:space="preserve">éventuelles </w:t>
      </w:r>
      <w:r w:rsidRPr="004C707C">
        <w:rPr>
          <w:lang w:val="fr-FR"/>
        </w:rPr>
        <w:t xml:space="preserve">des </w:t>
      </w:r>
      <w:r w:rsidRPr="004C707C">
        <w:rPr>
          <w:i/>
          <w:lang w:val="fr-FR"/>
        </w:rPr>
        <w:t>Perspectives mondiales de la diversité biologique</w:t>
      </w:r>
      <w:r w:rsidRPr="004C707C">
        <w:rPr>
          <w:lang w:val="fr-FR"/>
        </w:rPr>
        <w:t>, devraient être minimisé</w:t>
      </w:r>
      <w:r>
        <w:rPr>
          <w:lang w:val="fr-FR"/>
        </w:rPr>
        <w:t>s et les synergies optimis</w:t>
      </w:r>
      <w:r w:rsidRPr="004C707C">
        <w:rPr>
          <w:lang w:val="fr-FR"/>
        </w:rPr>
        <w:t>ées</w:t>
      </w:r>
      <w:r w:rsidRPr="000A66B8">
        <w:rPr>
          <w:snapToGrid/>
          <w:kern w:val="22"/>
          <w:szCs w:val="22"/>
          <w:lang w:val="fr-CA"/>
        </w:rPr>
        <w:t>;</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lang w:val="fr-CA"/>
        </w:rPr>
      </w:pPr>
      <w:r w:rsidRPr="000A66B8">
        <w:rPr>
          <w:iCs/>
          <w:snapToGrid/>
          <w:kern w:val="22"/>
          <w:lang w:val="fr-CA"/>
        </w:rPr>
        <w:lastRenderedPageBreak/>
        <w:t>c)</w:t>
      </w:r>
      <w:r w:rsidRPr="000A66B8">
        <w:rPr>
          <w:iCs/>
          <w:snapToGrid/>
          <w:kern w:val="22"/>
          <w:lang w:val="fr-CA"/>
        </w:rPr>
        <w:tab/>
      </w:r>
      <w:r w:rsidRPr="00052024">
        <w:rPr>
          <w:lang w:val="fr-CA"/>
        </w:rPr>
        <w:t>Il exis</w:t>
      </w:r>
      <w:r>
        <w:rPr>
          <w:lang w:val="fr-CA"/>
        </w:rPr>
        <w:t>te un besoin important de renforc</w:t>
      </w:r>
      <w:r w:rsidRPr="00052024">
        <w:rPr>
          <w:lang w:val="fr-CA"/>
        </w:rPr>
        <w:t xml:space="preserve">er la coopération </w:t>
      </w:r>
      <w:r>
        <w:rPr>
          <w:lang w:val="fr-CA"/>
        </w:rPr>
        <w:t>avec</w:t>
      </w:r>
      <w:r w:rsidRPr="00052024">
        <w:rPr>
          <w:lang w:val="fr-CA"/>
        </w:rPr>
        <w:t xml:space="preserve"> le Groupe d</w:t>
      </w:r>
      <w:r>
        <w:rPr>
          <w:lang w:val="fr-CA"/>
        </w:rPr>
        <w:t>’</w:t>
      </w:r>
      <w:r w:rsidRPr="00052024">
        <w:rPr>
          <w:lang w:val="fr-CA"/>
        </w:rPr>
        <w:t>experts intergouvernemental sur l</w:t>
      </w:r>
      <w:r>
        <w:rPr>
          <w:lang w:val="fr-CA"/>
        </w:rPr>
        <w:t>’</w:t>
      </w:r>
      <w:r w:rsidRPr="00052024">
        <w:rPr>
          <w:lang w:val="fr-CA"/>
        </w:rPr>
        <w:t>évolu</w:t>
      </w:r>
      <w:r>
        <w:rPr>
          <w:lang w:val="fr-CA"/>
        </w:rPr>
        <w:t>tion du climat, afin d’améliore</w:t>
      </w:r>
      <w:r w:rsidRPr="00052024">
        <w:rPr>
          <w:lang w:val="fr-CA"/>
        </w:rPr>
        <w:t>r la cohérence entre les scénarios e</w:t>
      </w:r>
      <w:r>
        <w:rPr>
          <w:lang w:val="fr-CA"/>
        </w:rPr>
        <w:t>t les évaluations connexes prépar</w:t>
      </w:r>
      <w:r w:rsidRPr="00052024">
        <w:rPr>
          <w:lang w:val="fr-CA"/>
        </w:rPr>
        <w:t>és dans le contexte de la diversité biologique et des changements climatiques</w:t>
      </w:r>
      <w:r>
        <w:rPr>
          <w:lang w:val="fr-CA"/>
        </w:rPr>
        <w:t>,</w:t>
      </w:r>
      <w:r w:rsidRPr="00052024">
        <w:rPr>
          <w:lang w:val="fr-CA"/>
        </w:rPr>
        <w:t xml:space="preserve"> </w:t>
      </w:r>
      <w:r>
        <w:rPr>
          <w:lang w:val="fr-CA"/>
        </w:rPr>
        <w:t xml:space="preserve">y compris la possibilité d’entreprendre des activités d’évaluation conjointes, </w:t>
      </w:r>
      <w:r w:rsidRPr="00052024">
        <w:rPr>
          <w:lang w:val="fr-CA"/>
        </w:rPr>
        <w:t xml:space="preserve">et de favoriser </w:t>
      </w:r>
      <w:r>
        <w:rPr>
          <w:lang w:val="fr-CA"/>
        </w:rPr>
        <w:t xml:space="preserve">davantage le renforcement de la </w:t>
      </w:r>
      <w:r w:rsidRPr="00052024">
        <w:rPr>
          <w:lang w:val="fr-CA"/>
        </w:rPr>
        <w:t>col</w:t>
      </w:r>
      <w:r>
        <w:rPr>
          <w:lang w:val="fr-CA"/>
        </w:rPr>
        <w:t>laboration</w:t>
      </w:r>
      <w:r w:rsidRPr="00052024">
        <w:rPr>
          <w:lang w:val="fr-CA"/>
        </w:rPr>
        <w:t xml:space="preserve"> entre </w:t>
      </w:r>
      <w:r>
        <w:rPr>
          <w:lang w:val="fr-CA"/>
        </w:rPr>
        <w:t>les communautés scientifiques en lien avec</w:t>
      </w:r>
      <w:r w:rsidRPr="00052024">
        <w:rPr>
          <w:lang w:val="fr-CA"/>
        </w:rPr>
        <w:t xml:space="preserve"> ces organismes</w:t>
      </w:r>
      <w:r w:rsidRPr="000A66B8">
        <w:rPr>
          <w:snapToGrid/>
          <w:kern w:val="22"/>
          <w:lang w:val="fr-CA"/>
        </w:rPr>
        <w:t>;</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iCs/>
          <w:snapToGrid/>
          <w:kern w:val="22"/>
          <w:lang w:val="fr-CA"/>
        </w:rPr>
      </w:pPr>
      <w:r w:rsidRPr="000A66B8">
        <w:rPr>
          <w:iCs/>
          <w:snapToGrid/>
          <w:kern w:val="22"/>
          <w:lang w:val="fr-CA"/>
        </w:rPr>
        <w:t>d)</w:t>
      </w:r>
      <w:r w:rsidRPr="000A66B8">
        <w:rPr>
          <w:iCs/>
          <w:snapToGrid/>
          <w:kern w:val="22"/>
          <w:lang w:val="fr-CA"/>
        </w:rPr>
        <w:tab/>
      </w:r>
      <w:r>
        <w:rPr>
          <w:lang w:val="fr-FR"/>
        </w:rPr>
        <w:t>Il existe un besoin continu d’entreprendre des</w:t>
      </w:r>
      <w:r>
        <w:rPr>
          <w:lang w:val="fr-CA"/>
        </w:rPr>
        <w:t xml:space="preserve"> travaux </w:t>
      </w:r>
      <w:r w:rsidRPr="00052024">
        <w:rPr>
          <w:lang w:val="fr-CA"/>
        </w:rPr>
        <w:t>sur les scénarios et la modélisation</w:t>
      </w:r>
      <w:r>
        <w:rPr>
          <w:lang w:val="fr-CA"/>
        </w:rPr>
        <w:t>,</w:t>
      </w:r>
      <w:r w:rsidRPr="00052024">
        <w:rPr>
          <w:lang w:val="fr-CA"/>
        </w:rPr>
        <w:t xml:space="preserve"> afin d</w:t>
      </w:r>
      <w:r>
        <w:rPr>
          <w:lang w:val="fr-CA"/>
        </w:rPr>
        <w:t>’évaluer les voies à suivre</w:t>
      </w:r>
      <w:r w:rsidRPr="00052024">
        <w:rPr>
          <w:lang w:val="fr-CA"/>
        </w:rPr>
        <w:t xml:space="preserve"> et les changements transformateurs requis pour un avenir durable</w:t>
      </w:r>
      <w:r w:rsidRPr="000A66B8">
        <w:rPr>
          <w:snapToGrid/>
          <w:kern w:val="22"/>
          <w:lang w:val="fr-CA"/>
        </w:rPr>
        <w:t>;</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firstLine="720"/>
        <w:rPr>
          <w:iCs/>
          <w:snapToGrid/>
          <w:spacing w:val="-1"/>
          <w:kern w:val="22"/>
          <w:lang w:val="fr-CA"/>
        </w:rPr>
      </w:pPr>
      <w:r w:rsidRPr="000A66B8">
        <w:rPr>
          <w:iCs/>
          <w:snapToGrid/>
          <w:spacing w:val="-1"/>
          <w:kern w:val="22"/>
          <w:lang w:val="fr-CA"/>
        </w:rPr>
        <w:t>e)</w:t>
      </w:r>
      <w:r w:rsidRPr="000A66B8">
        <w:rPr>
          <w:iCs/>
          <w:snapToGrid/>
          <w:spacing w:val="-1"/>
          <w:kern w:val="22"/>
          <w:lang w:val="fr-CA"/>
        </w:rPr>
        <w:tab/>
      </w:r>
      <w:r>
        <w:rPr>
          <w:iCs/>
          <w:snapToGrid/>
          <w:spacing w:val="-1"/>
          <w:kern w:val="22"/>
          <w:lang w:val="fr-CA"/>
        </w:rPr>
        <w:t>Les mesures prises par la Plateforme intergouvernementale scientifique et politique sur la biodiversité et les services écosystémiques pour intégrer davantage les quatre fonctions de la Plateforme contribueront à faire en sorte que ses produits soient pertinents pour les travaux menés au titre de la Convention;</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spacing w:after="240"/>
        <w:ind w:left="720" w:firstLine="720"/>
        <w:rPr>
          <w:snapToGrid/>
          <w:kern w:val="22"/>
          <w:lang w:val="fr-CA"/>
        </w:rPr>
      </w:pPr>
      <w:r w:rsidRPr="000A66B8">
        <w:rPr>
          <w:snapToGrid/>
          <w:kern w:val="22"/>
          <w:lang w:val="fr-CA"/>
        </w:rPr>
        <w:t>f)</w:t>
      </w:r>
      <w:r w:rsidRPr="000A66B8">
        <w:rPr>
          <w:snapToGrid/>
          <w:kern w:val="22"/>
          <w:lang w:val="fr-CA"/>
        </w:rPr>
        <w:tab/>
      </w:r>
      <w:r>
        <w:rPr>
          <w:lang w:val="fr-FR"/>
        </w:rPr>
        <w:t>Les lacunes dans les connaissances et dans les données qui ont été identifiées dans le premier programme de travail devraient être comblées</w:t>
      </w:r>
      <w:r w:rsidRPr="000A66B8">
        <w:rPr>
          <w:snapToGrid/>
          <w:kern w:val="22"/>
          <w:lang w:val="fr-CA"/>
        </w:rPr>
        <w:t>;</w:t>
      </w:r>
    </w:p>
    <w:p w:rsidR="009F6935" w:rsidRPr="000A66B8" w:rsidRDefault="009F6935" w:rsidP="009F6935">
      <w:pPr>
        <w:pStyle w:val="Para1"/>
        <w:numPr>
          <w:ilvl w:val="0"/>
          <w:numId w:val="0"/>
        </w:numPr>
        <w:suppressLineNumbers/>
        <w:suppressAutoHyphens/>
        <w:kinsoku w:val="0"/>
        <w:overflowPunct w:val="0"/>
        <w:autoSpaceDE w:val="0"/>
        <w:autoSpaceDN w:val="0"/>
        <w:adjustRightInd w:val="0"/>
        <w:snapToGrid w:val="0"/>
        <w:ind w:left="720"/>
        <w:rPr>
          <w:snapToGrid/>
          <w:kern w:val="22"/>
          <w:lang w:val="fr-CA"/>
        </w:rPr>
      </w:pPr>
      <w:r w:rsidRPr="000A66B8">
        <w:rPr>
          <w:snapToGrid/>
          <w:kern w:val="22"/>
          <w:szCs w:val="22"/>
          <w:lang w:val="fr-CA"/>
        </w:rPr>
        <w:t>2.</w:t>
      </w:r>
      <w:r w:rsidRPr="000A66B8">
        <w:rPr>
          <w:snapToGrid/>
          <w:kern w:val="22"/>
          <w:szCs w:val="22"/>
          <w:lang w:val="fr-CA"/>
        </w:rPr>
        <w:tab/>
      </w:r>
      <w:r>
        <w:rPr>
          <w:snapToGrid/>
          <w:kern w:val="22"/>
          <w:szCs w:val="22"/>
          <w:lang w:val="fr-CA"/>
        </w:rPr>
        <w:t>Notant qu’une hiérarchisation</w:t>
      </w:r>
      <w:r>
        <w:rPr>
          <w:kern w:val="22"/>
          <w:szCs w:val="22"/>
          <w:lang w:val="fr-FR"/>
        </w:rPr>
        <w:t xml:space="preserve"> plus poussée des besoins de la Convention et une définition plus précise de leur portée découlera de l’élaboration et de la mise en œuvre du cadre mondial de la biodiversité pour l’après-2020, la Plateforme intergouvernementale scientifique et politique sur la biodiversité et les services écosystémiques est également invitée à tenir compte des demandes initiales ci-après pour son programme de travail glissant</w:t>
      </w:r>
      <w:r w:rsidRPr="00E76817">
        <w:rPr>
          <w:kern w:val="22"/>
          <w:szCs w:val="22"/>
          <w:lang w:val="fr-FR"/>
        </w:rPr>
        <w:t xml:space="preserve"> </w:t>
      </w:r>
      <w:r>
        <w:rPr>
          <w:kern w:val="22"/>
          <w:szCs w:val="22"/>
          <w:lang w:val="fr-FR"/>
        </w:rPr>
        <w:t>à l’horizon 2030 :</w:t>
      </w:r>
    </w:p>
    <w:p w:rsidR="009F6935" w:rsidRDefault="009F6935" w:rsidP="00004EAF">
      <w:pPr>
        <w:pStyle w:val="Para1"/>
        <w:numPr>
          <w:ilvl w:val="0"/>
          <w:numId w:val="87"/>
        </w:numPr>
        <w:suppressLineNumbers/>
        <w:tabs>
          <w:tab w:val="left" w:pos="1440"/>
        </w:tabs>
        <w:suppressAutoHyphens/>
        <w:kinsoku w:val="0"/>
        <w:overflowPunct w:val="0"/>
        <w:autoSpaceDE w:val="0"/>
        <w:autoSpaceDN w:val="0"/>
        <w:adjustRightInd w:val="0"/>
        <w:snapToGrid w:val="0"/>
        <w:ind w:firstLine="698"/>
        <w:rPr>
          <w:snapToGrid/>
          <w:kern w:val="22"/>
          <w:lang w:val="fr-CA"/>
        </w:rPr>
      </w:pPr>
      <w:r w:rsidRPr="00052024">
        <w:rPr>
          <w:iCs/>
          <w:lang w:val="fr-CA"/>
        </w:rPr>
        <w:t>Comprendre et évaluer les déterminants comportementaux, sociaux, économiques, institutionnels, techniques et technologiques des changements transformateurs</w:t>
      </w:r>
      <w:r>
        <w:rPr>
          <w:iCs/>
          <w:lang w:val="fr-CA"/>
        </w:rPr>
        <w:t>,</w:t>
      </w:r>
      <w:r w:rsidRPr="00052024">
        <w:rPr>
          <w:iCs/>
          <w:lang w:val="fr-CA"/>
        </w:rPr>
        <w:t xml:space="preserve"> et la façon dont ils peuvent </w:t>
      </w:r>
      <w:r>
        <w:rPr>
          <w:iCs/>
          <w:lang w:val="fr-CA"/>
        </w:rPr>
        <w:t>être déployés pour réaliser la V</w:t>
      </w:r>
      <w:r w:rsidRPr="00052024">
        <w:rPr>
          <w:iCs/>
          <w:lang w:val="fr-CA"/>
        </w:rPr>
        <w:t>ision 2050 pour la diversité biologique</w:t>
      </w:r>
      <w:r w:rsidRPr="000A66B8">
        <w:rPr>
          <w:snapToGrid/>
          <w:kern w:val="22"/>
          <w:lang w:val="fr-CA"/>
        </w:rPr>
        <w:t>;</w:t>
      </w:r>
    </w:p>
    <w:p w:rsidR="009F6935" w:rsidRDefault="009F6935" w:rsidP="00004EAF">
      <w:pPr>
        <w:pStyle w:val="Para1"/>
        <w:numPr>
          <w:ilvl w:val="0"/>
          <w:numId w:val="87"/>
        </w:numPr>
        <w:suppressLineNumbers/>
        <w:tabs>
          <w:tab w:val="left" w:pos="1440"/>
        </w:tabs>
        <w:suppressAutoHyphens/>
        <w:kinsoku w:val="0"/>
        <w:overflowPunct w:val="0"/>
        <w:autoSpaceDE w:val="0"/>
        <w:autoSpaceDN w:val="0"/>
        <w:adjustRightInd w:val="0"/>
        <w:snapToGrid w:val="0"/>
        <w:ind w:firstLine="698"/>
        <w:rPr>
          <w:snapToGrid/>
          <w:kern w:val="22"/>
          <w:lang w:val="fr-CA"/>
        </w:rPr>
      </w:pPr>
      <w:r w:rsidRPr="009530B4">
        <w:rPr>
          <w:lang w:val="fr-FR"/>
        </w:rPr>
        <w:t>Élaborer une approche pluridisciplinaire pour comprendre les interactions entre les facteurs directs et indirects de l’appauvrissement de la diversité biologique</w:t>
      </w:r>
      <w:r w:rsidRPr="009530B4">
        <w:rPr>
          <w:snapToGrid/>
          <w:kern w:val="22"/>
          <w:lang w:val="fr-CA"/>
        </w:rPr>
        <w:t>;</w:t>
      </w:r>
    </w:p>
    <w:p w:rsidR="009F6935" w:rsidRDefault="009F6935" w:rsidP="00004EAF">
      <w:pPr>
        <w:pStyle w:val="Para1"/>
        <w:numPr>
          <w:ilvl w:val="0"/>
          <w:numId w:val="87"/>
        </w:numPr>
        <w:suppressLineNumbers/>
        <w:tabs>
          <w:tab w:val="left" w:pos="1440"/>
        </w:tabs>
        <w:suppressAutoHyphens/>
        <w:kinsoku w:val="0"/>
        <w:overflowPunct w:val="0"/>
        <w:autoSpaceDE w:val="0"/>
        <w:autoSpaceDN w:val="0"/>
        <w:adjustRightInd w:val="0"/>
        <w:snapToGrid w:val="0"/>
        <w:ind w:firstLine="698"/>
        <w:rPr>
          <w:snapToGrid/>
          <w:kern w:val="22"/>
          <w:lang w:val="fr-CA"/>
        </w:rPr>
      </w:pPr>
      <w:r>
        <w:rPr>
          <w:szCs w:val="22"/>
          <w:lang w:val="fr-CA"/>
        </w:rPr>
        <w:t>Évaluer les problèmes situés</w:t>
      </w:r>
      <w:r w:rsidRPr="009530B4">
        <w:rPr>
          <w:szCs w:val="22"/>
          <w:lang w:val="fr-CA"/>
        </w:rPr>
        <w:t xml:space="preserve"> à l’interface entre la diversité biologique, l’alimentation et l’eau, l’agriculture, la santé et la nutrition, la foresterie et la pêche, compte t</w:t>
      </w:r>
      <w:r>
        <w:rPr>
          <w:szCs w:val="22"/>
          <w:lang w:val="fr-CA"/>
        </w:rPr>
        <w:t>enu des compromis effectués entre</w:t>
      </w:r>
      <w:r w:rsidRPr="009530B4">
        <w:rPr>
          <w:szCs w:val="22"/>
          <w:lang w:val="fr-CA"/>
        </w:rPr>
        <w:t xml:space="preserve"> ces secteurs et des options de politique générale connexes en matière de production et de consommation durables, de pollution et d’urbanisation, y compris les conséquences pour l’énergie et le climat, en tenant compte du rôle de la diversité biologique et des services </w:t>
      </w:r>
      <w:r w:rsidRPr="009530B4">
        <w:rPr>
          <w:noProof/>
          <w:szCs w:val="22"/>
          <w:lang w:val="fr-CA"/>
        </w:rPr>
        <w:t>écosystémiques pour atteindre les Objectifs de développement durable, afin de favoris</w:t>
      </w:r>
      <w:r>
        <w:rPr>
          <w:noProof/>
          <w:szCs w:val="22"/>
          <w:lang w:val="fr-CA"/>
        </w:rPr>
        <w:t>er les décisions qui appuient des politiques cohérentes et d</w:t>
      </w:r>
      <w:r w:rsidRPr="009530B4">
        <w:rPr>
          <w:noProof/>
          <w:szCs w:val="22"/>
          <w:lang w:val="fr-CA"/>
        </w:rPr>
        <w:t>es changements transformateurs nécessaires pour réaliser la Vision 2050 pour la diversité biologique</w:t>
      </w:r>
      <w:r w:rsidRPr="009530B4">
        <w:rPr>
          <w:noProof/>
          <w:snapToGrid/>
          <w:kern w:val="22"/>
          <w:lang w:val="fr-CA"/>
        </w:rPr>
        <w:t>;</w:t>
      </w:r>
    </w:p>
    <w:p w:rsidR="009F6935" w:rsidRDefault="009F6935" w:rsidP="00004EAF">
      <w:pPr>
        <w:pStyle w:val="Para1"/>
        <w:numPr>
          <w:ilvl w:val="0"/>
          <w:numId w:val="87"/>
        </w:numPr>
        <w:suppressLineNumbers/>
        <w:tabs>
          <w:tab w:val="left" w:pos="1440"/>
        </w:tabs>
        <w:suppressAutoHyphens/>
        <w:kinsoku w:val="0"/>
        <w:overflowPunct w:val="0"/>
        <w:autoSpaceDE w:val="0"/>
        <w:autoSpaceDN w:val="0"/>
        <w:adjustRightInd w:val="0"/>
        <w:snapToGrid w:val="0"/>
        <w:ind w:firstLine="698"/>
        <w:rPr>
          <w:snapToGrid/>
          <w:kern w:val="22"/>
          <w:lang w:val="fr-CA"/>
        </w:rPr>
      </w:pPr>
      <w:r w:rsidRPr="009530B4">
        <w:rPr>
          <w:noProof/>
          <w:lang w:val="fr-CA"/>
        </w:rPr>
        <w:t>Entreprendre des évaluations méthodologiques de l’</w:t>
      </w:r>
      <w:r>
        <w:rPr>
          <w:noProof/>
          <w:lang w:val="fr-CA"/>
        </w:rPr>
        <w:t>efficacité des divers instruments de politique générale et des outils d’aide</w:t>
      </w:r>
      <w:r w:rsidRPr="009530B4">
        <w:rPr>
          <w:noProof/>
          <w:lang w:val="fr-CA"/>
        </w:rPr>
        <w:t xml:space="preserve"> aux politiques </w:t>
      </w:r>
      <w:r>
        <w:rPr>
          <w:noProof/>
          <w:lang w:val="fr-CA"/>
        </w:rPr>
        <w:t xml:space="preserve">générales </w:t>
      </w:r>
      <w:r w:rsidRPr="009530B4">
        <w:rPr>
          <w:noProof/>
          <w:lang w:val="fr-CA"/>
        </w:rPr>
        <w:t>et à la planification</w:t>
      </w:r>
      <w:r>
        <w:rPr>
          <w:noProof/>
          <w:lang w:val="fr-CA"/>
        </w:rPr>
        <w:t>,</w:t>
      </w:r>
      <w:r w:rsidRPr="009530B4">
        <w:rPr>
          <w:noProof/>
          <w:lang w:val="fr-CA"/>
        </w:rPr>
        <w:t xml:space="preserve"> pour comprendre comment réaliser des changements transformateurs, et </w:t>
      </w:r>
      <w:r>
        <w:rPr>
          <w:noProof/>
          <w:lang w:val="fr-CA"/>
        </w:rPr>
        <w:t>pour caractériser et quantifier des approches et d</w:t>
      </w:r>
      <w:r w:rsidRPr="009530B4">
        <w:rPr>
          <w:noProof/>
          <w:lang w:val="fr-CA"/>
        </w:rPr>
        <w:t>es exemples réussis de conservation et d’utilisation durable de la diversité biologique</w:t>
      </w:r>
      <w:r>
        <w:rPr>
          <w:lang w:val="fr-CA"/>
        </w:rPr>
        <w:t>, et leurs impact</w:t>
      </w:r>
      <w:r w:rsidRPr="009530B4">
        <w:rPr>
          <w:lang w:val="fr-CA"/>
        </w:rPr>
        <w:t>s</w:t>
      </w:r>
      <w:r w:rsidRPr="009530B4">
        <w:rPr>
          <w:snapToGrid/>
          <w:kern w:val="22"/>
          <w:lang w:val="fr-CA"/>
        </w:rPr>
        <w:t>;</w:t>
      </w:r>
    </w:p>
    <w:p w:rsidR="009F6935" w:rsidRPr="009530B4" w:rsidRDefault="009F6935" w:rsidP="00004EAF">
      <w:pPr>
        <w:pStyle w:val="Para1"/>
        <w:numPr>
          <w:ilvl w:val="0"/>
          <w:numId w:val="87"/>
        </w:numPr>
        <w:suppressLineNumbers/>
        <w:tabs>
          <w:tab w:val="left" w:pos="1440"/>
        </w:tabs>
        <w:suppressAutoHyphens/>
        <w:kinsoku w:val="0"/>
        <w:overflowPunct w:val="0"/>
        <w:autoSpaceDE w:val="0"/>
        <w:autoSpaceDN w:val="0"/>
        <w:adjustRightInd w:val="0"/>
        <w:snapToGrid w:val="0"/>
        <w:ind w:firstLine="698"/>
        <w:rPr>
          <w:snapToGrid/>
          <w:kern w:val="22"/>
          <w:lang w:val="fr-CA"/>
        </w:rPr>
      </w:pPr>
      <w:r w:rsidRPr="009530B4">
        <w:rPr>
          <w:lang w:val="fr-FR"/>
        </w:rPr>
        <w:t xml:space="preserve">Évaluer les impacts positifs et négatifs potentiels des secteurs </w:t>
      </w:r>
      <w:r>
        <w:rPr>
          <w:lang w:val="fr-FR"/>
        </w:rPr>
        <w:t>de production</w:t>
      </w:r>
      <w:r w:rsidRPr="009530B4">
        <w:rPr>
          <w:lang w:val="fr-FR"/>
        </w:rPr>
        <w:t xml:space="preserve"> et entreprendre une évaluation méthodologique des critères, paramètres et indicateurs </w:t>
      </w:r>
      <w:r>
        <w:rPr>
          <w:noProof/>
          <w:lang w:val="fr-FR"/>
        </w:rPr>
        <w:t xml:space="preserve">concernant </w:t>
      </w:r>
      <w:r w:rsidRPr="009530B4">
        <w:rPr>
          <w:noProof/>
          <w:lang w:val="fr-FR"/>
        </w:rPr>
        <w:t xml:space="preserve">les impacts des secteurs </w:t>
      </w:r>
      <w:r>
        <w:rPr>
          <w:noProof/>
          <w:lang w:val="fr-FR"/>
        </w:rPr>
        <w:t>de production</w:t>
      </w:r>
      <w:r w:rsidRPr="009530B4">
        <w:rPr>
          <w:noProof/>
          <w:lang w:val="fr-FR"/>
        </w:rPr>
        <w:t xml:space="preserve"> sur la biodiversité et les serv</w:t>
      </w:r>
      <w:r>
        <w:rPr>
          <w:noProof/>
          <w:lang w:val="fr-FR"/>
        </w:rPr>
        <w:t>ices écosystémiques, ainsi que l</w:t>
      </w:r>
      <w:r w:rsidRPr="009530B4">
        <w:rPr>
          <w:noProof/>
          <w:lang w:val="fr-FR"/>
        </w:rPr>
        <w:t>es avantages découlant de la biodiversité et des</w:t>
      </w:r>
      <w:r>
        <w:rPr>
          <w:noProof/>
          <w:lang w:val="fr-FR"/>
        </w:rPr>
        <w:t xml:space="preserve"> services écosystémiques, afin de permettre aux entreprises </w:t>
      </w:r>
      <w:r w:rsidRPr="009530B4">
        <w:rPr>
          <w:noProof/>
          <w:lang w:val="fr-FR"/>
        </w:rPr>
        <w:t xml:space="preserve">de réduire ces </w:t>
      </w:r>
      <w:r>
        <w:rPr>
          <w:noProof/>
          <w:lang w:val="fr-FR"/>
        </w:rPr>
        <w:t>impacts négatifs et d’améliorer</w:t>
      </w:r>
      <w:r w:rsidRPr="009530B4">
        <w:rPr>
          <w:noProof/>
          <w:lang w:val="fr-FR"/>
        </w:rPr>
        <w:t xml:space="preserve"> la cohérence dans l’évaluation et la comm</w:t>
      </w:r>
      <w:r>
        <w:rPr>
          <w:noProof/>
          <w:lang w:val="fr-FR"/>
        </w:rPr>
        <w:t xml:space="preserve">unication de données, </w:t>
      </w:r>
      <w:r w:rsidRPr="009530B4">
        <w:rPr>
          <w:noProof/>
          <w:lang w:val="fr-FR"/>
        </w:rPr>
        <w:t xml:space="preserve">compte </w:t>
      </w:r>
      <w:r>
        <w:rPr>
          <w:noProof/>
          <w:lang w:val="fr-FR"/>
        </w:rPr>
        <w:t xml:space="preserve">tenu </w:t>
      </w:r>
      <w:r w:rsidRPr="009530B4">
        <w:rPr>
          <w:noProof/>
          <w:lang w:val="fr-FR"/>
        </w:rPr>
        <w:t>des pressions directes et indirectes exercées sur la biodiversité, ainsi q</w:t>
      </w:r>
      <w:r>
        <w:rPr>
          <w:noProof/>
          <w:lang w:val="fr-FR"/>
        </w:rPr>
        <w:t>ue des interactions entre celles-ci</w:t>
      </w:r>
      <w:r w:rsidRPr="009530B4">
        <w:rPr>
          <w:noProof/>
          <w:lang w:val="fr-FR"/>
        </w:rPr>
        <w:t>.</w:t>
      </w:r>
    </w:p>
    <w:p w:rsidR="009F6935" w:rsidRPr="009F6935" w:rsidRDefault="009F6935" w:rsidP="009F6935">
      <w:pPr>
        <w:pStyle w:val="StylePara1HeadingsCSTimesNewRoman"/>
        <w:suppressLineNumbers/>
        <w:suppressAutoHyphens/>
        <w:kinsoku w:val="0"/>
        <w:overflowPunct w:val="0"/>
        <w:autoSpaceDE w:val="0"/>
        <w:autoSpaceDN w:val="0"/>
        <w:ind w:left="720"/>
        <w:rPr>
          <w:rFonts w:ascii="Times New Roman" w:hAnsi="Times New Roman"/>
          <w:kern w:val="22"/>
          <w:szCs w:val="22"/>
          <w:lang w:val="fr-CA"/>
        </w:rPr>
      </w:pPr>
    </w:p>
    <w:p w:rsidR="009F6935" w:rsidRDefault="009F6935">
      <w:pPr>
        <w:jc w:val="left"/>
        <w:rPr>
          <w:lang w:val="fr-FR"/>
        </w:rPr>
      </w:pPr>
      <w:r>
        <w:rPr>
          <w:lang w:val="fr-FR"/>
        </w:rPr>
        <w:br w:type="page"/>
      </w:r>
    </w:p>
    <w:p w:rsidR="00DC2190" w:rsidRPr="009F6935" w:rsidRDefault="00DC2190" w:rsidP="009F6935">
      <w:pPr>
        <w:tabs>
          <w:tab w:val="left" w:pos="2316"/>
        </w:tabs>
        <w:jc w:val="left"/>
        <w:rPr>
          <w:lang w:val="fr-FR"/>
        </w:rPr>
      </w:pPr>
    </w:p>
    <w:p w:rsidR="000F268B" w:rsidRDefault="000F268B">
      <w:pPr>
        <w:jc w:val="left"/>
        <w:rPr>
          <w:lang w:val="fr-FR"/>
        </w:rPr>
      </w:pPr>
    </w:p>
    <w:p w:rsidR="00A2637A" w:rsidRPr="009B168F" w:rsidRDefault="00D43CD7" w:rsidP="009B168F">
      <w:pPr>
        <w:pStyle w:val="Heading1"/>
        <w:rPr>
          <w:lang w:val="fr-FR"/>
        </w:rPr>
      </w:pPr>
      <w:bookmarkStart w:id="445" w:name="_Toc525904286"/>
      <w:bookmarkStart w:id="446" w:name="_Toc525904689"/>
      <w:r w:rsidRPr="009B168F">
        <w:rPr>
          <w:lang w:val="fr-FR"/>
        </w:rPr>
        <w:t xml:space="preserve">II. </w:t>
      </w:r>
      <w:r w:rsidRPr="009B168F">
        <w:rPr>
          <w:lang w:val="fr-FR"/>
        </w:rPr>
        <w:tab/>
        <w:t>COMPTE-RENDU DE LA RÉUNION</w:t>
      </w:r>
      <w:bookmarkEnd w:id="445"/>
      <w:bookmarkEnd w:id="446"/>
    </w:p>
    <w:p w:rsidR="009E6BA9" w:rsidRPr="00DC6ADE" w:rsidRDefault="0023418F" w:rsidP="009E6BA9">
      <w:pPr>
        <w:pStyle w:val="Heading1"/>
        <w:suppressLineNumbers/>
        <w:tabs>
          <w:tab w:val="clear" w:pos="720"/>
        </w:tabs>
        <w:suppressAutoHyphens/>
        <w:rPr>
          <w:snapToGrid w:val="0"/>
          <w:kern w:val="22"/>
          <w:szCs w:val="22"/>
          <w:lang w:val="fr-FR"/>
        </w:rPr>
      </w:pPr>
      <w:bookmarkStart w:id="447" w:name="_Toc525904287"/>
      <w:bookmarkStart w:id="448" w:name="_Toc525904446"/>
      <w:bookmarkStart w:id="449" w:name="_Toc525904690"/>
      <w:r w:rsidRPr="00DC6ADE">
        <w:rPr>
          <w:bCs/>
          <w:caps w:val="0"/>
          <w:snapToGrid w:val="0"/>
          <w:kern w:val="22"/>
          <w:szCs w:val="22"/>
          <w:lang w:val="fr-FR"/>
        </w:rPr>
        <w:t>INTRODUCTION</w:t>
      </w:r>
      <w:bookmarkEnd w:id="447"/>
      <w:bookmarkEnd w:id="448"/>
      <w:bookmarkEnd w:id="449"/>
    </w:p>
    <w:p w:rsidR="009157B4" w:rsidRPr="00DC6ADE" w:rsidRDefault="00B5440F" w:rsidP="00004EAF">
      <w:pPr>
        <w:pStyle w:val="Para1"/>
        <w:numPr>
          <w:ilvl w:val="0"/>
          <w:numId w:val="7"/>
        </w:numPr>
        <w:suppressLineNumbers/>
        <w:tabs>
          <w:tab w:val="clear" w:pos="360"/>
          <w:tab w:val="left" w:pos="720"/>
        </w:tabs>
        <w:suppressAutoHyphens/>
        <w:snapToGrid w:val="0"/>
        <w:rPr>
          <w:kern w:val="22"/>
          <w:szCs w:val="22"/>
          <w:lang w:val="fr-FR"/>
        </w:rPr>
      </w:pPr>
      <w:r w:rsidRPr="00DC6ADE">
        <w:rPr>
          <w:szCs w:val="22"/>
          <w:lang w:val="fr-FR"/>
        </w:rPr>
        <w:t>La vingt-deuxième réunion de l’Organe subsidiaire chargé de fournir des avis scientifiques, techniques et technologiques s’est tenue au siège de l’Organisation de l’aviation civile international</w:t>
      </w:r>
      <w:r w:rsidR="00F71B12">
        <w:rPr>
          <w:szCs w:val="22"/>
          <w:lang w:val="fr-FR"/>
        </w:rPr>
        <w:t xml:space="preserve">e à Montréal (Canada), du 2 au </w:t>
      </w:r>
      <w:r w:rsidRPr="00DC6ADE">
        <w:rPr>
          <w:szCs w:val="22"/>
          <w:lang w:val="fr-FR"/>
        </w:rPr>
        <w:t>7  juillet 2017</w:t>
      </w:r>
    </w:p>
    <w:p w:rsidR="00F66AEE" w:rsidRPr="00DC6ADE" w:rsidRDefault="00B5440F" w:rsidP="00004EAF">
      <w:pPr>
        <w:pStyle w:val="Para1"/>
        <w:numPr>
          <w:ilvl w:val="0"/>
          <w:numId w:val="8"/>
        </w:numPr>
        <w:suppressLineNumbers/>
        <w:tabs>
          <w:tab w:val="left" w:pos="720"/>
        </w:tabs>
        <w:suppressAutoHyphens/>
        <w:snapToGrid w:val="0"/>
        <w:jc w:val="center"/>
        <w:rPr>
          <w:b/>
          <w:bCs/>
          <w:iCs/>
          <w:kern w:val="22"/>
          <w:szCs w:val="22"/>
          <w:lang w:val="fr-FR"/>
        </w:rPr>
      </w:pPr>
      <w:r w:rsidRPr="00DC6ADE">
        <w:rPr>
          <w:b/>
          <w:bCs/>
          <w:iCs/>
          <w:kern w:val="22"/>
          <w:szCs w:val="22"/>
          <w:lang w:val="fr-FR"/>
        </w:rPr>
        <w:t>Participation</w:t>
      </w:r>
    </w:p>
    <w:p w:rsidR="00F66AEE" w:rsidRDefault="00DC6ADE" w:rsidP="00004EAF">
      <w:pPr>
        <w:pStyle w:val="Para1"/>
        <w:numPr>
          <w:ilvl w:val="0"/>
          <w:numId w:val="7"/>
        </w:numPr>
        <w:suppressLineNumbers/>
        <w:tabs>
          <w:tab w:val="clear" w:pos="360"/>
          <w:tab w:val="left" w:pos="720"/>
        </w:tabs>
        <w:suppressAutoHyphens/>
        <w:snapToGrid w:val="0"/>
        <w:rPr>
          <w:kern w:val="22"/>
          <w:szCs w:val="22"/>
          <w:lang w:val="fr-FR"/>
        </w:rPr>
      </w:pPr>
      <w:bookmarkStart w:id="450" w:name="_Hlk500317992"/>
      <w:r w:rsidRPr="00DC6ADE">
        <w:rPr>
          <w:szCs w:val="22"/>
          <w:lang w:val="fr-FR"/>
        </w:rPr>
        <w:t>Ont assisté à la réunion des représentants des Parties et des autres gouvernements suivants :</w:t>
      </w:r>
      <w:bookmarkEnd w:id="450"/>
    </w:p>
    <w:p w:rsidR="00D43CD7" w:rsidRDefault="00D43CD7" w:rsidP="00D43CD7">
      <w:pPr>
        <w:pStyle w:val="Para1"/>
        <w:numPr>
          <w:ilvl w:val="0"/>
          <w:numId w:val="0"/>
        </w:numPr>
        <w:suppressLineNumbers/>
        <w:tabs>
          <w:tab w:val="left" w:pos="720"/>
        </w:tabs>
        <w:suppressAutoHyphens/>
        <w:snapToGrid w:val="0"/>
        <w:rPr>
          <w:kern w:val="22"/>
          <w:szCs w:val="22"/>
          <w:lang w:val="fr-FR"/>
        </w:rPr>
        <w:sectPr w:rsidR="00D43CD7" w:rsidSect="002F2670">
          <w:headerReference w:type="even" r:id="rId55"/>
          <w:headerReference w:type="default" r:id="rId56"/>
          <w:pgSz w:w="12240" w:h="15840" w:code="1"/>
          <w:pgMar w:top="1021" w:right="1440" w:bottom="1134" w:left="1440" w:header="454" w:footer="720" w:gutter="0"/>
          <w:cols w:space="720"/>
          <w:titlePg/>
          <w:docGrid w:linePitch="299"/>
        </w:sectPr>
      </w:pP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Algérie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Allemagne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Angola</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Antigua-et-Barbuda</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Arabie saoudite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Argentine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Australie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Autriche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Barbade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Belarus</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Belgique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Bhoutan</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Bolivie (Etat plurinational de)</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en-AU"/>
        </w:rPr>
      </w:pPr>
      <w:r w:rsidRPr="00D43CD7">
        <w:rPr>
          <w:kern w:val="22"/>
          <w:szCs w:val="22"/>
          <w:lang w:val="en-AU"/>
        </w:rPr>
        <w:t>Brésil</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en-AU"/>
        </w:rPr>
      </w:pPr>
      <w:r w:rsidRPr="00D43CD7">
        <w:rPr>
          <w:kern w:val="22"/>
          <w:szCs w:val="22"/>
          <w:lang w:val="en-AU"/>
        </w:rPr>
        <w:t>Bulgarie</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en-AU"/>
        </w:rPr>
      </w:pPr>
      <w:r w:rsidRPr="00D43CD7">
        <w:rPr>
          <w:kern w:val="22"/>
          <w:szCs w:val="22"/>
          <w:lang w:val="en-AU"/>
        </w:rPr>
        <w:t>Burkina Faso</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en-AU"/>
        </w:rPr>
      </w:pPr>
      <w:r w:rsidRPr="00D43CD7">
        <w:rPr>
          <w:kern w:val="22"/>
          <w:szCs w:val="22"/>
          <w:lang w:val="en-AU"/>
        </w:rPr>
        <w:t>Cabo Verde</w:t>
      </w:r>
    </w:p>
    <w:p w:rsidR="00D43CD7" w:rsidRPr="000333BE"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0333BE">
        <w:rPr>
          <w:kern w:val="22"/>
          <w:szCs w:val="22"/>
          <w:lang w:val="fr-FR"/>
        </w:rPr>
        <w:t>Cambodge</w:t>
      </w:r>
    </w:p>
    <w:p w:rsidR="00D43CD7" w:rsidRPr="000333BE"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0333BE">
        <w:rPr>
          <w:kern w:val="22"/>
          <w:szCs w:val="22"/>
          <w:lang w:val="fr-FR"/>
        </w:rPr>
        <w:t>Cameroun</w:t>
      </w:r>
    </w:p>
    <w:p w:rsidR="00D43CD7" w:rsidRPr="000333BE"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0333BE">
        <w:rPr>
          <w:kern w:val="22"/>
          <w:szCs w:val="22"/>
          <w:lang w:val="fr-FR"/>
        </w:rPr>
        <w:t>Canada</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D43CD7">
        <w:rPr>
          <w:kern w:val="22"/>
          <w:szCs w:val="22"/>
          <w:lang w:val="fr-FR"/>
        </w:rPr>
        <w:t>Chine</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D43CD7">
        <w:rPr>
          <w:kern w:val="22"/>
          <w:szCs w:val="22"/>
          <w:lang w:val="fr-FR"/>
        </w:rPr>
        <w:t>Comores</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D43CD7">
        <w:rPr>
          <w:kern w:val="22"/>
          <w:szCs w:val="22"/>
          <w:lang w:val="fr-FR"/>
        </w:rPr>
        <w:t>Colombie</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D43CD7">
        <w:rPr>
          <w:kern w:val="22"/>
          <w:szCs w:val="22"/>
          <w:lang w:val="fr-FR"/>
        </w:rPr>
        <w:t xml:space="preserve">Costa Rica </w:t>
      </w:r>
    </w:p>
    <w:p w:rsidR="00D43CD7" w:rsidRP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D43CD7">
        <w:rPr>
          <w:kern w:val="22"/>
          <w:szCs w:val="22"/>
          <w:lang w:val="fr-FR"/>
        </w:rPr>
        <w:t>Croatie</w:t>
      </w:r>
    </w:p>
    <w:p w:rsidR="009B168F"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Cuba</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Danemark</w:t>
      </w:r>
    </w:p>
    <w:p w:rsidR="009D342F"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Djibouti</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Dominique</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Equateur</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Egypte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Espagne</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Estonie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Etat de Palestine</w:t>
      </w:r>
    </w:p>
    <w:p w:rsidR="003E78FC" w:rsidRDefault="003E78FC"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Etats-Unis d’Amérique</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Ethiopie</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Finlande</w:t>
      </w:r>
    </w:p>
    <w:p w:rsidR="009B168F" w:rsidRDefault="009B168F" w:rsidP="009B168F">
      <w:pPr>
        <w:pStyle w:val="Para1"/>
        <w:numPr>
          <w:ilvl w:val="0"/>
          <w:numId w:val="0"/>
        </w:numPr>
        <w:suppressLineNumbers/>
        <w:tabs>
          <w:tab w:val="left" w:pos="720"/>
        </w:tabs>
        <w:suppressAutoHyphens/>
        <w:snapToGrid w:val="0"/>
        <w:spacing w:before="0" w:after="0"/>
        <w:jc w:val="left"/>
        <w:rPr>
          <w:kern w:val="22"/>
          <w:szCs w:val="22"/>
          <w:lang w:val="fr-FR"/>
        </w:rPr>
      </w:pPr>
    </w:p>
    <w:p w:rsidR="009B168F" w:rsidRDefault="009B168F" w:rsidP="009B168F">
      <w:pPr>
        <w:pStyle w:val="Para1"/>
        <w:numPr>
          <w:ilvl w:val="0"/>
          <w:numId w:val="0"/>
        </w:numPr>
        <w:suppressLineNumbers/>
        <w:tabs>
          <w:tab w:val="left" w:pos="720"/>
        </w:tabs>
        <w:suppressAutoHyphens/>
        <w:snapToGrid w:val="0"/>
        <w:spacing w:before="0" w:after="0"/>
        <w:jc w:val="left"/>
        <w:rPr>
          <w:kern w:val="22"/>
          <w:szCs w:val="22"/>
          <w:lang w:val="fr-FR"/>
        </w:rPr>
      </w:pP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France</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Gambie</w:t>
      </w:r>
    </w:p>
    <w:p w:rsidR="00D43CD7" w:rsidRDefault="009B168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Gé</w:t>
      </w:r>
      <w:r w:rsidR="009D342F">
        <w:rPr>
          <w:kern w:val="22"/>
          <w:szCs w:val="22"/>
          <w:lang w:val="fr-FR"/>
        </w:rPr>
        <w:t>orgie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Grèce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Guatemala</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Guinée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Guinée-Bissau</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Haïti</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Iles Cook</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Iles Salomon</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Inde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Indonésie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Islande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Irlande</w:t>
      </w:r>
    </w:p>
    <w:p w:rsidR="009B168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Italie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Jamaïque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Japon</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Jordanie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Kenya</w:t>
      </w:r>
    </w:p>
    <w:p w:rsidR="009D342F" w:rsidRDefault="009B168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Koweï</w:t>
      </w:r>
      <w:r w:rsidR="009D342F">
        <w:rPr>
          <w:kern w:val="22"/>
          <w:szCs w:val="22"/>
          <w:lang w:val="fr-FR"/>
        </w:rPr>
        <w:t>t</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Madagascar</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Malawi</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Malaisie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Maldives</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Malte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Maroc</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Mexique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Micronésie (Etats fédérés de)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Myanmar</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Namibie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Népal</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Niger</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Norvège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Nouvelle-Zélande</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Oman</w:t>
      </w:r>
    </w:p>
    <w:p w:rsidR="003E78FC" w:rsidRDefault="003E78FC"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Ouganda</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Pakistan</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Palaos</w:t>
      </w:r>
    </w:p>
    <w:p w:rsidR="009B168F" w:rsidRDefault="009B168F" w:rsidP="009B168F">
      <w:pPr>
        <w:pStyle w:val="Para1"/>
        <w:numPr>
          <w:ilvl w:val="0"/>
          <w:numId w:val="0"/>
        </w:numPr>
        <w:suppressLineNumbers/>
        <w:tabs>
          <w:tab w:val="left" w:pos="720"/>
        </w:tabs>
        <w:suppressAutoHyphens/>
        <w:snapToGrid w:val="0"/>
        <w:spacing w:before="0" w:after="0"/>
        <w:jc w:val="left"/>
        <w:rPr>
          <w:kern w:val="22"/>
          <w:szCs w:val="22"/>
          <w:lang w:val="fr-FR"/>
        </w:rPr>
      </w:pPr>
    </w:p>
    <w:p w:rsidR="009B168F" w:rsidRDefault="009B168F" w:rsidP="009B168F">
      <w:pPr>
        <w:pStyle w:val="Para1"/>
        <w:numPr>
          <w:ilvl w:val="0"/>
          <w:numId w:val="0"/>
        </w:numPr>
        <w:suppressLineNumbers/>
        <w:tabs>
          <w:tab w:val="left" w:pos="720"/>
        </w:tabs>
        <w:suppressAutoHyphens/>
        <w:snapToGrid w:val="0"/>
        <w:spacing w:before="0" w:after="0"/>
        <w:jc w:val="left"/>
        <w:rPr>
          <w:kern w:val="22"/>
          <w:szCs w:val="22"/>
          <w:lang w:val="fr-FR"/>
        </w:rPr>
      </w:pP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Pays-Bas</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Pérou</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Philippines</w:t>
      </w:r>
    </w:p>
    <w:p w:rsid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République arable syrienne</w:t>
      </w:r>
    </w:p>
    <w:p w:rsidR="00D43CD7" w:rsidRDefault="00D43CD7" w:rsidP="009B168F">
      <w:pPr>
        <w:pStyle w:val="Para1"/>
        <w:numPr>
          <w:ilvl w:val="0"/>
          <w:numId w:val="0"/>
        </w:numPr>
        <w:suppressLineNumbers/>
        <w:tabs>
          <w:tab w:val="left" w:pos="720"/>
        </w:tabs>
        <w:suppressAutoHyphens/>
        <w:snapToGrid w:val="0"/>
        <w:spacing w:before="0" w:after="0"/>
        <w:jc w:val="left"/>
        <w:rPr>
          <w:kern w:val="22"/>
          <w:szCs w:val="22"/>
          <w:lang w:val="fr-FR"/>
        </w:rPr>
      </w:pPr>
      <w:r w:rsidRPr="009D342F">
        <w:rPr>
          <w:kern w:val="22"/>
          <w:szCs w:val="22"/>
          <w:lang w:val="fr-FR"/>
        </w:rPr>
        <w:t>République centrafricaine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République de Corée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République de Moldova</w:t>
      </w:r>
    </w:p>
    <w:p w:rsidR="009D342F" w:rsidRPr="009D342F" w:rsidRDefault="009D342F"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République démocratique populaire Lao</w:t>
      </w:r>
    </w:p>
    <w:p w:rsidR="00D43CD7" w:rsidRP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sidRPr="00D43CD7">
        <w:rPr>
          <w:kern w:val="22"/>
          <w:szCs w:val="22"/>
          <w:lang w:val="fr-FR"/>
        </w:rPr>
        <w:t>République dominicaine</w:t>
      </w:r>
    </w:p>
    <w:p w:rsidR="00D43CD7" w:rsidRDefault="00D43CD7" w:rsidP="009B168F">
      <w:pPr>
        <w:pStyle w:val="Para1"/>
        <w:numPr>
          <w:ilvl w:val="0"/>
          <w:numId w:val="0"/>
        </w:numPr>
        <w:suppressLineNumbers/>
        <w:tabs>
          <w:tab w:val="left" w:pos="720"/>
        </w:tabs>
        <w:suppressAutoHyphens/>
        <w:snapToGrid w:val="0"/>
        <w:spacing w:before="0" w:after="0"/>
        <w:rPr>
          <w:kern w:val="22"/>
          <w:szCs w:val="22"/>
          <w:lang w:val="fr-FR"/>
        </w:rPr>
      </w:pPr>
      <w:r w:rsidRPr="00D43CD7">
        <w:rPr>
          <w:kern w:val="22"/>
          <w:szCs w:val="22"/>
          <w:lang w:val="fr-FR"/>
        </w:rPr>
        <w:t>République tchèque</w:t>
      </w:r>
    </w:p>
    <w:p w:rsidR="003E78FC"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République-Unie de Tanzanie</w:t>
      </w:r>
    </w:p>
    <w:p w:rsidR="00D43CD7" w:rsidRPr="00D43CD7"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Roumanie</w:t>
      </w:r>
    </w:p>
    <w:p w:rsidR="003E78FC" w:rsidRDefault="003E78FC"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Royaume-Uni de Grande-Bretagne et d’Irlande du Nord</w:t>
      </w:r>
    </w:p>
    <w:p w:rsidR="00D43CD7"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Rwanda</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Saint-Kitts-et-Nevis</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Sainte-Lucie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Sénégal</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Serbie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Seychelles</w:t>
      </w:r>
    </w:p>
    <w:p w:rsidR="009D342F" w:rsidRPr="00D43CD7"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Singapour</w:t>
      </w:r>
    </w:p>
    <w:p w:rsidR="00D43CD7" w:rsidRPr="00D43CD7"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Slovaquie</w:t>
      </w:r>
    </w:p>
    <w:p w:rsidR="00D43CD7"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Soudan</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Suède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Suisse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Suriname</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Tadjikistan</w:t>
      </w:r>
    </w:p>
    <w:p w:rsidR="009D342F"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Thaïlande</w:t>
      </w:r>
    </w:p>
    <w:p w:rsidR="009D342F" w:rsidRPr="00D43CD7" w:rsidRDefault="009D342F"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Togo</w:t>
      </w:r>
    </w:p>
    <w:p w:rsid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Tunisie</w:t>
      </w:r>
    </w:p>
    <w:p w:rsidR="009D342F" w:rsidRP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Turkménistan</w:t>
      </w:r>
    </w:p>
    <w:p w:rsidR="00D43CD7" w:rsidRP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Ukraine</w:t>
      </w:r>
    </w:p>
    <w:p w:rsidR="00D43CD7" w:rsidRP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Union européenne</w:t>
      </w:r>
    </w:p>
    <w:p w:rsidR="00D43CD7" w:rsidRPr="00D43CD7" w:rsidRDefault="003E78FC" w:rsidP="009B168F">
      <w:pPr>
        <w:pStyle w:val="Para1"/>
        <w:numPr>
          <w:ilvl w:val="0"/>
          <w:numId w:val="0"/>
        </w:numPr>
        <w:suppressLineNumbers/>
        <w:tabs>
          <w:tab w:val="left" w:pos="720"/>
        </w:tabs>
        <w:suppressAutoHyphens/>
        <w:snapToGrid w:val="0"/>
        <w:spacing w:before="0" w:after="0"/>
        <w:jc w:val="left"/>
        <w:rPr>
          <w:kern w:val="22"/>
          <w:szCs w:val="22"/>
          <w:lang w:val="fr-FR"/>
        </w:rPr>
      </w:pPr>
      <w:r>
        <w:rPr>
          <w:kern w:val="22"/>
          <w:szCs w:val="22"/>
          <w:lang w:val="fr-FR"/>
        </w:rPr>
        <w:t>Venezuela (République bolivarienne de)</w:t>
      </w:r>
    </w:p>
    <w:p w:rsidR="00D43CD7" w:rsidRP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Vietnam</w:t>
      </w:r>
    </w:p>
    <w:p w:rsidR="00D43CD7" w:rsidRP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Yémen</w:t>
      </w:r>
    </w:p>
    <w:p w:rsidR="00D43CD7" w:rsidRPr="00D43CD7" w:rsidRDefault="003E78FC" w:rsidP="009B168F">
      <w:pPr>
        <w:pStyle w:val="Para1"/>
        <w:numPr>
          <w:ilvl w:val="0"/>
          <w:numId w:val="0"/>
        </w:numPr>
        <w:suppressLineNumbers/>
        <w:tabs>
          <w:tab w:val="left" w:pos="720"/>
        </w:tabs>
        <w:suppressAutoHyphens/>
        <w:snapToGrid w:val="0"/>
        <w:spacing w:before="0" w:after="0"/>
        <w:rPr>
          <w:kern w:val="22"/>
          <w:szCs w:val="22"/>
          <w:lang w:val="fr-FR"/>
        </w:rPr>
      </w:pPr>
      <w:r>
        <w:rPr>
          <w:kern w:val="22"/>
          <w:szCs w:val="22"/>
          <w:lang w:val="fr-FR"/>
        </w:rPr>
        <w:t>Zimbabwe</w:t>
      </w:r>
    </w:p>
    <w:p w:rsidR="00D43CD7" w:rsidRPr="00D43CD7" w:rsidRDefault="00D43CD7" w:rsidP="00D43CD7">
      <w:pPr>
        <w:pStyle w:val="Para1"/>
        <w:numPr>
          <w:ilvl w:val="0"/>
          <w:numId w:val="0"/>
        </w:numPr>
        <w:suppressLineNumbers/>
        <w:tabs>
          <w:tab w:val="left" w:pos="720"/>
        </w:tabs>
        <w:suppressAutoHyphens/>
        <w:snapToGrid w:val="0"/>
        <w:rPr>
          <w:kern w:val="22"/>
          <w:szCs w:val="22"/>
          <w:lang w:val="fr-FR"/>
        </w:rPr>
        <w:sectPr w:rsidR="00D43CD7" w:rsidRPr="00D43CD7" w:rsidSect="00D43CD7">
          <w:type w:val="continuous"/>
          <w:pgSz w:w="12240" w:h="15840" w:code="1"/>
          <w:pgMar w:top="1021" w:right="1440" w:bottom="1134" w:left="1440" w:header="454" w:footer="720" w:gutter="0"/>
          <w:cols w:num="3" w:space="720"/>
          <w:titlePg/>
          <w:docGrid w:linePitch="299"/>
        </w:sectPr>
      </w:pPr>
    </w:p>
    <w:p w:rsidR="00D43CD7" w:rsidRPr="009D342F" w:rsidRDefault="00D43CD7" w:rsidP="00D43CD7">
      <w:pPr>
        <w:pStyle w:val="Para1"/>
        <w:numPr>
          <w:ilvl w:val="0"/>
          <w:numId w:val="0"/>
        </w:numPr>
        <w:suppressLineNumbers/>
        <w:tabs>
          <w:tab w:val="left" w:pos="720"/>
        </w:tabs>
        <w:suppressAutoHyphens/>
        <w:snapToGrid w:val="0"/>
        <w:rPr>
          <w:szCs w:val="22"/>
          <w:lang w:val="fr-FR"/>
        </w:rPr>
      </w:pPr>
    </w:p>
    <w:p w:rsidR="00F66AEE" w:rsidRPr="00780F50" w:rsidRDefault="00DC6ADE" w:rsidP="00004EAF">
      <w:pPr>
        <w:pStyle w:val="Para1"/>
        <w:numPr>
          <w:ilvl w:val="0"/>
          <w:numId w:val="7"/>
        </w:numPr>
        <w:suppressLineNumbers/>
        <w:tabs>
          <w:tab w:val="clear" w:pos="360"/>
          <w:tab w:val="left" w:pos="720"/>
        </w:tabs>
        <w:suppressAutoHyphens/>
        <w:snapToGrid w:val="0"/>
        <w:rPr>
          <w:kern w:val="22"/>
          <w:szCs w:val="22"/>
          <w:lang w:val="fr-FR"/>
        </w:rPr>
      </w:pPr>
      <w:r w:rsidRPr="00780F50">
        <w:rPr>
          <w:szCs w:val="22"/>
          <w:lang w:val="fr-FR"/>
        </w:rPr>
        <w:t>Ont également assisté à la réunion des observateurs des organes, institutions spécialisées,  secrétariats de convention et autres organes  des Nations Unies suivants </w:t>
      </w:r>
      <w:r w:rsidR="00780F50" w:rsidRPr="00780F50">
        <w:rPr>
          <w:kern w:val="22"/>
          <w:szCs w:val="22"/>
          <w:lang w:val="fr-FR"/>
        </w:rPr>
        <w:t xml:space="preserve">: </w:t>
      </w:r>
      <w:r w:rsidR="00780F50">
        <w:rPr>
          <w:kern w:val="22"/>
          <w:szCs w:val="22"/>
          <w:lang w:val="fr-FR"/>
        </w:rPr>
        <w:t xml:space="preserve">Bureau régional du PNUE pour l’Amérique latine et les Caraïbes, Centre d’activité régional PNUE/MAP pour les aires spécialement protégées, Centre mondial de surveillance de la conservation de la nature du PNUE, Convention-cadre des Nations Unies sur les changements climatiques, Division des Nations Unies pour les affaires océaniques et le droit de la mer, </w:t>
      </w:r>
      <w:r w:rsidR="00780F50" w:rsidRPr="00780F50">
        <w:rPr>
          <w:kern w:val="22"/>
          <w:szCs w:val="22"/>
          <w:lang w:val="fr-FR"/>
        </w:rPr>
        <w:t>Fonds pour l’environnement mondial,</w:t>
      </w:r>
      <w:r w:rsidR="00780F50">
        <w:rPr>
          <w:kern w:val="22"/>
          <w:szCs w:val="22"/>
          <w:lang w:val="fr-FR"/>
        </w:rPr>
        <w:t xml:space="preserve"> </w:t>
      </w:r>
      <w:r w:rsidR="00CF5424">
        <w:rPr>
          <w:kern w:val="22"/>
          <w:szCs w:val="22"/>
          <w:lang w:val="fr-FR"/>
        </w:rPr>
        <w:t xml:space="preserve">Institut des Nations Unies pour l’étude avancée du développement durable, </w:t>
      </w:r>
      <w:r w:rsidR="00780F50">
        <w:rPr>
          <w:kern w:val="22"/>
          <w:szCs w:val="22"/>
          <w:lang w:val="fr-FR"/>
        </w:rPr>
        <w:t>Office des Nations Unies pour les services de projet, ONU Femmes,</w:t>
      </w:r>
      <w:r w:rsidR="00780F50" w:rsidRPr="00780F50">
        <w:rPr>
          <w:kern w:val="22"/>
          <w:szCs w:val="22"/>
          <w:lang w:val="fr-FR"/>
        </w:rPr>
        <w:t xml:space="preserve"> Organisation des Nations Unies pour l’alimentation et l’agriculture, </w:t>
      </w:r>
      <w:r w:rsidR="00CF5424">
        <w:rPr>
          <w:kern w:val="22"/>
          <w:szCs w:val="22"/>
          <w:lang w:val="fr-FR"/>
        </w:rPr>
        <w:t xml:space="preserve">Organisation mondiale de la santé, </w:t>
      </w:r>
      <w:r w:rsidR="00780F50" w:rsidRPr="00780F50">
        <w:rPr>
          <w:kern w:val="22"/>
          <w:szCs w:val="22"/>
          <w:lang w:val="fr-FR"/>
        </w:rPr>
        <w:t>Plateforme intergouvern</w:t>
      </w:r>
      <w:r w:rsidR="00780F50">
        <w:rPr>
          <w:kern w:val="22"/>
          <w:szCs w:val="22"/>
          <w:lang w:val="fr-FR"/>
        </w:rPr>
        <w:t>e</w:t>
      </w:r>
      <w:r w:rsidR="00780F50" w:rsidRPr="00780F50">
        <w:rPr>
          <w:kern w:val="22"/>
          <w:szCs w:val="22"/>
          <w:lang w:val="fr-FR"/>
        </w:rPr>
        <w:t>mental</w:t>
      </w:r>
      <w:r w:rsidR="00780F50">
        <w:rPr>
          <w:kern w:val="22"/>
          <w:szCs w:val="22"/>
          <w:lang w:val="fr-FR"/>
        </w:rPr>
        <w:t>e scientifiqu</w:t>
      </w:r>
      <w:r w:rsidR="00780F50" w:rsidRPr="00780F50">
        <w:rPr>
          <w:kern w:val="22"/>
          <w:szCs w:val="22"/>
          <w:lang w:val="fr-FR"/>
        </w:rPr>
        <w:t>e</w:t>
      </w:r>
      <w:r w:rsidR="00780F50">
        <w:rPr>
          <w:kern w:val="22"/>
          <w:szCs w:val="22"/>
          <w:lang w:val="fr-FR"/>
        </w:rPr>
        <w:t xml:space="preserve"> et politique sur la biodiversité et le s</w:t>
      </w:r>
      <w:r w:rsidR="00780F50" w:rsidRPr="00780F50">
        <w:rPr>
          <w:kern w:val="22"/>
          <w:szCs w:val="22"/>
          <w:lang w:val="fr-FR"/>
        </w:rPr>
        <w:t>ervices</w:t>
      </w:r>
      <w:r w:rsidR="00780F50">
        <w:rPr>
          <w:kern w:val="22"/>
          <w:szCs w:val="22"/>
          <w:lang w:val="fr-FR"/>
        </w:rPr>
        <w:t xml:space="preserve"> écosystémiques, Programme des Nations Unies pour le développement, Programme des Nations Unies pour l’environnement, Traité i</w:t>
      </w:r>
      <w:r w:rsidR="00780F50" w:rsidRPr="00780F50">
        <w:rPr>
          <w:kern w:val="22"/>
          <w:szCs w:val="22"/>
          <w:lang w:val="fr-FR"/>
        </w:rPr>
        <w:t>nterna</w:t>
      </w:r>
      <w:r w:rsidR="00780F50">
        <w:rPr>
          <w:kern w:val="22"/>
          <w:szCs w:val="22"/>
          <w:lang w:val="fr-FR"/>
        </w:rPr>
        <w:t>tional sur les r</w:t>
      </w:r>
      <w:r w:rsidR="00780F50" w:rsidRPr="00780F50">
        <w:rPr>
          <w:kern w:val="22"/>
          <w:szCs w:val="22"/>
          <w:lang w:val="fr-FR"/>
        </w:rPr>
        <w:t>es</w:t>
      </w:r>
      <w:r w:rsidR="00780F50">
        <w:rPr>
          <w:kern w:val="22"/>
          <w:szCs w:val="22"/>
          <w:lang w:val="fr-FR"/>
        </w:rPr>
        <w:t>s</w:t>
      </w:r>
      <w:r w:rsidR="00780F50" w:rsidRPr="00780F50">
        <w:rPr>
          <w:kern w:val="22"/>
          <w:szCs w:val="22"/>
          <w:lang w:val="fr-FR"/>
        </w:rPr>
        <w:t>ources</w:t>
      </w:r>
      <w:r w:rsidR="00780F50">
        <w:rPr>
          <w:kern w:val="22"/>
          <w:szCs w:val="22"/>
          <w:lang w:val="fr-FR"/>
        </w:rPr>
        <w:t xml:space="preserve"> phytogénétiques pour l’alimentation et l’a</w:t>
      </w:r>
      <w:r w:rsidR="00CF5424">
        <w:rPr>
          <w:kern w:val="22"/>
          <w:szCs w:val="22"/>
          <w:lang w:val="fr-FR"/>
        </w:rPr>
        <w:t>griculture</w:t>
      </w:r>
      <w:r w:rsidR="00780F50" w:rsidRPr="00780F50">
        <w:rPr>
          <w:lang w:val="fr-FR"/>
        </w:rPr>
        <w:t>.</w:t>
      </w:r>
    </w:p>
    <w:p w:rsidR="00F66AEE" w:rsidRDefault="00DC6ADE" w:rsidP="00004EAF">
      <w:pPr>
        <w:pStyle w:val="Para1"/>
        <w:numPr>
          <w:ilvl w:val="0"/>
          <w:numId w:val="7"/>
        </w:numPr>
        <w:suppressLineNumbers/>
        <w:tabs>
          <w:tab w:val="clear" w:pos="360"/>
          <w:tab w:val="left" w:pos="720"/>
        </w:tabs>
        <w:suppressAutoHyphens/>
        <w:snapToGrid w:val="0"/>
        <w:rPr>
          <w:kern w:val="22"/>
          <w:szCs w:val="22"/>
          <w:lang w:val="fr-FR"/>
        </w:rPr>
      </w:pPr>
      <w:r w:rsidRPr="00DC6ADE">
        <w:rPr>
          <w:szCs w:val="22"/>
          <w:lang w:val="fr-FR"/>
        </w:rPr>
        <w:t>Ont aussi été représentées par des observateurs les organisations suivantes :</w:t>
      </w:r>
      <w:r w:rsidRPr="00DC6ADE">
        <w:rPr>
          <w:kern w:val="22"/>
          <w:szCs w:val="22"/>
          <w:lang w:val="fr-FR"/>
        </w:rPr>
        <w:t xml:space="preserve"> </w:t>
      </w:r>
    </w:p>
    <w:p w:rsidR="00CF5424" w:rsidRDefault="00CF5424" w:rsidP="00CF5424">
      <w:pPr>
        <w:pStyle w:val="Para1"/>
        <w:suppressLineNumbers/>
        <w:tabs>
          <w:tab w:val="left" w:pos="720"/>
        </w:tabs>
        <w:suppressAutoHyphens/>
        <w:snapToGrid w:val="0"/>
        <w:rPr>
          <w:kern w:val="22"/>
          <w:szCs w:val="22"/>
          <w:lang w:val="fr-FR"/>
        </w:rPr>
        <w:sectPr w:rsidR="00CF5424" w:rsidSect="00D43CD7">
          <w:type w:val="continuous"/>
          <w:pgSz w:w="12240" w:h="15840" w:code="1"/>
          <w:pgMar w:top="1021" w:right="1440" w:bottom="1134" w:left="1440" w:header="454" w:footer="720" w:gutter="0"/>
          <w:cols w:space="720"/>
          <w:titlePg/>
          <w:docGrid w:linePitch="299"/>
        </w:sectPr>
      </w:pP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African Centre for Biodiversity</w:t>
      </w:r>
    </w:p>
    <w:p w:rsidR="00CF5424" w:rsidRPr="00CF5424" w:rsidRDefault="00CF5424" w:rsidP="00B006C0">
      <w:pPr>
        <w:pStyle w:val="Para1"/>
        <w:numPr>
          <w:ilvl w:val="0"/>
          <w:numId w:val="0"/>
        </w:numPr>
        <w:suppressLineNumbers/>
        <w:tabs>
          <w:tab w:val="left" w:pos="720"/>
        </w:tabs>
        <w:suppressAutoHyphens/>
        <w:snapToGrid w:val="0"/>
        <w:spacing w:before="0" w:after="0"/>
        <w:jc w:val="left"/>
        <w:rPr>
          <w:kern w:val="22"/>
          <w:szCs w:val="22"/>
          <w:lang w:val="en-AU"/>
        </w:rPr>
      </w:pPr>
      <w:r w:rsidRPr="00CF5424">
        <w:rPr>
          <w:kern w:val="22"/>
          <w:szCs w:val="22"/>
          <w:lang w:val="en-AU"/>
        </w:rPr>
        <w:t>African Indigenous Women Organization (Nairobi)</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African Union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African Wildlife Foundation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Aichi Prefecture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All India Forum of Forest Movements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American Bird Conservancy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Andes Chinchasuyo</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ARA - Working Group on Rainforests and Biodiversity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Armenian Forests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ASEAN Centre for Biodiversity</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Asociacióon Latinoamericana para el Desarrollo Alternativo</w:t>
      </w:r>
    </w:p>
    <w:p w:rsidR="00CF5424" w:rsidRPr="00CF5424" w:rsidRDefault="00CF5424" w:rsidP="00B006C0">
      <w:pPr>
        <w:pStyle w:val="Para1"/>
        <w:numPr>
          <w:ilvl w:val="0"/>
          <w:numId w:val="0"/>
        </w:numPr>
        <w:suppressLineNumbers/>
        <w:tabs>
          <w:tab w:val="left" w:pos="720"/>
        </w:tabs>
        <w:suppressAutoHyphens/>
        <w:snapToGrid w:val="0"/>
        <w:spacing w:before="0" w:after="0"/>
        <w:jc w:val="left"/>
        <w:rPr>
          <w:kern w:val="22"/>
          <w:szCs w:val="22"/>
          <w:lang w:val="fr-FR"/>
        </w:rPr>
      </w:pPr>
      <w:r w:rsidRPr="00CF5424">
        <w:rPr>
          <w:kern w:val="22"/>
          <w:szCs w:val="22"/>
          <w:lang w:val="fr-FR"/>
        </w:rPr>
        <w:t xml:space="preserve">Association des Scientifiques Environnementalistes pour un Développement Intégré </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Avaaz</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Biodiversity Matters</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Biofuelwatch</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Bioversity International</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BirdLife International</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Bombay Natural History Society</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Botanic Gardens Conservation International</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Bureau for Regional Outreach Campaigns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Canadian Council on Ecological Areas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Canadian Institutes of Health Research</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Canadian Parks and Wilderness Society</w:t>
      </w:r>
    </w:p>
    <w:p w:rsidR="00CF5424" w:rsidRPr="00CF5424" w:rsidRDefault="00CF5424" w:rsidP="00B006C0">
      <w:pPr>
        <w:pStyle w:val="Para1"/>
        <w:numPr>
          <w:ilvl w:val="0"/>
          <w:numId w:val="0"/>
        </w:numPr>
        <w:suppressLineNumbers/>
        <w:tabs>
          <w:tab w:val="left" w:pos="720"/>
        </w:tabs>
        <w:suppressAutoHyphens/>
        <w:snapToGrid w:val="0"/>
        <w:spacing w:before="0" w:after="0"/>
        <w:jc w:val="left"/>
        <w:rPr>
          <w:kern w:val="22"/>
          <w:szCs w:val="22"/>
          <w:lang w:val="en-AU"/>
        </w:rPr>
      </w:pPr>
      <w:r w:rsidRPr="00CF5424">
        <w:rPr>
          <w:kern w:val="22"/>
          <w:szCs w:val="22"/>
          <w:lang w:val="en-AU"/>
        </w:rPr>
        <w:t>Carnegie Council for Ethics in International Affairs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CBD Alliance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Center for Support of Indigenous Peoples of the North/Russian Indigenous Training Centre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Centro Interdisciplinario de Investigación y DeEsarrollo Alternativo U Yich Lu'Um</w:t>
      </w:r>
    </w:p>
    <w:p w:rsidR="00CF5424" w:rsidRPr="00DC2190"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DC2190">
        <w:rPr>
          <w:kern w:val="22"/>
          <w:szCs w:val="22"/>
          <w:lang w:val="en-AU"/>
        </w:rPr>
        <w:t>Centro para la Investigación y Planificación del Desarrollo Maya</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CEPA Japan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Children and Nature Network</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China University of Political Science and Law</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CF5424">
        <w:rPr>
          <w:kern w:val="22"/>
          <w:szCs w:val="22"/>
          <w:lang w:val="fr-FR"/>
        </w:rPr>
        <w:t>Commission des Forêts d’'Afrique Centrale</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Community Development Centre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Conservation International</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Cornell University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CropLife International</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Design and Environment Inc.</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 xml:space="preserve">Deutsche </w:t>
      </w:r>
      <w:r>
        <w:rPr>
          <w:kern w:val="22"/>
          <w:szCs w:val="22"/>
          <w:lang w:val="en-AU"/>
        </w:rPr>
        <w:t xml:space="preserve">Gesellschaft für Internationale </w:t>
      </w:r>
      <w:r w:rsidRPr="00CF5424">
        <w:rPr>
          <w:kern w:val="22"/>
          <w:szCs w:val="22"/>
          <w:lang w:val="en-AU"/>
        </w:rPr>
        <w:t>Zusammenarbeit (GIZ) GmbH (German International Cooperation Agency)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DivSeek</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Duke University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Ecological Movement "BIOM"</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EcoNexus</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EcoropaCOROPA</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 xml:space="preserve">Enda SantéNDA SANTE </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Envirocare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ETC Group</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Federation of Community Forestry Users, Nepal (FECOFUN)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Federation of German Scientists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Forest Peoples Programme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Foundation for the National Institutes of Health</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Fridtjof Nansen Institute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Friends of the Earth International</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Friends of the Earth U.S.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Friends of the Siberian Forests</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Frontier Co-op</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CF5424">
        <w:rPr>
          <w:kern w:val="22"/>
          <w:szCs w:val="22"/>
          <w:lang w:val="fr-FR"/>
        </w:rPr>
        <w:t>Fundación Ambiente y Recursos Naturales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CF5424">
        <w:rPr>
          <w:kern w:val="22"/>
          <w:szCs w:val="22"/>
          <w:lang w:val="fr-FR"/>
        </w:rPr>
        <w:t>Fundación de Expresión Intercultural, Educativa y Ambiental</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CF5424">
        <w:rPr>
          <w:kern w:val="22"/>
          <w:szCs w:val="22"/>
          <w:lang w:val="fr-FR"/>
        </w:rPr>
        <w:t>Fundación par</w:t>
      </w:r>
      <w:r>
        <w:rPr>
          <w:kern w:val="22"/>
          <w:szCs w:val="22"/>
          <w:lang w:val="fr-FR"/>
        </w:rPr>
        <w:t>a la Promoción del Conocimiento</w:t>
      </w:r>
      <w:r w:rsidRPr="00CF5424">
        <w:rPr>
          <w:kern w:val="22"/>
          <w:szCs w:val="22"/>
          <w:lang w:val="fr-FR"/>
        </w:rPr>
        <w:t>Indígena</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Future Earth</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Gamarjoba</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Gangwon Province (Republic of Korea)</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lastRenderedPageBreak/>
        <w:t>Ghana Aquaculture and Fish Network (GAFNET)</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Global Biodiversity Information Facility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Global Biodiversity Information Facility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Global Forest Coalition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Global Industry Coalition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 xml:space="preserve">Global Ocean Biodiversity Initiative </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Global Youth Biodiversity Network</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Greens Movem</w:t>
      </w:r>
      <w:r>
        <w:rPr>
          <w:kern w:val="22"/>
          <w:szCs w:val="22"/>
          <w:lang w:val="en-AU"/>
        </w:rPr>
        <w:t xml:space="preserve">ent of Georgia / Friends of the </w:t>
      </w:r>
      <w:r w:rsidRPr="00CF5424">
        <w:rPr>
          <w:kern w:val="22"/>
          <w:szCs w:val="22"/>
          <w:lang w:val="en-AU"/>
        </w:rPr>
        <w:t>Earth Georgia</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Group on Earth Observations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Group on E</w:t>
      </w:r>
      <w:r>
        <w:rPr>
          <w:kern w:val="22"/>
          <w:szCs w:val="22"/>
          <w:lang w:val="en-AU"/>
        </w:rPr>
        <w:t xml:space="preserve">arth Observations Biodiversity </w:t>
      </w:r>
      <w:r w:rsidRPr="00CF5424">
        <w:rPr>
          <w:kern w:val="22"/>
          <w:szCs w:val="22"/>
          <w:lang w:val="en-AU"/>
        </w:rPr>
        <w:t xml:space="preserve">Observation Network </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Heinrich Böll Foundation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Helmholtz Centre for Environmental Research - UFZ</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Helsinki Commission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ICCA Consortium</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Imperial College London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Indigenous Information Network</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 xml:space="preserve">Indigenous </w:t>
      </w:r>
      <w:r>
        <w:rPr>
          <w:kern w:val="22"/>
          <w:szCs w:val="22"/>
          <w:lang w:val="en-AU"/>
        </w:rPr>
        <w:t xml:space="preserve">Peoples of Africa Co-ordinating&lt; </w:t>
      </w:r>
      <w:r w:rsidRPr="00CF5424">
        <w:rPr>
          <w:kern w:val="22"/>
          <w:szCs w:val="22"/>
          <w:lang w:val="en-AU"/>
        </w:rPr>
        <w:t>Committee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CF5424">
        <w:rPr>
          <w:kern w:val="22"/>
          <w:szCs w:val="22"/>
          <w:lang w:val="fr-FR"/>
        </w:rPr>
        <w:t>Institut de la Francophonie pour le développement durable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Institute for Biodiversity Network</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Inter-American Institute for Global Change Research</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International Center for Technology Assessment</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International Chamber of Commerce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International Federation of Pharmaceutical Manufacturers and Associations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International Fund for Animal Welfare</w:t>
      </w:r>
    </w:p>
    <w:p w:rsidR="00933BEE" w:rsidRPr="00933BEE" w:rsidRDefault="00933BEE" w:rsidP="00933BEE">
      <w:pPr>
        <w:spacing w:before="60" w:after="60"/>
        <w:ind w:left="284" w:hanging="284"/>
        <w:jc w:val="left"/>
        <w:rPr>
          <w:szCs w:val="22"/>
        </w:rPr>
      </w:pPr>
      <w:r w:rsidRPr="00177A8A">
        <w:rPr>
          <w:szCs w:val="22"/>
        </w:rPr>
        <w:t>International Indigenous Forum on Biodiversity</w:t>
      </w:r>
    </w:p>
    <w:p w:rsidR="00CF5424" w:rsidRPr="00933BEE" w:rsidRDefault="00CF5424" w:rsidP="00933BEE">
      <w:pPr>
        <w:pStyle w:val="Para1"/>
        <w:numPr>
          <w:ilvl w:val="0"/>
          <w:numId w:val="0"/>
        </w:numPr>
        <w:suppressLineNumbers/>
        <w:tabs>
          <w:tab w:val="left" w:pos="720"/>
        </w:tabs>
        <w:suppressAutoHyphens/>
        <w:snapToGrid w:val="0"/>
        <w:spacing w:before="0" w:after="0"/>
        <w:rPr>
          <w:kern w:val="22"/>
          <w:szCs w:val="22"/>
          <w:lang w:val="en-AU"/>
        </w:rPr>
      </w:pPr>
      <w:r w:rsidRPr="00933BEE">
        <w:rPr>
          <w:kern w:val="22"/>
          <w:szCs w:val="22"/>
          <w:lang w:val="en-AU"/>
        </w:rPr>
        <w:t>I</w:t>
      </w:r>
      <w:r w:rsidR="00933BEE" w:rsidRPr="00933BEE">
        <w:rPr>
          <w:kern w:val="22"/>
          <w:szCs w:val="22"/>
          <w:lang w:val="en-AU"/>
        </w:rPr>
        <w:t>nternational Institute for Sustainable Development</w:t>
      </w:r>
      <w:r w:rsidRPr="00933BEE">
        <w:rPr>
          <w:kern w:val="22"/>
          <w:szCs w:val="22"/>
          <w:lang w:val="en-AU"/>
        </w:rPr>
        <w:t xml:space="preserve"> </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 xml:space="preserve">International Partnership for the Satoyama Initiative </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International Potato Center</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International Seed Federation</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0333BE">
        <w:rPr>
          <w:kern w:val="22"/>
          <w:szCs w:val="22"/>
          <w:lang w:val="en-AU"/>
        </w:rPr>
        <w:t>International Seed Federation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International Society for Biosafety Research</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International Union of Biological Sciences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Island Conservation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IUCN - International Union for Conservation of Nature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 Craig Venter Institute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Jabalbina Yalanji Aboriginal Corporation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Japan Agency for Marine-Earth Science and Technology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Japan Biodiversity Youth Network</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Japan Committee for IUCN</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JAPAN NUS Co.</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Japan Wildlife Research Center</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Kalpavriksh</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Karen Environmental and Social Action Network</w:t>
      </w:r>
    </w:p>
    <w:p w:rsidR="00CF5424" w:rsidRPr="000333BE"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0333BE">
        <w:rPr>
          <w:kern w:val="22"/>
          <w:szCs w:val="22"/>
          <w:lang w:val="fr-FR"/>
        </w:rPr>
        <w:t>Korea Federation for Environmental Movement</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fr-FR"/>
        </w:rPr>
      </w:pPr>
      <w:r w:rsidRPr="00CF5424">
        <w:rPr>
          <w:kern w:val="22"/>
          <w:szCs w:val="22"/>
          <w:lang w:val="fr-FR"/>
        </w:rPr>
        <w:t>Les Amis de la Terre</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Locally-Managed Marine Areas - Madagascar Network (MIHARI)</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 xml:space="preserve">Massachusetts Institute of Technology </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McMaster University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National Forum for Advocacy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Natural Justice (Lawyers for Communities and the Environment)</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NC State University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NEPAD Planning and Coordinating Agency</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Netw</w:t>
      </w:r>
      <w:r w:rsidR="00933BEE">
        <w:rPr>
          <w:kern w:val="22"/>
          <w:szCs w:val="22"/>
          <w:lang w:val="en-AU"/>
        </w:rPr>
        <w:t>ork of Regional Governments for Sustainable Development</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Network of the Indigenous Peoples of Solomons</w:t>
      </w:r>
    </w:p>
    <w:p w:rsidR="00CF5424" w:rsidRP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Organic &amp;and Natural Health Association</w:t>
      </w:r>
    </w:p>
    <w:p w:rsidR="00CF5424" w:rsidRDefault="00CF5424" w:rsidP="00B006C0">
      <w:pPr>
        <w:pStyle w:val="Para1"/>
        <w:numPr>
          <w:ilvl w:val="0"/>
          <w:numId w:val="0"/>
        </w:numPr>
        <w:suppressLineNumbers/>
        <w:tabs>
          <w:tab w:val="left" w:pos="720"/>
        </w:tabs>
        <w:suppressAutoHyphens/>
        <w:snapToGrid w:val="0"/>
        <w:spacing w:before="0" w:after="0"/>
        <w:rPr>
          <w:kern w:val="22"/>
          <w:szCs w:val="22"/>
          <w:lang w:val="en-AU"/>
        </w:rPr>
      </w:pPr>
      <w:r w:rsidRPr="00CF5424">
        <w:rPr>
          <w:kern w:val="22"/>
          <w:szCs w:val="22"/>
          <w:lang w:val="en-AU"/>
        </w:rPr>
        <w:t>Organiszation for Economic Co-operation and Development</w:t>
      </w:r>
    </w:p>
    <w:p w:rsidR="00CF5424" w:rsidRPr="005B0B8E" w:rsidRDefault="00CF5424" w:rsidP="00B006C0">
      <w:pPr>
        <w:ind w:left="284" w:hanging="284"/>
        <w:jc w:val="left"/>
        <w:rPr>
          <w:lang w:val="fr-FR"/>
        </w:rPr>
      </w:pPr>
      <w:r w:rsidRPr="005B0B8E">
        <w:rPr>
          <w:lang w:val="fr-FR"/>
        </w:rPr>
        <w:t xml:space="preserve">PBL Netherlands Environmental Assessment Agency </w:t>
      </w:r>
    </w:p>
    <w:p w:rsidR="00CF5424" w:rsidRPr="005B0B8E" w:rsidRDefault="00CF5424" w:rsidP="00B006C0">
      <w:pPr>
        <w:ind w:left="284" w:hanging="284"/>
        <w:jc w:val="left"/>
        <w:rPr>
          <w:lang w:val="fr-FR"/>
        </w:rPr>
      </w:pPr>
      <w:r w:rsidRPr="005B0B8E">
        <w:rPr>
          <w:lang w:val="fr-FR"/>
        </w:rPr>
        <w:t xml:space="preserve">People and Nature Reconciliation </w:t>
      </w:r>
    </w:p>
    <w:p w:rsidR="00CF5424" w:rsidRPr="005B0B8E" w:rsidRDefault="00CF5424" w:rsidP="00B006C0">
      <w:pPr>
        <w:ind w:left="284" w:hanging="284"/>
        <w:jc w:val="left"/>
        <w:rPr>
          <w:lang w:val="fr-FR"/>
        </w:rPr>
      </w:pPr>
      <w:r w:rsidRPr="005B0B8E">
        <w:rPr>
          <w:lang w:val="fr-FR"/>
        </w:rPr>
        <w:t>Philippine Association For Intercultural Development</w:t>
      </w:r>
    </w:p>
    <w:p w:rsidR="00CF5424" w:rsidRPr="00097621" w:rsidRDefault="00CF5424" w:rsidP="00B006C0">
      <w:pPr>
        <w:ind w:left="284" w:hanging="284"/>
        <w:jc w:val="left"/>
        <w:rPr>
          <w:lang w:val="fr-FR"/>
        </w:rPr>
      </w:pPr>
      <w:r w:rsidRPr="00097621">
        <w:rPr>
          <w:lang w:val="fr-FR"/>
        </w:rPr>
        <w:t>Plataforma Dominicana de Afrodescendientes</w:t>
      </w:r>
    </w:p>
    <w:p w:rsidR="00CF5424" w:rsidRPr="00097621" w:rsidRDefault="00CF5424" w:rsidP="00B006C0">
      <w:pPr>
        <w:ind w:left="284" w:hanging="284"/>
        <w:jc w:val="left"/>
        <w:rPr>
          <w:lang w:val="fr-FR"/>
        </w:rPr>
      </w:pPr>
      <w:r w:rsidRPr="00097621">
        <w:rPr>
          <w:lang w:val="fr-FR"/>
        </w:rPr>
        <w:t>Programme régional de Conservation de la zone Côtière et Marine en Afrique de l’Ouest</w:t>
      </w:r>
    </w:p>
    <w:p w:rsidR="00CF5424" w:rsidRPr="00097621" w:rsidRDefault="00CF5424" w:rsidP="00B006C0">
      <w:pPr>
        <w:ind w:left="284" w:hanging="284"/>
        <w:jc w:val="left"/>
      </w:pPr>
      <w:r w:rsidRPr="00097621">
        <w:t>Protect Our Water and Environmental Resources</w:t>
      </w:r>
    </w:p>
    <w:p w:rsidR="00CF5424" w:rsidRPr="00097621" w:rsidRDefault="00CF5424" w:rsidP="00B006C0">
      <w:pPr>
        <w:ind w:left="284" w:hanging="284"/>
        <w:jc w:val="left"/>
      </w:pPr>
      <w:r w:rsidRPr="00097621">
        <w:t>Public Research and Regulation Initiative</w:t>
      </w:r>
    </w:p>
    <w:p w:rsidR="00CF5424" w:rsidRPr="00097621" w:rsidRDefault="00CF5424" w:rsidP="00B006C0">
      <w:pPr>
        <w:ind w:left="284" w:hanging="284"/>
        <w:jc w:val="left"/>
      </w:pPr>
      <w:r w:rsidRPr="00097621">
        <w:t>Pueblo Originario Kichwa de Sarayaku</w:t>
      </w:r>
    </w:p>
    <w:p w:rsidR="00CF5424" w:rsidRPr="00DF2A33" w:rsidRDefault="00CF5424" w:rsidP="00B006C0">
      <w:pPr>
        <w:ind w:left="284" w:hanging="284"/>
        <w:jc w:val="left"/>
        <w:rPr>
          <w:lang w:val="es-MX"/>
        </w:rPr>
      </w:pPr>
      <w:r w:rsidRPr="00DF2A33">
        <w:rPr>
          <w:lang w:val="es-MX"/>
        </w:rPr>
        <w:t>Ramsar Convention on Wetlands</w:t>
      </w:r>
    </w:p>
    <w:p w:rsidR="00CF5424" w:rsidRPr="00DF2A33" w:rsidRDefault="00CF5424" w:rsidP="00B006C0">
      <w:pPr>
        <w:ind w:left="284" w:hanging="284"/>
        <w:jc w:val="left"/>
        <w:rPr>
          <w:lang w:val="es-MX"/>
        </w:rPr>
      </w:pPr>
      <w:r w:rsidRPr="00DF2A33">
        <w:rPr>
          <w:lang w:val="es-MX"/>
        </w:rPr>
        <w:t>Red de Mujeres Ind</w:t>
      </w:r>
      <w:r w:rsidRPr="00DF2A33">
        <w:rPr>
          <w:kern w:val="22"/>
          <w:szCs w:val="22"/>
          <w:lang w:val="es-MX"/>
        </w:rPr>
        <w:t>í</w:t>
      </w:r>
      <w:r w:rsidRPr="00DF2A33">
        <w:rPr>
          <w:lang w:val="es-MX"/>
        </w:rPr>
        <w:t>genas sobre Biodiversidad de América Latina y el Caribe</w:t>
      </w:r>
    </w:p>
    <w:p w:rsidR="00CF5424" w:rsidRPr="00097621" w:rsidRDefault="00CF5424" w:rsidP="00B006C0">
      <w:pPr>
        <w:ind w:left="284" w:hanging="284"/>
        <w:jc w:val="left"/>
        <w:rPr>
          <w:lang w:val="fr-FR"/>
        </w:rPr>
      </w:pPr>
      <w:r w:rsidRPr="00097621">
        <w:rPr>
          <w:lang w:val="fr-FR"/>
        </w:rPr>
        <w:t>Réseau des gestionnaires d</w:t>
      </w:r>
      <w:r>
        <w:rPr>
          <w:lang w:val="fr-FR"/>
        </w:rPr>
        <w:t>’</w:t>
      </w:r>
      <w:r w:rsidRPr="00097621">
        <w:rPr>
          <w:lang w:val="fr-FR"/>
        </w:rPr>
        <w:t>aires marines protégées en Méditerranée</w:t>
      </w:r>
    </w:p>
    <w:p w:rsidR="00CF5424" w:rsidRPr="00097621" w:rsidRDefault="00CF5424" w:rsidP="00B006C0">
      <w:pPr>
        <w:ind w:left="284" w:hanging="284"/>
        <w:jc w:val="left"/>
        <w:rPr>
          <w:lang w:val="fr-FR"/>
        </w:rPr>
      </w:pPr>
      <w:r w:rsidRPr="00097621">
        <w:rPr>
          <w:lang w:val="fr-FR"/>
        </w:rPr>
        <w:t>Réseau Guinéen des Zones Humides (REGUIZOH)</w:t>
      </w:r>
    </w:p>
    <w:p w:rsidR="00CF5424" w:rsidRPr="00097621" w:rsidRDefault="00CF5424" w:rsidP="00B006C0">
      <w:pPr>
        <w:ind w:left="284" w:hanging="284"/>
        <w:jc w:val="left"/>
      </w:pPr>
      <w:r w:rsidRPr="00097621">
        <w:t>Rueda de Medicina</w:t>
      </w:r>
    </w:p>
    <w:p w:rsidR="00CF5424" w:rsidRPr="00097621" w:rsidRDefault="00CF5424" w:rsidP="00B006C0">
      <w:pPr>
        <w:ind w:left="284" w:hanging="284"/>
        <w:jc w:val="left"/>
      </w:pPr>
      <w:r w:rsidRPr="00097621">
        <w:t>Rural Integrated Center for Community Empowerment</w:t>
      </w:r>
    </w:p>
    <w:p w:rsidR="00CF5424" w:rsidRPr="00097621" w:rsidRDefault="00CF5424" w:rsidP="00B006C0">
      <w:pPr>
        <w:ind w:left="284" w:hanging="284"/>
        <w:jc w:val="left"/>
      </w:pPr>
      <w:r w:rsidRPr="00097621">
        <w:t>Saami Council</w:t>
      </w:r>
    </w:p>
    <w:p w:rsidR="00CF5424" w:rsidRPr="00097621" w:rsidRDefault="00CF5424" w:rsidP="00B006C0">
      <w:pPr>
        <w:ind w:left="284" w:hanging="284"/>
        <w:jc w:val="left"/>
      </w:pPr>
      <w:r w:rsidRPr="00097621">
        <w:t>Seascape Consultants Ltd.</w:t>
      </w:r>
    </w:p>
    <w:p w:rsidR="00CF5424" w:rsidRPr="00097621" w:rsidRDefault="00CF5424" w:rsidP="00B006C0">
      <w:pPr>
        <w:ind w:left="284" w:hanging="284"/>
        <w:jc w:val="left"/>
        <w:rPr>
          <w:lang w:val="fr-FR"/>
        </w:rPr>
      </w:pPr>
      <w:r w:rsidRPr="002B70A7">
        <w:rPr>
          <w:lang w:val="fr-FR"/>
        </w:rPr>
        <w:t>Shirika La Bambuti - Programme Intégré pour le développement du peuple pygmée</w:t>
      </w:r>
    </w:p>
    <w:p w:rsidR="00CF5424" w:rsidRPr="00097621" w:rsidRDefault="00CF5424" w:rsidP="00B006C0">
      <w:pPr>
        <w:ind w:left="284" w:hanging="284"/>
        <w:jc w:val="left"/>
      </w:pPr>
      <w:r w:rsidRPr="00097621">
        <w:t>Society for Wetlands and Biodiversity Conservation - Nepal</w:t>
      </w:r>
    </w:p>
    <w:p w:rsidR="00CF5424" w:rsidRPr="00097621" w:rsidRDefault="00CF5424" w:rsidP="00B006C0">
      <w:pPr>
        <w:ind w:left="284" w:hanging="284"/>
        <w:jc w:val="left"/>
      </w:pPr>
      <w:r w:rsidRPr="00097621">
        <w:t>State University of New York at Plattsburgh</w:t>
      </w:r>
    </w:p>
    <w:p w:rsidR="00CF5424" w:rsidRPr="00097621" w:rsidRDefault="00CF5424" w:rsidP="00B006C0">
      <w:pPr>
        <w:ind w:left="284" w:hanging="284"/>
        <w:jc w:val="left"/>
      </w:pPr>
      <w:r w:rsidRPr="00097621">
        <w:t>Stockholm Resilience Centre</w:t>
      </w:r>
    </w:p>
    <w:p w:rsidR="00CF5424" w:rsidRPr="00097621" w:rsidRDefault="00CF5424" w:rsidP="00B006C0">
      <w:pPr>
        <w:ind w:left="284" w:hanging="284"/>
        <w:jc w:val="left"/>
      </w:pPr>
      <w:r w:rsidRPr="00097621">
        <w:t>Strong Roots Congo</w:t>
      </w:r>
    </w:p>
    <w:p w:rsidR="00CF5424" w:rsidRPr="00097621" w:rsidRDefault="00CF5424" w:rsidP="00B006C0">
      <w:pPr>
        <w:ind w:left="284" w:hanging="284"/>
        <w:jc w:val="left"/>
      </w:pPr>
      <w:r w:rsidRPr="00097621">
        <w:t>Sustainable Forestry Initiative</w:t>
      </w:r>
    </w:p>
    <w:p w:rsidR="00CF5424" w:rsidRPr="00097621" w:rsidRDefault="00CF5424" w:rsidP="00B006C0">
      <w:pPr>
        <w:ind w:left="284" w:hanging="284"/>
        <w:jc w:val="left"/>
      </w:pPr>
      <w:r w:rsidRPr="00097621">
        <w:t>Tanzania Alliance for Biodiversity</w:t>
      </w:r>
    </w:p>
    <w:p w:rsidR="00CF5424" w:rsidRPr="00097621" w:rsidRDefault="00CF5424" w:rsidP="00B006C0">
      <w:pPr>
        <w:ind w:left="284" w:hanging="284"/>
        <w:jc w:val="left"/>
      </w:pPr>
      <w:r w:rsidRPr="00097621">
        <w:lastRenderedPageBreak/>
        <w:t xml:space="preserve">Tata Institute for Genetics and Society - University of California San Diego </w:t>
      </w:r>
    </w:p>
    <w:p w:rsidR="00CF5424" w:rsidRPr="00097621" w:rsidRDefault="00CF5424" w:rsidP="00B006C0">
      <w:pPr>
        <w:ind w:left="284" w:hanging="284"/>
        <w:jc w:val="left"/>
      </w:pPr>
      <w:r w:rsidRPr="00097621">
        <w:t>Tebtebba Foundation</w:t>
      </w:r>
    </w:p>
    <w:p w:rsidR="00CF5424" w:rsidRPr="00097621" w:rsidRDefault="00CF5424" w:rsidP="00B006C0">
      <w:pPr>
        <w:ind w:left="284" w:hanging="284"/>
        <w:jc w:val="left"/>
      </w:pPr>
      <w:r w:rsidRPr="00097621">
        <w:t xml:space="preserve">The Development Institute </w:t>
      </w:r>
    </w:p>
    <w:p w:rsidR="00CF5424" w:rsidRPr="00097621" w:rsidRDefault="00CF5424" w:rsidP="00B006C0">
      <w:pPr>
        <w:ind w:left="284" w:hanging="284"/>
        <w:jc w:val="left"/>
      </w:pPr>
      <w:r w:rsidRPr="00097621">
        <w:t>The Nature Conservancy</w:t>
      </w:r>
    </w:p>
    <w:p w:rsidR="00CF5424" w:rsidRPr="00097621" w:rsidRDefault="00CF5424" w:rsidP="00B006C0">
      <w:pPr>
        <w:ind w:left="284" w:hanging="284"/>
        <w:jc w:val="left"/>
      </w:pPr>
      <w:r w:rsidRPr="00097621">
        <w:t xml:space="preserve">The Pew Charitable Trusts </w:t>
      </w:r>
    </w:p>
    <w:p w:rsidR="00CF5424" w:rsidRPr="00097621" w:rsidRDefault="00CF5424" w:rsidP="00B006C0">
      <w:pPr>
        <w:ind w:left="284" w:hanging="284"/>
        <w:jc w:val="left"/>
      </w:pPr>
      <w:r w:rsidRPr="00097621">
        <w:t>Third World Network</w:t>
      </w:r>
    </w:p>
    <w:p w:rsidR="00CF5424" w:rsidRPr="00097621" w:rsidRDefault="00CF5424" w:rsidP="00B006C0">
      <w:pPr>
        <w:ind w:left="284" w:hanging="284"/>
        <w:jc w:val="left"/>
      </w:pPr>
      <w:r w:rsidRPr="00097621">
        <w:t>Torres Strait</w:t>
      </w:r>
    </w:p>
    <w:p w:rsidR="00CF5424" w:rsidRPr="00097621" w:rsidRDefault="00CF5424" w:rsidP="00B006C0">
      <w:pPr>
        <w:ind w:left="284" w:hanging="284"/>
        <w:jc w:val="left"/>
      </w:pPr>
      <w:r w:rsidRPr="00097621">
        <w:t>United Organi</w:t>
      </w:r>
      <w:r>
        <w:t>s</w:t>
      </w:r>
      <w:r w:rsidRPr="00097621">
        <w:t xml:space="preserve">ation </w:t>
      </w:r>
      <w:r>
        <w:t>for</w:t>
      </w:r>
      <w:r w:rsidRPr="00097621">
        <w:t xml:space="preserve"> Batwa Development in Uganda</w:t>
      </w:r>
    </w:p>
    <w:p w:rsidR="00CF5424" w:rsidRPr="00CF5424" w:rsidRDefault="00CF5424" w:rsidP="00B006C0">
      <w:pPr>
        <w:ind w:left="284" w:hanging="284"/>
        <w:jc w:val="left"/>
        <w:rPr>
          <w:lang w:val="en-AU"/>
        </w:rPr>
      </w:pPr>
      <w:r w:rsidRPr="00CF5424">
        <w:rPr>
          <w:lang w:val="en-AU"/>
        </w:rPr>
        <w:t>Université de Sherbrooke</w:t>
      </w:r>
    </w:p>
    <w:p w:rsidR="00CF5424" w:rsidRPr="00097621" w:rsidRDefault="00CF5424" w:rsidP="00B006C0">
      <w:pPr>
        <w:ind w:left="284" w:hanging="284"/>
        <w:jc w:val="left"/>
      </w:pPr>
      <w:r w:rsidRPr="00097621">
        <w:t>University of British Columbia</w:t>
      </w:r>
    </w:p>
    <w:p w:rsidR="00CF5424" w:rsidRPr="00097621" w:rsidRDefault="00CF5424" w:rsidP="00B006C0">
      <w:pPr>
        <w:ind w:left="284" w:hanging="284"/>
        <w:jc w:val="left"/>
      </w:pPr>
      <w:r w:rsidRPr="00097621">
        <w:t>University of California, San Diego Campus</w:t>
      </w:r>
    </w:p>
    <w:p w:rsidR="00CF5424" w:rsidRPr="00097621" w:rsidRDefault="00CF5424" w:rsidP="00B006C0">
      <w:pPr>
        <w:ind w:left="284" w:hanging="284"/>
        <w:jc w:val="left"/>
      </w:pPr>
      <w:r w:rsidRPr="00097621">
        <w:t>University of Edinburgh</w:t>
      </w:r>
    </w:p>
    <w:p w:rsidR="00CF5424" w:rsidRPr="00097621" w:rsidRDefault="00CF5424" w:rsidP="00B006C0">
      <w:pPr>
        <w:ind w:left="284" w:hanging="284"/>
        <w:jc w:val="left"/>
      </w:pPr>
      <w:r w:rsidRPr="00097621">
        <w:t>University of Guelph</w:t>
      </w:r>
    </w:p>
    <w:p w:rsidR="00CF5424" w:rsidRPr="00097621" w:rsidRDefault="00CF5424" w:rsidP="00B006C0">
      <w:pPr>
        <w:ind w:left="284" w:hanging="284"/>
        <w:jc w:val="left"/>
      </w:pPr>
      <w:r w:rsidRPr="00097621">
        <w:t>University of São Paulo</w:t>
      </w:r>
    </w:p>
    <w:p w:rsidR="00CF5424" w:rsidRPr="00097621" w:rsidRDefault="00CF5424" w:rsidP="00B006C0">
      <w:pPr>
        <w:ind w:left="284" w:hanging="284"/>
        <w:jc w:val="left"/>
      </w:pPr>
      <w:r w:rsidRPr="00097621">
        <w:t>University of Sheffield</w:t>
      </w:r>
    </w:p>
    <w:p w:rsidR="00CF5424" w:rsidRPr="00097621" w:rsidRDefault="00CF5424" w:rsidP="00B006C0">
      <w:pPr>
        <w:ind w:left="284" w:hanging="284"/>
        <w:jc w:val="left"/>
      </w:pPr>
      <w:r w:rsidRPr="00097621">
        <w:t>University of Strathclyde</w:t>
      </w:r>
    </w:p>
    <w:p w:rsidR="00CF5424" w:rsidRPr="00097621" w:rsidRDefault="00CF5424" w:rsidP="00B006C0">
      <w:pPr>
        <w:ind w:left="284" w:hanging="284"/>
        <w:jc w:val="left"/>
      </w:pPr>
      <w:r w:rsidRPr="00097621">
        <w:t>University of the Arts London</w:t>
      </w:r>
    </w:p>
    <w:p w:rsidR="00CF5424" w:rsidRPr="00097621" w:rsidRDefault="00CF5424" w:rsidP="00B006C0">
      <w:pPr>
        <w:ind w:left="284" w:hanging="284"/>
        <w:jc w:val="left"/>
      </w:pPr>
      <w:r w:rsidRPr="00097621">
        <w:t>Unnayan Onneshan</w:t>
      </w:r>
    </w:p>
    <w:p w:rsidR="00CF5424" w:rsidRPr="00097621" w:rsidRDefault="00CF5424" w:rsidP="00B006C0">
      <w:pPr>
        <w:ind w:left="284" w:hanging="284"/>
        <w:jc w:val="left"/>
      </w:pPr>
      <w:r w:rsidRPr="00097621">
        <w:t>USC Canada</w:t>
      </w:r>
    </w:p>
    <w:p w:rsidR="00CF5424" w:rsidRPr="00097621" w:rsidRDefault="00CF5424" w:rsidP="00B006C0">
      <w:pPr>
        <w:ind w:left="284" w:hanging="284"/>
        <w:jc w:val="left"/>
      </w:pPr>
      <w:r w:rsidRPr="00097621">
        <w:t>Wellcome Trust</w:t>
      </w:r>
    </w:p>
    <w:p w:rsidR="00CF5424" w:rsidRPr="00097621" w:rsidRDefault="00CF5424" w:rsidP="00B006C0">
      <w:pPr>
        <w:ind w:left="284" w:hanging="284"/>
        <w:jc w:val="left"/>
      </w:pPr>
      <w:r w:rsidRPr="00097621">
        <w:t>Wetlands International</w:t>
      </w:r>
    </w:p>
    <w:p w:rsidR="00CF5424" w:rsidRPr="00097621" w:rsidRDefault="00CF5424" w:rsidP="00B006C0">
      <w:pPr>
        <w:ind w:left="284" w:hanging="284"/>
        <w:jc w:val="left"/>
      </w:pPr>
      <w:r w:rsidRPr="00097621">
        <w:t>Wildlife Conservation Society</w:t>
      </w:r>
    </w:p>
    <w:p w:rsidR="00CF5424" w:rsidRPr="00097621" w:rsidRDefault="00CF5424" w:rsidP="00B006C0">
      <w:pPr>
        <w:ind w:left="284" w:hanging="284"/>
        <w:jc w:val="left"/>
      </w:pPr>
      <w:r w:rsidRPr="00097621">
        <w:t>World Agroforestry Centre</w:t>
      </w:r>
    </w:p>
    <w:p w:rsidR="00CF5424" w:rsidRPr="000333BE" w:rsidRDefault="00CF5424" w:rsidP="00B006C0">
      <w:pPr>
        <w:ind w:left="284" w:hanging="284"/>
        <w:jc w:val="left"/>
        <w:rPr>
          <w:lang w:val="fr-FR"/>
        </w:rPr>
      </w:pPr>
      <w:r w:rsidRPr="000333BE">
        <w:rPr>
          <w:lang w:val="fr-FR"/>
        </w:rPr>
        <w:t>WWF - Brazil</w:t>
      </w:r>
    </w:p>
    <w:p w:rsidR="00CF5424" w:rsidRPr="000333BE" w:rsidRDefault="0050486A" w:rsidP="00B006C0">
      <w:pPr>
        <w:ind w:left="284" w:hanging="284"/>
        <w:jc w:val="left"/>
        <w:rPr>
          <w:lang w:val="fr-FR"/>
        </w:rPr>
        <w:sectPr w:rsidR="00CF5424" w:rsidRPr="000333BE" w:rsidSect="00853DC1">
          <w:type w:val="continuous"/>
          <w:pgSz w:w="12240" w:h="15840" w:code="1"/>
          <w:pgMar w:top="1021" w:right="1440" w:bottom="1134" w:left="1440" w:header="454" w:footer="720" w:gutter="0"/>
          <w:cols w:num="2" w:space="720"/>
          <w:titlePg/>
          <w:docGrid w:linePitch="299"/>
        </w:sectPr>
      </w:pPr>
      <w:r w:rsidRPr="000333BE">
        <w:rPr>
          <w:lang w:val="fr-FR"/>
        </w:rPr>
        <w:t>WWF International</w:t>
      </w:r>
    </w:p>
    <w:p w:rsidR="00CF5424" w:rsidRPr="000333BE" w:rsidRDefault="00CF5424" w:rsidP="00CF5424">
      <w:pPr>
        <w:pStyle w:val="Para1"/>
        <w:numPr>
          <w:ilvl w:val="0"/>
          <w:numId w:val="0"/>
        </w:numPr>
        <w:suppressLineNumbers/>
        <w:tabs>
          <w:tab w:val="left" w:pos="720"/>
        </w:tabs>
        <w:suppressAutoHyphens/>
        <w:snapToGrid w:val="0"/>
        <w:rPr>
          <w:kern w:val="22"/>
          <w:szCs w:val="22"/>
          <w:lang w:val="fr-FR"/>
        </w:rPr>
        <w:sectPr w:rsidR="00CF5424" w:rsidRPr="000333BE" w:rsidSect="00CF5424">
          <w:type w:val="continuous"/>
          <w:pgSz w:w="12240" w:h="15840" w:code="1"/>
          <w:pgMar w:top="1021" w:right="1440" w:bottom="1134" w:left="1440" w:header="454" w:footer="720" w:gutter="0"/>
          <w:cols w:num="2" w:space="720"/>
          <w:titlePg/>
          <w:docGrid w:linePitch="299"/>
        </w:sectPr>
      </w:pPr>
    </w:p>
    <w:p w:rsidR="009E6BA9" w:rsidRPr="00DC6ADE" w:rsidRDefault="00B5440F" w:rsidP="009E6BA9">
      <w:pPr>
        <w:pStyle w:val="Heading1"/>
        <w:suppressLineNumbers/>
        <w:suppressAutoHyphens/>
        <w:rPr>
          <w:rFonts w:ascii="Times New Roman Bold" w:hAnsi="Times New Roman Bold" w:cs="Times New Roman Bold"/>
          <w:caps w:val="0"/>
          <w:snapToGrid w:val="0"/>
          <w:kern w:val="22"/>
          <w:szCs w:val="22"/>
          <w:lang w:val="fr-FR"/>
        </w:rPr>
      </w:pPr>
      <w:bookmarkStart w:id="451" w:name="_Toc525904288"/>
      <w:bookmarkStart w:id="452" w:name="_Toc525904447"/>
      <w:bookmarkStart w:id="453" w:name="_Toc525904691"/>
      <w:r w:rsidRPr="00DC6ADE">
        <w:rPr>
          <w:rFonts w:ascii="Times New Roman Bold" w:hAnsi="Times New Roman Bold" w:cs="Times New Roman Bold"/>
          <w:caps w:val="0"/>
          <w:snapToGrid w:val="0"/>
          <w:kern w:val="22"/>
          <w:szCs w:val="22"/>
          <w:lang w:val="fr-FR"/>
        </w:rPr>
        <w:t>POINT 1.</w:t>
      </w:r>
      <w:r w:rsidRPr="00DC6ADE">
        <w:rPr>
          <w:rFonts w:ascii="Times New Roman Bold" w:hAnsi="Times New Roman Bold" w:cs="Times New Roman Bold"/>
          <w:caps w:val="0"/>
          <w:snapToGrid w:val="0"/>
          <w:kern w:val="22"/>
          <w:szCs w:val="22"/>
          <w:lang w:val="fr-FR"/>
        </w:rPr>
        <w:tab/>
      </w:r>
      <w:r w:rsidR="00894038">
        <w:rPr>
          <w:snapToGrid w:val="0"/>
          <w:kern w:val="22"/>
          <w:szCs w:val="22"/>
          <w:lang w:val="fr-FR"/>
        </w:rPr>
        <w:t>Ouverture de la rÉ</w:t>
      </w:r>
      <w:r w:rsidRPr="00DC6ADE">
        <w:rPr>
          <w:snapToGrid w:val="0"/>
          <w:kern w:val="22"/>
          <w:szCs w:val="22"/>
          <w:lang w:val="fr-FR"/>
        </w:rPr>
        <w:t>union</w:t>
      </w:r>
      <w:bookmarkEnd w:id="451"/>
      <w:bookmarkEnd w:id="452"/>
      <w:bookmarkEnd w:id="453"/>
    </w:p>
    <w:p w:rsidR="00381183" w:rsidRPr="00A2637A" w:rsidRDefault="00DC6ADE" w:rsidP="00381183">
      <w:pPr>
        <w:pStyle w:val="StylePara1Before0pt"/>
        <w:numPr>
          <w:ilvl w:val="0"/>
          <w:numId w:val="3"/>
        </w:numPr>
        <w:tabs>
          <w:tab w:val="clear" w:pos="360"/>
          <w:tab w:val="num" w:pos="720"/>
        </w:tabs>
        <w:rPr>
          <w:kern w:val="22"/>
          <w:szCs w:val="22"/>
          <w:lang w:val="fr-FR"/>
        </w:rPr>
      </w:pPr>
      <w:r w:rsidRPr="00DC6ADE">
        <w:rPr>
          <w:kern w:val="22"/>
          <w:szCs w:val="22"/>
          <w:lang w:val="fr-FR"/>
        </w:rPr>
        <w:t xml:space="preserve">La réunion a été ouverte le lundi 2 juillet à 10h10 par Mme Theresa </w:t>
      </w:r>
      <w:r w:rsidRPr="00DC6ADE">
        <w:rPr>
          <w:noProof/>
          <w:kern w:val="22"/>
          <w:szCs w:val="22"/>
          <w:lang w:val="fr-FR"/>
        </w:rPr>
        <w:t>Mundita</w:t>
      </w:r>
      <w:r w:rsidRPr="00DC6ADE">
        <w:rPr>
          <w:kern w:val="22"/>
          <w:szCs w:val="22"/>
          <w:lang w:val="fr-FR"/>
        </w:rPr>
        <w:t xml:space="preserve"> Lim (Philippines), présidente de l’Organe subsidiaire</w:t>
      </w:r>
      <w:r w:rsidR="00381183" w:rsidRPr="00DC6ADE">
        <w:rPr>
          <w:kern w:val="22"/>
          <w:szCs w:val="22"/>
          <w:lang w:val="fr-FR"/>
        </w:rPr>
        <w:t xml:space="preserve">. </w:t>
      </w:r>
      <w:r w:rsidRPr="00DC6ADE">
        <w:rPr>
          <w:kern w:val="22"/>
          <w:szCs w:val="22"/>
          <w:lang w:val="fr-FR"/>
        </w:rPr>
        <w:t>Elle a rappel</w:t>
      </w:r>
      <w:r w:rsidR="00147CB4">
        <w:rPr>
          <w:kern w:val="22"/>
          <w:szCs w:val="22"/>
          <w:lang w:val="fr-FR"/>
        </w:rPr>
        <w:t xml:space="preserve">é </w:t>
      </w:r>
      <w:r w:rsidR="000F3993">
        <w:rPr>
          <w:kern w:val="22"/>
          <w:szCs w:val="22"/>
          <w:lang w:val="fr-FR"/>
        </w:rPr>
        <w:t>que la Convention</w:t>
      </w:r>
      <w:r w:rsidR="00147CB4">
        <w:rPr>
          <w:kern w:val="22"/>
          <w:szCs w:val="22"/>
          <w:lang w:val="fr-FR"/>
        </w:rPr>
        <w:t xml:space="preserve"> était dans sa </w:t>
      </w:r>
      <w:r w:rsidR="000F3993">
        <w:rPr>
          <w:kern w:val="22"/>
          <w:szCs w:val="22"/>
          <w:lang w:val="fr-FR"/>
        </w:rPr>
        <w:t xml:space="preserve">vingt-cinquième </w:t>
      </w:r>
      <w:r w:rsidR="00147CB4">
        <w:rPr>
          <w:kern w:val="22"/>
          <w:szCs w:val="22"/>
          <w:lang w:val="fr-FR"/>
        </w:rPr>
        <w:t xml:space="preserve">année, ce qui devrait être célébré par des résultats toujours plus concrets et utiles, qui serviraient </w:t>
      </w:r>
      <w:r w:rsidR="00F37A33">
        <w:rPr>
          <w:kern w:val="22"/>
          <w:szCs w:val="22"/>
          <w:lang w:val="fr-FR"/>
        </w:rPr>
        <w:t>à assurer la réalisation des Objectifs d’Aichi pour la biodiversité d’ici à 2020. Pour la première fois,</w:t>
      </w:r>
      <w:r w:rsidR="000F3993">
        <w:rPr>
          <w:kern w:val="22"/>
          <w:szCs w:val="22"/>
          <w:lang w:val="fr-FR"/>
        </w:rPr>
        <w:t xml:space="preserve"> à</w:t>
      </w:r>
      <w:r w:rsidR="00F37A33">
        <w:rPr>
          <w:kern w:val="22"/>
          <w:szCs w:val="22"/>
          <w:lang w:val="fr-FR"/>
        </w:rPr>
        <w:t xml:space="preserve"> la </w:t>
      </w:r>
      <w:r w:rsidR="000F3993">
        <w:rPr>
          <w:kern w:val="22"/>
          <w:szCs w:val="22"/>
          <w:lang w:val="fr-FR"/>
        </w:rPr>
        <w:t xml:space="preserve">présente </w:t>
      </w:r>
      <w:r w:rsidR="00F37A33">
        <w:rPr>
          <w:kern w:val="22"/>
          <w:szCs w:val="22"/>
          <w:lang w:val="fr-FR"/>
        </w:rPr>
        <w:t>réunion</w:t>
      </w:r>
      <w:r w:rsidR="000F3993">
        <w:rPr>
          <w:kern w:val="22"/>
          <w:szCs w:val="22"/>
          <w:lang w:val="fr-FR"/>
        </w:rPr>
        <w:t>, l’Organe subsidiaire</w:t>
      </w:r>
      <w:r w:rsidR="00F37A33">
        <w:rPr>
          <w:kern w:val="22"/>
          <w:szCs w:val="22"/>
          <w:lang w:val="fr-FR"/>
        </w:rPr>
        <w:t xml:space="preserve"> examinera les points inscrits à l’ordre du jour au titre de la Convention sur la diversité biol</w:t>
      </w:r>
      <w:r w:rsidR="003E625A">
        <w:rPr>
          <w:kern w:val="22"/>
          <w:szCs w:val="22"/>
          <w:lang w:val="fr-FR"/>
        </w:rPr>
        <w:t>ogique, du Protocole de Cartagena s</w:t>
      </w:r>
      <w:r w:rsidR="00F37A33">
        <w:rPr>
          <w:kern w:val="22"/>
          <w:szCs w:val="22"/>
          <w:lang w:val="fr-FR"/>
        </w:rPr>
        <w:t>ur la prévention des</w:t>
      </w:r>
      <w:r w:rsidR="000F3993">
        <w:rPr>
          <w:kern w:val="22"/>
          <w:szCs w:val="22"/>
          <w:lang w:val="fr-FR"/>
        </w:rPr>
        <w:t xml:space="preserve"> ris</w:t>
      </w:r>
      <w:r w:rsidR="003E625A">
        <w:rPr>
          <w:kern w:val="22"/>
          <w:szCs w:val="22"/>
          <w:lang w:val="fr-FR"/>
        </w:rPr>
        <w:t>ques biotechnologiques et du</w:t>
      </w:r>
      <w:r w:rsidR="00F37A33">
        <w:rPr>
          <w:kern w:val="22"/>
          <w:szCs w:val="22"/>
          <w:lang w:val="fr-FR"/>
        </w:rPr>
        <w:t xml:space="preserve"> Protocole de Nagoya sur l’accès aux ressources génétiques et le partage juste et équitable des avantages découlant de leur utilisation, signalant une approche plus globale, </w:t>
      </w:r>
      <w:r w:rsidR="000F3993">
        <w:rPr>
          <w:kern w:val="22"/>
          <w:szCs w:val="22"/>
          <w:lang w:val="fr-FR"/>
        </w:rPr>
        <w:t xml:space="preserve">plus </w:t>
      </w:r>
      <w:r w:rsidR="00F37A33">
        <w:rPr>
          <w:kern w:val="22"/>
          <w:szCs w:val="22"/>
          <w:lang w:val="fr-FR"/>
        </w:rPr>
        <w:t xml:space="preserve">inclusive. À cet égard, elle a rappelé aux délégués que </w:t>
      </w:r>
      <w:r w:rsidR="000F3993">
        <w:rPr>
          <w:kern w:val="22"/>
          <w:szCs w:val="22"/>
          <w:lang w:val="fr-FR"/>
        </w:rPr>
        <w:t>les recommandations à la Conférence des Parties siégeant en tant que réunion des Parties à chaque protocole</w:t>
      </w:r>
      <w:r w:rsidR="00F37A33">
        <w:rPr>
          <w:kern w:val="22"/>
          <w:szCs w:val="22"/>
          <w:lang w:val="fr-FR"/>
        </w:rPr>
        <w:t xml:space="preserve"> ne peuvent être faites que par les signataires des protocoles respectifs. En outre, en désignant les nouveaux membres du Bureau</w:t>
      </w:r>
      <w:r w:rsidR="000F3993">
        <w:rPr>
          <w:kern w:val="22"/>
          <w:szCs w:val="22"/>
          <w:lang w:val="fr-FR"/>
        </w:rPr>
        <w:t xml:space="preserve"> de l’Organe subsidiaire</w:t>
      </w:r>
      <w:r w:rsidR="00F37A33">
        <w:rPr>
          <w:kern w:val="22"/>
          <w:szCs w:val="22"/>
          <w:lang w:val="fr-FR"/>
        </w:rPr>
        <w:t xml:space="preserve">, les représentants devront penser à </w:t>
      </w:r>
      <w:r w:rsidR="00C26433">
        <w:rPr>
          <w:kern w:val="22"/>
          <w:szCs w:val="22"/>
          <w:lang w:val="fr-FR"/>
        </w:rPr>
        <w:t>élire des personnes de pays qui sont parties à la Convention et à ses protocoles. Si un nouveau membre est d’un pays qui n’est pas partie aux deux protocoles, un remplaçant qui répond à ce critère devra être désigné. Rappel</w:t>
      </w:r>
      <w:r w:rsidR="000F3993">
        <w:rPr>
          <w:kern w:val="22"/>
          <w:szCs w:val="22"/>
          <w:lang w:val="fr-FR"/>
        </w:rPr>
        <w:t xml:space="preserve">ant que l’Organe subsidiaire a été </w:t>
      </w:r>
      <w:r w:rsidR="00C26433">
        <w:rPr>
          <w:kern w:val="22"/>
          <w:szCs w:val="22"/>
          <w:lang w:val="fr-FR"/>
        </w:rPr>
        <w:t xml:space="preserve">invité à </w:t>
      </w:r>
      <w:r w:rsidR="000F3993">
        <w:rPr>
          <w:kern w:val="22"/>
          <w:szCs w:val="22"/>
          <w:lang w:val="fr-FR"/>
        </w:rPr>
        <w:t xml:space="preserve">constamment </w:t>
      </w:r>
      <w:r w:rsidR="00C26433">
        <w:rPr>
          <w:kern w:val="22"/>
          <w:szCs w:val="22"/>
          <w:lang w:val="fr-FR"/>
        </w:rPr>
        <w:t xml:space="preserve">améliorer la qualité de ses avis, elle </w:t>
      </w:r>
      <w:r w:rsidR="00F71B12">
        <w:rPr>
          <w:kern w:val="22"/>
          <w:szCs w:val="22"/>
          <w:lang w:val="fr-FR"/>
        </w:rPr>
        <w:t>a prié instamment les délégués de</w:t>
      </w:r>
      <w:r w:rsidR="00C26433">
        <w:rPr>
          <w:kern w:val="22"/>
          <w:szCs w:val="22"/>
          <w:lang w:val="fr-FR"/>
        </w:rPr>
        <w:t xml:space="preserve"> présenter des idées pertinentes pour la science et la politique, </w:t>
      </w:r>
      <w:r w:rsidR="00CA6905">
        <w:rPr>
          <w:kern w:val="22"/>
          <w:szCs w:val="22"/>
          <w:lang w:val="fr-FR"/>
        </w:rPr>
        <w:t xml:space="preserve">pour </w:t>
      </w:r>
      <w:r w:rsidR="00C26433">
        <w:rPr>
          <w:kern w:val="22"/>
          <w:szCs w:val="22"/>
          <w:lang w:val="fr-FR"/>
        </w:rPr>
        <w:t>améliorer l’efficacité de l’Organe subsidiaire et élargir la participation des membres du Bureau afin que les meilleurs avis</w:t>
      </w:r>
      <w:r w:rsidR="00CA6905">
        <w:rPr>
          <w:kern w:val="22"/>
          <w:szCs w:val="22"/>
          <w:lang w:val="fr-FR"/>
        </w:rPr>
        <w:t xml:space="preserve"> scientifiques</w:t>
      </w:r>
      <w:r w:rsidR="00C26433">
        <w:rPr>
          <w:kern w:val="22"/>
          <w:szCs w:val="22"/>
          <w:lang w:val="fr-FR"/>
        </w:rPr>
        <w:t xml:space="preserve"> possibles soient fournis à la Conférence des Parties.</w:t>
      </w:r>
    </w:p>
    <w:p w:rsidR="00381183" w:rsidRPr="00C64F50" w:rsidRDefault="00C64F50" w:rsidP="00381183">
      <w:pPr>
        <w:pStyle w:val="StylePara1Before0pt"/>
        <w:numPr>
          <w:ilvl w:val="0"/>
          <w:numId w:val="3"/>
        </w:numPr>
        <w:tabs>
          <w:tab w:val="clear" w:pos="360"/>
          <w:tab w:val="num" w:pos="720"/>
        </w:tabs>
        <w:rPr>
          <w:kern w:val="22"/>
          <w:szCs w:val="22"/>
          <w:lang w:val="fr-FR"/>
        </w:rPr>
      </w:pPr>
      <w:r w:rsidRPr="00C64F50">
        <w:rPr>
          <w:kern w:val="22"/>
          <w:szCs w:val="22"/>
          <w:lang w:val="fr-FR"/>
        </w:rPr>
        <w:t>Abordant la question plus ample de la diversité biologique, Mme</w:t>
      </w:r>
      <w:r w:rsidR="00381183" w:rsidRPr="00C64F50">
        <w:rPr>
          <w:kern w:val="22"/>
          <w:szCs w:val="22"/>
          <w:lang w:val="fr-FR"/>
        </w:rPr>
        <w:t xml:space="preserve"> Lim </w:t>
      </w:r>
      <w:r w:rsidRPr="00C64F50">
        <w:rPr>
          <w:kern w:val="22"/>
          <w:szCs w:val="22"/>
          <w:lang w:val="fr-FR"/>
        </w:rPr>
        <w:t>a souligné</w:t>
      </w:r>
      <w:r w:rsidR="00403D6A">
        <w:rPr>
          <w:kern w:val="22"/>
          <w:szCs w:val="22"/>
          <w:lang w:val="fr-FR"/>
        </w:rPr>
        <w:t xml:space="preserve"> que son</w:t>
      </w:r>
      <w:r w:rsidR="00BF2082">
        <w:rPr>
          <w:kern w:val="22"/>
          <w:szCs w:val="22"/>
          <w:lang w:val="fr-FR"/>
        </w:rPr>
        <w:t xml:space="preserve"> appauvrissement se poursuivait</w:t>
      </w:r>
      <w:r w:rsidR="00403D6A">
        <w:rPr>
          <w:kern w:val="22"/>
          <w:szCs w:val="22"/>
          <w:lang w:val="fr-FR"/>
        </w:rPr>
        <w:t xml:space="preserve"> au m</w:t>
      </w:r>
      <w:r w:rsidR="00BF2082">
        <w:rPr>
          <w:kern w:val="22"/>
          <w:szCs w:val="22"/>
          <w:lang w:val="fr-FR"/>
        </w:rPr>
        <w:t>ême rythme et que ce rythme</w:t>
      </w:r>
      <w:r w:rsidR="00403D6A">
        <w:rPr>
          <w:kern w:val="22"/>
          <w:szCs w:val="22"/>
          <w:lang w:val="fr-FR"/>
        </w:rPr>
        <w:t xml:space="preserve"> augmentait même dans certaines régions, et qu’il était peu probable que les Objectifs d’Aichi seraient atteints. </w:t>
      </w:r>
      <w:r w:rsidR="00D40B0A">
        <w:rPr>
          <w:kern w:val="22"/>
          <w:szCs w:val="22"/>
          <w:lang w:val="fr-FR"/>
        </w:rPr>
        <w:t xml:space="preserve">Les efforts doivent être redoublés ou même triplés pour réaliser la Vision 2050 du Plan </w:t>
      </w:r>
      <w:r w:rsidR="00F71B12">
        <w:rPr>
          <w:kern w:val="22"/>
          <w:szCs w:val="22"/>
          <w:lang w:val="fr-FR"/>
        </w:rPr>
        <w:t>stratégique pour la diversité biologique</w:t>
      </w:r>
      <w:r w:rsidR="00D40B0A">
        <w:rPr>
          <w:kern w:val="22"/>
          <w:szCs w:val="22"/>
          <w:lang w:val="fr-FR"/>
        </w:rPr>
        <w:t xml:space="preserve"> de vivre en harmonie avec la nature, en veillant à ce que les écosystèmes puissent continuer à fournir des services essentiels et assurer la diversité de vie de la planète, tout en contribuant au bien</w:t>
      </w:r>
      <w:r w:rsidR="00F71B12">
        <w:rPr>
          <w:kern w:val="22"/>
          <w:szCs w:val="22"/>
          <w:lang w:val="fr-FR"/>
        </w:rPr>
        <w:t>-</w:t>
      </w:r>
      <w:r w:rsidR="00D40B0A">
        <w:rPr>
          <w:kern w:val="22"/>
          <w:szCs w:val="22"/>
          <w:lang w:val="fr-FR"/>
        </w:rPr>
        <w:t>être humain.</w:t>
      </w:r>
      <w:r w:rsidR="00F71B12">
        <w:rPr>
          <w:kern w:val="22"/>
          <w:szCs w:val="22"/>
          <w:lang w:val="fr-FR"/>
        </w:rPr>
        <w:t xml:space="preserve"> Les Parties devraient veiller à ce</w:t>
      </w:r>
      <w:r w:rsidR="00D40B0A">
        <w:rPr>
          <w:kern w:val="22"/>
          <w:szCs w:val="22"/>
          <w:lang w:val="fr-FR"/>
        </w:rPr>
        <w:t xml:space="preserve"> que des resso</w:t>
      </w:r>
      <w:r w:rsidR="00F71B12">
        <w:rPr>
          <w:kern w:val="22"/>
          <w:szCs w:val="22"/>
          <w:lang w:val="fr-FR"/>
        </w:rPr>
        <w:t>urces financières adéquates soient</w:t>
      </w:r>
      <w:r w:rsidR="00D40B0A">
        <w:rPr>
          <w:kern w:val="22"/>
          <w:szCs w:val="22"/>
          <w:lang w:val="fr-FR"/>
        </w:rPr>
        <w:t xml:space="preserve"> fournies, </w:t>
      </w:r>
      <w:r w:rsidR="00F71B12">
        <w:rPr>
          <w:kern w:val="22"/>
          <w:szCs w:val="22"/>
          <w:lang w:val="fr-FR"/>
        </w:rPr>
        <w:t>que les capacités soient</w:t>
      </w:r>
      <w:r w:rsidR="00D40B0A">
        <w:rPr>
          <w:kern w:val="22"/>
          <w:szCs w:val="22"/>
          <w:lang w:val="fr-FR"/>
        </w:rPr>
        <w:t xml:space="preserve"> renforcées et que les questions relatives à la biodi</w:t>
      </w:r>
      <w:r w:rsidR="00F71B12">
        <w:rPr>
          <w:kern w:val="22"/>
          <w:szCs w:val="22"/>
          <w:lang w:val="fr-FR"/>
        </w:rPr>
        <w:t>versité ainsi que sa valeur soient</w:t>
      </w:r>
      <w:r w:rsidR="00D40B0A">
        <w:rPr>
          <w:kern w:val="22"/>
          <w:szCs w:val="22"/>
          <w:lang w:val="fr-FR"/>
        </w:rPr>
        <w:t xml:space="preserve"> intégrées, que des politiques appropriées </w:t>
      </w:r>
      <w:r w:rsidR="00F71B12">
        <w:rPr>
          <w:kern w:val="22"/>
          <w:szCs w:val="22"/>
          <w:lang w:val="fr-FR"/>
        </w:rPr>
        <w:t>soient</w:t>
      </w:r>
      <w:r w:rsidR="00D40B0A">
        <w:rPr>
          <w:kern w:val="22"/>
          <w:szCs w:val="22"/>
          <w:lang w:val="fr-FR"/>
        </w:rPr>
        <w:t xml:space="preserve"> appliquées de manière ef</w:t>
      </w:r>
      <w:r w:rsidR="00F71B12">
        <w:rPr>
          <w:kern w:val="22"/>
          <w:szCs w:val="22"/>
          <w:lang w:val="fr-FR"/>
        </w:rPr>
        <w:t>ficace et que les décisions soient</w:t>
      </w:r>
      <w:r w:rsidR="00D40B0A">
        <w:rPr>
          <w:kern w:val="22"/>
          <w:szCs w:val="22"/>
          <w:lang w:val="fr-FR"/>
        </w:rPr>
        <w:t xml:space="preserve"> fondées sur des données scientifiques solides et l’approche de précaution. Elle a souligné la nécessité d’un cadre mondial de la biodiversité pour l’après-2020</w:t>
      </w:r>
      <w:r w:rsidR="003120BE">
        <w:rPr>
          <w:kern w:val="22"/>
          <w:szCs w:val="22"/>
          <w:lang w:val="fr-FR"/>
        </w:rPr>
        <w:t xml:space="preserve"> ambitieux et efficace, et exprimé l’espoir que la présente réunion ferait des progrès dans cette direction.</w:t>
      </w:r>
    </w:p>
    <w:p w:rsidR="00381183" w:rsidRPr="00C64F50" w:rsidRDefault="00CA6905" w:rsidP="00381183">
      <w:pPr>
        <w:pStyle w:val="StylePara1Before0pt"/>
        <w:numPr>
          <w:ilvl w:val="0"/>
          <w:numId w:val="3"/>
        </w:numPr>
        <w:tabs>
          <w:tab w:val="clear" w:pos="360"/>
          <w:tab w:val="num" w:pos="720"/>
        </w:tabs>
        <w:rPr>
          <w:kern w:val="22"/>
          <w:szCs w:val="22"/>
          <w:lang w:val="fr-FR"/>
        </w:rPr>
      </w:pPr>
      <w:r>
        <w:rPr>
          <w:kern w:val="22"/>
          <w:szCs w:val="22"/>
          <w:lang w:val="fr-FR"/>
        </w:rPr>
        <w:t xml:space="preserve">Elle s’est ensuite penchée sur chacun des éléments </w:t>
      </w:r>
      <w:r w:rsidR="003120BE">
        <w:rPr>
          <w:kern w:val="22"/>
          <w:szCs w:val="22"/>
          <w:lang w:val="fr-FR"/>
        </w:rPr>
        <w:t>de l’ordre du jour très chargé de la réunion</w:t>
      </w:r>
      <w:r>
        <w:rPr>
          <w:kern w:val="22"/>
          <w:szCs w:val="22"/>
          <w:lang w:val="fr-FR"/>
        </w:rPr>
        <w:t xml:space="preserve"> et</w:t>
      </w:r>
      <w:r w:rsidR="003120BE">
        <w:rPr>
          <w:kern w:val="22"/>
          <w:szCs w:val="22"/>
          <w:lang w:val="fr-FR"/>
        </w:rPr>
        <w:t xml:space="preserve"> a encouragé les délégués à adopter des changements transformateurs et de comportement aussi bien dans le fond que dans les méthodes de travail afin d’atteindre les étapes de 2020 avec une meilleure coordination et unité ainsi que des recommandations claires, compréhensibles et simples</w:t>
      </w:r>
      <w:r w:rsidR="002411A7">
        <w:rPr>
          <w:kern w:val="22"/>
          <w:szCs w:val="22"/>
          <w:lang w:val="fr-FR"/>
        </w:rPr>
        <w:t>, qui s’adressent également aux collègues dans d’autres secteurs.</w:t>
      </w:r>
    </w:p>
    <w:p w:rsidR="00381183" w:rsidRPr="00C64F50" w:rsidRDefault="00F71B12" w:rsidP="00381183">
      <w:pPr>
        <w:pStyle w:val="StylePara1Before0pt"/>
        <w:numPr>
          <w:ilvl w:val="0"/>
          <w:numId w:val="3"/>
        </w:numPr>
        <w:tabs>
          <w:tab w:val="clear" w:pos="360"/>
          <w:tab w:val="num" w:pos="720"/>
        </w:tabs>
        <w:rPr>
          <w:kern w:val="22"/>
          <w:szCs w:val="22"/>
          <w:lang w:val="fr-FR"/>
        </w:rPr>
      </w:pPr>
      <w:r>
        <w:rPr>
          <w:kern w:val="22"/>
          <w:szCs w:val="22"/>
          <w:lang w:val="fr-FR"/>
        </w:rPr>
        <w:lastRenderedPageBreak/>
        <w:t>Des allocutions</w:t>
      </w:r>
      <w:r w:rsidR="002411A7">
        <w:rPr>
          <w:kern w:val="22"/>
          <w:szCs w:val="22"/>
          <w:lang w:val="fr-FR"/>
        </w:rPr>
        <w:t xml:space="preserve"> liminaires ont été prononcé</w:t>
      </w:r>
      <w:r>
        <w:rPr>
          <w:kern w:val="22"/>
          <w:szCs w:val="22"/>
          <w:lang w:val="fr-FR"/>
        </w:rPr>
        <w:t>e</w:t>
      </w:r>
      <w:r w:rsidR="002411A7">
        <w:rPr>
          <w:kern w:val="22"/>
          <w:szCs w:val="22"/>
          <w:lang w:val="fr-FR"/>
        </w:rPr>
        <w:t xml:space="preserve">s par Mme </w:t>
      </w:r>
      <w:r w:rsidR="000055A5">
        <w:rPr>
          <w:noProof/>
          <w:kern w:val="22"/>
          <w:szCs w:val="22"/>
          <w:lang w:val="fr-FR"/>
        </w:rPr>
        <w:t>C</w:t>
      </w:r>
      <w:r w:rsidR="00CA6905">
        <w:rPr>
          <w:noProof/>
          <w:kern w:val="22"/>
          <w:szCs w:val="22"/>
          <w:lang w:val="fr-FR"/>
        </w:rPr>
        <w:t xml:space="preserve">ristiana </w:t>
      </w:r>
      <w:r w:rsidR="00CA6905" w:rsidRPr="000055A5">
        <w:rPr>
          <w:noProof/>
          <w:kern w:val="22"/>
          <w:szCs w:val="22"/>
          <w:lang w:val="fr-FR"/>
        </w:rPr>
        <w:t>Paşca</w:t>
      </w:r>
      <w:r w:rsidR="002411A7">
        <w:rPr>
          <w:kern w:val="22"/>
          <w:szCs w:val="22"/>
          <w:lang w:val="fr-FR"/>
        </w:rPr>
        <w:t xml:space="preserve"> Palmer, Secrétaire exécutive de la Convention sur la diversité biologique et M. </w:t>
      </w:r>
      <w:r w:rsidR="00381183" w:rsidRPr="00C64F50">
        <w:rPr>
          <w:kern w:val="22"/>
          <w:szCs w:val="22"/>
          <w:lang w:val="fr-FR"/>
        </w:rPr>
        <w:t xml:space="preserve">Andreas </w:t>
      </w:r>
      <w:r w:rsidR="00381183" w:rsidRPr="00C64F50">
        <w:rPr>
          <w:noProof/>
          <w:kern w:val="22"/>
          <w:szCs w:val="22"/>
          <w:lang w:val="fr-FR"/>
        </w:rPr>
        <w:t>Obrecht</w:t>
      </w:r>
      <w:r w:rsidR="00381183" w:rsidRPr="00C64F50">
        <w:rPr>
          <w:kern w:val="22"/>
          <w:szCs w:val="22"/>
          <w:lang w:val="fr-FR"/>
        </w:rPr>
        <w:t xml:space="preserve"> </w:t>
      </w:r>
      <w:r w:rsidR="002411A7">
        <w:rPr>
          <w:kern w:val="22"/>
          <w:szCs w:val="22"/>
          <w:lang w:val="fr-FR"/>
        </w:rPr>
        <w:t xml:space="preserve">au nom de M. </w:t>
      </w:r>
      <w:r w:rsidR="00381183" w:rsidRPr="00C64F50">
        <w:rPr>
          <w:kern w:val="22"/>
          <w:szCs w:val="22"/>
          <w:lang w:val="fr-FR"/>
        </w:rPr>
        <w:t xml:space="preserve">Erik </w:t>
      </w:r>
      <w:r w:rsidR="00381183" w:rsidRPr="00C64F50">
        <w:rPr>
          <w:noProof/>
          <w:kern w:val="22"/>
          <w:szCs w:val="22"/>
          <w:lang w:val="fr-FR"/>
        </w:rPr>
        <w:t>Sol</w:t>
      </w:r>
      <w:r w:rsidR="00CA6905">
        <w:rPr>
          <w:noProof/>
          <w:kern w:val="22"/>
          <w:szCs w:val="22"/>
          <w:lang w:val="fr-FR"/>
        </w:rPr>
        <w:t>heim</w:t>
      </w:r>
      <w:r w:rsidR="00CA6905">
        <w:rPr>
          <w:kern w:val="22"/>
          <w:szCs w:val="22"/>
          <w:lang w:val="fr-FR"/>
        </w:rPr>
        <w:t>, Directeur</w:t>
      </w:r>
      <w:r w:rsidR="002411A7">
        <w:rPr>
          <w:kern w:val="22"/>
          <w:szCs w:val="22"/>
          <w:lang w:val="fr-FR"/>
        </w:rPr>
        <w:t xml:space="preserve"> exécutif du</w:t>
      </w:r>
      <w:r w:rsidR="00CF5F96">
        <w:rPr>
          <w:kern w:val="22"/>
          <w:szCs w:val="22"/>
          <w:lang w:val="fr-FR"/>
        </w:rPr>
        <w:t xml:space="preserve"> Programme des Nations Unies pour</w:t>
      </w:r>
      <w:r w:rsidR="002411A7">
        <w:rPr>
          <w:kern w:val="22"/>
          <w:szCs w:val="22"/>
          <w:lang w:val="fr-FR"/>
        </w:rPr>
        <w:t xml:space="preserve"> l’environnement (PNUE</w:t>
      </w:r>
      <w:r w:rsidR="00647803" w:rsidRPr="00C64F50">
        <w:rPr>
          <w:kern w:val="22"/>
          <w:szCs w:val="22"/>
          <w:lang w:val="fr-FR"/>
        </w:rPr>
        <w:t>)</w:t>
      </w:r>
      <w:r w:rsidR="00381183" w:rsidRPr="00C64F50">
        <w:rPr>
          <w:kern w:val="22"/>
          <w:szCs w:val="22"/>
          <w:lang w:val="fr-FR"/>
        </w:rPr>
        <w:t>.</w:t>
      </w:r>
    </w:p>
    <w:p w:rsidR="00BD402A" w:rsidRDefault="002411A7" w:rsidP="00381183">
      <w:pPr>
        <w:pStyle w:val="StylePara1Before0pt"/>
        <w:numPr>
          <w:ilvl w:val="0"/>
          <w:numId w:val="3"/>
        </w:numPr>
        <w:tabs>
          <w:tab w:val="clear" w:pos="360"/>
          <w:tab w:val="num" w:pos="720"/>
        </w:tabs>
        <w:rPr>
          <w:kern w:val="22"/>
          <w:szCs w:val="22"/>
          <w:lang w:val="fr-FR"/>
        </w:rPr>
      </w:pPr>
      <w:r>
        <w:rPr>
          <w:kern w:val="22"/>
          <w:szCs w:val="22"/>
          <w:lang w:val="fr-FR"/>
        </w:rPr>
        <w:t>La Secrétaire exécutive</w:t>
      </w:r>
      <w:r w:rsidR="00BA05D5">
        <w:rPr>
          <w:kern w:val="22"/>
          <w:szCs w:val="22"/>
          <w:lang w:val="fr-FR"/>
        </w:rPr>
        <w:t xml:space="preserve"> </w:t>
      </w:r>
      <w:r w:rsidR="00164CE4">
        <w:rPr>
          <w:kern w:val="22"/>
          <w:szCs w:val="22"/>
          <w:lang w:val="fr-FR"/>
        </w:rPr>
        <w:t xml:space="preserve">a </w:t>
      </w:r>
      <w:r w:rsidR="00BA05D5">
        <w:rPr>
          <w:kern w:val="22"/>
          <w:szCs w:val="22"/>
          <w:lang w:val="fr-FR"/>
        </w:rPr>
        <w:t>souhaité la bienvenue aux participants et leur a rappelé que 2018 marquait le vingt-cinquième anniversaire de l’entrée en vigueur de la Convention. Elle a exprimé ses remerciements aux gouvernements de l’Australie, du Canada, de la Finlande, du Japon, de la Nouvelle-Zélande, de la Norvège et de la</w:t>
      </w:r>
      <w:r w:rsidR="003E625A">
        <w:rPr>
          <w:kern w:val="22"/>
          <w:szCs w:val="22"/>
          <w:lang w:val="fr-FR"/>
        </w:rPr>
        <w:t xml:space="preserve"> Suède, ainsi qu’à l’Union</w:t>
      </w:r>
      <w:r w:rsidR="00BA05D5">
        <w:rPr>
          <w:kern w:val="22"/>
          <w:szCs w:val="22"/>
          <w:lang w:val="fr-FR"/>
        </w:rPr>
        <w:t xml:space="preserve"> européenne et à Tourisme Montréal pour avoir fourni les ressources financières nécessaires pour permettre la participation de représentants de pays en développement et de pays à économie en transition, ainsi que de représentants de peuples autochtones et de communautés </w:t>
      </w:r>
      <w:r w:rsidR="0064683F">
        <w:rPr>
          <w:kern w:val="22"/>
          <w:szCs w:val="22"/>
          <w:lang w:val="fr-FR"/>
        </w:rPr>
        <w:t>locales. Parlant d’activités récentes</w:t>
      </w:r>
      <w:r w:rsidR="00BA05D5">
        <w:rPr>
          <w:kern w:val="22"/>
          <w:szCs w:val="22"/>
          <w:lang w:val="fr-FR"/>
        </w:rPr>
        <w:t>, elle a mentionné les préparatifs des discussions sur le cadre mondial de la biodiversité pour l’après-2020 et un document décrivant le processus qui sera examiné par l’Organe subsidiaire chargé de l’application</w:t>
      </w:r>
      <w:r w:rsidR="00F8179F">
        <w:rPr>
          <w:kern w:val="22"/>
          <w:szCs w:val="22"/>
          <w:lang w:val="fr-FR"/>
        </w:rPr>
        <w:t>. D’autres activités dans le</w:t>
      </w:r>
      <w:r w:rsidR="00614196">
        <w:rPr>
          <w:kern w:val="22"/>
          <w:szCs w:val="22"/>
          <w:lang w:val="fr-FR"/>
        </w:rPr>
        <w:t>s</w:t>
      </w:r>
      <w:r w:rsidR="00F8179F">
        <w:rPr>
          <w:kern w:val="22"/>
          <w:szCs w:val="22"/>
          <w:lang w:val="fr-FR"/>
        </w:rPr>
        <w:t xml:space="preserve"> domaine</w:t>
      </w:r>
      <w:r w:rsidR="00614196">
        <w:rPr>
          <w:kern w:val="22"/>
          <w:szCs w:val="22"/>
          <w:lang w:val="fr-FR"/>
        </w:rPr>
        <w:t>s</w:t>
      </w:r>
      <w:r w:rsidR="00F8179F">
        <w:rPr>
          <w:kern w:val="22"/>
          <w:szCs w:val="22"/>
          <w:lang w:val="fr-FR"/>
        </w:rPr>
        <w:t xml:space="preserve"> des programmes de travail qui ont contribué</w:t>
      </w:r>
      <w:r w:rsidR="00614196">
        <w:rPr>
          <w:kern w:val="22"/>
          <w:szCs w:val="22"/>
          <w:lang w:val="fr-FR"/>
        </w:rPr>
        <w:t xml:space="preserve"> à la mise en œuvre des Objectifs d’Aichi pour la biodiversité ont été mentionnées. Ces travaux </w:t>
      </w:r>
      <w:r w:rsidR="00C4453D">
        <w:rPr>
          <w:kern w:val="22"/>
          <w:szCs w:val="22"/>
          <w:lang w:val="fr-FR"/>
        </w:rPr>
        <w:t>ont constitu</w:t>
      </w:r>
      <w:r w:rsidR="00CA6905">
        <w:rPr>
          <w:kern w:val="22"/>
          <w:szCs w:val="22"/>
          <w:lang w:val="fr-FR"/>
        </w:rPr>
        <w:t>é le message central de toutes l</w:t>
      </w:r>
      <w:r w:rsidR="00C4453D">
        <w:rPr>
          <w:kern w:val="22"/>
          <w:szCs w:val="22"/>
          <w:lang w:val="fr-FR"/>
        </w:rPr>
        <w:t>es consultations avec les Parties, les encourageant à accélérer leurs actions pour s’acquitter de leurs engagements nationaux. Elle a applaudi l’investissement, par le Canada, de 1,3 milliards de dollars canadiens pour conserver les terres, les eaux intérieures  et la faune et la flore sauvages, et protéger les</w:t>
      </w:r>
      <w:r w:rsidR="00691003">
        <w:rPr>
          <w:kern w:val="22"/>
          <w:szCs w:val="22"/>
          <w:lang w:val="fr-FR"/>
        </w:rPr>
        <w:t xml:space="preserve"> espèces menacées, ainsi qu’une </w:t>
      </w:r>
      <w:r w:rsidR="00C4453D">
        <w:rPr>
          <w:kern w:val="22"/>
          <w:szCs w:val="22"/>
          <w:lang w:val="fr-FR"/>
        </w:rPr>
        <w:t>loi du Mexique sur la</w:t>
      </w:r>
      <w:r w:rsidR="00CA6905">
        <w:rPr>
          <w:kern w:val="22"/>
          <w:szCs w:val="22"/>
          <w:lang w:val="fr-FR"/>
        </w:rPr>
        <w:t xml:space="preserve"> gestion durable des forêts et s</w:t>
      </w:r>
      <w:r w:rsidR="00C4453D">
        <w:rPr>
          <w:kern w:val="22"/>
          <w:szCs w:val="22"/>
          <w:lang w:val="fr-FR"/>
        </w:rPr>
        <w:t>es 10 décrets présidentiels créant des centaines de réserves d’eau. Pendant la période intersessions, le gouvernement suisse a accueilli le deuxième dialogue sur le changement transformateur. Les résultats de ce</w:t>
      </w:r>
      <w:r w:rsidR="00DD0DDE">
        <w:rPr>
          <w:kern w:val="22"/>
          <w:szCs w:val="22"/>
          <w:lang w:val="fr-FR"/>
        </w:rPr>
        <w:t xml:space="preserve"> dialogue et du premier</w:t>
      </w:r>
      <w:r w:rsidR="00CA6905">
        <w:rPr>
          <w:kern w:val="22"/>
          <w:szCs w:val="22"/>
          <w:lang w:val="fr-FR"/>
        </w:rPr>
        <w:t>,</w:t>
      </w:r>
      <w:r w:rsidR="00C4453D">
        <w:rPr>
          <w:kern w:val="22"/>
          <w:szCs w:val="22"/>
          <w:lang w:val="fr-FR"/>
        </w:rPr>
        <w:t xml:space="preserve"> également hébergé par la Suisse, seront examinés lors d’un séminaire </w:t>
      </w:r>
      <w:r w:rsidR="00BD402A">
        <w:rPr>
          <w:kern w:val="22"/>
          <w:szCs w:val="22"/>
          <w:lang w:val="fr-FR"/>
        </w:rPr>
        <w:t>le 8 juillet</w:t>
      </w:r>
      <w:r w:rsidR="003E625A">
        <w:rPr>
          <w:kern w:val="22"/>
          <w:szCs w:val="22"/>
          <w:lang w:val="fr-FR"/>
        </w:rPr>
        <w:t xml:space="preserve"> 2018</w:t>
      </w:r>
      <w:r w:rsidR="00BD402A">
        <w:rPr>
          <w:kern w:val="22"/>
          <w:szCs w:val="22"/>
          <w:lang w:val="fr-FR"/>
        </w:rPr>
        <w:t>, avant l’ouverture de la deuxième réunion de l’Organe subsidiaire chargé de l’application.</w:t>
      </w:r>
    </w:p>
    <w:p w:rsidR="00962A31" w:rsidRDefault="00BD402A" w:rsidP="00381183">
      <w:pPr>
        <w:pStyle w:val="StylePara1Before0pt"/>
        <w:numPr>
          <w:ilvl w:val="0"/>
          <w:numId w:val="3"/>
        </w:numPr>
        <w:tabs>
          <w:tab w:val="clear" w:pos="360"/>
          <w:tab w:val="num" w:pos="720"/>
        </w:tabs>
        <w:rPr>
          <w:kern w:val="22"/>
          <w:szCs w:val="22"/>
          <w:lang w:val="fr-FR"/>
        </w:rPr>
      </w:pPr>
      <w:r>
        <w:rPr>
          <w:kern w:val="22"/>
          <w:szCs w:val="22"/>
          <w:lang w:val="fr-FR"/>
        </w:rPr>
        <w:t xml:space="preserve">La perte de biodiversité et la destruction des écosystèmes continue à un rythme sans précédent, et les récents rapports des évaluations régionales de la Plateforme intergouvernementale scientifique et politique sur la biodiversité et les services écosystémiques (IPBES) présentent un tableau inquiétant de toutes les régions du monde. </w:t>
      </w:r>
      <w:r w:rsidR="008F7E83">
        <w:rPr>
          <w:kern w:val="22"/>
          <w:szCs w:val="22"/>
          <w:lang w:val="fr-FR"/>
        </w:rPr>
        <w:t xml:space="preserve">Le </w:t>
      </w:r>
      <w:r w:rsidR="008F7E83" w:rsidRPr="008F7E83">
        <w:rPr>
          <w:i/>
          <w:kern w:val="22"/>
          <w:szCs w:val="22"/>
          <w:lang w:val="fr-FR"/>
        </w:rPr>
        <w:t>Rapport mondial sur les risques</w:t>
      </w:r>
      <w:r w:rsidR="008F7E83">
        <w:rPr>
          <w:kern w:val="22"/>
          <w:szCs w:val="22"/>
          <w:lang w:val="fr-FR"/>
        </w:rPr>
        <w:t xml:space="preserve"> 2018 du Forum économique mondial mentionne l’effondrement écologique et la perte de biodiversité comme étant les risques mondiaux les plus élevés. Le Plan stratégique pour la diversité biologique 2011-2020 et ses Objectifs d’Aichi pour la biodiversité se sont avérés insuffisants pour freiner l’appauvrissement de la biodiversité et mettre fin à</w:t>
      </w:r>
      <w:r w:rsidR="002F2B03">
        <w:rPr>
          <w:kern w:val="22"/>
          <w:szCs w:val="22"/>
          <w:lang w:val="fr-FR"/>
        </w:rPr>
        <w:t xml:space="preserve"> la destruction des écosystèmes; les limites planétaires risquent d’être atteinte</w:t>
      </w:r>
      <w:r w:rsidR="008F7E83">
        <w:rPr>
          <w:kern w:val="22"/>
          <w:szCs w:val="22"/>
          <w:lang w:val="fr-FR"/>
        </w:rPr>
        <w:t>s et, dans certains cas, l’ont déjà été. La destruction des écosystèmes est aggravée par d’autres changements mondiaux</w:t>
      </w:r>
      <w:r w:rsidR="00C2495A">
        <w:rPr>
          <w:kern w:val="22"/>
          <w:szCs w:val="22"/>
          <w:lang w:val="fr-FR"/>
        </w:rPr>
        <w:t xml:space="preserve"> et, à son tour, amplifie et contribue à des difficultés dans les domaines de la sécurité alimentaire, de la santé et du climat. La complexité </w:t>
      </w:r>
      <w:r w:rsidR="002140B5">
        <w:rPr>
          <w:kern w:val="22"/>
          <w:szCs w:val="22"/>
          <w:lang w:val="fr-FR"/>
        </w:rPr>
        <w:t>des systèmes sociaux et économiques et des systèmes</w:t>
      </w:r>
      <w:r w:rsidR="00D66F98">
        <w:rPr>
          <w:kern w:val="22"/>
          <w:szCs w:val="22"/>
          <w:lang w:val="fr-FR"/>
        </w:rPr>
        <w:t xml:space="preserve"> naturels et leur interdépendance</w:t>
      </w:r>
      <w:r w:rsidR="002140B5">
        <w:rPr>
          <w:kern w:val="22"/>
          <w:szCs w:val="22"/>
          <w:lang w:val="fr-FR"/>
        </w:rPr>
        <w:t xml:space="preserve"> </w:t>
      </w:r>
      <w:r w:rsidR="002140B5">
        <w:rPr>
          <w:noProof/>
          <w:kern w:val="22"/>
          <w:szCs w:val="22"/>
          <w:lang w:val="fr-FR"/>
        </w:rPr>
        <w:t>nécessite</w:t>
      </w:r>
      <w:r w:rsidR="002140B5">
        <w:rPr>
          <w:kern w:val="22"/>
          <w:szCs w:val="22"/>
          <w:lang w:val="fr-FR"/>
        </w:rPr>
        <w:t xml:space="preserve"> des mesures qui </w:t>
      </w:r>
      <w:r w:rsidR="00962A31">
        <w:rPr>
          <w:kern w:val="22"/>
          <w:szCs w:val="22"/>
          <w:lang w:val="fr-FR"/>
        </w:rPr>
        <w:t xml:space="preserve">sont </w:t>
      </w:r>
      <w:r w:rsidR="002140B5">
        <w:rPr>
          <w:kern w:val="22"/>
          <w:szCs w:val="22"/>
          <w:lang w:val="fr-FR"/>
        </w:rPr>
        <w:t>reliées par une approche syst</w:t>
      </w:r>
      <w:r w:rsidR="00962A31">
        <w:rPr>
          <w:kern w:val="22"/>
          <w:szCs w:val="22"/>
          <w:lang w:val="fr-FR"/>
        </w:rPr>
        <w:t>émique à l’échelle de la planète</w:t>
      </w:r>
      <w:r w:rsidR="002140B5">
        <w:rPr>
          <w:kern w:val="22"/>
          <w:szCs w:val="22"/>
          <w:lang w:val="fr-FR"/>
        </w:rPr>
        <w:t> ; la crise de la diversité biologique ne peut pas être arrêtée par d</w:t>
      </w:r>
      <w:r w:rsidR="002F2B03">
        <w:rPr>
          <w:kern w:val="22"/>
          <w:szCs w:val="22"/>
          <w:lang w:val="fr-FR"/>
        </w:rPr>
        <w:t xml:space="preserve">es mesures prises de manière isolée </w:t>
      </w:r>
      <w:r w:rsidR="00962A31">
        <w:rPr>
          <w:kern w:val="22"/>
          <w:szCs w:val="22"/>
          <w:lang w:val="fr-FR"/>
        </w:rPr>
        <w:t>ou en silo</w:t>
      </w:r>
      <w:r w:rsidR="002F2B03">
        <w:rPr>
          <w:kern w:val="22"/>
          <w:szCs w:val="22"/>
          <w:lang w:val="fr-FR"/>
        </w:rPr>
        <w:t>s</w:t>
      </w:r>
      <w:r w:rsidR="00962A31">
        <w:rPr>
          <w:kern w:val="22"/>
          <w:szCs w:val="22"/>
          <w:lang w:val="fr-FR"/>
        </w:rPr>
        <w:t>.</w:t>
      </w:r>
    </w:p>
    <w:p w:rsidR="00A16E19" w:rsidRDefault="00962A31" w:rsidP="00381183">
      <w:pPr>
        <w:pStyle w:val="StylePara1Before0pt"/>
        <w:numPr>
          <w:ilvl w:val="0"/>
          <w:numId w:val="3"/>
        </w:numPr>
        <w:tabs>
          <w:tab w:val="clear" w:pos="360"/>
          <w:tab w:val="num" w:pos="720"/>
        </w:tabs>
        <w:rPr>
          <w:kern w:val="22"/>
          <w:szCs w:val="22"/>
          <w:lang w:val="fr-FR"/>
        </w:rPr>
      </w:pPr>
      <w:r>
        <w:rPr>
          <w:kern w:val="22"/>
          <w:szCs w:val="22"/>
          <w:lang w:val="fr-FR"/>
        </w:rPr>
        <w:t>La croissance économique pourrait faciliter le développement durable si elle était dissociée de la dégradation de la biodiversité et renforçait la capacité de la nature de contribuer à la vie des populations. Cependant, cela exigerait un changement profond dans les politiques mondiales et nationales. Les modèles dominants de développement et de croissance économiques ignorent les contraintes des limites écologiques du développement humain et sont ancrés dans des habitudes de production et de consommation non durables. Ils négligent d’incorporer les coûts de la perte de capital naturel et les avantages des s</w:t>
      </w:r>
      <w:r w:rsidR="00A214DD">
        <w:rPr>
          <w:kern w:val="22"/>
          <w:szCs w:val="22"/>
          <w:lang w:val="fr-FR"/>
        </w:rPr>
        <w:t>ervices écosystémiques, services qui fournissent l’infrastructure essent</w:t>
      </w:r>
      <w:r w:rsidR="001A62C0">
        <w:rPr>
          <w:kern w:val="22"/>
          <w:szCs w:val="22"/>
          <w:lang w:val="fr-FR"/>
        </w:rPr>
        <w:t>ielle au soutien de la vie sur t</w:t>
      </w:r>
      <w:r w:rsidR="00A214DD">
        <w:rPr>
          <w:kern w:val="22"/>
          <w:szCs w:val="22"/>
          <w:lang w:val="fr-FR"/>
        </w:rPr>
        <w:t xml:space="preserve">erre et du développement humain. Un dossier scientifique et économique solide est nécessaire pour démontrer la pertinence de la biodiversité aux ministres des finances et au milieu des affaires et de l’investissement. Le Secrétariat travaille de plus en plus pour prendre contact avec de nouveaux partenaires, sachant que sans leur participation et celle </w:t>
      </w:r>
      <w:r w:rsidR="00A16E19">
        <w:rPr>
          <w:kern w:val="22"/>
          <w:szCs w:val="22"/>
          <w:lang w:val="fr-FR"/>
        </w:rPr>
        <w:t>des fonctionnaires et décideurs politiques de haut niveau</w:t>
      </w:r>
      <w:r w:rsidR="0064683F">
        <w:rPr>
          <w:kern w:val="22"/>
          <w:szCs w:val="22"/>
          <w:lang w:val="fr-FR"/>
        </w:rPr>
        <w:t>,</w:t>
      </w:r>
      <w:r w:rsidR="00A16E19">
        <w:rPr>
          <w:kern w:val="22"/>
          <w:szCs w:val="22"/>
          <w:lang w:val="fr-FR"/>
        </w:rPr>
        <w:t xml:space="preserve"> les perspectives</w:t>
      </w:r>
      <w:r w:rsidR="002F2B03">
        <w:rPr>
          <w:kern w:val="22"/>
          <w:szCs w:val="22"/>
          <w:lang w:val="fr-FR"/>
        </w:rPr>
        <w:t xml:space="preserve"> de changement transformateur dans</w:t>
      </w:r>
      <w:r w:rsidR="00A16E19">
        <w:rPr>
          <w:kern w:val="22"/>
          <w:szCs w:val="22"/>
          <w:lang w:val="fr-FR"/>
        </w:rPr>
        <w:t xml:space="preserve"> la manière dont les décisions et les actions qui ont un impact sur les écosystèmes sont prises et mises en œuvre seraient limitées.</w:t>
      </w:r>
    </w:p>
    <w:p w:rsidR="00CA14AA" w:rsidRDefault="00A16E19" w:rsidP="00381183">
      <w:pPr>
        <w:pStyle w:val="StylePara1Before0pt"/>
        <w:numPr>
          <w:ilvl w:val="0"/>
          <w:numId w:val="3"/>
        </w:numPr>
        <w:tabs>
          <w:tab w:val="clear" w:pos="360"/>
          <w:tab w:val="num" w:pos="720"/>
        </w:tabs>
        <w:rPr>
          <w:kern w:val="22"/>
          <w:szCs w:val="22"/>
          <w:lang w:val="fr-FR"/>
        </w:rPr>
      </w:pPr>
      <w:r>
        <w:rPr>
          <w:kern w:val="22"/>
          <w:szCs w:val="22"/>
          <w:lang w:val="fr-FR"/>
        </w:rPr>
        <w:t xml:space="preserve">L’Organe subsidiaire chargé de fournir des avis scientifiques, techniques et technologiques doit fournir les connaissances scientifiques requises pour établir un argument solide démontrant l’importance </w:t>
      </w:r>
      <w:r>
        <w:rPr>
          <w:kern w:val="22"/>
          <w:szCs w:val="22"/>
          <w:lang w:val="fr-FR"/>
        </w:rPr>
        <w:lastRenderedPageBreak/>
        <w:t>de la biodiversité.</w:t>
      </w:r>
      <w:r w:rsidR="002F2B03">
        <w:rPr>
          <w:kern w:val="22"/>
          <w:szCs w:val="22"/>
          <w:lang w:val="fr-FR"/>
        </w:rPr>
        <w:t xml:space="preserve"> Des données scientifiques robust</w:t>
      </w:r>
      <w:r>
        <w:rPr>
          <w:kern w:val="22"/>
          <w:szCs w:val="22"/>
          <w:lang w:val="fr-FR"/>
        </w:rPr>
        <w:t xml:space="preserve">es sont nécessaires pour démontrer que les solutions </w:t>
      </w:r>
      <w:r w:rsidR="001A2DDC">
        <w:rPr>
          <w:kern w:val="22"/>
          <w:szCs w:val="22"/>
          <w:lang w:val="fr-FR"/>
        </w:rPr>
        <w:t xml:space="preserve">offertes par la biodiversité peuvent réaliser les priorités de développement durable et </w:t>
      </w:r>
      <w:r w:rsidR="0064683F">
        <w:rPr>
          <w:kern w:val="22"/>
          <w:szCs w:val="22"/>
          <w:lang w:val="fr-FR"/>
        </w:rPr>
        <w:t>offrir des moyens</w:t>
      </w:r>
      <w:r w:rsidR="001A2DDC">
        <w:rPr>
          <w:kern w:val="22"/>
          <w:szCs w:val="22"/>
          <w:lang w:val="fr-FR"/>
        </w:rPr>
        <w:t xml:space="preserve"> durables pour guider un changement transformateur. À cette fin, l’Organe subsidiaire chargé de fournir des avis scientifiques, techniques et technologiques doit faire fond sur les trois objectifs de la Convention</w:t>
      </w:r>
      <w:r w:rsidR="00CA14AA">
        <w:rPr>
          <w:kern w:val="22"/>
          <w:szCs w:val="22"/>
          <w:lang w:val="fr-FR"/>
        </w:rPr>
        <w:t xml:space="preserve"> et la vision convenue de vivre en harmonie avec la nature à partir de 2050. L’Organe subsidiaire doit répondre</w:t>
      </w:r>
      <w:r w:rsidR="001A62C0">
        <w:rPr>
          <w:kern w:val="22"/>
          <w:szCs w:val="22"/>
          <w:lang w:val="fr-FR"/>
        </w:rPr>
        <w:t xml:space="preserve"> aux demandes d’objectifs fondé</w:t>
      </w:r>
      <w:r w:rsidR="00CA14AA">
        <w:rPr>
          <w:kern w:val="22"/>
          <w:szCs w:val="22"/>
          <w:lang w:val="fr-FR"/>
        </w:rPr>
        <w:t>s sur des données factuelles et scientifiques dans le cadre mondial de la biodiversité pour l’après-2020.</w:t>
      </w:r>
    </w:p>
    <w:p w:rsidR="00AE1582" w:rsidRDefault="00CA14AA" w:rsidP="00381183">
      <w:pPr>
        <w:pStyle w:val="StylePara1Before0pt"/>
        <w:numPr>
          <w:ilvl w:val="0"/>
          <w:numId w:val="3"/>
        </w:numPr>
        <w:tabs>
          <w:tab w:val="clear" w:pos="360"/>
          <w:tab w:val="num" w:pos="720"/>
        </w:tabs>
        <w:rPr>
          <w:kern w:val="22"/>
          <w:szCs w:val="22"/>
          <w:lang w:val="fr-FR"/>
        </w:rPr>
      </w:pPr>
      <w:r>
        <w:rPr>
          <w:kern w:val="22"/>
          <w:szCs w:val="22"/>
          <w:lang w:val="fr-FR"/>
        </w:rPr>
        <w:t xml:space="preserve">Il est temps que les scientifiques soient entendus sur cette question aussi fortement et clairement qu’ils l’ont été sur les changements climatiques. Afin d’éviter l’effondrement catastrophique des systèmes planétaires, les scientifiques doivent travailler </w:t>
      </w:r>
      <w:r w:rsidR="00561EFB">
        <w:rPr>
          <w:kern w:val="22"/>
          <w:szCs w:val="22"/>
          <w:lang w:val="fr-FR"/>
        </w:rPr>
        <w:t>de manière interdisciplinaire pour aborder les causes profondes de la destruction des écosystèmes</w:t>
      </w:r>
      <w:r w:rsidR="00C17480">
        <w:rPr>
          <w:kern w:val="22"/>
          <w:szCs w:val="22"/>
          <w:lang w:val="fr-FR"/>
        </w:rPr>
        <w:t>, étudier des solutions et d</w:t>
      </w:r>
      <w:r w:rsidR="00197713">
        <w:rPr>
          <w:kern w:val="22"/>
          <w:szCs w:val="22"/>
          <w:lang w:val="fr-FR"/>
        </w:rPr>
        <w:t>es approches innovantes, et faire la synthèse des données scientifiques existantes pour évaluer les lacunes dans les connaissances. Avant tout, une meilleure communication de la science par les scientifiques est nécessaire à tous les niveaux. Il arrive souvent qu</w:t>
      </w:r>
      <w:r w:rsidR="00C17480">
        <w:rPr>
          <w:kern w:val="22"/>
          <w:szCs w:val="22"/>
          <w:lang w:val="fr-FR"/>
        </w:rPr>
        <w:t>e les résultats d</w:t>
      </w:r>
      <w:r w:rsidR="002F2B03">
        <w:rPr>
          <w:kern w:val="22"/>
          <w:szCs w:val="22"/>
          <w:lang w:val="fr-FR"/>
        </w:rPr>
        <w:t xml:space="preserve">es </w:t>
      </w:r>
      <w:r w:rsidR="00197713">
        <w:rPr>
          <w:kern w:val="22"/>
          <w:szCs w:val="22"/>
          <w:lang w:val="fr-FR"/>
        </w:rPr>
        <w:t>analyse</w:t>
      </w:r>
      <w:r w:rsidR="002F2B03">
        <w:rPr>
          <w:kern w:val="22"/>
          <w:szCs w:val="22"/>
          <w:lang w:val="fr-FR"/>
        </w:rPr>
        <w:t>s</w:t>
      </w:r>
      <w:r w:rsidR="00197713">
        <w:rPr>
          <w:kern w:val="22"/>
          <w:szCs w:val="22"/>
          <w:lang w:val="fr-FR"/>
        </w:rPr>
        <w:t xml:space="preserve"> effectuée</w:t>
      </w:r>
      <w:r w:rsidR="002F2B03">
        <w:rPr>
          <w:kern w:val="22"/>
          <w:szCs w:val="22"/>
          <w:lang w:val="fr-FR"/>
        </w:rPr>
        <w:t>s</w:t>
      </w:r>
      <w:r w:rsidR="00197713">
        <w:rPr>
          <w:kern w:val="22"/>
          <w:szCs w:val="22"/>
          <w:lang w:val="fr-FR"/>
        </w:rPr>
        <w:t xml:space="preserve"> demeure</w:t>
      </w:r>
      <w:r w:rsidR="00C17480">
        <w:rPr>
          <w:kern w:val="22"/>
          <w:szCs w:val="22"/>
          <w:lang w:val="fr-FR"/>
        </w:rPr>
        <w:t>nt limités</w:t>
      </w:r>
      <w:r w:rsidR="00197713">
        <w:rPr>
          <w:kern w:val="22"/>
          <w:szCs w:val="22"/>
          <w:lang w:val="fr-FR"/>
        </w:rPr>
        <w:t xml:space="preserve"> à un petit cercle d’experts</w:t>
      </w:r>
      <w:r w:rsidR="00AE1582">
        <w:rPr>
          <w:kern w:val="22"/>
          <w:szCs w:val="22"/>
          <w:lang w:val="fr-FR"/>
        </w:rPr>
        <w:t>,</w:t>
      </w:r>
      <w:r w:rsidR="00197713">
        <w:rPr>
          <w:kern w:val="22"/>
          <w:szCs w:val="22"/>
          <w:lang w:val="fr-FR"/>
        </w:rPr>
        <w:t xml:space="preserve"> tandis que les barrières linguistiques empêchent </w:t>
      </w:r>
      <w:r w:rsidR="00AE1582">
        <w:rPr>
          <w:kern w:val="22"/>
          <w:szCs w:val="22"/>
          <w:lang w:val="fr-FR"/>
        </w:rPr>
        <w:t>la plus large di</w:t>
      </w:r>
      <w:r w:rsidR="002F2B03">
        <w:rPr>
          <w:kern w:val="22"/>
          <w:szCs w:val="22"/>
          <w:lang w:val="fr-FR"/>
        </w:rPr>
        <w:t>ffusion des études scientifiques effectuées au niveau</w:t>
      </w:r>
      <w:r w:rsidR="00AE1582">
        <w:rPr>
          <w:kern w:val="22"/>
          <w:szCs w:val="22"/>
          <w:lang w:val="fr-FR"/>
        </w:rPr>
        <w:t xml:space="preserve"> national. Toutes les sources de connaissances doivent être exploitées, y compris les connaissances traditionnelles et celles des communautés autochtones.</w:t>
      </w:r>
    </w:p>
    <w:p w:rsidR="00381183" w:rsidRPr="001235EF" w:rsidRDefault="00AE1582" w:rsidP="001235EF">
      <w:pPr>
        <w:pStyle w:val="StylePara1Before0pt"/>
        <w:numPr>
          <w:ilvl w:val="0"/>
          <w:numId w:val="3"/>
        </w:numPr>
        <w:tabs>
          <w:tab w:val="clear" w:pos="360"/>
          <w:tab w:val="num" w:pos="720"/>
        </w:tabs>
        <w:rPr>
          <w:kern w:val="22"/>
          <w:szCs w:val="22"/>
          <w:lang w:val="fr-FR"/>
        </w:rPr>
      </w:pPr>
      <w:r>
        <w:rPr>
          <w:kern w:val="22"/>
          <w:szCs w:val="22"/>
          <w:lang w:val="fr-FR"/>
        </w:rPr>
        <w:t xml:space="preserve">Pour finir, elle a </w:t>
      </w:r>
      <w:r w:rsidR="00724BAA">
        <w:rPr>
          <w:kern w:val="22"/>
          <w:szCs w:val="22"/>
          <w:lang w:val="fr-FR"/>
        </w:rPr>
        <w:t>prié instamment l’Organe subsidiaire de travailler</w:t>
      </w:r>
      <w:r w:rsidR="001257B8">
        <w:rPr>
          <w:kern w:val="22"/>
          <w:szCs w:val="22"/>
          <w:lang w:val="fr-FR"/>
        </w:rPr>
        <w:t xml:space="preserve"> avec acharnement a</w:t>
      </w:r>
      <w:r w:rsidR="00724BAA">
        <w:rPr>
          <w:kern w:val="22"/>
          <w:szCs w:val="22"/>
          <w:lang w:val="fr-FR"/>
        </w:rPr>
        <w:t>fin que la bio</w:t>
      </w:r>
      <w:r w:rsidR="002D170E">
        <w:rPr>
          <w:kern w:val="22"/>
          <w:szCs w:val="22"/>
          <w:lang w:val="fr-FR"/>
        </w:rPr>
        <w:t>diversité cesse d’être le problème criant</w:t>
      </w:r>
      <w:r w:rsidR="001235EF">
        <w:rPr>
          <w:kern w:val="22"/>
          <w:szCs w:val="22"/>
          <w:lang w:val="fr-FR"/>
        </w:rPr>
        <w:t xml:space="preserve"> que tout le monde </w:t>
      </w:r>
      <w:r w:rsidR="00C17480">
        <w:rPr>
          <w:kern w:val="22"/>
          <w:szCs w:val="22"/>
          <w:lang w:val="fr-FR"/>
        </w:rPr>
        <w:t>ignore</w:t>
      </w:r>
      <w:r w:rsidR="000260B3">
        <w:rPr>
          <w:kern w:val="22"/>
          <w:szCs w:val="22"/>
          <w:lang w:val="fr-FR"/>
        </w:rPr>
        <w:t>,</w:t>
      </w:r>
      <w:r w:rsidR="008153F7">
        <w:rPr>
          <w:kern w:val="22"/>
          <w:szCs w:val="22"/>
          <w:lang w:val="fr-FR"/>
        </w:rPr>
        <w:t xml:space="preserve"> et qu’une base scientifique solide</w:t>
      </w:r>
      <w:r w:rsidR="001235EF">
        <w:rPr>
          <w:kern w:val="22"/>
          <w:szCs w:val="22"/>
          <w:lang w:val="fr-FR"/>
        </w:rPr>
        <w:t xml:space="preserve"> nous guide doucement mais fermement</w:t>
      </w:r>
      <w:r w:rsidR="00724BAA">
        <w:rPr>
          <w:kern w:val="22"/>
          <w:szCs w:val="22"/>
          <w:lang w:val="fr-FR"/>
        </w:rPr>
        <w:t xml:space="preserve"> vers 2020 et au-delà.</w:t>
      </w:r>
      <w:r w:rsidR="00724BAA" w:rsidRPr="001235EF">
        <w:rPr>
          <w:kern w:val="22"/>
          <w:szCs w:val="22"/>
          <w:lang w:val="fr-FR"/>
        </w:rPr>
        <w:t xml:space="preserve"> </w:t>
      </w:r>
      <w:r w:rsidR="00CA14AA" w:rsidRPr="001235EF">
        <w:rPr>
          <w:kern w:val="22"/>
          <w:szCs w:val="22"/>
          <w:lang w:val="fr-FR"/>
        </w:rPr>
        <w:t xml:space="preserve"> </w:t>
      </w:r>
      <w:r w:rsidR="00C2495A" w:rsidRPr="001235EF">
        <w:rPr>
          <w:kern w:val="22"/>
          <w:szCs w:val="22"/>
          <w:lang w:val="fr-FR"/>
        </w:rPr>
        <w:t xml:space="preserve">  </w:t>
      </w:r>
      <w:r w:rsidR="00F8179F" w:rsidRPr="001235EF">
        <w:rPr>
          <w:kern w:val="22"/>
          <w:szCs w:val="22"/>
          <w:lang w:val="fr-FR"/>
        </w:rPr>
        <w:t xml:space="preserve"> </w:t>
      </w:r>
    </w:p>
    <w:p w:rsidR="00381183" w:rsidRPr="00A2637A" w:rsidRDefault="002411A7" w:rsidP="00381183">
      <w:pPr>
        <w:pStyle w:val="StylePara1Before0pt"/>
        <w:numPr>
          <w:ilvl w:val="0"/>
          <w:numId w:val="3"/>
        </w:numPr>
        <w:tabs>
          <w:tab w:val="clear" w:pos="360"/>
          <w:tab w:val="num" w:pos="720"/>
        </w:tabs>
        <w:rPr>
          <w:kern w:val="22"/>
          <w:szCs w:val="22"/>
          <w:lang w:val="fr-FR"/>
        </w:rPr>
      </w:pPr>
      <w:r>
        <w:rPr>
          <w:kern w:val="22"/>
          <w:szCs w:val="22"/>
          <w:lang w:val="fr-FR"/>
        </w:rPr>
        <w:t>M.</w:t>
      </w:r>
      <w:r w:rsidR="00381183" w:rsidRPr="00C64F50">
        <w:rPr>
          <w:kern w:val="22"/>
          <w:szCs w:val="22"/>
          <w:lang w:val="fr-FR"/>
        </w:rPr>
        <w:t xml:space="preserve"> </w:t>
      </w:r>
      <w:r w:rsidR="00381183" w:rsidRPr="00C64F50">
        <w:rPr>
          <w:noProof/>
          <w:kern w:val="22"/>
          <w:szCs w:val="22"/>
          <w:lang w:val="fr-FR"/>
        </w:rPr>
        <w:t>Obrecht</w:t>
      </w:r>
      <w:r w:rsidR="00381183" w:rsidRPr="00C64F50">
        <w:rPr>
          <w:kern w:val="22"/>
          <w:szCs w:val="22"/>
          <w:lang w:val="fr-FR"/>
        </w:rPr>
        <w:t xml:space="preserve"> </w:t>
      </w:r>
      <w:r>
        <w:rPr>
          <w:kern w:val="22"/>
          <w:szCs w:val="22"/>
          <w:lang w:val="fr-FR"/>
        </w:rPr>
        <w:t xml:space="preserve">a informé l’Organe subsidiaire que le PNUE et le Centre mondial de surveillance pour la conservation travaillent ensemble sur des questions qui seront examinées à la présente réunion, notamment les aires protégées et d’autres mesures pour renforcer la gestion de la conservation, la diversité biologique marine et côtière et les changements climatiques, et que les deux organisations considèrent l’évaluation des progrès réalisés dans la poursuite des Objectifs d’Aichi pour la biodiversité très importante pour leurs travaux au cours des prochaines années. Il a fait observer que la sixième édition des </w:t>
      </w:r>
      <w:r w:rsidRPr="002F2B03">
        <w:rPr>
          <w:i/>
          <w:kern w:val="22"/>
          <w:szCs w:val="22"/>
          <w:lang w:val="fr-FR"/>
        </w:rPr>
        <w:t>Perspectives mond</w:t>
      </w:r>
      <w:r w:rsidR="002F2B03" w:rsidRPr="002F2B03">
        <w:rPr>
          <w:i/>
          <w:kern w:val="22"/>
          <w:szCs w:val="22"/>
          <w:lang w:val="fr-FR"/>
        </w:rPr>
        <w:t>iales de l’environnement</w:t>
      </w:r>
      <w:r w:rsidR="00DD1CDF">
        <w:rPr>
          <w:kern w:val="22"/>
          <w:szCs w:val="22"/>
          <w:lang w:val="fr-FR"/>
        </w:rPr>
        <w:t xml:space="preserve">, </w:t>
      </w:r>
      <w:r w:rsidR="00C17480">
        <w:rPr>
          <w:kern w:val="22"/>
          <w:szCs w:val="22"/>
          <w:lang w:val="fr-FR"/>
        </w:rPr>
        <w:t>dont le dernier examen a</w:t>
      </w:r>
      <w:r w:rsidR="00DD1CDF">
        <w:rPr>
          <w:kern w:val="22"/>
          <w:szCs w:val="22"/>
          <w:lang w:val="fr-FR"/>
        </w:rPr>
        <w:t>vant son lancement au début de 2019</w:t>
      </w:r>
      <w:r w:rsidR="00C17480">
        <w:rPr>
          <w:kern w:val="22"/>
          <w:szCs w:val="22"/>
          <w:lang w:val="fr-FR"/>
        </w:rPr>
        <w:t xml:space="preserve"> est en cours</w:t>
      </w:r>
      <w:r w:rsidR="00DD1CDF">
        <w:rPr>
          <w:kern w:val="22"/>
          <w:szCs w:val="22"/>
          <w:lang w:val="fr-FR"/>
        </w:rPr>
        <w:t>, fournira une partie importante du contexte environnemental mondial pour l’élaboration du cadre mondial de la biodiversité pour l’après-2020. Enfin, il a souligné l’importance des débats sur le deux</w:t>
      </w:r>
      <w:r w:rsidR="00DD0DDE">
        <w:rPr>
          <w:kern w:val="22"/>
          <w:szCs w:val="22"/>
          <w:lang w:val="fr-FR"/>
        </w:rPr>
        <w:t>ième programme de travail de l’IPBES</w:t>
      </w:r>
      <w:r w:rsidR="00DD1CDF">
        <w:rPr>
          <w:kern w:val="22"/>
          <w:szCs w:val="22"/>
          <w:lang w:val="fr-FR"/>
        </w:rPr>
        <w:t xml:space="preserve"> et encouragé l’Organe subsidiaire à faire des contributions concrètes et ciblées à son élaboration.</w:t>
      </w:r>
    </w:p>
    <w:p w:rsidR="00381183" w:rsidRPr="00DD1CDF" w:rsidRDefault="00DD1CDF" w:rsidP="00381183">
      <w:pPr>
        <w:pStyle w:val="StylePara1Before0pt"/>
        <w:numPr>
          <w:ilvl w:val="0"/>
          <w:numId w:val="3"/>
        </w:numPr>
        <w:tabs>
          <w:tab w:val="clear" w:pos="360"/>
          <w:tab w:val="num" w:pos="720"/>
        </w:tabs>
        <w:rPr>
          <w:noProof/>
          <w:kern w:val="22"/>
          <w:szCs w:val="22"/>
          <w:lang w:val="fr-FR"/>
        </w:rPr>
      </w:pPr>
      <w:r w:rsidRPr="00DD1CDF">
        <w:rPr>
          <w:noProof/>
          <w:kern w:val="22"/>
          <w:szCs w:val="22"/>
          <w:lang w:val="fr-FR"/>
        </w:rPr>
        <w:t>Après les déclarations, l’Organe subsidiaire a</w:t>
      </w:r>
      <w:r w:rsidR="001942EC">
        <w:rPr>
          <w:noProof/>
          <w:kern w:val="22"/>
          <w:szCs w:val="22"/>
          <w:lang w:val="fr-FR"/>
        </w:rPr>
        <w:t xml:space="preserve"> observé un moment</w:t>
      </w:r>
      <w:r w:rsidR="002F2B03">
        <w:rPr>
          <w:noProof/>
          <w:kern w:val="22"/>
          <w:szCs w:val="22"/>
          <w:lang w:val="fr-FR"/>
        </w:rPr>
        <w:t xml:space="preserve"> de silence en mémoire de M. </w:t>
      </w:r>
      <w:r w:rsidR="00381183" w:rsidRPr="00DD1CDF">
        <w:rPr>
          <w:noProof/>
          <w:kern w:val="22"/>
          <w:szCs w:val="22"/>
          <w:lang w:val="fr-FR"/>
        </w:rPr>
        <w:t>Cheikh Ould Sidi</w:t>
      </w:r>
      <w:r w:rsidR="00EE00D4">
        <w:rPr>
          <w:noProof/>
          <w:kern w:val="22"/>
          <w:szCs w:val="22"/>
          <w:lang w:val="fr-FR"/>
        </w:rPr>
        <w:t xml:space="preserve"> Mohamed, correspondant national et membre du bureau actuel de la Conférence des Parties ; M. Benoit Nzigidahera, correspondant national secondaire pour le Burundi ; et M. J</w:t>
      </w:r>
      <w:r w:rsidR="00381183" w:rsidRPr="00DD1CDF">
        <w:rPr>
          <w:noProof/>
          <w:kern w:val="22"/>
          <w:szCs w:val="22"/>
          <w:lang w:val="fr-FR"/>
        </w:rPr>
        <w:t xml:space="preserve">ohansen </w:t>
      </w:r>
      <w:r w:rsidR="00EE00D4">
        <w:rPr>
          <w:noProof/>
          <w:kern w:val="22"/>
          <w:szCs w:val="22"/>
          <w:lang w:val="fr-FR"/>
        </w:rPr>
        <w:t>Volker, correspondant national pour le Liberia et membre du Comité chargé du respect des obligations au titre du Protocole de Cartagena, qui sont tous trois décédés récemment.</w:t>
      </w:r>
    </w:p>
    <w:p w:rsidR="009E6BA9" w:rsidRPr="00333FCA" w:rsidRDefault="00381183" w:rsidP="00381183">
      <w:pPr>
        <w:pStyle w:val="Heading1"/>
        <w:suppressLineNumbers/>
        <w:suppressAutoHyphens/>
        <w:rPr>
          <w:rFonts w:ascii="Times New Roman Bold" w:hAnsi="Times New Roman Bold" w:cs="Times New Roman Bold"/>
          <w:caps w:val="0"/>
          <w:snapToGrid w:val="0"/>
          <w:kern w:val="22"/>
          <w:szCs w:val="22"/>
          <w:lang w:val="fr-FR"/>
        </w:rPr>
      </w:pPr>
      <w:r w:rsidRPr="00333FCA">
        <w:rPr>
          <w:rFonts w:ascii="Times New Roman Bold" w:hAnsi="Times New Roman Bold" w:cs="Times New Roman Bold"/>
          <w:caps w:val="0"/>
          <w:snapToGrid w:val="0"/>
          <w:kern w:val="22"/>
          <w:szCs w:val="22"/>
          <w:lang w:val="fr-FR"/>
        </w:rPr>
        <w:t xml:space="preserve"> </w:t>
      </w:r>
      <w:bookmarkStart w:id="454" w:name="_Toc525904289"/>
      <w:bookmarkStart w:id="455" w:name="_Toc525904448"/>
      <w:bookmarkStart w:id="456" w:name="_Toc525904692"/>
      <w:r w:rsidR="00333FCA" w:rsidRPr="00333FCA">
        <w:rPr>
          <w:rFonts w:ascii="Times New Roman Bold" w:hAnsi="Times New Roman Bold" w:cs="Times New Roman Bold"/>
          <w:caps w:val="0"/>
          <w:snapToGrid w:val="0"/>
          <w:kern w:val="22"/>
          <w:szCs w:val="22"/>
          <w:lang w:val="fr-FR"/>
        </w:rPr>
        <w:t>POINT 2.</w:t>
      </w:r>
      <w:r w:rsidR="00333FCA" w:rsidRPr="00333FCA">
        <w:rPr>
          <w:rFonts w:ascii="Times New Roman Bold" w:hAnsi="Times New Roman Bold" w:cs="Times New Roman Bold"/>
          <w:caps w:val="0"/>
          <w:snapToGrid w:val="0"/>
          <w:kern w:val="22"/>
          <w:szCs w:val="22"/>
          <w:lang w:val="fr-FR"/>
        </w:rPr>
        <w:tab/>
        <w:t>QUESTIONS D’ORGANISATION</w:t>
      </w:r>
      <w:bookmarkEnd w:id="454"/>
      <w:bookmarkEnd w:id="455"/>
      <w:bookmarkEnd w:id="456"/>
    </w:p>
    <w:p w:rsidR="00381183" w:rsidRPr="00333FCA" w:rsidRDefault="00333FCA" w:rsidP="00381183">
      <w:pPr>
        <w:keepNext/>
        <w:suppressLineNumbers/>
        <w:tabs>
          <w:tab w:val="left" w:pos="720"/>
        </w:tabs>
        <w:suppressAutoHyphens/>
        <w:spacing w:before="120" w:after="120"/>
        <w:jc w:val="center"/>
        <w:outlineLvl w:val="1"/>
        <w:rPr>
          <w:b/>
          <w:bCs/>
          <w:iCs/>
          <w:snapToGrid w:val="0"/>
          <w:kern w:val="22"/>
          <w:szCs w:val="22"/>
          <w:lang w:val="fr-FR"/>
        </w:rPr>
      </w:pPr>
      <w:bookmarkStart w:id="457" w:name="_Toc525904290"/>
      <w:bookmarkStart w:id="458" w:name="_Toc525904449"/>
      <w:bookmarkStart w:id="459" w:name="_Toc525904693"/>
      <w:r w:rsidRPr="00333FCA">
        <w:rPr>
          <w:rFonts w:eastAsia="Malgun Gothic"/>
          <w:b/>
          <w:kern w:val="22"/>
          <w:szCs w:val="22"/>
          <w:lang w:val="fr-FR"/>
        </w:rPr>
        <w:t>Adoption de l’ordre du jour et organisation des travaux</w:t>
      </w:r>
      <w:bookmarkEnd w:id="457"/>
      <w:bookmarkEnd w:id="458"/>
      <w:bookmarkEnd w:id="459"/>
    </w:p>
    <w:p w:rsidR="00381183" w:rsidRPr="00333FCA" w:rsidRDefault="00333FCA" w:rsidP="00381183">
      <w:pPr>
        <w:numPr>
          <w:ilvl w:val="0"/>
          <w:numId w:val="3"/>
        </w:numPr>
        <w:suppressLineNumbers/>
        <w:tabs>
          <w:tab w:val="clear" w:pos="360"/>
          <w:tab w:val="num" w:pos="709"/>
        </w:tabs>
        <w:suppressAutoHyphens/>
        <w:spacing w:before="120" w:after="120"/>
        <w:rPr>
          <w:b/>
          <w:bCs/>
          <w:kern w:val="22"/>
          <w:szCs w:val="22"/>
          <w:lang w:val="fr-FR"/>
        </w:rPr>
      </w:pPr>
      <w:r w:rsidRPr="00333FCA">
        <w:rPr>
          <w:szCs w:val="22"/>
          <w:lang w:val="fr-FR"/>
        </w:rPr>
        <w:t>À la 1</w:t>
      </w:r>
      <w:r w:rsidRPr="00333FCA">
        <w:rPr>
          <w:szCs w:val="22"/>
          <w:vertAlign w:val="superscript"/>
          <w:lang w:val="fr-FR"/>
        </w:rPr>
        <w:t>ère</w:t>
      </w:r>
      <w:r w:rsidRPr="00333FCA">
        <w:rPr>
          <w:szCs w:val="22"/>
          <w:lang w:val="fr-FR"/>
        </w:rPr>
        <w:t xml:space="preserve"> séance de la réunion, le 2 juillet 2018, l’Organe subsidiaire a examiné l’ordre d</w:t>
      </w:r>
      <w:r w:rsidR="000D2C6C">
        <w:rPr>
          <w:szCs w:val="22"/>
          <w:lang w:val="fr-FR"/>
        </w:rPr>
        <w:t xml:space="preserve">u jour provisoire de la réunion sous la présidence de Mme Theresa </w:t>
      </w:r>
      <w:r w:rsidR="000D2C6C">
        <w:rPr>
          <w:noProof/>
          <w:szCs w:val="22"/>
          <w:lang w:val="fr-FR"/>
        </w:rPr>
        <w:t>Mundita</w:t>
      </w:r>
      <w:r w:rsidR="000D2C6C">
        <w:rPr>
          <w:szCs w:val="22"/>
          <w:lang w:val="fr-FR"/>
        </w:rPr>
        <w:t xml:space="preserve"> Lim (Philippines).</w:t>
      </w:r>
    </w:p>
    <w:p w:rsidR="00381183" w:rsidRPr="00333FCA" w:rsidRDefault="00333FCA" w:rsidP="00381183">
      <w:pPr>
        <w:numPr>
          <w:ilvl w:val="0"/>
          <w:numId w:val="3"/>
        </w:numPr>
        <w:suppressLineNumbers/>
        <w:tabs>
          <w:tab w:val="clear" w:pos="360"/>
          <w:tab w:val="num" w:pos="709"/>
        </w:tabs>
        <w:suppressAutoHyphens/>
        <w:spacing w:before="120" w:after="120"/>
        <w:rPr>
          <w:b/>
          <w:bCs/>
          <w:kern w:val="22"/>
          <w:szCs w:val="22"/>
          <w:lang w:val="fr-FR"/>
        </w:rPr>
      </w:pPr>
      <w:r w:rsidRPr="00333FCA">
        <w:rPr>
          <w:szCs w:val="22"/>
          <w:lang w:val="fr-FR"/>
        </w:rPr>
        <w:t>L’Organe subsidiaire a adopté l’ordre du jour suivant sur la base de l</w:t>
      </w:r>
      <w:r w:rsidR="000D2C6C">
        <w:rPr>
          <w:szCs w:val="22"/>
          <w:lang w:val="fr-FR"/>
        </w:rPr>
        <w:t>’ordre du jour provisoire</w:t>
      </w:r>
      <w:r w:rsidRPr="00333FCA">
        <w:rPr>
          <w:szCs w:val="22"/>
          <w:lang w:val="fr-FR"/>
        </w:rPr>
        <w:t xml:space="preserve"> établi par la Secrétaire exécutive en consultation avec le Bureau</w:t>
      </w:r>
      <w:r w:rsidRPr="00333FCA">
        <w:rPr>
          <w:lang w:val="fr-FR"/>
        </w:rPr>
        <w:t xml:space="preserve"> (CBD/SBSTTA/22/1) :</w:t>
      </w:r>
    </w:p>
    <w:p w:rsidR="00381183" w:rsidRPr="00D5013C" w:rsidRDefault="00D5013C" w:rsidP="00381183">
      <w:pPr>
        <w:suppressLineNumbers/>
        <w:suppressAutoHyphens/>
        <w:spacing w:before="120" w:after="120"/>
        <w:ind w:left="720"/>
        <w:rPr>
          <w:bCs/>
          <w:kern w:val="22"/>
          <w:szCs w:val="22"/>
          <w:lang w:val="fr-FR"/>
        </w:rPr>
      </w:pPr>
      <w:r w:rsidRPr="00D43CD7">
        <w:rPr>
          <w:bCs/>
          <w:kern w:val="22"/>
          <w:szCs w:val="22"/>
          <w:lang w:val="fr-FR"/>
        </w:rPr>
        <w:t>1.</w:t>
      </w:r>
      <w:r w:rsidRPr="00D43CD7">
        <w:rPr>
          <w:bCs/>
          <w:kern w:val="22"/>
          <w:szCs w:val="22"/>
          <w:lang w:val="fr-FR"/>
        </w:rPr>
        <w:tab/>
      </w:r>
      <w:r w:rsidRPr="00D5013C">
        <w:rPr>
          <w:bCs/>
          <w:kern w:val="22"/>
          <w:szCs w:val="22"/>
          <w:lang w:val="fr-FR"/>
        </w:rPr>
        <w:t>Ouverture de la réunion</w:t>
      </w:r>
      <w:r w:rsidR="00381183" w:rsidRPr="00D5013C">
        <w:rPr>
          <w:bCs/>
          <w:kern w:val="22"/>
          <w:szCs w:val="22"/>
          <w:lang w:val="fr-FR"/>
        </w:rPr>
        <w:t>.</w:t>
      </w:r>
    </w:p>
    <w:p w:rsidR="00381183" w:rsidRPr="00D5013C" w:rsidRDefault="00381183" w:rsidP="00381183">
      <w:pPr>
        <w:suppressLineNumbers/>
        <w:suppressAutoHyphens/>
        <w:spacing w:before="120" w:after="120"/>
        <w:ind w:left="720"/>
        <w:rPr>
          <w:bCs/>
          <w:kern w:val="22"/>
          <w:szCs w:val="22"/>
          <w:lang w:val="fr-FR"/>
        </w:rPr>
      </w:pPr>
      <w:r w:rsidRPr="00A2637A">
        <w:rPr>
          <w:bCs/>
          <w:kern w:val="22"/>
          <w:szCs w:val="22"/>
          <w:lang w:val="fr-FR"/>
        </w:rPr>
        <w:t>2.</w:t>
      </w:r>
      <w:r w:rsidRPr="00A2637A">
        <w:rPr>
          <w:bCs/>
          <w:kern w:val="22"/>
          <w:szCs w:val="22"/>
          <w:lang w:val="fr-FR"/>
        </w:rPr>
        <w:tab/>
      </w:r>
      <w:r w:rsidR="00EE00D4" w:rsidRPr="00D5013C">
        <w:rPr>
          <w:snapToGrid w:val="0"/>
          <w:kern w:val="22"/>
          <w:szCs w:val="22"/>
          <w:lang w:val="fr-FR"/>
        </w:rPr>
        <w:t>Questions d’organisation: élection du bureau, adoption de l’ordre du jour et organisation des travaux.</w:t>
      </w:r>
    </w:p>
    <w:p w:rsidR="00381183" w:rsidRPr="00D5013C" w:rsidRDefault="00D5013C" w:rsidP="00381183">
      <w:pPr>
        <w:suppressLineNumbers/>
        <w:suppressAutoHyphens/>
        <w:spacing w:before="120" w:after="120"/>
        <w:ind w:left="720"/>
        <w:rPr>
          <w:bCs/>
          <w:kern w:val="22"/>
          <w:szCs w:val="22"/>
          <w:lang w:val="fr-FR"/>
        </w:rPr>
      </w:pPr>
      <w:r w:rsidRPr="00D5013C">
        <w:rPr>
          <w:bCs/>
          <w:kern w:val="22"/>
          <w:szCs w:val="22"/>
          <w:lang w:val="fr-FR"/>
        </w:rPr>
        <w:t>3.</w:t>
      </w:r>
      <w:r w:rsidRPr="00D5013C">
        <w:rPr>
          <w:bCs/>
          <w:kern w:val="22"/>
          <w:szCs w:val="22"/>
          <w:lang w:val="fr-FR"/>
        </w:rPr>
        <w:tab/>
        <w:t>Information de séquençage numérique sur les ressources génétiques</w:t>
      </w:r>
      <w:r w:rsidR="00381183" w:rsidRPr="00D5013C">
        <w:rPr>
          <w:bCs/>
          <w:kern w:val="22"/>
          <w:szCs w:val="22"/>
          <w:lang w:val="fr-FR"/>
        </w:rPr>
        <w:t>.</w:t>
      </w:r>
    </w:p>
    <w:p w:rsidR="00381183" w:rsidRPr="00D5013C" w:rsidRDefault="00381183" w:rsidP="00381183">
      <w:pPr>
        <w:suppressLineNumbers/>
        <w:suppressAutoHyphens/>
        <w:spacing w:before="120" w:after="120"/>
        <w:ind w:left="720"/>
        <w:rPr>
          <w:bCs/>
          <w:kern w:val="22"/>
          <w:szCs w:val="22"/>
          <w:lang w:val="fr-FR"/>
        </w:rPr>
      </w:pPr>
      <w:r w:rsidRPr="00D5013C">
        <w:rPr>
          <w:bCs/>
          <w:kern w:val="22"/>
          <w:szCs w:val="22"/>
          <w:lang w:val="fr-FR"/>
        </w:rPr>
        <w:t>4.</w:t>
      </w:r>
      <w:r w:rsidRPr="00D5013C">
        <w:rPr>
          <w:bCs/>
          <w:kern w:val="22"/>
          <w:szCs w:val="22"/>
          <w:lang w:val="fr-FR"/>
        </w:rPr>
        <w:tab/>
      </w:r>
      <w:r w:rsidR="00D5013C" w:rsidRPr="00D5013C">
        <w:rPr>
          <w:snapToGrid w:val="0"/>
          <w:kern w:val="22"/>
          <w:szCs w:val="22"/>
          <w:lang w:val="fr-FR"/>
        </w:rPr>
        <w:t>Évaluation et gestion des risques liés aux organismes vivants modifiés</w:t>
      </w:r>
      <w:r w:rsidRPr="00D5013C">
        <w:rPr>
          <w:bCs/>
          <w:kern w:val="22"/>
          <w:szCs w:val="22"/>
          <w:lang w:val="fr-FR"/>
        </w:rPr>
        <w:t>.</w:t>
      </w:r>
    </w:p>
    <w:p w:rsidR="00381183" w:rsidRPr="00D5013C" w:rsidRDefault="00853DC1" w:rsidP="00381183">
      <w:pPr>
        <w:suppressLineNumbers/>
        <w:suppressAutoHyphens/>
        <w:spacing w:before="120" w:after="120"/>
        <w:ind w:left="720"/>
        <w:rPr>
          <w:bCs/>
          <w:kern w:val="22"/>
          <w:szCs w:val="22"/>
          <w:lang w:val="fr-FR"/>
        </w:rPr>
      </w:pPr>
      <w:r>
        <w:rPr>
          <w:bCs/>
          <w:kern w:val="22"/>
          <w:szCs w:val="22"/>
          <w:lang w:val="fr-FR"/>
        </w:rPr>
        <w:lastRenderedPageBreak/>
        <w:t>5.</w:t>
      </w:r>
      <w:r>
        <w:rPr>
          <w:bCs/>
          <w:kern w:val="22"/>
          <w:szCs w:val="22"/>
          <w:lang w:val="fr-FR"/>
        </w:rPr>
        <w:tab/>
        <w:t>Biologie de synthèse</w:t>
      </w:r>
      <w:r w:rsidR="00381183" w:rsidRPr="00D5013C">
        <w:rPr>
          <w:bCs/>
          <w:kern w:val="22"/>
          <w:szCs w:val="22"/>
          <w:lang w:val="fr-FR"/>
        </w:rPr>
        <w:t>.</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6.</w:t>
      </w:r>
      <w:r w:rsidRPr="00D5013C">
        <w:rPr>
          <w:bCs/>
          <w:kern w:val="22"/>
          <w:szCs w:val="22"/>
          <w:lang w:val="fr-FR"/>
        </w:rPr>
        <w:tab/>
        <w:t>Évaluation scientifique actualisée des progrès acc</w:t>
      </w:r>
      <w:r w:rsidR="002F2B03">
        <w:rPr>
          <w:bCs/>
          <w:kern w:val="22"/>
          <w:szCs w:val="22"/>
          <w:lang w:val="fr-FR"/>
        </w:rPr>
        <w:t>omplis dans la réalisation de certains O</w:t>
      </w:r>
      <w:r w:rsidRPr="00D5013C">
        <w:rPr>
          <w:bCs/>
          <w:kern w:val="22"/>
          <w:szCs w:val="22"/>
          <w:lang w:val="fr-FR"/>
        </w:rPr>
        <w:t>bjectifs d’Aichi po</w:t>
      </w:r>
      <w:r w:rsidR="002F2B03">
        <w:rPr>
          <w:bCs/>
          <w:kern w:val="22"/>
          <w:szCs w:val="22"/>
          <w:lang w:val="fr-FR"/>
        </w:rPr>
        <w:t xml:space="preserve">ur la biodiversité </w:t>
      </w:r>
      <w:r w:rsidRPr="00D5013C">
        <w:rPr>
          <w:bCs/>
          <w:kern w:val="22"/>
          <w:szCs w:val="22"/>
          <w:lang w:val="fr-FR"/>
        </w:rPr>
        <w:t>et mesures pouvant être prises pour accélérer ces progrès.</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7.</w:t>
      </w:r>
      <w:r w:rsidRPr="00D5013C">
        <w:rPr>
          <w:bCs/>
          <w:kern w:val="22"/>
          <w:szCs w:val="22"/>
          <w:lang w:val="fr-FR"/>
        </w:rPr>
        <w:tab/>
        <w:t>Aires protégées et autres mesures de conservation et de gestion améliorées.</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8.</w:t>
      </w:r>
      <w:r w:rsidRPr="00D5013C">
        <w:rPr>
          <w:bCs/>
          <w:kern w:val="22"/>
          <w:szCs w:val="22"/>
          <w:lang w:val="fr-FR"/>
        </w:rPr>
        <w:tab/>
        <w:t>Diversité biologique marine et côtière: aires marines d’importance écologique ou biologique, gestion des débris marins et du bruit sous-marin d’origine anthropique, diversité biologique dans les zones d’eau froide et planification de l’espace marin.</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9.</w:t>
      </w:r>
      <w:r w:rsidRPr="00D5013C">
        <w:rPr>
          <w:bCs/>
          <w:kern w:val="22"/>
          <w:szCs w:val="22"/>
          <w:lang w:val="fr-FR"/>
        </w:rPr>
        <w:tab/>
        <w:t>Diversité biologique et changements climatiques: approches écosystémiques d’adaptation aux changements climatiques et de réduction des risques de catastrophe.</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10.</w:t>
      </w:r>
      <w:r w:rsidRPr="00D5013C">
        <w:rPr>
          <w:bCs/>
          <w:kern w:val="22"/>
          <w:szCs w:val="22"/>
          <w:lang w:val="fr-FR"/>
        </w:rPr>
        <w:tab/>
        <w:t>Espèces exotiques envahissantes.</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11.</w:t>
      </w:r>
      <w:r w:rsidRPr="00D5013C">
        <w:rPr>
          <w:bCs/>
          <w:kern w:val="22"/>
          <w:szCs w:val="22"/>
          <w:lang w:val="fr-FR"/>
        </w:rPr>
        <w:tab/>
        <w:t>Conservation et utilisation durable des pollinisateurs.</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12.</w:t>
      </w:r>
      <w:r w:rsidRPr="00D5013C">
        <w:rPr>
          <w:bCs/>
          <w:kern w:val="22"/>
          <w:szCs w:val="22"/>
          <w:lang w:val="fr-FR"/>
        </w:rPr>
        <w:tab/>
        <w:t>Deuxième programme de travail de la Plateforme intergouvernementale sur la biodiversité et les services écosystémiques.</w:t>
      </w:r>
    </w:p>
    <w:p w:rsidR="00D5013C" w:rsidRPr="00D5013C" w:rsidRDefault="00D5013C" w:rsidP="00D5013C">
      <w:pPr>
        <w:suppressLineNumbers/>
        <w:suppressAutoHyphens/>
        <w:spacing w:before="120" w:after="120"/>
        <w:ind w:left="720"/>
        <w:rPr>
          <w:bCs/>
          <w:kern w:val="22"/>
          <w:szCs w:val="22"/>
          <w:lang w:val="fr-FR"/>
        </w:rPr>
      </w:pPr>
      <w:r w:rsidRPr="00D5013C">
        <w:rPr>
          <w:bCs/>
          <w:kern w:val="22"/>
          <w:szCs w:val="22"/>
          <w:lang w:val="fr-FR"/>
        </w:rPr>
        <w:t>13.</w:t>
      </w:r>
      <w:r w:rsidRPr="00D5013C">
        <w:rPr>
          <w:bCs/>
          <w:kern w:val="22"/>
          <w:szCs w:val="22"/>
          <w:lang w:val="fr-FR"/>
        </w:rPr>
        <w:tab/>
        <w:t>Questions diverses.</w:t>
      </w:r>
    </w:p>
    <w:p w:rsidR="00D5013C" w:rsidRPr="00D5013C" w:rsidRDefault="00D5013C" w:rsidP="00D5013C">
      <w:pPr>
        <w:suppressLineNumbers/>
        <w:suppressAutoHyphens/>
        <w:spacing w:before="120" w:after="120"/>
        <w:ind w:left="720"/>
        <w:rPr>
          <w:snapToGrid w:val="0"/>
          <w:kern w:val="22"/>
          <w:szCs w:val="22"/>
          <w:lang w:val="fr-FR"/>
        </w:rPr>
      </w:pPr>
      <w:r w:rsidRPr="00D5013C">
        <w:rPr>
          <w:bCs/>
          <w:kern w:val="22"/>
          <w:szCs w:val="22"/>
          <w:lang w:val="fr-FR"/>
        </w:rPr>
        <w:t>14.</w:t>
      </w:r>
      <w:r w:rsidRPr="00D5013C">
        <w:rPr>
          <w:bCs/>
          <w:kern w:val="22"/>
          <w:szCs w:val="22"/>
          <w:lang w:val="fr-FR"/>
        </w:rPr>
        <w:tab/>
        <w:t>Adoption du rapport.</w:t>
      </w:r>
    </w:p>
    <w:p w:rsidR="00381183" w:rsidRPr="00EE00D4" w:rsidRDefault="00D5013C" w:rsidP="00D5013C">
      <w:pPr>
        <w:suppressLineNumbers/>
        <w:suppressAutoHyphens/>
        <w:spacing w:before="120" w:after="120"/>
        <w:ind w:left="720"/>
        <w:rPr>
          <w:bCs/>
          <w:kern w:val="22"/>
          <w:szCs w:val="22"/>
          <w:lang w:val="fr-FR"/>
        </w:rPr>
      </w:pPr>
      <w:r w:rsidRPr="00D5013C">
        <w:rPr>
          <w:snapToGrid w:val="0"/>
          <w:kern w:val="22"/>
          <w:szCs w:val="22"/>
          <w:lang w:val="fr-FR"/>
        </w:rPr>
        <w:t>15.</w:t>
      </w:r>
      <w:r w:rsidRPr="00D5013C">
        <w:rPr>
          <w:snapToGrid w:val="0"/>
          <w:kern w:val="22"/>
          <w:szCs w:val="22"/>
          <w:lang w:val="fr-FR"/>
        </w:rPr>
        <w:tab/>
        <w:t>Clôture de la réunion.</w:t>
      </w:r>
    </w:p>
    <w:p w:rsidR="00381183" w:rsidRPr="00EE00D4" w:rsidRDefault="00DD5121" w:rsidP="00381183">
      <w:pPr>
        <w:keepNext/>
        <w:suppressLineNumbers/>
        <w:tabs>
          <w:tab w:val="left" w:pos="720"/>
        </w:tabs>
        <w:suppressAutoHyphens/>
        <w:spacing w:before="240" w:after="120"/>
        <w:jc w:val="center"/>
        <w:outlineLvl w:val="0"/>
        <w:rPr>
          <w:rFonts w:ascii="Times New Roman Bold" w:hAnsi="Times New Roman Bold" w:cs="Times New Roman Bold"/>
          <w:b/>
          <w:snapToGrid w:val="0"/>
          <w:kern w:val="22"/>
          <w:szCs w:val="22"/>
          <w:lang w:val="fr-FR"/>
        </w:rPr>
      </w:pPr>
      <w:bookmarkStart w:id="460" w:name="_Toc525904291"/>
      <w:bookmarkStart w:id="461" w:name="_Toc525904450"/>
      <w:bookmarkStart w:id="462" w:name="_Toc525904694"/>
      <w:r>
        <w:rPr>
          <w:rFonts w:ascii="Times New Roman Bold" w:hAnsi="Times New Roman Bold" w:cs="Times New Roman Bold"/>
          <w:b/>
          <w:snapToGrid w:val="0"/>
          <w:kern w:val="22"/>
          <w:szCs w:val="22"/>
          <w:lang w:val="fr-FR"/>
        </w:rPr>
        <w:t>Élection du Bureau</w:t>
      </w:r>
      <w:bookmarkEnd w:id="460"/>
      <w:bookmarkEnd w:id="461"/>
      <w:bookmarkEnd w:id="462"/>
    </w:p>
    <w:p w:rsidR="00381183" w:rsidRPr="00EE00D4" w:rsidRDefault="000979E2" w:rsidP="00381183">
      <w:pPr>
        <w:numPr>
          <w:ilvl w:val="0"/>
          <w:numId w:val="3"/>
        </w:numPr>
        <w:suppressLineNumbers/>
        <w:tabs>
          <w:tab w:val="clear" w:pos="360"/>
          <w:tab w:val="num" w:pos="709"/>
        </w:tabs>
        <w:suppressAutoHyphens/>
        <w:spacing w:before="120" w:after="120"/>
        <w:rPr>
          <w:b/>
          <w:szCs w:val="18"/>
          <w:lang w:val="fr-FR"/>
        </w:rPr>
      </w:pPr>
      <w:r w:rsidRPr="00247F19">
        <w:rPr>
          <w:szCs w:val="22"/>
          <w:lang w:val="fr-FR"/>
        </w:rPr>
        <w:t>Conformément aux élections qui ont eu</w:t>
      </w:r>
      <w:r>
        <w:rPr>
          <w:szCs w:val="22"/>
          <w:lang w:val="fr-FR"/>
        </w:rPr>
        <w:t xml:space="preserve"> lieu lors de la</w:t>
      </w:r>
      <w:r w:rsidRPr="00247F19">
        <w:rPr>
          <w:szCs w:val="22"/>
          <w:lang w:val="fr-FR"/>
        </w:rPr>
        <w:t xml:space="preserve"> vingtième</w:t>
      </w:r>
      <w:r>
        <w:rPr>
          <w:szCs w:val="22"/>
          <w:lang w:val="fr-FR"/>
        </w:rPr>
        <w:t xml:space="preserve"> et vingt-et-unième</w:t>
      </w:r>
      <w:r w:rsidRPr="00247F19">
        <w:rPr>
          <w:szCs w:val="22"/>
          <w:lang w:val="fr-FR"/>
        </w:rPr>
        <w:t xml:space="preserve"> réunion de l’Organe subsidiaire,</w:t>
      </w:r>
      <w:r>
        <w:rPr>
          <w:szCs w:val="22"/>
          <w:lang w:val="fr-FR"/>
        </w:rPr>
        <w:t xml:space="preserve"> le Bureau de sa vingt-deuxième</w:t>
      </w:r>
      <w:r w:rsidRPr="00247F19">
        <w:rPr>
          <w:szCs w:val="22"/>
          <w:lang w:val="fr-FR"/>
        </w:rPr>
        <w:t xml:space="preserve"> réunion se compose des membres suivants :</w:t>
      </w:r>
    </w:p>
    <w:p w:rsidR="00326859" w:rsidRDefault="00326859" w:rsidP="00DD0DDE">
      <w:pPr>
        <w:suppressLineNumbers/>
        <w:suppressAutoHyphens/>
        <w:spacing w:before="120" w:after="120"/>
        <w:ind w:left="2552" w:hanging="1843"/>
        <w:rPr>
          <w:noProof/>
          <w:szCs w:val="18"/>
          <w:lang w:val="fr-FR"/>
        </w:rPr>
      </w:pPr>
      <w:r>
        <w:rPr>
          <w:noProof/>
          <w:szCs w:val="18"/>
          <w:lang w:val="fr-FR"/>
        </w:rPr>
        <w:t>Pré</w:t>
      </w:r>
      <w:r w:rsidR="00181BBB">
        <w:rPr>
          <w:noProof/>
          <w:szCs w:val="18"/>
          <w:lang w:val="fr-FR"/>
        </w:rPr>
        <w:t>sidente :</w:t>
      </w:r>
      <w:r w:rsidR="00181BBB">
        <w:rPr>
          <w:noProof/>
          <w:szCs w:val="18"/>
          <w:lang w:val="fr-FR"/>
        </w:rPr>
        <w:tab/>
        <w:t>Mme Theresa Mundita</w:t>
      </w:r>
      <w:r>
        <w:rPr>
          <w:noProof/>
          <w:szCs w:val="18"/>
          <w:lang w:val="fr-FR"/>
        </w:rPr>
        <w:t xml:space="preserve"> Lim (Philippines)</w:t>
      </w:r>
    </w:p>
    <w:p w:rsidR="00DD0DDE" w:rsidRDefault="00326859" w:rsidP="00326859">
      <w:pPr>
        <w:suppressLineNumbers/>
        <w:suppressAutoHyphens/>
        <w:spacing w:before="120" w:after="120"/>
        <w:ind w:left="2552" w:hanging="1843"/>
        <w:rPr>
          <w:noProof/>
          <w:szCs w:val="18"/>
          <w:lang w:val="fr-FR"/>
        </w:rPr>
      </w:pPr>
      <w:r>
        <w:rPr>
          <w:noProof/>
          <w:szCs w:val="18"/>
          <w:lang w:val="fr-FR"/>
        </w:rPr>
        <w:t>Vice-présidents :</w:t>
      </w:r>
      <w:r>
        <w:rPr>
          <w:noProof/>
          <w:szCs w:val="18"/>
          <w:lang w:val="fr-FR"/>
        </w:rPr>
        <w:tab/>
      </w:r>
      <w:r w:rsidR="00DD0DDE">
        <w:rPr>
          <w:noProof/>
          <w:szCs w:val="18"/>
          <w:lang w:val="fr-FR"/>
        </w:rPr>
        <w:t>M. Yousef Al-Hafedh (Arabie saoudite</w:t>
      </w:r>
      <w:r w:rsidR="00DD0DDE" w:rsidRPr="00EE00D4">
        <w:rPr>
          <w:noProof/>
          <w:szCs w:val="18"/>
          <w:lang w:val="fr-FR"/>
        </w:rPr>
        <w:t>)</w:t>
      </w:r>
    </w:p>
    <w:p w:rsidR="00381183" w:rsidRPr="00EE00D4" w:rsidRDefault="000979E2" w:rsidP="00DD0DDE">
      <w:pPr>
        <w:suppressLineNumbers/>
        <w:suppressAutoHyphens/>
        <w:spacing w:before="120" w:after="120"/>
        <w:ind w:left="2552"/>
        <w:rPr>
          <w:noProof/>
          <w:szCs w:val="18"/>
          <w:lang w:val="fr-FR"/>
        </w:rPr>
      </w:pPr>
      <w:r>
        <w:rPr>
          <w:noProof/>
          <w:szCs w:val="18"/>
          <w:lang w:val="fr-FR"/>
        </w:rPr>
        <w:t>M. Hendrick Segers (Belgique</w:t>
      </w:r>
      <w:r w:rsidR="00381183" w:rsidRPr="00EE00D4">
        <w:rPr>
          <w:noProof/>
          <w:szCs w:val="18"/>
          <w:lang w:val="fr-FR"/>
        </w:rPr>
        <w:t>)</w:t>
      </w:r>
    </w:p>
    <w:p w:rsidR="00DD0DDE" w:rsidRDefault="00DD0DDE" w:rsidP="00326859">
      <w:pPr>
        <w:suppressLineNumbers/>
        <w:suppressAutoHyphens/>
        <w:spacing w:before="120" w:after="120"/>
        <w:ind w:left="2552"/>
        <w:rPr>
          <w:noProof/>
          <w:szCs w:val="18"/>
          <w:lang w:val="fr-FR"/>
        </w:rPr>
      </w:pPr>
      <w:r>
        <w:rPr>
          <w:noProof/>
          <w:szCs w:val="18"/>
          <w:lang w:val="fr-FR"/>
        </w:rPr>
        <w:t>Mme</w:t>
      </w:r>
      <w:r w:rsidRPr="00EE00D4">
        <w:rPr>
          <w:noProof/>
          <w:szCs w:val="18"/>
          <w:lang w:val="fr-FR"/>
        </w:rPr>
        <w:t xml:space="preserve"> Senka </w:t>
      </w:r>
      <w:r w:rsidR="00A6302E">
        <w:rPr>
          <w:noProof/>
          <w:szCs w:val="18"/>
          <w:lang w:val="fr-FR"/>
        </w:rPr>
        <w:t>Barudanovi</w:t>
      </w:r>
      <w:r w:rsidR="00A6302E" w:rsidRPr="00A2637A">
        <w:rPr>
          <w:noProof/>
          <w:szCs w:val="18"/>
          <w:lang w:val="fr-FR"/>
        </w:rPr>
        <w:t>ć</w:t>
      </w:r>
      <w:r>
        <w:rPr>
          <w:noProof/>
          <w:szCs w:val="18"/>
          <w:lang w:val="fr-FR"/>
        </w:rPr>
        <w:t xml:space="preserve"> (Bosnie-Herzégovine</w:t>
      </w:r>
      <w:r w:rsidRPr="00EE00D4">
        <w:rPr>
          <w:noProof/>
          <w:szCs w:val="18"/>
          <w:lang w:val="fr-FR"/>
        </w:rPr>
        <w:t>)</w:t>
      </w:r>
    </w:p>
    <w:p w:rsidR="00DD0DDE" w:rsidRDefault="00DD0DDE" w:rsidP="00326859">
      <w:pPr>
        <w:suppressLineNumbers/>
        <w:suppressAutoHyphens/>
        <w:spacing w:before="120" w:after="120"/>
        <w:ind w:left="2552"/>
        <w:rPr>
          <w:noProof/>
          <w:szCs w:val="18"/>
          <w:lang w:val="fr-FR"/>
        </w:rPr>
      </w:pPr>
      <w:r>
        <w:rPr>
          <w:noProof/>
          <w:szCs w:val="18"/>
          <w:lang w:val="fr-FR"/>
        </w:rPr>
        <w:t>Mme</w:t>
      </w:r>
      <w:r w:rsidRPr="00EE00D4">
        <w:rPr>
          <w:noProof/>
          <w:szCs w:val="18"/>
          <w:lang w:val="fr-FR"/>
        </w:rPr>
        <w:t xml:space="preserve"> Eugenia Arguedas Montezuma (Costa Rica)</w:t>
      </w:r>
    </w:p>
    <w:p w:rsidR="00DD0DDE" w:rsidRDefault="00DD0DDE" w:rsidP="00326859">
      <w:pPr>
        <w:suppressLineNumbers/>
        <w:suppressAutoHyphens/>
        <w:spacing w:before="120" w:after="120"/>
        <w:ind w:left="2552"/>
        <w:rPr>
          <w:noProof/>
          <w:szCs w:val="18"/>
          <w:lang w:val="fr-FR"/>
        </w:rPr>
      </w:pPr>
      <w:r w:rsidRPr="00DD0DDE">
        <w:rPr>
          <w:noProof/>
          <w:szCs w:val="18"/>
          <w:lang w:val="fr-FR"/>
        </w:rPr>
        <w:t>M. Sigurdur Thrainsson (Islande)</w:t>
      </w:r>
    </w:p>
    <w:p w:rsidR="00DD0DDE" w:rsidRDefault="00DD0DDE" w:rsidP="00326859">
      <w:pPr>
        <w:suppressLineNumbers/>
        <w:suppressAutoHyphens/>
        <w:spacing w:before="120" w:after="120"/>
        <w:ind w:left="2552"/>
        <w:rPr>
          <w:noProof/>
          <w:szCs w:val="18"/>
          <w:lang w:val="fr-FR"/>
        </w:rPr>
      </w:pPr>
      <w:r>
        <w:rPr>
          <w:noProof/>
          <w:szCs w:val="18"/>
          <w:lang w:val="fr-FR"/>
        </w:rPr>
        <w:t>Mme</w:t>
      </w:r>
      <w:r w:rsidRPr="00EE00D4">
        <w:rPr>
          <w:noProof/>
          <w:szCs w:val="18"/>
          <w:lang w:val="fr-FR"/>
        </w:rPr>
        <w:t xml:space="preserve"> Ilham Atho Mohamed (Maldives)</w:t>
      </w:r>
    </w:p>
    <w:p w:rsidR="00DD0DDE" w:rsidRDefault="00DD0DDE" w:rsidP="00326859">
      <w:pPr>
        <w:suppressLineNumbers/>
        <w:suppressAutoHyphens/>
        <w:spacing w:before="120" w:after="120"/>
        <w:ind w:left="2552"/>
        <w:rPr>
          <w:noProof/>
          <w:szCs w:val="18"/>
          <w:lang w:val="fr-FR"/>
        </w:rPr>
      </w:pPr>
      <w:r>
        <w:rPr>
          <w:noProof/>
          <w:szCs w:val="18"/>
          <w:lang w:val="fr-FR"/>
        </w:rPr>
        <w:t>M.</w:t>
      </w:r>
      <w:r w:rsidRPr="00EE00D4">
        <w:rPr>
          <w:noProof/>
          <w:szCs w:val="18"/>
          <w:lang w:val="fr-FR"/>
        </w:rPr>
        <w:t xml:space="preserve"> </w:t>
      </w:r>
      <w:r>
        <w:rPr>
          <w:noProof/>
          <w:szCs w:val="18"/>
          <w:lang w:val="fr-FR"/>
        </w:rPr>
        <w:t>Marthin Kaukaha Kasaona (Namibie</w:t>
      </w:r>
      <w:r w:rsidRPr="00EE00D4">
        <w:rPr>
          <w:noProof/>
          <w:szCs w:val="18"/>
          <w:lang w:val="fr-FR"/>
        </w:rPr>
        <w:t>)</w:t>
      </w:r>
    </w:p>
    <w:p w:rsidR="00DD0DDE" w:rsidRDefault="00DD0DDE" w:rsidP="00326859">
      <w:pPr>
        <w:suppressLineNumbers/>
        <w:suppressAutoHyphens/>
        <w:spacing w:before="120" w:after="120"/>
        <w:ind w:left="2552"/>
        <w:rPr>
          <w:noProof/>
          <w:szCs w:val="18"/>
          <w:lang w:val="fr-FR"/>
        </w:rPr>
      </w:pPr>
      <w:r>
        <w:rPr>
          <w:noProof/>
          <w:szCs w:val="18"/>
          <w:lang w:val="fr-FR"/>
        </w:rPr>
        <w:t>M.</w:t>
      </w:r>
      <w:r w:rsidRPr="00EE00D4">
        <w:rPr>
          <w:noProof/>
          <w:szCs w:val="18"/>
          <w:lang w:val="fr-FR"/>
        </w:rPr>
        <w:t xml:space="preserve"> Adams Toussaint (Saint</w:t>
      </w:r>
      <w:r>
        <w:rPr>
          <w:noProof/>
          <w:szCs w:val="18"/>
          <w:lang w:val="fr-FR"/>
        </w:rPr>
        <w:t>e-Lucie)</w:t>
      </w:r>
    </w:p>
    <w:p w:rsidR="00381183" w:rsidRPr="00EE00D4" w:rsidRDefault="003B102B" w:rsidP="00326859">
      <w:pPr>
        <w:suppressLineNumbers/>
        <w:suppressAutoHyphens/>
        <w:spacing w:before="120" w:after="120"/>
        <w:ind w:left="2552"/>
        <w:rPr>
          <w:noProof/>
          <w:szCs w:val="18"/>
          <w:lang w:val="fr-FR"/>
        </w:rPr>
      </w:pPr>
      <w:r>
        <w:rPr>
          <w:noProof/>
          <w:szCs w:val="18"/>
          <w:lang w:val="fr-FR"/>
        </w:rPr>
        <w:t>M. Samuel Diémé</w:t>
      </w:r>
      <w:r w:rsidR="000979E2">
        <w:rPr>
          <w:noProof/>
          <w:szCs w:val="18"/>
          <w:lang w:val="fr-FR"/>
        </w:rPr>
        <w:t xml:space="preserve"> (Séné</w:t>
      </w:r>
      <w:r w:rsidR="00381183" w:rsidRPr="00EE00D4">
        <w:rPr>
          <w:noProof/>
          <w:szCs w:val="18"/>
          <w:lang w:val="fr-FR"/>
        </w:rPr>
        <w:t>gal)</w:t>
      </w:r>
    </w:p>
    <w:p w:rsidR="00381183" w:rsidRPr="00EE00D4" w:rsidRDefault="000979E2" w:rsidP="00326859">
      <w:pPr>
        <w:suppressLineNumbers/>
        <w:suppressAutoHyphens/>
        <w:spacing w:before="120" w:after="120"/>
        <w:ind w:left="2552"/>
        <w:rPr>
          <w:noProof/>
          <w:szCs w:val="18"/>
          <w:lang w:val="fr-FR"/>
        </w:rPr>
      </w:pPr>
      <w:r>
        <w:rPr>
          <w:noProof/>
          <w:szCs w:val="18"/>
          <w:lang w:val="fr-FR"/>
        </w:rPr>
        <w:t>M.</w:t>
      </w:r>
      <w:r w:rsidR="00381183" w:rsidRPr="00EE00D4">
        <w:rPr>
          <w:noProof/>
          <w:szCs w:val="18"/>
          <w:lang w:val="fr-FR"/>
        </w:rPr>
        <w:t xml:space="preserve"> Sergy Gubar (Ukraine)</w:t>
      </w:r>
    </w:p>
    <w:p w:rsidR="000B361E" w:rsidRPr="00794D7F" w:rsidRDefault="00353EBE" w:rsidP="000B361E">
      <w:pPr>
        <w:pStyle w:val="Para1"/>
        <w:tabs>
          <w:tab w:val="clear" w:pos="360"/>
        </w:tabs>
        <w:rPr>
          <w:kern w:val="22"/>
          <w:szCs w:val="22"/>
          <w:lang w:val="fr-FR"/>
        </w:rPr>
      </w:pPr>
      <w:r w:rsidRPr="002A5DC3">
        <w:rPr>
          <w:lang w:val="fr-FR"/>
        </w:rPr>
        <w:t>À la</w:t>
      </w:r>
      <w:r w:rsidR="002F2B03">
        <w:rPr>
          <w:lang w:val="fr-FR"/>
        </w:rPr>
        <w:t xml:space="preserve"> 13</w:t>
      </w:r>
      <w:r w:rsidR="002F2B03" w:rsidRPr="002F2B03">
        <w:rPr>
          <w:vertAlign w:val="superscript"/>
          <w:lang w:val="fr-FR"/>
        </w:rPr>
        <w:t>ème</w:t>
      </w:r>
      <w:r w:rsidR="002F2B03">
        <w:rPr>
          <w:lang w:val="fr-FR"/>
        </w:rPr>
        <w:t xml:space="preserve"> séance de la réunion, le 7 juillet 2018, </w:t>
      </w:r>
      <w:r w:rsidRPr="002A5DC3">
        <w:rPr>
          <w:lang w:val="fr-FR"/>
        </w:rPr>
        <w:t xml:space="preserve">l’Organe subsidiaire a </w:t>
      </w:r>
      <w:r w:rsidR="00692BA7" w:rsidRPr="002A5DC3">
        <w:rPr>
          <w:lang w:val="fr-FR"/>
        </w:rPr>
        <w:t>officiellement élu les membres du Bureau suivants</w:t>
      </w:r>
      <w:r w:rsidR="00236AAE">
        <w:rPr>
          <w:lang w:val="fr-FR"/>
        </w:rPr>
        <w:t xml:space="preserve"> pour un mandat commençant à la fin de la vingt-deuxième réunion et se terminant à la fin de la vingt-quatrième réunion, pour remplacer les membres de la Belgique, du Costa Rica, de l’Arabie saoudite, du Sénégal et de l’Ukraine</w:t>
      </w:r>
      <w:r w:rsidR="00853DC1">
        <w:rPr>
          <w:lang w:val="fr-FR"/>
        </w:rPr>
        <w:t> :</w:t>
      </w:r>
      <w:r w:rsidR="00853DC1" w:rsidRPr="00853DC1">
        <w:rPr>
          <w:lang w:val="fr-FR"/>
        </w:rPr>
        <w:t xml:space="preserve"> </w:t>
      </w:r>
      <w:r w:rsidR="00853DC1">
        <w:rPr>
          <w:lang w:val="fr-FR"/>
        </w:rPr>
        <w:t>Mme</w:t>
      </w:r>
      <w:r w:rsidR="00853DC1" w:rsidRPr="00853DC1">
        <w:rPr>
          <w:lang w:val="fr-FR"/>
        </w:rPr>
        <w:t xml:space="preserve"> Marina von Weissenberg (Finland</w:t>
      </w:r>
      <w:r w:rsidR="00853DC1">
        <w:rPr>
          <w:lang w:val="fr-FR"/>
        </w:rPr>
        <w:t>e), M. Larbi Sbai (Maroc</w:t>
      </w:r>
      <w:r w:rsidR="00853DC1" w:rsidRPr="00853DC1">
        <w:rPr>
          <w:lang w:val="fr-FR"/>
        </w:rPr>
        <w:t>)</w:t>
      </w:r>
      <w:r w:rsidR="00853DC1">
        <w:rPr>
          <w:lang w:val="fr-FR"/>
        </w:rPr>
        <w:t>,</w:t>
      </w:r>
      <w:r w:rsidR="00853DC1" w:rsidRPr="00853DC1">
        <w:rPr>
          <w:lang w:val="fr-FR"/>
        </w:rPr>
        <w:t xml:space="preserve"> </w:t>
      </w:r>
      <w:r w:rsidR="00853DC1">
        <w:rPr>
          <w:lang w:val="fr-FR"/>
        </w:rPr>
        <w:t>M. Hesiquio Benitez Diaz (Mexique</w:t>
      </w:r>
      <w:r w:rsidR="00853DC1" w:rsidRPr="00853DC1">
        <w:rPr>
          <w:lang w:val="fr-FR"/>
        </w:rPr>
        <w:t xml:space="preserve">), </w:t>
      </w:r>
      <w:r w:rsidR="00853DC1">
        <w:rPr>
          <w:lang w:val="fr-FR"/>
        </w:rPr>
        <w:t>Mme </w:t>
      </w:r>
      <w:r w:rsidR="00853DC1" w:rsidRPr="00853DC1">
        <w:rPr>
          <w:lang w:val="fr-FR"/>
        </w:rPr>
        <w:t>Kongchay Phim</w:t>
      </w:r>
      <w:r w:rsidR="00853DC1">
        <w:rPr>
          <w:lang w:val="fr-FR"/>
        </w:rPr>
        <w:t>makong (République démocratique populaire Lao) et M. Sergiy Gubar (Ukraine)</w:t>
      </w:r>
      <w:r w:rsidR="000B361E" w:rsidRPr="002A5DC3">
        <w:rPr>
          <w:lang w:val="fr-FR"/>
        </w:rPr>
        <w:t>.</w:t>
      </w:r>
    </w:p>
    <w:p w:rsidR="00794D7F" w:rsidRPr="002A5DC3" w:rsidRDefault="00724BAA" w:rsidP="000B361E">
      <w:pPr>
        <w:pStyle w:val="Para1"/>
        <w:tabs>
          <w:tab w:val="clear" w:pos="360"/>
        </w:tabs>
        <w:rPr>
          <w:noProof/>
          <w:kern w:val="22"/>
          <w:szCs w:val="22"/>
          <w:lang w:val="fr-FR"/>
        </w:rPr>
      </w:pPr>
      <w:r>
        <w:rPr>
          <w:noProof/>
          <w:lang w:val="fr-FR"/>
        </w:rPr>
        <w:t xml:space="preserve">L’Organe subsidiaire a </w:t>
      </w:r>
      <w:r w:rsidR="00853DC1">
        <w:rPr>
          <w:noProof/>
          <w:lang w:val="fr-FR"/>
        </w:rPr>
        <w:t xml:space="preserve">aussi </w:t>
      </w:r>
      <w:r>
        <w:rPr>
          <w:noProof/>
          <w:lang w:val="fr-FR"/>
        </w:rPr>
        <w:t>élu</w:t>
      </w:r>
      <w:r w:rsidR="00853DC1">
        <w:rPr>
          <w:noProof/>
          <w:lang w:val="fr-FR"/>
        </w:rPr>
        <w:t> :</w:t>
      </w:r>
      <w:r>
        <w:rPr>
          <w:noProof/>
          <w:lang w:val="fr-FR"/>
        </w:rPr>
        <w:t xml:space="preserve"> </w:t>
      </w:r>
      <w:r w:rsidR="00853DC1">
        <w:rPr>
          <w:szCs w:val="22"/>
          <w:lang w:val="fr-FR"/>
        </w:rPr>
        <w:t>Mme Helena Brown (Antigua-et-Barbuda), M</w:t>
      </w:r>
      <w:r w:rsidR="00853DC1" w:rsidRPr="00853DC1">
        <w:rPr>
          <w:szCs w:val="22"/>
          <w:lang w:val="fr-FR"/>
        </w:rPr>
        <w:t xml:space="preserve">. Oleg Borodin (Belarus), </w:t>
      </w:r>
      <w:r w:rsidR="00853DC1">
        <w:rPr>
          <w:szCs w:val="22"/>
          <w:lang w:val="fr-FR"/>
        </w:rPr>
        <w:t>M</w:t>
      </w:r>
      <w:r w:rsidR="00853DC1" w:rsidRPr="00853DC1">
        <w:rPr>
          <w:szCs w:val="22"/>
          <w:lang w:val="fr-FR"/>
        </w:rPr>
        <w:t>. Moustafa Fouda (Egypt</w:t>
      </w:r>
      <w:r w:rsidR="00853DC1">
        <w:rPr>
          <w:szCs w:val="22"/>
          <w:lang w:val="fr-FR"/>
        </w:rPr>
        <w:t>e</w:t>
      </w:r>
      <w:r w:rsidR="00853DC1" w:rsidRPr="00853DC1">
        <w:rPr>
          <w:szCs w:val="22"/>
          <w:lang w:val="fr-FR"/>
        </w:rPr>
        <w:t>)</w:t>
      </w:r>
      <w:r w:rsidR="00853DC1">
        <w:rPr>
          <w:szCs w:val="22"/>
          <w:lang w:val="fr-FR"/>
        </w:rPr>
        <w:t xml:space="preserve"> et M. Byoung Yoo Lee (République de C</w:t>
      </w:r>
      <w:r w:rsidR="00853DC1" w:rsidRPr="00853DC1">
        <w:rPr>
          <w:szCs w:val="22"/>
          <w:lang w:val="fr-FR"/>
        </w:rPr>
        <w:t>or</w:t>
      </w:r>
      <w:r w:rsidR="00853DC1">
        <w:rPr>
          <w:szCs w:val="22"/>
          <w:lang w:val="fr-FR"/>
        </w:rPr>
        <w:t>ée) comme remplaçants de, respectivement, M</w:t>
      </w:r>
      <w:r w:rsidR="00853DC1" w:rsidRPr="00853DC1">
        <w:rPr>
          <w:szCs w:val="22"/>
          <w:lang w:val="fr-FR"/>
        </w:rPr>
        <w:t>. Toussaint (Saint</w:t>
      </w:r>
      <w:r w:rsidR="00853DC1">
        <w:rPr>
          <w:szCs w:val="22"/>
          <w:lang w:val="fr-FR"/>
        </w:rPr>
        <w:t>e-Lucie), M. Gubar (Ukraine), M. Sbai (Maroc) et Mme</w:t>
      </w:r>
      <w:r w:rsidR="00853DC1" w:rsidRPr="00853DC1">
        <w:rPr>
          <w:szCs w:val="22"/>
          <w:lang w:val="fr-FR"/>
        </w:rPr>
        <w:t xml:space="preserve"> Mohamed (Maldives) </w:t>
      </w:r>
      <w:r w:rsidR="00853DC1">
        <w:rPr>
          <w:szCs w:val="22"/>
          <w:lang w:val="fr-FR"/>
        </w:rPr>
        <w:t xml:space="preserve">au sein du </w:t>
      </w:r>
      <w:r w:rsidR="00853DC1" w:rsidRPr="00853DC1">
        <w:rPr>
          <w:szCs w:val="22"/>
          <w:lang w:val="fr-FR"/>
        </w:rPr>
        <w:t>Bureau</w:t>
      </w:r>
      <w:r w:rsidR="00853DC1">
        <w:rPr>
          <w:szCs w:val="22"/>
          <w:lang w:val="fr-FR"/>
        </w:rPr>
        <w:t>,</w:t>
      </w:r>
      <w:r w:rsidR="00853DC1" w:rsidRPr="00853DC1">
        <w:rPr>
          <w:szCs w:val="22"/>
          <w:lang w:val="fr-FR"/>
        </w:rPr>
        <w:t xml:space="preserve"> </w:t>
      </w:r>
      <w:r w:rsidR="00853DC1">
        <w:rPr>
          <w:szCs w:val="22"/>
          <w:lang w:val="fr-FR"/>
        </w:rPr>
        <w:t>pour les questions relatives au Protocole de</w:t>
      </w:r>
      <w:r w:rsidR="00853DC1" w:rsidRPr="00853DC1">
        <w:rPr>
          <w:szCs w:val="22"/>
          <w:lang w:val="fr-FR"/>
        </w:rPr>
        <w:t xml:space="preserve"> </w:t>
      </w:r>
      <w:r w:rsidR="00853DC1">
        <w:rPr>
          <w:szCs w:val="22"/>
          <w:lang w:val="fr-FR"/>
        </w:rPr>
        <w:t>Nagoya</w:t>
      </w:r>
      <w:r w:rsidR="00853DC1" w:rsidRPr="00853DC1">
        <w:rPr>
          <w:szCs w:val="22"/>
          <w:lang w:val="fr-FR"/>
        </w:rPr>
        <w:t xml:space="preserve">, </w:t>
      </w:r>
      <w:r w:rsidR="00853DC1">
        <w:rPr>
          <w:szCs w:val="22"/>
          <w:lang w:val="fr-FR"/>
        </w:rPr>
        <w:t>et</w:t>
      </w:r>
      <w:r w:rsidR="00853DC1">
        <w:rPr>
          <w:noProof/>
          <w:lang w:val="fr-FR"/>
        </w:rPr>
        <w:t xml:space="preserve"> </w:t>
      </w:r>
      <w:r w:rsidR="00853DC1">
        <w:rPr>
          <w:noProof/>
          <w:lang w:val="fr-FR"/>
        </w:rPr>
        <w:lastRenderedPageBreak/>
        <w:t xml:space="preserve">M. Norbert Bärlocher (Suisse) comme remplaçant au sein </w:t>
      </w:r>
      <w:r w:rsidR="009C54DB">
        <w:rPr>
          <w:noProof/>
          <w:lang w:val="fr-FR"/>
        </w:rPr>
        <w:t>du Bureau pour les questions relatives au Protocole de Cartagena e</w:t>
      </w:r>
      <w:r w:rsidR="00A6302E">
        <w:rPr>
          <w:noProof/>
          <w:lang w:val="fr-FR"/>
        </w:rPr>
        <w:t>t au Protocole de Nagoya</w:t>
      </w:r>
      <w:r w:rsidR="009C54DB">
        <w:rPr>
          <w:noProof/>
          <w:lang w:val="fr-FR"/>
        </w:rPr>
        <w:t>.</w:t>
      </w:r>
    </w:p>
    <w:p w:rsidR="00381183" w:rsidRPr="002A5DC3" w:rsidRDefault="00692BA7" w:rsidP="00381183">
      <w:pPr>
        <w:numPr>
          <w:ilvl w:val="0"/>
          <w:numId w:val="3"/>
        </w:numPr>
        <w:suppressLineNumbers/>
        <w:tabs>
          <w:tab w:val="clear" w:pos="360"/>
          <w:tab w:val="num" w:pos="709"/>
        </w:tabs>
        <w:suppressAutoHyphens/>
        <w:spacing w:before="120" w:after="120"/>
        <w:rPr>
          <w:szCs w:val="18"/>
          <w:lang w:val="fr-FR"/>
        </w:rPr>
      </w:pPr>
      <w:r w:rsidRPr="002A5DC3">
        <w:rPr>
          <w:lang w:val="fr-FR"/>
        </w:rPr>
        <w:t>La p</w:t>
      </w:r>
      <w:r w:rsidR="00A6302E">
        <w:rPr>
          <w:lang w:val="fr-FR"/>
        </w:rPr>
        <w:t>résidente a informé l’Organe subsidiaire</w:t>
      </w:r>
      <w:r w:rsidRPr="002A5DC3">
        <w:rPr>
          <w:lang w:val="fr-FR"/>
        </w:rPr>
        <w:t xml:space="preserve"> que</w:t>
      </w:r>
      <w:r w:rsidRPr="002A5DC3">
        <w:rPr>
          <w:szCs w:val="18"/>
          <w:lang w:val="fr-FR"/>
        </w:rPr>
        <w:t xml:space="preserve"> Mme</w:t>
      </w:r>
      <w:r w:rsidR="00381183" w:rsidRPr="002A5DC3">
        <w:rPr>
          <w:szCs w:val="18"/>
          <w:lang w:val="fr-FR"/>
        </w:rPr>
        <w:t xml:space="preserve"> I</w:t>
      </w:r>
      <w:r w:rsidRPr="002A5DC3">
        <w:rPr>
          <w:szCs w:val="18"/>
          <w:lang w:val="fr-FR"/>
        </w:rPr>
        <w:t xml:space="preserve">lham </w:t>
      </w:r>
      <w:r w:rsidRPr="002A5DC3">
        <w:rPr>
          <w:noProof/>
          <w:szCs w:val="18"/>
          <w:lang w:val="fr-FR"/>
        </w:rPr>
        <w:t xml:space="preserve">Atho </w:t>
      </w:r>
      <w:r w:rsidRPr="002A5DC3">
        <w:rPr>
          <w:szCs w:val="18"/>
          <w:lang w:val="fr-FR"/>
        </w:rPr>
        <w:t>Mohamed, membre du Bureau des M</w:t>
      </w:r>
      <w:r w:rsidR="00381183" w:rsidRPr="002A5DC3">
        <w:rPr>
          <w:szCs w:val="18"/>
          <w:lang w:val="fr-FR"/>
        </w:rPr>
        <w:t>aldives,</w:t>
      </w:r>
      <w:r w:rsidRPr="002A5DC3">
        <w:rPr>
          <w:szCs w:val="18"/>
          <w:lang w:val="fr-FR"/>
        </w:rPr>
        <w:t xml:space="preserve"> </w:t>
      </w:r>
      <w:r w:rsidRPr="002A5DC3">
        <w:rPr>
          <w:lang w:val="fr-FR"/>
        </w:rPr>
        <w:t>l’assisterait en présidant les séances de l’</w:t>
      </w:r>
      <w:r w:rsidR="00853DC1">
        <w:rPr>
          <w:lang w:val="fr-FR"/>
        </w:rPr>
        <w:t>Organe subsidiaire relatives au point</w:t>
      </w:r>
      <w:r w:rsidRPr="002A5DC3">
        <w:rPr>
          <w:szCs w:val="18"/>
          <w:lang w:val="fr-FR"/>
        </w:rPr>
        <w:t xml:space="preserve"> 4 </w:t>
      </w:r>
      <w:r w:rsidR="00853DC1">
        <w:rPr>
          <w:szCs w:val="18"/>
          <w:lang w:val="fr-FR"/>
        </w:rPr>
        <w:t xml:space="preserve">de l’ordre du jour </w:t>
      </w:r>
      <w:r w:rsidR="00C774E5">
        <w:rPr>
          <w:szCs w:val="18"/>
          <w:lang w:val="fr-FR"/>
        </w:rPr>
        <w:t>sur l’</w:t>
      </w:r>
      <w:r w:rsidR="00853DC1">
        <w:rPr>
          <w:snapToGrid w:val="0"/>
          <w:kern w:val="22"/>
          <w:szCs w:val="22"/>
          <w:lang w:val="fr-FR"/>
        </w:rPr>
        <w:t>é</w:t>
      </w:r>
      <w:r w:rsidRPr="002A5DC3">
        <w:rPr>
          <w:snapToGrid w:val="0"/>
          <w:kern w:val="22"/>
          <w:szCs w:val="22"/>
          <w:lang w:val="fr-FR"/>
        </w:rPr>
        <w:t xml:space="preserve">valuation et gestion des risques liés aux organismes vivants </w:t>
      </w:r>
      <w:r w:rsidR="006906D9" w:rsidRPr="002A5DC3">
        <w:rPr>
          <w:snapToGrid w:val="0"/>
          <w:kern w:val="22"/>
          <w:szCs w:val="22"/>
          <w:lang w:val="fr-FR"/>
        </w:rPr>
        <w:t>modifié</w:t>
      </w:r>
      <w:r w:rsidR="00C774E5">
        <w:rPr>
          <w:snapToGrid w:val="0"/>
          <w:kern w:val="22"/>
          <w:szCs w:val="22"/>
          <w:lang w:val="fr-FR"/>
        </w:rPr>
        <w:t>s</w:t>
      </w:r>
      <w:r w:rsidRPr="002A5DC3">
        <w:rPr>
          <w:snapToGrid w:val="0"/>
          <w:kern w:val="22"/>
          <w:szCs w:val="22"/>
          <w:lang w:val="fr-FR"/>
        </w:rPr>
        <w:t xml:space="preserve"> et</w:t>
      </w:r>
      <w:r w:rsidR="00853DC1">
        <w:rPr>
          <w:snapToGrid w:val="0"/>
          <w:kern w:val="22"/>
          <w:szCs w:val="22"/>
          <w:lang w:val="fr-FR"/>
        </w:rPr>
        <w:t xml:space="preserve"> au point</w:t>
      </w:r>
      <w:r w:rsidRPr="002A5DC3">
        <w:rPr>
          <w:snapToGrid w:val="0"/>
          <w:kern w:val="22"/>
          <w:szCs w:val="22"/>
          <w:lang w:val="fr-FR"/>
        </w:rPr>
        <w:t xml:space="preserve"> 5</w:t>
      </w:r>
      <w:r w:rsidR="00C774E5">
        <w:rPr>
          <w:snapToGrid w:val="0"/>
          <w:kern w:val="22"/>
          <w:szCs w:val="22"/>
          <w:lang w:val="fr-FR"/>
        </w:rPr>
        <w:t xml:space="preserve"> sur la </w:t>
      </w:r>
      <w:r w:rsidR="00853DC1">
        <w:rPr>
          <w:snapToGrid w:val="0"/>
          <w:kern w:val="22"/>
          <w:szCs w:val="22"/>
          <w:lang w:val="fr-FR"/>
        </w:rPr>
        <w:t>b</w:t>
      </w:r>
      <w:r w:rsidRPr="002A5DC3">
        <w:rPr>
          <w:snapToGrid w:val="0"/>
          <w:kern w:val="22"/>
          <w:szCs w:val="22"/>
          <w:lang w:val="fr-FR"/>
        </w:rPr>
        <w:t xml:space="preserve">iologie </w:t>
      </w:r>
      <w:r w:rsidR="00C774E5">
        <w:rPr>
          <w:snapToGrid w:val="0"/>
          <w:kern w:val="22"/>
          <w:szCs w:val="22"/>
          <w:lang w:val="fr-FR"/>
        </w:rPr>
        <w:t>de synthèse</w:t>
      </w:r>
      <w:r w:rsidR="006906D9" w:rsidRPr="002A5DC3">
        <w:rPr>
          <w:snapToGrid w:val="0"/>
          <w:kern w:val="22"/>
          <w:szCs w:val="22"/>
          <w:lang w:val="fr-FR"/>
        </w:rPr>
        <w:t> </w:t>
      </w:r>
      <w:r w:rsidR="006906D9" w:rsidRPr="002A5DC3">
        <w:rPr>
          <w:szCs w:val="18"/>
          <w:lang w:val="fr-FR"/>
        </w:rPr>
        <w:t>; Mme</w:t>
      </w:r>
      <w:r w:rsidR="00381183" w:rsidRPr="002A5DC3">
        <w:rPr>
          <w:szCs w:val="18"/>
          <w:lang w:val="fr-FR"/>
        </w:rPr>
        <w:t xml:space="preserve"> Eugenia </w:t>
      </w:r>
      <w:r w:rsidR="00381183" w:rsidRPr="002A5DC3">
        <w:rPr>
          <w:noProof/>
          <w:szCs w:val="18"/>
          <w:lang w:val="fr-FR"/>
        </w:rPr>
        <w:t>Arg</w:t>
      </w:r>
      <w:r w:rsidR="006906D9" w:rsidRPr="002A5DC3">
        <w:rPr>
          <w:noProof/>
          <w:szCs w:val="18"/>
          <w:lang w:val="fr-FR"/>
        </w:rPr>
        <w:t>uedas Mentezuma</w:t>
      </w:r>
      <w:r w:rsidR="006906D9" w:rsidRPr="002A5DC3">
        <w:rPr>
          <w:szCs w:val="18"/>
          <w:lang w:val="fr-FR"/>
        </w:rPr>
        <w:t xml:space="preserve"> (Costa Rica), présiderai</w:t>
      </w:r>
      <w:r w:rsidR="00C774E5">
        <w:rPr>
          <w:szCs w:val="18"/>
          <w:lang w:val="fr-FR"/>
        </w:rPr>
        <w:t>t les séances relatives au point</w:t>
      </w:r>
      <w:r w:rsidR="006906D9" w:rsidRPr="002A5DC3">
        <w:rPr>
          <w:szCs w:val="18"/>
          <w:lang w:val="fr-FR"/>
        </w:rPr>
        <w:t xml:space="preserve"> 6</w:t>
      </w:r>
      <w:r w:rsidR="00C774E5">
        <w:rPr>
          <w:szCs w:val="18"/>
          <w:lang w:val="fr-FR"/>
        </w:rPr>
        <w:t xml:space="preserve"> de l’ordre du jour sur l’é</w:t>
      </w:r>
      <w:r w:rsidR="006906D9" w:rsidRPr="002A5DC3">
        <w:rPr>
          <w:snapToGrid w:val="0"/>
          <w:kern w:val="22"/>
          <w:szCs w:val="22"/>
          <w:lang w:val="fr-FR"/>
        </w:rPr>
        <w:t>valuation scientifique actualisée des progrès acc</w:t>
      </w:r>
      <w:r w:rsidR="00853DC1">
        <w:rPr>
          <w:snapToGrid w:val="0"/>
          <w:kern w:val="22"/>
          <w:szCs w:val="22"/>
          <w:lang w:val="fr-FR"/>
        </w:rPr>
        <w:t>omplis dans la réalisation de certains O</w:t>
      </w:r>
      <w:r w:rsidR="006906D9" w:rsidRPr="002A5DC3">
        <w:rPr>
          <w:snapToGrid w:val="0"/>
          <w:kern w:val="22"/>
          <w:szCs w:val="22"/>
          <w:lang w:val="fr-FR"/>
        </w:rPr>
        <w:t>bjectifs d’Aichi p</w:t>
      </w:r>
      <w:r w:rsidR="00853DC1">
        <w:rPr>
          <w:snapToGrid w:val="0"/>
          <w:kern w:val="22"/>
          <w:szCs w:val="22"/>
          <w:lang w:val="fr-FR"/>
        </w:rPr>
        <w:t>our la biodiversité</w:t>
      </w:r>
      <w:r w:rsidR="00C774E5">
        <w:rPr>
          <w:snapToGrid w:val="0"/>
          <w:kern w:val="22"/>
          <w:szCs w:val="22"/>
          <w:lang w:val="fr-FR"/>
        </w:rPr>
        <w:t xml:space="preserve"> et options </w:t>
      </w:r>
      <w:r w:rsidR="006906D9" w:rsidRPr="002A5DC3">
        <w:rPr>
          <w:snapToGrid w:val="0"/>
          <w:kern w:val="22"/>
          <w:szCs w:val="22"/>
          <w:lang w:val="fr-FR"/>
        </w:rPr>
        <w:t>pour accélérer ces progrès</w:t>
      </w:r>
      <w:r w:rsidR="00853DC1">
        <w:rPr>
          <w:snapToGrid w:val="0"/>
          <w:kern w:val="22"/>
          <w:szCs w:val="22"/>
          <w:lang w:val="fr-FR"/>
        </w:rPr>
        <w:t>,</w:t>
      </w:r>
      <w:r w:rsidR="00381183" w:rsidRPr="002A5DC3">
        <w:rPr>
          <w:szCs w:val="18"/>
          <w:lang w:val="fr-FR"/>
        </w:rPr>
        <w:t xml:space="preserve"> </w:t>
      </w:r>
      <w:r w:rsidR="006906D9" w:rsidRPr="002A5DC3">
        <w:rPr>
          <w:szCs w:val="18"/>
          <w:lang w:val="fr-FR"/>
        </w:rPr>
        <w:t xml:space="preserve">et </w:t>
      </w:r>
      <w:r w:rsidR="00853DC1">
        <w:rPr>
          <w:szCs w:val="18"/>
          <w:lang w:val="fr-FR"/>
        </w:rPr>
        <w:t xml:space="preserve">au point </w:t>
      </w:r>
      <w:r w:rsidR="00381183" w:rsidRPr="002A5DC3">
        <w:rPr>
          <w:szCs w:val="18"/>
          <w:lang w:val="fr-FR"/>
        </w:rPr>
        <w:t>7</w:t>
      </w:r>
      <w:r w:rsidR="00C774E5">
        <w:rPr>
          <w:szCs w:val="18"/>
          <w:lang w:val="fr-FR"/>
        </w:rPr>
        <w:t xml:space="preserve"> de l’ordre du jour sur les </w:t>
      </w:r>
      <w:r w:rsidR="00853DC1">
        <w:rPr>
          <w:snapToGrid w:val="0"/>
          <w:kern w:val="22"/>
          <w:szCs w:val="22"/>
          <w:lang w:val="fr-FR"/>
        </w:rPr>
        <w:t>a</w:t>
      </w:r>
      <w:r w:rsidR="006906D9" w:rsidRPr="002A5DC3">
        <w:rPr>
          <w:snapToGrid w:val="0"/>
          <w:kern w:val="22"/>
          <w:szCs w:val="22"/>
          <w:lang w:val="fr-FR"/>
        </w:rPr>
        <w:t>ires protégées et autres mesures de conser</w:t>
      </w:r>
      <w:r w:rsidR="00C774E5">
        <w:rPr>
          <w:snapToGrid w:val="0"/>
          <w:kern w:val="22"/>
          <w:szCs w:val="22"/>
          <w:lang w:val="fr-FR"/>
        </w:rPr>
        <w:t>vation et de gestion améliorées</w:t>
      </w:r>
      <w:r w:rsidR="006906D9" w:rsidRPr="002A5DC3">
        <w:rPr>
          <w:snapToGrid w:val="0"/>
          <w:kern w:val="22"/>
          <w:szCs w:val="22"/>
          <w:lang w:val="fr-FR"/>
        </w:rPr>
        <w:t> ;</w:t>
      </w:r>
      <w:r w:rsidR="006906D9" w:rsidRPr="002A5DC3">
        <w:rPr>
          <w:szCs w:val="18"/>
          <w:lang w:val="fr-FR"/>
        </w:rPr>
        <w:t xml:space="preserve"> M. Adams Toussaint (Sainte-Lucie) prési</w:t>
      </w:r>
      <w:r w:rsidR="00853DC1">
        <w:rPr>
          <w:szCs w:val="18"/>
          <w:lang w:val="fr-FR"/>
        </w:rPr>
        <w:t>derait les séances relatives au point</w:t>
      </w:r>
      <w:r w:rsidR="00C774E5">
        <w:rPr>
          <w:szCs w:val="18"/>
          <w:lang w:val="fr-FR"/>
        </w:rPr>
        <w:t xml:space="preserve"> 8 de l’ordre du jour sur la </w:t>
      </w:r>
      <w:r w:rsidR="00853DC1">
        <w:rPr>
          <w:szCs w:val="18"/>
          <w:lang w:val="fr-FR"/>
        </w:rPr>
        <w:t>d</w:t>
      </w:r>
      <w:r w:rsidR="006906D9" w:rsidRPr="002A5DC3">
        <w:rPr>
          <w:szCs w:val="18"/>
          <w:lang w:val="fr-FR"/>
        </w:rPr>
        <w:t>iversi</w:t>
      </w:r>
      <w:r w:rsidR="00C774E5">
        <w:rPr>
          <w:szCs w:val="18"/>
          <w:lang w:val="fr-FR"/>
        </w:rPr>
        <w:t>té biologique marine et côtière</w:t>
      </w:r>
      <w:r w:rsidR="006906D9" w:rsidRPr="002A5DC3">
        <w:rPr>
          <w:szCs w:val="18"/>
          <w:lang w:val="fr-FR"/>
        </w:rPr>
        <w:t xml:space="preserve"> et </w:t>
      </w:r>
      <w:r w:rsidR="00853DC1">
        <w:rPr>
          <w:szCs w:val="18"/>
          <w:lang w:val="fr-FR"/>
        </w:rPr>
        <w:t xml:space="preserve">au point </w:t>
      </w:r>
      <w:r w:rsidR="006906D9" w:rsidRPr="002A5DC3">
        <w:rPr>
          <w:szCs w:val="18"/>
          <w:lang w:val="fr-FR"/>
        </w:rPr>
        <w:t>9</w:t>
      </w:r>
      <w:r w:rsidR="00C774E5">
        <w:rPr>
          <w:szCs w:val="18"/>
          <w:lang w:val="fr-FR"/>
        </w:rPr>
        <w:t xml:space="preserve"> sur la </w:t>
      </w:r>
      <w:r w:rsidR="00853DC1">
        <w:rPr>
          <w:szCs w:val="18"/>
          <w:lang w:val="fr-FR"/>
        </w:rPr>
        <w:t>d</w:t>
      </w:r>
      <w:r w:rsidR="006906D9" w:rsidRPr="002A5DC3">
        <w:rPr>
          <w:szCs w:val="18"/>
          <w:lang w:val="fr-FR"/>
        </w:rPr>
        <w:t xml:space="preserve">iversité biologique et </w:t>
      </w:r>
      <w:r w:rsidR="00C774E5">
        <w:rPr>
          <w:szCs w:val="18"/>
          <w:lang w:val="fr-FR"/>
        </w:rPr>
        <w:t>les changements climatiques</w:t>
      </w:r>
      <w:r w:rsidR="006906D9" w:rsidRPr="002A5DC3">
        <w:rPr>
          <w:szCs w:val="18"/>
          <w:lang w:val="fr-FR"/>
        </w:rPr>
        <w:t> ; M.</w:t>
      </w:r>
      <w:r w:rsidR="00381183" w:rsidRPr="002A5DC3">
        <w:rPr>
          <w:szCs w:val="18"/>
          <w:lang w:val="fr-FR"/>
        </w:rPr>
        <w:t xml:space="preserve"> </w:t>
      </w:r>
      <w:r w:rsidR="00381183" w:rsidRPr="002A5DC3">
        <w:rPr>
          <w:noProof/>
          <w:szCs w:val="18"/>
          <w:lang w:val="fr-FR"/>
        </w:rPr>
        <w:t>S</w:t>
      </w:r>
      <w:r w:rsidR="006906D9" w:rsidRPr="002A5DC3">
        <w:rPr>
          <w:noProof/>
          <w:szCs w:val="18"/>
          <w:lang w:val="fr-FR"/>
        </w:rPr>
        <w:t>igurdur Thrainsson (Islande) prési</w:t>
      </w:r>
      <w:r w:rsidR="00853DC1">
        <w:rPr>
          <w:noProof/>
          <w:szCs w:val="18"/>
          <w:lang w:val="fr-FR"/>
        </w:rPr>
        <w:t>derait les séances relatives au point</w:t>
      </w:r>
      <w:r w:rsidR="00C774E5">
        <w:rPr>
          <w:noProof/>
          <w:szCs w:val="18"/>
          <w:lang w:val="fr-FR"/>
        </w:rPr>
        <w:t xml:space="preserve"> 10 de l’ordre du jour sur les </w:t>
      </w:r>
      <w:r w:rsidR="006906D9" w:rsidRPr="002A5DC3">
        <w:rPr>
          <w:noProof/>
          <w:szCs w:val="18"/>
          <w:lang w:val="fr-FR"/>
        </w:rPr>
        <w:t xml:space="preserve">espèces </w:t>
      </w:r>
      <w:r w:rsidR="00C774E5">
        <w:rPr>
          <w:noProof/>
          <w:szCs w:val="18"/>
          <w:lang w:val="fr-FR"/>
        </w:rPr>
        <w:t>exotiques envahissantes</w:t>
      </w:r>
      <w:r w:rsidR="00EF23A5">
        <w:rPr>
          <w:noProof/>
          <w:szCs w:val="18"/>
          <w:lang w:val="fr-FR"/>
        </w:rPr>
        <w:t xml:space="preserve"> et </w:t>
      </w:r>
      <w:r w:rsidR="00853DC1">
        <w:rPr>
          <w:noProof/>
          <w:szCs w:val="18"/>
          <w:lang w:val="fr-FR"/>
        </w:rPr>
        <w:t xml:space="preserve">au point </w:t>
      </w:r>
      <w:r w:rsidR="00C774E5">
        <w:rPr>
          <w:noProof/>
          <w:szCs w:val="18"/>
          <w:lang w:val="fr-FR"/>
        </w:rPr>
        <w:t xml:space="preserve">11 sur la </w:t>
      </w:r>
      <w:r w:rsidR="00EF23A5">
        <w:rPr>
          <w:noProof/>
          <w:szCs w:val="18"/>
          <w:lang w:val="fr-FR"/>
        </w:rPr>
        <w:t>conservation et utilisation</w:t>
      </w:r>
      <w:r w:rsidR="002A5DC3" w:rsidRPr="002A5DC3">
        <w:rPr>
          <w:szCs w:val="18"/>
          <w:lang w:val="fr-FR"/>
        </w:rPr>
        <w:t xml:space="preserve"> durable des pollinisat</w:t>
      </w:r>
      <w:r w:rsidR="00C774E5">
        <w:rPr>
          <w:szCs w:val="18"/>
          <w:lang w:val="fr-FR"/>
        </w:rPr>
        <w:t>eurs</w:t>
      </w:r>
      <w:r w:rsidR="00A6302E">
        <w:rPr>
          <w:szCs w:val="18"/>
          <w:lang w:val="fr-FR"/>
        </w:rPr>
        <w:t> ; et Mme Senka</w:t>
      </w:r>
      <w:r w:rsidR="00EF23A5">
        <w:rPr>
          <w:szCs w:val="18"/>
          <w:lang w:val="fr-FR"/>
        </w:rPr>
        <w:t xml:space="preserve"> </w:t>
      </w:r>
      <w:r w:rsidR="00A6302E">
        <w:rPr>
          <w:szCs w:val="18"/>
          <w:lang w:val="fr-FR"/>
        </w:rPr>
        <w:t>Barudanovi</w:t>
      </w:r>
      <w:r w:rsidR="00A6302E" w:rsidRPr="00A2637A">
        <w:rPr>
          <w:noProof/>
          <w:szCs w:val="18"/>
          <w:lang w:val="fr-FR"/>
        </w:rPr>
        <w:t>ć</w:t>
      </w:r>
      <w:r w:rsidR="00EF23A5">
        <w:rPr>
          <w:szCs w:val="18"/>
          <w:lang w:val="fr-FR"/>
        </w:rPr>
        <w:t xml:space="preserve"> </w:t>
      </w:r>
      <w:r w:rsidR="002A5DC3" w:rsidRPr="002A5DC3">
        <w:rPr>
          <w:szCs w:val="18"/>
          <w:lang w:val="fr-FR"/>
        </w:rPr>
        <w:t>(Bosnie-Herzégovine) présiderait les</w:t>
      </w:r>
      <w:r w:rsidR="00C774E5">
        <w:rPr>
          <w:szCs w:val="18"/>
          <w:lang w:val="fr-FR"/>
        </w:rPr>
        <w:t xml:space="preserve"> séances relatives au point 12 de l’ordre du jour sur le </w:t>
      </w:r>
      <w:r w:rsidR="00C774E5">
        <w:rPr>
          <w:snapToGrid w:val="0"/>
          <w:kern w:val="22"/>
          <w:szCs w:val="22"/>
          <w:lang w:val="fr-FR"/>
        </w:rPr>
        <w:t>d</w:t>
      </w:r>
      <w:r w:rsidR="002A5DC3" w:rsidRPr="002A5DC3">
        <w:rPr>
          <w:snapToGrid w:val="0"/>
          <w:kern w:val="22"/>
          <w:szCs w:val="22"/>
          <w:lang w:val="fr-FR"/>
        </w:rPr>
        <w:t>euxième programme de travail de la Plateforme intergouvernementale sur la biodiversité</w:t>
      </w:r>
      <w:r w:rsidR="00C774E5">
        <w:rPr>
          <w:snapToGrid w:val="0"/>
          <w:kern w:val="22"/>
          <w:szCs w:val="22"/>
          <w:lang w:val="fr-FR"/>
        </w:rPr>
        <w:t xml:space="preserve"> et les services écosystémiques</w:t>
      </w:r>
      <w:r w:rsidR="002A5DC3" w:rsidRPr="002A5DC3">
        <w:rPr>
          <w:snapToGrid w:val="0"/>
          <w:kern w:val="22"/>
          <w:szCs w:val="22"/>
          <w:lang w:val="fr-FR"/>
        </w:rPr>
        <w:t>.</w:t>
      </w:r>
    </w:p>
    <w:p w:rsidR="00381183" w:rsidRPr="00EE00D4" w:rsidRDefault="002A5DC3" w:rsidP="00381183">
      <w:pPr>
        <w:numPr>
          <w:ilvl w:val="0"/>
          <w:numId w:val="3"/>
        </w:numPr>
        <w:suppressLineNumbers/>
        <w:tabs>
          <w:tab w:val="clear" w:pos="360"/>
          <w:tab w:val="num" w:pos="709"/>
        </w:tabs>
        <w:suppressAutoHyphens/>
        <w:spacing w:before="120" w:after="120"/>
        <w:rPr>
          <w:szCs w:val="18"/>
          <w:lang w:val="fr-FR"/>
        </w:rPr>
      </w:pPr>
      <w:r>
        <w:rPr>
          <w:szCs w:val="18"/>
          <w:lang w:val="fr-FR"/>
        </w:rPr>
        <w:t>Il</w:t>
      </w:r>
      <w:r w:rsidR="003B102B">
        <w:rPr>
          <w:szCs w:val="18"/>
          <w:lang w:val="fr-FR"/>
        </w:rPr>
        <w:t xml:space="preserve"> a été convenu que M. Samuel </w:t>
      </w:r>
      <w:r w:rsidR="003B102B">
        <w:rPr>
          <w:noProof/>
          <w:szCs w:val="18"/>
          <w:lang w:val="fr-FR"/>
        </w:rPr>
        <w:t>Diémé</w:t>
      </w:r>
      <w:r>
        <w:rPr>
          <w:szCs w:val="18"/>
          <w:lang w:val="fr-FR"/>
        </w:rPr>
        <w:t xml:space="preserve"> (Séné</w:t>
      </w:r>
      <w:r w:rsidR="00381183" w:rsidRPr="00EE00D4">
        <w:rPr>
          <w:szCs w:val="18"/>
          <w:lang w:val="fr-FR"/>
        </w:rPr>
        <w:t xml:space="preserve">gal) </w:t>
      </w:r>
      <w:r>
        <w:rPr>
          <w:szCs w:val="18"/>
          <w:lang w:val="fr-FR"/>
        </w:rPr>
        <w:t>assurerait les fonctions de rapporteur de la réunion.</w:t>
      </w:r>
    </w:p>
    <w:p w:rsidR="000B361E" w:rsidRPr="00A2637A" w:rsidRDefault="002A5DC3" w:rsidP="000B361E">
      <w:pPr>
        <w:numPr>
          <w:ilvl w:val="0"/>
          <w:numId w:val="3"/>
        </w:numPr>
        <w:suppressLineNumbers/>
        <w:tabs>
          <w:tab w:val="clear" w:pos="360"/>
          <w:tab w:val="num" w:pos="709"/>
        </w:tabs>
        <w:suppressAutoHyphens/>
        <w:spacing w:before="120" w:after="120"/>
        <w:rPr>
          <w:szCs w:val="18"/>
          <w:lang w:val="fr-FR"/>
        </w:rPr>
      </w:pPr>
      <w:r w:rsidRPr="00247F19">
        <w:rPr>
          <w:lang w:val="fr-FR"/>
        </w:rPr>
        <w:t xml:space="preserve">Sur </w:t>
      </w:r>
      <w:r>
        <w:rPr>
          <w:lang w:val="fr-FR"/>
        </w:rPr>
        <w:t>invitation de la</w:t>
      </w:r>
      <w:r w:rsidRPr="00247F19">
        <w:rPr>
          <w:lang w:val="fr-FR"/>
        </w:rPr>
        <w:t xml:space="preserve"> président</w:t>
      </w:r>
      <w:r>
        <w:rPr>
          <w:lang w:val="fr-FR"/>
        </w:rPr>
        <w:t>e</w:t>
      </w:r>
      <w:r w:rsidRPr="00247F19">
        <w:rPr>
          <w:lang w:val="fr-FR"/>
        </w:rPr>
        <w:t xml:space="preserve">, le rapporteur a exprimé ses remerciements au nom de tous les </w:t>
      </w:r>
      <w:r>
        <w:rPr>
          <w:lang w:val="fr-FR"/>
        </w:rPr>
        <w:t>participants. Il a félicité la</w:t>
      </w:r>
      <w:r w:rsidRPr="00247F19">
        <w:rPr>
          <w:lang w:val="fr-FR"/>
        </w:rPr>
        <w:t xml:space="preserve"> président</w:t>
      </w:r>
      <w:r>
        <w:rPr>
          <w:lang w:val="fr-FR"/>
        </w:rPr>
        <w:t>e de l’Organe subsidiaire, les membres du Bureau, la Secrétaire exécutive</w:t>
      </w:r>
      <w:r w:rsidRPr="00247F19">
        <w:rPr>
          <w:lang w:val="fr-FR"/>
        </w:rPr>
        <w:t xml:space="preserve"> et son équipe pour la haute qualité des préparatifs</w:t>
      </w:r>
      <w:r>
        <w:rPr>
          <w:lang w:val="fr-FR"/>
        </w:rPr>
        <w:t xml:space="preserve"> de la réun</w:t>
      </w:r>
      <w:r w:rsidR="000D2C6C">
        <w:rPr>
          <w:lang w:val="fr-FR"/>
        </w:rPr>
        <w:t xml:space="preserve">ion. </w:t>
      </w:r>
      <w:r>
        <w:rPr>
          <w:lang w:val="fr-FR"/>
        </w:rPr>
        <w:t>Il</w:t>
      </w:r>
      <w:r w:rsidRPr="00247F19">
        <w:rPr>
          <w:lang w:val="fr-FR"/>
        </w:rPr>
        <w:t xml:space="preserve"> a remercié en outre le gouvernement canadien pour avoir accueilli la réunion</w:t>
      </w:r>
      <w:r>
        <w:rPr>
          <w:lang w:val="fr-FR"/>
        </w:rPr>
        <w:t>,</w:t>
      </w:r>
      <w:r w:rsidRPr="00247F19">
        <w:rPr>
          <w:lang w:val="fr-FR"/>
        </w:rPr>
        <w:t xml:space="preserve"> et les Parties qui ont fourni une généreuse contribution financière pour faciliter la participation</w:t>
      </w:r>
      <w:r>
        <w:rPr>
          <w:lang w:val="fr-FR"/>
        </w:rPr>
        <w:t xml:space="preserve"> des pays en développement. Il</w:t>
      </w:r>
      <w:r w:rsidRPr="00247F19">
        <w:rPr>
          <w:lang w:val="fr-FR"/>
        </w:rPr>
        <w:t xml:space="preserve"> ne doutait pas que les débats seraient productifs et a remercié la présidente de lui avoir donné l’occasion de s’exprimer au nom des participants.</w:t>
      </w:r>
    </w:p>
    <w:p w:rsidR="009E6BA9" w:rsidRPr="003257F2" w:rsidRDefault="002A5DC3" w:rsidP="003257F2">
      <w:pPr>
        <w:pStyle w:val="Heading1"/>
        <w:suppressLineNumbers/>
        <w:tabs>
          <w:tab w:val="clear" w:pos="720"/>
          <w:tab w:val="left" w:pos="709"/>
        </w:tabs>
        <w:suppressAutoHyphens/>
        <w:ind w:left="1843" w:hanging="1134"/>
        <w:jc w:val="left"/>
        <w:rPr>
          <w:rFonts w:ascii="Times New Roman Bold" w:hAnsi="Times New Roman Bold" w:cs="Times New Roman Bold"/>
          <w:caps w:val="0"/>
          <w:snapToGrid w:val="0"/>
          <w:kern w:val="22"/>
          <w:szCs w:val="22"/>
          <w:lang w:val="fr-FR"/>
        </w:rPr>
      </w:pPr>
      <w:bookmarkStart w:id="463" w:name="_Toc525904292"/>
      <w:bookmarkStart w:id="464" w:name="_Toc525904451"/>
      <w:bookmarkStart w:id="465" w:name="_Toc525904695"/>
      <w:r w:rsidRPr="003257F2">
        <w:rPr>
          <w:rFonts w:ascii="Times New Roman Bold" w:hAnsi="Times New Roman Bold" w:cs="Times New Roman Bold"/>
          <w:caps w:val="0"/>
          <w:snapToGrid w:val="0"/>
          <w:kern w:val="22"/>
          <w:szCs w:val="22"/>
          <w:lang w:val="fr-FR"/>
        </w:rPr>
        <w:t>POINT</w:t>
      </w:r>
      <w:r w:rsidR="003257F2" w:rsidRPr="003257F2">
        <w:rPr>
          <w:rFonts w:ascii="Times New Roman Bold" w:hAnsi="Times New Roman Bold" w:cs="Times New Roman Bold"/>
          <w:caps w:val="0"/>
          <w:snapToGrid w:val="0"/>
          <w:kern w:val="22"/>
          <w:szCs w:val="22"/>
          <w:lang w:val="fr-FR"/>
        </w:rPr>
        <w:t xml:space="preserve"> 3.</w:t>
      </w:r>
      <w:r w:rsidR="003257F2" w:rsidRPr="003257F2">
        <w:rPr>
          <w:rFonts w:ascii="Times New Roman Bold" w:hAnsi="Times New Roman Bold" w:cs="Times New Roman Bold"/>
          <w:caps w:val="0"/>
          <w:snapToGrid w:val="0"/>
          <w:kern w:val="22"/>
          <w:szCs w:val="22"/>
          <w:lang w:val="fr-FR"/>
        </w:rPr>
        <w:tab/>
      </w:r>
      <w:r w:rsidR="001F038D">
        <w:rPr>
          <w:rFonts w:ascii="Times New Roman Bold" w:hAnsi="Times New Roman Bold" w:cs="Times New Roman Bold"/>
          <w:caps w:val="0"/>
          <w:snapToGrid w:val="0"/>
          <w:kern w:val="22"/>
          <w:szCs w:val="22"/>
          <w:lang w:val="fr-FR"/>
        </w:rPr>
        <w:t>INFORMATION</w:t>
      </w:r>
      <w:r w:rsidRPr="003257F2">
        <w:rPr>
          <w:rFonts w:ascii="Times New Roman Bold" w:hAnsi="Times New Roman Bold" w:cs="Times New Roman Bold"/>
          <w:caps w:val="0"/>
          <w:snapToGrid w:val="0"/>
          <w:kern w:val="22"/>
          <w:szCs w:val="22"/>
          <w:lang w:val="fr-FR"/>
        </w:rPr>
        <w:t xml:space="preserve"> DE SÉQUENÇAGE NUMÉRIQUE SUR LES RESSOURCES GÉNÉTIQUES</w:t>
      </w:r>
      <w:bookmarkEnd w:id="463"/>
      <w:bookmarkEnd w:id="464"/>
      <w:bookmarkEnd w:id="465"/>
    </w:p>
    <w:p w:rsidR="00E543AE" w:rsidRPr="003B102B" w:rsidRDefault="003257F2" w:rsidP="009065E1">
      <w:pPr>
        <w:pStyle w:val="Para1"/>
        <w:suppressLineNumbers/>
        <w:tabs>
          <w:tab w:val="clear" w:pos="360"/>
          <w:tab w:val="num" w:pos="720"/>
        </w:tabs>
        <w:suppressAutoHyphens/>
        <w:rPr>
          <w:rFonts w:eastAsia="MS Mincho"/>
          <w:kern w:val="22"/>
          <w:szCs w:val="22"/>
          <w:lang w:val="fr-FR"/>
        </w:rPr>
      </w:pPr>
      <w:r w:rsidRPr="003257F2">
        <w:rPr>
          <w:lang w:val="fr-FR"/>
        </w:rPr>
        <w:t>À la</w:t>
      </w:r>
      <w:r>
        <w:rPr>
          <w:lang w:val="fr-FR"/>
        </w:rPr>
        <w:t xml:space="preserve"> 1</w:t>
      </w:r>
      <w:r w:rsidRPr="003257F2">
        <w:rPr>
          <w:vertAlign w:val="superscript"/>
          <w:lang w:val="fr-FR"/>
        </w:rPr>
        <w:t>ère</w:t>
      </w:r>
      <w:r>
        <w:rPr>
          <w:lang w:val="fr-FR"/>
        </w:rPr>
        <w:t xml:space="preserve"> séance de la réunion</w:t>
      </w:r>
      <w:r>
        <w:rPr>
          <w:kern w:val="22"/>
          <w:szCs w:val="22"/>
          <w:lang w:val="fr-FR"/>
        </w:rPr>
        <w:t>, le 2 juillet</w:t>
      </w:r>
      <w:r w:rsidR="00125A2F" w:rsidRPr="003257F2">
        <w:rPr>
          <w:kern w:val="22"/>
          <w:szCs w:val="22"/>
          <w:lang w:val="fr-FR"/>
        </w:rPr>
        <w:t xml:space="preserve"> 2018, </w:t>
      </w:r>
      <w:r w:rsidR="004F034D">
        <w:rPr>
          <w:kern w:val="22"/>
          <w:szCs w:val="22"/>
          <w:lang w:val="fr-FR"/>
        </w:rPr>
        <w:t>l</w:t>
      </w:r>
      <w:r>
        <w:rPr>
          <w:kern w:val="22"/>
          <w:szCs w:val="22"/>
          <w:lang w:val="fr-FR"/>
        </w:rPr>
        <w:t xml:space="preserve">’Organe subsidiaire a examiné le point 3 de l’ordre du jour. Il était saisi pour ce faire d’une note de la Secrétaire exécutive </w:t>
      </w:r>
      <w:r w:rsidR="00E543AE" w:rsidRPr="003257F2">
        <w:rPr>
          <w:rFonts w:eastAsia="MS Mincho"/>
          <w:kern w:val="22"/>
          <w:szCs w:val="22"/>
          <w:lang w:val="fr-FR"/>
        </w:rPr>
        <w:t>(CBD/SBSTTA/22/2)</w:t>
      </w:r>
      <w:r w:rsidR="001F038D">
        <w:rPr>
          <w:rFonts w:eastAsia="MS Mincho"/>
          <w:kern w:val="22"/>
          <w:szCs w:val="22"/>
          <w:lang w:val="fr-FR"/>
        </w:rPr>
        <w:t xml:space="preserve"> dont l’annexe contient les résultats d’une réunion du Groupe spécial d’experts techniques sur l’information de séquençage numérique sur les ressources génétique</w:t>
      </w:r>
      <w:r w:rsidR="001E2B55">
        <w:rPr>
          <w:rFonts w:eastAsia="MS Mincho"/>
          <w:kern w:val="22"/>
          <w:szCs w:val="22"/>
          <w:lang w:val="fr-FR"/>
        </w:rPr>
        <w:t>s</w:t>
      </w:r>
      <w:r w:rsidR="001F038D">
        <w:rPr>
          <w:rFonts w:eastAsia="MS Mincho"/>
          <w:kern w:val="22"/>
          <w:szCs w:val="22"/>
          <w:lang w:val="fr-FR"/>
        </w:rPr>
        <w:t xml:space="preserve"> tenue du 13 au 16 février 2018 au siège du </w:t>
      </w:r>
      <w:r w:rsidR="001F038D" w:rsidRPr="003B102B">
        <w:rPr>
          <w:rFonts w:eastAsia="MS Mincho"/>
          <w:kern w:val="22"/>
          <w:szCs w:val="22"/>
          <w:lang w:val="fr-FR"/>
        </w:rPr>
        <w:t>Secrétariat à Montréal.</w:t>
      </w:r>
      <w:r w:rsidR="003B102B" w:rsidRPr="003B102B">
        <w:rPr>
          <w:rFonts w:eastAsia="MS Mincho"/>
          <w:kern w:val="22"/>
          <w:szCs w:val="22"/>
          <w:lang w:val="fr-FR"/>
        </w:rPr>
        <w:t xml:space="preserve"> Il avait également à sa disposition des documents d’information, dont une synthèse des points de vue et des informations sur les répercussions possibles de l’utilisation de l’information de séquençage numérique sur les ressources génétiques sur les trois objectifs de la Convention et l’objectif du Protocole de Nagoya </w:t>
      </w:r>
      <w:r w:rsidR="003B102B" w:rsidRPr="003B102B">
        <w:rPr>
          <w:rFonts w:eastAsia="MS Mincho"/>
          <w:lang w:val="fr-FR"/>
        </w:rPr>
        <w:t>(CBD/SBSTTA/</w:t>
      </w:r>
      <w:r w:rsidR="003B102B">
        <w:rPr>
          <w:rFonts w:eastAsia="MS Mincho"/>
          <w:lang w:val="fr-FR"/>
        </w:rPr>
        <w:t>22/INF/2) ;</w:t>
      </w:r>
      <w:r w:rsidR="003B102B" w:rsidRPr="003B102B">
        <w:rPr>
          <w:rFonts w:eastAsia="MS Mincho"/>
          <w:lang w:val="fr-FR"/>
        </w:rPr>
        <w:t xml:space="preserve"> </w:t>
      </w:r>
      <w:r w:rsidR="003B102B">
        <w:rPr>
          <w:rFonts w:eastAsia="MS Mincho"/>
          <w:lang w:val="fr-FR"/>
        </w:rPr>
        <w:t>des études de cas et des exemples de l’utilisation de l’information de séquen</w:t>
      </w:r>
      <w:r w:rsidR="00243CB2">
        <w:rPr>
          <w:rFonts w:eastAsia="MS Mincho"/>
          <w:lang w:val="fr-FR"/>
        </w:rPr>
        <w:t>çage numérique</w:t>
      </w:r>
      <w:r w:rsidR="00A6302E">
        <w:rPr>
          <w:rFonts w:eastAsia="MS Mincho"/>
          <w:lang w:val="fr-FR"/>
        </w:rPr>
        <w:t xml:space="preserve"> par rapport aux </w:t>
      </w:r>
      <w:r w:rsidR="003B102B">
        <w:rPr>
          <w:rFonts w:eastAsia="MS Mincho"/>
          <w:lang w:val="fr-FR"/>
        </w:rPr>
        <w:t xml:space="preserve">objectifs de la Convention et </w:t>
      </w:r>
      <w:r w:rsidR="00243CB2">
        <w:rPr>
          <w:rFonts w:eastAsia="MS Mincho"/>
          <w:lang w:val="fr-FR"/>
        </w:rPr>
        <w:t>au Protocole de Nagoya</w:t>
      </w:r>
      <w:r w:rsidR="003B102B" w:rsidRPr="003B102B">
        <w:rPr>
          <w:rFonts w:eastAsia="MS Mincho"/>
          <w:lang w:val="fr-FR"/>
        </w:rPr>
        <w:t xml:space="preserve">  (CBD/SBSTTA/</w:t>
      </w:r>
      <w:r w:rsidR="00243CB2">
        <w:rPr>
          <w:rFonts w:eastAsia="MS Mincho"/>
          <w:lang w:val="fr-FR"/>
        </w:rPr>
        <w:t>22/INF/2/Add.1) ; l’information de séquençage numérique sur les ressources génétiques dans les processus et débats politiques</w:t>
      </w:r>
      <w:r w:rsidR="00A6302E">
        <w:rPr>
          <w:rFonts w:eastAsia="MS Mincho"/>
          <w:lang w:val="fr-FR"/>
        </w:rPr>
        <w:t xml:space="preserve"> internationaux</w:t>
      </w:r>
      <w:r w:rsidR="00243CB2">
        <w:rPr>
          <w:rFonts w:eastAsia="MS Mincho"/>
          <w:lang w:val="fr-FR"/>
        </w:rPr>
        <w:t xml:space="preserve"> pertinents en cours </w:t>
      </w:r>
      <w:r w:rsidR="003B102B" w:rsidRPr="003B102B">
        <w:rPr>
          <w:rFonts w:eastAsia="MS Mincho"/>
          <w:lang w:val="fr-FR"/>
        </w:rPr>
        <w:t>(CBD/SBSTTA/</w:t>
      </w:r>
      <w:r w:rsidR="00243CB2">
        <w:rPr>
          <w:rFonts w:eastAsia="MS Mincho"/>
          <w:lang w:val="fr-FR"/>
        </w:rPr>
        <w:t>22/INF/2/Add.2) ;</w:t>
      </w:r>
      <w:r w:rsidR="003B102B" w:rsidRPr="003B102B">
        <w:rPr>
          <w:rFonts w:eastAsia="MS Mincho"/>
          <w:lang w:val="fr-FR"/>
        </w:rPr>
        <w:t xml:space="preserve"> </w:t>
      </w:r>
      <w:r w:rsidR="00243CB2">
        <w:rPr>
          <w:rFonts w:eastAsia="MS Mincho"/>
          <w:lang w:val="fr-FR"/>
        </w:rPr>
        <w:t>une étude exploratoire sur l’information de séquençage numérique sur les ressources génétiques dans le contexte de la Convention sur la diversité biologique et du Protocole de Nagoya</w:t>
      </w:r>
      <w:r w:rsidR="003B102B" w:rsidRPr="003B102B">
        <w:rPr>
          <w:rFonts w:eastAsia="MS Mincho"/>
          <w:lang w:val="fr-FR"/>
        </w:rPr>
        <w:t xml:space="preserve"> (CBD/SBSTTA/</w:t>
      </w:r>
      <w:r w:rsidR="00243CB2">
        <w:rPr>
          <w:rFonts w:eastAsia="MS Mincho"/>
          <w:lang w:val="fr-FR"/>
        </w:rPr>
        <w:t>22/INF/3) ; et le rapport du groupe spécial d’experts techniques sur l’information de séquençage numérique des ressources génétiques</w:t>
      </w:r>
      <w:r w:rsidR="003B102B" w:rsidRPr="003B102B">
        <w:rPr>
          <w:rFonts w:eastAsia="MS Mincho"/>
          <w:lang w:val="fr-FR"/>
        </w:rPr>
        <w:t xml:space="preserve"> (CBD/SBSTTA/22/INF/4).</w:t>
      </w:r>
    </w:p>
    <w:p w:rsidR="00EA6EF9" w:rsidRPr="003257F2" w:rsidRDefault="00435DEC" w:rsidP="00EA6EF9">
      <w:pPr>
        <w:pStyle w:val="Para1"/>
        <w:tabs>
          <w:tab w:val="clear" w:pos="360"/>
        </w:tabs>
        <w:rPr>
          <w:kern w:val="22"/>
          <w:szCs w:val="22"/>
          <w:lang w:val="fr-FR"/>
        </w:rPr>
      </w:pPr>
      <w:r>
        <w:rPr>
          <w:rFonts w:eastAsia="MS Mincho"/>
          <w:kern w:val="22"/>
          <w:szCs w:val="22"/>
          <w:lang w:val="fr-FR"/>
        </w:rPr>
        <w:t xml:space="preserve">Des déclarations ont été faites par les représentants des pays suivants : </w:t>
      </w:r>
      <w:r w:rsidR="00A6302E">
        <w:rPr>
          <w:lang w:val="fr-FR"/>
        </w:rPr>
        <w:t>Afrique du Sud</w:t>
      </w:r>
      <w:r w:rsidR="00A6302E" w:rsidRPr="003257F2">
        <w:rPr>
          <w:lang w:val="fr-FR"/>
        </w:rPr>
        <w:t xml:space="preserve">, </w:t>
      </w:r>
      <w:r w:rsidR="00990320">
        <w:rPr>
          <w:lang w:val="fr-FR"/>
        </w:rPr>
        <w:t>Allemagne</w:t>
      </w:r>
      <w:r w:rsidR="00990320" w:rsidRPr="003257F2">
        <w:rPr>
          <w:lang w:val="fr-FR"/>
        </w:rPr>
        <w:t>,</w:t>
      </w:r>
      <w:r w:rsidR="00990320">
        <w:rPr>
          <w:lang w:val="fr-FR"/>
        </w:rPr>
        <w:t xml:space="preserve"> </w:t>
      </w:r>
      <w:r>
        <w:rPr>
          <w:lang w:val="fr-FR"/>
        </w:rPr>
        <w:t>Australie</w:t>
      </w:r>
      <w:r w:rsidR="00EA6EF9" w:rsidRPr="003257F2">
        <w:rPr>
          <w:lang w:val="fr-FR"/>
        </w:rPr>
        <w:t xml:space="preserve">, </w:t>
      </w:r>
      <w:r>
        <w:rPr>
          <w:noProof/>
          <w:lang w:val="fr-FR"/>
        </w:rPr>
        <w:t>Bé</w:t>
      </w:r>
      <w:r w:rsidR="00484C83" w:rsidRPr="003257F2">
        <w:rPr>
          <w:noProof/>
          <w:lang w:val="fr-FR"/>
        </w:rPr>
        <w:t>larus</w:t>
      </w:r>
      <w:r w:rsidR="00484C83" w:rsidRPr="003257F2">
        <w:rPr>
          <w:lang w:val="fr-FR"/>
        </w:rPr>
        <w:t xml:space="preserve">, </w:t>
      </w:r>
      <w:r>
        <w:rPr>
          <w:snapToGrid/>
          <w:lang w:val="fr-FR"/>
        </w:rPr>
        <w:t>Belgique, Bolivie (État plurinational de</w:t>
      </w:r>
      <w:r w:rsidR="00EA6EF9" w:rsidRPr="003257F2">
        <w:rPr>
          <w:snapToGrid/>
          <w:lang w:val="fr-FR"/>
        </w:rPr>
        <w:t xml:space="preserve">), </w:t>
      </w:r>
      <w:r>
        <w:rPr>
          <w:lang w:val="fr-FR"/>
        </w:rPr>
        <w:t>Brés</w:t>
      </w:r>
      <w:r w:rsidR="00EA6EF9" w:rsidRPr="003257F2">
        <w:rPr>
          <w:lang w:val="fr-FR"/>
        </w:rPr>
        <w:t xml:space="preserve">il, Canada, </w:t>
      </w:r>
      <w:r>
        <w:rPr>
          <w:snapToGrid/>
          <w:lang w:val="fr-FR"/>
        </w:rPr>
        <w:t>Chine, Colombie</w:t>
      </w:r>
      <w:r w:rsidR="00EA6EF9" w:rsidRPr="003257F2">
        <w:rPr>
          <w:snapToGrid/>
          <w:lang w:val="fr-FR"/>
        </w:rPr>
        <w:t xml:space="preserve">, </w:t>
      </w:r>
      <w:r w:rsidR="00EA6EF9" w:rsidRPr="003257F2">
        <w:rPr>
          <w:lang w:val="fr-FR"/>
        </w:rPr>
        <w:t xml:space="preserve">Costa Rica, </w:t>
      </w:r>
      <w:r>
        <w:rPr>
          <w:lang w:val="fr-FR"/>
        </w:rPr>
        <w:t>Équateur, Éthiopie</w:t>
      </w:r>
      <w:r w:rsidR="00484C83" w:rsidRPr="003257F2">
        <w:rPr>
          <w:lang w:val="fr-FR"/>
        </w:rPr>
        <w:t xml:space="preserve">, </w:t>
      </w:r>
      <w:r>
        <w:rPr>
          <w:lang w:val="fr-FR"/>
        </w:rPr>
        <w:t xml:space="preserve">France, </w:t>
      </w:r>
      <w:r w:rsidR="00EA6EF9" w:rsidRPr="003257F2">
        <w:rPr>
          <w:lang w:val="fr-FR"/>
        </w:rPr>
        <w:t>Guatemala,</w:t>
      </w:r>
      <w:r>
        <w:rPr>
          <w:snapToGrid/>
          <w:lang w:val="fr-FR"/>
        </w:rPr>
        <w:t xml:space="preserve"> Inde</w:t>
      </w:r>
      <w:r w:rsidR="00EA6EF9" w:rsidRPr="003257F2">
        <w:rPr>
          <w:snapToGrid/>
          <w:lang w:val="fr-FR"/>
        </w:rPr>
        <w:t xml:space="preserve">, </w:t>
      </w:r>
      <w:r>
        <w:rPr>
          <w:lang w:val="fr-FR"/>
        </w:rPr>
        <w:t>Indonésie, Japo</w:t>
      </w:r>
      <w:r w:rsidR="00EA6EF9" w:rsidRPr="003257F2">
        <w:rPr>
          <w:lang w:val="fr-FR"/>
        </w:rPr>
        <w:t>n, Jordan</w:t>
      </w:r>
      <w:r>
        <w:rPr>
          <w:lang w:val="fr-FR"/>
        </w:rPr>
        <w:t>ie</w:t>
      </w:r>
      <w:r w:rsidR="00EA6EF9" w:rsidRPr="003257F2">
        <w:rPr>
          <w:lang w:val="fr-FR"/>
        </w:rPr>
        <w:t>, Malawi</w:t>
      </w:r>
      <w:r>
        <w:rPr>
          <w:lang w:val="fr-FR"/>
        </w:rPr>
        <w:t xml:space="preserve"> (au nom du Groupe africain), Malaisie,</w:t>
      </w:r>
      <w:r w:rsidR="00990320" w:rsidRPr="00990320">
        <w:rPr>
          <w:lang w:val="fr-FR"/>
        </w:rPr>
        <w:t xml:space="preserve"> </w:t>
      </w:r>
      <w:r w:rsidR="00990320">
        <w:rPr>
          <w:lang w:val="fr-FR"/>
        </w:rPr>
        <w:t>Maroc</w:t>
      </w:r>
      <w:r w:rsidR="00990320" w:rsidRPr="003257F2">
        <w:rPr>
          <w:lang w:val="fr-FR"/>
        </w:rPr>
        <w:t>,</w:t>
      </w:r>
      <w:r w:rsidR="00990320">
        <w:rPr>
          <w:lang w:val="fr-FR"/>
        </w:rPr>
        <w:t xml:space="preserve"> </w:t>
      </w:r>
      <w:r>
        <w:rPr>
          <w:lang w:val="fr-FR"/>
        </w:rPr>
        <w:t>Mexique</w:t>
      </w:r>
      <w:r w:rsidR="00EA6EF9" w:rsidRPr="003257F2">
        <w:rPr>
          <w:snapToGrid/>
          <w:lang w:val="fr-FR"/>
        </w:rPr>
        <w:t xml:space="preserve">, </w:t>
      </w:r>
      <w:r w:rsidR="00990320">
        <w:rPr>
          <w:lang w:val="fr-FR"/>
        </w:rPr>
        <w:t>Micronésie (États fédérés de</w:t>
      </w:r>
      <w:r w:rsidR="00990320" w:rsidRPr="003257F2">
        <w:rPr>
          <w:lang w:val="fr-FR"/>
        </w:rPr>
        <w:t>)</w:t>
      </w:r>
      <w:r w:rsidR="00990320">
        <w:rPr>
          <w:lang w:val="fr-FR"/>
        </w:rPr>
        <w:t xml:space="preserve">, </w:t>
      </w:r>
      <w:r>
        <w:rPr>
          <w:snapToGrid/>
          <w:lang w:val="fr-FR"/>
        </w:rPr>
        <w:t>Pays-Bas, Nouvelle-Zélande</w:t>
      </w:r>
      <w:r w:rsidR="00EA6EF9" w:rsidRPr="003257F2">
        <w:rPr>
          <w:snapToGrid/>
          <w:lang w:val="fr-FR"/>
        </w:rPr>
        <w:t xml:space="preserve">, </w:t>
      </w:r>
      <w:r>
        <w:rPr>
          <w:lang w:val="fr-FR"/>
        </w:rPr>
        <w:t>Norvège</w:t>
      </w:r>
      <w:r w:rsidR="00484C83" w:rsidRPr="003257F2">
        <w:rPr>
          <w:lang w:val="fr-FR"/>
        </w:rPr>
        <w:t>,</w:t>
      </w:r>
      <w:r w:rsidR="00990320">
        <w:rPr>
          <w:lang w:val="fr-FR"/>
        </w:rPr>
        <w:t xml:space="preserve"> Ou</w:t>
      </w:r>
      <w:r w:rsidR="00990320" w:rsidRPr="003257F2">
        <w:rPr>
          <w:lang w:val="fr-FR"/>
        </w:rPr>
        <w:t>ganda,</w:t>
      </w:r>
      <w:r w:rsidR="00484C83" w:rsidRPr="003257F2">
        <w:rPr>
          <w:lang w:val="fr-FR"/>
        </w:rPr>
        <w:t xml:space="preserve"> </w:t>
      </w:r>
      <w:r>
        <w:rPr>
          <w:lang w:val="fr-FR"/>
        </w:rPr>
        <w:t>Philippines (également au nom des États membres de l’Association des nations de l’Asie du Sud-Est</w:t>
      </w:r>
      <w:r w:rsidR="00EA6EF9" w:rsidRPr="003257F2">
        <w:rPr>
          <w:lang w:val="fr-FR"/>
        </w:rPr>
        <w:t xml:space="preserve"> </w:t>
      </w:r>
      <w:r w:rsidR="00484C83" w:rsidRPr="003257F2">
        <w:rPr>
          <w:lang w:val="fr-FR"/>
        </w:rPr>
        <w:t>(ASEAN)</w:t>
      </w:r>
      <w:r w:rsidR="00EA6EF9" w:rsidRPr="003257F2">
        <w:rPr>
          <w:lang w:val="fr-FR"/>
        </w:rPr>
        <w:t xml:space="preserve">), </w:t>
      </w:r>
      <w:r>
        <w:rPr>
          <w:snapToGrid/>
          <w:lang w:val="fr-FR"/>
        </w:rPr>
        <w:t>République de Corée,</w:t>
      </w:r>
      <w:r w:rsidR="00EA6EF9" w:rsidRPr="003257F2">
        <w:rPr>
          <w:snapToGrid/>
          <w:lang w:val="fr-FR"/>
        </w:rPr>
        <w:t xml:space="preserve"> </w:t>
      </w:r>
      <w:r w:rsidR="00990320">
        <w:rPr>
          <w:snapToGrid/>
          <w:lang w:val="fr-FR"/>
        </w:rPr>
        <w:t xml:space="preserve"> </w:t>
      </w:r>
      <w:r w:rsidR="009C54DB">
        <w:rPr>
          <w:snapToGrid/>
          <w:lang w:val="fr-FR"/>
        </w:rPr>
        <w:t xml:space="preserve">République-Unie de Tanzanie, </w:t>
      </w:r>
      <w:r w:rsidR="00691003">
        <w:rPr>
          <w:snapToGrid/>
          <w:lang w:val="fr-FR"/>
        </w:rPr>
        <w:t>Royaume-Uni</w:t>
      </w:r>
      <w:r w:rsidR="00990320" w:rsidRPr="003257F2">
        <w:rPr>
          <w:snapToGrid/>
          <w:lang w:val="fr-FR"/>
        </w:rPr>
        <w:t>,</w:t>
      </w:r>
      <w:r w:rsidR="00990320">
        <w:rPr>
          <w:snapToGrid/>
          <w:lang w:val="fr-FR"/>
        </w:rPr>
        <w:t xml:space="preserve"> </w:t>
      </w:r>
      <w:r w:rsidR="00484C83" w:rsidRPr="003257F2">
        <w:rPr>
          <w:lang w:val="fr-FR"/>
        </w:rPr>
        <w:t xml:space="preserve">Rwanda, </w:t>
      </w:r>
      <w:r w:rsidR="00A6302E">
        <w:rPr>
          <w:lang w:val="fr-FR"/>
        </w:rPr>
        <w:t xml:space="preserve">Samoa, </w:t>
      </w:r>
      <w:r>
        <w:rPr>
          <w:snapToGrid/>
          <w:lang w:val="fr-FR"/>
        </w:rPr>
        <w:t>Sou</w:t>
      </w:r>
      <w:r w:rsidR="00EA6EF9" w:rsidRPr="003257F2">
        <w:rPr>
          <w:snapToGrid/>
          <w:lang w:val="fr-FR"/>
        </w:rPr>
        <w:t xml:space="preserve">dan, </w:t>
      </w:r>
      <w:r>
        <w:rPr>
          <w:lang w:val="fr-FR"/>
        </w:rPr>
        <w:t>Suède</w:t>
      </w:r>
      <w:r w:rsidR="00484C83" w:rsidRPr="003257F2">
        <w:rPr>
          <w:lang w:val="fr-FR"/>
        </w:rPr>
        <w:t xml:space="preserve">, </w:t>
      </w:r>
      <w:r>
        <w:rPr>
          <w:snapToGrid/>
          <w:lang w:val="fr-FR"/>
        </w:rPr>
        <w:t>Suisse</w:t>
      </w:r>
      <w:r w:rsidR="00EA6EF9" w:rsidRPr="003257F2">
        <w:rPr>
          <w:snapToGrid/>
          <w:lang w:val="fr-FR"/>
        </w:rPr>
        <w:t xml:space="preserve">, </w:t>
      </w:r>
      <w:r>
        <w:rPr>
          <w:lang w:val="fr-FR"/>
        </w:rPr>
        <w:t>Tanzanie</w:t>
      </w:r>
      <w:r w:rsidR="00484C83" w:rsidRPr="003257F2">
        <w:rPr>
          <w:lang w:val="fr-FR"/>
        </w:rPr>
        <w:t xml:space="preserve">, </w:t>
      </w:r>
      <w:r>
        <w:rPr>
          <w:snapToGrid/>
          <w:lang w:val="fr-FR"/>
        </w:rPr>
        <w:t>Thaï</w:t>
      </w:r>
      <w:r w:rsidR="00EA6EF9" w:rsidRPr="003257F2">
        <w:rPr>
          <w:snapToGrid/>
          <w:lang w:val="fr-FR"/>
        </w:rPr>
        <w:t>land</w:t>
      </w:r>
      <w:r>
        <w:rPr>
          <w:snapToGrid/>
          <w:lang w:val="fr-FR"/>
        </w:rPr>
        <w:t>e</w:t>
      </w:r>
      <w:r w:rsidR="00EA6EF9" w:rsidRPr="003257F2">
        <w:rPr>
          <w:snapToGrid/>
          <w:lang w:val="fr-FR"/>
        </w:rPr>
        <w:t xml:space="preserve">, </w:t>
      </w:r>
      <w:r>
        <w:rPr>
          <w:lang w:val="fr-FR"/>
        </w:rPr>
        <w:t>Turquie</w:t>
      </w:r>
      <w:r w:rsidR="00EA6EF9" w:rsidRPr="003257F2">
        <w:rPr>
          <w:lang w:val="fr-FR"/>
        </w:rPr>
        <w:t xml:space="preserve">, </w:t>
      </w:r>
      <w:r w:rsidR="00990320">
        <w:rPr>
          <w:snapToGrid/>
          <w:lang w:val="fr-FR"/>
        </w:rPr>
        <w:t>Union européenne</w:t>
      </w:r>
      <w:r w:rsidR="00990320" w:rsidRPr="003257F2">
        <w:rPr>
          <w:snapToGrid/>
          <w:lang w:val="fr-FR"/>
        </w:rPr>
        <w:t>,</w:t>
      </w:r>
      <w:r w:rsidR="00484C83" w:rsidRPr="003257F2">
        <w:rPr>
          <w:snapToGrid/>
          <w:lang w:val="fr-FR"/>
        </w:rPr>
        <w:t xml:space="preserve"> </w:t>
      </w:r>
      <w:r>
        <w:rPr>
          <w:lang w:val="fr-FR"/>
        </w:rPr>
        <w:t>Venezuela (République bolivarienne du) et Yé</w:t>
      </w:r>
      <w:r w:rsidR="00484C83" w:rsidRPr="003257F2">
        <w:rPr>
          <w:lang w:val="fr-FR"/>
        </w:rPr>
        <w:t>men</w:t>
      </w:r>
      <w:r w:rsidR="00EA6EF9" w:rsidRPr="003257F2">
        <w:rPr>
          <w:snapToGrid/>
          <w:lang w:val="fr-FR"/>
        </w:rPr>
        <w:t>.</w:t>
      </w:r>
    </w:p>
    <w:p w:rsidR="00EA6EF9" w:rsidRPr="003257F2" w:rsidRDefault="00990320" w:rsidP="00EA6EF9">
      <w:pPr>
        <w:pStyle w:val="Para1"/>
        <w:tabs>
          <w:tab w:val="clear" w:pos="360"/>
        </w:tabs>
        <w:rPr>
          <w:noProof/>
          <w:kern w:val="22"/>
          <w:szCs w:val="22"/>
          <w:lang w:val="fr-FR"/>
        </w:rPr>
      </w:pPr>
      <w:r>
        <w:rPr>
          <w:noProof/>
          <w:snapToGrid/>
          <w:lang w:val="fr-FR"/>
        </w:rPr>
        <w:lastRenderedPageBreak/>
        <w:t>Ont aussi pri</w:t>
      </w:r>
      <w:r w:rsidR="00C774E5">
        <w:rPr>
          <w:noProof/>
          <w:snapToGrid/>
          <w:lang w:val="fr-FR"/>
        </w:rPr>
        <w:t>s la parole les représentants du</w:t>
      </w:r>
      <w:r>
        <w:rPr>
          <w:noProof/>
          <w:snapToGrid/>
          <w:lang w:val="fr-FR"/>
        </w:rPr>
        <w:t xml:space="preserve"> </w:t>
      </w:r>
      <w:r w:rsidR="00484C83" w:rsidRPr="003257F2">
        <w:rPr>
          <w:noProof/>
          <w:snapToGrid/>
          <w:lang w:val="fr-FR"/>
        </w:rPr>
        <w:t>Global Biodiversity Information Facility (GBIF),</w:t>
      </w:r>
      <w:r w:rsidR="00C774E5">
        <w:rPr>
          <w:noProof/>
          <w:snapToGrid/>
          <w:lang w:val="fr-FR"/>
        </w:rPr>
        <w:t xml:space="preserve"> du</w:t>
      </w:r>
      <w:r w:rsidR="00484C83" w:rsidRPr="003257F2">
        <w:rPr>
          <w:noProof/>
          <w:snapToGrid/>
          <w:lang w:val="fr-FR"/>
        </w:rPr>
        <w:t xml:space="preserve"> </w:t>
      </w:r>
      <w:r w:rsidR="007E0E11" w:rsidRPr="003257F2">
        <w:rPr>
          <w:noProof/>
          <w:kern w:val="22"/>
          <w:szCs w:val="22"/>
          <w:lang w:val="fr-FR"/>
        </w:rPr>
        <w:t>Global Youth</w:t>
      </w:r>
      <w:r>
        <w:rPr>
          <w:noProof/>
          <w:kern w:val="22"/>
          <w:szCs w:val="22"/>
          <w:lang w:val="fr-FR"/>
        </w:rPr>
        <w:t xml:space="preserve"> Biodiversity Network (GYBN) et du Forum international des peuples autochtones sur la biodiversité</w:t>
      </w:r>
      <w:r w:rsidR="00EA6EF9" w:rsidRPr="003257F2">
        <w:rPr>
          <w:noProof/>
          <w:snapToGrid/>
          <w:lang w:val="fr-FR"/>
        </w:rPr>
        <w:t>.</w:t>
      </w:r>
    </w:p>
    <w:p w:rsidR="00125A2F" w:rsidRPr="003257F2" w:rsidRDefault="00990320" w:rsidP="009065E1">
      <w:pPr>
        <w:pStyle w:val="Para1"/>
        <w:suppressLineNumbers/>
        <w:tabs>
          <w:tab w:val="clear" w:pos="360"/>
          <w:tab w:val="num" w:pos="720"/>
        </w:tabs>
        <w:suppressAutoHyphens/>
        <w:rPr>
          <w:rFonts w:eastAsia="MS Mincho"/>
          <w:noProof/>
          <w:kern w:val="22"/>
          <w:szCs w:val="22"/>
          <w:lang w:val="fr-FR"/>
        </w:rPr>
      </w:pPr>
      <w:r>
        <w:rPr>
          <w:noProof/>
          <w:kern w:val="22"/>
          <w:szCs w:val="22"/>
          <w:lang w:val="fr-FR"/>
        </w:rPr>
        <w:t xml:space="preserve">Après un échanges points de vue, la présidente a créé un </w:t>
      </w:r>
      <w:r w:rsidR="00C774E5">
        <w:rPr>
          <w:noProof/>
          <w:kern w:val="22"/>
          <w:szCs w:val="22"/>
          <w:lang w:val="fr-FR"/>
        </w:rPr>
        <w:t>groupe de contact dirigé par M. </w:t>
      </w:r>
      <w:r>
        <w:rPr>
          <w:noProof/>
          <w:kern w:val="22"/>
          <w:szCs w:val="22"/>
          <w:lang w:val="fr-FR"/>
        </w:rPr>
        <w:t>Hendrick Segers (Belgique) et M. Hesiquio Benitez (Mexique</w:t>
      </w:r>
      <w:r w:rsidR="007E0E11" w:rsidRPr="003257F2">
        <w:rPr>
          <w:noProof/>
          <w:kern w:val="22"/>
          <w:szCs w:val="22"/>
          <w:lang w:val="fr-FR"/>
        </w:rPr>
        <w:t>)</w:t>
      </w:r>
      <w:r>
        <w:rPr>
          <w:noProof/>
          <w:kern w:val="22"/>
          <w:szCs w:val="22"/>
          <w:lang w:val="fr-FR"/>
        </w:rPr>
        <w:t>, chargé d’élaborer un projet de recommandation pour examen par la Conférence des Parties à la Convention et la Conférence des Parties siégeant en tant que réunion des Parties au Protocole de Nagoya.</w:t>
      </w:r>
    </w:p>
    <w:p w:rsidR="001338EC" w:rsidRPr="000333BE" w:rsidRDefault="000333BE" w:rsidP="009065E1">
      <w:pPr>
        <w:pStyle w:val="Para1"/>
        <w:suppressLineNumbers/>
        <w:tabs>
          <w:tab w:val="clear" w:pos="360"/>
          <w:tab w:val="num" w:pos="720"/>
        </w:tabs>
        <w:suppressAutoHyphens/>
        <w:rPr>
          <w:rFonts w:eastAsia="MS Mincho"/>
          <w:kern w:val="22"/>
          <w:szCs w:val="22"/>
          <w:lang w:val="fr-FR"/>
        </w:rPr>
      </w:pPr>
      <w:r w:rsidRPr="000333BE">
        <w:rPr>
          <w:rFonts w:eastAsia="MS Mincho"/>
          <w:lang w:val="fr-FR"/>
        </w:rPr>
        <w:t>A la 12</w:t>
      </w:r>
      <w:r w:rsidRPr="00765D1E">
        <w:rPr>
          <w:rFonts w:eastAsia="MS Mincho"/>
          <w:vertAlign w:val="superscript"/>
          <w:lang w:val="fr-FR"/>
        </w:rPr>
        <w:t>ème</w:t>
      </w:r>
      <w:r w:rsidR="00C774E5" w:rsidRPr="000333BE">
        <w:rPr>
          <w:rFonts w:eastAsia="MS Mincho"/>
          <w:lang w:val="fr-FR"/>
        </w:rPr>
        <w:t xml:space="preserve"> </w:t>
      </w:r>
      <w:r w:rsidR="002F102A" w:rsidRPr="000333BE">
        <w:rPr>
          <w:rFonts w:eastAsia="MS Mincho"/>
          <w:lang w:val="fr-FR"/>
        </w:rPr>
        <w:t>séance de la réunion</w:t>
      </w:r>
      <w:r w:rsidR="00C774E5" w:rsidRPr="000333BE">
        <w:rPr>
          <w:rFonts w:eastAsia="MS Mincho"/>
          <w:lang w:val="fr-FR"/>
        </w:rPr>
        <w:t xml:space="preserve">, </w:t>
      </w:r>
      <w:r w:rsidR="002F102A" w:rsidRPr="000333BE">
        <w:rPr>
          <w:rFonts w:eastAsia="MS Mincho"/>
          <w:lang w:val="fr-FR"/>
        </w:rPr>
        <w:t>le 7 juillet</w:t>
      </w:r>
      <w:r w:rsidRPr="000333BE">
        <w:rPr>
          <w:rFonts w:eastAsia="MS Mincho"/>
          <w:lang w:val="fr-FR"/>
        </w:rPr>
        <w:t xml:space="preserve"> 2018, l’Organe subsidiaire</w:t>
      </w:r>
      <w:r w:rsidR="00C774E5" w:rsidRPr="000333BE">
        <w:rPr>
          <w:rFonts w:eastAsia="MS Mincho"/>
          <w:lang w:val="fr-FR"/>
        </w:rPr>
        <w:t xml:space="preserve"> </w:t>
      </w:r>
      <w:r>
        <w:rPr>
          <w:rFonts w:eastAsia="MS Mincho"/>
          <w:lang w:val="fr-FR"/>
        </w:rPr>
        <w:t xml:space="preserve">a examiné le projet de recommandation révisé transmis par </w:t>
      </w:r>
      <w:r>
        <w:rPr>
          <w:lang w:val="fr-FR"/>
        </w:rPr>
        <w:t>M</w:t>
      </w:r>
      <w:r w:rsidR="00C774E5" w:rsidRPr="000333BE">
        <w:rPr>
          <w:lang w:val="fr-FR"/>
        </w:rPr>
        <w:t xml:space="preserve">. </w:t>
      </w:r>
      <w:r w:rsidR="00C774E5" w:rsidRPr="000333BE">
        <w:rPr>
          <w:noProof/>
          <w:lang w:val="fr-FR"/>
        </w:rPr>
        <w:t>Benitez.</w:t>
      </w:r>
    </w:p>
    <w:p w:rsidR="00C774E5" w:rsidRPr="009B0787" w:rsidRDefault="000333BE" w:rsidP="009065E1">
      <w:pPr>
        <w:pStyle w:val="Para1"/>
        <w:suppressLineNumbers/>
        <w:tabs>
          <w:tab w:val="clear" w:pos="360"/>
          <w:tab w:val="num" w:pos="720"/>
        </w:tabs>
        <w:suppressAutoHyphens/>
        <w:rPr>
          <w:rFonts w:eastAsia="MS Mincho"/>
          <w:kern w:val="22"/>
          <w:szCs w:val="22"/>
          <w:lang w:val="fr-FR"/>
        </w:rPr>
      </w:pPr>
      <w:r w:rsidRPr="000333BE">
        <w:rPr>
          <w:rFonts w:eastAsia="MS Mincho"/>
          <w:lang w:val="fr-FR"/>
        </w:rPr>
        <w:t>En ré</w:t>
      </w:r>
      <w:r w:rsidR="00C774E5" w:rsidRPr="000333BE">
        <w:rPr>
          <w:rFonts w:eastAsia="MS Mincho"/>
          <w:lang w:val="fr-FR"/>
        </w:rPr>
        <w:t>ponse</w:t>
      </w:r>
      <w:r w:rsidRPr="000333BE">
        <w:rPr>
          <w:rFonts w:eastAsia="MS Mincho"/>
          <w:lang w:val="fr-FR"/>
        </w:rPr>
        <w:t xml:space="preserve"> à une demande d’éclaircissements émanant du Japon concernant l’état d’avancement du point de l’ordre du jour sur</w:t>
      </w:r>
      <w:r w:rsidR="00C774E5" w:rsidRPr="000333BE">
        <w:rPr>
          <w:rFonts w:eastAsia="MS Mincho"/>
          <w:lang w:val="fr-FR"/>
        </w:rPr>
        <w:t xml:space="preserve"> </w:t>
      </w:r>
      <w:r w:rsidRPr="000333BE">
        <w:rPr>
          <w:rFonts w:eastAsia="MS Mincho"/>
          <w:lang w:val="fr-FR"/>
        </w:rPr>
        <w:t>l’information de séquençage numérique</w:t>
      </w:r>
      <w:r w:rsidR="00C774E5" w:rsidRPr="000333BE">
        <w:rPr>
          <w:rFonts w:eastAsia="MS Mincho"/>
          <w:lang w:val="fr-FR"/>
        </w:rPr>
        <w:t xml:space="preserve"> </w:t>
      </w:r>
      <w:r w:rsidRPr="000333BE">
        <w:rPr>
          <w:rFonts w:eastAsia="MS Mincho"/>
          <w:lang w:val="fr-FR"/>
        </w:rPr>
        <w:t xml:space="preserve">en lien avec le processus d’examen des questions nouvelles et émergentes, </w:t>
      </w:r>
      <w:r w:rsidR="00765D1E">
        <w:rPr>
          <w:rFonts w:eastAsia="MS Mincho"/>
          <w:lang w:val="fr-FR"/>
        </w:rPr>
        <w:t xml:space="preserve">le </w:t>
      </w:r>
      <w:r>
        <w:rPr>
          <w:rFonts w:eastAsia="MS Mincho"/>
          <w:lang w:val="fr-FR"/>
        </w:rPr>
        <w:t>Secrétaire exécutif adjoint</w:t>
      </w:r>
      <w:r w:rsidR="00C774E5" w:rsidRPr="000333BE">
        <w:rPr>
          <w:rFonts w:eastAsia="MS Mincho"/>
          <w:lang w:val="fr-FR"/>
        </w:rPr>
        <w:t xml:space="preserve"> </w:t>
      </w:r>
      <w:r>
        <w:rPr>
          <w:rFonts w:eastAsia="MS Mincho"/>
          <w:lang w:val="fr-FR"/>
        </w:rPr>
        <w:t>a expliqué que le mandat conféré à l</w:t>
      </w:r>
      <w:r w:rsidRPr="000333BE">
        <w:rPr>
          <w:rFonts w:eastAsia="MS Mincho"/>
          <w:lang w:val="fr-FR"/>
        </w:rPr>
        <w:t>’Organe subsidiaire</w:t>
      </w:r>
      <w:r w:rsidR="00C774E5" w:rsidRPr="000333BE">
        <w:rPr>
          <w:rFonts w:eastAsia="MS Mincho"/>
          <w:lang w:val="fr-FR"/>
        </w:rPr>
        <w:t xml:space="preserve"> </w:t>
      </w:r>
      <w:r>
        <w:rPr>
          <w:rFonts w:eastAsia="MS Mincho"/>
          <w:lang w:val="fr-FR"/>
        </w:rPr>
        <w:t>d’examiner la question de l’</w:t>
      </w:r>
      <w:r w:rsidRPr="000333BE">
        <w:rPr>
          <w:rFonts w:eastAsia="MS Mincho"/>
          <w:lang w:val="fr-FR"/>
        </w:rPr>
        <w:t>information de séquençage numérique</w:t>
      </w:r>
      <w:r w:rsidR="00C774E5" w:rsidRPr="000333BE">
        <w:rPr>
          <w:rFonts w:eastAsia="MS Mincho"/>
          <w:lang w:val="fr-FR"/>
        </w:rPr>
        <w:t xml:space="preserve"> </w:t>
      </w:r>
      <w:r>
        <w:rPr>
          <w:rFonts w:eastAsia="MS Mincho"/>
          <w:lang w:val="fr-FR"/>
        </w:rPr>
        <w:t>provenait des décisions XIII/16 et</w:t>
      </w:r>
      <w:r w:rsidR="00C774E5" w:rsidRPr="000333BE">
        <w:rPr>
          <w:rFonts w:eastAsia="MS Mincho"/>
          <w:lang w:val="fr-FR"/>
        </w:rPr>
        <w:t xml:space="preserve"> NP 2/14</w:t>
      </w:r>
      <w:r>
        <w:rPr>
          <w:rFonts w:eastAsia="MS Mincho"/>
          <w:lang w:val="fr-FR"/>
        </w:rPr>
        <w:t>, et que ce mandat était indépendant du</w:t>
      </w:r>
      <w:r w:rsidR="00C774E5" w:rsidRPr="000333BE">
        <w:rPr>
          <w:rFonts w:eastAsia="MS Mincho"/>
          <w:lang w:val="fr-FR"/>
        </w:rPr>
        <w:t xml:space="preserve"> process</w:t>
      </w:r>
      <w:r>
        <w:rPr>
          <w:rFonts w:eastAsia="MS Mincho"/>
          <w:lang w:val="fr-FR"/>
        </w:rPr>
        <w:t>us de</w:t>
      </w:r>
      <w:r w:rsidR="00C774E5" w:rsidRPr="000333BE">
        <w:rPr>
          <w:rFonts w:eastAsia="MS Mincho"/>
          <w:lang w:val="fr-FR"/>
        </w:rPr>
        <w:t xml:space="preserve"> </w:t>
      </w:r>
      <w:r>
        <w:rPr>
          <w:rFonts w:eastAsia="MS Mincho"/>
          <w:lang w:val="fr-FR"/>
        </w:rPr>
        <w:t>l</w:t>
      </w:r>
      <w:r w:rsidRPr="000333BE">
        <w:rPr>
          <w:rFonts w:eastAsia="MS Mincho"/>
          <w:lang w:val="fr-FR"/>
        </w:rPr>
        <w:t>’Organe subsidiaire</w:t>
      </w:r>
      <w:r>
        <w:rPr>
          <w:rFonts w:eastAsia="MS Mincho"/>
          <w:lang w:val="fr-FR"/>
        </w:rPr>
        <w:t xml:space="preserve"> concernant l’identification de</w:t>
      </w:r>
      <w:r w:rsidR="00C774E5" w:rsidRPr="000333BE">
        <w:rPr>
          <w:rFonts w:eastAsia="MS Mincho"/>
          <w:lang w:val="fr-FR"/>
        </w:rPr>
        <w:t xml:space="preserve"> </w:t>
      </w:r>
      <w:r>
        <w:rPr>
          <w:rFonts w:eastAsia="MS Mincho"/>
          <w:lang w:val="fr-FR"/>
        </w:rPr>
        <w:t>questions nouvelles et émergentes, mis en place dans la</w:t>
      </w:r>
      <w:r w:rsidR="00C774E5" w:rsidRPr="000333BE">
        <w:rPr>
          <w:rFonts w:eastAsia="MS Mincho"/>
          <w:lang w:val="fr-FR"/>
        </w:rPr>
        <w:t xml:space="preserve"> </w:t>
      </w:r>
      <w:r>
        <w:rPr>
          <w:rFonts w:eastAsia="MS Mincho"/>
          <w:lang w:val="fr-FR"/>
        </w:rPr>
        <w:t>décision </w:t>
      </w:r>
      <w:r w:rsidR="00C774E5" w:rsidRPr="000333BE">
        <w:rPr>
          <w:rFonts w:eastAsia="MS Mincho"/>
          <w:lang w:val="fr-FR"/>
        </w:rPr>
        <w:t xml:space="preserve">VIII/10. </w:t>
      </w:r>
      <w:r w:rsidRPr="000333BE">
        <w:rPr>
          <w:rFonts w:eastAsia="MS Mincho"/>
          <w:lang w:val="fr-FR"/>
        </w:rPr>
        <w:t>Il a rappel</w:t>
      </w:r>
      <w:r>
        <w:rPr>
          <w:rFonts w:eastAsia="MS Mincho"/>
          <w:lang w:val="fr-FR"/>
        </w:rPr>
        <w:t>é</w:t>
      </w:r>
      <w:r w:rsidRPr="000333BE">
        <w:rPr>
          <w:rFonts w:eastAsia="MS Mincho"/>
          <w:lang w:val="fr-FR"/>
        </w:rPr>
        <w:t xml:space="preserve"> aux</w:t>
      </w:r>
      <w:r>
        <w:rPr>
          <w:rFonts w:eastAsia="MS Mincho"/>
          <w:lang w:val="fr-FR"/>
        </w:rPr>
        <w:t xml:space="preserve"> participants que le</w:t>
      </w:r>
      <w:r w:rsidR="00C774E5" w:rsidRPr="000333BE">
        <w:rPr>
          <w:rFonts w:eastAsia="MS Mincho"/>
          <w:lang w:val="fr-FR"/>
        </w:rPr>
        <w:t xml:space="preserve"> process</w:t>
      </w:r>
      <w:r>
        <w:rPr>
          <w:rFonts w:eastAsia="MS Mincho"/>
          <w:lang w:val="fr-FR"/>
        </w:rPr>
        <w:t>us établi dans la</w:t>
      </w:r>
      <w:r w:rsidR="00C774E5" w:rsidRPr="000333BE">
        <w:rPr>
          <w:rFonts w:eastAsia="MS Mincho"/>
          <w:lang w:val="fr-FR"/>
        </w:rPr>
        <w:t xml:space="preserve"> </w:t>
      </w:r>
      <w:r w:rsidRPr="000333BE">
        <w:rPr>
          <w:rFonts w:eastAsia="MS Mincho"/>
          <w:lang w:val="fr-FR"/>
        </w:rPr>
        <w:t>décision</w:t>
      </w:r>
      <w:r w:rsidR="00C774E5" w:rsidRPr="000333BE">
        <w:rPr>
          <w:rFonts w:eastAsia="MS Mincho"/>
          <w:lang w:val="fr-FR"/>
        </w:rPr>
        <w:t xml:space="preserve"> VIII/10 </w:t>
      </w:r>
      <w:r>
        <w:rPr>
          <w:rFonts w:eastAsia="MS Mincho"/>
          <w:lang w:val="fr-FR"/>
        </w:rPr>
        <w:t xml:space="preserve">était un moyen d’aborder les </w:t>
      </w:r>
      <w:r w:rsidRPr="000333BE">
        <w:rPr>
          <w:rFonts w:eastAsia="MS Mincho"/>
          <w:lang w:val="fr-FR"/>
        </w:rPr>
        <w:t>questions nouvelles et émergentes</w:t>
      </w:r>
      <w:r w:rsidR="00C774E5" w:rsidRPr="000333BE">
        <w:rPr>
          <w:rFonts w:eastAsia="MS Mincho"/>
          <w:lang w:val="fr-FR"/>
        </w:rPr>
        <w:t xml:space="preserve">. </w:t>
      </w:r>
      <w:r w:rsidRPr="000333BE">
        <w:rPr>
          <w:rFonts w:eastAsia="MS Mincho"/>
          <w:lang w:val="fr-FR"/>
        </w:rPr>
        <w:t>Ce</w:t>
      </w:r>
      <w:r w:rsidR="00C774E5" w:rsidRPr="000333BE">
        <w:rPr>
          <w:rFonts w:eastAsia="MS Mincho"/>
          <w:lang w:val="fr-FR"/>
        </w:rPr>
        <w:t xml:space="preserve"> process</w:t>
      </w:r>
      <w:r w:rsidRPr="000333BE">
        <w:rPr>
          <w:rFonts w:eastAsia="MS Mincho"/>
          <w:lang w:val="fr-FR"/>
        </w:rPr>
        <w:t>us offrait l’occasion lors de chaque cycle biennal à toute Partie ou observateur de faire des propositions de nouvelles questions à inscrire à l’ordre du jour de</w:t>
      </w:r>
      <w:r w:rsidR="00C774E5" w:rsidRPr="000333BE">
        <w:rPr>
          <w:rFonts w:eastAsia="MS Mincho"/>
          <w:lang w:val="fr-FR"/>
        </w:rPr>
        <w:t xml:space="preserve"> </w:t>
      </w:r>
      <w:r>
        <w:rPr>
          <w:rFonts w:eastAsia="MS Mincho"/>
          <w:lang w:val="fr-FR"/>
        </w:rPr>
        <w:t>l</w:t>
      </w:r>
      <w:r w:rsidRPr="000333BE">
        <w:rPr>
          <w:rFonts w:eastAsia="MS Mincho"/>
          <w:lang w:val="fr-FR"/>
        </w:rPr>
        <w:t>’Organe subsidiaire</w:t>
      </w:r>
      <w:r w:rsidR="00C774E5" w:rsidRPr="000333BE">
        <w:rPr>
          <w:rFonts w:eastAsia="MS Mincho"/>
          <w:lang w:val="fr-FR"/>
        </w:rPr>
        <w:t xml:space="preserve">. </w:t>
      </w:r>
      <w:r w:rsidRPr="000333BE">
        <w:rPr>
          <w:rFonts w:eastAsia="MS Mincho"/>
          <w:lang w:val="fr-FR"/>
        </w:rPr>
        <w:t>Le processus étant très ouvert, il convenait d’énoncer des critères pour filtrer les propositions afin d’</w:t>
      </w:r>
      <w:r>
        <w:rPr>
          <w:rFonts w:eastAsia="MS Mincho"/>
          <w:lang w:val="fr-FR"/>
        </w:rPr>
        <w:t>éclairer l</w:t>
      </w:r>
      <w:r w:rsidRPr="000333BE">
        <w:rPr>
          <w:rFonts w:eastAsia="MS Mincho"/>
          <w:lang w:val="fr-FR"/>
        </w:rPr>
        <w:t>’Organe subsidiaire</w:t>
      </w:r>
      <w:r w:rsidR="00C774E5" w:rsidRPr="000333BE">
        <w:rPr>
          <w:rFonts w:eastAsia="MS Mincho"/>
          <w:lang w:val="fr-FR"/>
        </w:rPr>
        <w:t xml:space="preserve"> </w:t>
      </w:r>
      <w:r w:rsidR="00765D1E">
        <w:rPr>
          <w:rFonts w:eastAsia="MS Mincho"/>
          <w:lang w:val="fr-FR"/>
        </w:rPr>
        <w:t>avant que celui-ci</w:t>
      </w:r>
      <w:r>
        <w:rPr>
          <w:rFonts w:eastAsia="MS Mincho"/>
          <w:lang w:val="fr-FR"/>
        </w:rPr>
        <w:t xml:space="preserve"> formule des</w:t>
      </w:r>
      <w:r w:rsidR="00C774E5" w:rsidRPr="000333BE">
        <w:rPr>
          <w:rFonts w:eastAsia="MS Mincho"/>
          <w:lang w:val="fr-FR"/>
        </w:rPr>
        <w:t xml:space="preserve"> </w:t>
      </w:r>
      <w:r>
        <w:rPr>
          <w:rFonts w:eastAsia="MS Mincho"/>
          <w:lang w:val="fr-FR"/>
        </w:rPr>
        <w:t>recommandations à la Conférence des Parties</w:t>
      </w:r>
      <w:r w:rsidR="00C774E5" w:rsidRPr="000333BE">
        <w:rPr>
          <w:rFonts w:eastAsia="MS Mincho"/>
          <w:lang w:val="fr-FR"/>
        </w:rPr>
        <w:t xml:space="preserve">. </w:t>
      </w:r>
      <w:r w:rsidRPr="000333BE">
        <w:rPr>
          <w:rFonts w:eastAsia="MS Mincho"/>
          <w:lang w:val="fr-FR"/>
        </w:rPr>
        <w:t>Cependant, ce processus ne se limite pas à la capacité de la Conférence des Parties</w:t>
      </w:r>
      <w:r>
        <w:rPr>
          <w:rFonts w:eastAsia="MS Mincho"/>
          <w:lang w:val="fr-FR"/>
        </w:rPr>
        <w:t xml:space="preserve"> ou de la</w:t>
      </w:r>
      <w:r w:rsidR="00C774E5" w:rsidRPr="000333BE">
        <w:rPr>
          <w:rFonts w:eastAsia="MS Mincho"/>
          <w:lang w:val="fr-FR"/>
        </w:rPr>
        <w:t xml:space="preserve"> </w:t>
      </w:r>
      <w:r>
        <w:rPr>
          <w:rFonts w:eastAsia="MS Mincho"/>
          <w:lang w:val="fr-FR"/>
        </w:rPr>
        <w:t>réunion des Parties au</w:t>
      </w:r>
      <w:r w:rsidR="00C774E5" w:rsidRPr="000333BE">
        <w:rPr>
          <w:rFonts w:eastAsia="MS Mincho"/>
          <w:lang w:val="fr-FR"/>
        </w:rPr>
        <w:t xml:space="preserve"> Protocol</w:t>
      </w:r>
      <w:r>
        <w:rPr>
          <w:rFonts w:eastAsia="MS Mincho"/>
          <w:lang w:val="fr-FR"/>
        </w:rPr>
        <w:t>e</w:t>
      </w:r>
      <w:r w:rsidR="00C774E5" w:rsidRPr="000333BE">
        <w:rPr>
          <w:rFonts w:eastAsia="MS Mincho"/>
          <w:lang w:val="fr-FR"/>
        </w:rPr>
        <w:t xml:space="preserve">, </w:t>
      </w:r>
      <w:r>
        <w:rPr>
          <w:rFonts w:eastAsia="MS Mincho"/>
          <w:lang w:val="fr-FR"/>
        </w:rPr>
        <w:t xml:space="preserve">en tant qu’organes souverains, à inscrire des questions à l’ordre du jour. </w:t>
      </w:r>
      <w:r w:rsidR="009B0787" w:rsidRPr="009B0787">
        <w:rPr>
          <w:rFonts w:eastAsia="MS Mincho"/>
          <w:lang w:val="fr-FR"/>
        </w:rPr>
        <w:t>La question de l’</w:t>
      </w:r>
      <w:r w:rsidRPr="009B0787">
        <w:rPr>
          <w:rFonts w:eastAsia="MS Mincho"/>
          <w:lang w:val="fr-FR"/>
        </w:rPr>
        <w:t>information de séquençage numérique</w:t>
      </w:r>
      <w:r w:rsidR="00C774E5" w:rsidRPr="009B0787">
        <w:rPr>
          <w:rFonts w:eastAsia="MS Mincho"/>
          <w:lang w:val="fr-FR"/>
        </w:rPr>
        <w:t xml:space="preserve"> </w:t>
      </w:r>
      <w:r w:rsidR="009B0787" w:rsidRPr="009B0787">
        <w:rPr>
          <w:rFonts w:eastAsia="MS Mincho"/>
          <w:lang w:val="fr-FR"/>
        </w:rPr>
        <w:t>a été inscrit</w:t>
      </w:r>
      <w:r w:rsidR="009B0787">
        <w:rPr>
          <w:rFonts w:eastAsia="MS Mincho"/>
          <w:lang w:val="fr-FR"/>
        </w:rPr>
        <w:t>e</w:t>
      </w:r>
      <w:r w:rsidR="009B0787" w:rsidRPr="009B0787">
        <w:rPr>
          <w:rFonts w:eastAsia="MS Mincho"/>
          <w:lang w:val="fr-FR"/>
        </w:rPr>
        <w:t xml:space="preserve"> à l’ordre du jour par la </w:t>
      </w:r>
      <w:r w:rsidRPr="009B0787">
        <w:rPr>
          <w:rFonts w:eastAsia="MS Mincho"/>
          <w:lang w:val="fr-FR"/>
        </w:rPr>
        <w:t>Conférence des Parties</w:t>
      </w:r>
      <w:r w:rsidR="009B0787">
        <w:rPr>
          <w:rFonts w:eastAsia="MS Mincho"/>
          <w:lang w:val="fr-FR"/>
        </w:rPr>
        <w:t xml:space="preserve"> et la</w:t>
      </w:r>
      <w:r w:rsidR="00C774E5" w:rsidRPr="009B0787">
        <w:rPr>
          <w:rFonts w:eastAsia="MS Mincho"/>
          <w:lang w:val="fr-FR"/>
        </w:rPr>
        <w:t xml:space="preserve"> </w:t>
      </w:r>
      <w:r w:rsidRPr="009B0787">
        <w:rPr>
          <w:rFonts w:eastAsia="MS Mincho"/>
          <w:lang w:val="fr-FR"/>
        </w:rPr>
        <w:t xml:space="preserve">réunion </w:t>
      </w:r>
      <w:r w:rsidR="009B0787">
        <w:rPr>
          <w:rFonts w:eastAsia="MS Mincho"/>
          <w:lang w:val="fr-FR"/>
        </w:rPr>
        <w:t>des Parties au Protocole de</w:t>
      </w:r>
      <w:r w:rsidR="00C774E5" w:rsidRPr="009B0787">
        <w:rPr>
          <w:rFonts w:eastAsia="MS Mincho"/>
          <w:lang w:val="fr-FR"/>
        </w:rPr>
        <w:t xml:space="preserve"> Nagoya</w:t>
      </w:r>
      <w:r w:rsidR="009B0787">
        <w:rPr>
          <w:rFonts w:eastAsia="MS Mincho"/>
          <w:lang w:val="fr-FR"/>
        </w:rPr>
        <w:t>, et n’avait donc pas besoin d’être canalisée par un autre processus de l</w:t>
      </w:r>
      <w:r w:rsidRPr="009B0787">
        <w:rPr>
          <w:rFonts w:eastAsia="MS Mincho"/>
          <w:lang w:val="fr-FR"/>
        </w:rPr>
        <w:t>’Organe subsidiaire</w:t>
      </w:r>
      <w:r w:rsidR="00C774E5" w:rsidRPr="009B0787">
        <w:rPr>
          <w:rFonts w:eastAsia="MS Mincho"/>
          <w:lang w:val="fr-FR"/>
        </w:rPr>
        <w:t>.</w:t>
      </w:r>
    </w:p>
    <w:p w:rsidR="00C774E5" w:rsidRPr="009B0787" w:rsidRDefault="000333BE" w:rsidP="009065E1">
      <w:pPr>
        <w:pStyle w:val="Para1"/>
        <w:suppressLineNumbers/>
        <w:tabs>
          <w:tab w:val="clear" w:pos="360"/>
          <w:tab w:val="num" w:pos="720"/>
        </w:tabs>
        <w:suppressAutoHyphens/>
        <w:rPr>
          <w:rFonts w:eastAsia="MS Mincho"/>
          <w:kern w:val="22"/>
          <w:szCs w:val="22"/>
          <w:lang w:val="fr-FR"/>
        </w:rPr>
      </w:pPr>
      <w:r w:rsidRPr="009B0787">
        <w:rPr>
          <w:lang w:val="fr-FR"/>
        </w:rPr>
        <w:t>L’Organe subsidiaire</w:t>
      </w:r>
      <w:r w:rsidR="009B0787" w:rsidRPr="009B0787">
        <w:rPr>
          <w:rFonts w:eastAsia="MS Mincho"/>
          <w:lang w:val="fr-FR"/>
        </w:rPr>
        <w:t xml:space="preserve"> a poursuivi son examen du projet de recommandation révisé</w:t>
      </w:r>
      <w:r w:rsidR="00C774E5" w:rsidRPr="009B0787">
        <w:rPr>
          <w:rFonts w:eastAsia="MS Mincho"/>
          <w:lang w:val="fr-FR"/>
        </w:rPr>
        <w:t xml:space="preserve"> </w:t>
      </w:r>
      <w:r w:rsidR="009B0787">
        <w:rPr>
          <w:rFonts w:eastAsia="MS Mincho"/>
          <w:lang w:val="fr-FR"/>
        </w:rPr>
        <w:t xml:space="preserve">à </w:t>
      </w:r>
      <w:r w:rsidR="002F102A" w:rsidRPr="009B0787">
        <w:rPr>
          <w:rFonts w:eastAsia="MS Mincho"/>
          <w:lang w:val="fr-FR"/>
        </w:rPr>
        <w:t>la 13</w:t>
      </w:r>
      <w:r w:rsidR="002F102A" w:rsidRPr="009B0787">
        <w:rPr>
          <w:rFonts w:eastAsia="MS Mincho"/>
          <w:vertAlign w:val="superscript"/>
          <w:lang w:val="fr-FR"/>
        </w:rPr>
        <w:t>ème</w:t>
      </w:r>
      <w:r w:rsidR="00416B31">
        <w:rPr>
          <w:rFonts w:eastAsia="MS Mincho"/>
          <w:lang w:val="fr-FR"/>
        </w:rPr>
        <w:t> </w:t>
      </w:r>
      <w:r w:rsidR="002F102A" w:rsidRPr="009B0787">
        <w:rPr>
          <w:rFonts w:eastAsia="MS Mincho"/>
          <w:lang w:val="fr-FR"/>
        </w:rPr>
        <w:t>séance de la réunion</w:t>
      </w:r>
      <w:r w:rsidR="00C774E5" w:rsidRPr="009B0787">
        <w:rPr>
          <w:rFonts w:eastAsia="MS Mincho"/>
          <w:lang w:val="fr-FR"/>
        </w:rPr>
        <w:t xml:space="preserve">, </w:t>
      </w:r>
      <w:r w:rsidR="002F102A" w:rsidRPr="009B0787">
        <w:rPr>
          <w:rFonts w:eastAsia="MS Mincho"/>
          <w:lang w:val="fr-FR"/>
        </w:rPr>
        <w:t>le 7 juillet</w:t>
      </w:r>
      <w:r w:rsidR="00C774E5" w:rsidRPr="009B0787">
        <w:rPr>
          <w:rFonts w:eastAsia="MS Mincho"/>
          <w:lang w:val="fr-FR"/>
        </w:rPr>
        <w:t xml:space="preserve"> 2018.</w:t>
      </w:r>
    </w:p>
    <w:p w:rsidR="00C774E5" w:rsidRPr="00C94AC5" w:rsidRDefault="005E44D2" w:rsidP="009065E1">
      <w:pPr>
        <w:pStyle w:val="Para1"/>
        <w:suppressLineNumbers/>
        <w:tabs>
          <w:tab w:val="clear" w:pos="360"/>
          <w:tab w:val="num" w:pos="720"/>
        </w:tabs>
        <w:suppressAutoHyphens/>
        <w:rPr>
          <w:rFonts w:eastAsia="MS Mincho"/>
          <w:kern w:val="22"/>
          <w:szCs w:val="22"/>
          <w:lang w:val="fr-FR"/>
        </w:rPr>
      </w:pPr>
      <w:r>
        <w:rPr>
          <w:lang w:val="fr-FR"/>
        </w:rPr>
        <w:t>La</w:t>
      </w:r>
      <w:r w:rsidR="009B0787" w:rsidRPr="009B0787">
        <w:rPr>
          <w:lang w:val="fr-FR"/>
        </w:rPr>
        <w:t xml:space="preserve"> représentant</w:t>
      </w:r>
      <w:r>
        <w:rPr>
          <w:lang w:val="fr-FR"/>
        </w:rPr>
        <w:t>e</w:t>
      </w:r>
      <w:r w:rsidR="00C774E5" w:rsidRPr="009B0787">
        <w:rPr>
          <w:lang w:val="fr-FR"/>
        </w:rPr>
        <w:t xml:space="preserve"> </w:t>
      </w:r>
      <w:r w:rsidR="009B0787" w:rsidRPr="009B0787">
        <w:rPr>
          <w:lang w:val="fr-FR"/>
        </w:rPr>
        <w:t xml:space="preserve">du Mexique a fait une </w:t>
      </w:r>
      <w:r w:rsidR="009B0787">
        <w:rPr>
          <w:lang w:val="fr-FR"/>
        </w:rPr>
        <w:t>dé</w:t>
      </w:r>
      <w:r w:rsidR="009B0787" w:rsidRPr="009B0787">
        <w:rPr>
          <w:lang w:val="fr-FR"/>
        </w:rPr>
        <w:t>claration, demandant que cell</w:t>
      </w:r>
      <w:r w:rsidR="00765D1E">
        <w:rPr>
          <w:lang w:val="fr-FR"/>
        </w:rPr>
        <w:t>e-ci soit intégrée dans le rapport sur</w:t>
      </w:r>
      <w:r w:rsidR="009B0787">
        <w:rPr>
          <w:lang w:val="fr-FR"/>
        </w:rPr>
        <w:t xml:space="preserve"> la réunion</w:t>
      </w:r>
      <w:r w:rsidR="00C774E5" w:rsidRPr="009B0787">
        <w:rPr>
          <w:lang w:val="fr-FR"/>
        </w:rPr>
        <w:t xml:space="preserve">. </w:t>
      </w:r>
      <w:r w:rsidR="009B0787" w:rsidRPr="009B0787">
        <w:rPr>
          <w:lang w:val="fr-FR"/>
        </w:rPr>
        <w:t>Après avoir remercié les</w:t>
      </w:r>
      <w:r w:rsidR="00C774E5" w:rsidRPr="009B0787">
        <w:rPr>
          <w:lang w:val="fr-FR"/>
        </w:rPr>
        <w:t xml:space="preserve"> </w:t>
      </w:r>
      <w:r w:rsidR="009B0787" w:rsidRPr="009B0787">
        <w:rPr>
          <w:lang w:val="fr-FR"/>
        </w:rPr>
        <w:t>membre</w:t>
      </w:r>
      <w:r w:rsidR="00C774E5" w:rsidRPr="009B0787">
        <w:rPr>
          <w:lang w:val="fr-FR"/>
        </w:rPr>
        <w:t>s</w:t>
      </w:r>
      <w:r w:rsidR="009B0787" w:rsidRPr="009B0787">
        <w:rPr>
          <w:lang w:val="fr-FR"/>
        </w:rPr>
        <w:t xml:space="preserve"> du Groupe des pays d’Amérique latine et des Cara</w:t>
      </w:r>
      <w:r w:rsidR="000C56BD">
        <w:rPr>
          <w:lang w:val="fr-FR"/>
        </w:rPr>
        <w:t xml:space="preserve">ïbes, </w:t>
      </w:r>
      <w:r w:rsidR="009B0787" w:rsidRPr="009B0787">
        <w:rPr>
          <w:lang w:val="fr-FR"/>
        </w:rPr>
        <w:t>d’</w:t>
      </w:r>
      <w:r w:rsidR="000C56BD">
        <w:rPr>
          <w:lang w:val="fr-FR"/>
        </w:rPr>
        <w:t>Afrique et l</w:t>
      </w:r>
      <w:r w:rsidR="009B0787" w:rsidRPr="009B0787">
        <w:rPr>
          <w:lang w:val="fr-FR"/>
        </w:rPr>
        <w:t xml:space="preserve">es pays hyperdivers animés d’un même esprit </w:t>
      </w:r>
      <w:r w:rsidR="000C56BD">
        <w:rPr>
          <w:lang w:val="fr-FR"/>
        </w:rPr>
        <w:t>pour leurs efforts déployés en vue de</w:t>
      </w:r>
      <w:r w:rsidR="009B0787" w:rsidRPr="009B0787">
        <w:rPr>
          <w:lang w:val="fr-FR"/>
        </w:rPr>
        <w:t xml:space="preserve"> parvenir à un </w:t>
      </w:r>
      <w:r w:rsidR="009B0787">
        <w:rPr>
          <w:lang w:val="fr-FR"/>
        </w:rPr>
        <w:t>consensus sur une</w:t>
      </w:r>
      <w:r w:rsidR="00C774E5" w:rsidRPr="009B0787">
        <w:rPr>
          <w:lang w:val="fr-FR"/>
        </w:rPr>
        <w:t xml:space="preserve"> </w:t>
      </w:r>
      <w:r w:rsidR="000333BE" w:rsidRPr="009B0787">
        <w:rPr>
          <w:lang w:val="fr-FR"/>
        </w:rPr>
        <w:t>décision</w:t>
      </w:r>
      <w:r w:rsidR="009B0787">
        <w:rPr>
          <w:lang w:val="fr-FR"/>
        </w:rPr>
        <w:t xml:space="preserve"> concernant l’</w:t>
      </w:r>
      <w:r w:rsidR="000333BE" w:rsidRPr="009B0787">
        <w:rPr>
          <w:lang w:val="fr-FR"/>
        </w:rPr>
        <w:t>information de séquençage numérique</w:t>
      </w:r>
      <w:r w:rsidR="000C56BD">
        <w:rPr>
          <w:lang w:val="fr-FR"/>
        </w:rPr>
        <w:t xml:space="preserve"> pour</w:t>
      </w:r>
      <w:r w:rsidR="009B0787">
        <w:rPr>
          <w:lang w:val="fr-FR"/>
        </w:rPr>
        <w:t xml:space="preserve"> les</w:t>
      </w:r>
      <w:r w:rsidR="00C774E5" w:rsidRPr="009B0787">
        <w:rPr>
          <w:lang w:val="fr-FR"/>
        </w:rPr>
        <w:t xml:space="preserve"> </w:t>
      </w:r>
      <w:r w:rsidR="009B0787">
        <w:rPr>
          <w:lang w:val="fr-FR"/>
        </w:rPr>
        <w:t>ressources génétiques</w:t>
      </w:r>
      <w:r w:rsidR="00C774E5" w:rsidRPr="009B0787">
        <w:rPr>
          <w:lang w:val="fr-FR"/>
        </w:rPr>
        <w:t xml:space="preserve">, </w:t>
      </w:r>
      <w:r w:rsidR="009B0787">
        <w:rPr>
          <w:lang w:val="fr-FR"/>
        </w:rPr>
        <w:t>elle a exprimé le regret qu</w:t>
      </w:r>
      <w:r w:rsidR="000C56BD">
        <w:rPr>
          <w:lang w:val="fr-FR"/>
        </w:rPr>
        <w:t>e depuis</w:t>
      </w:r>
      <w:r w:rsidR="009B0787">
        <w:rPr>
          <w:lang w:val="fr-FR"/>
        </w:rPr>
        <w:t xml:space="preserve"> 25 an</w:t>
      </w:r>
      <w:r w:rsidR="00C774E5" w:rsidRPr="009B0787">
        <w:rPr>
          <w:lang w:val="fr-FR"/>
        </w:rPr>
        <w:t>s</w:t>
      </w:r>
      <w:r w:rsidR="009B0787">
        <w:rPr>
          <w:lang w:val="fr-FR"/>
        </w:rPr>
        <w:t>, les</w:t>
      </w:r>
      <w:r w:rsidR="00C774E5" w:rsidRPr="009B0787">
        <w:rPr>
          <w:lang w:val="fr-FR"/>
        </w:rPr>
        <w:t xml:space="preserve"> Parties </w:t>
      </w:r>
      <w:r w:rsidR="009B0787">
        <w:rPr>
          <w:lang w:val="fr-FR"/>
        </w:rPr>
        <w:t>n’étaient t</w:t>
      </w:r>
      <w:r w:rsidR="000C56BD">
        <w:rPr>
          <w:lang w:val="fr-FR"/>
        </w:rPr>
        <w:t xml:space="preserve">oujours pas parvenues à traiter </w:t>
      </w:r>
      <w:r w:rsidR="009B0787">
        <w:rPr>
          <w:lang w:val="fr-FR"/>
        </w:rPr>
        <w:t xml:space="preserve">le troisième objectif de la </w:t>
      </w:r>
      <w:r w:rsidR="00C774E5" w:rsidRPr="009B0787">
        <w:rPr>
          <w:lang w:val="fr-FR"/>
        </w:rPr>
        <w:t>Convention,</w:t>
      </w:r>
      <w:r w:rsidR="009B0787">
        <w:rPr>
          <w:lang w:val="fr-FR"/>
        </w:rPr>
        <w:t xml:space="preserve"> relatif au partage juste et équitable des avantages</w:t>
      </w:r>
      <w:r w:rsidR="00C774E5" w:rsidRPr="009B0787">
        <w:rPr>
          <w:lang w:val="fr-FR"/>
        </w:rPr>
        <w:t xml:space="preserve">. </w:t>
      </w:r>
      <w:r w:rsidR="000C56BD">
        <w:rPr>
          <w:lang w:val="fr-FR"/>
        </w:rPr>
        <w:t xml:space="preserve">Depuis </w:t>
      </w:r>
      <w:r w:rsidR="009B0787" w:rsidRPr="009B0787">
        <w:rPr>
          <w:lang w:val="fr-FR"/>
        </w:rPr>
        <w:t>l’adoption du</w:t>
      </w:r>
      <w:r w:rsidR="00C774E5" w:rsidRPr="009B0787">
        <w:rPr>
          <w:lang w:val="fr-FR"/>
        </w:rPr>
        <w:t xml:space="preserve"> </w:t>
      </w:r>
      <w:r w:rsidR="009B0787" w:rsidRPr="009B0787">
        <w:rPr>
          <w:lang w:val="fr-FR"/>
        </w:rPr>
        <w:t>Protocole de Nagoya</w:t>
      </w:r>
      <w:r w:rsidR="00C774E5" w:rsidRPr="009B0787">
        <w:rPr>
          <w:lang w:val="fr-FR"/>
        </w:rPr>
        <w:t xml:space="preserve">, 105 </w:t>
      </w:r>
      <w:r w:rsidR="009B0787" w:rsidRPr="009B0787">
        <w:rPr>
          <w:lang w:val="fr-FR"/>
        </w:rPr>
        <w:t>pays</w:t>
      </w:r>
      <w:r w:rsidR="00C774E5" w:rsidRPr="009B0787">
        <w:rPr>
          <w:lang w:val="fr-FR"/>
        </w:rPr>
        <w:t xml:space="preserve"> </w:t>
      </w:r>
      <w:r w:rsidR="009B0787" w:rsidRPr="009B0787">
        <w:rPr>
          <w:lang w:val="fr-FR"/>
        </w:rPr>
        <w:t>s’employaient déso</w:t>
      </w:r>
      <w:r w:rsidR="009B0787">
        <w:rPr>
          <w:lang w:val="fr-FR"/>
        </w:rPr>
        <w:t>rmais à transformer le troisième objectif de la</w:t>
      </w:r>
      <w:r w:rsidR="00C774E5" w:rsidRPr="009B0787">
        <w:rPr>
          <w:lang w:val="fr-FR"/>
        </w:rPr>
        <w:t xml:space="preserve"> Conve</w:t>
      </w:r>
      <w:r w:rsidR="009B0787">
        <w:rPr>
          <w:lang w:val="fr-FR"/>
        </w:rPr>
        <w:t>ntion en réalité</w:t>
      </w:r>
      <w:r w:rsidR="000C56BD">
        <w:rPr>
          <w:lang w:val="fr-FR"/>
        </w:rPr>
        <w:t xml:space="preserve"> concrète</w:t>
      </w:r>
      <w:r w:rsidR="00C774E5" w:rsidRPr="009B0787">
        <w:rPr>
          <w:lang w:val="fr-FR"/>
        </w:rPr>
        <w:t xml:space="preserve">. </w:t>
      </w:r>
      <w:r w:rsidR="009B0787">
        <w:rPr>
          <w:lang w:val="fr-FR"/>
        </w:rPr>
        <w:t>Des progrès substantiels avaient été accomplis également dans les méthodes de séquençage et la caractérisation des</w:t>
      </w:r>
      <w:r w:rsidR="00C774E5" w:rsidRPr="009B0787">
        <w:rPr>
          <w:lang w:val="fr-FR"/>
        </w:rPr>
        <w:t xml:space="preserve"> </w:t>
      </w:r>
      <w:r w:rsidR="009B0787" w:rsidRPr="009B0787">
        <w:rPr>
          <w:lang w:val="fr-FR"/>
        </w:rPr>
        <w:t>ressources génétiques</w:t>
      </w:r>
      <w:r w:rsidR="009B0787">
        <w:rPr>
          <w:lang w:val="fr-FR"/>
        </w:rPr>
        <w:t xml:space="preserve"> physiques</w:t>
      </w:r>
      <w:r w:rsidR="00C774E5" w:rsidRPr="009B0787">
        <w:rPr>
          <w:lang w:val="fr-FR"/>
        </w:rPr>
        <w:t xml:space="preserve">, </w:t>
      </w:r>
      <w:r w:rsidR="009B0787">
        <w:rPr>
          <w:lang w:val="fr-FR"/>
        </w:rPr>
        <w:t xml:space="preserve">facilitant ainsi la gestion et la </w:t>
      </w:r>
      <w:r w:rsidR="000C56BD">
        <w:rPr>
          <w:lang w:val="fr-FR"/>
        </w:rPr>
        <w:t>diffusion de l’</w:t>
      </w:r>
      <w:r w:rsidR="00C774E5" w:rsidRPr="009B0787">
        <w:rPr>
          <w:lang w:val="fr-FR"/>
        </w:rPr>
        <w:t>information</w:t>
      </w:r>
      <w:r w:rsidR="000C56BD">
        <w:rPr>
          <w:lang w:val="fr-FR"/>
        </w:rPr>
        <w:t xml:space="preserve"> </w:t>
      </w:r>
      <w:r w:rsidR="009B0787">
        <w:rPr>
          <w:lang w:val="fr-FR"/>
        </w:rPr>
        <w:t>dans différents formats, y compris numérique</w:t>
      </w:r>
      <w:r w:rsidR="00C774E5" w:rsidRPr="009B0787">
        <w:rPr>
          <w:lang w:val="fr-FR"/>
        </w:rPr>
        <w:t xml:space="preserve">. </w:t>
      </w:r>
      <w:r w:rsidR="009B0787" w:rsidRPr="009B0787">
        <w:rPr>
          <w:lang w:val="fr-FR"/>
        </w:rPr>
        <w:t>Le fait d’arguer que cette information est</w:t>
      </w:r>
      <w:r w:rsidR="000C56BD">
        <w:rPr>
          <w:lang w:val="fr-FR"/>
        </w:rPr>
        <w:t xml:space="preserve"> intangible,</w:t>
      </w:r>
      <w:r w:rsidR="00C774E5" w:rsidRPr="009B0787">
        <w:rPr>
          <w:lang w:val="fr-FR"/>
        </w:rPr>
        <w:t xml:space="preserve"> </w:t>
      </w:r>
      <w:r w:rsidR="009B0787" w:rsidRPr="009B0787">
        <w:rPr>
          <w:lang w:val="fr-FR"/>
        </w:rPr>
        <w:t>et qu’elle relève donc du domaine public et n</w:t>
      </w:r>
      <w:r w:rsidR="000C56BD">
        <w:rPr>
          <w:lang w:val="fr-FR"/>
        </w:rPr>
        <w:t xml:space="preserve">e peut </w:t>
      </w:r>
      <w:r w:rsidR="009B0787" w:rsidRPr="009B0787">
        <w:rPr>
          <w:lang w:val="fr-FR"/>
        </w:rPr>
        <w:t>faire l’objet d’un partage des avantages lorsqu</w:t>
      </w:r>
      <w:r w:rsidR="000C56BD">
        <w:rPr>
          <w:lang w:val="fr-FR"/>
        </w:rPr>
        <w:t>’elle</w:t>
      </w:r>
      <w:r w:rsidR="009B0787" w:rsidRPr="009B0787">
        <w:rPr>
          <w:lang w:val="fr-FR"/>
        </w:rPr>
        <w:t xml:space="preserve"> est utilisée à des fins commerciales</w:t>
      </w:r>
      <w:r w:rsidR="000C56BD">
        <w:rPr>
          <w:lang w:val="fr-FR"/>
        </w:rPr>
        <w:t>,</w:t>
      </w:r>
      <w:r w:rsidR="009B0787" w:rsidRPr="009B0787">
        <w:rPr>
          <w:lang w:val="fr-FR"/>
        </w:rPr>
        <w:t xml:space="preserve"> </w:t>
      </w:r>
      <w:r w:rsidR="009B0787">
        <w:rPr>
          <w:lang w:val="fr-FR"/>
        </w:rPr>
        <w:t>contribu</w:t>
      </w:r>
      <w:r w:rsidR="009B0787" w:rsidRPr="009B0787">
        <w:rPr>
          <w:lang w:val="fr-FR"/>
        </w:rPr>
        <w:t>e à affaiblir</w:t>
      </w:r>
      <w:r w:rsidR="000C56BD">
        <w:rPr>
          <w:lang w:val="fr-FR"/>
        </w:rPr>
        <w:t xml:space="preserve"> et</w:t>
      </w:r>
      <w:r w:rsidR="009B0787">
        <w:rPr>
          <w:lang w:val="fr-FR"/>
        </w:rPr>
        <w:t xml:space="preserve"> à remettre en cause la crédibilité de la </w:t>
      </w:r>
      <w:r w:rsidR="00C774E5" w:rsidRPr="009B0787">
        <w:rPr>
          <w:lang w:val="fr-FR"/>
        </w:rPr>
        <w:t xml:space="preserve">Convention. </w:t>
      </w:r>
      <w:r w:rsidR="009B0787" w:rsidRPr="009B0787">
        <w:rPr>
          <w:lang w:val="fr-FR"/>
        </w:rPr>
        <w:t>Les</w:t>
      </w:r>
      <w:r w:rsidR="00C774E5" w:rsidRPr="009B0787">
        <w:rPr>
          <w:lang w:val="fr-FR"/>
        </w:rPr>
        <w:t xml:space="preserve"> </w:t>
      </w:r>
      <w:r w:rsidR="009B0787" w:rsidRPr="009B0787">
        <w:rPr>
          <w:lang w:val="fr-FR"/>
        </w:rPr>
        <w:t xml:space="preserve">avancées </w:t>
      </w:r>
      <w:r w:rsidR="000C56BD">
        <w:rPr>
          <w:lang w:val="fr-FR"/>
        </w:rPr>
        <w:t xml:space="preserve">de la science </w:t>
      </w:r>
      <w:r w:rsidR="009B0787" w:rsidRPr="009B0787">
        <w:rPr>
          <w:lang w:val="fr-FR"/>
        </w:rPr>
        <w:t xml:space="preserve">sont nécessaires pour </w:t>
      </w:r>
      <w:r w:rsidR="00B9460E">
        <w:rPr>
          <w:lang w:val="fr-FR"/>
        </w:rPr>
        <w:t>a</w:t>
      </w:r>
      <w:r w:rsidR="009B0787" w:rsidRPr="009B0787">
        <w:rPr>
          <w:lang w:val="fr-FR"/>
        </w:rPr>
        <w:t xml:space="preserve">vancer dans la recherche sur la </w:t>
      </w:r>
      <w:r w:rsidR="009B0787">
        <w:rPr>
          <w:lang w:val="fr-FR"/>
        </w:rPr>
        <w:t>biodiversité</w:t>
      </w:r>
      <w:r w:rsidR="00C774E5" w:rsidRPr="009B0787">
        <w:rPr>
          <w:lang w:val="fr-FR"/>
        </w:rPr>
        <w:t xml:space="preserve">, </w:t>
      </w:r>
      <w:r w:rsidR="009B0787">
        <w:rPr>
          <w:lang w:val="fr-FR"/>
        </w:rPr>
        <w:t xml:space="preserve">mais il est clair que </w:t>
      </w:r>
      <w:r w:rsidR="000C56BD">
        <w:rPr>
          <w:lang w:val="fr-FR"/>
        </w:rPr>
        <w:t>les</w:t>
      </w:r>
      <w:r w:rsidR="00B9460E">
        <w:rPr>
          <w:lang w:val="fr-FR"/>
        </w:rPr>
        <w:t xml:space="preserve"> </w:t>
      </w:r>
      <w:r w:rsidR="00C774E5" w:rsidRPr="009B0787">
        <w:rPr>
          <w:lang w:val="fr-FR"/>
        </w:rPr>
        <w:t>information</w:t>
      </w:r>
      <w:r w:rsidR="000C56BD">
        <w:rPr>
          <w:lang w:val="fr-FR"/>
        </w:rPr>
        <w:t>s obtenues ont procuré des avantage</w:t>
      </w:r>
      <w:r w:rsidR="00B9460E">
        <w:rPr>
          <w:lang w:val="fr-FR"/>
        </w:rPr>
        <w:t>s à ceux qui l</w:t>
      </w:r>
      <w:r w:rsidR="000C56BD">
        <w:rPr>
          <w:lang w:val="fr-FR"/>
        </w:rPr>
        <w:t xml:space="preserve">es </w:t>
      </w:r>
      <w:r w:rsidR="00B9460E">
        <w:rPr>
          <w:lang w:val="fr-FR"/>
        </w:rPr>
        <w:t>ont utilisée</w:t>
      </w:r>
      <w:r w:rsidR="000C56BD">
        <w:rPr>
          <w:lang w:val="fr-FR"/>
        </w:rPr>
        <w:t>s pour développer</w:t>
      </w:r>
      <w:r w:rsidR="00B9460E">
        <w:rPr>
          <w:lang w:val="fr-FR"/>
        </w:rPr>
        <w:t xml:space="preserve"> des produits commerciaux. </w:t>
      </w:r>
      <w:r w:rsidR="00B9460E" w:rsidRPr="00B9460E">
        <w:rPr>
          <w:lang w:val="fr-FR"/>
        </w:rPr>
        <w:t xml:space="preserve">Certains </w:t>
      </w:r>
      <w:r w:rsidR="009B0787" w:rsidRPr="00B9460E">
        <w:rPr>
          <w:lang w:val="fr-FR"/>
        </w:rPr>
        <w:t>pays</w:t>
      </w:r>
      <w:r w:rsidR="00B9460E" w:rsidRPr="00B9460E">
        <w:rPr>
          <w:lang w:val="fr-FR"/>
        </w:rPr>
        <w:t xml:space="preserve"> ont d’ores et déjà reconnu dans leur </w:t>
      </w:r>
      <w:r w:rsidR="00B9460E">
        <w:rPr>
          <w:lang w:val="fr-FR"/>
        </w:rPr>
        <w:t>lé</w:t>
      </w:r>
      <w:r w:rsidR="00B9460E" w:rsidRPr="00B9460E">
        <w:rPr>
          <w:lang w:val="fr-FR"/>
        </w:rPr>
        <w:t xml:space="preserve">gislation nationale que l’utilisation des </w:t>
      </w:r>
      <w:r w:rsidR="009B0787" w:rsidRPr="00B9460E">
        <w:rPr>
          <w:lang w:val="fr-FR"/>
        </w:rPr>
        <w:t>ressources génétiques</w:t>
      </w:r>
      <w:r w:rsidR="00B9460E" w:rsidRPr="00B9460E">
        <w:rPr>
          <w:lang w:val="fr-FR"/>
        </w:rPr>
        <w:t xml:space="preserve"> </w:t>
      </w:r>
      <w:r w:rsidR="000C56BD">
        <w:rPr>
          <w:lang w:val="fr-FR"/>
        </w:rPr>
        <w:t xml:space="preserve">comprenait </w:t>
      </w:r>
      <w:r w:rsidR="00B9460E" w:rsidRPr="00B9460E">
        <w:rPr>
          <w:lang w:val="fr-FR"/>
        </w:rPr>
        <w:t>l’utilisation de l</w:t>
      </w:r>
      <w:r w:rsidR="00B9460E">
        <w:rPr>
          <w:lang w:val="fr-FR"/>
        </w:rPr>
        <w:t>’</w:t>
      </w:r>
      <w:r w:rsidR="00C774E5" w:rsidRPr="00B9460E">
        <w:rPr>
          <w:lang w:val="fr-FR"/>
        </w:rPr>
        <w:t>informa</w:t>
      </w:r>
      <w:r w:rsidR="000C56BD">
        <w:rPr>
          <w:lang w:val="fr-FR"/>
        </w:rPr>
        <w:t>tion résultant de l’</w:t>
      </w:r>
      <w:r w:rsidR="00B9460E">
        <w:rPr>
          <w:lang w:val="fr-FR"/>
        </w:rPr>
        <w:t>accès à ces ressources génétiques, et que lorsque cette information était utilisée à des fins co</w:t>
      </w:r>
      <w:r w:rsidR="000C56BD">
        <w:rPr>
          <w:lang w:val="fr-FR"/>
        </w:rPr>
        <w:t>mmerciales, les avantages procuré</w:t>
      </w:r>
      <w:r w:rsidR="00B9460E">
        <w:rPr>
          <w:lang w:val="fr-FR"/>
        </w:rPr>
        <w:t xml:space="preserve">s devaient être partagés. </w:t>
      </w:r>
      <w:r w:rsidR="00B9460E" w:rsidRPr="00B9460E">
        <w:rPr>
          <w:lang w:val="fr-FR"/>
        </w:rPr>
        <w:t>Ces pays ont reconnu également qu’</w:t>
      </w:r>
      <w:r w:rsidR="000C56BD">
        <w:rPr>
          <w:lang w:val="fr-FR"/>
        </w:rPr>
        <w:t>il subsiste des lacunes dans la question traitée, nécessita</w:t>
      </w:r>
      <w:r w:rsidR="00B9460E" w:rsidRPr="00B9460E">
        <w:rPr>
          <w:lang w:val="fr-FR"/>
        </w:rPr>
        <w:t xml:space="preserve">nt d’être comblées dans le cadre de la </w:t>
      </w:r>
      <w:r w:rsidR="00B9460E">
        <w:rPr>
          <w:lang w:val="fr-FR"/>
        </w:rPr>
        <w:t>Convention et du</w:t>
      </w:r>
      <w:r w:rsidR="00C774E5" w:rsidRPr="00B9460E">
        <w:rPr>
          <w:lang w:val="fr-FR"/>
        </w:rPr>
        <w:t xml:space="preserve"> Protocol</w:t>
      </w:r>
      <w:r w:rsidR="00B9460E">
        <w:rPr>
          <w:lang w:val="fr-FR"/>
        </w:rPr>
        <w:t>e</w:t>
      </w:r>
      <w:r w:rsidR="00C774E5" w:rsidRPr="00B9460E">
        <w:rPr>
          <w:lang w:val="fr-FR"/>
        </w:rPr>
        <w:t xml:space="preserve">. </w:t>
      </w:r>
      <w:r w:rsidR="00B9460E" w:rsidRPr="00B9460E">
        <w:rPr>
          <w:lang w:val="fr-FR"/>
        </w:rPr>
        <w:t>Le déchiffrage du génome constitue une avancée pour la science, mais des éclaircissements doivent être apportés concernant l’</w:t>
      </w:r>
      <w:r w:rsidR="00C774E5" w:rsidRPr="00B9460E">
        <w:rPr>
          <w:lang w:val="fr-FR"/>
        </w:rPr>
        <w:t xml:space="preserve">intention </w:t>
      </w:r>
      <w:r w:rsidR="00B9460E">
        <w:rPr>
          <w:lang w:val="fr-FR"/>
        </w:rPr>
        <w:t>ou non d’utiliser cette</w:t>
      </w:r>
      <w:r w:rsidR="00C774E5" w:rsidRPr="00B9460E">
        <w:rPr>
          <w:lang w:val="fr-FR"/>
        </w:rPr>
        <w:t xml:space="preserve"> information </w:t>
      </w:r>
      <w:r w:rsidR="000C56BD">
        <w:rPr>
          <w:lang w:val="fr-FR"/>
        </w:rPr>
        <w:t>pour fabriquer</w:t>
      </w:r>
      <w:r w:rsidR="00B9460E">
        <w:rPr>
          <w:lang w:val="fr-FR"/>
        </w:rPr>
        <w:t xml:space="preserve"> des médicaments ou </w:t>
      </w:r>
      <w:r w:rsidR="000C56BD">
        <w:rPr>
          <w:lang w:val="fr-FR"/>
        </w:rPr>
        <w:t>des traitements médicamenteux</w:t>
      </w:r>
      <w:r w:rsidR="00B9460E">
        <w:rPr>
          <w:lang w:val="fr-FR"/>
        </w:rPr>
        <w:t xml:space="preserve"> à des fins commerciales qui profitent à l’humanité toute entière</w:t>
      </w:r>
      <w:r w:rsidR="00C774E5" w:rsidRPr="00B9460E">
        <w:rPr>
          <w:lang w:val="fr-FR"/>
        </w:rPr>
        <w:t xml:space="preserve">. </w:t>
      </w:r>
      <w:r w:rsidR="00B9460E" w:rsidRPr="00B9460E">
        <w:rPr>
          <w:lang w:val="fr-FR"/>
        </w:rPr>
        <w:t xml:space="preserve">Conformément à leur engagement mondial pris dans le cadre du </w:t>
      </w:r>
      <w:r w:rsidR="00B9460E" w:rsidRPr="00B9460E">
        <w:rPr>
          <w:lang w:val="fr-FR"/>
        </w:rPr>
        <w:lastRenderedPageBreak/>
        <w:t xml:space="preserve">Programme de développement durable à l’horizon </w:t>
      </w:r>
      <w:r w:rsidR="00C774E5" w:rsidRPr="00B9460E">
        <w:rPr>
          <w:lang w:val="fr-FR"/>
        </w:rPr>
        <w:t>2030</w:t>
      </w:r>
      <w:r w:rsidR="00B9460E" w:rsidRPr="00B9460E">
        <w:rPr>
          <w:lang w:val="fr-FR"/>
        </w:rPr>
        <w:t xml:space="preserve"> et en particulier</w:t>
      </w:r>
      <w:r w:rsidR="000C56BD">
        <w:rPr>
          <w:lang w:val="fr-FR"/>
        </w:rPr>
        <w:t>,</w:t>
      </w:r>
      <w:r w:rsidR="00B9460E" w:rsidRPr="00B9460E">
        <w:rPr>
          <w:lang w:val="fr-FR"/>
        </w:rPr>
        <w:t xml:space="preserve"> </w:t>
      </w:r>
      <w:r w:rsidR="00EF0C1F">
        <w:rPr>
          <w:lang w:val="fr-FR"/>
        </w:rPr>
        <w:t>de l’Objectif</w:t>
      </w:r>
      <w:r w:rsidR="00B9460E">
        <w:rPr>
          <w:lang w:val="fr-FR"/>
        </w:rPr>
        <w:t xml:space="preserve"> de développement durable</w:t>
      </w:r>
      <w:r w:rsidR="000C56BD">
        <w:rPr>
          <w:lang w:val="fr-FR"/>
        </w:rPr>
        <w:t xml:space="preserve"> 8, « </w:t>
      </w:r>
      <w:r w:rsidR="00EF0C1F">
        <w:rPr>
          <w:lang w:val="fr-FR"/>
        </w:rPr>
        <w:t xml:space="preserve">Travail </w:t>
      </w:r>
      <w:r w:rsidR="000C56BD">
        <w:rPr>
          <w:lang w:val="fr-FR"/>
        </w:rPr>
        <w:t>adéqua</w:t>
      </w:r>
      <w:r w:rsidR="00EF0C1F">
        <w:rPr>
          <w:lang w:val="fr-FR"/>
        </w:rPr>
        <w:t>t et croissance économique</w:t>
      </w:r>
      <w:r w:rsidR="000C56BD">
        <w:rPr>
          <w:lang w:val="fr-FR"/>
        </w:rPr>
        <w:t> »</w:t>
      </w:r>
      <w:r w:rsidR="00C774E5" w:rsidRPr="00B9460E">
        <w:rPr>
          <w:lang w:val="fr-FR"/>
        </w:rPr>
        <w:t xml:space="preserve">, </w:t>
      </w:r>
      <w:r w:rsidR="00EF0C1F">
        <w:rPr>
          <w:lang w:val="fr-FR"/>
        </w:rPr>
        <w:t xml:space="preserve">les </w:t>
      </w:r>
      <w:r w:rsidR="00C774E5" w:rsidRPr="00B9460E">
        <w:rPr>
          <w:lang w:val="fr-FR"/>
        </w:rPr>
        <w:t xml:space="preserve">Parties </w:t>
      </w:r>
      <w:r w:rsidR="00EF0C1F">
        <w:rPr>
          <w:lang w:val="fr-FR"/>
        </w:rPr>
        <w:t>devaient promouvoir le développement de la</w:t>
      </w:r>
      <w:r w:rsidR="00C774E5" w:rsidRPr="00B9460E">
        <w:rPr>
          <w:lang w:val="fr-FR"/>
        </w:rPr>
        <w:t xml:space="preserve"> bio</w:t>
      </w:r>
      <w:r w:rsidR="00EF0C1F">
        <w:rPr>
          <w:lang w:val="fr-FR"/>
        </w:rPr>
        <w:t>-économie</w:t>
      </w:r>
      <w:r w:rsidR="00C774E5" w:rsidRPr="00B9460E">
        <w:rPr>
          <w:lang w:val="fr-FR"/>
        </w:rPr>
        <w:t xml:space="preserve">, </w:t>
      </w:r>
      <w:r w:rsidR="00EF0C1F">
        <w:rPr>
          <w:lang w:val="fr-FR"/>
        </w:rPr>
        <w:t>laque</w:t>
      </w:r>
      <w:r w:rsidR="000C56BD">
        <w:rPr>
          <w:lang w:val="fr-FR"/>
        </w:rPr>
        <w:t>lle, dans de nombreux cas, est</w:t>
      </w:r>
      <w:r w:rsidR="00EF0C1F">
        <w:rPr>
          <w:lang w:val="fr-FR"/>
        </w:rPr>
        <w:t xml:space="preserve"> basée sur la recherche et développement dans le domaine des </w:t>
      </w:r>
      <w:r w:rsidR="009B0787" w:rsidRPr="00B9460E">
        <w:rPr>
          <w:lang w:val="fr-FR"/>
        </w:rPr>
        <w:t>ressources génétiques</w:t>
      </w:r>
      <w:r w:rsidR="000C56BD">
        <w:rPr>
          <w:lang w:val="fr-FR"/>
        </w:rPr>
        <w:t xml:space="preserve"> et </w:t>
      </w:r>
      <w:r w:rsidR="00EF0C1F">
        <w:rPr>
          <w:lang w:val="fr-FR"/>
        </w:rPr>
        <w:t>leur</w:t>
      </w:r>
      <w:r w:rsidR="00C774E5" w:rsidRPr="00B9460E">
        <w:rPr>
          <w:lang w:val="fr-FR"/>
        </w:rPr>
        <w:t xml:space="preserve"> information. </w:t>
      </w:r>
      <w:r w:rsidR="00EF0C1F" w:rsidRPr="00EF0C1F">
        <w:rPr>
          <w:lang w:val="fr-FR"/>
        </w:rPr>
        <w:t xml:space="preserve">Les </w:t>
      </w:r>
      <w:r w:rsidR="00C774E5" w:rsidRPr="00EF0C1F">
        <w:rPr>
          <w:lang w:val="fr-FR"/>
        </w:rPr>
        <w:t>Parties</w:t>
      </w:r>
      <w:r w:rsidR="000C56BD">
        <w:rPr>
          <w:lang w:val="fr-FR"/>
        </w:rPr>
        <w:t xml:space="preserve"> doive</w:t>
      </w:r>
      <w:r w:rsidR="00EF0C1F" w:rsidRPr="00EF0C1F">
        <w:rPr>
          <w:lang w:val="fr-FR"/>
        </w:rPr>
        <w:t>nt aussi s’acquitter de leur responsabilité éthique et so</w:t>
      </w:r>
      <w:r w:rsidR="000C56BD">
        <w:rPr>
          <w:lang w:val="fr-FR"/>
        </w:rPr>
        <w:t>ciale de distribuer les avantage</w:t>
      </w:r>
      <w:r w:rsidR="00EF0C1F" w:rsidRPr="00EF0C1F">
        <w:rPr>
          <w:lang w:val="fr-FR"/>
        </w:rPr>
        <w:t>s</w:t>
      </w:r>
      <w:r w:rsidR="000C56BD">
        <w:rPr>
          <w:lang w:val="fr-FR"/>
        </w:rPr>
        <w:t xml:space="preserve"> retirés</w:t>
      </w:r>
      <w:r w:rsidR="00EF0C1F" w:rsidRPr="00EF0C1F">
        <w:rPr>
          <w:lang w:val="fr-FR"/>
        </w:rPr>
        <w:t xml:space="preserve"> aux </w:t>
      </w:r>
      <w:r w:rsidR="000C56BD">
        <w:rPr>
          <w:lang w:val="fr-FR"/>
        </w:rPr>
        <w:t>détenteurs</w:t>
      </w:r>
      <w:r w:rsidR="00EF0C1F">
        <w:rPr>
          <w:lang w:val="fr-FR"/>
        </w:rPr>
        <w:t xml:space="preserve"> et fournisseurs des </w:t>
      </w:r>
      <w:r w:rsidR="009B0787" w:rsidRPr="00EF0C1F">
        <w:rPr>
          <w:lang w:val="fr-FR"/>
        </w:rPr>
        <w:t>ressources génétiques</w:t>
      </w:r>
      <w:r w:rsidR="00C774E5" w:rsidRPr="00EF0C1F">
        <w:rPr>
          <w:lang w:val="fr-FR"/>
        </w:rPr>
        <w:t xml:space="preserve">. </w:t>
      </w:r>
      <w:r w:rsidR="00EF0C1F" w:rsidRPr="00C94AC5">
        <w:rPr>
          <w:lang w:val="fr-FR"/>
        </w:rPr>
        <w:t>La</w:t>
      </w:r>
      <w:r w:rsidR="00C774E5" w:rsidRPr="00C94AC5">
        <w:rPr>
          <w:lang w:val="fr-FR"/>
        </w:rPr>
        <w:t xml:space="preserve"> </w:t>
      </w:r>
      <w:r w:rsidR="00EF0C1F" w:rsidRPr="00C94AC5">
        <w:rPr>
          <w:lang w:val="fr-FR"/>
        </w:rPr>
        <w:t>communau</w:t>
      </w:r>
      <w:r w:rsidR="000C56BD">
        <w:rPr>
          <w:lang w:val="fr-FR"/>
        </w:rPr>
        <w:t xml:space="preserve">té mondiale qui promeut </w:t>
      </w:r>
      <w:r w:rsidR="00C94AC5" w:rsidRPr="00C94AC5">
        <w:rPr>
          <w:lang w:val="fr-FR"/>
        </w:rPr>
        <w:t xml:space="preserve">le </w:t>
      </w:r>
      <w:r w:rsidR="00C774E5" w:rsidRPr="00C94AC5">
        <w:rPr>
          <w:lang w:val="fr-FR"/>
        </w:rPr>
        <w:t xml:space="preserve"> </w:t>
      </w:r>
      <w:r w:rsidR="00C94AC5" w:rsidRPr="00C94AC5">
        <w:rPr>
          <w:lang w:val="fr-FR"/>
        </w:rPr>
        <w:t>développement durable</w:t>
      </w:r>
      <w:r w:rsidR="00C774E5" w:rsidRPr="00C94AC5">
        <w:rPr>
          <w:lang w:val="fr-FR"/>
        </w:rPr>
        <w:t xml:space="preserve"> </w:t>
      </w:r>
      <w:r w:rsidR="000C56BD">
        <w:rPr>
          <w:lang w:val="fr-FR"/>
        </w:rPr>
        <w:t>doit</w:t>
      </w:r>
      <w:r w:rsidR="00C94AC5" w:rsidRPr="00C94AC5">
        <w:rPr>
          <w:lang w:val="fr-FR"/>
        </w:rPr>
        <w:t xml:space="preserve"> trouver un équilibre entre les droits souverains des Parties et les</w:t>
      </w:r>
      <w:r w:rsidR="00C94AC5">
        <w:rPr>
          <w:lang w:val="fr-FR"/>
        </w:rPr>
        <w:t xml:space="preserve"> avancées de la biotechnologie à des fins commerciale</w:t>
      </w:r>
      <w:r w:rsidR="00C774E5" w:rsidRPr="00C94AC5">
        <w:rPr>
          <w:lang w:val="fr-FR"/>
        </w:rPr>
        <w:t xml:space="preserve">s. </w:t>
      </w:r>
      <w:r w:rsidR="00C94AC5" w:rsidRPr="00C94AC5">
        <w:rPr>
          <w:lang w:val="fr-FR"/>
        </w:rPr>
        <w:t>Il est regrettable que les visions des progrès</w:t>
      </w:r>
      <w:r w:rsidR="000C56BD">
        <w:rPr>
          <w:lang w:val="fr-FR"/>
        </w:rPr>
        <w:t xml:space="preserve"> accomplis</w:t>
      </w:r>
      <w:r w:rsidR="00C94AC5" w:rsidRPr="00C94AC5">
        <w:rPr>
          <w:lang w:val="fr-FR"/>
        </w:rPr>
        <w:t xml:space="preserve"> aient été basées uniquement sur les intér</w:t>
      </w:r>
      <w:r>
        <w:rPr>
          <w:lang w:val="fr-FR"/>
        </w:rPr>
        <w:t>êts économiques ; c’est la raison pour laquelle il n’a pas été possible de parvenir à</w:t>
      </w:r>
      <w:r w:rsidR="00C94AC5">
        <w:rPr>
          <w:lang w:val="fr-FR"/>
        </w:rPr>
        <w:t xml:space="preserve"> consensus sur une</w:t>
      </w:r>
      <w:r w:rsidR="009B0787" w:rsidRPr="00C94AC5">
        <w:rPr>
          <w:lang w:val="fr-FR"/>
        </w:rPr>
        <w:t xml:space="preserve"> question</w:t>
      </w:r>
      <w:r w:rsidR="00C774E5" w:rsidRPr="00C94AC5">
        <w:rPr>
          <w:lang w:val="fr-FR"/>
        </w:rPr>
        <w:t xml:space="preserve"> </w:t>
      </w:r>
      <w:r>
        <w:rPr>
          <w:lang w:val="fr-FR"/>
        </w:rPr>
        <w:t>aussi importante</w:t>
      </w:r>
      <w:r w:rsidR="00C94AC5">
        <w:rPr>
          <w:lang w:val="fr-FR"/>
        </w:rPr>
        <w:t>. On trouve d</w:t>
      </w:r>
      <w:r>
        <w:rPr>
          <w:lang w:val="fr-FR"/>
        </w:rPr>
        <w:t>es éléments très</w:t>
      </w:r>
      <w:r w:rsidR="00C94AC5">
        <w:rPr>
          <w:lang w:val="fr-FR"/>
        </w:rPr>
        <w:t xml:space="preserve"> utiles dans le </w:t>
      </w:r>
      <w:r>
        <w:rPr>
          <w:lang w:val="fr-FR"/>
        </w:rPr>
        <w:t>document concernant le travail</w:t>
      </w:r>
      <w:r w:rsidR="00C94AC5" w:rsidRPr="00C94AC5">
        <w:rPr>
          <w:lang w:val="fr-FR"/>
        </w:rPr>
        <w:t xml:space="preserve"> constructif</w:t>
      </w:r>
      <w:r>
        <w:rPr>
          <w:lang w:val="fr-FR"/>
        </w:rPr>
        <w:t xml:space="preserve"> mené</w:t>
      </w:r>
      <w:r w:rsidR="00C94AC5" w:rsidRPr="00C94AC5">
        <w:rPr>
          <w:lang w:val="fr-FR"/>
        </w:rPr>
        <w:t xml:space="preserve">, y compris la reconnaissance d’une </w:t>
      </w:r>
      <w:r>
        <w:rPr>
          <w:lang w:val="fr-FR"/>
        </w:rPr>
        <w:t>distribu</w:t>
      </w:r>
      <w:r w:rsidR="00C94AC5">
        <w:rPr>
          <w:lang w:val="fr-FR"/>
        </w:rPr>
        <w:t>tion des</w:t>
      </w:r>
      <w:r>
        <w:rPr>
          <w:lang w:val="fr-FR"/>
        </w:rPr>
        <w:t xml:space="preserve"> avantage</w:t>
      </w:r>
      <w:r w:rsidR="00C94AC5">
        <w:rPr>
          <w:lang w:val="fr-FR"/>
        </w:rPr>
        <w:t>s résultant de l’utilisation commerciale de l’</w:t>
      </w:r>
      <w:r w:rsidR="000333BE" w:rsidRPr="00C94AC5">
        <w:rPr>
          <w:lang w:val="fr-FR"/>
        </w:rPr>
        <w:t>information de séquençage numérique</w:t>
      </w:r>
      <w:r w:rsidR="00C94AC5">
        <w:rPr>
          <w:lang w:val="fr-FR"/>
        </w:rPr>
        <w:t>, la traçabilité de ces avantages</w:t>
      </w:r>
      <w:r>
        <w:rPr>
          <w:lang w:val="fr-FR"/>
        </w:rPr>
        <w:t>,</w:t>
      </w:r>
      <w:r w:rsidR="00C94AC5">
        <w:rPr>
          <w:lang w:val="fr-FR"/>
        </w:rPr>
        <w:t xml:space="preserve"> et</w:t>
      </w:r>
      <w:r>
        <w:rPr>
          <w:lang w:val="fr-FR"/>
        </w:rPr>
        <w:t xml:space="preserve"> la reconnaissance consacrée par</w:t>
      </w:r>
      <w:r w:rsidR="00C94AC5">
        <w:rPr>
          <w:lang w:val="fr-FR"/>
        </w:rPr>
        <w:t xml:space="preserve"> certains </w:t>
      </w:r>
      <w:r w:rsidR="009B0787" w:rsidRPr="00C94AC5">
        <w:rPr>
          <w:lang w:val="fr-FR"/>
        </w:rPr>
        <w:t>pays</w:t>
      </w:r>
      <w:r>
        <w:rPr>
          <w:lang w:val="fr-FR"/>
        </w:rPr>
        <w:t xml:space="preserve"> dans leur</w:t>
      </w:r>
      <w:r w:rsidR="00C94AC5">
        <w:rPr>
          <w:lang w:val="fr-FR"/>
        </w:rPr>
        <w:t xml:space="preserve"> lé</w:t>
      </w:r>
      <w:r w:rsidR="00C774E5" w:rsidRPr="00C94AC5">
        <w:rPr>
          <w:lang w:val="fr-FR"/>
        </w:rPr>
        <w:t>gislation</w:t>
      </w:r>
      <w:r w:rsidR="00C94AC5">
        <w:rPr>
          <w:lang w:val="fr-FR"/>
        </w:rPr>
        <w:t xml:space="preserve"> nationale</w:t>
      </w:r>
      <w:r w:rsidR="00C774E5" w:rsidRPr="00C94AC5">
        <w:rPr>
          <w:lang w:val="fr-FR"/>
        </w:rPr>
        <w:t xml:space="preserve">. </w:t>
      </w:r>
      <w:r>
        <w:rPr>
          <w:lang w:val="fr-FR"/>
        </w:rPr>
        <w:t>La représentante</w:t>
      </w:r>
      <w:r w:rsidR="00C94AC5" w:rsidRPr="00C94AC5">
        <w:rPr>
          <w:lang w:val="fr-FR"/>
        </w:rPr>
        <w:t xml:space="preserve"> a de</w:t>
      </w:r>
      <w:r>
        <w:rPr>
          <w:lang w:val="fr-FR"/>
        </w:rPr>
        <w:t xml:space="preserve">mandé aux Parties d’œuvrer </w:t>
      </w:r>
      <w:r w:rsidR="00C94AC5" w:rsidRPr="00C94AC5">
        <w:rPr>
          <w:lang w:val="fr-FR"/>
        </w:rPr>
        <w:t>de manière constructive sur cette</w:t>
      </w:r>
      <w:r w:rsidR="009B0787" w:rsidRPr="00C94AC5">
        <w:rPr>
          <w:lang w:val="fr-FR"/>
        </w:rPr>
        <w:t xml:space="preserve"> question</w:t>
      </w:r>
      <w:r w:rsidR="00C774E5" w:rsidRPr="00C94AC5">
        <w:rPr>
          <w:lang w:val="fr-FR"/>
        </w:rPr>
        <w:t xml:space="preserve"> </w:t>
      </w:r>
      <w:r w:rsidR="00C94AC5">
        <w:rPr>
          <w:lang w:val="fr-FR"/>
        </w:rPr>
        <w:t>avant la réunion qui se tiendra en</w:t>
      </w:r>
      <w:r w:rsidR="00C774E5" w:rsidRPr="00C94AC5">
        <w:rPr>
          <w:lang w:val="fr-FR"/>
        </w:rPr>
        <w:t xml:space="preserve"> Egypt</w:t>
      </w:r>
      <w:r w:rsidR="00C94AC5">
        <w:rPr>
          <w:lang w:val="fr-FR"/>
        </w:rPr>
        <w:t>e, pour faire en sorte que ce document devienne une</w:t>
      </w:r>
      <w:r w:rsidR="00C774E5" w:rsidRPr="00C94AC5">
        <w:rPr>
          <w:lang w:val="fr-FR"/>
        </w:rPr>
        <w:t xml:space="preserve"> </w:t>
      </w:r>
      <w:r w:rsidR="000333BE" w:rsidRPr="00C94AC5">
        <w:rPr>
          <w:lang w:val="fr-FR"/>
        </w:rPr>
        <w:t>décision</w:t>
      </w:r>
      <w:r w:rsidR="00C94AC5">
        <w:rPr>
          <w:lang w:val="fr-FR"/>
        </w:rPr>
        <w:t xml:space="preserve"> de la</w:t>
      </w:r>
      <w:r w:rsidR="00C774E5" w:rsidRPr="00C94AC5">
        <w:rPr>
          <w:lang w:val="fr-FR"/>
        </w:rPr>
        <w:t xml:space="preserve"> </w:t>
      </w:r>
      <w:r w:rsidR="000333BE" w:rsidRPr="00C94AC5">
        <w:rPr>
          <w:lang w:val="fr-FR"/>
        </w:rPr>
        <w:t>Conférence des Parties</w:t>
      </w:r>
      <w:r w:rsidR="00C774E5" w:rsidRPr="00C94AC5">
        <w:rPr>
          <w:lang w:val="fr-FR"/>
        </w:rPr>
        <w:t xml:space="preserve">, </w:t>
      </w:r>
      <w:r w:rsidR="00C94AC5">
        <w:rPr>
          <w:lang w:val="fr-FR"/>
        </w:rPr>
        <w:t xml:space="preserve">comprenant une feuille de route qui aidera toutes les </w:t>
      </w:r>
      <w:r w:rsidR="00C774E5" w:rsidRPr="00C94AC5">
        <w:rPr>
          <w:lang w:val="fr-FR"/>
        </w:rPr>
        <w:t>Parties.</w:t>
      </w:r>
    </w:p>
    <w:p w:rsidR="00C774E5" w:rsidRPr="00EF0C1F" w:rsidRDefault="00EF0C1F" w:rsidP="00C774E5">
      <w:pPr>
        <w:pStyle w:val="Para1"/>
        <w:suppressLineNumbers/>
        <w:tabs>
          <w:tab w:val="clear" w:pos="360"/>
          <w:tab w:val="num" w:pos="720"/>
        </w:tabs>
        <w:suppressAutoHyphens/>
        <w:rPr>
          <w:rFonts w:eastAsia="MS Mincho"/>
          <w:kern w:val="22"/>
          <w:szCs w:val="22"/>
          <w:lang w:val="fr-FR"/>
        </w:rPr>
      </w:pPr>
      <w:r w:rsidRPr="00EF0C1F">
        <w:rPr>
          <w:szCs w:val="22"/>
          <w:lang w:val="fr-FR"/>
        </w:rPr>
        <w:t>L</w:t>
      </w:r>
      <w:r w:rsidR="00C774E5" w:rsidRPr="00EF0C1F">
        <w:rPr>
          <w:szCs w:val="22"/>
          <w:lang w:val="fr-FR"/>
        </w:rPr>
        <w:t xml:space="preserve">e </w:t>
      </w:r>
      <w:r w:rsidR="009B0787" w:rsidRPr="00EF0C1F">
        <w:rPr>
          <w:lang w:val="fr-FR"/>
        </w:rPr>
        <w:t>représentant</w:t>
      </w:r>
      <w:r w:rsidRPr="00EF0C1F">
        <w:rPr>
          <w:szCs w:val="22"/>
          <w:lang w:val="fr-FR"/>
        </w:rPr>
        <w:t xml:space="preserve"> du Camerou</w:t>
      </w:r>
      <w:r w:rsidR="00C774E5" w:rsidRPr="00EF0C1F">
        <w:rPr>
          <w:szCs w:val="22"/>
          <w:lang w:val="fr-FR"/>
        </w:rPr>
        <w:t xml:space="preserve">n </w:t>
      </w:r>
      <w:r w:rsidRPr="00EF0C1F">
        <w:rPr>
          <w:szCs w:val="22"/>
          <w:lang w:val="fr-FR"/>
        </w:rPr>
        <w:t xml:space="preserve">a fait une </w:t>
      </w:r>
      <w:r>
        <w:rPr>
          <w:szCs w:val="22"/>
          <w:lang w:val="fr-FR"/>
        </w:rPr>
        <w:t>dé</w:t>
      </w:r>
      <w:r w:rsidRPr="00EF0C1F">
        <w:rPr>
          <w:szCs w:val="22"/>
          <w:lang w:val="fr-FR"/>
        </w:rPr>
        <w:t>claration au nom du Groupe des pays d’Afrique, demanda</w:t>
      </w:r>
      <w:r w:rsidR="00BD3EA7">
        <w:rPr>
          <w:szCs w:val="22"/>
          <w:lang w:val="fr-FR"/>
        </w:rPr>
        <w:t xml:space="preserve">nt que celle-ci soit intégrée dans le rapport sur </w:t>
      </w:r>
      <w:r w:rsidRPr="00EF0C1F">
        <w:rPr>
          <w:szCs w:val="22"/>
          <w:lang w:val="fr-FR"/>
        </w:rPr>
        <w:t>la réunion</w:t>
      </w:r>
      <w:r>
        <w:rPr>
          <w:szCs w:val="22"/>
          <w:lang w:val="fr-FR"/>
        </w:rPr>
        <w:t xml:space="preserve">. </w:t>
      </w:r>
      <w:r w:rsidRPr="00EF0C1F">
        <w:rPr>
          <w:szCs w:val="22"/>
          <w:lang w:val="fr-FR"/>
        </w:rPr>
        <w:t>Le</w:t>
      </w:r>
      <w:r w:rsidR="00C774E5" w:rsidRPr="00EF0C1F">
        <w:rPr>
          <w:szCs w:val="22"/>
          <w:lang w:val="fr-FR"/>
        </w:rPr>
        <w:t xml:space="preserve"> text</w:t>
      </w:r>
      <w:r w:rsidRPr="00EF0C1F">
        <w:rPr>
          <w:szCs w:val="22"/>
          <w:lang w:val="fr-FR"/>
        </w:rPr>
        <w:t xml:space="preserve">e de la </w:t>
      </w:r>
      <w:r>
        <w:rPr>
          <w:szCs w:val="22"/>
          <w:lang w:val="fr-FR"/>
        </w:rPr>
        <w:t>dé</w:t>
      </w:r>
      <w:r w:rsidR="00BD3EA7">
        <w:rPr>
          <w:szCs w:val="22"/>
          <w:lang w:val="fr-FR"/>
        </w:rPr>
        <w:t>claration est le suivant</w:t>
      </w:r>
      <w:r w:rsidR="00C774E5" w:rsidRPr="00EF0C1F">
        <w:rPr>
          <w:szCs w:val="22"/>
          <w:lang w:val="fr-FR"/>
        </w:rPr>
        <w:t>:</w:t>
      </w:r>
    </w:p>
    <w:p w:rsidR="00C774E5" w:rsidRPr="00416B31" w:rsidRDefault="00416B31" w:rsidP="00C774E5">
      <w:pPr>
        <w:pStyle w:val="Para1"/>
        <w:numPr>
          <w:ilvl w:val="0"/>
          <w:numId w:val="0"/>
        </w:numPr>
        <w:suppressLineNumbers/>
        <w:suppressAutoHyphens/>
        <w:ind w:left="709"/>
        <w:rPr>
          <w:rFonts w:eastAsia="MS Mincho"/>
          <w:kern w:val="22"/>
          <w:szCs w:val="22"/>
          <w:lang w:val="fr-FR"/>
        </w:rPr>
      </w:pPr>
      <w:r>
        <w:rPr>
          <w:lang w:val="fr-FR"/>
        </w:rPr>
        <w:t>« </w:t>
      </w:r>
      <w:r w:rsidR="00645E6C" w:rsidRPr="00645E6C">
        <w:rPr>
          <w:lang w:val="fr-FR"/>
        </w:rPr>
        <w:t>L’Afrique souhaite remercier toutes les Part</w:t>
      </w:r>
      <w:r w:rsidR="00645E6C">
        <w:rPr>
          <w:lang w:val="fr-FR"/>
        </w:rPr>
        <w:t xml:space="preserve">ies qui se sont penchées sur la </w:t>
      </w:r>
      <w:r w:rsidR="009B0787" w:rsidRPr="00645E6C">
        <w:rPr>
          <w:lang w:val="fr-FR"/>
        </w:rPr>
        <w:t>question</w:t>
      </w:r>
      <w:r w:rsidR="00645E6C">
        <w:rPr>
          <w:lang w:val="fr-FR"/>
        </w:rPr>
        <w:t xml:space="preserve"> de l’</w:t>
      </w:r>
      <w:r w:rsidR="000333BE" w:rsidRPr="00645E6C">
        <w:rPr>
          <w:lang w:val="fr-FR"/>
        </w:rPr>
        <w:t>information de séquençage numérique</w:t>
      </w:r>
      <w:r>
        <w:rPr>
          <w:lang w:val="fr-FR"/>
        </w:rPr>
        <w:t xml:space="preserve"> générée par le</w:t>
      </w:r>
      <w:r w:rsidR="00645E6C">
        <w:rPr>
          <w:lang w:val="fr-FR"/>
        </w:rPr>
        <w:t>s</w:t>
      </w:r>
      <w:r w:rsidR="00C774E5" w:rsidRPr="00645E6C">
        <w:rPr>
          <w:lang w:val="fr-FR"/>
        </w:rPr>
        <w:t xml:space="preserve"> </w:t>
      </w:r>
      <w:r w:rsidR="009B0787" w:rsidRPr="00645E6C">
        <w:rPr>
          <w:lang w:val="fr-FR"/>
        </w:rPr>
        <w:t>ressources génétiques</w:t>
      </w:r>
      <w:r w:rsidR="00645E6C">
        <w:rPr>
          <w:lang w:val="fr-FR"/>
        </w:rPr>
        <w:t>, et qui ont contribué de manière positive aux débats</w:t>
      </w:r>
      <w:r w:rsidR="00C774E5" w:rsidRPr="00645E6C">
        <w:rPr>
          <w:lang w:val="fr-FR"/>
        </w:rPr>
        <w:t xml:space="preserve">. </w:t>
      </w:r>
      <w:r w:rsidR="00645E6C" w:rsidRPr="00416B31">
        <w:rPr>
          <w:lang w:val="fr-FR"/>
        </w:rPr>
        <w:t xml:space="preserve">Cependant, nous constatons avec profonde </w:t>
      </w:r>
      <w:r>
        <w:rPr>
          <w:lang w:val="fr-FR"/>
        </w:rPr>
        <w:t>pré</w:t>
      </w:r>
      <w:r w:rsidR="00645E6C" w:rsidRPr="00416B31">
        <w:rPr>
          <w:lang w:val="fr-FR"/>
        </w:rPr>
        <w:t xml:space="preserve">occupation le manque d’avancée </w:t>
      </w:r>
      <w:r w:rsidR="005E44D2">
        <w:rPr>
          <w:lang w:val="fr-FR"/>
        </w:rPr>
        <w:t>sur un texte issu de</w:t>
      </w:r>
      <w:r w:rsidRPr="00416B31">
        <w:rPr>
          <w:lang w:val="fr-FR"/>
        </w:rPr>
        <w:t xml:space="preserve"> ces débats au cours des cinq dernières années. L’Afrique considère qu’un accès aux </w:t>
      </w:r>
      <w:r w:rsidR="009B0787" w:rsidRPr="00416B31">
        <w:rPr>
          <w:lang w:val="fr-FR"/>
        </w:rPr>
        <w:t>ressources génétiques</w:t>
      </w:r>
      <w:r w:rsidR="00C774E5" w:rsidRPr="00416B31">
        <w:rPr>
          <w:lang w:val="fr-FR"/>
        </w:rPr>
        <w:t xml:space="preserve"> </w:t>
      </w:r>
      <w:r w:rsidRPr="00416B31">
        <w:rPr>
          <w:lang w:val="fr-FR"/>
        </w:rPr>
        <w:t xml:space="preserve">sans partage </w:t>
      </w:r>
      <w:r w:rsidR="005E44D2">
        <w:rPr>
          <w:lang w:val="fr-FR"/>
        </w:rPr>
        <w:t xml:space="preserve">en bonne et due forme, juste et équitable des avantages </w:t>
      </w:r>
      <w:r w:rsidRPr="00416B31">
        <w:rPr>
          <w:lang w:val="fr-FR"/>
        </w:rPr>
        <w:t xml:space="preserve">est contraire à la fonction première de la réunion en cours de l’organe scientifique et technique de la </w:t>
      </w:r>
      <w:r w:rsidR="00C774E5" w:rsidRPr="00416B31">
        <w:rPr>
          <w:lang w:val="fr-FR"/>
        </w:rPr>
        <w:t>Co</w:t>
      </w:r>
      <w:r>
        <w:rPr>
          <w:lang w:val="fr-FR"/>
        </w:rPr>
        <w:t>nvention sur la diversité biologique</w:t>
      </w:r>
      <w:r w:rsidR="00C774E5" w:rsidRPr="00416B31">
        <w:rPr>
          <w:lang w:val="fr-FR"/>
        </w:rPr>
        <w:t xml:space="preserve">. </w:t>
      </w:r>
      <w:r w:rsidRPr="00416B31">
        <w:rPr>
          <w:lang w:val="fr-FR"/>
        </w:rPr>
        <w:t xml:space="preserve">L’Afrique est d’avis que l’une des principales </w:t>
      </w:r>
      <w:r w:rsidR="005E44D2">
        <w:rPr>
          <w:lang w:val="fr-FR"/>
        </w:rPr>
        <w:t>raisons expliquant</w:t>
      </w:r>
      <w:r w:rsidRPr="00416B31">
        <w:rPr>
          <w:lang w:val="fr-FR"/>
        </w:rPr>
        <w:t xml:space="preserve"> notre incapacité à protéger la</w:t>
      </w:r>
      <w:r w:rsidR="00C774E5" w:rsidRPr="00416B31">
        <w:rPr>
          <w:lang w:val="fr-FR"/>
        </w:rPr>
        <w:t xml:space="preserve"> </w:t>
      </w:r>
      <w:r w:rsidR="005E44D2">
        <w:rPr>
          <w:lang w:val="fr-FR"/>
        </w:rPr>
        <w:t>biodiversité contre son appauvrissement</w:t>
      </w:r>
      <w:r w:rsidRPr="00416B31">
        <w:rPr>
          <w:lang w:val="fr-FR"/>
        </w:rPr>
        <w:t xml:space="preserve"> </w:t>
      </w:r>
      <w:r w:rsidR="005E44D2">
        <w:rPr>
          <w:lang w:val="fr-FR"/>
        </w:rPr>
        <w:t>croissant</w:t>
      </w:r>
      <w:r w:rsidRPr="00416B31">
        <w:rPr>
          <w:lang w:val="fr-FR"/>
        </w:rPr>
        <w:t xml:space="preserve"> au cou</w:t>
      </w:r>
      <w:r>
        <w:rPr>
          <w:lang w:val="fr-FR"/>
        </w:rPr>
        <w:t xml:space="preserve">rs </w:t>
      </w:r>
      <w:r w:rsidR="005E44D2">
        <w:rPr>
          <w:lang w:val="fr-FR"/>
        </w:rPr>
        <w:t xml:space="preserve">des dernières décennies est liée </w:t>
      </w:r>
      <w:r>
        <w:rPr>
          <w:lang w:val="fr-FR"/>
        </w:rPr>
        <w:t>au fait que les gardiens de la</w:t>
      </w:r>
      <w:r w:rsidR="00C774E5" w:rsidRPr="00416B31">
        <w:rPr>
          <w:lang w:val="fr-FR"/>
        </w:rPr>
        <w:t xml:space="preserve"> </w:t>
      </w:r>
      <w:r>
        <w:rPr>
          <w:lang w:val="fr-FR"/>
        </w:rPr>
        <w:t>biodiversité n’obtiennent pas des avantages justes et adéquats</w:t>
      </w:r>
      <w:r w:rsidR="005E44D2">
        <w:rPr>
          <w:lang w:val="fr-FR"/>
        </w:rPr>
        <w:t>,</w:t>
      </w:r>
      <w:r>
        <w:rPr>
          <w:lang w:val="fr-FR"/>
        </w:rPr>
        <w:t xml:space="preserve"> qui fourniraient une incitation à assurer la </w:t>
      </w:r>
      <w:r w:rsidR="00C774E5" w:rsidRPr="00416B31">
        <w:rPr>
          <w:lang w:val="fr-FR"/>
        </w:rPr>
        <w:t xml:space="preserve">conservation </w:t>
      </w:r>
      <w:r>
        <w:rPr>
          <w:lang w:val="fr-FR"/>
        </w:rPr>
        <w:t>et l’utilisation durable de la biodiversité</w:t>
      </w:r>
      <w:r w:rsidR="00C774E5" w:rsidRPr="00416B31">
        <w:rPr>
          <w:lang w:val="fr-FR"/>
        </w:rPr>
        <w:t>.</w:t>
      </w:r>
      <w:r>
        <w:rPr>
          <w:lang w:val="fr-FR"/>
        </w:rPr>
        <w:t xml:space="preserve"> </w:t>
      </w:r>
      <w:r w:rsidRPr="00416B31">
        <w:rPr>
          <w:lang w:val="fr-FR"/>
        </w:rPr>
        <w:t xml:space="preserve">Nous réitérons notre engagement à intégrer pleinement la Convention sur la diversité biologique, y compris son troisième </w:t>
      </w:r>
      <w:r>
        <w:rPr>
          <w:lang w:val="fr-FR"/>
        </w:rPr>
        <w:t>objectif</w:t>
      </w:r>
      <w:r w:rsidR="00C774E5" w:rsidRPr="00416B31">
        <w:rPr>
          <w:lang w:val="fr-FR"/>
        </w:rPr>
        <w:t>,</w:t>
      </w:r>
      <w:r>
        <w:rPr>
          <w:lang w:val="fr-FR"/>
        </w:rPr>
        <w:t xml:space="preserve"> et nous demandons donc aux partenaires de négociation d</w:t>
      </w:r>
      <w:r w:rsidR="005E44D2">
        <w:rPr>
          <w:lang w:val="fr-FR"/>
        </w:rPr>
        <w:t>e s’</w:t>
      </w:r>
      <w:r>
        <w:rPr>
          <w:lang w:val="fr-FR"/>
        </w:rPr>
        <w:t xml:space="preserve">engager de bonne foi à négocier des mesures justes et adéquates </w:t>
      </w:r>
      <w:r w:rsidR="005E44D2">
        <w:rPr>
          <w:lang w:val="fr-FR"/>
        </w:rPr>
        <w:t>sur le partage des avantages en matière d</w:t>
      </w:r>
      <w:r>
        <w:rPr>
          <w:lang w:val="fr-FR"/>
        </w:rPr>
        <w:t>’</w:t>
      </w:r>
      <w:r w:rsidR="000333BE" w:rsidRPr="00416B31">
        <w:rPr>
          <w:lang w:val="fr-FR"/>
        </w:rPr>
        <w:t>information de séquençage numérique</w:t>
      </w:r>
      <w:r w:rsidR="00C774E5" w:rsidRPr="00416B31">
        <w:rPr>
          <w:lang w:val="fr-FR"/>
        </w:rPr>
        <w:t xml:space="preserve">. </w:t>
      </w:r>
      <w:r w:rsidRPr="00416B31">
        <w:rPr>
          <w:lang w:val="fr-FR"/>
        </w:rPr>
        <w:t xml:space="preserve">L’Afrique espère pouvoir </w:t>
      </w:r>
      <w:r>
        <w:rPr>
          <w:lang w:val="fr-FR"/>
        </w:rPr>
        <w:t>a</w:t>
      </w:r>
      <w:r w:rsidRPr="00416B31">
        <w:rPr>
          <w:lang w:val="fr-FR"/>
        </w:rPr>
        <w:t xml:space="preserve">vancer </w:t>
      </w:r>
      <w:r w:rsidR="005E44D2">
        <w:rPr>
          <w:lang w:val="fr-FR"/>
        </w:rPr>
        <w:t>dans les débats pour parvenir au bout du compte</w:t>
      </w:r>
      <w:r w:rsidRPr="00416B31">
        <w:rPr>
          <w:lang w:val="fr-FR"/>
        </w:rPr>
        <w:t xml:space="preserve"> à un consensus</w:t>
      </w:r>
      <w:r w:rsidR="005E44D2">
        <w:rPr>
          <w:lang w:val="fr-FR"/>
        </w:rPr>
        <w:t xml:space="preserve"> à</w:t>
      </w:r>
      <w:r w:rsidRPr="00416B31">
        <w:rPr>
          <w:lang w:val="fr-FR"/>
        </w:rPr>
        <w:t xml:space="preserve"> la quatorzième </w:t>
      </w:r>
      <w:r w:rsidR="000333BE" w:rsidRPr="00416B31">
        <w:rPr>
          <w:lang w:val="fr-FR"/>
        </w:rPr>
        <w:t xml:space="preserve">réunion </w:t>
      </w:r>
      <w:r w:rsidRPr="00416B31">
        <w:rPr>
          <w:lang w:val="fr-FR"/>
        </w:rPr>
        <w:t>d</w:t>
      </w:r>
      <w:r w:rsidR="00C774E5" w:rsidRPr="00416B31">
        <w:rPr>
          <w:lang w:val="fr-FR"/>
        </w:rPr>
        <w:t>e</w:t>
      </w:r>
      <w:r>
        <w:rPr>
          <w:lang w:val="fr-FR"/>
        </w:rPr>
        <w:t xml:space="preserve"> la</w:t>
      </w:r>
      <w:r w:rsidR="00C774E5" w:rsidRPr="00416B31">
        <w:rPr>
          <w:lang w:val="fr-FR"/>
        </w:rPr>
        <w:t xml:space="preserve"> </w:t>
      </w:r>
      <w:r w:rsidR="000333BE" w:rsidRPr="00416B31">
        <w:rPr>
          <w:lang w:val="fr-FR"/>
        </w:rPr>
        <w:t>Conférence des Parties</w:t>
      </w:r>
      <w:r w:rsidR="005E44D2">
        <w:rPr>
          <w:lang w:val="fr-FR"/>
        </w:rPr>
        <w:t>,</w:t>
      </w:r>
      <w:r w:rsidR="00C774E5" w:rsidRPr="00416B31">
        <w:rPr>
          <w:lang w:val="fr-FR"/>
        </w:rPr>
        <w:t xml:space="preserve"> </w:t>
      </w:r>
      <w:r>
        <w:rPr>
          <w:lang w:val="fr-FR"/>
        </w:rPr>
        <w:t>et pense que nous pouvons trouver un équilibre entre l’</w:t>
      </w:r>
      <w:r w:rsidR="00C774E5" w:rsidRPr="00416B31">
        <w:rPr>
          <w:lang w:val="fr-FR"/>
        </w:rPr>
        <w:t>utili</w:t>
      </w:r>
      <w:r>
        <w:rPr>
          <w:lang w:val="fr-FR"/>
        </w:rPr>
        <w:t>sation de l’</w:t>
      </w:r>
      <w:r w:rsidR="000333BE" w:rsidRPr="00416B31">
        <w:rPr>
          <w:lang w:val="fr-FR"/>
        </w:rPr>
        <w:t>information de séquençage numérique</w:t>
      </w:r>
      <w:r w:rsidR="00C774E5" w:rsidRPr="00416B31">
        <w:rPr>
          <w:lang w:val="fr-FR"/>
        </w:rPr>
        <w:t xml:space="preserve"> </w:t>
      </w:r>
      <w:r>
        <w:rPr>
          <w:lang w:val="fr-FR"/>
        </w:rPr>
        <w:t xml:space="preserve">et la </w:t>
      </w:r>
      <w:r w:rsidR="005E44D2">
        <w:rPr>
          <w:lang w:val="fr-FR"/>
        </w:rPr>
        <w:t>mise en place de mécanismes visant à assurer</w:t>
      </w:r>
      <w:r>
        <w:rPr>
          <w:lang w:val="fr-FR"/>
        </w:rPr>
        <w:t xml:space="preserve"> un partage juste et équitable des avantages. » </w:t>
      </w:r>
    </w:p>
    <w:p w:rsidR="008F01D2" w:rsidRPr="00BD3773" w:rsidRDefault="00DE4BF5" w:rsidP="009065E1">
      <w:pPr>
        <w:pStyle w:val="Para1"/>
        <w:suppressLineNumbers/>
        <w:tabs>
          <w:tab w:val="clear" w:pos="360"/>
          <w:tab w:val="num" w:pos="720"/>
        </w:tabs>
        <w:suppressAutoHyphens/>
        <w:rPr>
          <w:rFonts w:eastAsia="MS Mincho"/>
          <w:kern w:val="22"/>
          <w:szCs w:val="22"/>
          <w:lang w:val="fr-FR"/>
        </w:rPr>
      </w:pPr>
      <w:r w:rsidRPr="00DE4BF5">
        <w:rPr>
          <w:rFonts w:eastAsia="MS Mincho"/>
          <w:szCs w:val="22"/>
          <w:lang w:val="fr-FR"/>
        </w:rPr>
        <w:t xml:space="preserve">La représentante du Brésil a rappelé qu’à sa treizième réunion, la Conférence des Parties avait demandé à l’Organe subsidiaire d’examiner les résultats du Groupe </w:t>
      </w:r>
      <w:r w:rsidR="00BD3773">
        <w:rPr>
          <w:rFonts w:eastAsia="MS Mincho"/>
          <w:szCs w:val="22"/>
          <w:lang w:val="fr-FR"/>
        </w:rPr>
        <w:t>spé</w:t>
      </w:r>
      <w:r w:rsidRPr="00DE4BF5">
        <w:rPr>
          <w:rFonts w:eastAsia="MS Mincho"/>
          <w:szCs w:val="22"/>
          <w:lang w:val="fr-FR"/>
        </w:rPr>
        <w:t xml:space="preserve">cial d’experts techniques et de formuler des </w:t>
      </w:r>
      <w:r w:rsidR="00BD3773">
        <w:rPr>
          <w:rFonts w:eastAsia="MS Mincho"/>
          <w:szCs w:val="22"/>
          <w:lang w:val="fr-FR"/>
        </w:rPr>
        <w:t>recomma</w:t>
      </w:r>
      <w:r w:rsidRPr="00DE4BF5">
        <w:rPr>
          <w:rFonts w:eastAsia="MS Mincho"/>
          <w:szCs w:val="22"/>
          <w:lang w:val="fr-FR"/>
        </w:rPr>
        <w:t xml:space="preserve">ndations à la </w:t>
      </w:r>
      <w:r>
        <w:rPr>
          <w:rFonts w:eastAsia="MS Mincho"/>
          <w:szCs w:val="22"/>
          <w:lang w:val="fr-FR"/>
        </w:rPr>
        <w:t>Conférence des</w:t>
      </w:r>
      <w:r w:rsidRPr="00DE4BF5">
        <w:rPr>
          <w:rFonts w:eastAsia="MS Mincho"/>
          <w:szCs w:val="22"/>
          <w:lang w:val="fr-FR"/>
        </w:rPr>
        <w:t xml:space="preserve"> Parties</w:t>
      </w:r>
      <w:r w:rsidR="00BD3773">
        <w:rPr>
          <w:rFonts w:eastAsia="MS Mincho"/>
          <w:szCs w:val="22"/>
          <w:lang w:val="fr-FR"/>
        </w:rPr>
        <w:t>,</w:t>
      </w:r>
      <w:r w:rsidRPr="00DE4BF5">
        <w:rPr>
          <w:rFonts w:eastAsia="MS Mincho"/>
          <w:szCs w:val="22"/>
          <w:lang w:val="fr-FR"/>
        </w:rPr>
        <w:t xml:space="preserve"> </w:t>
      </w:r>
      <w:r>
        <w:rPr>
          <w:rFonts w:eastAsia="MS Mincho"/>
          <w:szCs w:val="22"/>
          <w:lang w:val="fr-FR"/>
        </w:rPr>
        <w:t>à sa quatorzième réunion</w:t>
      </w:r>
      <w:r w:rsidR="00BD3773">
        <w:rPr>
          <w:rFonts w:eastAsia="MS Mincho"/>
          <w:szCs w:val="22"/>
          <w:lang w:val="fr-FR"/>
        </w:rPr>
        <w:t>,</w:t>
      </w:r>
      <w:r>
        <w:rPr>
          <w:rFonts w:eastAsia="MS Mincho"/>
          <w:szCs w:val="22"/>
          <w:lang w:val="fr-FR"/>
        </w:rPr>
        <w:t xml:space="preserve"> sur les répercussions potentielles de l’utilisation de l’</w:t>
      </w:r>
      <w:r w:rsidRPr="00DE4BF5">
        <w:rPr>
          <w:rFonts w:eastAsia="MS Mincho"/>
          <w:szCs w:val="22"/>
          <w:lang w:val="fr-FR"/>
        </w:rPr>
        <w:t xml:space="preserve">information </w:t>
      </w:r>
      <w:r>
        <w:rPr>
          <w:rFonts w:eastAsia="MS Mincho"/>
          <w:szCs w:val="22"/>
          <w:lang w:val="fr-FR"/>
        </w:rPr>
        <w:t xml:space="preserve">de séquençage génétique sur les </w:t>
      </w:r>
      <w:r w:rsidRPr="00DE4BF5">
        <w:rPr>
          <w:rFonts w:eastAsia="MS Mincho"/>
          <w:szCs w:val="22"/>
          <w:lang w:val="fr-FR"/>
        </w:rPr>
        <w:t>res</w:t>
      </w:r>
      <w:r>
        <w:rPr>
          <w:rFonts w:eastAsia="MS Mincho"/>
          <w:szCs w:val="22"/>
          <w:lang w:val="fr-FR"/>
        </w:rPr>
        <w:t>s</w:t>
      </w:r>
      <w:r w:rsidRPr="00DE4BF5">
        <w:rPr>
          <w:rFonts w:eastAsia="MS Mincho"/>
          <w:szCs w:val="22"/>
          <w:lang w:val="fr-FR"/>
        </w:rPr>
        <w:t>ources</w:t>
      </w:r>
      <w:r>
        <w:rPr>
          <w:rFonts w:eastAsia="MS Mincho"/>
          <w:szCs w:val="22"/>
          <w:lang w:val="fr-FR"/>
        </w:rPr>
        <w:t xml:space="preserve"> génétiques pour les trois </w:t>
      </w:r>
      <w:r w:rsidR="00BD3773">
        <w:rPr>
          <w:rFonts w:eastAsia="MS Mincho"/>
          <w:szCs w:val="22"/>
          <w:lang w:val="fr-FR"/>
        </w:rPr>
        <w:t>objectifs de la</w:t>
      </w:r>
      <w:r w:rsidRPr="00DE4BF5">
        <w:rPr>
          <w:rFonts w:eastAsia="MS Mincho"/>
          <w:szCs w:val="22"/>
          <w:lang w:val="fr-FR"/>
        </w:rPr>
        <w:t xml:space="preserve"> Convention. </w:t>
      </w:r>
      <w:r w:rsidR="00BD3773" w:rsidRPr="00BD3773">
        <w:rPr>
          <w:rFonts w:eastAsia="MS Mincho"/>
          <w:szCs w:val="22"/>
          <w:lang w:val="fr-FR"/>
        </w:rPr>
        <w:t>Evoquant le rapport du Groupe spécial d’experts techniques, elle a déclaré que l’</w:t>
      </w:r>
      <w:r w:rsidRPr="00BD3773">
        <w:rPr>
          <w:rFonts w:eastAsia="MS Mincho"/>
          <w:szCs w:val="22"/>
          <w:lang w:val="fr-FR"/>
        </w:rPr>
        <w:t xml:space="preserve">information </w:t>
      </w:r>
      <w:r w:rsidR="00BD3773" w:rsidRPr="00BD3773">
        <w:rPr>
          <w:rFonts w:eastAsia="MS Mincho"/>
          <w:szCs w:val="22"/>
          <w:lang w:val="fr-FR"/>
        </w:rPr>
        <w:t>de séquençage numérique trouvai</w:t>
      </w:r>
      <w:r w:rsidR="00BD3773">
        <w:rPr>
          <w:rFonts w:eastAsia="MS Mincho"/>
          <w:szCs w:val="22"/>
          <w:lang w:val="fr-FR"/>
        </w:rPr>
        <w:t>t son origine à un moment ou à un autre</w:t>
      </w:r>
      <w:r w:rsidR="00BD3773" w:rsidRPr="00BD3773">
        <w:rPr>
          <w:rFonts w:eastAsia="MS Mincho"/>
          <w:szCs w:val="22"/>
          <w:lang w:val="fr-FR"/>
        </w:rPr>
        <w:t xml:space="preserve"> dans une source </w:t>
      </w:r>
      <w:r w:rsidR="00BD3773">
        <w:rPr>
          <w:rFonts w:eastAsia="MS Mincho"/>
          <w:szCs w:val="22"/>
          <w:lang w:val="fr-FR"/>
        </w:rPr>
        <w:t xml:space="preserve">physique de </w:t>
      </w:r>
      <w:r w:rsidRPr="00BD3773">
        <w:rPr>
          <w:rFonts w:eastAsia="MS Mincho"/>
          <w:szCs w:val="22"/>
          <w:lang w:val="fr-FR"/>
        </w:rPr>
        <w:t>res</w:t>
      </w:r>
      <w:r w:rsidR="00BD3773">
        <w:rPr>
          <w:rFonts w:eastAsia="MS Mincho"/>
          <w:szCs w:val="22"/>
          <w:lang w:val="fr-FR"/>
        </w:rPr>
        <w:t>s</w:t>
      </w:r>
      <w:r w:rsidRPr="00BD3773">
        <w:rPr>
          <w:rFonts w:eastAsia="MS Mincho"/>
          <w:szCs w:val="22"/>
          <w:lang w:val="fr-FR"/>
        </w:rPr>
        <w:t>ources</w:t>
      </w:r>
      <w:r w:rsidR="00BD3773">
        <w:rPr>
          <w:rFonts w:eastAsia="MS Mincho"/>
          <w:szCs w:val="22"/>
          <w:lang w:val="fr-FR"/>
        </w:rPr>
        <w:t xml:space="preserve"> génétiques, que l’</w:t>
      </w:r>
      <w:r w:rsidRPr="00BD3773">
        <w:rPr>
          <w:rFonts w:eastAsia="MS Mincho"/>
          <w:szCs w:val="22"/>
          <w:lang w:val="fr-FR"/>
        </w:rPr>
        <w:t xml:space="preserve">information </w:t>
      </w:r>
      <w:r w:rsidR="00BD3773">
        <w:rPr>
          <w:rFonts w:eastAsia="MS Mincho"/>
          <w:szCs w:val="22"/>
          <w:lang w:val="fr-FR"/>
        </w:rPr>
        <w:t>de séquençage numérique entrait donc dans le champ d’application de la Convention, et que l’utilisation de l’</w:t>
      </w:r>
      <w:r w:rsidRPr="00BD3773">
        <w:rPr>
          <w:rFonts w:eastAsia="MS Mincho"/>
          <w:szCs w:val="22"/>
          <w:lang w:val="fr-FR"/>
        </w:rPr>
        <w:t xml:space="preserve">information </w:t>
      </w:r>
      <w:r w:rsidR="00BD3773">
        <w:rPr>
          <w:rFonts w:eastAsia="MS Mincho"/>
          <w:szCs w:val="22"/>
          <w:lang w:val="fr-FR"/>
        </w:rPr>
        <w:t xml:space="preserve">de séquençage numérique sur les </w:t>
      </w:r>
      <w:r w:rsidRPr="00BD3773">
        <w:rPr>
          <w:rFonts w:eastAsia="MS Mincho"/>
          <w:szCs w:val="22"/>
          <w:lang w:val="fr-FR"/>
        </w:rPr>
        <w:t>res</w:t>
      </w:r>
      <w:r w:rsidR="00BD3773">
        <w:rPr>
          <w:rFonts w:eastAsia="MS Mincho"/>
          <w:szCs w:val="22"/>
          <w:lang w:val="fr-FR"/>
        </w:rPr>
        <w:t>s</w:t>
      </w:r>
      <w:r w:rsidRPr="00BD3773">
        <w:rPr>
          <w:rFonts w:eastAsia="MS Mincho"/>
          <w:szCs w:val="22"/>
          <w:lang w:val="fr-FR"/>
        </w:rPr>
        <w:t xml:space="preserve">ources </w:t>
      </w:r>
      <w:r w:rsidR="00BD3773">
        <w:rPr>
          <w:rFonts w:eastAsia="MS Mincho"/>
          <w:szCs w:val="22"/>
          <w:lang w:val="fr-FR"/>
        </w:rPr>
        <w:t>génétiques nécessite un partage des avantages</w:t>
      </w:r>
      <w:r w:rsidR="00800679">
        <w:rPr>
          <w:rFonts w:eastAsia="MS Mincho"/>
          <w:szCs w:val="22"/>
          <w:lang w:val="fr-FR"/>
        </w:rPr>
        <w:t>. Tout en n</w:t>
      </w:r>
      <w:r w:rsidRPr="00BD3773">
        <w:rPr>
          <w:rFonts w:eastAsia="MS Mincho"/>
          <w:szCs w:val="22"/>
          <w:lang w:val="fr-FR"/>
        </w:rPr>
        <w:t>ot</w:t>
      </w:r>
      <w:r w:rsidR="00800679">
        <w:rPr>
          <w:rFonts w:eastAsia="MS Mincho"/>
          <w:szCs w:val="22"/>
          <w:lang w:val="fr-FR"/>
        </w:rPr>
        <w:t>ant qu’il convient d’encourager</w:t>
      </w:r>
      <w:r w:rsidR="00BD3773" w:rsidRPr="00BD3773">
        <w:rPr>
          <w:rFonts w:eastAsia="MS Mincho"/>
          <w:szCs w:val="22"/>
          <w:lang w:val="fr-FR"/>
        </w:rPr>
        <w:t xml:space="preserve"> la science et la</w:t>
      </w:r>
      <w:r w:rsidR="00800679">
        <w:rPr>
          <w:rFonts w:eastAsia="MS Mincho"/>
          <w:szCs w:val="22"/>
          <w:lang w:val="fr-FR"/>
        </w:rPr>
        <w:t xml:space="preserve"> biotechnologie</w:t>
      </w:r>
      <w:r w:rsidR="00BD3773" w:rsidRPr="00BD3773">
        <w:rPr>
          <w:rFonts w:eastAsia="MS Mincho"/>
          <w:szCs w:val="22"/>
          <w:lang w:val="fr-FR"/>
        </w:rPr>
        <w:t>, le Brésil, en coordination le Groupe des pays d’</w:t>
      </w:r>
      <w:r w:rsidR="00BD3773">
        <w:rPr>
          <w:rFonts w:eastAsia="MS Mincho"/>
          <w:szCs w:val="22"/>
          <w:lang w:val="fr-FR"/>
        </w:rPr>
        <w:t>Amérique latine et de</w:t>
      </w:r>
      <w:r w:rsidR="00800679">
        <w:rPr>
          <w:rFonts w:eastAsia="MS Mincho"/>
          <w:szCs w:val="22"/>
          <w:lang w:val="fr-FR"/>
        </w:rPr>
        <w:t>s</w:t>
      </w:r>
      <w:r w:rsidR="00BD3773">
        <w:rPr>
          <w:rFonts w:eastAsia="MS Mincho"/>
          <w:szCs w:val="22"/>
          <w:lang w:val="fr-FR"/>
        </w:rPr>
        <w:t xml:space="preserve"> Cara</w:t>
      </w:r>
      <w:r w:rsidR="00800679">
        <w:rPr>
          <w:rFonts w:eastAsia="MS Mincho"/>
          <w:szCs w:val="22"/>
          <w:lang w:val="fr-FR"/>
        </w:rPr>
        <w:t>ïbes, d’Afrique, et l</w:t>
      </w:r>
      <w:r w:rsidR="00BD3773">
        <w:rPr>
          <w:rFonts w:eastAsia="MS Mincho"/>
          <w:szCs w:val="22"/>
          <w:lang w:val="fr-FR"/>
        </w:rPr>
        <w:t>es pays hyperdivers</w:t>
      </w:r>
      <w:r w:rsidRPr="00BD3773">
        <w:rPr>
          <w:rFonts w:eastAsia="MS Mincho"/>
          <w:szCs w:val="22"/>
          <w:lang w:val="fr-FR"/>
        </w:rPr>
        <w:t xml:space="preserve">, </w:t>
      </w:r>
      <w:r w:rsidR="00BD3773">
        <w:rPr>
          <w:rFonts w:eastAsia="MS Mincho"/>
          <w:szCs w:val="22"/>
          <w:lang w:val="fr-FR"/>
        </w:rPr>
        <w:t>avait fait une proposition pra</w:t>
      </w:r>
      <w:r w:rsidR="00800679">
        <w:rPr>
          <w:rFonts w:eastAsia="MS Mincho"/>
          <w:szCs w:val="22"/>
          <w:lang w:val="fr-FR"/>
        </w:rPr>
        <w:t xml:space="preserve">gmatique de mesures simplifiées pour avoir </w:t>
      </w:r>
      <w:r w:rsidR="00BD3773">
        <w:rPr>
          <w:rFonts w:eastAsia="MS Mincho"/>
          <w:szCs w:val="22"/>
          <w:lang w:val="fr-FR"/>
        </w:rPr>
        <w:t>accès à l’</w:t>
      </w:r>
      <w:r w:rsidRPr="00BD3773">
        <w:rPr>
          <w:rFonts w:eastAsia="MS Mincho"/>
          <w:szCs w:val="22"/>
          <w:lang w:val="fr-FR"/>
        </w:rPr>
        <w:t>information</w:t>
      </w:r>
      <w:r w:rsidR="00BD3773">
        <w:rPr>
          <w:rFonts w:eastAsia="MS Mincho"/>
          <w:szCs w:val="22"/>
          <w:lang w:val="fr-FR"/>
        </w:rPr>
        <w:t xml:space="preserve"> de séquençage numérique à des fins de recherche</w:t>
      </w:r>
      <w:r w:rsidRPr="00BD3773">
        <w:rPr>
          <w:rFonts w:eastAsia="MS Mincho"/>
          <w:szCs w:val="22"/>
          <w:lang w:val="fr-FR"/>
        </w:rPr>
        <w:t xml:space="preserve"> </w:t>
      </w:r>
      <w:r w:rsidR="00BD3773">
        <w:rPr>
          <w:rFonts w:eastAsia="MS Mincho"/>
          <w:szCs w:val="22"/>
          <w:lang w:val="fr-FR"/>
        </w:rPr>
        <w:t>non-commerciale</w:t>
      </w:r>
      <w:r w:rsidRPr="00BD3773">
        <w:rPr>
          <w:rFonts w:eastAsia="MS Mincho"/>
          <w:szCs w:val="22"/>
          <w:lang w:val="fr-FR"/>
        </w:rPr>
        <w:t xml:space="preserve">. </w:t>
      </w:r>
      <w:r w:rsidR="00BD3773" w:rsidRPr="00BD3773">
        <w:rPr>
          <w:rFonts w:eastAsia="MS Mincho"/>
          <w:szCs w:val="22"/>
          <w:lang w:val="fr-FR"/>
        </w:rPr>
        <w:t>Le</w:t>
      </w:r>
      <w:r w:rsidRPr="00BD3773">
        <w:rPr>
          <w:rFonts w:eastAsia="MS Mincho"/>
          <w:szCs w:val="22"/>
          <w:lang w:val="fr-FR"/>
        </w:rPr>
        <w:t xml:space="preserve"> </w:t>
      </w:r>
      <w:r w:rsidR="00BD3773" w:rsidRPr="00BD3773">
        <w:rPr>
          <w:rFonts w:eastAsia="MS Mincho"/>
          <w:szCs w:val="22"/>
          <w:lang w:val="fr-FR"/>
        </w:rPr>
        <w:t>corollaire d’un tel accès simplifié est le partage juste et é</w:t>
      </w:r>
      <w:r w:rsidRPr="00BD3773">
        <w:rPr>
          <w:rFonts w:eastAsia="MS Mincho"/>
          <w:szCs w:val="22"/>
          <w:lang w:val="fr-FR"/>
        </w:rPr>
        <w:t xml:space="preserve">quitable </w:t>
      </w:r>
      <w:r w:rsidR="00BD3773">
        <w:rPr>
          <w:rFonts w:eastAsia="MS Mincho"/>
          <w:szCs w:val="22"/>
          <w:lang w:val="fr-FR"/>
        </w:rPr>
        <w:t xml:space="preserve">des </w:t>
      </w:r>
      <w:r w:rsidR="00BD3773">
        <w:rPr>
          <w:rFonts w:eastAsia="MS Mincho"/>
          <w:szCs w:val="22"/>
          <w:lang w:val="fr-FR"/>
        </w:rPr>
        <w:lastRenderedPageBreak/>
        <w:t>avantages découlant de l’utilisation commerciale de l’</w:t>
      </w:r>
      <w:r w:rsidRPr="00BD3773">
        <w:rPr>
          <w:rFonts w:eastAsia="MS Mincho"/>
          <w:szCs w:val="22"/>
          <w:lang w:val="fr-FR"/>
        </w:rPr>
        <w:t>information</w:t>
      </w:r>
      <w:r w:rsidR="00BD3773">
        <w:rPr>
          <w:rFonts w:eastAsia="MS Mincho"/>
          <w:szCs w:val="22"/>
          <w:lang w:val="fr-FR"/>
        </w:rPr>
        <w:t xml:space="preserve"> de séquençage numérique</w:t>
      </w:r>
      <w:r w:rsidRPr="00BD3773">
        <w:rPr>
          <w:rFonts w:eastAsia="MS Mincho"/>
          <w:szCs w:val="22"/>
          <w:lang w:val="fr-FR"/>
        </w:rPr>
        <w:t xml:space="preserve">. </w:t>
      </w:r>
      <w:r w:rsidR="009A3088">
        <w:rPr>
          <w:rFonts w:eastAsia="MS Mincho"/>
          <w:szCs w:val="22"/>
          <w:lang w:val="fr-FR"/>
        </w:rPr>
        <w:t>La représentante a r</w:t>
      </w:r>
      <w:r w:rsidR="00BD3773" w:rsidRPr="00BD3773">
        <w:rPr>
          <w:rFonts w:eastAsia="MS Mincho"/>
          <w:szCs w:val="22"/>
          <w:lang w:val="fr-FR"/>
        </w:rPr>
        <w:t>egret</w:t>
      </w:r>
      <w:r w:rsidR="009A3088">
        <w:rPr>
          <w:rFonts w:eastAsia="MS Mincho"/>
          <w:szCs w:val="22"/>
          <w:lang w:val="fr-FR"/>
        </w:rPr>
        <w:t xml:space="preserve">té </w:t>
      </w:r>
      <w:r w:rsidR="00BD3773" w:rsidRPr="00BD3773">
        <w:rPr>
          <w:rFonts w:eastAsia="MS Mincho"/>
          <w:szCs w:val="22"/>
          <w:lang w:val="fr-FR"/>
        </w:rPr>
        <w:t xml:space="preserve">la </w:t>
      </w:r>
      <w:r w:rsidR="009A3088">
        <w:rPr>
          <w:rFonts w:eastAsia="MS Mincho"/>
          <w:szCs w:val="22"/>
          <w:lang w:val="fr-FR"/>
        </w:rPr>
        <w:t>ré</w:t>
      </w:r>
      <w:r w:rsidR="00BD3773" w:rsidRPr="00BD3773">
        <w:rPr>
          <w:rFonts w:eastAsia="MS Mincho"/>
          <w:szCs w:val="22"/>
          <w:lang w:val="fr-FR"/>
        </w:rPr>
        <w:t>ticence</w:t>
      </w:r>
      <w:r w:rsidR="009A3088">
        <w:rPr>
          <w:rFonts w:eastAsia="MS Mincho"/>
          <w:szCs w:val="22"/>
          <w:lang w:val="fr-FR"/>
        </w:rPr>
        <w:t xml:space="preserve"> de</w:t>
      </w:r>
      <w:r w:rsidR="00BD3773" w:rsidRPr="00BD3773">
        <w:rPr>
          <w:rFonts w:eastAsia="MS Mincho"/>
          <w:szCs w:val="22"/>
          <w:lang w:val="fr-FR"/>
        </w:rPr>
        <w:t xml:space="preserve"> certains pays</w:t>
      </w:r>
      <w:r w:rsidR="00BD3773">
        <w:rPr>
          <w:rFonts w:eastAsia="MS Mincho"/>
          <w:szCs w:val="22"/>
          <w:lang w:val="fr-FR"/>
        </w:rPr>
        <w:t xml:space="preserve"> dé</w:t>
      </w:r>
      <w:r w:rsidR="009A3088">
        <w:rPr>
          <w:rFonts w:eastAsia="MS Mincho"/>
          <w:szCs w:val="22"/>
          <w:lang w:val="fr-FR"/>
        </w:rPr>
        <w:t>veloppés à examiner l</w:t>
      </w:r>
      <w:r w:rsidR="00BD3773">
        <w:rPr>
          <w:rFonts w:eastAsia="MS Mincho"/>
          <w:szCs w:val="22"/>
          <w:lang w:val="fr-FR"/>
        </w:rPr>
        <w:t>es répercussions de l’</w:t>
      </w:r>
      <w:r w:rsidRPr="00BD3773">
        <w:rPr>
          <w:rFonts w:eastAsia="MS Mincho"/>
          <w:szCs w:val="22"/>
          <w:lang w:val="fr-FR"/>
        </w:rPr>
        <w:t>information</w:t>
      </w:r>
      <w:r w:rsidR="009A3088">
        <w:rPr>
          <w:rFonts w:eastAsia="MS Mincho"/>
          <w:szCs w:val="22"/>
          <w:lang w:val="fr-FR"/>
        </w:rPr>
        <w:t xml:space="preserve"> de séquençage numérique po</w:t>
      </w:r>
      <w:r w:rsidR="00BD3773">
        <w:rPr>
          <w:rFonts w:eastAsia="MS Mincho"/>
          <w:szCs w:val="22"/>
          <w:lang w:val="fr-FR"/>
        </w:rPr>
        <w:t>ur le troisième</w:t>
      </w:r>
      <w:r w:rsidRPr="00BD3773">
        <w:rPr>
          <w:rFonts w:eastAsia="MS Mincho"/>
          <w:szCs w:val="22"/>
          <w:lang w:val="fr-FR"/>
        </w:rPr>
        <w:t xml:space="preserve"> </w:t>
      </w:r>
      <w:r w:rsidR="00BD3773">
        <w:rPr>
          <w:rFonts w:eastAsia="MS Mincho"/>
          <w:szCs w:val="22"/>
          <w:lang w:val="fr-FR"/>
        </w:rPr>
        <w:t>objectif de la</w:t>
      </w:r>
      <w:r w:rsidRPr="00BD3773">
        <w:rPr>
          <w:rFonts w:eastAsia="MS Mincho"/>
          <w:szCs w:val="22"/>
          <w:lang w:val="fr-FR"/>
        </w:rPr>
        <w:t xml:space="preserve"> Convention.</w:t>
      </w:r>
      <w:r w:rsidR="00BD3773">
        <w:rPr>
          <w:rFonts w:eastAsia="MS Mincho"/>
          <w:szCs w:val="22"/>
          <w:lang w:val="fr-FR"/>
        </w:rPr>
        <w:t xml:space="preserve"> Elle considérait que le manque d’</w:t>
      </w:r>
      <w:r w:rsidR="009A3088">
        <w:rPr>
          <w:rFonts w:eastAsia="MS Mincho"/>
          <w:szCs w:val="22"/>
          <w:lang w:val="fr-FR"/>
        </w:rPr>
        <w:t>avancée</w:t>
      </w:r>
      <w:r w:rsidR="00BD3773">
        <w:rPr>
          <w:rFonts w:eastAsia="MS Mincho"/>
          <w:szCs w:val="22"/>
          <w:lang w:val="fr-FR"/>
        </w:rPr>
        <w:t xml:space="preserve"> sur cette question était préjudiciable pour la </w:t>
      </w:r>
      <w:r w:rsidRPr="00BD3773">
        <w:rPr>
          <w:rFonts w:eastAsia="MS Mincho"/>
          <w:szCs w:val="22"/>
          <w:lang w:val="fr-FR"/>
        </w:rPr>
        <w:t xml:space="preserve">science, </w:t>
      </w:r>
      <w:r w:rsidR="00BD3773">
        <w:rPr>
          <w:rFonts w:eastAsia="MS Mincho"/>
          <w:szCs w:val="22"/>
          <w:lang w:val="fr-FR"/>
        </w:rPr>
        <w:t xml:space="preserve">la conservation de la biodiversité et la </w:t>
      </w:r>
      <w:r w:rsidRPr="00BD3773">
        <w:rPr>
          <w:rFonts w:eastAsia="MS Mincho"/>
          <w:szCs w:val="22"/>
          <w:lang w:val="fr-FR"/>
        </w:rPr>
        <w:t>Convention.</w:t>
      </w:r>
    </w:p>
    <w:p w:rsidR="00C774E5" w:rsidRPr="002F102A" w:rsidRDefault="00B9460E" w:rsidP="008F01D2">
      <w:pPr>
        <w:pStyle w:val="Para1"/>
        <w:suppressLineNumbers/>
        <w:tabs>
          <w:tab w:val="clear" w:pos="360"/>
          <w:tab w:val="num" w:pos="720"/>
        </w:tabs>
        <w:suppressAutoHyphens/>
        <w:rPr>
          <w:rFonts w:eastAsia="MS Mincho"/>
          <w:kern w:val="22"/>
          <w:szCs w:val="22"/>
          <w:lang w:val="fr-FR"/>
        </w:rPr>
      </w:pPr>
      <w:r w:rsidRPr="00B9460E">
        <w:rPr>
          <w:rFonts w:eastAsia="MS Mincho"/>
          <w:lang w:val="fr-FR"/>
        </w:rPr>
        <w:t>Le projet de</w:t>
      </w:r>
      <w:r w:rsidR="00C774E5" w:rsidRPr="00B9460E">
        <w:rPr>
          <w:rFonts w:eastAsia="MS Mincho"/>
          <w:lang w:val="fr-FR"/>
        </w:rPr>
        <w:t xml:space="preserve"> </w:t>
      </w:r>
      <w:r w:rsidR="000333BE" w:rsidRPr="00B9460E">
        <w:rPr>
          <w:rFonts w:eastAsia="MS Mincho"/>
          <w:lang w:val="fr-FR"/>
        </w:rPr>
        <w:t>recommand</w:t>
      </w:r>
      <w:r w:rsidR="00C774E5" w:rsidRPr="00B9460E">
        <w:rPr>
          <w:rFonts w:eastAsia="MS Mincho"/>
          <w:lang w:val="fr-FR"/>
        </w:rPr>
        <w:t xml:space="preserve">ation, </w:t>
      </w:r>
      <w:r w:rsidRPr="00B9460E">
        <w:rPr>
          <w:rFonts w:eastAsia="MS Mincho"/>
          <w:lang w:val="fr-FR"/>
        </w:rPr>
        <w:t>tel que modifié oralement</w:t>
      </w:r>
      <w:r>
        <w:rPr>
          <w:rFonts w:eastAsia="MS Mincho"/>
          <w:lang w:val="fr-FR"/>
        </w:rPr>
        <w:t>, a été adopté comme</w:t>
      </w:r>
      <w:r w:rsidR="00C774E5" w:rsidRPr="00B9460E">
        <w:rPr>
          <w:rFonts w:eastAsia="MS Mincho"/>
          <w:lang w:val="fr-FR"/>
        </w:rPr>
        <w:t xml:space="preserve"> </w:t>
      </w:r>
      <w:r w:rsidR="000333BE" w:rsidRPr="00B9460E">
        <w:rPr>
          <w:rFonts w:eastAsia="MS Mincho"/>
          <w:lang w:val="fr-FR"/>
        </w:rPr>
        <w:t>recommand</w:t>
      </w:r>
      <w:r>
        <w:rPr>
          <w:rFonts w:eastAsia="MS Mincho"/>
          <w:lang w:val="fr-FR"/>
        </w:rPr>
        <w:t>ation </w:t>
      </w:r>
      <w:r w:rsidR="00C774E5" w:rsidRPr="00B9460E">
        <w:rPr>
          <w:rFonts w:eastAsia="MS Mincho"/>
          <w:lang w:val="fr-FR"/>
        </w:rPr>
        <w:t xml:space="preserve">22/1. </w:t>
      </w:r>
      <w:r w:rsidR="002F102A" w:rsidRPr="002F102A">
        <w:rPr>
          <w:rFonts w:eastAsia="MS Mincho"/>
          <w:lang w:val="fr-FR"/>
        </w:rPr>
        <w:t>Le texte de la recommandation, tel qu’adopté, figure dans la partie I du présent rapport</w:t>
      </w:r>
      <w:r w:rsidR="00C774E5" w:rsidRPr="002F102A">
        <w:rPr>
          <w:rFonts w:eastAsia="MS Mincho"/>
          <w:lang w:val="fr-FR"/>
        </w:rPr>
        <w:t>.</w:t>
      </w:r>
    </w:p>
    <w:p w:rsidR="009E6BA9" w:rsidRPr="00A2637A" w:rsidRDefault="005D4A18" w:rsidP="00A96B28">
      <w:pPr>
        <w:pStyle w:val="Heading1"/>
        <w:tabs>
          <w:tab w:val="clear" w:pos="720"/>
        </w:tabs>
        <w:ind w:left="1985" w:hanging="1276"/>
        <w:jc w:val="left"/>
        <w:rPr>
          <w:lang w:val="fr-FR"/>
        </w:rPr>
      </w:pPr>
      <w:bookmarkStart w:id="466" w:name="_Toc525904293"/>
      <w:bookmarkStart w:id="467" w:name="_Toc525904452"/>
      <w:bookmarkStart w:id="468" w:name="_Toc525904696"/>
      <w:r>
        <w:rPr>
          <w:snapToGrid w:val="0"/>
          <w:lang w:val="fr-FR"/>
        </w:rPr>
        <w:t>POINT</w:t>
      </w:r>
      <w:r w:rsidR="00F92FAE" w:rsidRPr="003257F2">
        <w:rPr>
          <w:snapToGrid w:val="0"/>
          <w:lang w:val="fr-FR"/>
        </w:rPr>
        <w:t xml:space="preserve"> 4.</w:t>
      </w:r>
      <w:r w:rsidR="00F92FAE" w:rsidRPr="003257F2">
        <w:rPr>
          <w:snapToGrid w:val="0"/>
          <w:lang w:val="fr-FR"/>
        </w:rPr>
        <w:tab/>
      </w:r>
      <w:r w:rsidR="00A96B28">
        <w:rPr>
          <w:snapToGrid w:val="0"/>
          <w:lang w:val="fr-FR"/>
        </w:rPr>
        <w:t>Év</w:t>
      </w:r>
      <w:r w:rsidR="004F034D">
        <w:rPr>
          <w:snapToGrid w:val="0"/>
          <w:lang w:val="fr-FR"/>
        </w:rPr>
        <w:t>a</w:t>
      </w:r>
      <w:r w:rsidR="00A96B28">
        <w:rPr>
          <w:snapToGrid w:val="0"/>
          <w:lang w:val="fr-FR"/>
        </w:rPr>
        <w:t>luation et gestion des risques liÉs aux organismes vivants modifiÉs</w:t>
      </w:r>
      <w:bookmarkEnd w:id="466"/>
      <w:bookmarkEnd w:id="467"/>
      <w:bookmarkEnd w:id="468"/>
    </w:p>
    <w:p w:rsidR="00853580" w:rsidRPr="003257F2" w:rsidRDefault="00A96B28" w:rsidP="00A96B28">
      <w:pPr>
        <w:pStyle w:val="Para1"/>
        <w:tabs>
          <w:tab w:val="clear" w:pos="360"/>
        </w:tabs>
        <w:rPr>
          <w:rFonts w:eastAsia="MS Mincho"/>
          <w:lang w:val="fr-FR"/>
        </w:rPr>
      </w:pPr>
      <w:r>
        <w:rPr>
          <w:lang w:val="fr-FR"/>
        </w:rPr>
        <w:t>A la 2</w:t>
      </w:r>
      <w:r w:rsidRPr="00A96B28">
        <w:rPr>
          <w:vertAlign w:val="superscript"/>
          <w:lang w:val="fr-FR"/>
        </w:rPr>
        <w:t>ème</w:t>
      </w:r>
      <w:r>
        <w:rPr>
          <w:lang w:val="fr-FR"/>
        </w:rPr>
        <w:t xml:space="preserve"> séance de la réunion, le 2 juillet </w:t>
      </w:r>
      <w:r w:rsidR="00B579D9" w:rsidRPr="003257F2">
        <w:rPr>
          <w:lang w:val="fr-FR"/>
        </w:rPr>
        <w:t>2018,</w:t>
      </w:r>
      <w:r w:rsidR="004F034D">
        <w:rPr>
          <w:lang w:val="fr-FR"/>
        </w:rPr>
        <w:t xml:space="preserve"> sous la présidence de</w:t>
      </w:r>
      <w:r w:rsidR="00F3688C">
        <w:rPr>
          <w:lang w:val="fr-FR"/>
        </w:rPr>
        <w:t xml:space="preserve"> Mme Ilham </w:t>
      </w:r>
      <w:r w:rsidR="00F3688C">
        <w:rPr>
          <w:noProof/>
          <w:lang w:val="fr-FR"/>
        </w:rPr>
        <w:t xml:space="preserve">Atho </w:t>
      </w:r>
      <w:r w:rsidR="00F3688C">
        <w:rPr>
          <w:lang w:val="fr-FR"/>
        </w:rPr>
        <w:t>Mohamed (Maldives),</w:t>
      </w:r>
      <w:r w:rsidR="00B579D9" w:rsidRPr="003257F2">
        <w:rPr>
          <w:lang w:val="fr-FR"/>
        </w:rPr>
        <w:t xml:space="preserve"> </w:t>
      </w:r>
      <w:r>
        <w:rPr>
          <w:lang w:val="fr-FR"/>
        </w:rPr>
        <w:t xml:space="preserve">l’Organe subsidiaire a examiné le point 4 de l’ordre du jour. Il était saisi pour ce faire d’une note de la Secrétaire exécutive sur l’évaluation et la gestion des risques liés aux organismes vivants modifiés </w:t>
      </w:r>
      <w:r w:rsidR="00853580" w:rsidRPr="003257F2">
        <w:rPr>
          <w:rFonts w:eastAsia="MS Mincho"/>
          <w:lang w:val="fr-FR"/>
        </w:rPr>
        <w:t>(CBD/SB</w:t>
      </w:r>
      <w:r w:rsidR="00D444FC" w:rsidRPr="003257F2">
        <w:rPr>
          <w:rFonts w:eastAsia="MS Mincho"/>
          <w:lang w:val="fr-FR"/>
        </w:rPr>
        <w:t>S</w:t>
      </w:r>
      <w:r w:rsidR="009065E1" w:rsidRPr="003257F2">
        <w:rPr>
          <w:rFonts w:eastAsia="MS Mincho"/>
          <w:lang w:val="fr-FR"/>
        </w:rPr>
        <w:t>TTA/22/3)</w:t>
      </w:r>
      <w:r>
        <w:rPr>
          <w:rFonts w:eastAsia="MS Mincho"/>
          <w:lang w:val="fr-FR"/>
        </w:rPr>
        <w:t xml:space="preserve">, d’une synthèse des communications transmises par les Parties en réponse au paragraphe 6 de la décision </w:t>
      </w:r>
      <w:r w:rsidR="008E72D6" w:rsidRPr="003257F2">
        <w:rPr>
          <w:rFonts w:eastAsia="MS Mincho"/>
          <w:kern w:val="22"/>
          <w:szCs w:val="22"/>
          <w:lang w:val="fr-FR"/>
        </w:rPr>
        <w:t>CP-VII/12</w:t>
      </w:r>
      <w:r w:rsidR="00B579D9" w:rsidRPr="003257F2">
        <w:rPr>
          <w:rFonts w:eastAsia="MS Mincho"/>
          <w:kern w:val="22"/>
          <w:szCs w:val="22"/>
          <w:lang w:val="fr-FR"/>
        </w:rPr>
        <w:t xml:space="preserve"> (CBD/SBSTTA/22/INF/11)</w:t>
      </w:r>
      <w:r>
        <w:rPr>
          <w:rFonts w:eastAsia="MS Mincho"/>
          <w:kern w:val="22"/>
          <w:szCs w:val="22"/>
          <w:lang w:val="fr-FR"/>
        </w:rPr>
        <w:t xml:space="preserve"> et d’un document d’information sur le Forum en ligne  composition non limite sur l’évaluation des risques et la gestion des risques</w:t>
      </w:r>
      <w:r w:rsidR="008E72D6" w:rsidRPr="003257F2">
        <w:rPr>
          <w:rFonts w:eastAsia="MS Mincho"/>
          <w:kern w:val="22"/>
          <w:szCs w:val="22"/>
          <w:lang w:val="fr-FR"/>
        </w:rPr>
        <w:t xml:space="preserve"> (CBD/SBSTTA/22/INF/12).</w:t>
      </w:r>
    </w:p>
    <w:p w:rsidR="00AF14E7" w:rsidRPr="003257F2" w:rsidRDefault="00A96B28" w:rsidP="00A96B28">
      <w:pPr>
        <w:pStyle w:val="Para1"/>
        <w:tabs>
          <w:tab w:val="clear" w:pos="360"/>
        </w:tabs>
        <w:rPr>
          <w:rFonts w:eastAsia="MS Mincho"/>
          <w:lang w:val="fr-FR"/>
        </w:rPr>
      </w:pPr>
      <w:r>
        <w:rPr>
          <w:rFonts w:eastAsia="MS Mincho"/>
          <w:kern w:val="22"/>
          <w:szCs w:val="22"/>
          <w:lang w:val="fr-FR"/>
        </w:rPr>
        <w:t xml:space="preserve">Des déclarations ont été faites par les représentants des pays Parties au Protocole de Cartagena suivants : </w:t>
      </w:r>
      <w:r w:rsidR="001268F0">
        <w:rPr>
          <w:rFonts w:eastAsia="MS Mincho"/>
          <w:kern w:val="22"/>
          <w:szCs w:val="22"/>
          <w:lang w:val="fr-FR"/>
        </w:rPr>
        <w:t>Belgique</w:t>
      </w:r>
      <w:r w:rsidR="00534EFE" w:rsidRPr="003257F2">
        <w:rPr>
          <w:rFonts w:eastAsia="MS Mincho"/>
          <w:kern w:val="22"/>
          <w:szCs w:val="22"/>
          <w:lang w:val="fr-FR"/>
        </w:rPr>
        <w:t xml:space="preserve">, </w:t>
      </w:r>
      <w:r w:rsidR="001268F0">
        <w:rPr>
          <w:rFonts w:eastAsia="MS Mincho"/>
          <w:kern w:val="22"/>
          <w:szCs w:val="22"/>
          <w:lang w:val="fr-FR"/>
        </w:rPr>
        <w:t>Bolivie (État plurinational de</w:t>
      </w:r>
      <w:r w:rsidR="00AF14E7" w:rsidRPr="003257F2">
        <w:rPr>
          <w:rFonts w:eastAsia="MS Mincho"/>
          <w:kern w:val="22"/>
          <w:szCs w:val="22"/>
          <w:lang w:val="fr-FR"/>
        </w:rPr>
        <w:t xml:space="preserve">), </w:t>
      </w:r>
      <w:r w:rsidR="001268F0">
        <w:rPr>
          <w:rFonts w:eastAsia="MS Mincho"/>
          <w:kern w:val="22"/>
          <w:szCs w:val="22"/>
          <w:lang w:val="fr-FR"/>
        </w:rPr>
        <w:t>Brésil, Chine</w:t>
      </w:r>
      <w:r w:rsidR="00534EFE" w:rsidRPr="003257F2">
        <w:rPr>
          <w:rFonts w:eastAsia="MS Mincho"/>
          <w:kern w:val="22"/>
          <w:szCs w:val="22"/>
          <w:lang w:val="fr-FR"/>
        </w:rPr>
        <w:t xml:space="preserve">, </w:t>
      </w:r>
      <w:r w:rsidR="001268F0">
        <w:rPr>
          <w:rFonts w:eastAsia="MS Mincho"/>
          <w:kern w:val="22"/>
          <w:szCs w:val="22"/>
          <w:lang w:val="fr-FR"/>
        </w:rPr>
        <w:t>Colombie</w:t>
      </w:r>
      <w:r w:rsidR="00AF14E7" w:rsidRPr="003257F2">
        <w:rPr>
          <w:rFonts w:eastAsia="MS Mincho"/>
          <w:kern w:val="22"/>
          <w:szCs w:val="22"/>
          <w:lang w:val="fr-FR"/>
        </w:rPr>
        <w:t xml:space="preserve">, Costa Rica, </w:t>
      </w:r>
      <w:r w:rsidR="00534EFE" w:rsidRPr="003257F2">
        <w:rPr>
          <w:rFonts w:eastAsia="MS Mincho"/>
          <w:kern w:val="22"/>
          <w:szCs w:val="22"/>
          <w:lang w:val="fr-FR"/>
        </w:rPr>
        <w:t>Finland</w:t>
      </w:r>
      <w:r w:rsidR="001268F0">
        <w:rPr>
          <w:rFonts w:eastAsia="MS Mincho"/>
          <w:kern w:val="22"/>
          <w:szCs w:val="22"/>
          <w:lang w:val="fr-FR"/>
        </w:rPr>
        <w:t>e</w:t>
      </w:r>
      <w:r w:rsidR="00534EFE" w:rsidRPr="003257F2">
        <w:rPr>
          <w:rFonts w:eastAsia="MS Mincho"/>
          <w:kern w:val="22"/>
          <w:szCs w:val="22"/>
          <w:lang w:val="fr-FR"/>
        </w:rPr>
        <w:t xml:space="preserve">, France, </w:t>
      </w:r>
      <w:r w:rsidR="001268F0">
        <w:rPr>
          <w:rFonts w:eastAsia="MS Mincho"/>
          <w:kern w:val="22"/>
          <w:szCs w:val="22"/>
          <w:lang w:val="fr-FR"/>
        </w:rPr>
        <w:t>Allemagne, Guatemala, Inde, Indonésie, Japon, Koweï</w:t>
      </w:r>
      <w:r w:rsidR="00AF14E7" w:rsidRPr="003257F2">
        <w:rPr>
          <w:rFonts w:eastAsia="MS Mincho"/>
          <w:kern w:val="22"/>
          <w:szCs w:val="22"/>
          <w:lang w:val="fr-FR"/>
        </w:rPr>
        <w:t xml:space="preserve">t, </w:t>
      </w:r>
      <w:r w:rsidR="001268F0">
        <w:rPr>
          <w:rFonts w:eastAsia="MS Mincho"/>
          <w:kern w:val="22"/>
          <w:szCs w:val="22"/>
          <w:lang w:val="fr-FR"/>
        </w:rPr>
        <w:t>Malawi, Malaisie</w:t>
      </w:r>
      <w:r w:rsidR="00534EFE" w:rsidRPr="003257F2">
        <w:rPr>
          <w:rFonts w:eastAsia="MS Mincho"/>
          <w:kern w:val="22"/>
          <w:szCs w:val="22"/>
          <w:lang w:val="fr-FR"/>
        </w:rPr>
        <w:t xml:space="preserve">, </w:t>
      </w:r>
      <w:r w:rsidR="001268F0">
        <w:rPr>
          <w:rFonts w:eastAsia="MS Mincho"/>
          <w:kern w:val="22"/>
          <w:szCs w:val="22"/>
          <w:lang w:val="fr-FR"/>
        </w:rPr>
        <w:t>Mexique, Maroc, Pays-Bas, Nouvelle-Zélande</w:t>
      </w:r>
      <w:r w:rsidR="00AF14E7" w:rsidRPr="003257F2">
        <w:rPr>
          <w:rFonts w:eastAsia="MS Mincho"/>
          <w:kern w:val="22"/>
          <w:szCs w:val="22"/>
          <w:lang w:val="fr-FR"/>
        </w:rPr>
        <w:t xml:space="preserve">, </w:t>
      </w:r>
      <w:r w:rsidR="001268F0">
        <w:rPr>
          <w:rFonts w:eastAsia="MS Mincho"/>
          <w:kern w:val="22"/>
          <w:szCs w:val="22"/>
          <w:lang w:val="fr-FR"/>
        </w:rPr>
        <w:t>Norvège</w:t>
      </w:r>
      <w:r w:rsidR="00534EFE" w:rsidRPr="003257F2">
        <w:rPr>
          <w:rFonts w:eastAsia="MS Mincho"/>
          <w:kern w:val="22"/>
          <w:szCs w:val="22"/>
          <w:lang w:val="fr-FR"/>
        </w:rPr>
        <w:t xml:space="preserve">, </w:t>
      </w:r>
      <w:r w:rsidR="001268F0">
        <w:rPr>
          <w:rFonts w:eastAsia="MS Mincho"/>
          <w:kern w:val="22"/>
          <w:szCs w:val="22"/>
          <w:lang w:val="fr-FR"/>
        </w:rPr>
        <w:t>Pé</w:t>
      </w:r>
      <w:r w:rsidR="00AF14E7" w:rsidRPr="003257F2">
        <w:rPr>
          <w:rFonts w:eastAsia="MS Mincho"/>
          <w:kern w:val="22"/>
          <w:szCs w:val="22"/>
          <w:lang w:val="fr-FR"/>
        </w:rPr>
        <w:t>r</w:t>
      </w:r>
      <w:r w:rsidR="001268F0">
        <w:rPr>
          <w:rFonts w:eastAsia="MS Mincho"/>
          <w:kern w:val="22"/>
          <w:szCs w:val="22"/>
          <w:lang w:val="fr-FR"/>
        </w:rPr>
        <w:t>o</w:t>
      </w:r>
      <w:r w:rsidR="00AF14E7" w:rsidRPr="003257F2">
        <w:rPr>
          <w:rFonts w:eastAsia="MS Mincho"/>
          <w:kern w:val="22"/>
          <w:szCs w:val="22"/>
          <w:lang w:val="fr-FR"/>
        </w:rPr>
        <w:t>u,</w:t>
      </w:r>
      <w:r w:rsidR="001268F0">
        <w:rPr>
          <w:rFonts w:eastAsia="MS Mincho"/>
          <w:kern w:val="22"/>
          <w:szCs w:val="22"/>
          <w:lang w:val="fr-FR"/>
        </w:rPr>
        <w:t xml:space="preserve"> Philippines (également au nom</w:t>
      </w:r>
      <w:r w:rsidR="00F3688C">
        <w:rPr>
          <w:rFonts w:eastAsia="MS Mincho"/>
          <w:kern w:val="22"/>
          <w:szCs w:val="22"/>
          <w:lang w:val="fr-FR"/>
        </w:rPr>
        <w:t xml:space="preserve"> des États membres</w:t>
      </w:r>
      <w:r w:rsidR="001268F0">
        <w:rPr>
          <w:rFonts w:eastAsia="MS Mincho"/>
          <w:kern w:val="22"/>
          <w:szCs w:val="22"/>
          <w:lang w:val="fr-FR"/>
        </w:rPr>
        <w:t xml:space="preserve"> de l’ASEAN), République de</w:t>
      </w:r>
      <w:r w:rsidR="00AF14E7" w:rsidRPr="003257F2">
        <w:rPr>
          <w:rFonts w:eastAsia="MS Mincho"/>
          <w:kern w:val="22"/>
          <w:szCs w:val="22"/>
          <w:lang w:val="fr-FR"/>
        </w:rPr>
        <w:t xml:space="preserve"> Moldova, Rwanda</w:t>
      </w:r>
      <w:r w:rsidR="001268F0">
        <w:rPr>
          <w:rFonts w:eastAsia="MS Mincho"/>
          <w:kern w:val="22"/>
          <w:szCs w:val="22"/>
          <w:lang w:val="fr-FR"/>
        </w:rPr>
        <w:t xml:space="preserve"> (au nom du Groupe africain</w:t>
      </w:r>
      <w:r w:rsidR="00AF14E7" w:rsidRPr="003257F2">
        <w:rPr>
          <w:rFonts w:eastAsia="MS Mincho"/>
          <w:kern w:val="22"/>
          <w:szCs w:val="22"/>
          <w:lang w:val="fr-FR"/>
        </w:rPr>
        <w:t>),</w:t>
      </w:r>
      <w:r w:rsidR="001268F0">
        <w:rPr>
          <w:rFonts w:eastAsia="MS Mincho"/>
          <w:kern w:val="22"/>
          <w:szCs w:val="22"/>
          <w:lang w:val="fr-FR"/>
        </w:rPr>
        <w:t xml:space="preserve"> Afrique du Sud</w:t>
      </w:r>
      <w:r w:rsidR="00534EFE" w:rsidRPr="003257F2">
        <w:rPr>
          <w:rFonts w:eastAsia="MS Mincho"/>
          <w:kern w:val="22"/>
          <w:szCs w:val="22"/>
          <w:lang w:val="fr-FR"/>
        </w:rPr>
        <w:t>, Sri Lanka,</w:t>
      </w:r>
      <w:r w:rsidR="00AF14E7" w:rsidRPr="003257F2">
        <w:rPr>
          <w:rFonts w:eastAsia="MS Mincho"/>
          <w:kern w:val="22"/>
          <w:szCs w:val="22"/>
          <w:lang w:val="fr-FR"/>
        </w:rPr>
        <w:t xml:space="preserve"> </w:t>
      </w:r>
      <w:r w:rsidR="001268F0">
        <w:rPr>
          <w:rFonts w:eastAsia="MS Mincho"/>
          <w:kern w:val="22"/>
          <w:szCs w:val="22"/>
          <w:lang w:val="fr-FR"/>
        </w:rPr>
        <w:t>Suède, Suisse, Thaï</w:t>
      </w:r>
      <w:r w:rsidR="00534EFE" w:rsidRPr="003257F2">
        <w:rPr>
          <w:rFonts w:eastAsia="MS Mincho"/>
          <w:kern w:val="22"/>
          <w:szCs w:val="22"/>
          <w:lang w:val="fr-FR"/>
        </w:rPr>
        <w:t>land</w:t>
      </w:r>
      <w:r w:rsidR="001268F0">
        <w:rPr>
          <w:rFonts w:eastAsia="MS Mincho"/>
          <w:kern w:val="22"/>
          <w:szCs w:val="22"/>
          <w:lang w:val="fr-FR"/>
        </w:rPr>
        <w:t>e,</w:t>
      </w:r>
      <w:r w:rsidR="00AF14E7" w:rsidRPr="003257F2">
        <w:rPr>
          <w:rFonts w:eastAsia="MS Mincho"/>
          <w:kern w:val="22"/>
          <w:szCs w:val="22"/>
          <w:lang w:val="fr-FR"/>
        </w:rPr>
        <w:t xml:space="preserve"> Ukraine (</w:t>
      </w:r>
      <w:r w:rsidR="001268F0">
        <w:rPr>
          <w:rFonts w:eastAsia="MS Mincho"/>
          <w:kern w:val="22"/>
          <w:szCs w:val="22"/>
          <w:lang w:val="fr-FR"/>
        </w:rPr>
        <w:t>s’exprimant au nom des pays d’Europe centrale et orientale présents</w:t>
      </w:r>
      <w:r w:rsidR="00AF14E7" w:rsidRPr="003257F2">
        <w:rPr>
          <w:rFonts w:eastAsia="MS Mincho"/>
          <w:kern w:val="22"/>
          <w:szCs w:val="22"/>
          <w:lang w:val="fr-FR"/>
        </w:rPr>
        <w:t>)</w:t>
      </w:r>
      <w:r w:rsidR="00534EFE" w:rsidRPr="003257F2">
        <w:rPr>
          <w:rFonts w:eastAsia="MS Mincho"/>
          <w:kern w:val="22"/>
          <w:szCs w:val="22"/>
          <w:lang w:val="fr-FR"/>
        </w:rPr>
        <w:t>.</w:t>
      </w:r>
    </w:p>
    <w:p w:rsidR="000876F1" w:rsidRPr="003257F2" w:rsidRDefault="001268F0" w:rsidP="00A96B28">
      <w:pPr>
        <w:pStyle w:val="Para1"/>
        <w:tabs>
          <w:tab w:val="clear" w:pos="360"/>
        </w:tabs>
        <w:rPr>
          <w:rFonts w:eastAsia="MS Mincho"/>
          <w:lang w:val="fr-FR"/>
        </w:rPr>
      </w:pPr>
      <w:r>
        <w:rPr>
          <w:rFonts w:eastAsia="MS Mincho"/>
          <w:kern w:val="22"/>
          <w:szCs w:val="22"/>
          <w:lang w:val="fr-FR"/>
        </w:rPr>
        <w:t>Des déclarations ont aussi été faites par les représentants du Canada et du Venezuela</w:t>
      </w:r>
      <w:r w:rsidR="008F01D2">
        <w:rPr>
          <w:rFonts w:eastAsia="MS Mincho"/>
          <w:kern w:val="22"/>
          <w:szCs w:val="22"/>
          <w:lang w:val="fr-FR"/>
        </w:rPr>
        <w:t xml:space="preserve"> (République bolivarienne de)</w:t>
      </w:r>
      <w:r w:rsidR="000876F1" w:rsidRPr="003257F2">
        <w:rPr>
          <w:rFonts w:eastAsia="MS Mincho"/>
          <w:kern w:val="22"/>
          <w:szCs w:val="22"/>
          <w:lang w:val="fr-FR"/>
        </w:rPr>
        <w:t>.</w:t>
      </w:r>
    </w:p>
    <w:p w:rsidR="003E7588" w:rsidRPr="00794D7F" w:rsidRDefault="000A024B" w:rsidP="003E7588">
      <w:pPr>
        <w:pStyle w:val="Para1"/>
        <w:suppressLineNumbers/>
        <w:tabs>
          <w:tab w:val="clear" w:pos="360"/>
          <w:tab w:val="num" w:pos="720"/>
        </w:tabs>
        <w:suppressAutoHyphens/>
        <w:rPr>
          <w:rFonts w:eastAsia="MS Mincho"/>
          <w:noProof/>
          <w:kern w:val="22"/>
          <w:szCs w:val="22"/>
          <w:lang w:val="fr-FR"/>
        </w:rPr>
      </w:pPr>
      <w:r>
        <w:rPr>
          <w:noProof/>
          <w:kern w:val="22"/>
          <w:szCs w:val="22"/>
          <w:lang w:val="fr-FR"/>
        </w:rPr>
        <w:t>Les représentants du</w:t>
      </w:r>
      <w:r w:rsidR="00794D7F">
        <w:rPr>
          <w:noProof/>
          <w:kern w:val="22"/>
          <w:szCs w:val="22"/>
          <w:lang w:val="fr-FR"/>
        </w:rPr>
        <w:t xml:space="preserve"> GBYN, de la Fédération des scientifiques allemands, du Forum international des peuples autochtones sur la biodiversité, de Public Research and Regulation Initiative (</w:t>
      </w:r>
      <w:r w:rsidR="00F3688C">
        <w:rPr>
          <w:noProof/>
          <w:kern w:val="22"/>
          <w:szCs w:val="22"/>
          <w:lang w:val="fr-FR"/>
        </w:rPr>
        <w:t>PRRI) et du Third World Network sont aussi intervenus.</w:t>
      </w:r>
    </w:p>
    <w:p w:rsidR="00311BAC" w:rsidRPr="00311BAC" w:rsidRDefault="00794D7F" w:rsidP="003E7588">
      <w:pPr>
        <w:pStyle w:val="Para1"/>
        <w:suppressLineNumbers/>
        <w:tabs>
          <w:tab w:val="clear" w:pos="360"/>
          <w:tab w:val="num" w:pos="720"/>
        </w:tabs>
        <w:suppressAutoHyphens/>
        <w:rPr>
          <w:rFonts w:eastAsia="MS Mincho"/>
          <w:kern w:val="22"/>
          <w:szCs w:val="22"/>
          <w:lang w:val="fr-FR"/>
        </w:rPr>
      </w:pPr>
      <w:r>
        <w:rPr>
          <w:kern w:val="22"/>
          <w:szCs w:val="22"/>
          <w:lang w:val="fr-FR"/>
        </w:rPr>
        <w:t>Après un échange de vues, la présidente a créé un groupe</w:t>
      </w:r>
      <w:r w:rsidR="00F3688C">
        <w:rPr>
          <w:kern w:val="22"/>
          <w:szCs w:val="22"/>
          <w:lang w:val="fr-FR"/>
        </w:rPr>
        <w:t xml:space="preserve"> de contact animé par M. </w:t>
      </w:r>
      <w:r w:rsidR="00F3688C">
        <w:rPr>
          <w:noProof/>
          <w:kern w:val="22"/>
          <w:szCs w:val="22"/>
          <w:lang w:val="fr-FR"/>
        </w:rPr>
        <w:t>Tim Strabala</w:t>
      </w:r>
      <w:r w:rsidR="00F3688C">
        <w:rPr>
          <w:kern w:val="22"/>
          <w:szCs w:val="22"/>
          <w:lang w:val="fr-FR"/>
        </w:rPr>
        <w:t xml:space="preserve"> (Nouvelle-Zélande) chargé d’élaborer un projet de recommandation pour examen par la Conférence des Parties siégeant en tant que réunion des Parties au Protocole de Cartagena sur la prévention des risques biotechnologiques.</w:t>
      </w:r>
    </w:p>
    <w:p w:rsidR="003E7588" w:rsidRPr="002F102A" w:rsidRDefault="00C94AC5" w:rsidP="008F01D2">
      <w:pPr>
        <w:pStyle w:val="Para1"/>
        <w:suppressLineNumbers/>
        <w:tabs>
          <w:tab w:val="clear" w:pos="360"/>
        </w:tabs>
        <w:suppressAutoHyphens/>
        <w:rPr>
          <w:rFonts w:eastAsia="MS Mincho"/>
          <w:kern w:val="22"/>
          <w:szCs w:val="22"/>
          <w:lang w:val="fr-FR"/>
        </w:rPr>
      </w:pPr>
      <w:r w:rsidRPr="00C94AC5">
        <w:rPr>
          <w:rFonts w:eastAsia="MS Mincho"/>
          <w:lang w:val="fr-FR"/>
        </w:rPr>
        <w:t>A la 12</w:t>
      </w:r>
      <w:r w:rsidRPr="00C94AC5">
        <w:rPr>
          <w:rFonts w:eastAsia="MS Mincho"/>
          <w:vertAlign w:val="superscript"/>
          <w:lang w:val="fr-FR"/>
        </w:rPr>
        <w:t>ème</w:t>
      </w:r>
      <w:r w:rsidR="008F01D2" w:rsidRPr="00C94AC5">
        <w:rPr>
          <w:rFonts w:eastAsia="MS Mincho"/>
          <w:lang w:val="fr-FR"/>
        </w:rPr>
        <w:t xml:space="preserve"> </w:t>
      </w:r>
      <w:r w:rsidR="002F102A" w:rsidRPr="00C94AC5">
        <w:rPr>
          <w:rFonts w:eastAsia="MS Mincho"/>
          <w:lang w:val="fr-FR"/>
        </w:rPr>
        <w:t>séance de la réunion</w:t>
      </w:r>
      <w:r w:rsidR="008F01D2" w:rsidRPr="00C94AC5">
        <w:rPr>
          <w:rFonts w:eastAsia="MS Mincho"/>
          <w:lang w:val="fr-FR"/>
        </w:rPr>
        <w:t xml:space="preserve">, </w:t>
      </w:r>
      <w:r w:rsidR="002F102A" w:rsidRPr="00C94AC5">
        <w:rPr>
          <w:rFonts w:eastAsia="MS Mincho"/>
          <w:lang w:val="fr-FR"/>
        </w:rPr>
        <w:t>le 7 juillet</w:t>
      </w:r>
      <w:r w:rsidR="008F01D2" w:rsidRPr="00C94AC5">
        <w:rPr>
          <w:rFonts w:eastAsia="MS Mincho"/>
          <w:lang w:val="fr-FR"/>
        </w:rPr>
        <w:t xml:space="preserve"> 2018, </w:t>
      </w:r>
      <w:r w:rsidR="00253397" w:rsidRPr="00C94AC5">
        <w:rPr>
          <w:rFonts w:eastAsia="MS Mincho"/>
          <w:lang w:val="fr-FR"/>
        </w:rPr>
        <w:t>l’Organe subsidiaire, présidé par</w:t>
      </w:r>
      <w:r w:rsidR="008F01D2" w:rsidRPr="00C94AC5">
        <w:rPr>
          <w:rFonts w:eastAsia="MS Mincho"/>
          <w:lang w:val="fr-FR"/>
        </w:rPr>
        <w:t xml:space="preserve"> </w:t>
      </w:r>
      <w:r>
        <w:rPr>
          <w:lang w:val="fr-FR"/>
        </w:rPr>
        <w:t xml:space="preserve">Mme </w:t>
      </w:r>
      <w:r w:rsidR="008F01D2" w:rsidRPr="00C94AC5">
        <w:rPr>
          <w:lang w:val="fr-FR"/>
        </w:rPr>
        <w:t>Theresa Mundita Lim (Philippines),</w:t>
      </w:r>
      <w:r w:rsidR="008F01D2" w:rsidRPr="00C94AC5">
        <w:rPr>
          <w:rFonts w:eastAsia="MS Mincho"/>
          <w:lang w:val="fr-FR"/>
        </w:rPr>
        <w:t xml:space="preserve"> </w:t>
      </w:r>
      <w:r>
        <w:rPr>
          <w:rFonts w:eastAsia="MS Mincho"/>
          <w:lang w:val="fr-FR"/>
        </w:rPr>
        <w:t>a examiné le texte révisé transmis par le facilitateur du groupe de contact.</w:t>
      </w:r>
      <w:r w:rsidR="008F01D2" w:rsidRPr="00C94AC5">
        <w:rPr>
          <w:rFonts w:eastAsia="MS Mincho"/>
          <w:lang w:val="fr-FR"/>
        </w:rPr>
        <w:t xml:space="preserve"> </w:t>
      </w:r>
      <w:r w:rsidR="00B9460E" w:rsidRPr="00B9460E">
        <w:rPr>
          <w:rFonts w:eastAsia="MS Mincho"/>
          <w:lang w:val="fr-FR"/>
        </w:rPr>
        <w:t>Le projet de</w:t>
      </w:r>
      <w:r w:rsidR="008F01D2" w:rsidRPr="00B9460E">
        <w:rPr>
          <w:rFonts w:eastAsia="MS Mincho"/>
          <w:lang w:val="fr-FR"/>
        </w:rPr>
        <w:t xml:space="preserve"> </w:t>
      </w:r>
      <w:r w:rsidR="000333BE" w:rsidRPr="00B9460E">
        <w:rPr>
          <w:rFonts w:eastAsia="MS Mincho"/>
          <w:lang w:val="fr-FR"/>
        </w:rPr>
        <w:t>recommand</w:t>
      </w:r>
      <w:r w:rsidR="008F01D2" w:rsidRPr="00B9460E">
        <w:rPr>
          <w:rFonts w:eastAsia="MS Mincho"/>
          <w:lang w:val="fr-FR"/>
        </w:rPr>
        <w:t xml:space="preserve">ation, </w:t>
      </w:r>
      <w:r w:rsidR="00B9460E" w:rsidRPr="00B9460E">
        <w:rPr>
          <w:rFonts w:eastAsia="MS Mincho"/>
          <w:lang w:val="fr-FR"/>
        </w:rPr>
        <w:t>tel que modifié oralement</w:t>
      </w:r>
      <w:r>
        <w:rPr>
          <w:rFonts w:eastAsia="MS Mincho"/>
          <w:lang w:val="fr-FR"/>
        </w:rPr>
        <w:t>, a été adopté comme</w:t>
      </w:r>
      <w:r w:rsidR="008F01D2" w:rsidRPr="00B9460E">
        <w:rPr>
          <w:rFonts w:eastAsia="MS Mincho"/>
          <w:lang w:val="fr-FR"/>
        </w:rPr>
        <w:t xml:space="preserve"> </w:t>
      </w:r>
      <w:r w:rsidR="000333BE" w:rsidRPr="00B9460E">
        <w:rPr>
          <w:rFonts w:eastAsia="MS Mincho"/>
          <w:lang w:val="fr-FR"/>
        </w:rPr>
        <w:t>recommand</w:t>
      </w:r>
      <w:r w:rsidR="008F01D2" w:rsidRPr="00B9460E">
        <w:rPr>
          <w:rFonts w:eastAsia="MS Mincho"/>
          <w:lang w:val="fr-FR"/>
        </w:rPr>
        <w:t xml:space="preserve">ation 22/2. </w:t>
      </w:r>
      <w:r w:rsidR="002F102A" w:rsidRPr="002F102A">
        <w:rPr>
          <w:rFonts w:eastAsia="MS Mincho"/>
          <w:lang w:val="fr-FR"/>
        </w:rPr>
        <w:t>Le texte de la recommandation, tel qu’adopté, figure dans la partie I du présent rapport</w:t>
      </w:r>
      <w:r w:rsidR="008F01D2" w:rsidRPr="002F102A">
        <w:rPr>
          <w:rFonts w:eastAsia="MS Mincho"/>
          <w:lang w:val="fr-FR"/>
        </w:rPr>
        <w:t>.</w:t>
      </w:r>
      <w:r w:rsidR="00794D7F" w:rsidRPr="002F102A">
        <w:rPr>
          <w:kern w:val="22"/>
          <w:szCs w:val="22"/>
          <w:lang w:val="fr-FR"/>
        </w:rPr>
        <w:t xml:space="preserve"> </w:t>
      </w:r>
    </w:p>
    <w:p w:rsidR="009E6BA9" w:rsidRPr="001268F0" w:rsidRDefault="001268F0" w:rsidP="001268F0">
      <w:pPr>
        <w:pStyle w:val="Heading1"/>
        <w:rPr>
          <w:lang w:val="fr-FR"/>
        </w:rPr>
      </w:pPr>
      <w:bookmarkStart w:id="469" w:name="_Toc525904294"/>
      <w:bookmarkStart w:id="470" w:name="_Toc525904453"/>
      <w:bookmarkStart w:id="471" w:name="_Toc525904697"/>
      <w:r w:rsidRPr="001268F0">
        <w:rPr>
          <w:lang w:val="fr-FR"/>
        </w:rPr>
        <w:t>point 5.</w:t>
      </w:r>
      <w:r w:rsidRPr="001268F0">
        <w:rPr>
          <w:lang w:val="fr-FR"/>
        </w:rPr>
        <w:tab/>
      </w:r>
      <w:r w:rsidR="008075A1">
        <w:rPr>
          <w:lang w:val="fr-FR"/>
        </w:rPr>
        <w:t>biologie de synthèse</w:t>
      </w:r>
      <w:bookmarkEnd w:id="469"/>
      <w:bookmarkEnd w:id="470"/>
      <w:bookmarkEnd w:id="471"/>
    </w:p>
    <w:p w:rsidR="009065E1" w:rsidRDefault="00DC078B" w:rsidP="008E72D6">
      <w:pPr>
        <w:pStyle w:val="Para1"/>
        <w:suppressLineNumbers/>
        <w:tabs>
          <w:tab w:val="clear" w:pos="360"/>
          <w:tab w:val="num" w:pos="720"/>
        </w:tabs>
        <w:suppressAutoHyphens/>
        <w:rPr>
          <w:rFonts w:eastAsia="MS Mincho"/>
          <w:kern w:val="22"/>
          <w:szCs w:val="22"/>
          <w:lang w:val="fr-FR"/>
        </w:rPr>
      </w:pPr>
      <w:r>
        <w:rPr>
          <w:lang w:val="fr-FR"/>
        </w:rPr>
        <w:t>À la</w:t>
      </w:r>
      <w:r w:rsidR="00867A65">
        <w:rPr>
          <w:lang w:val="fr-FR"/>
        </w:rPr>
        <w:t xml:space="preserve"> </w:t>
      </w:r>
      <w:r w:rsidR="00F3688C">
        <w:rPr>
          <w:kern w:val="22"/>
          <w:szCs w:val="22"/>
          <w:lang w:val="fr-FR"/>
        </w:rPr>
        <w:t>2</w:t>
      </w:r>
      <w:r w:rsidR="00F3688C" w:rsidRPr="00F3688C">
        <w:rPr>
          <w:kern w:val="22"/>
          <w:szCs w:val="22"/>
          <w:vertAlign w:val="superscript"/>
          <w:lang w:val="fr-FR"/>
        </w:rPr>
        <w:t>ème</w:t>
      </w:r>
      <w:r w:rsidR="00F3688C">
        <w:rPr>
          <w:kern w:val="22"/>
          <w:szCs w:val="22"/>
          <w:lang w:val="fr-FR"/>
        </w:rPr>
        <w:t xml:space="preserve"> </w:t>
      </w:r>
      <w:r>
        <w:rPr>
          <w:vertAlign w:val="superscript"/>
          <w:lang w:val="fr-FR"/>
        </w:rPr>
        <w:t xml:space="preserve"> </w:t>
      </w:r>
      <w:r w:rsidR="00F3688C">
        <w:rPr>
          <w:kern w:val="22"/>
          <w:szCs w:val="22"/>
          <w:lang w:val="fr-FR"/>
        </w:rPr>
        <w:t>séance de la réunion</w:t>
      </w:r>
      <w:r>
        <w:rPr>
          <w:kern w:val="22"/>
          <w:szCs w:val="22"/>
          <w:lang w:val="fr-FR"/>
        </w:rPr>
        <w:t xml:space="preserve"> le</w:t>
      </w:r>
      <w:r w:rsidR="00867A65">
        <w:rPr>
          <w:kern w:val="22"/>
          <w:szCs w:val="22"/>
          <w:lang w:val="fr-FR"/>
        </w:rPr>
        <w:t xml:space="preserve"> </w:t>
      </w:r>
      <w:r w:rsidR="00F3688C">
        <w:rPr>
          <w:kern w:val="22"/>
          <w:szCs w:val="22"/>
          <w:lang w:val="fr-FR"/>
        </w:rPr>
        <w:t>2 juillet 2018</w:t>
      </w:r>
      <w:r w:rsidR="009065E1" w:rsidRPr="001268F0">
        <w:rPr>
          <w:kern w:val="22"/>
          <w:szCs w:val="22"/>
          <w:lang w:val="fr-FR"/>
        </w:rPr>
        <w:t>,</w:t>
      </w:r>
      <w:r w:rsidR="004F034D">
        <w:rPr>
          <w:kern w:val="22"/>
          <w:szCs w:val="22"/>
          <w:lang w:val="fr-FR"/>
        </w:rPr>
        <w:t xml:space="preserve"> sous la présidence de</w:t>
      </w:r>
      <w:r w:rsidR="00F3688C">
        <w:rPr>
          <w:kern w:val="22"/>
          <w:szCs w:val="22"/>
          <w:lang w:val="fr-FR"/>
        </w:rPr>
        <w:t xml:space="preserve"> Mme Ilham </w:t>
      </w:r>
      <w:r w:rsidR="00F3688C">
        <w:rPr>
          <w:noProof/>
          <w:kern w:val="22"/>
          <w:szCs w:val="22"/>
          <w:lang w:val="fr-FR"/>
        </w:rPr>
        <w:t xml:space="preserve">Atho </w:t>
      </w:r>
      <w:r w:rsidR="00F3688C">
        <w:rPr>
          <w:kern w:val="22"/>
          <w:szCs w:val="22"/>
          <w:lang w:val="fr-FR"/>
        </w:rPr>
        <w:t xml:space="preserve">Mohamed (Maldives), </w:t>
      </w:r>
      <w:r>
        <w:rPr>
          <w:kern w:val="22"/>
          <w:szCs w:val="22"/>
          <w:lang w:val="fr-FR"/>
        </w:rPr>
        <w:t xml:space="preserve">l’Organe subsidiaire a examiné le point 5 de l’ordre du jour. Il </w:t>
      </w:r>
      <w:r w:rsidR="00867A65">
        <w:rPr>
          <w:kern w:val="22"/>
          <w:szCs w:val="22"/>
          <w:lang w:val="fr-FR"/>
        </w:rPr>
        <w:t xml:space="preserve">était saisi pour ce faire d’une note de la Secrétaire exécutive sur la </w:t>
      </w:r>
      <w:r w:rsidR="008075A1">
        <w:rPr>
          <w:kern w:val="22"/>
          <w:szCs w:val="22"/>
          <w:lang w:val="fr-FR"/>
        </w:rPr>
        <w:t>biologie de synthèse</w:t>
      </w:r>
      <w:r w:rsidR="00867A65">
        <w:rPr>
          <w:kern w:val="22"/>
          <w:szCs w:val="22"/>
          <w:lang w:val="fr-FR"/>
        </w:rPr>
        <w:t xml:space="preserve"> </w:t>
      </w:r>
      <w:r w:rsidR="00867A65">
        <w:rPr>
          <w:rFonts w:eastAsia="MS Mincho"/>
          <w:kern w:val="22"/>
          <w:szCs w:val="22"/>
          <w:lang w:val="fr-FR"/>
        </w:rPr>
        <w:t xml:space="preserve">(CBD/SBSTTA/22/4), d’une analyse par rapport aux critères énoncés dans le paragraphe 12 de la décision </w:t>
      </w:r>
      <w:r w:rsidR="008E72D6" w:rsidRPr="001268F0">
        <w:rPr>
          <w:rFonts w:eastAsia="MS Mincho"/>
          <w:kern w:val="22"/>
          <w:szCs w:val="22"/>
          <w:lang w:val="fr-FR"/>
        </w:rPr>
        <w:t>IX/29 (CBD/</w:t>
      </w:r>
      <w:r w:rsidR="00867A65">
        <w:rPr>
          <w:rFonts w:eastAsia="MS Mincho"/>
          <w:kern w:val="22"/>
          <w:szCs w:val="22"/>
          <w:lang w:val="fr-FR"/>
        </w:rPr>
        <w:t xml:space="preserve">SBSTTA/22/INF/17), et d’une synthèse des points de vue issu de l’examen critique par les pairs du rapport du Groupe spécial d’experts techniques sur la </w:t>
      </w:r>
      <w:r w:rsidR="008075A1">
        <w:rPr>
          <w:rFonts w:eastAsia="MS Mincho"/>
          <w:kern w:val="22"/>
          <w:szCs w:val="22"/>
          <w:lang w:val="fr-FR"/>
        </w:rPr>
        <w:t>biologie de synthèse</w:t>
      </w:r>
      <w:r w:rsidR="00867A65">
        <w:rPr>
          <w:rFonts w:eastAsia="MS Mincho"/>
          <w:kern w:val="22"/>
          <w:szCs w:val="22"/>
          <w:lang w:val="fr-FR"/>
        </w:rPr>
        <w:t xml:space="preserve"> </w:t>
      </w:r>
      <w:r w:rsidR="008E72D6" w:rsidRPr="001268F0">
        <w:rPr>
          <w:rFonts w:eastAsia="MS Mincho"/>
          <w:kern w:val="22"/>
          <w:szCs w:val="22"/>
          <w:lang w:val="fr-FR"/>
        </w:rPr>
        <w:t>(CBD/SBSTTA/22/INF/18).</w:t>
      </w:r>
    </w:p>
    <w:p w:rsidR="00F3688C" w:rsidRPr="00440EFB" w:rsidRDefault="00F3688C" w:rsidP="008E72D6">
      <w:pPr>
        <w:pStyle w:val="Para1"/>
        <w:suppressLineNumbers/>
        <w:tabs>
          <w:tab w:val="clear" w:pos="360"/>
          <w:tab w:val="num" w:pos="720"/>
        </w:tabs>
        <w:suppressAutoHyphens/>
        <w:rPr>
          <w:rFonts w:eastAsia="MS Mincho"/>
          <w:kern w:val="22"/>
          <w:szCs w:val="22"/>
          <w:lang w:val="fr-FR"/>
        </w:rPr>
      </w:pPr>
      <w:r w:rsidRPr="00150480">
        <w:rPr>
          <w:lang w:val="fr-FR"/>
        </w:rPr>
        <w:t xml:space="preserve">Des déclarations ont été faites par les représentants des pays suivants : </w:t>
      </w:r>
      <w:r w:rsidR="00150480">
        <w:rPr>
          <w:lang w:val="fr-FR"/>
        </w:rPr>
        <w:t xml:space="preserve">Afrique du Sud, Allemagne, </w:t>
      </w:r>
      <w:r w:rsidR="00150480" w:rsidRPr="00150480">
        <w:rPr>
          <w:rFonts w:eastAsia="MS Mincho"/>
          <w:kern w:val="22"/>
          <w:szCs w:val="22"/>
          <w:lang w:val="fr-FR"/>
        </w:rPr>
        <w:t xml:space="preserve">Australie, </w:t>
      </w:r>
      <w:r w:rsidR="00150480" w:rsidRPr="00150480">
        <w:rPr>
          <w:lang w:val="fr-FR"/>
        </w:rPr>
        <w:t xml:space="preserve">Belgique, </w:t>
      </w:r>
      <w:r w:rsidR="00150480">
        <w:rPr>
          <w:rFonts w:eastAsia="MS Mincho"/>
          <w:kern w:val="22"/>
          <w:szCs w:val="22"/>
          <w:lang w:val="fr-FR"/>
        </w:rPr>
        <w:t>Bolivie (État plurinational</w:t>
      </w:r>
      <w:r w:rsidR="00150480" w:rsidRPr="00150480">
        <w:rPr>
          <w:rFonts w:eastAsia="MS Mincho"/>
          <w:kern w:val="22"/>
          <w:szCs w:val="22"/>
          <w:lang w:val="fr-FR"/>
        </w:rPr>
        <w:t>),</w:t>
      </w:r>
      <w:r w:rsidR="00150480" w:rsidRPr="00150480">
        <w:rPr>
          <w:lang w:val="fr-FR"/>
        </w:rPr>
        <w:t xml:space="preserve"> Canada, </w:t>
      </w:r>
      <w:r w:rsidR="00150480">
        <w:rPr>
          <w:lang w:val="fr-FR"/>
        </w:rPr>
        <w:t>Colombie</w:t>
      </w:r>
      <w:r w:rsidR="00150480" w:rsidRPr="00150480">
        <w:rPr>
          <w:lang w:val="fr-FR"/>
        </w:rPr>
        <w:t xml:space="preserve">, </w:t>
      </w:r>
      <w:r w:rsidR="00150480">
        <w:rPr>
          <w:lang w:val="fr-FR"/>
        </w:rPr>
        <w:t>Costa Rica, Éthiopie</w:t>
      </w:r>
      <w:r w:rsidR="00150480" w:rsidRPr="00150480">
        <w:rPr>
          <w:lang w:val="fr-FR"/>
        </w:rPr>
        <w:t>, Finland</w:t>
      </w:r>
      <w:r w:rsidR="00150480">
        <w:rPr>
          <w:lang w:val="fr-FR"/>
        </w:rPr>
        <w:t>e</w:t>
      </w:r>
      <w:r w:rsidR="00150480" w:rsidRPr="00150480">
        <w:rPr>
          <w:lang w:val="fr-FR"/>
        </w:rPr>
        <w:t xml:space="preserve">, </w:t>
      </w:r>
      <w:r w:rsidR="00150480">
        <w:rPr>
          <w:lang w:val="fr-FR"/>
        </w:rPr>
        <w:t>France,</w:t>
      </w:r>
      <w:r w:rsidR="00150480" w:rsidRPr="00150480">
        <w:rPr>
          <w:lang w:val="fr-FR"/>
        </w:rPr>
        <w:t xml:space="preserve"> Guatemala, </w:t>
      </w:r>
      <w:r w:rsidR="00150480">
        <w:rPr>
          <w:lang w:val="fr-FR"/>
        </w:rPr>
        <w:t>Inde</w:t>
      </w:r>
      <w:r w:rsidR="00150480" w:rsidRPr="00150480">
        <w:rPr>
          <w:lang w:val="fr-FR"/>
        </w:rPr>
        <w:t xml:space="preserve">, </w:t>
      </w:r>
      <w:r w:rsidR="00150480">
        <w:rPr>
          <w:lang w:val="fr-FR"/>
        </w:rPr>
        <w:t>Indonésie</w:t>
      </w:r>
      <w:r w:rsidR="00150480" w:rsidRPr="00150480">
        <w:rPr>
          <w:lang w:val="fr-FR"/>
        </w:rPr>
        <w:t xml:space="preserve">, </w:t>
      </w:r>
      <w:r w:rsidR="00150480">
        <w:rPr>
          <w:lang w:val="fr-FR"/>
        </w:rPr>
        <w:t>Japo</w:t>
      </w:r>
      <w:r w:rsidR="00150480" w:rsidRPr="00150480">
        <w:rPr>
          <w:lang w:val="fr-FR"/>
        </w:rPr>
        <w:t xml:space="preserve">n, </w:t>
      </w:r>
      <w:r w:rsidR="00150480">
        <w:rPr>
          <w:lang w:val="fr-FR"/>
        </w:rPr>
        <w:t>Koweï</w:t>
      </w:r>
      <w:r w:rsidR="00150480" w:rsidRPr="00150480">
        <w:rPr>
          <w:lang w:val="fr-FR"/>
        </w:rPr>
        <w:t xml:space="preserve">t, </w:t>
      </w:r>
      <w:r w:rsidR="00A6302E">
        <w:rPr>
          <w:lang w:val="fr-FR"/>
        </w:rPr>
        <w:t xml:space="preserve">Malaisie, </w:t>
      </w:r>
      <w:r w:rsidR="00150480">
        <w:rPr>
          <w:lang w:val="fr-FR"/>
        </w:rPr>
        <w:t>Mexique</w:t>
      </w:r>
      <w:r w:rsidR="00150480" w:rsidRPr="00150480">
        <w:rPr>
          <w:lang w:val="fr-FR"/>
        </w:rPr>
        <w:t xml:space="preserve">, </w:t>
      </w:r>
      <w:r w:rsidR="00150480">
        <w:rPr>
          <w:lang w:val="fr-FR"/>
        </w:rPr>
        <w:t>Maroc</w:t>
      </w:r>
      <w:r w:rsidR="00150480" w:rsidRPr="00150480">
        <w:rPr>
          <w:lang w:val="fr-FR"/>
        </w:rPr>
        <w:t xml:space="preserve">, </w:t>
      </w:r>
      <w:r w:rsidR="00150480">
        <w:rPr>
          <w:lang w:val="fr-FR"/>
        </w:rPr>
        <w:t>Nouvelle-Zélande</w:t>
      </w:r>
      <w:r w:rsidR="00150480" w:rsidRPr="00150480">
        <w:rPr>
          <w:lang w:val="fr-FR"/>
        </w:rPr>
        <w:t xml:space="preserve">, </w:t>
      </w:r>
      <w:r w:rsidR="00150480">
        <w:rPr>
          <w:lang w:val="fr-FR"/>
        </w:rPr>
        <w:t>Norvège</w:t>
      </w:r>
      <w:r w:rsidR="00150480" w:rsidRPr="00150480">
        <w:rPr>
          <w:lang w:val="fr-FR"/>
        </w:rPr>
        <w:t xml:space="preserve">, </w:t>
      </w:r>
      <w:r w:rsidR="00243CB2">
        <w:rPr>
          <w:lang w:val="fr-FR"/>
        </w:rPr>
        <w:t>Pays-Bas</w:t>
      </w:r>
      <w:r w:rsidR="00243CB2" w:rsidRPr="00150480">
        <w:rPr>
          <w:lang w:val="fr-FR"/>
        </w:rPr>
        <w:t>,</w:t>
      </w:r>
      <w:r w:rsidR="00243CB2">
        <w:rPr>
          <w:lang w:val="fr-FR"/>
        </w:rPr>
        <w:t xml:space="preserve"> </w:t>
      </w:r>
      <w:r w:rsidR="00150480" w:rsidRPr="00150480">
        <w:rPr>
          <w:lang w:val="fr-FR"/>
        </w:rPr>
        <w:t xml:space="preserve">Philippines, </w:t>
      </w:r>
      <w:r w:rsidR="00150480">
        <w:rPr>
          <w:snapToGrid/>
          <w:lang w:val="fr-FR"/>
        </w:rPr>
        <w:t>République de Corée</w:t>
      </w:r>
      <w:r w:rsidR="00150480" w:rsidRPr="00150480">
        <w:rPr>
          <w:snapToGrid/>
          <w:lang w:val="fr-FR"/>
        </w:rPr>
        <w:t>,</w:t>
      </w:r>
      <w:r w:rsidR="00150480" w:rsidRPr="00150480">
        <w:rPr>
          <w:rFonts w:eastAsia="MS Mincho"/>
          <w:kern w:val="22"/>
          <w:szCs w:val="22"/>
          <w:lang w:val="fr-FR"/>
        </w:rPr>
        <w:t xml:space="preserve"> </w:t>
      </w:r>
      <w:r w:rsidR="00243CB2">
        <w:rPr>
          <w:rFonts w:eastAsia="MS Mincho"/>
          <w:kern w:val="22"/>
          <w:szCs w:val="22"/>
          <w:lang w:val="fr-FR"/>
        </w:rPr>
        <w:t>Rép</w:t>
      </w:r>
      <w:r w:rsidR="009A3088">
        <w:rPr>
          <w:rFonts w:eastAsia="MS Mincho"/>
          <w:kern w:val="22"/>
          <w:szCs w:val="22"/>
          <w:lang w:val="fr-FR"/>
        </w:rPr>
        <w:t>ublique de Moldova, Royaume-Uni</w:t>
      </w:r>
      <w:r w:rsidR="00243CB2">
        <w:rPr>
          <w:rFonts w:eastAsia="MS Mincho"/>
          <w:kern w:val="22"/>
          <w:szCs w:val="22"/>
          <w:lang w:val="fr-FR"/>
        </w:rPr>
        <w:t xml:space="preserve">, </w:t>
      </w:r>
      <w:r w:rsidR="00150480" w:rsidRPr="00150480">
        <w:rPr>
          <w:rFonts w:eastAsia="MS Mincho"/>
          <w:kern w:val="22"/>
          <w:szCs w:val="22"/>
          <w:lang w:val="fr-FR"/>
        </w:rPr>
        <w:lastRenderedPageBreak/>
        <w:t>Rwanda</w:t>
      </w:r>
      <w:r w:rsidR="00150480">
        <w:rPr>
          <w:rFonts w:eastAsia="MS Mincho"/>
          <w:kern w:val="22"/>
          <w:szCs w:val="22"/>
          <w:lang w:val="fr-FR"/>
        </w:rPr>
        <w:t xml:space="preserve"> (au nom du Groupe africain</w:t>
      </w:r>
      <w:r w:rsidR="00150480" w:rsidRPr="00150480">
        <w:rPr>
          <w:rFonts w:eastAsia="MS Mincho"/>
          <w:kern w:val="22"/>
          <w:szCs w:val="22"/>
          <w:lang w:val="fr-FR"/>
        </w:rPr>
        <w:t>),</w:t>
      </w:r>
      <w:r w:rsidR="00150480">
        <w:rPr>
          <w:rFonts w:eastAsia="MS Mincho"/>
          <w:kern w:val="22"/>
          <w:szCs w:val="22"/>
          <w:lang w:val="fr-FR"/>
        </w:rPr>
        <w:t xml:space="preserve"> Suède</w:t>
      </w:r>
      <w:r w:rsidR="00150480" w:rsidRPr="00150480">
        <w:rPr>
          <w:rFonts w:eastAsia="MS Mincho"/>
          <w:kern w:val="22"/>
          <w:szCs w:val="22"/>
          <w:lang w:val="fr-FR"/>
        </w:rPr>
        <w:t xml:space="preserve">, </w:t>
      </w:r>
      <w:r w:rsidR="00150480">
        <w:rPr>
          <w:rFonts w:eastAsia="MS Mincho"/>
          <w:kern w:val="22"/>
          <w:szCs w:val="22"/>
          <w:lang w:val="fr-FR"/>
        </w:rPr>
        <w:t>Suisse</w:t>
      </w:r>
      <w:r w:rsidR="00150480" w:rsidRPr="00150480">
        <w:rPr>
          <w:rFonts w:eastAsia="MS Mincho"/>
          <w:kern w:val="22"/>
          <w:szCs w:val="22"/>
          <w:lang w:val="fr-FR"/>
        </w:rPr>
        <w:t>, Ukraine (</w:t>
      </w:r>
      <w:r w:rsidR="00150480">
        <w:rPr>
          <w:rFonts w:eastAsia="MS Mincho"/>
          <w:kern w:val="22"/>
          <w:szCs w:val="22"/>
          <w:lang w:val="fr-FR"/>
        </w:rPr>
        <w:t>s’exprimant au nom des pays d’Europe centrale et orientale présents</w:t>
      </w:r>
      <w:r w:rsidR="00150480" w:rsidRPr="00150480">
        <w:rPr>
          <w:rFonts w:eastAsia="MS Mincho"/>
          <w:kern w:val="22"/>
          <w:szCs w:val="22"/>
          <w:lang w:val="fr-FR"/>
        </w:rPr>
        <w:t>)</w:t>
      </w:r>
      <w:r w:rsidR="00440EFB">
        <w:rPr>
          <w:rFonts w:eastAsia="MS Mincho"/>
          <w:kern w:val="22"/>
          <w:szCs w:val="22"/>
          <w:lang w:val="fr-FR"/>
        </w:rPr>
        <w:t>,</w:t>
      </w:r>
      <w:r w:rsidR="00150480" w:rsidRPr="00150480">
        <w:rPr>
          <w:rFonts w:eastAsia="MS Mincho"/>
          <w:kern w:val="22"/>
          <w:szCs w:val="22"/>
          <w:lang w:val="fr-FR"/>
        </w:rPr>
        <w:t xml:space="preserve"> </w:t>
      </w:r>
      <w:r w:rsidR="00440EFB">
        <w:rPr>
          <w:lang w:val="fr-FR"/>
        </w:rPr>
        <w:t>Venezuela (République bolivarienne du</w:t>
      </w:r>
      <w:r w:rsidR="00150480" w:rsidRPr="00150480">
        <w:rPr>
          <w:lang w:val="fr-FR"/>
        </w:rPr>
        <w:t>)</w:t>
      </w:r>
      <w:r w:rsidR="00440EFB">
        <w:rPr>
          <w:lang w:val="fr-FR"/>
        </w:rPr>
        <w:t>.</w:t>
      </w:r>
    </w:p>
    <w:p w:rsidR="00440EFB" w:rsidRPr="00BA5A81" w:rsidRDefault="00440EFB" w:rsidP="008E72D6">
      <w:pPr>
        <w:pStyle w:val="Para1"/>
        <w:suppressLineNumbers/>
        <w:tabs>
          <w:tab w:val="clear" w:pos="360"/>
          <w:tab w:val="num" w:pos="720"/>
        </w:tabs>
        <w:suppressAutoHyphens/>
        <w:rPr>
          <w:rFonts w:eastAsia="MS Mincho"/>
          <w:kern w:val="22"/>
          <w:szCs w:val="22"/>
          <w:lang w:val="fr-FR"/>
        </w:rPr>
      </w:pPr>
      <w:r>
        <w:rPr>
          <w:lang w:val="fr-FR"/>
        </w:rPr>
        <w:t>Ont aussi pris</w:t>
      </w:r>
      <w:r w:rsidR="00B069E8">
        <w:rPr>
          <w:lang w:val="fr-FR"/>
        </w:rPr>
        <w:t xml:space="preserve"> la parole des représentants d’</w:t>
      </w:r>
      <w:r>
        <w:rPr>
          <w:lang w:val="fr-FR"/>
        </w:rPr>
        <w:t xml:space="preserve">ETC Group, </w:t>
      </w:r>
      <w:r w:rsidR="00B069E8">
        <w:rPr>
          <w:lang w:val="fr-FR"/>
        </w:rPr>
        <w:t xml:space="preserve">des </w:t>
      </w:r>
      <w:r>
        <w:rPr>
          <w:lang w:val="fr-FR"/>
        </w:rPr>
        <w:t>Amis de la Terre</w:t>
      </w:r>
      <w:r w:rsidR="00B069E8">
        <w:rPr>
          <w:lang w:val="fr-FR"/>
        </w:rPr>
        <w:t xml:space="preserve"> </w:t>
      </w:r>
      <w:r>
        <w:rPr>
          <w:lang w:val="fr-FR"/>
        </w:rPr>
        <w:t>Afrique de l’Est (s’exprimant également au nom d’Amis de la Terre International), du Forum international des peuples autochtones sur la biodi</w:t>
      </w:r>
      <w:r w:rsidR="00BA5A81">
        <w:rPr>
          <w:lang w:val="fr-FR"/>
        </w:rPr>
        <w:t>versité</w:t>
      </w:r>
      <w:r>
        <w:rPr>
          <w:lang w:val="fr-FR"/>
        </w:rPr>
        <w:t xml:space="preserve"> et de l’Union Paysanne (s’exprimant également au nom de La Via </w:t>
      </w:r>
      <w:r>
        <w:rPr>
          <w:noProof/>
          <w:lang w:val="fr-FR"/>
        </w:rPr>
        <w:t>Campesina).</w:t>
      </w:r>
    </w:p>
    <w:p w:rsidR="00BA5A81" w:rsidRPr="00BA5A81" w:rsidRDefault="00BA5A81" w:rsidP="008E72D6">
      <w:pPr>
        <w:pStyle w:val="Para1"/>
        <w:suppressLineNumbers/>
        <w:tabs>
          <w:tab w:val="clear" w:pos="360"/>
          <w:tab w:val="num" w:pos="720"/>
        </w:tabs>
        <w:suppressAutoHyphens/>
        <w:rPr>
          <w:rFonts w:eastAsia="MS Mincho"/>
          <w:kern w:val="22"/>
          <w:szCs w:val="22"/>
          <w:lang w:val="fr-FR"/>
        </w:rPr>
      </w:pPr>
      <w:r>
        <w:rPr>
          <w:lang w:val="fr-FR"/>
        </w:rPr>
        <w:t>Après un échange de vues, la présidente a déclaré qu’elle préparerait un texte révisé pour examen par l’Organe subsidiaire, compte tenu des points de vue exprimés oralement par les Parties ou appuyés par celles-ci et les commentaires reçus par écrit.</w:t>
      </w:r>
    </w:p>
    <w:p w:rsidR="00BA5A81" w:rsidRPr="00BA5A81" w:rsidRDefault="00BA5A81" w:rsidP="008E72D6">
      <w:pPr>
        <w:pStyle w:val="Para1"/>
        <w:suppressLineNumbers/>
        <w:tabs>
          <w:tab w:val="clear" w:pos="360"/>
          <w:tab w:val="num" w:pos="720"/>
        </w:tabs>
        <w:suppressAutoHyphens/>
        <w:rPr>
          <w:rFonts w:eastAsia="MS Mincho"/>
          <w:kern w:val="22"/>
          <w:szCs w:val="22"/>
          <w:lang w:val="fr-FR"/>
        </w:rPr>
      </w:pPr>
      <w:r w:rsidRPr="00BA5A81">
        <w:rPr>
          <w:lang w:val="fr-FR"/>
        </w:rPr>
        <w:t>À la 7</w:t>
      </w:r>
      <w:r w:rsidRPr="00BA5A81">
        <w:rPr>
          <w:vertAlign w:val="superscript"/>
          <w:lang w:val="fr-FR"/>
        </w:rPr>
        <w:t>ème</w:t>
      </w:r>
      <w:r w:rsidRPr="00BA5A81">
        <w:rPr>
          <w:lang w:val="fr-FR"/>
        </w:rPr>
        <w:t xml:space="preserve"> séance de la réunion, le 5 juillet 2018, sous la présidence de Mme </w:t>
      </w:r>
      <w:r w:rsidRPr="00BA5A81">
        <w:rPr>
          <w:noProof/>
          <w:lang w:val="fr-FR"/>
        </w:rPr>
        <w:t>Theresa Mundita Lim</w:t>
      </w:r>
      <w:r w:rsidRPr="00BA5A81">
        <w:rPr>
          <w:lang w:val="fr-FR"/>
        </w:rPr>
        <w:t xml:space="preserve"> (Philippines), l’Organe subsidiaire a examiné le texte révisé présenté par la présidente.</w:t>
      </w:r>
    </w:p>
    <w:p w:rsidR="00BA5A81" w:rsidRPr="00BA5A81" w:rsidRDefault="00BA5A81" w:rsidP="00BA5A81">
      <w:pPr>
        <w:pStyle w:val="Para1"/>
        <w:tabs>
          <w:tab w:val="clear" w:pos="360"/>
        </w:tabs>
        <w:rPr>
          <w:rFonts w:eastAsia="MS Mincho"/>
          <w:lang w:val="fr-FR"/>
        </w:rPr>
      </w:pPr>
      <w:r w:rsidRPr="00BA5A81">
        <w:rPr>
          <w:lang w:val="fr-FR"/>
        </w:rPr>
        <w:t xml:space="preserve">Des déclarations ont été faites par les représentants des pays suivants : </w:t>
      </w:r>
      <w:r w:rsidR="006D61FA">
        <w:rPr>
          <w:lang w:val="fr-FR"/>
        </w:rPr>
        <w:t xml:space="preserve">Allemagne, </w:t>
      </w:r>
      <w:r w:rsidRPr="00BA5A81">
        <w:rPr>
          <w:rFonts w:eastAsia="MS Mincho"/>
          <w:lang w:val="fr-FR"/>
        </w:rPr>
        <w:t xml:space="preserve">Australie, </w:t>
      </w:r>
      <w:r w:rsidRPr="00BA5A81">
        <w:rPr>
          <w:noProof/>
          <w:lang w:val="fr-FR"/>
        </w:rPr>
        <w:t>Bélarus,</w:t>
      </w:r>
      <w:r w:rsidR="006D61FA">
        <w:rPr>
          <w:lang w:val="fr-FR"/>
        </w:rPr>
        <w:t xml:space="preserve"> Bolivie</w:t>
      </w:r>
      <w:r w:rsidRPr="00BA5A81">
        <w:rPr>
          <w:lang w:val="fr-FR"/>
        </w:rPr>
        <w:t xml:space="preserve"> (</w:t>
      </w:r>
      <w:r w:rsidR="006D61FA">
        <w:rPr>
          <w:rFonts w:eastAsia="MS Mincho"/>
          <w:kern w:val="22"/>
          <w:szCs w:val="22"/>
          <w:lang w:val="fr-FR"/>
        </w:rPr>
        <w:t>État plurinational de</w:t>
      </w:r>
      <w:r w:rsidRPr="00BA5A81">
        <w:rPr>
          <w:rFonts w:eastAsia="MS Mincho"/>
          <w:kern w:val="22"/>
          <w:szCs w:val="22"/>
          <w:lang w:val="fr-FR"/>
        </w:rPr>
        <w:t>)</w:t>
      </w:r>
      <w:r w:rsidRPr="00BA5A81">
        <w:rPr>
          <w:lang w:val="fr-FR"/>
        </w:rPr>
        <w:t xml:space="preserve">, </w:t>
      </w:r>
      <w:r w:rsidR="006D61FA">
        <w:rPr>
          <w:rFonts w:eastAsia="MS Mincho"/>
          <w:lang w:val="fr-FR"/>
        </w:rPr>
        <w:t>Brés</w:t>
      </w:r>
      <w:r w:rsidRPr="00BA5A81">
        <w:rPr>
          <w:rFonts w:eastAsia="MS Mincho"/>
          <w:lang w:val="fr-FR"/>
        </w:rPr>
        <w:t xml:space="preserve">il, Canada, </w:t>
      </w:r>
      <w:r w:rsidRPr="00BA5A81">
        <w:rPr>
          <w:lang w:val="fr-FR"/>
        </w:rPr>
        <w:t xml:space="preserve">Costa Rica, </w:t>
      </w:r>
      <w:r w:rsidR="006D61FA">
        <w:rPr>
          <w:lang w:val="fr-FR"/>
        </w:rPr>
        <w:t>Éthiopie</w:t>
      </w:r>
      <w:r w:rsidRPr="00BA5A81">
        <w:rPr>
          <w:lang w:val="fr-FR"/>
        </w:rPr>
        <w:t xml:space="preserve">, </w:t>
      </w:r>
      <w:r w:rsidRPr="00BA5A81">
        <w:rPr>
          <w:rFonts w:eastAsia="MS Mincho"/>
          <w:lang w:val="fr-FR"/>
        </w:rPr>
        <w:t>Finland</w:t>
      </w:r>
      <w:r w:rsidR="006D61FA">
        <w:rPr>
          <w:rFonts w:eastAsia="MS Mincho"/>
          <w:lang w:val="fr-FR"/>
        </w:rPr>
        <w:t>e</w:t>
      </w:r>
      <w:r w:rsidRPr="00BA5A81">
        <w:rPr>
          <w:rFonts w:eastAsia="MS Mincho"/>
          <w:lang w:val="fr-FR"/>
        </w:rPr>
        <w:t xml:space="preserve">, </w:t>
      </w:r>
      <w:r w:rsidR="006D61FA">
        <w:rPr>
          <w:rFonts w:eastAsia="MS Mincho"/>
          <w:lang w:val="fr-FR"/>
        </w:rPr>
        <w:t>Jap</w:t>
      </w:r>
      <w:r w:rsidR="004238E1">
        <w:rPr>
          <w:rFonts w:eastAsia="MS Mincho"/>
          <w:lang w:val="fr-FR"/>
        </w:rPr>
        <w:t>o</w:t>
      </w:r>
      <w:r w:rsidR="006D61FA">
        <w:rPr>
          <w:rFonts w:eastAsia="MS Mincho"/>
          <w:lang w:val="fr-FR"/>
        </w:rPr>
        <w:t>n, Maroc, Mexique, Nouvelle-Zélande</w:t>
      </w:r>
      <w:r w:rsidRPr="00BA5A81">
        <w:rPr>
          <w:rFonts w:eastAsia="MS Mincho"/>
          <w:lang w:val="fr-FR"/>
        </w:rPr>
        <w:t xml:space="preserve">, Niger, </w:t>
      </w:r>
      <w:r w:rsidR="006D61FA">
        <w:rPr>
          <w:rFonts w:eastAsia="MS Mincho"/>
          <w:lang w:val="fr-FR"/>
        </w:rPr>
        <w:t>Ouganda, République de</w:t>
      </w:r>
      <w:r w:rsidRPr="00BA5A81">
        <w:rPr>
          <w:rFonts w:eastAsia="MS Mincho"/>
          <w:lang w:val="fr-FR"/>
        </w:rPr>
        <w:t xml:space="preserve"> </w:t>
      </w:r>
      <w:r w:rsidRPr="00BA5A81">
        <w:rPr>
          <w:lang w:val="fr-FR"/>
        </w:rPr>
        <w:t xml:space="preserve">Moldova, Rwanda, </w:t>
      </w:r>
      <w:r w:rsidR="006D61FA">
        <w:rPr>
          <w:rFonts w:eastAsia="MS Mincho"/>
          <w:lang w:val="fr-FR"/>
        </w:rPr>
        <w:t>Suède</w:t>
      </w:r>
      <w:r w:rsidRPr="00BA5A81">
        <w:rPr>
          <w:rFonts w:eastAsia="MS Mincho"/>
          <w:lang w:val="fr-FR"/>
        </w:rPr>
        <w:t>,</w:t>
      </w:r>
      <w:r w:rsidR="006D61FA">
        <w:rPr>
          <w:lang w:val="fr-FR"/>
        </w:rPr>
        <w:t xml:space="preserve"> Suisse</w:t>
      </w:r>
      <w:r w:rsidRPr="00BA5A81">
        <w:rPr>
          <w:lang w:val="fr-FR"/>
        </w:rPr>
        <w:t>,</w:t>
      </w:r>
      <w:r w:rsidR="006D61FA">
        <w:rPr>
          <w:lang w:val="fr-FR"/>
        </w:rPr>
        <w:t xml:space="preserve"> Union européenne</w:t>
      </w:r>
      <w:r w:rsidRPr="00BA5A81">
        <w:rPr>
          <w:lang w:val="fr-FR"/>
        </w:rPr>
        <w:t xml:space="preserve"> </w:t>
      </w:r>
      <w:r w:rsidR="006D61FA">
        <w:rPr>
          <w:rFonts w:eastAsia="MS Mincho"/>
          <w:lang w:val="fr-FR"/>
        </w:rPr>
        <w:t>et</w:t>
      </w:r>
      <w:r w:rsidRPr="00BA5A81">
        <w:rPr>
          <w:rFonts w:eastAsia="MS Mincho"/>
          <w:lang w:val="fr-FR"/>
        </w:rPr>
        <w:t xml:space="preserve"> </w:t>
      </w:r>
      <w:r w:rsidRPr="00BA5A81">
        <w:rPr>
          <w:lang w:val="fr-FR"/>
        </w:rPr>
        <w:t>Venezuela</w:t>
      </w:r>
      <w:r w:rsidR="006D61FA">
        <w:rPr>
          <w:lang w:val="fr-FR"/>
        </w:rPr>
        <w:t xml:space="preserve"> (République bolivarienne du</w:t>
      </w:r>
      <w:r w:rsidRPr="00BA5A81">
        <w:rPr>
          <w:lang w:val="fr-FR"/>
        </w:rPr>
        <w:t>)</w:t>
      </w:r>
      <w:r w:rsidRPr="00BA5A81">
        <w:rPr>
          <w:rFonts w:eastAsia="MS Mincho"/>
          <w:lang w:val="fr-FR"/>
        </w:rPr>
        <w:t>.</w:t>
      </w:r>
    </w:p>
    <w:p w:rsidR="00BA5A81" w:rsidRPr="00BA5A81" w:rsidRDefault="00A46424" w:rsidP="00BA5A81">
      <w:pPr>
        <w:pStyle w:val="Para1"/>
        <w:tabs>
          <w:tab w:val="clear" w:pos="360"/>
        </w:tabs>
        <w:rPr>
          <w:rFonts w:eastAsia="MS Mincho"/>
          <w:lang w:val="fr-FR"/>
        </w:rPr>
      </w:pPr>
      <w:r w:rsidRPr="00BA5A81">
        <w:rPr>
          <w:lang w:val="fr-FR"/>
        </w:rPr>
        <w:t>À</w:t>
      </w:r>
      <w:r>
        <w:rPr>
          <w:lang w:val="fr-FR"/>
        </w:rPr>
        <w:t xml:space="preserve"> la 8</w:t>
      </w:r>
      <w:r w:rsidRPr="00BA5A81">
        <w:rPr>
          <w:vertAlign w:val="superscript"/>
          <w:lang w:val="fr-FR"/>
        </w:rPr>
        <w:t>ème</w:t>
      </w:r>
      <w:r w:rsidRPr="00BA5A81">
        <w:rPr>
          <w:lang w:val="fr-FR"/>
        </w:rPr>
        <w:t xml:space="preserve"> séance de la réunion, le 5 juillet 2018, sous la présidence de Mme Theresa </w:t>
      </w:r>
      <w:r w:rsidRPr="00BA5A81">
        <w:rPr>
          <w:noProof/>
          <w:lang w:val="fr-FR"/>
        </w:rPr>
        <w:t xml:space="preserve">Mundita </w:t>
      </w:r>
      <w:r w:rsidRPr="00BA5A81">
        <w:rPr>
          <w:lang w:val="fr-FR"/>
        </w:rPr>
        <w:t>Lim (Philippines), l’</w:t>
      </w:r>
      <w:r>
        <w:rPr>
          <w:lang w:val="fr-FR"/>
        </w:rPr>
        <w:t xml:space="preserve">Organe subsidiaire a poursuivi son examen du </w:t>
      </w:r>
      <w:r w:rsidRPr="00BA5A81">
        <w:rPr>
          <w:lang w:val="fr-FR"/>
        </w:rPr>
        <w:t>texte révisé présenté par la présidente.</w:t>
      </w:r>
    </w:p>
    <w:p w:rsidR="00BA5A81" w:rsidRPr="00BA5A81" w:rsidRDefault="00A46424" w:rsidP="00BA5A81">
      <w:pPr>
        <w:pStyle w:val="Para1"/>
        <w:tabs>
          <w:tab w:val="clear" w:pos="360"/>
        </w:tabs>
        <w:rPr>
          <w:rFonts w:eastAsia="MS Mincho"/>
          <w:lang w:val="fr-FR"/>
        </w:rPr>
      </w:pPr>
      <w:r>
        <w:rPr>
          <w:rFonts w:eastAsia="MS Mincho"/>
          <w:lang w:val="fr-FR"/>
        </w:rPr>
        <w:t>Des déclarations ont été faites par les représentants des pays suivants : Allemagne, Australie</w:t>
      </w:r>
      <w:r w:rsidR="00BA5A81" w:rsidRPr="00BA5A81">
        <w:rPr>
          <w:rFonts w:eastAsia="MS Mincho"/>
          <w:lang w:val="fr-FR"/>
        </w:rPr>
        <w:t xml:space="preserve">, </w:t>
      </w:r>
      <w:r>
        <w:rPr>
          <w:rFonts w:eastAsia="MS Mincho"/>
          <w:lang w:val="fr-FR"/>
        </w:rPr>
        <w:t>Belgique</w:t>
      </w:r>
      <w:r w:rsidR="00BA5A81" w:rsidRPr="00BA5A81">
        <w:rPr>
          <w:rFonts w:eastAsia="MS Mincho"/>
          <w:lang w:val="fr-FR"/>
        </w:rPr>
        <w:t xml:space="preserve">, </w:t>
      </w:r>
      <w:r>
        <w:rPr>
          <w:lang w:val="fr-FR"/>
        </w:rPr>
        <w:t>Bolivie</w:t>
      </w:r>
      <w:r w:rsidR="00BA5A81" w:rsidRPr="00BA5A81">
        <w:rPr>
          <w:lang w:val="fr-FR"/>
        </w:rPr>
        <w:t xml:space="preserve"> (</w:t>
      </w:r>
      <w:r>
        <w:rPr>
          <w:rFonts w:eastAsia="MS Mincho"/>
          <w:kern w:val="22"/>
          <w:szCs w:val="22"/>
          <w:lang w:val="fr-FR"/>
        </w:rPr>
        <w:t>État plurinational de</w:t>
      </w:r>
      <w:r w:rsidR="00BA5A81" w:rsidRPr="00BA5A81">
        <w:rPr>
          <w:rFonts w:eastAsia="MS Mincho"/>
          <w:kern w:val="22"/>
          <w:szCs w:val="22"/>
          <w:lang w:val="fr-FR"/>
        </w:rPr>
        <w:t>)</w:t>
      </w:r>
      <w:r w:rsidR="00BA5A81" w:rsidRPr="00BA5A81">
        <w:rPr>
          <w:lang w:val="fr-FR"/>
        </w:rPr>
        <w:t xml:space="preserve">, </w:t>
      </w:r>
      <w:r>
        <w:rPr>
          <w:rFonts w:eastAsia="MS Mincho"/>
          <w:lang w:val="fr-FR"/>
        </w:rPr>
        <w:t>Brés</w:t>
      </w:r>
      <w:r w:rsidR="00BA5A81" w:rsidRPr="00BA5A81">
        <w:rPr>
          <w:rFonts w:eastAsia="MS Mincho"/>
          <w:lang w:val="fr-FR"/>
        </w:rPr>
        <w:t xml:space="preserve">il, Canada, </w:t>
      </w:r>
      <w:r>
        <w:rPr>
          <w:lang w:val="fr-FR"/>
        </w:rPr>
        <w:t>Équateur</w:t>
      </w:r>
      <w:r w:rsidR="00BA5A81" w:rsidRPr="00BA5A81">
        <w:rPr>
          <w:rFonts w:eastAsia="MS Mincho"/>
          <w:lang w:val="fr-FR"/>
        </w:rPr>
        <w:t xml:space="preserve">, </w:t>
      </w:r>
      <w:r>
        <w:rPr>
          <w:rFonts w:eastAsia="MS Mincho"/>
          <w:lang w:val="fr-FR"/>
        </w:rPr>
        <w:t>É</w:t>
      </w:r>
      <w:r w:rsidR="00BA5A81" w:rsidRPr="00BA5A81">
        <w:rPr>
          <w:rFonts w:eastAsia="MS Mincho"/>
          <w:lang w:val="fr-FR"/>
        </w:rPr>
        <w:t>gypt</w:t>
      </w:r>
      <w:r>
        <w:rPr>
          <w:rFonts w:eastAsia="MS Mincho"/>
          <w:lang w:val="fr-FR"/>
        </w:rPr>
        <w:t xml:space="preserve">e, </w:t>
      </w:r>
      <w:r w:rsidR="00BA5A81" w:rsidRPr="00BA5A81">
        <w:rPr>
          <w:rFonts w:eastAsia="MS Mincho"/>
          <w:lang w:val="fr-FR"/>
        </w:rPr>
        <w:t>Finland</w:t>
      </w:r>
      <w:r>
        <w:rPr>
          <w:rFonts w:eastAsia="MS Mincho"/>
          <w:lang w:val="fr-FR"/>
        </w:rPr>
        <w:t>e</w:t>
      </w:r>
      <w:r w:rsidR="00BA5A81" w:rsidRPr="00BA5A81">
        <w:rPr>
          <w:rFonts w:eastAsia="MS Mincho"/>
          <w:lang w:val="fr-FR"/>
        </w:rPr>
        <w:t xml:space="preserve">, </w:t>
      </w:r>
      <w:r>
        <w:rPr>
          <w:rFonts w:eastAsia="MS Mincho"/>
          <w:lang w:val="fr-FR"/>
        </w:rPr>
        <w:t>France,</w:t>
      </w:r>
      <w:r w:rsidR="00BA5A81" w:rsidRPr="00BA5A81">
        <w:rPr>
          <w:lang w:val="fr-FR"/>
        </w:rPr>
        <w:t xml:space="preserve"> Guatemala, </w:t>
      </w:r>
      <w:r>
        <w:rPr>
          <w:lang w:val="fr-FR"/>
        </w:rPr>
        <w:t>Indonésie</w:t>
      </w:r>
      <w:r w:rsidR="00BA5A81" w:rsidRPr="00BA5A81">
        <w:rPr>
          <w:lang w:val="fr-FR"/>
        </w:rPr>
        <w:t xml:space="preserve">, </w:t>
      </w:r>
      <w:r>
        <w:rPr>
          <w:rFonts w:eastAsia="MS Mincho"/>
          <w:lang w:val="fr-FR"/>
        </w:rPr>
        <w:t>Japon, Maroc, Mexique, Népal, Nouvelle-Zélande</w:t>
      </w:r>
      <w:r w:rsidR="00BA5A81" w:rsidRPr="00BA5A81">
        <w:rPr>
          <w:rFonts w:eastAsia="MS Mincho"/>
          <w:lang w:val="fr-FR"/>
        </w:rPr>
        <w:t>, N</w:t>
      </w:r>
      <w:r>
        <w:rPr>
          <w:rFonts w:eastAsia="MS Mincho"/>
          <w:lang w:val="fr-FR"/>
        </w:rPr>
        <w:t>orvège</w:t>
      </w:r>
      <w:r w:rsidR="00BA5A81" w:rsidRPr="00BA5A81">
        <w:rPr>
          <w:rFonts w:eastAsia="MS Mincho"/>
          <w:lang w:val="fr-FR"/>
        </w:rPr>
        <w:t xml:space="preserve">, </w:t>
      </w:r>
      <w:r>
        <w:rPr>
          <w:rFonts w:eastAsia="MS Mincho"/>
          <w:lang w:val="fr-FR"/>
        </w:rPr>
        <w:t>Pays-Bas, République de</w:t>
      </w:r>
      <w:r w:rsidR="00BA5A81" w:rsidRPr="00BA5A81">
        <w:rPr>
          <w:rFonts w:eastAsia="MS Mincho"/>
          <w:lang w:val="fr-FR"/>
        </w:rPr>
        <w:t xml:space="preserve"> Moldova,</w:t>
      </w:r>
      <w:r w:rsidR="009A3088">
        <w:rPr>
          <w:rFonts w:eastAsia="MS Mincho"/>
          <w:lang w:val="fr-FR"/>
        </w:rPr>
        <w:t xml:space="preserve"> Royaume-Uni</w:t>
      </w:r>
      <w:r w:rsidR="001776C9">
        <w:rPr>
          <w:rFonts w:eastAsia="MS Mincho"/>
          <w:lang w:val="fr-FR"/>
        </w:rPr>
        <w:t>,</w:t>
      </w:r>
      <w:r w:rsidR="00BA5A81" w:rsidRPr="00BA5A81">
        <w:rPr>
          <w:rFonts w:eastAsia="MS Mincho"/>
          <w:lang w:val="fr-FR"/>
        </w:rPr>
        <w:t xml:space="preserve"> </w:t>
      </w:r>
      <w:r w:rsidR="00BA5A81" w:rsidRPr="00BA5A81">
        <w:rPr>
          <w:lang w:val="fr-FR"/>
        </w:rPr>
        <w:t xml:space="preserve">Rwanda, </w:t>
      </w:r>
      <w:r>
        <w:rPr>
          <w:rFonts w:eastAsia="MS Mincho"/>
          <w:lang w:val="fr-FR"/>
        </w:rPr>
        <w:t>Suède</w:t>
      </w:r>
      <w:r w:rsidR="00BA5A81" w:rsidRPr="00BA5A81">
        <w:rPr>
          <w:rFonts w:eastAsia="MS Mincho"/>
          <w:lang w:val="fr-FR"/>
        </w:rPr>
        <w:t>,</w:t>
      </w:r>
      <w:r>
        <w:rPr>
          <w:lang w:val="fr-FR"/>
        </w:rPr>
        <w:t xml:space="preserve"> Suisse</w:t>
      </w:r>
      <w:r w:rsidR="001776C9">
        <w:rPr>
          <w:lang w:val="fr-FR"/>
        </w:rPr>
        <w:t xml:space="preserve">, </w:t>
      </w:r>
      <w:r>
        <w:rPr>
          <w:rFonts w:eastAsia="MS Mincho"/>
          <w:lang w:val="fr-FR"/>
        </w:rPr>
        <w:t xml:space="preserve">Union européenne </w:t>
      </w:r>
      <w:r w:rsidR="001776C9">
        <w:rPr>
          <w:rFonts w:eastAsia="MS Mincho"/>
          <w:lang w:val="fr-FR"/>
        </w:rPr>
        <w:t>et</w:t>
      </w:r>
      <w:r w:rsidR="00BA5A81" w:rsidRPr="00BA5A81">
        <w:rPr>
          <w:rFonts w:eastAsia="MS Mincho"/>
          <w:lang w:val="fr-FR"/>
        </w:rPr>
        <w:t xml:space="preserve"> </w:t>
      </w:r>
      <w:r w:rsidR="00BA5A81" w:rsidRPr="00BA5A81">
        <w:rPr>
          <w:lang w:val="fr-FR"/>
        </w:rPr>
        <w:t>V</w:t>
      </w:r>
      <w:r w:rsidR="001776C9">
        <w:rPr>
          <w:lang w:val="fr-FR"/>
        </w:rPr>
        <w:t>enezuela (République bolivarienne du</w:t>
      </w:r>
      <w:r w:rsidR="00BA5A81" w:rsidRPr="00BA5A81">
        <w:rPr>
          <w:lang w:val="fr-FR"/>
        </w:rPr>
        <w:t>).</w:t>
      </w:r>
    </w:p>
    <w:p w:rsidR="00BA5A81" w:rsidRPr="00475A35" w:rsidRDefault="001776C9" w:rsidP="00BA5A81">
      <w:pPr>
        <w:pStyle w:val="Para1"/>
        <w:suppressLineNumbers/>
        <w:tabs>
          <w:tab w:val="clear" w:pos="360"/>
          <w:tab w:val="num" w:pos="720"/>
        </w:tabs>
        <w:suppressAutoHyphens/>
        <w:rPr>
          <w:rFonts w:eastAsia="MS Mincho"/>
          <w:kern w:val="22"/>
          <w:szCs w:val="22"/>
          <w:lang w:val="fr-FR"/>
        </w:rPr>
      </w:pPr>
      <w:r>
        <w:rPr>
          <w:lang w:val="fr-FR"/>
        </w:rPr>
        <w:t xml:space="preserve">Après un échange de vues, la présidente a demandé à Mme </w:t>
      </w:r>
      <w:r w:rsidR="00BA5A81" w:rsidRPr="00BA5A81">
        <w:rPr>
          <w:noProof/>
          <w:lang w:val="fr-FR"/>
        </w:rPr>
        <w:t>Natalhie Campos-Reales</w:t>
      </w:r>
      <w:r w:rsidR="00BA5A81" w:rsidRPr="00BA5A81">
        <w:rPr>
          <w:lang w:val="fr-FR"/>
        </w:rPr>
        <w:t xml:space="preserve"> (</w:t>
      </w:r>
      <w:r w:rsidR="00475A35">
        <w:rPr>
          <w:lang w:val="fr-FR"/>
        </w:rPr>
        <w:t>Mexique) de diriger</w:t>
      </w:r>
      <w:r>
        <w:rPr>
          <w:lang w:val="fr-FR"/>
        </w:rPr>
        <w:t xml:space="preserve"> un groupe d’amis de la présidente pour assister l’élaboration d’un texte révisé pour examen par l’Organe subsidiaire.</w:t>
      </w:r>
    </w:p>
    <w:p w:rsidR="00475A35" w:rsidRPr="00BA5A81" w:rsidRDefault="00475A35" w:rsidP="00BA5A81">
      <w:pPr>
        <w:pStyle w:val="Para1"/>
        <w:suppressLineNumbers/>
        <w:tabs>
          <w:tab w:val="clear" w:pos="360"/>
          <w:tab w:val="num" w:pos="720"/>
        </w:tabs>
        <w:suppressAutoHyphens/>
        <w:rPr>
          <w:rFonts w:eastAsia="MS Mincho"/>
          <w:kern w:val="22"/>
          <w:szCs w:val="22"/>
          <w:lang w:val="fr-FR"/>
        </w:rPr>
      </w:pPr>
      <w:r>
        <w:rPr>
          <w:lang w:val="fr-FR"/>
        </w:rPr>
        <w:t>À la 11</w:t>
      </w:r>
      <w:r w:rsidRPr="00475A35">
        <w:rPr>
          <w:vertAlign w:val="superscript"/>
          <w:lang w:val="fr-FR"/>
        </w:rPr>
        <w:t>ème</w:t>
      </w:r>
      <w:r>
        <w:rPr>
          <w:lang w:val="fr-FR"/>
        </w:rPr>
        <w:t xml:space="preserve"> séance de la réunion, le 6 juillet 2018, l’Organe subsidiaire, présidé par Mme Theresa </w:t>
      </w:r>
      <w:r>
        <w:rPr>
          <w:noProof/>
          <w:lang w:val="fr-FR"/>
        </w:rPr>
        <w:t>Mundita</w:t>
      </w:r>
      <w:r>
        <w:rPr>
          <w:lang w:val="fr-FR"/>
        </w:rPr>
        <w:t xml:space="preserve"> Lim (Philippines), a examiné le texte r</w:t>
      </w:r>
      <w:r w:rsidR="008075A1">
        <w:rPr>
          <w:lang w:val="fr-FR"/>
        </w:rPr>
        <w:t>évisé présenté par la facilitatrice</w:t>
      </w:r>
      <w:r>
        <w:rPr>
          <w:lang w:val="fr-FR"/>
        </w:rPr>
        <w:t xml:space="preserve">. Après un échange de vues, le projet de recommandation révisé a été approuvé, tel qu’amendé oralement, pour adoption officielle par l’Organe subsidiaire en tant que </w:t>
      </w:r>
      <w:r w:rsidR="002C0F8D">
        <w:rPr>
          <w:lang w:val="fr-FR"/>
        </w:rPr>
        <w:t xml:space="preserve">projet de </w:t>
      </w:r>
      <w:r>
        <w:rPr>
          <w:lang w:val="fr-FR"/>
        </w:rPr>
        <w:t>recommandation CBD/SBSTTA.22/L.6.</w:t>
      </w:r>
    </w:p>
    <w:p w:rsidR="00440EFB" w:rsidRPr="002F102A" w:rsidRDefault="002F102A" w:rsidP="008E72D6">
      <w:pPr>
        <w:pStyle w:val="Para1"/>
        <w:suppressLineNumbers/>
        <w:tabs>
          <w:tab w:val="clear" w:pos="360"/>
          <w:tab w:val="num" w:pos="720"/>
        </w:tabs>
        <w:suppressAutoHyphens/>
        <w:rPr>
          <w:rFonts w:eastAsia="MS Mincho"/>
          <w:kern w:val="22"/>
          <w:szCs w:val="22"/>
          <w:lang w:val="fr-FR"/>
        </w:rPr>
      </w:pPr>
      <w:r w:rsidRPr="002F102A">
        <w:rPr>
          <w:rFonts w:eastAsia="MS Mincho"/>
          <w:lang w:val="fr-FR"/>
        </w:rPr>
        <w:t>A la 13</w:t>
      </w:r>
      <w:r w:rsidRPr="00C94AC5">
        <w:rPr>
          <w:rFonts w:eastAsia="MS Mincho"/>
          <w:vertAlign w:val="superscript"/>
          <w:lang w:val="fr-FR"/>
        </w:rPr>
        <w:t>ème</w:t>
      </w:r>
      <w:r w:rsidRPr="002F102A">
        <w:rPr>
          <w:rFonts w:eastAsia="MS Mincho"/>
          <w:lang w:val="fr-FR"/>
        </w:rPr>
        <w:t xml:space="preserve"> séance de la réunion</w:t>
      </w:r>
      <w:r w:rsidR="008075A1" w:rsidRPr="002F102A">
        <w:rPr>
          <w:rFonts w:eastAsia="MS Mincho"/>
          <w:lang w:val="fr-FR"/>
        </w:rPr>
        <w:t xml:space="preserve">, </w:t>
      </w:r>
      <w:r w:rsidRPr="002F102A">
        <w:rPr>
          <w:rFonts w:eastAsia="MS Mincho"/>
          <w:lang w:val="fr-FR"/>
        </w:rPr>
        <w:t>le 7 juillet</w:t>
      </w:r>
      <w:r w:rsidR="008075A1" w:rsidRPr="002F102A">
        <w:rPr>
          <w:rFonts w:eastAsia="MS Mincho"/>
          <w:lang w:val="fr-FR"/>
        </w:rPr>
        <w:t xml:space="preserve"> 2018, </w:t>
      </w:r>
      <w:r>
        <w:rPr>
          <w:rFonts w:eastAsia="MS Mincho"/>
          <w:lang w:val="fr-FR"/>
        </w:rPr>
        <w:t>l’Organe subsidiaire a adopté</w:t>
      </w:r>
      <w:r w:rsidR="00C94AC5">
        <w:rPr>
          <w:rFonts w:eastAsia="MS Mincho"/>
          <w:lang w:val="fr-FR"/>
        </w:rPr>
        <w:t xml:space="preserve"> CBD/SBSTTA/22/L.6 comme</w:t>
      </w:r>
      <w:r w:rsidR="008075A1" w:rsidRPr="002F102A">
        <w:rPr>
          <w:rFonts w:eastAsia="MS Mincho"/>
          <w:lang w:val="fr-FR"/>
        </w:rPr>
        <w:t xml:space="preserve"> </w:t>
      </w:r>
      <w:r w:rsidR="000333BE">
        <w:rPr>
          <w:rFonts w:eastAsia="MS Mincho"/>
          <w:lang w:val="fr-FR"/>
        </w:rPr>
        <w:t>recommand</w:t>
      </w:r>
      <w:r w:rsidR="008075A1" w:rsidRPr="002F102A">
        <w:rPr>
          <w:rFonts w:eastAsia="MS Mincho"/>
          <w:lang w:val="fr-FR"/>
        </w:rPr>
        <w:t xml:space="preserve">ation 22/3. </w:t>
      </w:r>
      <w:r w:rsidRPr="002F102A">
        <w:rPr>
          <w:rFonts w:eastAsia="MS Mincho"/>
          <w:lang w:val="fr-FR"/>
        </w:rPr>
        <w:t>Le texte de la recommandation, tel qu’adopté, figure dans la partie I du présent rapport</w:t>
      </w:r>
      <w:r w:rsidR="008075A1" w:rsidRPr="002F102A">
        <w:rPr>
          <w:rFonts w:eastAsia="MS Mincho"/>
          <w:lang w:val="fr-FR"/>
        </w:rPr>
        <w:t>.</w:t>
      </w:r>
    </w:p>
    <w:p w:rsidR="001B6FA7" w:rsidRPr="00F764B7" w:rsidRDefault="00F764B7" w:rsidP="00F764B7">
      <w:pPr>
        <w:pStyle w:val="Heading1"/>
        <w:ind w:left="1843" w:hanging="1134"/>
        <w:jc w:val="left"/>
        <w:rPr>
          <w:lang w:val="fr-FR"/>
        </w:rPr>
      </w:pPr>
      <w:bookmarkStart w:id="472" w:name="_Toc525904295"/>
      <w:bookmarkStart w:id="473" w:name="_Toc525904454"/>
      <w:bookmarkStart w:id="474" w:name="_Toc525904698"/>
      <w:r w:rsidRPr="00BA5A81">
        <w:rPr>
          <w:lang w:val="fr-FR"/>
        </w:rPr>
        <w:t>point</w:t>
      </w:r>
      <w:r w:rsidR="00F92FAE" w:rsidRPr="00BA5A81">
        <w:rPr>
          <w:lang w:val="fr-FR"/>
        </w:rPr>
        <w:t xml:space="preserve"> 6.</w:t>
      </w:r>
      <w:r w:rsidR="00F92FAE" w:rsidRPr="00BA5A81">
        <w:rPr>
          <w:lang w:val="fr-FR"/>
        </w:rPr>
        <w:tab/>
      </w:r>
      <w:r w:rsidRPr="00BA5A81">
        <w:rPr>
          <w:snapToGrid w:val="0"/>
          <w:kern w:val="22"/>
          <w:szCs w:val="22"/>
          <w:lang w:val="fr-FR"/>
        </w:rPr>
        <w:t>Évaluation</w:t>
      </w:r>
      <w:r>
        <w:rPr>
          <w:snapToGrid w:val="0"/>
          <w:kern w:val="22"/>
          <w:szCs w:val="22"/>
          <w:lang w:val="fr-FR"/>
        </w:rPr>
        <w:t xml:space="preserve"> scientifique actualisÉe des progrÈs accomplis dans la rÉ</w:t>
      </w:r>
      <w:r w:rsidRPr="00F764B7">
        <w:rPr>
          <w:snapToGrid w:val="0"/>
          <w:kern w:val="22"/>
          <w:szCs w:val="22"/>
          <w:lang w:val="fr-FR"/>
        </w:rPr>
        <w:t xml:space="preserve">alisation des </w:t>
      </w:r>
      <w:r w:rsidR="008075A1">
        <w:rPr>
          <w:snapToGrid w:val="0"/>
          <w:kern w:val="22"/>
          <w:szCs w:val="22"/>
          <w:lang w:val="fr-FR"/>
        </w:rPr>
        <w:t>Objectifs d’Aichi</w:t>
      </w:r>
      <w:r>
        <w:rPr>
          <w:snapToGrid w:val="0"/>
          <w:kern w:val="22"/>
          <w:szCs w:val="22"/>
          <w:lang w:val="fr-FR"/>
        </w:rPr>
        <w:t xml:space="preserve"> pour la biodiversitÉ sÉlectionnÉ</w:t>
      </w:r>
      <w:r w:rsidR="008075A1">
        <w:rPr>
          <w:snapToGrid w:val="0"/>
          <w:kern w:val="22"/>
          <w:szCs w:val="22"/>
          <w:lang w:val="fr-FR"/>
        </w:rPr>
        <w:t>s et options</w:t>
      </w:r>
      <w:r>
        <w:rPr>
          <w:snapToGrid w:val="0"/>
          <w:kern w:val="22"/>
          <w:szCs w:val="22"/>
          <w:lang w:val="fr-FR"/>
        </w:rPr>
        <w:t xml:space="preserve"> pour accÉlÉ</w:t>
      </w:r>
      <w:r w:rsidRPr="00F764B7">
        <w:rPr>
          <w:snapToGrid w:val="0"/>
          <w:kern w:val="22"/>
          <w:szCs w:val="22"/>
          <w:lang w:val="fr-FR"/>
        </w:rPr>
        <w:t>re</w:t>
      </w:r>
      <w:r>
        <w:rPr>
          <w:snapToGrid w:val="0"/>
          <w:kern w:val="22"/>
          <w:szCs w:val="22"/>
          <w:lang w:val="fr-FR"/>
        </w:rPr>
        <w:t>r ces progrÈ</w:t>
      </w:r>
      <w:r w:rsidRPr="00F764B7">
        <w:rPr>
          <w:snapToGrid w:val="0"/>
          <w:kern w:val="22"/>
          <w:szCs w:val="22"/>
          <w:lang w:val="fr-FR"/>
        </w:rPr>
        <w:t>s</w:t>
      </w:r>
      <w:bookmarkEnd w:id="472"/>
      <w:bookmarkEnd w:id="473"/>
      <w:bookmarkEnd w:id="474"/>
    </w:p>
    <w:p w:rsidR="009065E1" w:rsidRPr="00311BAC" w:rsidRDefault="00F764B7" w:rsidP="009359EB">
      <w:pPr>
        <w:pStyle w:val="Para1"/>
        <w:tabs>
          <w:tab w:val="clear" w:pos="360"/>
        </w:tabs>
        <w:rPr>
          <w:rFonts w:eastAsia="MS Mincho"/>
          <w:lang w:val="fr-FR"/>
        </w:rPr>
      </w:pPr>
      <w:r w:rsidRPr="00EA5B83">
        <w:rPr>
          <w:lang w:val="fr-FR"/>
        </w:rPr>
        <w:t xml:space="preserve">À la </w:t>
      </w:r>
      <w:r w:rsidR="00440EFB">
        <w:rPr>
          <w:kern w:val="22"/>
          <w:szCs w:val="22"/>
          <w:lang w:val="fr-FR"/>
        </w:rPr>
        <w:t>3</w:t>
      </w:r>
      <w:r w:rsidR="00440EFB" w:rsidRPr="00440EFB">
        <w:rPr>
          <w:kern w:val="22"/>
          <w:szCs w:val="22"/>
          <w:vertAlign w:val="superscript"/>
          <w:lang w:val="fr-FR"/>
        </w:rPr>
        <w:t>ème</w:t>
      </w:r>
      <w:r w:rsidR="009065E1" w:rsidRPr="00EA5B83">
        <w:rPr>
          <w:vertAlign w:val="superscript"/>
          <w:lang w:val="fr-FR"/>
        </w:rPr>
        <w:t xml:space="preserve"> </w:t>
      </w:r>
      <w:r w:rsidRPr="00EA5B83">
        <w:rPr>
          <w:lang w:val="fr-FR"/>
        </w:rPr>
        <w:t xml:space="preserve">séance de la réunion, le </w:t>
      </w:r>
      <w:r w:rsidR="00440EFB">
        <w:rPr>
          <w:kern w:val="22"/>
          <w:szCs w:val="22"/>
          <w:lang w:val="fr-FR"/>
        </w:rPr>
        <w:t>3 juillet 2018</w:t>
      </w:r>
      <w:r w:rsidR="009065E1" w:rsidRPr="00EA5B83">
        <w:rPr>
          <w:lang w:val="fr-FR"/>
        </w:rPr>
        <w:t>,</w:t>
      </w:r>
      <w:r w:rsidR="004F034D">
        <w:rPr>
          <w:lang w:val="fr-FR"/>
        </w:rPr>
        <w:t xml:space="preserve"> sous la présidence de</w:t>
      </w:r>
      <w:r w:rsidR="00440EFB">
        <w:rPr>
          <w:lang w:val="fr-FR"/>
        </w:rPr>
        <w:t xml:space="preserve"> Mme Eugenia Arguedas Montezuma (Costa Rica),</w:t>
      </w:r>
      <w:r w:rsidR="009065E1" w:rsidRPr="00EA5B83">
        <w:rPr>
          <w:lang w:val="fr-FR"/>
        </w:rPr>
        <w:t xml:space="preserve"> </w:t>
      </w:r>
      <w:r w:rsidR="00442AD7" w:rsidRPr="00EA5B83">
        <w:rPr>
          <w:kern w:val="22"/>
          <w:szCs w:val="22"/>
          <w:lang w:val="fr-FR"/>
        </w:rPr>
        <w:t xml:space="preserve">l’Organe subsidiaire a examiné le point 6 de l’ordre du jour. Il était saisi pour ce faire d’une note de la Secrétaire exécutive sur l’évaluation scientifique actualisée des progrès accomplis dans la réalisation des Objectifs d’Aichi pour la biodiversité sélectionnés et les mesures pouvant être prises pour accélérer ces </w:t>
      </w:r>
      <w:r w:rsidR="00DA36F7" w:rsidRPr="00EA5B83">
        <w:rPr>
          <w:kern w:val="22"/>
          <w:szCs w:val="22"/>
          <w:lang w:val="fr-FR"/>
        </w:rPr>
        <w:t>progrès</w:t>
      </w:r>
      <w:r w:rsidR="00442AD7" w:rsidRPr="00EA5B83">
        <w:rPr>
          <w:kern w:val="22"/>
          <w:szCs w:val="22"/>
          <w:lang w:val="fr-FR"/>
        </w:rPr>
        <w:t xml:space="preserve"> </w:t>
      </w:r>
      <w:r w:rsidR="007D56BD" w:rsidRPr="00EA5B83">
        <w:rPr>
          <w:rFonts w:eastAsia="MS Mincho"/>
          <w:lang w:val="fr-FR"/>
        </w:rPr>
        <w:t>(CBD/SBSTTA/22/5)</w:t>
      </w:r>
      <w:r w:rsidR="003E2359" w:rsidRPr="00EA5B83">
        <w:rPr>
          <w:rFonts w:eastAsia="MS Mincho"/>
          <w:lang w:val="fr-FR"/>
        </w:rPr>
        <w:t>,</w:t>
      </w:r>
      <w:r w:rsidR="00DA36F7" w:rsidRPr="00EA5B83">
        <w:rPr>
          <w:rFonts w:eastAsia="MS Mincho"/>
          <w:lang w:val="fr-FR"/>
        </w:rPr>
        <w:t xml:space="preserve"> des résumés pour décideurs de l’évaluation thématique sur la dégradation et la restauration des terres de l’IPBES et des évaluations régionales de la biodiversité et des services écosystémiques de l’Afrique, des Amériques, de l’Asie et du Pacifique</w:t>
      </w:r>
      <w:r w:rsidR="00EA5B83" w:rsidRPr="00EA5B83">
        <w:rPr>
          <w:rFonts w:eastAsia="MS Mincho"/>
          <w:lang w:val="fr-FR"/>
        </w:rPr>
        <w:t xml:space="preserve">, de l’Europe et de l’Asie centrale </w:t>
      </w:r>
      <w:r w:rsidR="003E2359" w:rsidRPr="00EA5B83">
        <w:rPr>
          <w:lang w:val="fr-FR"/>
        </w:rPr>
        <w:t>(</w:t>
      </w:r>
      <w:r w:rsidR="003E2359" w:rsidRPr="00EA5B83">
        <w:rPr>
          <w:rFonts w:eastAsia="MS Mincho"/>
          <w:lang w:val="fr-FR"/>
        </w:rPr>
        <w:t>CBD/SBSTTA/22/INF/5</w:t>
      </w:r>
      <w:r w:rsidR="00EA5B83" w:rsidRPr="00EA5B83">
        <w:rPr>
          <w:lang w:val="fr-FR"/>
        </w:rPr>
        <w:t>) et de documents d’information sur l’</w:t>
      </w:r>
      <w:r w:rsidR="00EA5B83" w:rsidRPr="00EA5B83">
        <w:rPr>
          <w:kern w:val="22"/>
          <w:szCs w:val="22"/>
          <w:lang w:val="fr-FR"/>
        </w:rPr>
        <w:t xml:space="preserve">évaluation scientifique actualisée des progrès accomplis dans la réalisation des </w:t>
      </w:r>
      <w:r w:rsidR="008075A1">
        <w:rPr>
          <w:kern w:val="22"/>
          <w:szCs w:val="22"/>
          <w:lang w:val="fr-FR"/>
        </w:rPr>
        <w:t>Objectifs d’Aichi</w:t>
      </w:r>
      <w:r w:rsidR="00EA5B83" w:rsidRPr="00EA5B83">
        <w:rPr>
          <w:kern w:val="22"/>
          <w:szCs w:val="22"/>
          <w:lang w:val="fr-FR"/>
        </w:rPr>
        <w:t xml:space="preserve"> pour la biodiversité sélectionnés et mesures pouvant être prises pour accélérer ces progrès </w:t>
      </w:r>
      <w:r w:rsidR="003E2359" w:rsidRPr="00EA5B83">
        <w:rPr>
          <w:lang w:val="fr-FR"/>
        </w:rPr>
        <w:t>(</w:t>
      </w:r>
      <w:r w:rsidR="003E2359" w:rsidRPr="00EA5B83">
        <w:rPr>
          <w:rFonts w:eastAsia="MS Mincho"/>
          <w:lang w:val="fr-FR"/>
        </w:rPr>
        <w:t>CBD/SBSTTA/22/INF/10</w:t>
      </w:r>
      <w:r w:rsidR="00EA5B83">
        <w:rPr>
          <w:lang w:val="fr-FR"/>
        </w:rPr>
        <w:t xml:space="preserve">), des options pour accélérer les progrès vers la réalisation des Objectifs 11 et </w:t>
      </w:r>
      <w:r w:rsidR="00EA5B83">
        <w:rPr>
          <w:lang w:val="fr-FR"/>
        </w:rPr>
        <w:lastRenderedPageBreak/>
        <w:t xml:space="preserve">12 d’Aichi pour la biodiversité </w:t>
      </w:r>
      <w:r w:rsidR="003E2359" w:rsidRPr="00EA5B83">
        <w:rPr>
          <w:lang w:val="fr-FR"/>
        </w:rPr>
        <w:t>(</w:t>
      </w:r>
      <w:r w:rsidR="003E2359" w:rsidRPr="00EA5B83">
        <w:rPr>
          <w:rFonts w:eastAsia="MS Mincho"/>
          <w:lang w:val="fr-FR"/>
        </w:rPr>
        <w:t>CBD/SBSTTA/22/INF/23</w:t>
      </w:r>
      <w:r w:rsidR="003E2359" w:rsidRPr="00EA5B83">
        <w:rPr>
          <w:lang w:val="fr-FR"/>
        </w:rPr>
        <w:t xml:space="preserve">), </w:t>
      </w:r>
      <w:r w:rsidR="00EA5B83">
        <w:rPr>
          <w:lang w:val="fr-FR"/>
        </w:rPr>
        <w:t>l’identification et la mise à l’échelle de solutions locales pour la réalisation des objectifs mondiaux :</w:t>
      </w:r>
      <w:r w:rsidR="008075A1">
        <w:rPr>
          <w:lang w:val="fr-FR"/>
        </w:rPr>
        <w:t xml:space="preserve">  l’initiative Panorama</w:t>
      </w:r>
      <w:r w:rsidR="001A4F13">
        <w:rPr>
          <w:lang w:val="fr-FR"/>
        </w:rPr>
        <w:t xml:space="preserve"> – solutions pour une planète saine </w:t>
      </w:r>
      <w:r w:rsidR="003E2359" w:rsidRPr="00EA5B83">
        <w:rPr>
          <w:lang w:val="fr-FR"/>
        </w:rPr>
        <w:t>(</w:t>
      </w:r>
      <w:r w:rsidR="003E2359" w:rsidRPr="00EA5B83">
        <w:rPr>
          <w:rFonts w:eastAsia="MS Mincho"/>
          <w:lang w:val="fr-FR"/>
        </w:rPr>
        <w:t>CBD/SBSTTA/22/INF/26</w:t>
      </w:r>
      <w:r w:rsidR="003E2359" w:rsidRPr="00EA5B83">
        <w:rPr>
          <w:lang w:val="fr-FR"/>
        </w:rPr>
        <w:t xml:space="preserve">), </w:t>
      </w:r>
      <w:r w:rsidR="001A4F13">
        <w:rPr>
          <w:lang w:val="fr-FR"/>
        </w:rPr>
        <w:t xml:space="preserve">la situation actualisée de l’Objectif </w:t>
      </w:r>
      <w:r w:rsidR="008075A1">
        <w:rPr>
          <w:lang w:val="fr-FR"/>
        </w:rPr>
        <w:t>11 d’Aichi pour la biodiversité</w:t>
      </w:r>
      <w:r w:rsidR="001A4F13">
        <w:rPr>
          <w:lang w:val="fr-FR"/>
        </w:rPr>
        <w:t xml:space="preserve"> </w:t>
      </w:r>
      <w:r w:rsidR="003E2359" w:rsidRPr="00EA5B83">
        <w:rPr>
          <w:lang w:val="fr-FR"/>
        </w:rPr>
        <w:t>(</w:t>
      </w:r>
      <w:r w:rsidR="003E2359" w:rsidRPr="00EA5B83">
        <w:rPr>
          <w:rFonts w:eastAsia="MS Mincho"/>
          <w:lang w:val="fr-FR"/>
        </w:rPr>
        <w:t>CBD/SBSTTA/22/INF/30</w:t>
      </w:r>
      <w:r w:rsidR="001A4F13">
        <w:rPr>
          <w:lang w:val="fr-FR"/>
        </w:rPr>
        <w:t>), l’utilisation efficace des connaissances dans l’élaboration du cadre mondial de la biodiversité pour l’après-2020 (</w:t>
      </w:r>
      <w:r w:rsidR="003E2359" w:rsidRPr="00EA5B83">
        <w:rPr>
          <w:rFonts w:eastAsia="MS Mincho"/>
          <w:lang w:val="fr-FR"/>
        </w:rPr>
        <w:t>CBD/SBSTTA/22/INF/31</w:t>
      </w:r>
      <w:r w:rsidR="003E2359" w:rsidRPr="00EA5B83">
        <w:rPr>
          <w:lang w:val="fr-FR"/>
        </w:rPr>
        <w:t xml:space="preserve">), </w:t>
      </w:r>
      <w:r w:rsidR="001A4F13">
        <w:rPr>
          <w:lang w:val="fr-FR"/>
        </w:rPr>
        <w:t xml:space="preserve">le soutien de la réalisation de l’Objectif d’Aichi pour la biodiversité 12 du Plan stratégique pour la diversité biologique </w:t>
      </w:r>
      <w:r w:rsidR="003E2359" w:rsidRPr="00EA5B83">
        <w:rPr>
          <w:lang w:val="fr-FR"/>
        </w:rPr>
        <w:t>2011-2020 (</w:t>
      </w:r>
      <w:r w:rsidR="003E2359" w:rsidRPr="00EA5B83">
        <w:rPr>
          <w:rFonts w:eastAsia="MS Mincho"/>
          <w:lang w:val="fr-FR"/>
        </w:rPr>
        <w:t>CBD/SBSTTA/22/INF/32</w:t>
      </w:r>
      <w:r w:rsidR="003E2359" w:rsidRPr="00EA5B83">
        <w:rPr>
          <w:lang w:val="fr-FR"/>
        </w:rPr>
        <w:t xml:space="preserve">), </w:t>
      </w:r>
      <w:r w:rsidR="001A4F13">
        <w:rPr>
          <w:lang w:val="fr-FR"/>
        </w:rPr>
        <w:t xml:space="preserve">les données factuelles soutenant une action renforcée pour relier les gens avec la nature comme stratégie clé pour la réalisation des Objectifs d’Aichi pour la biodiversité et l’application de la Convention après 2020 </w:t>
      </w:r>
      <w:r w:rsidR="003E2359" w:rsidRPr="00EA5B83">
        <w:rPr>
          <w:lang w:val="fr-FR"/>
        </w:rPr>
        <w:t>(</w:t>
      </w:r>
      <w:r w:rsidR="003E2359" w:rsidRPr="00EA5B83">
        <w:rPr>
          <w:rFonts w:eastAsia="MS Mincho"/>
          <w:lang w:val="fr-FR"/>
        </w:rPr>
        <w:t>CBD/SBSTTA/22/INF/34</w:t>
      </w:r>
      <w:r w:rsidR="003E2359" w:rsidRPr="00EA5B83">
        <w:rPr>
          <w:lang w:val="fr-FR"/>
        </w:rPr>
        <w:t xml:space="preserve">), </w:t>
      </w:r>
      <w:r w:rsidR="00D25459">
        <w:rPr>
          <w:lang w:val="fr-FR"/>
        </w:rPr>
        <w:t xml:space="preserve">une évaluation documentaire et analyse des enseignements tirés des progrès accomplis dans la réalisation des Objectifs d’Aichi pour la biodiversité – contribution de la Royal </w:t>
      </w:r>
      <w:r w:rsidR="003E2359" w:rsidRPr="00EA5B83">
        <w:rPr>
          <w:lang w:val="fr-FR"/>
        </w:rPr>
        <w:t>Society</w:t>
      </w:r>
      <w:r w:rsidR="00D25459">
        <w:rPr>
          <w:lang w:val="fr-FR"/>
        </w:rPr>
        <w:t xml:space="preserve"> for the Protection of </w:t>
      </w:r>
      <w:r w:rsidR="00D25459">
        <w:rPr>
          <w:noProof/>
          <w:lang w:val="fr-FR"/>
        </w:rPr>
        <w:t>Birds et de Birdlife</w:t>
      </w:r>
      <w:r w:rsidR="00D25459">
        <w:rPr>
          <w:lang w:val="fr-FR"/>
        </w:rPr>
        <w:t xml:space="preserve"> International à la vingt-deuxième réunion de l’Organe subsidiaire chargé de fournir des avis scientifiques, techniques et technologiques et à la quatorzième réunion de la Conférence des Parties à la Convention sur la diversité biologique </w:t>
      </w:r>
      <w:r w:rsidR="003E2359" w:rsidRPr="00442AD7">
        <w:rPr>
          <w:lang w:val="fr-FR"/>
        </w:rPr>
        <w:t>(</w:t>
      </w:r>
      <w:r w:rsidR="003E2359" w:rsidRPr="00442AD7">
        <w:rPr>
          <w:rFonts w:eastAsia="MS Mincho"/>
          <w:lang w:val="fr-FR"/>
        </w:rPr>
        <w:t>CBD/SBSTTA/22/INF/35</w:t>
      </w:r>
      <w:r w:rsidR="001956D6">
        <w:rPr>
          <w:lang w:val="fr-FR"/>
        </w:rPr>
        <w:t>).</w:t>
      </w:r>
    </w:p>
    <w:p w:rsidR="001B569F" w:rsidRPr="001B569F" w:rsidRDefault="001B569F" w:rsidP="001B569F">
      <w:pPr>
        <w:pStyle w:val="Para1"/>
        <w:tabs>
          <w:tab w:val="clear" w:pos="360"/>
        </w:tabs>
        <w:rPr>
          <w:rFonts w:eastAsia="MS Mincho"/>
          <w:noProof/>
          <w:lang w:val="fr-FR"/>
        </w:rPr>
      </w:pPr>
      <w:r w:rsidRPr="001B569F">
        <w:rPr>
          <w:noProof/>
          <w:lang w:val="fr-FR"/>
        </w:rPr>
        <w:t xml:space="preserve">Des exposés ont été présentés par M. Mark Rounsevall, </w:t>
      </w:r>
      <w:r w:rsidR="008075A1">
        <w:rPr>
          <w:noProof/>
          <w:lang w:val="fr-FR"/>
        </w:rPr>
        <w:t>de l’Université d’Edinbourg,</w:t>
      </w:r>
      <w:r>
        <w:rPr>
          <w:noProof/>
          <w:lang w:val="fr-FR"/>
        </w:rPr>
        <w:t xml:space="preserve"> </w:t>
      </w:r>
      <w:r w:rsidR="009A3088">
        <w:rPr>
          <w:noProof/>
          <w:lang w:val="fr-FR"/>
        </w:rPr>
        <w:t>Royaume-Uni</w:t>
      </w:r>
      <w:r>
        <w:rPr>
          <w:noProof/>
          <w:lang w:val="fr-FR"/>
        </w:rPr>
        <w:t xml:space="preserve">, par l’Institut de Technologie de Karlsruher, en Allemagne, Mme </w:t>
      </w:r>
      <w:r w:rsidRPr="001B569F">
        <w:rPr>
          <w:noProof/>
          <w:lang w:val="fr-FR"/>
        </w:rPr>
        <w:t xml:space="preserve">Sonali Senaratna Sellamuttu, </w:t>
      </w:r>
      <w:r>
        <w:rPr>
          <w:noProof/>
          <w:lang w:val="fr-FR"/>
        </w:rPr>
        <w:t xml:space="preserve"> de l’</w:t>
      </w:r>
      <w:r w:rsidRPr="001B569F">
        <w:rPr>
          <w:noProof/>
          <w:lang w:val="fr-FR"/>
        </w:rPr>
        <w:t xml:space="preserve">International Water Management Institute, </w:t>
      </w:r>
      <w:r>
        <w:rPr>
          <w:noProof/>
          <w:lang w:val="fr-FR"/>
        </w:rPr>
        <w:t>en Rép</w:t>
      </w:r>
      <w:r w:rsidR="008075A1">
        <w:rPr>
          <w:noProof/>
          <w:lang w:val="fr-FR"/>
        </w:rPr>
        <w:t>ublique démocratique populaire L</w:t>
      </w:r>
      <w:r>
        <w:rPr>
          <w:noProof/>
          <w:lang w:val="fr-FR"/>
        </w:rPr>
        <w:t xml:space="preserve">ao, et par Mme </w:t>
      </w:r>
      <w:r w:rsidRPr="001B569F">
        <w:rPr>
          <w:noProof/>
          <w:lang w:val="fr-FR"/>
        </w:rPr>
        <w:t>Nichol</w:t>
      </w:r>
      <w:r>
        <w:rPr>
          <w:noProof/>
          <w:lang w:val="fr-FR"/>
        </w:rPr>
        <w:t xml:space="preserve">e Barger, </w:t>
      </w:r>
      <w:r w:rsidR="008075A1">
        <w:rPr>
          <w:noProof/>
          <w:lang w:val="fr-FR"/>
        </w:rPr>
        <w:t>de l’Université du Colorado,</w:t>
      </w:r>
      <w:r>
        <w:rPr>
          <w:noProof/>
          <w:lang w:val="fr-FR"/>
        </w:rPr>
        <w:t xml:space="preserve"> </w:t>
      </w:r>
      <w:r w:rsidR="008075A1">
        <w:rPr>
          <w:noProof/>
          <w:lang w:val="fr-FR"/>
        </w:rPr>
        <w:t xml:space="preserve">aux </w:t>
      </w:r>
      <w:r>
        <w:rPr>
          <w:noProof/>
          <w:lang w:val="fr-FR"/>
        </w:rPr>
        <w:t>États-Unis</w:t>
      </w:r>
      <w:r w:rsidRPr="001B569F">
        <w:rPr>
          <w:noProof/>
          <w:lang w:val="fr-FR"/>
        </w:rPr>
        <w:t>.</w:t>
      </w:r>
    </w:p>
    <w:p w:rsidR="001B569F" w:rsidRPr="001B569F" w:rsidRDefault="001B569F" w:rsidP="001B569F">
      <w:pPr>
        <w:pStyle w:val="Para1"/>
        <w:tabs>
          <w:tab w:val="clear" w:pos="360"/>
        </w:tabs>
        <w:rPr>
          <w:rFonts w:eastAsia="MS Mincho"/>
          <w:lang w:val="fr-FR"/>
        </w:rPr>
      </w:pPr>
      <w:r>
        <w:rPr>
          <w:noProof/>
          <w:lang w:val="fr-FR"/>
        </w:rPr>
        <w:t>M</w:t>
      </w:r>
      <w:r w:rsidRPr="001B569F">
        <w:rPr>
          <w:noProof/>
          <w:lang w:val="fr-FR"/>
        </w:rPr>
        <w:t>.</w:t>
      </w:r>
      <w:r>
        <w:rPr>
          <w:noProof/>
          <w:lang w:val="fr-FR"/>
        </w:rPr>
        <w:t xml:space="preserve"> Rounsevall et</w:t>
      </w:r>
      <w:r w:rsidRPr="001B569F">
        <w:rPr>
          <w:noProof/>
          <w:lang w:val="fr-FR"/>
        </w:rPr>
        <w:t xml:space="preserve"> </w:t>
      </w:r>
      <w:r>
        <w:rPr>
          <w:noProof/>
          <w:lang w:val="fr-FR"/>
        </w:rPr>
        <w:t>Mme</w:t>
      </w:r>
      <w:r w:rsidRPr="001B569F">
        <w:rPr>
          <w:noProof/>
          <w:lang w:val="fr-FR"/>
        </w:rPr>
        <w:t xml:space="preserve"> Senaratna Sellamuttu</w:t>
      </w:r>
      <w:r>
        <w:rPr>
          <w:lang w:val="fr-FR"/>
        </w:rPr>
        <w:t xml:space="preserve"> ont rendu compte des évaluations de l’IPBES en Afrique, </w:t>
      </w:r>
      <w:r w:rsidR="00742935">
        <w:rPr>
          <w:lang w:val="fr-FR"/>
        </w:rPr>
        <w:t xml:space="preserve">dans les Amériques, en Asie et Pacifique, en Europe et en Asie centrale. Un soin particulier a été pris pour veiller à ce que les résultats soient véritablement pertinents pour la </w:t>
      </w:r>
      <w:r w:rsidR="00922A43">
        <w:rPr>
          <w:lang w:val="fr-FR"/>
        </w:rPr>
        <w:t>prise de décisions de politique</w:t>
      </w:r>
      <w:r w:rsidR="00742935">
        <w:rPr>
          <w:lang w:val="fr-FR"/>
        </w:rPr>
        <w:t>. Les résultats montrent que les contributions de la nature aux populations dépendent de la biodiversité, mais diminue</w:t>
      </w:r>
      <w:r w:rsidR="00EF23A5">
        <w:rPr>
          <w:lang w:val="fr-FR"/>
        </w:rPr>
        <w:t>nt</w:t>
      </w:r>
      <w:r w:rsidR="00742935">
        <w:rPr>
          <w:lang w:val="fr-FR"/>
        </w:rPr>
        <w:t xml:space="preserve"> au fur et à mesure que l’utilisation matérielle de ces contributions augmente et que la biodiversité des divers écosystèmes dans toutes les régions diminue. Les causes directes en sont les changements d’occupation des sols, les changements climatiques, l’introduction croissante d’espèces exotiques envahissantes, la pollution et l’utilisation non durable des ressources naturelles. Ces causes sont exacerbées par des</w:t>
      </w:r>
      <w:r w:rsidR="00922A43">
        <w:rPr>
          <w:lang w:val="fr-FR"/>
        </w:rPr>
        <w:t xml:space="preserve"> causes indirectes telles que les influences économiques, démographiques, scientifiques, technologiques, sociales et culturelles. Les recommandations doivent être fondées  sur ces interactions complexes et dynamiques.</w:t>
      </w:r>
    </w:p>
    <w:p w:rsidR="001B569F" w:rsidRPr="001B569F" w:rsidRDefault="00922A43" w:rsidP="001B569F">
      <w:pPr>
        <w:pStyle w:val="Para1"/>
        <w:tabs>
          <w:tab w:val="clear" w:pos="360"/>
        </w:tabs>
        <w:rPr>
          <w:rFonts w:eastAsia="MS Mincho"/>
          <w:lang w:val="fr-FR"/>
        </w:rPr>
      </w:pPr>
      <w:r>
        <w:rPr>
          <w:lang w:val="fr-FR"/>
        </w:rPr>
        <w:t xml:space="preserve"> L’évaluation a montré que certaines régions ont un impact disproportionné sur d’autres, mais que tout changement de l’intensification de l’occupation des terres ne changerait que l’empreinte écologique. La perte de connaissances autochtones et locales est un autre résultat, qui a des répercussions sur les pratiques de gestion des terres favorables à la biodiversité. </w:t>
      </w:r>
      <w:r w:rsidR="00C56659">
        <w:rPr>
          <w:lang w:val="fr-FR"/>
        </w:rPr>
        <w:t xml:space="preserve">On peut en conclure que, si les tendances actuelles continuent, les Objectifs d’Aichi pour la biodiversité ne seront pas atteints, sauf ceux qui sont plus procéduraux, tels que la désignation d’aires protégées. Les options politiques pour réaliser les Objectifs comprennent les synergies et les compromis entre les Objectifs de développement durable 14 et 15 et l’intégration de la biodiversité et des services écosystémiques dans d’autres Objectifs. Les autres voies de développement </w:t>
      </w:r>
      <w:r w:rsidR="006F67F0">
        <w:rPr>
          <w:lang w:val="fr-FR"/>
        </w:rPr>
        <w:t>comprendraient encore des compromis, bien que certains succès dans la conservation de la nature donnent de l’espoir pour l’avenir, et les options et les opportunités politiques d’intégration de la biodiversité et des contributions de la nature aux populations dans la prise de décision des secteurs public et privé. L’option la plus importante sera de dissocier la croissance économique du dommage environnemental, notamment en éliminant les subventions pour les activités nuisibles.</w:t>
      </w:r>
    </w:p>
    <w:p w:rsidR="001B569F" w:rsidRPr="001B569F" w:rsidRDefault="006F67F0" w:rsidP="001B569F">
      <w:pPr>
        <w:pStyle w:val="Para1"/>
        <w:tabs>
          <w:tab w:val="clear" w:pos="360"/>
        </w:tabs>
        <w:rPr>
          <w:rFonts w:eastAsia="MS Mincho"/>
          <w:lang w:val="fr-FR"/>
        </w:rPr>
      </w:pPr>
      <w:r>
        <w:rPr>
          <w:lang w:val="fr-FR"/>
        </w:rPr>
        <w:t>Mme</w:t>
      </w:r>
      <w:r w:rsidR="001B569F" w:rsidRPr="001B569F">
        <w:rPr>
          <w:lang w:val="fr-FR"/>
        </w:rPr>
        <w:t xml:space="preserve"> </w:t>
      </w:r>
      <w:r w:rsidR="001B569F" w:rsidRPr="001B569F">
        <w:rPr>
          <w:noProof/>
          <w:lang w:val="fr-FR"/>
        </w:rPr>
        <w:t>Barger</w:t>
      </w:r>
      <w:r>
        <w:rPr>
          <w:lang w:val="fr-FR"/>
        </w:rPr>
        <w:t xml:space="preserve"> a décrit l’évaluation mondiale de la dégradation et restauration des terres. On constate une dégradation des terres dans quasiment tous les écosystèmes du monde</w:t>
      </w:r>
      <w:r w:rsidR="00EB7269">
        <w:rPr>
          <w:lang w:val="fr-FR"/>
        </w:rPr>
        <w:t>, dégradation dont la sévérité et les conséquences dépendent du contexte social et écologique et du moment où la dégradation a lieu. Le problème s’aggrave au fur et à mesure que les pressions exercées sur la capacité des terres augmentent. Bien que certaines activités démontrent que le problème peut être réduit</w:t>
      </w:r>
      <w:r w:rsidR="00167F4A">
        <w:rPr>
          <w:lang w:val="fr-FR"/>
        </w:rPr>
        <w:t>, celles-ci sont amplement insuffisantes. Les causes de la dégradation des terres sont la consommation excessive des biens dérivés des écosystèmes, l</w:t>
      </w:r>
      <w:r w:rsidR="00C82060">
        <w:rPr>
          <w:lang w:val="fr-FR"/>
        </w:rPr>
        <w:t xml:space="preserve">e fait que la dégradation des terres n’est pas considérée comme importante, des définitions différentes, des solutions de politique fragmentées avec des incitations à dégrader davantage les terres, et l’aggravation du changement climatique. La dégradation des terres est </w:t>
      </w:r>
      <w:r w:rsidR="00C82060">
        <w:rPr>
          <w:lang w:val="fr-FR"/>
        </w:rPr>
        <w:lastRenderedPageBreak/>
        <w:t xml:space="preserve">une question généralisée, systémique, </w:t>
      </w:r>
      <w:r w:rsidR="001B569F" w:rsidRPr="001B569F">
        <w:rPr>
          <w:lang w:val="fr-FR"/>
        </w:rPr>
        <w:t xml:space="preserve">75% </w:t>
      </w:r>
      <w:r w:rsidR="00C82060">
        <w:rPr>
          <w:lang w:val="fr-FR"/>
        </w:rPr>
        <w:t xml:space="preserve">de la superficie de la terre étant couverte de cultures, forêts gérées, pâturages, habitations et infrastructure ; on estime que moins de </w:t>
      </w:r>
      <w:r w:rsidR="001B569F" w:rsidRPr="001B569F">
        <w:rPr>
          <w:lang w:val="fr-FR"/>
        </w:rPr>
        <w:t xml:space="preserve">10% </w:t>
      </w:r>
      <w:r w:rsidR="00A27E35">
        <w:rPr>
          <w:lang w:val="fr-FR"/>
        </w:rPr>
        <w:t xml:space="preserve"> de cette superficie sera libre de tout impact humain d’ici à </w:t>
      </w:r>
      <w:r w:rsidR="001B569F" w:rsidRPr="001B569F">
        <w:rPr>
          <w:lang w:val="fr-FR"/>
        </w:rPr>
        <w:t>2050.</w:t>
      </w:r>
      <w:r w:rsidR="00A27E35">
        <w:rPr>
          <w:lang w:val="fr-FR"/>
        </w:rPr>
        <w:t xml:space="preserve"> La dégradation de la surface terrestre de la planète e</w:t>
      </w:r>
      <w:r w:rsidR="002A311C">
        <w:rPr>
          <w:lang w:val="fr-FR"/>
        </w:rPr>
        <w:t>st responsable d’</w:t>
      </w:r>
      <w:r w:rsidR="00A27E35">
        <w:rPr>
          <w:lang w:val="fr-FR"/>
        </w:rPr>
        <w:t>émissions annuelles de jus</w:t>
      </w:r>
      <w:r w:rsidR="008075A1">
        <w:rPr>
          <w:lang w:val="fr-FR"/>
        </w:rPr>
        <w:t>qu’à 4,4 milliards de tonnes de dioxyde de carbone</w:t>
      </w:r>
      <w:r w:rsidR="00A27E35">
        <w:rPr>
          <w:vertAlign w:val="subscript"/>
          <w:lang w:val="fr-FR"/>
        </w:rPr>
        <w:t> </w:t>
      </w:r>
      <w:r w:rsidR="00A27E35">
        <w:rPr>
          <w:lang w:val="fr-FR"/>
        </w:rPr>
        <w:t xml:space="preserve">; par conséquent, l’arrêt ou le renversement de la dégradation des terres pourrait contribuer considérablement au maintien du réchauffement de la planète au-dessous de </w:t>
      </w:r>
      <w:r w:rsidR="008075A1">
        <w:rPr>
          <w:lang w:val="fr-FR"/>
        </w:rPr>
        <w:t>2</w:t>
      </w:r>
      <w:r w:rsidR="001B569F" w:rsidRPr="001B569F">
        <w:rPr>
          <w:lang w:val="fr-FR"/>
        </w:rPr>
        <w:t xml:space="preserve">°C. </w:t>
      </w:r>
      <w:r w:rsidR="00A27E35">
        <w:rPr>
          <w:lang w:val="fr-FR"/>
        </w:rPr>
        <w:t>Les prévisions indiquent que d’ici à 2050, la combinaison de la dégradation des terres et des changements climatiques réduira le rendement mondial des cultures à un tel point que 700 millions de personnes seront obligées de migrer.</w:t>
      </w:r>
    </w:p>
    <w:p w:rsidR="001B569F" w:rsidRPr="001B569F" w:rsidRDefault="00A27E35" w:rsidP="001B569F">
      <w:pPr>
        <w:pStyle w:val="Para1"/>
        <w:tabs>
          <w:tab w:val="clear" w:pos="360"/>
        </w:tabs>
        <w:rPr>
          <w:rFonts w:eastAsia="MS Mincho"/>
          <w:lang w:val="fr-FR"/>
        </w:rPr>
      </w:pPr>
      <w:r>
        <w:rPr>
          <w:lang w:val="fr-FR"/>
        </w:rPr>
        <w:t xml:space="preserve">Les avantages de la restauration des terres seraient </w:t>
      </w:r>
      <w:r w:rsidR="00855E30">
        <w:rPr>
          <w:lang w:val="fr-FR"/>
        </w:rPr>
        <w:t xml:space="preserve">en moyenne dix fois </w:t>
      </w:r>
      <w:r>
        <w:rPr>
          <w:lang w:val="fr-FR"/>
        </w:rPr>
        <w:t>supérieurs au co</w:t>
      </w:r>
      <w:r w:rsidR="00855E30">
        <w:rPr>
          <w:lang w:val="fr-FR"/>
        </w:rPr>
        <w:t xml:space="preserve">ût et auraient plusieurs autres avantages, y compris l’augmentation de l’emploi, l’augmentation des dépenses des entreprises et des foyers, </w:t>
      </w:r>
      <w:r w:rsidR="0002560D">
        <w:rPr>
          <w:lang w:val="fr-FR"/>
        </w:rPr>
        <w:t xml:space="preserve">une plus grande égalité entre les sexes et plus d’investissement local dans l’éducation. Dans les terres arides, où vit près de 40% de la population mondiale, la restauration des terres dégradées pourrait réduire les conflits violents. Les options éprouvées comprennent un meilleur suivi et vérification, la coordination intersectorielle des politiques, l’élimination des incitations à effet pervers à la dégradation des terres et la promotion d’incitations à la gestion durable des terres. Des interventions pourraient être effectuées à de nombreux niveaux, </w:t>
      </w:r>
      <w:r w:rsidR="002A311C">
        <w:rPr>
          <w:lang w:val="fr-FR"/>
        </w:rPr>
        <w:t xml:space="preserve">allant </w:t>
      </w:r>
      <w:r w:rsidR="0002560D">
        <w:rPr>
          <w:lang w:val="fr-FR"/>
        </w:rPr>
        <w:t>des traités mondiaux et régionaux aux gouvernements nationaux et locaux, jusqu’aux gardiens des terres</w:t>
      </w:r>
      <w:r w:rsidR="00F771FB">
        <w:rPr>
          <w:lang w:val="fr-FR"/>
        </w:rPr>
        <w:t>. Le rapport de l’évaluation décrit des interventions efficaces ainsi que des pratiques de restauration éprouvées.</w:t>
      </w:r>
    </w:p>
    <w:p w:rsidR="001B569F" w:rsidRPr="001B569F" w:rsidRDefault="00F771FB" w:rsidP="001B569F">
      <w:pPr>
        <w:pStyle w:val="Para1"/>
        <w:tabs>
          <w:tab w:val="clear" w:pos="360"/>
        </w:tabs>
        <w:rPr>
          <w:rFonts w:eastAsia="MS Mincho"/>
          <w:lang w:val="fr-FR"/>
        </w:rPr>
      </w:pPr>
      <w:r>
        <w:rPr>
          <w:rFonts w:eastAsia="MS Mincho"/>
          <w:kern w:val="22"/>
          <w:szCs w:val="22"/>
          <w:lang w:val="fr-FR"/>
        </w:rPr>
        <w:t>Des déclarations ont été faites par les représentants des pays suivants :</w:t>
      </w:r>
      <w:r w:rsidR="001B569F" w:rsidRPr="001B569F">
        <w:rPr>
          <w:rFonts w:eastAsia="MS Mincho"/>
          <w:kern w:val="22"/>
          <w:szCs w:val="22"/>
          <w:lang w:val="fr-FR"/>
        </w:rPr>
        <w:t xml:space="preserve"> </w:t>
      </w:r>
      <w:r>
        <w:rPr>
          <w:rFonts w:eastAsia="MS Mincho"/>
          <w:kern w:val="22"/>
          <w:szCs w:val="22"/>
          <w:lang w:val="fr-FR"/>
        </w:rPr>
        <w:t>Afrique du Sud, Algérie</w:t>
      </w:r>
      <w:r w:rsidR="001B569F" w:rsidRPr="001B569F">
        <w:rPr>
          <w:rFonts w:eastAsia="MS Mincho"/>
          <w:kern w:val="22"/>
          <w:szCs w:val="22"/>
          <w:lang w:val="fr-FR"/>
        </w:rPr>
        <w:t xml:space="preserve">, </w:t>
      </w:r>
      <w:r>
        <w:rPr>
          <w:rFonts w:eastAsia="MS Mincho"/>
          <w:kern w:val="22"/>
          <w:szCs w:val="22"/>
          <w:lang w:val="fr-FR"/>
        </w:rPr>
        <w:t>Australie, Belgique</w:t>
      </w:r>
      <w:r w:rsidR="001B569F" w:rsidRPr="001B569F">
        <w:rPr>
          <w:rFonts w:eastAsia="MS Mincho"/>
          <w:kern w:val="22"/>
          <w:szCs w:val="22"/>
          <w:lang w:val="fr-FR"/>
        </w:rPr>
        <w:t xml:space="preserve">, </w:t>
      </w:r>
      <w:r>
        <w:rPr>
          <w:rFonts w:eastAsia="MS Mincho"/>
          <w:kern w:val="22"/>
          <w:szCs w:val="22"/>
          <w:lang w:val="fr-FR"/>
        </w:rPr>
        <w:t>Bolivie (État plurinational de</w:t>
      </w:r>
      <w:r w:rsidR="001B569F" w:rsidRPr="001B569F">
        <w:rPr>
          <w:rFonts w:eastAsia="MS Mincho"/>
          <w:kern w:val="22"/>
          <w:szCs w:val="22"/>
          <w:lang w:val="fr-FR"/>
        </w:rPr>
        <w:t xml:space="preserve">), </w:t>
      </w:r>
      <w:r>
        <w:rPr>
          <w:rFonts w:eastAsia="MS Mincho"/>
          <w:kern w:val="22"/>
          <w:szCs w:val="22"/>
          <w:lang w:val="fr-FR"/>
        </w:rPr>
        <w:t>Brésil, Cambodge</w:t>
      </w:r>
      <w:r w:rsidR="001B569F" w:rsidRPr="001B569F">
        <w:rPr>
          <w:rFonts w:eastAsia="MS Mincho"/>
          <w:kern w:val="22"/>
          <w:szCs w:val="22"/>
          <w:lang w:val="fr-FR"/>
        </w:rPr>
        <w:t xml:space="preserve">, </w:t>
      </w:r>
      <w:r>
        <w:rPr>
          <w:rFonts w:eastAsia="MS Mincho"/>
          <w:kern w:val="22"/>
          <w:szCs w:val="22"/>
          <w:lang w:val="fr-FR"/>
        </w:rPr>
        <w:t>Camerou</w:t>
      </w:r>
      <w:r w:rsidR="001B569F" w:rsidRPr="001B569F">
        <w:rPr>
          <w:rFonts w:eastAsia="MS Mincho"/>
          <w:kern w:val="22"/>
          <w:szCs w:val="22"/>
          <w:lang w:val="fr-FR"/>
        </w:rPr>
        <w:t xml:space="preserve">n </w:t>
      </w:r>
      <w:r>
        <w:rPr>
          <w:rFonts w:eastAsia="MS Mincho"/>
          <w:kern w:val="22"/>
          <w:szCs w:val="22"/>
          <w:lang w:val="fr-FR"/>
        </w:rPr>
        <w:t>(au nom du Groupe africain), Canada, Chine</w:t>
      </w:r>
      <w:r w:rsidR="001B569F" w:rsidRPr="001B569F">
        <w:rPr>
          <w:rFonts w:eastAsia="MS Mincho"/>
          <w:kern w:val="22"/>
          <w:szCs w:val="22"/>
          <w:lang w:val="fr-FR"/>
        </w:rPr>
        <w:t>,</w:t>
      </w:r>
      <w:r>
        <w:rPr>
          <w:rFonts w:eastAsia="MS Mincho"/>
          <w:kern w:val="22"/>
          <w:szCs w:val="22"/>
          <w:lang w:val="fr-FR"/>
        </w:rPr>
        <w:t xml:space="preserve"> </w:t>
      </w:r>
      <w:r w:rsidR="00475A35">
        <w:rPr>
          <w:rFonts w:eastAsia="MS Mincho"/>
          <w:kern w:val="22"/>
          <w:szCs w:val="22"/>
          <w:lang w:val="fr-FR"/>
        </w:rPr>
        <w:t xml:space="preserve">Équateur </w:t>
      </w:r>
      <w:r w:rsidR="001B569F" w:rsidRPr="001B569F">
        <w:rPr>
          <w:rFonts w:eastAsia="MS Mincho"/>
          <w:kern w:val="22"/>
          <w:szCs w:val="22"/>
          <w:lang w:val="fr-FR"/>
        </w:rPr>
        <w:t>Finland</w:t>
      </w:r>
      <w:r>
        <w:rPr>
          <w:rFonts w:eastAsia="MS Mincho"/>
          <w:kern w:val="22"/>
          <w:szCs w:val="22"/>
          <w:lang w:val="fr-FR"/>
        </w:rPr>
        <w:t xml:space="preserve">e, </w:t>
      </w:r>
      <w:r w:rsidR="00475A35">
        <w:rPr>
          <w:rFonts w:eastAsia="MS Mincho"/>
          <w:kern w:val="22"/>
          <w:szCs w:val="22"/>
          <w:lang w:val="fr-FR"/>
        </w:rPr>
        <w:t xml:space="preserve">France, </w:t>
      </w:r>
      <w:r>
        <w:rPr>
          <w:rFonts w:eastAsia="MS Mincho"/>
          <w:kern w:val="22"/>
          <w:szCs w:val="22"/>
          <w:lang w:val="fr-FR"/>
        </w:rPr>
        <w:t>Guatemala, Inde, Jamaïque, Japo</w:t>
      </w:r>
      <w:r w:rsidR="001B569F" w:rsidRPr="001B569F">
        <w:rPr>
          <w:rFonts w:eastAsia="MS Mincho"/>
          <w:kern w:val="22"/>
          <w:szCs w:val="22"/>
          <w:lang w:val="fr-FR"/>
        </w:rPr>
        <w:t>n, Jordan</w:t>
      </w:r>
      <w:r>
        <w:rPr>
          <w:rFonts w:eastAsia="MS Mincho"/>
          <w:kern w:val="22"/>
          <w:szCs w:val="22"/>
          <w:lang w:val="fr-FR"/>
        </w:rPr>
        <w:t xml:space="preserve">ie, Maroc, </w:t>
      </w:r>
      <w:r w:rsidR="00475A35">
        <w:rPr>
          <w:rFonts w:eastAsia="MS Mincho"/>
          <w:kern w:val="22"/>
          <w:szCs w:val="22"/>
          <w:lang w:val="fr-FR"/>
        </w:rPr>
        <w:t xml:space="preserve">Namibie, </w:t>
      </w:r>
      <w:r>
        <w:rPr>
          <w:rFonts w:eastAsia="MS Mincho"/>
          <w:kern w:val="22"/>
          <w:szCs w:val="22"/>
          <w:lang w:val="fr-FR"/>
        </w:rPr>
        <w:t>Népal,</w:t>
      </w:r>
      <w:r w:rsidR="00475A35">
        <w:rPr>
          <w:rFonts w:eastAsia="MS Mincho"/>
          <w:kern w:val="22"/>
          <w:szCs w:val="22"/>
          <w:lang w:val="fr-FR"/>
        </w:rPr>
        <w:t xml:space="preserve"> Nouvelle-Zélande,</w:t>
      </w:r>
      <w:r>
        <w:rPr>
          <w:rFonts w:eastAsia="MS Mincho"/>
          <w:kern w:val="22"/>
          <w:szCs w:val="22"/>
          <w:lang w:val="fr-FR"/>
        </w:rPr>
        <w:t xml:space="preserve"> Ouganda, Pays-Bas, Pé</w:t>
      </w:r>
      <w:r w:rsidR="001B569F" w:rsidRPr="001B569F">
        <w:rPr>
          <w:rFonts w:eastAsia="MS Mincho"/>
          <w:kern w:val="22"/>
          <w:szCs w:val="22"/>
          <w:lang w:val="fr-FR"/>
        </w:rPr>
        <w:t>r</w:t>
      </w:r>
      <w:r w:rsidR="009A3088">
        <w:rPr>
          <w:rFonts w:eastAsia="MS Mincho"/>
          <w:kern w:val="22"/>
          <w:szCs w:val="22"/>
          <w:lang w:val="fr-FR"/>
        </w:rPr>
        <w:t>ou, Royaume-Uni</w:t>
      </w:r>
      <w:r w:rsidR="00D4777C">
        <w:rPr>
          <w:rFonts w:eastAsia="MS Mincho"/>
          <w:kern w:val="22"/>
          <w:szCs w:val="22"/>
          <w:lang w:val="fr-FR"/>
        </w:rPr>
        <w:t>, Serbie</w:t>
      </w:r>
      <w:r>
        <w:rPr>
          <w:rFonts w:eastAsia="MS Mincho"/>
          <w:kern w:val="22"/>
          <w:szCs w:val="22"/>
          <w:lang w:val="fr-FR"/>
        </w:rPr>
        <w:t xml:space="preserve"> (au nom des pays d’Europe centrale et orientale présents), Singapour (au nom des États membres de l’ASEAN</w:t>
      </w:r>
      <w:r w:rsidR="001B569F" w:rsidRPr="001B569F">
        <w:rPr>
          <w:rFonts w:eastAsia="MS Mincho"/>
          <w:kern w:val="22"/>
          <w:szCs w:val="22"/>
          <w:lang w:val="fr-FR"/>
        </w:rPr>
        <w:t>)</w:t>
      </w:r>
      <w:r>
        <w:rPr>
          <w:rFonts w:eastAsia="MS Mincho"/>
          <w:kern w:val="22"/>
          <w:szCs w:val="22"/>
          <w:lang w:val="fr-FR"/>
        </w:rPr>
        <w:t>,</w:t>
      </w:r>
      <w:r w:rsidR="001B569F" w:rsidRPr="001B569F">
        <w:rPr>
          <w:rFonts w:eastAsia="MS Mincho"/>
          <w:kern w:val="22"/>
          <w:szCs w:val="22"/>
          <w:lang w:val="fr-FR"/>
        </w:rPr>
        <w:t xml:space="preserve"> </w:t>
      </w:r>
      <w:r>
        <w:rPr>
          <w:rFonts w:eastAsia="MS Mincho"/>
          <w:kern w:val="22"/>
          <w:szCs w:val="22"/>
          <w:lang w:val="fr-FR"/>
        </w:rPr>
        <w:t>Suède, Suisse</w:t>
      </w:r>
      <w:r w:rsidR="001B569F" w:rsidRPr="001B569F">
        <w:rPr>
          <w:rFonts w:eastAsia="MS Mincho"/>
          <w:kern w:val="22"/>
          <w:szCs w:val="22"/>
          <w:lang w:val="fr-FR"/>
        </w:rPr>
        <w:t xml:space="preserve">, </w:t>
      </w:r>
      <w:r>
        <w:rPr>
          <w:rFonts w:eastAsia="MS Mincho"/>
          <w:kern w:val="22"/>
          <w:szCs w:val="22"/>
          <w:lang w:val="fr-FR"/>
        </w:rPr>
        <w:t xml:space="preserve">Union européenne, </w:t>
      </w:r>
      <w:r w:rsidR="00D4777C">
        <w:rPr>
          <w:lang w:val="fr-FR"/>
        </w:rPr>
        <w:t>Venezuela (République bolivarienne du</w:t>
      </w:r>
      <w:r w:rsidR="001B569F" w:rsidRPr="001B569F">
        <w:rPr>
          <w:lang w:val="fr-FR"/>
        </w:rPr>
        <w:t xml:space="preserve">) </w:t>
      </w:r>
      <w:r w:rsidR="00D4777C">
        <w:rPr>
          <w:rFonts w:eastAsia="MS Mincho"/>
          <w:kern w:val="22"/>
          <w:szCs w:val="22"/>
          <w:lang w:val="fr-FR"/>
        </w:rPr>
        <w:t>et</w:t>
      </w:r>
      <w:r w:rsidR="001B569F" w:rsidRPr="001B569F">
        <w:rPr>
          <w:rFonts w:eastAsia="MS Mincho"/>
          <w:kern w:val="22"/>
          <w:szCs w:val="22"/>
          <w:lang w:val="fr-FR"/>
        </w:rPr>
        <w:t xml:space="preserve"> Zimbabwe. </w:t>
      </w:r>
    </w:p>
    <w:p w:rsidR="001B569F" w:rsidRPr="008075A1" w:rsidRDefault="00D4777C" w:rsidP="008075A1">
      <w:pPr>
        <w:pStyle w:val="Para1"/>
        <w:tabs>
          <w:tab w:val="clear" w:pos="360"/>
        </w:tabs>
        <w:rPr>
          <w:rFonts w:eastAsia="MS Mincho"/>
          <w:lang w:val="fr-FR"/>
        </w:rPr>
      </w:pPr>
      <w:r>
        <w:rPr>
          <w:rFonts w:eastAsia="MS Mincho"/>
          <w:lang w:val="fr-FR"/>
        </w:rPr>
        <w:t>Le représentant de l’État de Palestine a également pris la parole</w:t>
      </w:r>
      <w:r w:rsidR="001B569F" w:rsidRPr="001B569F">
        <w:rPr>
          <w:rFonts w:eastAsia="MS Mincho"/>
          <w:lang w:val="fr-FR"/>
        </w:rPr>
        <w:t>.</w:t>
      </w:r>
    </w:p>
    <w:p w:rsidR="00311BAC" w:rsidRPr="00D26B19" w:rsidRDefault="00D26B19" w:rsidP="001B569F">
      <w:pPr>
        <w:pStyle w:val="Para1"/>
        <w:tabs>
          <w:tab w:val="clear" w:pos="360"/>
        </w:tabs>
        <w:rPr>
          <w:rFonts w:eastAsia="MS Mincho"/>
          <w:lang w:val="fr-FR"/>
        </w:rPr>
      </w:pPr>
      <w:r>
        <w:rPr>
          <w:snapToGrid/>
          <w:lang w:val="fr-FR"/>
        </w:rPr>
        <w:t xml:space="preserve">Des déclarations ont été faites en outre par les représentants de </w:t>
      </w:r>
      <w:r w:rsidR="00EF23A5">
        <w:rPr>
          <w:noProof/>
          <w:snapToGrid/>
          <w:lang w:val="fr-FR"/>
        </w:rPr>
        <w:t>Bird</w:t>
      </w:r>
      <w:r w:rsidR="001B569F" w:rsidRPr="001B569F">
        <w:rPr>
          <w:noProof/>
          <w:snapToGrid/>
          <w:lang w:val="fr-FR"/>
        </w:rPr>
        <w:t>Life International,</w:t>
      </w:r>
      <w:r w:rsidR="001B569F" w:rsidRPr="001B569F">
        <w:rPr>
          <w:snapToGrid/>
          <w:lang w:val="fr-FR"/>
        </w:rPr>
        <w:t xml:space="preserve"> </w:t>
      </w:r>
      <w:r>
        <w:rPr>
          <w:snapToGrid/>
          <w:lang w:val="fr-FR"/>
        </w:rPr>
        <w:t xml:space="preserve">du </w:t>
      </w:r>
      <w:r w:rsidR="001B569F" w:rsidRPr="001B569F">
        <w:rPr>
          <w:snapToGrid/>
          <w:lang w:val="fr-FR"/>
        </w:rPr>
        <w:t xml:space="preserve">GYBN, </w:t>
      </w:r>
      <w:r>
        <w:rPr>
          <w:snapToGrid/>
          <w:lang w:val="fr-FR"/>
        </w:rPr>
        <w:t>du Forum international des peuples autochtones sur la biodiversité</w:t>
      </w:r>
      <w:r w:rsidR="001B569F" w:rsidRPr="001B569F">
        <w:rPr>
          <w:snapToGrid/>
          <w:lang w:val="fr-FR"/>
        </w:rPr>
        <w:t xml:space="preserve">, </w:t>
      </w:r>
      <w:r>
        <w:rPr>
          <w:snapToGrid/>
          <w:lang w:val="fr-FR"/>
        </w:rPr>
        <w:t>de l’Union internationale pour la conservation de la nature (UICN)</w:t>
      </w:r>
      <w:r w:rsidR="008075A1">
        <w:rPr>
          <w:snapToGrid/>
          <w:lang w:val="fr-FR"/>
        </w:rPr>
        <w:t>, de l’IPBES</w:t>
      </w:r>
      <w:r>
        <w:rPr>
          <w:snapToGrid/>
          <w:lang w:val="fr-FR"/>
        </w:rPr>
        <w:t xml:space="preserve"> et du Fonds mondial pour la nature </w:t>
      </w:r>
      <w:r w:rsidR="001B569F" w:rsidRPr="001B569F">
        <w:rPr>
          <w:snapToGrid/>
          <w:lang w:val="fr-FR"/>
        </w:rPr>
        <w:t>(WWF).</w:t>
      </w:r>
    </w:p>
    <w:p w:rsidR="00D26B19" w:rsidRPr="001776C9" w:rsidRDefault="00D26B19" w:rsidP="001B569F">
      <w:pPr>
        <w:pStyle w:val="Para1"/>
        <w:tabs>
          <w:tab w:val="clear" w:pos="360"/>
        </w:tabs>
        <w:rPr>
          <w:rFonts w:eastAsia="MS Mincho"/>
          <w:lang w:val="fr-FR"/>
        </w:rPr>
      </w:pPr>
      <w:r>
        <w:rPr>
          <w:snapToGrid/>
          <w:lang w:val="fr-FR"/>
        </w:rPr>
        <w:t>Après un échange de vues, la présidente a déclaré qu’elle élaborerait un texte révisé pour examen par l’Organe subsidiaire, compte tenu des points de vue exprimés oralement</w:t>
      </w:r>
      <w:r w:rsidR="00B42BC7">
        <w:rPr>
          <w:snapToGrid/>
          <w:lang w:val="fr-FR"/>
        </w:rPr>
        <w:t xml:space="preserve"> par les Parties ou soutenus par celles-ci</w:t>
      </w:r>
      <w:r>
        <w:rPr>
          <w:snapToGrid/>
          <w:lang w:val="fr-FR"/>
        </w:rPr>
        <w:t xml:space="preserve"> et des commentaires transmis par écrit.</w:t>
      </w:r>
    </w:p>
    <w:p w:rsidR="001776C9" w:rsidRPr="001776C9" w:rsidRDefault="007613D2" w:rsidP="001776C9">
      <w:pPr>
        <w:pStyle w:val="Para1"/>
        <w:tabs>
          <w:tab w:val="clear" w:pos="360"/>
        </w:tabs>
        <w:rPr>
          <w:rFonts w:eastAsia="MS Mincho"/>
          <w:lang w:val="fr-FR"/>
        </w:rPr>
      </w:pPr>
      <w:r>
        <w:rPr>
          <w:rFonts w:eastAsia="MS Mincho"/>
          <w:lang w:val="fr-FR"/>
        </w:rPr>
        <w:t>À la 7</w:t>
      </w:r>
      <w:r w:rsidRPr="007613D2">
        <w:rPr>
          <w:rFonts w:eastAsia="MS Mincho"/>
          <w:vertAlign w:val="superscript"/>
          <w:lang w:val="fr-FR"/>
        </w:rPr>
        <w:t>ème</w:t>
      </w:r>
      <w:r>
        <w:rPr>
          <w:rFonts w:eastAsia="MS Mincho"/>
          <w:lang w:val="fr-FR"/>
        </w:rPr>
        <w:t xml:space="preserve"> séance de la réunion, le 5 juillet 2018, l’Organe subsidiaire, sous la présidence de Mme </w:t>
      </w:r>
      <w:r w:rsidR="001776C9" w:rsidRPr="001776C9">
        <w:rPr>
          <w:lang w:val="fr-FR"/>
        </w:rPr>
        <w:t xml:space="preserve">Theresa </w:t>
      </w:r>
      <w:r w:rsidR="001776C9" w:rsidRPr="001776C9">
        <w:rPr>
          <w:noProof/>
          <w:lang w:val="fr-FR"/>
        </w:rPr>
        <w:t>Mundita</w:t>
      </w:r>
      <w:r w:rsidR="001776C9" w:rsidRPr="001776C9">
        <w:rPr>
          <w:lang w:val="fr-FR"/>
        </w:rPr>
        <w:t xml:space="preserve"> Lim (Philippines),</w:t>
      </w:r>
      <w:r w:rsidR="001776C9" w:rsidRPr="001776C9">
        <w:rPr>
          <w:rFonts w:eastAsia="MS Mincho"/>
          <w:lang w:val="fr-FR"/>
        </w:rPr>
        <w:t xml:space="preserve"> </w:t>
      </w:r>
      <w:r>
        <w:rPr>
          <w:rFonts w:eastAsia="MS Mincho"/>
          <w:lang w:val="fr-FR"/>
        </w:rPr>
        <w:t>a examiné le texte révisé présenté par la présidente.</w:t>
      </w:r>
      <w:r w:rsidR="001776C9" w:rsidRPr="001776C9">
        <w:rPr>
          <w:rFonts w:eastAsia="MS Mincho"/>
          <w:lang w:val="fr-FR"/>
        </w:rPr>
        <w:t xml:space="preserve"> </w:t>
      </w:r>
    </w:p>
    <w:p w:rsidR="001776C9" w:rsidRPr="001776C9" w:rsidRDefault="005C3C5A" w:rsidP="001776C9">
      <w:pPr>
        <w:pStyle w:val="Para1"/>
        <w:tabs>
          <w:tab w:val="clear" w:pos="360"/>
        </w:tabs>
        <w:rPr>
          <w:rFonts w:eastAsia="MS Mincho"/>
          <w:lang w:val="fr-FR"/>
        </w:rPr>
      </w:pPr>
      <w:r>
        <w:rPr>
          <w:rFonts w:eastAsia="MS Mincho"/>
          <w:lang w:val="fr-FR"/>
        </w:rPr>
        <w:t>Des déclarations ont été faites par les représentants des pays suivants : Afrique du Sud, Argentine, Australie, Belgique, Brés</w:t>
      </w:r>
      <w:r w:rsidR="001776C9" w:rsidRPr="001776C9">
        <w:rPr>
          <w:rFonts w:eastAsia="MS Mincho"/>
          <w:lang w:val="fr-FR"/>
        </w:rPr>
        <w:t xml:space="preserve">il, </w:t>
      </w:r>
      <w:r>
        <w:rPr>
          <w:rFonts w:eastAsia="MS Mincho"/>
          <w:lang w:val="fr-FR"/>
        </w:rPr>
        <w:t>Camerou</w:t>
      </w:r>
      <w:r w:rsidR="001776C9" w:rsidRPr="001776C9">
        <w:rPr>
          <w:rFonts w:eastAsia="MS Mincho"/>
          <w:lang w:val="fr-FR"/>
        </w:rPr>
        <w:t xml:space="preserve">n, </w:t>
      </w:r>
      <w:r>
        <w:rPr>
          <w:rFonts w:eastAsia="MS Mincho"/>
          <w:lang w:val="fr-FR"/>
        </w:rPr>
        <w:t>Canada,</w:t>
      </w:r>
      <w:r w:rsidR="001776C9" w:rsidRPr="001776C9">
        <w:rPr>
          <w:rFonts w:eastAsia="MS Mincho"/>
          <w:lang w:val="fr-FR"/>
        </w:rPr>
        <w:t xml:space="preserve"> Finland</w:t>
      </w:r>
      <w:r>
        <w:rPr>
          <w:rFonts w:eastAsia="MS Mincho"/>
          <w:lang w:val="fr-FR"/>
        </w:rPr>
        <w:t>e</w:t>
      </w:r>
      <w:r w:rsidR="001776C9" w:rsidRPr="001776C9">
        <w:rPr>
          <w:rFonts w:eastAsia="MS Mincho"/>
          <w:lang w:val="fr-FR"/>
        </w:rPr>
        <w:t xml:space="preserve">, Guatemala, </w:t>
      </w:r>
      <w:r>
        <w:rPr>
          <w:rFonts w:eastAsia="MS Mincho"/>
          <w:lang w:val="fr-FR"/>
        </w:rPr>
        <w:t>Indonésie</w:t>
      </w:r>
      <w:r w:rsidR="001776C9" w:rsidRPr="001776C9">
        <w:rPr>
          <w:rFonts w:eastAsia="MS Mincho"/>
          <w:lang w:val="fr-FR"/>
        </w:rPr>
        <w:t>,</w:t>
      </w:r>
      <w:r>
        <w:rPr>
          <w:rFonts w:eastAsia="MS Mincho"/>
          <w:lang w:val="fr-FR"/>
        </w:rPr>
        <w:t xml:space="preserve"> Japo</w:t>
      </w:r>
      <w:r w:rsidR="001776C9" w:rsidRPr="001776C9">
        <w:rPr>
          <w:rFonts w:eastAsia="MS Mincho"/>
          <w:lang w:val="fr-FR"/>
        </w:rPr>
        <w:t>n, Jordan</w:t>
      </w:r>
      <w:r>
        <w:rPr>
          <w:rFonts w:eastAsia="MS Mincho"/>
          <w:lang w:val="fr-FR"/>
        </w:rPr>
        <w:t>ie</w:t>
      </w:r>
      <w:r w:rsidR="001776C9" w:rsidRPr="001776C9">
        <w:rPr>
          <w:rFonts w:eastAsia="MS Mincho"/>
          <w:lang w:val="fr-FR"/>
        </w:rPr>
        <w:t xml:space="preserve">, </w:t>
      </w:r>
      <w:r>
        <w:rPr>
          <w:rFonts w:eastAsia="MS Mincho"/>
          <w:lang w:val="fr-FR"/>
        </w:rPr>
        <w:t>Maroc, Mexique,</w:t>
      </w:r>
      <w:r w:rsidR="001776C9" w:rsidRPr="001776C9">
        <w:rPr>
          <w:rFonts w:eastAsia="MS Mincho"/>
          <w:lang w:val="fr-FR"/>
        </w:rPr>
        <w:t xml:space="preserve"> </w:t>
      </w:r>
      <w:r>
        <w:rPr>
          <w:rFonts w:eastAsia="MS Mincho"/>
          <w:lang w:val="fr-FR"/>
        </w:rPr>
        <w:t>Nouvelle-Zélande</w:t>
      </w:r>
      <w:r w:rsidR="001776C9" w:rsidRPr="001776C9">
        <w:rPr>
          <w:rFonts w:eastAsia="MS Mincho"/>
          <w:lang w:val="fr-FR"/>
        </w:rPr>
        <w:t xml:space="preserve">, Niger, </w:t>
      </w:r>
      <w:r>
        <w:rPr>
          <w:rFonts w:eastAsia="MS Mincho"/>
          <w:lang w:val="fr-FR"/>
        </w:rPr>
        <w:t>Norvège,</w:t>
      </w:r>
      <w:r w:rsidR="001776C9" w:rsidRPr="001776C9">
        <w:rPr>
          <w:rFonts w:eastAsia="MS Mincho"/>
          <w:lang w:val="fr-FR"/>
        </w:rPr>
        <w:t xml:space="preserve"> </w:t>
      </w:r>
      <w:r w:rsidR="009A3088">
        <w:rPr>
          <w:rFonts w:eastAsia="MS Mincho"/>
          <w:lang w:val="fr-FR"/>
        </w:rPr>
        <w:t>Pays-Bas, Royaume-Uni</w:t>
      </w:r>
      <w:r>
        <w:rPr>
          <w:rFonts w:eastAsia="MS Mincho"/>
          <w:lang w:val="fr-FR"/>
        </w:rPr>
        <w:t>, Suède et Union européenne.</w:t>
      </w:r>
    </w:p>
    <w:p w:rsidR="001776C9" w:rsidRPr="001776C9" w:rsidRDefault="005C3C5A" w:rsidP="001776C9">
      <w:pPr>
        <w:pStyle w:val="Para1"/>
        <w:tabs>
          <w:tab w:val="clear" w:pos="360"/>
        </w:tabs>
        <w:rPr>
          <w:rFonts w:eastAsia="MS Mincho"/>
          <w:lang w:val="fr-FR"/>
        </w:rPr>
      </w:pPr>
      <w:r>
        <w:rPr>
          <w:rFonts w:eastAsia="MS Mincho"/>
          <w:lang w:val="fr-FR"/>
        </w:rPr>
        <w:t>Après un échange de vues, la présidente a proposé que les paragraphes sur lesquels un</w:t>
      </w:r>
      <w:r w:rsidR="00A77FA3">
        <w:rPr>
          <w:rFonts w:eastAsia="MS Mincho"/>
          <w:lang w:val="fr-FR"/>
        </w:rPr>
        <w:t xml:space="preserve"> consensus n’avait pas été atteint</w:t>
      </w:r>
      <w:r>
        <w:rPr>
          <w:rFonts w:eastAsia="MS Mincho"/>
          <w:lang w:val="fr-FR"/>
        </w:rPr>
        <w:t xml:space="preserve"> soient examinés par un groupe de rédaction à composition non limitée</w:t>
      </w:r>
      <w:r w:rsidR="008075A1">
        <w:rPr>
          <w:rFonts w:eastAsia="MS Mincho"/>
          <w:lang w:val="fr-FR"/>
        </w:rPr>
        <w:t>, animé par M. Vinc</w:t>
      </w:r>
      <w:r w:rsidR="009A3088">
        <w:rPr>
          <w:rFonts w:eastAsia="MS Mincho"/>
          <w:lang w:val="fr-FR"/>
        </w:rPr>
        <w:t>ent Fleming (Royaume-Uni</w:t>
      </w:r>
      <w:r w:rsidR="008075A1">
        <w:rPr>
          <w:rFonts w:eastAsia="MS Mincho"/>
          <w:lang w:val="fr-FR"/>
        </w:rPr>
        <w:t>)</w:t>
      </w:r>
      <w:r>
        <w:rPr>
          <w:rFonts w:eastAsia="MS Mincho"/>
          <w:lang w:val="fr-FR"/>
        </w:rPr>
        <w:t>.</w:t>
      </w:r>
    </w:p>
    <w:p w:rsidR="00D26B19" w:rsidRPr="002F102A" w:rsidRDefault="002F102A" w:rsidP="001B569F">
      <w:pPr>
        <w:pStyle w:val="Para1"/>
        <w:tabs>
          <w:tab w:val="clear" w:pos="360"/>
        </w:tabs>
        <w:rPr>
          <w:rFonts w:eastAsia="MS Mincho"/>
          <w:lang w:val="fr-FR"/>
        </w:rPr>
      </w:pPr>
      <w:r w:rsidRPr="00253397">
        <w:rPr>
          <w:rFonts w:eastAsia="MS Mincho"/>
          <w:lang w:val="fr-FR"/>
        </w:rPr>
        <w:t>A la 13</w:t>
      </w:r>
      <w:r w:rsidRPr="00C94AC5">
        <w:rPr>
          <w:rFonts w:eastAsia="MS Mincho"/>
          <w:vertAlign w:val="superscript"/>
          <w:lang w:val="fr-FR"/>
        </w:rPr>
        <w:t>ème</w:t>
      </w:r>
      <w:r w:rsidRPr="00253397">
        <w:rPr>
          <w:rFonts w:eastAsia="MS Mincho"/>
          <w:lang w:val="fr-FR"/>
        </w:rPr>
        <w:t xml:space="preserve"> séance de la réunion</w:t>
      </w:r>
      <w:r w:rsidR="008075A1" w:rsidRPr="00253397">
        <w:rPr>
          <w:rFonts w:eastAsia="MS Mincho"/>
          <w:lang w:val="fr-FR"/>
        </w:rPr>
        <w:t xml:space="preserve">, </w:t>
      </w:r>
      <w:r w:rsidRPr="00253397">
        <w:rPr>
          <w:rFonts w:eastAsia="MS Mincho"/>
          <w:lang w:val="fr-FR"/>
        </w:rPr>
        <w:t>le 7 juillet</w:t>
      </w:r>
      <w:r w:rsidR="008075A1" w:rsidRPr="00253397">
        <w:rPr>
          <w:rFonts w:eastAsia="MS Mincho"/>
          <w:lang w:val="fr-FR"/>
        </w:rPr>
        <w:t xml:space="preserve"> 2018, </w:t>
      </w:r>
      <w:r w:rsidR="00253397" w:rsidRPr="00253397">
        <w:rPr>
          <w:rFonts w:eastAsia="MS Mincho"/>
          <w:lang w:val="fr-FR"/>
        </w:rPr>
        <w:t>l’Organe subsidiaire, présidé par</w:t>
      </w:r>
      <w:r w:rsidR="008075A1" w:rsidRPr="00253397">
        <w:rPr>
          <w:rFonts w:eastAsia="MS Mincho"/>
          <w:lang w:val="fr-FR"/>
        </w:rPr>
        <w:t xml:space="preserve"> </w:t>
      </w:r>
      <w:r w:rsidR="00C94AC5">
        <w:rPr>
          <w:lang w:val="fr-FR"/>
        </w:rPr>
        <w:t xml:space="preserve">Mme </w:t>
      </w:r>
      <w:r w:rsidR="008075A1" w:rsidRPr="00253397">
        <w:rPr>
          <w:lang w:val="fr-FR"/>
        </w:rPr>
        <w:t>Theresa Mundita Lim (Philippines),</w:t>
      </w:r>
      <w:r w:rsidR="008075A1" w:rsidRPr="00253397">
        <w:rPr>
          <w:rFonts w:eastAsia="MS Mincho"/>
          <w:lang w:val="fr-FR"/>
        </w:rPr>
        <w:t xml:space="preserve"> </w:t>
      </w:r>
      <w:r w:rsidR="00C94AC5">
        <w:rPr>
          <w:rFonts w:eastAsia="MS Mincho"/>
          <w:lang w:val="fr-FR"/>
        </w:rPr>
        <w:t>a examiné le texte révisé</w:t>
      </w:r>
      <w:r w:rsidR="008075A1" w:rsidRPr="00253397">
        <w:rPr>
          <w:rFonts w:eastAsia="MS Mincho"/>
          <w:lang w:val="fr-FR"/>
        </w:rPr>
        <w:t xml:space="preserve"> </w:t>
      </w:r>
      <w:r w:rsidR="00C94AC5">
        <w:rPr>
          <w:rFonts w:eastAsia="MS Mincho"/>
          <w:lang w:val="fr-FR"/>
        </w:rPr>
        <w:t>transmis par le facilitateur du groupe de contact</w:t>
      </w:r>
      <w:r w:rsidR="008075A1" w:rsidRPr="00253397">
        <w:rPr>
          <w:rFonts w:eastAsia="MS Mincho"/>
          <w:lang w:val="fr-FR"/>
        </w:rPr>
        <w:t xml:space="preserve">. </w:t>
      </w:r>
      <w:r w:rsidR="00B9460E" w:rsidRPr="00B9460E">
        <w:rPr>
          <w:rFonts w:eastAsia="MS Mincho"/>
          <w:lang w:val="fr-FR"/>
        </w:rPr>
        <w:t>Le projet de</w:t>
      </w:r>
      <w:r w:rsidR="008075A1" w:rsidRPr="00B9460E">
        <w:rPr>
          <w:rFonts w:eastAsia="MS Mincho"/>
          <w:lang w:val="fr-FR"/>
        </w:rPr>
        <w:t xml:space="preserve"> </w:t>
      </w:r>
      <w:r w:rsidR="000333BE" w:rsidRPr="00B9460E">
        <w:rPr>
          <w:rFonts w:eastAsia="MS Mincho"/>
          <w:lang w:val="fr-FR"/>
        </w:rPr>
        <w:t>recommand</w:t>
      </w:r>
      <w:r w:rsidR="008075A1" w:rsidRPr="00B9460E">
        <w:rPr>
          <w:rFonts w:eastAsia="MS Mincho"/>
          <w:lang w:val="fr-FR"/>
        </w:rPr>
        <w:t xml:space="preserve">ation, </w:t>
      </w:r>
      <w:r w:rsidR="00B9460E" w:rsidRPr="00B9460E">
        <w:rPr>
          <w:rFonts w:eastAsia="MS Mincho"/>
          <w:lang w:val="fr-FR"/>
        </w:rPr>
        <w:t>tel que modifié oralement</w:t>
      </w:r>
      <w:r w:rsidR="008075A1" w:rsidRPr="00B9460E">
        <w:rPr>
          <w:rFonts w:eastAsia="MS Mincho"/>
          <w:lang w:val="fr-FR"/>
        </w:rPr>
        <w:t xml:space="preserve">, </w:t>
      </w:r>
      <w:r w:rsidR="00C94AC5">
        <w:rPr>
          <w:rFonts w:eastAsia="MS Mincho"/>
          <w:lang w:val="fr-FR"/>
        </w:rPr>
        <w:t>a été adopté comme</w:t>
      </w:r>
      <w:r w:rsidR="008075A1" w:rsidRPr="00B9460E">
        <w:rPr>
          <w:rFonts w:eastAsia="MS Mincho"/>
          <w:lang w:val="fr-FR"/>
        </w:rPr>
        <w:t xml:space="preserve"> </w:t>
      </w:r>
      <w:r w:rsidR="000333BE" w:rsidRPr="00B9460E">
        <w:rPr>
          <w:rFonts w:eastAsia="MS Mincho"/>
          <w:lang w:val="fr-FR"/>
        </w:rPr>
        <w:t>recommand</w:t>
      </w:r>
      <w:r w:rsidR="008075A1" w:rsidRPr="00B9460E">
        <w:rPr>
          <w:rFonts w:eastAsia="MS Mincho"/>
          <w:lang w:val="fr-FR"/>
        </w:rPr>
        <w:t xml:space="preserve">ation 22/4. </w:t>
      </w:r>
      <w:r w:rsidRPr="002F102A">
        <w:rPr>
          <w:rFonts w:eastAsia="MS Mincho"/>
          <w:lang w:val="fr-FR"/>
        </w:rPr>
        <w:t>Le texte de la recommandation, tel qu’adopté, figure dans la partie I du présent rapport</w:t>
      </w:r>
      <w:r w:rsidR="008075A1" w:rsidRPr="002F102A">
        <w:rPr>
          <w:rFonts w:eastAsia="MS Mincho"/>
          <w:lang w:val="fr-FR"/>
        </w:rPr>
        <w:t>.</w:t>
      </w:r>
    </w:p>
    <w:p w:rsidR="009E6BA9" w:rsidRPr="000C29AA" w:rsidRDefault="00D25459" w:rsidP="00D25459">
      <w:pPr>
        <w:pStyle w:val="Heading1"/>
        <w:ind w:left="1843" w:hanging="1134"/>
        <w:jc w:val="left"/>
        <w:rPr>
          <w:lang w:val="fr-FR"/>
        </w:rPr>
      </w:pPr>
      <w:bookmarkStart w:id="475" w:name="_Toc525904296"/>
      <w:bookmarkStart w:id="476" w:name="_Toc525904455"/>
      <w:bookmarkStart w:id="477" w:name="_Toc525904699"/>
      <w:r w:rsidRPr="000C29AA">
        <w:rPr>
          <w:lang w:val="fr-FR"/>
        </w:rPr>
        <w:lastRenderedPageBreak/>
        <w:t>point 7.</w:t>
      </w:r>
      <w:r w:rsidRPr="000C29AA">
        <w:rPr>
          <w:lang w:val="fr-FR"/>
        </w:rPr>
        <w:tab/>
        <w:t>aires protÉgÉes et autres mesures de conservation et de gestion amÉliorÉes</w:t>
      </w:r>
      <w:bookmarkEnd w:id="475"/>
      <w:bookmarkEnd w:id="476"/>
      <w:bookmarkEnd w:id="477"/>
    </w:p>
    <w:p w:rsidR="009065E1" w:rsidRPr="00C73CD6" w:rsidRDefault="00F4079E" w:rsidP="00120F38">
      <w:pPr>
        <w:pStyle w:val="Para1"/>
        <w:tabs>
          <w:tab w:val="clear" w:pos="360"/>
        </w:tabs>
        <w:rPr>
          <w:rFonts w:eastAsia="MS Mincho"/>
          <w:lang w:val="fr-FR"/>
        </w:rPr>
      </w:pPr>
      <w:r>
        <w:rPr>
          <w:lang w:val="fr-FR"/>
        </w:rPr>
        <w:t>À la</w:t>
      </w:r>
      <w:r w:rsidR="00112624">
        <w:rPr>
          <w:lang w:val="fr-FR"/>
        </w:rPr>
        <w:t xml:space="preserve"> </w:t>
      </w:r>
      <w:r w:rsidR="00234413">
        <w:rPr>
          <w:kern w:val="22"/>
          <w:szCs w:val="22"/>
          <w:lang w:val="fr-FR"/>
        </w:rPr>
        <w:t>3</w:t>
      </w:r>
      <w:r w:rsidR="00234413" w:rsidRPr="00234413">
        <w:rPr>
          <w:kern w:val="22"/>
          <w:szCs w:val="22"/>
          <w:vertAlign w:val="superscript"/>
          <w:lang w:val="fr-FR"/>
        </w:rPr>
        <w:t>ème</w:t>
      </w:r>
      <w:r w:rsidR="009065E1" w:rsidRPr="000C29AA">
        <w:rPr>
          <w:vertAlign w:val="superscript"/>
          <w:lang w:val="fr-FR"/>
        </w:rPr>
        <w:t xml:space="preserve"> </w:t>
      </w:r>
      <w:r>
        <w:rPr>
          <w:lang w:val="fr-FR"/>
        </w:rPr>
        <w:t xml:space="preserve">séance de la réunion, le </w:t>
      </w:r>
      <w:r w:rsidR="00234413">
        <w:rPr>
          <w:kern w:val="22"/>
          <w:szCs w:val="22"/>
          <w:lang w:val="fr-FR"/>
        </w:rPr>
        <w:t>3 juillet 2018</w:t>
      </w:r>
      <w:r w:rsidR="009065E1" w:rsidRPr="000C29AA">
        <w:rPr>
          <w:lang w:val="fr-FR"/>
        </w:rPr>
        <w:t xml:space="preserve">, </w:t>
      </w:r>
      <w:r w:rsidR="00234413">
        <w:rPr>
          <w:lang w:val="fr-FR"/>
        </w:rPr>
        <w:t xml:space="preserve">sous la présidence de Mme Eugenia Arguedas Montezuma (Costa Rica), </w:t>
      </w:r>
      <w:r>
        <w:rPr>
          <w:lang w:val="fr-FR"/>
        </w:rPr>
        <w:t xml:space="preserve">l’Organe subsidiaire a abordé le point 7 de l’ordre du jour. Il était saisi pour ce faire </w:t>
      </w:r>
      <w:r w:rsidR="00CD4916">
        <w:rPr>
          <w:lang w:val="fr-FR"/>
        </w:rPr>
        <w:t xml:space="preserve">d’une </w:t>
      </w:r>
      <w:r w:rsidR="008075A1">
        <w:rPr>
          <w:lang w:val="fr-FR"/>
        </w:rPr>
        <w:t>note de la Secrétaire exécutive</w:t>
      </w:r>
      <w:r w:rsidR="00A143B9">
        <w:rPr>
          <w:lang w:val="fr-FR"/>
        </w:rPr>
        <w:t xml:space="preserve"> </w:t>
      </w:r>
      <w:r w:rsidR="00120F38" w:rsidRPr="000C29AA">
        <w:rPr>
          <w:rFonts w:eastAsia="MS Mincho"/>
          <w:kern w:val="22"/>
          <w:szCs w:val="22"/>
          <w:lang w:val="fr-FR"/>
        </w:rPr>
        <w:t>(CBD/SBSTTA/22/6</w:t>
      </w:r>
      <w:r w:rsidR="00CD4916">
        <w:rPr>
          <w:rFonts w:eastAsia="MS Mincho"/>
          <w:kern w:val="22"/>
          <w:szCs w:val="22"/>
          <w:lang w:val="fr-FR"/>
        </w:rPr>
        <w:t>)</w:t>
      </w:r>
      <w:r w:rsidR="00A143B9">
        <w:rPr>
          <w:rFonts w:eastAsia="MS Mincho"/>
          <w:kern w:val="22"/>
          <w:szCs w:val="22"/>
          <w:lang w:val="fr-FR"/>
        </w:rPr>
        <w:t xml:space="preserve"> sur les aires protégées et autres mesures de conservation</w:t>
      </w:r>
      <w:r w:rsidR="00475A35">
        <w:rPr>
          <w:rFonts w:eastAsia="MS Mincho"/>
          <w:kern w:val="22"/>
          <w:szCs w:val="22"/>
          <w:lang w:val="fr-FR"/>
        </w:rPr>
        <w:t xml:space="preserve"> efficaces par zone</w:t>
      </w:r>
      <w:r w:rsidR="00A143B9">
        <w:rPr>
          <w:rFonts w:eastAsia="MS Mincho"/>
          <w:kern w:val="22"/>
          <w:szCs w:val="22"/>
          <w:lang w:val="fr-FR"/>
        </w:rPr>
        <w:t>. Outre une proposition de recommandation, ce document comporte quatre annexes</w:t>
      </w:r>
      <w:r w:rsidR="00B42BC7">
        <w:rPr>
          <w:rFonts w:eastAsia="MS Mincho"/>
          <w:kern w:val="22"/>
          <w:szCs w:val="22"/>
          <w:lang w:val="fr-FR"/>
        </w:rPr>
        <w:t xml:space="preserve"> qui contiennent a</w:t>
      </w:r>
      <w:r w:rsidR="00D15193">
        <w:rPr>
          <w:rFonts w:eastAsia="MS Mincho"/>
          <w:kern w:val="22"/>
          <w:szCs w:val="22"/>
          <w:lang w:val="fr-FR"/>
        </w:rPr>
        <w:t>) des orientations facultatives sur l’intégration des aires protégées et autres mesures de conservation efficace</w:t>
      </w:r>
      <w:r w:rsidR="002A311C">
        <w:rPr>
          <w:rFonts w:eastAsia="MS Mincho"/>
          <w:kern w:val="22"/>
          <w:szCs w:val="22"/>
          <w:lang w:val="fr-FR"/>
        </w:rPr>
        <w:t>s</w:t>
      </w:r>
      <w:r w:rsidR="00D15193">
        <w:rPr>
          <w:rFonts w:eastAsia="MS Mincho"/>
          <w:kern w:val="22"/>
          <w:szCs w:val="22"/>
          <w:lang w:val="fr-FR"/>
        </w:rPr>
        <w:t xml:space="preserve"> par zone dans des paysages terrestres et marins plus vastes et l’intégration dans les secteurs afin de contribuer notamment aux Objecti</w:t>
      </w:r>
      <w:r w:rsidR="00B42BC7">
        <w:rPr>
          <w:rFonts w:eastAsia="MS Mincho"/>
          <w:kern w:val="22"/>
          <w:szCs w:val="22"/>
          <w:lang w:val="fr-FR"/>
        </w:rPr>
        <w:t>fs de développement durable ; b</w:t>
      </w:r>
      <w:r w:rsidR="00D15193">
        <w:rPr>
          <w:rFonts w:eastAsia="MS Mincho"/>
          <w:kern w:val="22"/>
          <w:szCs w:val="22"/>
          <w:lang w:val="fr-FR"/>
        </w:rPr>
        <w:t>) des orientations facultatives sur les modèles de gouvernance efficaces pour la gestion des aires protégées, y compris l’équité, compte tenu des travaux entrepris</w:t>
      </w:r>
      <w:r w:rsidR="00B42BC7">
        <w:rPr>
          <w:rFonts w:eastAsia="MS Mincho"/>
          <w:kern w:val="22"/>
          <w:szCs w:val="22"/>
          <w:lang w:val="fr-FR"/>
        </w:rPr>
        <w:t xml:space="preserve"> au titre de l’article 8j) ; c</w:t>
      </w:r>
      <w:r w:rsidR="00D15193">
        <w:rPr>
          <w:rFonts w:eastAsia="MS Mincho"/>
          <w:kern w:val="22"/>
          <w:szCs w:val="22"/>
          <w:lang w:val="fr-FR"/>
        </w:rPr>
        <w:t>)</w:t>
      </w:r>
      <w:r w:rsidR="004A5A6B">
        <w:rPr>
          <w:rFonts w:eastAsia="MS Mincho"/>
          <w:kern w:val="22"/>
          <w:szCs w:val="22"/>
          <w:lang w:val="fr-FR"/>
        </w:rPr>
        <w:t xml:space="preserve"> des avis scientifiques </w:t>
      </w:r>
      <w:r w:rsidR="00A77FA3">
        <w:rPr>
          <w:rFonts w:eastAsia="MS Mincho"/>
          <w:kern w:val="22"/>
          <w:szCs w:val="22"/>
          <w:lang w:val="fr-FR"/>
        </w:rPr>
        <w:t>et techniques</w:t>
      </w:r>
      <w:r w:rsidR="008075A1">
        <w:rPr>
          <w:rFonts w:eastAsia="MS Mincho"/>
          <w:kern w:val="22"/>
          <w:szCs w:val="22"/>
          <w:lang w:val="fr-FR"/>
        </w:rPr>
        <w:t xml:space="preserve"> sur les définitions, </w:t>
      </w:r>
      <w:r w:rsidR="004A5A6B">
        <w:rPr>
          <w:rFonts w:eastAsia="MS Mincho"/>
          <w:kern w:val="22"/>
          <w:szCs w:val="22"/>
          <w:lang w:val="fr-FR"/>
        </w:rPr>
        <w:t xml:space="preserve">les approches de gestion et le recensement d’autres mesures de conservation efficaces par zone et leur rôle dans la réalisation de l’Objectif 11 d’Aichi pour la biodiversité </w:t>
      </w:r>
      <w:r w:rsidR="00B42BC7">
        <w:rPr>
          <w:rFonts w:eastAsia="MS Mincho"/>
          <w:kern w:val="22"/>
          <w:szCs w:val="22"/>
          <w:lang w:val="fr-FR"/>
        </w:rPr>
        <w:t>(décision XIII/2, par. 10b) ; d</w:t>
      </w:r>
      <w:r w:rsidR="004A5A6B">
        <w:rPr>
          <w:rFonts w:eastAsia="MS Mincho"/>
          <w:kern w:val="22"/>
          <w:szCs w:val="22"/>
          <w:lang w:val="fr-FR"/>
        </w:rPr>
        <w:t xml:space="preserve">) les facteurs de la réalisation de l’Objectif 11 d’Aichi pour la biodiversité dans les zones marines et côtières. L’Organe subsidiaire </w:t>
      </w:r>
      <w:r w:rsidR="00CD4916">
        <w:rPr>
          <w:rFonts w:eastAsia="MS Mincho"/>
          <w:kern w:val="22"/>
          <w:szCs w:val="22"/>
          <w:lang w:val="fr-FR"/>
        </w:rPr>
        <w:t xml:space="preserve">avait aussi à sa disposition des documents d’information sur l’intégration des aires protégée et autres mesures de conservation par zone dans les paysages terrestres et marins plus vastes </w:t>
      </w:r>
      <w:r w:rsidR="00120F38" w:rsidRPr="000C29AA">
        <w:rPr>
          <w:rFonts w:eastAsia="MS Mincho"/>
          <w:kern w:val="22"/>
          <w:szCs w:val="22"/>
          <w:lang w:val="fr-FR"/>
        </w:rPr>
        <w:t>(</w:t>
      </w:r>
      <w:r w:rsidR="00BB2BD4" w:rsidRPr="000C29AA">
        <w:rPr>
          <w:rFonts w:eastAsia="MS Mincho"/>
          <w:lang w:val="fr-FR"/>
        </w:rPr>
        <w:t>CBD/SBSTTA/22/INF/</w:t>
      </w:r>
      <w:r w:rsidR="004A5A6B">
        <w:rPr>
          <w:rFonts w:eastAsia="MS Mincho"/>
          <w:kern w:val="22"/>
          <w:szCs w:val="22"/>
          <w:lang w:val="fr-FR"/>
        </w:rPr>
        <w:t>6) ;</w:t>
      </w:r>
      <w:r w:rsidR="00CD4916">
        <w:rPr>
          <w:rFonts w:eastAsia="MS Mincho"/>
          <w:kern w:val="22"/>
          <w:szCs w:val="22"/>
          <w:lang w:val="fr-FR"/>
        </w:rPr>
        <w:t xml:space="preserve"> l’intégration des aires protégées et autres mesures efficaces de conservation par zone dans tous les secteurs afin de contribuer, entre autres, aux Objectifs de développement durable et comme solutions naturelles de lutte contre les effets des changements climatiques </w:t>
      </w:r>
      <w:r w:rsidR="00120F38" w:rsidRPr="000C29AA">
        <w:rPr>
          <w:rFonts w:eastAsia="MS Mincho"/>
          <w:kern w:val="22"/>
          <w:szCs w:val="22"/>
          <w:lang w:val="fr-FR"/>
        </w:rPr>
        <w:t>(</w:t>
      </w:r>
      <w:r w:rsidR="00BB2BD4" w:rsidRPr="000C29AA">
        <w:rPr>
          <w:rFonts w:eastAsia="MS Mincho"/>
          <w:lang w:val="fr-FR"/>
        </w:rPr>
        <w:t>CBD/SBSTTA/22/INF/</w:t>
      </w:r>
      <w:r w:rsidR="004A5A6B">
        <w:rPr>
          <w:rFonts w:eastAsia="MS Mincho"/>
          <w:kern w:val="22"/>
          <w:szCs w:val="22"/>
          <w:lang w:val="fr-FR"/>
        </w:rPr>
        <w:t>7) ;</w:t>
      </w:r>
      <w:r w:rsidR="00120F38" w:rsidRPr="000C29AA">
        <w:rPr>
          <w:rFonts w:eastAsia="MS Mincho"/>
          <w:kern w:val="22"/>
          <w:szCs w:val="22"/>
          <w:lang w:val="fr-FR"/>
        </w:rPr>
        <w:t xml:space="preserve"> </w:t>
      </w:r>
      <w:r w:rsidR="00CD4916">
        <w:rPr>
          <w:rFonts w:eastAsia="MS Mincho"/>
          <w:kern w:val="22"/>
          <w:szCs w:val="22"/>
          <w:lang w:val="fr-FR"/>
        </w:rPr>
        <w:t xml:space="preserve">la gouvernance des aires protégées et conservées dans la Convention sur la diversité biologique : examen des principales notions, expériences et sources d’orientation </w:t>
      </w:r>
      <w:r w:rsidR="00120F38" w:rsidRPr="000C29AA">
        <w:rPr>
          <w:rFonts w:eastAsia="MS Mincho"/>
          <w:kern w:val="22"/>
          <w:szCs w:val="22"/>
          <w:lang w:val="fr-FR"/>
        </w:rPr>
        <w:t>(</w:t>
      </w:r>
      <w:r w:rsidR="00BB2BD4" w:rsidRPr="000C29AA">
        <w:rPr>
          <w:rFonts w:eastAsia="MS Mincho"/>
          <w:lang w:val="fr-FR"/>
        </w:rPr>
        <w:t>CBD/SBSTTA/22/INF/</w:t>
      </w:r>
      <w:r w:rsidR="00120F38" w:rsidRPr="000C29AA">
        <w:rPr>
          <w:rFonts w:eastAsia="MS Mincho"/>
          <w:kern w:val="22"/>
          <w:szCs w:val="22"/>
          <w:lang w:val="fr-FR"/>
        </w:rPr>
        <w:t>8)</w:t>
      </w:r>
      <w:r w:rsidR="004A5A6B">
        <w:rPr>
          <w:rFonts w:eastAsia="MS Mincho"/>
          <w:kern w:val="22"/>
          <w:szCs w:val="22"/>
          <w:lang w:val="fr-FR"/>
        </w:rPr>
        <w:t>.</w:t>
      </w:r>
      <w:r w:rsidR="00112624">
        <w:rPr>
          <w:rFonts w:eastAsia="MS Mincho"/>
          <w:kern w:val="22"/>
          <w:szCs w:val="22"/>
          <w:lang w:val="fr-FR"/>
        </w:rPr>
        <w:t xml:space="preserve"> </w:t>
      </w:r>
      <w:r w:rsidR="00C73CD6">
        <w:rPr>
          <w:rFonts w:eastAsia="MS Mincho"/>
          <w:kern w:val="22"/>
          <w:szCs w:val="22"/>
          <w:lang w:val="fr-FR"/>
        </w:rPr>
        <w:t xml:space="preserve">Enfin, il était également saisi des rapports d’un atelier d’experts techniques sur les </w:t>
      </w:r>
      <w:r w:rsidR="00112624">
        <w:rPr>
          <w:rFonts w:eastAsia="MS Mincho"/>
          <w:kern w:val="22"/>
          <w:szCs w:val="22"/>
          <w:lang w:val="fr-FR"/>
        </w:rPr>
        <w:t xml:space="preserve">autres mesures de conservation par zone efficaces pour réaliser l’Objectif </w:t>
      </w:r>
      <w:r w:rsidR="00C73CD6">
        <w:rPr>
          <w:rFonts w:eastAsia="MS Mincho"/>
          <w:kern w:val="22"/>
          <w:szCs w:val="22"/>
          <w:lang w:val="fr-FR"/>
        </w:rPr>
        <w:t xml:space="preserve">11 d’Aichi </w:t>
      </w:r>
      <w:r w:rsidR="00C73CD6" w:rsidRPr="00C73CD6">
        <w:rPr>
          <w:rFonts w:eastAsia="MS Mincho"/>
          <w:kern w:val="22"/>
          <w:szCs w:val="22"/>
          <w:lang w:val="fr-FR"/>
        </w:rPr>
        <w:t xml:space="preserve">pour la biodiversité </w:t>
      </w:r>
      <w:r w:rsidR="00120F38" w:rsidRPr="00C73CD6">
        <w:rPr>
          <w:rFonts w:eastAsia="MS Mincho"/>
          <w:kern w:val="22"/>
          <w:szCs w:val="22"/>
          <w:lang w:val="fr-FR"/>
        </w:rPr>
        <w:t>(CBD/PA/EM/2018/1/2)</w:t>
      </w:r>
      <w:r w:rsidR="00C73CD6" w:rsidRPr="00C73CD6">
        <w:rPr>
          <w:rFonts w:eastAsia="MS Mincho"/>
          <w:kern w:val="22"/>
          <w:szCs w:val="22"/>
          <w:lang w:val="fr-FR"/>
        </w:rPr>
        <w:t xml:space="preserve"> et d’un atelier d’experts sur les aires marines protégées et autres mesures de conservation par zone efficaces pour réaliser l’Objectif 11 d’Aichi pour la biodiversité</w:t>
      </w:r>
      <w:r w:rsidR="00120F38" w:rsidRPr="00C73CD6">
        <w:rPr>
          <w:rFonts w:eastAsia="MS Mincho"/>
          <w:kern w:val="22"/>
          <w:szCs w:val="22"/>
          <w:lang w:val="fr-FR"/>
        </w:rPr>
        <w:t>.</w:t>
      </w:r>
    </w:p>
    <w:p w:rsidR="00C73CD6" w:rsidRPr="00C73CD6" w:rsidRDefault="00C73CD6" w:rsidP="00C73CD6">
      <w:pPr>
        <w:pStyle w:val="Para1"/>
        <w:tabs>
          <w:tab w:val="clear" w:pos="360"/>
        </w:tabs>
        <w:rPr>
          <w:rFonts w:eastAsia="MS Mincho"/>
          <w:lang w:val="fr-FR"/>
        </w:rPr>
      </w:pPr>
      <w:r w:rsidRPr="00C73CD6">
        <w:rPr>
          <w:lang w:val="fr-FR"/>
        </w:rPr>
        <w:t>Des déclarations ont ét</w:t>
      </w:r>
      <w:r w:rsidR="00FF5F21">
        <w:rPr>
          <w:lang w:val="fr-FR"/>
        </w:rPr>
        <w:t>é fait</w:t>
      </w:r>
      <w:r w:rsidRPr="00C73CD6">
        <w:rPr>
          <w:lang w:val="fr-FR"/>
        </w:rPr>
        <w:t xml:space="preserve">es par les représentants des pays suivants : </w:t>
      </w:r>
      <w:r w:rsidR="00CE0997">
        <w:rPr>
          <w:lang w:val="fr-FR"/>
        </w:rPr>
        <w:t xml:space="preserve">Afrique du Sud, </w:t>
      </w:r>
      <w:r w:rsidR="00FF5F21">
        <w:rPr>
          <w:rFonts w:eastAsia="MS Mincho"/>
          <w:kern w:val="22"/>
          <w:szCs w:val="22"/>
          <w:lang w:val="fr-FR"/>
        </w:rPr>
        <w:t>Australie, Belgique</w:t>
      </w:r>
      <w:r w:rsidRPr="00C73CD6">
        <w:rPr>
          <w:rFonts w:eastAsia="MS Mincho"/>
          <w:kern w:val="22"/>
          <w:szCs w:val="22"/>
          <w:lang w:val="fr-FR"/>
        </w:rPr>
        <w:t xml:space="preserve">, </w:t>
      </w:r>
      <w:r w:rsidR="00FF5F21">
        <w:rPr>
          <w:lang w:val="fr-FR"/>
        </w:rPr>
        <w:t>Équateur,</w:t>
      </w:r>
      <w:r w:rsidR="00CE0997">
        <w:rPr>
          <w:lang w:val="fr-FR"/>
        </w:rPr>
        <w:t xml:space="preserve"> </w:t>
      </w:r>
      <w:r w:rsidRPr="00C73CD6">
        <w:rPr>
          <w:lang w:val="fr-FR"/>
        </w:rPr>
        <w:t xml:space="preserve">France, </w:t>
      </w:r>
      <w:r w:rsidR="00FF5F21">
        <w:rPr>
          <w:rFonts w:eastAsia="MS Mincho"/>
          <w:kern w:val="22"/>
          <w:szCs w:val="22"/>
          <w:lang w:val="fr-FR"/>
        </w:rPr>
        <w:t>Guatemala, Inde</w:t>
      </w:r>
      <w:r w:rsidRPr="00C73CD6">
        <w:rPr>
          <w:rFonts w:eastAsia="MS Mincho"/>
          <w:kern w:val="22"/>
          <w:szCs w:val="22"/>
          <w:lang w:val="fr-FR"/>
        </w:rPr>
        <w:t xml:space="preserve">, </w:t>
      </w:r>
      <w:r w:rsidR="00FF5F21">
        <w:rPr>
          <w:lang w:val="fr-FR"/>
        </w:rPr>
        <w:t>Indonésie</w:t>
      </w:r>
      <w:r w:rsidRPr="00C73CD6">
        <w:rPr>
          <w:lang w:val="fr-FR"/>
        </w:rPr>
        <w:t xml:space="preserve">, </w:t>
      </w:r>
      <w:r w:rsidR="00FF5F21">
        <w:rPr>
          <w:rFonts w:eastAsia="MS Mincho"/>
          <w:kern w:val="22"/>
          <w:szCs w:val="22"/>
          <w:lang w:val="fr-FR"/>
        </w:rPr>
        <w:t>Japo</w:t>
      </w:r>
      <w:r w:rsidRPr="00C73CD6">
        <w:rPr>
          <w:rFonts w:eastAsia="MS Mincho"/>
          <w:kern w:val="22"/>
          <w:szCs w:val="22"/>
          <w:lang w:val="fr-FR"/>
        </w:rPr>
        <w:t xml:space="preserve">n, </w:t>
      </w:r>
      <w:r w:rsidRPr="00C73CD6">
        <w:rPr>
          <w:lang w:val="fr-FR"/>
        </w:rPr>
        <w:t xml:space="preserve">Maldives, </w:t>
      </w:r>
      <w:r w:rsidR="00FF5F21">
        <w:rPr>
          <w:lang w:val="fr-FR"/>
        </w:rPr>
        <w:t>Micronésie (États fédérés de</w:t>
      </w:r>
      <w:r w:rsidR="00CE0997">
        <w:rPr>
          <w:lang w:val="fr-FR"/>
        </w:rPr>
        <w:t xml:space="preserve">) (également au nom des Îles Cook, des Palaos et des </w:t>
      </w:r>
      <w:r w:rsidRPr="00C73CD6">
        <w:rPr>
          <w:lang w:val="fr-FR"/>
        </w:rPr>
        <w:t xml:space="preserve">Tonga), </w:t>
      </w:r>
      <w:r w:rsidR="00CE0997">
        <w:rPr>
          <w:rFonts w:eastAsia="MS Mincho"/>
          <w:kern w:val="22"/>
          <w:szCs w:val="22"/>
          <w:lang w:val="fr-FR"/>
        </w:rPr>
        <w:t>Maroc</w:t>
      </w:r>
      <w:r w:rsidRPr="00C73CD6">
        <w:rPr>
          <w:rFonts w:eastAsia="MS Mincho"/>
          <w:kern w:val="22"/>
          <w:szCs w:val="22"/>
          <w:lang w:val="fr-FR"/>
        </w:rPr>
        <w:t xml:space="preserve">, </w:t>
      </w:r>
      <w:r w:rsidRPr="00C73CD6">
        <w:rPr>
          <w:lang w:val="fr-FR"/>
        </w:rPr>
        <w:t>Myanmar (</w:t>
      </w:r>
      <w:r w:rsidR="00CE0997">
        <w:rPr>
          <w:rFonts w:eastAsia="MS Mincho"/>
          <w:kern w:val="22"/>
          <w:szCs w:val="22"/>
          <w:lang w:val="fr-FR"/>
        </w:rPr>
        <w:t>également au nom des État membres de l’ASEAN</w:t>
      </w:r>
      <w:r w:rsidRPr="00C73CD6">
        <w:rPr>
          <w:rFonts w:eastAsia="MS Mincho"/>
          <w:kern w:val="22"/>
          <w:szCs w:val="22"/>
          <w:lang w:val="fr-FR"/>
        </w:rPr>
        <w:t>)</w:t>
      </w:r>
      <w:r w:rsidRPr="00C73CD6">
        <w:rPr>
          <w:lang w:val="fr-FR"/>
        </w:rPr>
        <w:t xml:space="preserve">, </w:t>
      </w:r>
      <w:r w:rsidR="00CE0997">
        <w:rPr>
          <w:lang w:val="fr-FR"/>
        </w:rPr>
        <w:t>Nouvelle-Zélande</w:t>
      </w:r>
      <w:r w:rsidR="009A3088">
        <w:rPr>
          <w:rFonts w:eastAsia="MS Mincho"/>
          <w:kern w:val="22"/>
          <w:szCs w:val="22"/>
          <w:lang w:val="fr-FR"/>
        </w:rPr>
        <w:t>,  Royaume-Uni</w:t>
      </w:r>
      <w:r w:rsidR="00CE0997">
        <w:rPr>
          <w:rFonts w:eastAsia="MS Mincho"/>
          <w:kern w:val="22"/>
          <w:szCs w:val="22"/>
          <w:lang w:val="fr-FR"/>
        </w:rPr>
        <w:t xml:space="preserve">, Suisse et </w:t>
      </w:r>
      <w:r w:rsidR="00FF5F21">
        <w:rPr>
          <w:rFonts w:eastAsia="MS Mincho"/>
          <w:kern w:val="22"/>
          <w:szCs w:val="22"/>
          <w:lang w:val="fr-FR"/>
        </w:rPr>
        <w:t>Union européenne</w:t>
      </w:r>
      <w:r w:rsidRPr="00C73CD6">
        <w:rPr>
          <w:rFonts w:eastAsia="MS Mincho"/>
          <w:kern w:val="22"/>
          <w:szCs w:val="22"/>
          <w:lang w:val="fr-FR"/>
        </w:rPr>
        <w:t xml:space="preserve">. </w:t>
      </w:r>
    </w:p>
    <w:p w:rsidR="00C73CD6" w:rsidRPr="00C73CD6" w:rsidRDefault="00CE0997" w:rsidP="00C73CD6">
      <w:pPr>
        <w:pStyle w:val="Para1"/>
        <w:tabs>
          <w:tab w:val="clear" w:pos="360"/>
        </w:tabs>
        <w:rPr>
          <w:kern w:val="22"/>
          <w:szCs w:val="22"/>
          <w:lang w:val="fr-FR"/>
        </w:rPr>
      </w:pPr>
      <w:r>
        <w:rPr>
          <w:lang w:val="fr-FR"/>
        </w:rPr>
        <w:t>À la 4</w:t>
      </w:r>
      <w:r w:rsidRPr="00CE0997">
        <w:rPr>
          <w:vertAlign w:val="superscript"/>
          <w:lang w:val="fr-FR"/>
        </w:rPr>
        <w:t>ème</w:t>
      </w:r>
      <w:r>
        <w:rPr>
          <w:lang w:val="fr-FR"/>
        </w:rPr>
        <w:t xml:space="preserve"> séance de la réunion</w:t>
      </w:r>
      <w:r w:rsidR="00C73CD6" w:rsidRPr="00C73CD6">
        <w:rPr>
          <w:lang w:val="fr-FR"/>
        </w:rPr>
        <w:t xml:space="preserve">, </w:t>
      </w:r>
      <w:r>
        <w:rPr>
          <w:lang w:val="fr-FR"/>
        </w:rPr>
        <w:t>le 3 juillet</w:t>
      </w:r>
      <w:r w:rsidR="00C73CD6" w:rsidRPr="00C73CD6">
        <w:rPr>
          <w:lang w:val="fr-FR"/>
        </w:rPr>
        <w:t xml:space="preserve"> 2018, </w:t>
      </w:r>
      <w:r>
        <w:rPr>
          <w:lang w:val="fr-FR"/>
        </w:rPr>
        <w:t xml:space="preserve">l’Organe subsidiaire a poursuivi son examen de ce point sous la présidence de M. </w:t>
      </w:r>
      <w:r w:rsidR="00C73CD6" w:rsidRPr="00C73CD6">
        <w:rPr>
          <w:kern w:val="22"/>
          <w:szCs w:val="22"/>
          <w:lang w:val="fr-FR"/>
        </w:rPr>
        <w:t>Adams Toussaint (Saint</w:t>
      </w:r>
      <w:r>
        <w:rPr>
          <w:kern w:val="22"/>
          <w:szCs w:val="22"/>
          <w:lang w:val="fr-FR"/>
        </w:rPr>
        <w:t>e-Lucie)</w:t>
      </w:r>
      <w:r w:rsidR="00C73CD6" w:rsidRPr="00C73CD6">
        <w:rPr>
          <w:lang w:val="fr-FR"/>
        </w:rPr>
        <w:t>.</w:t>
      </w:r>
    </w:p>
    <w:p w:rsidR="00C73CD6" w:rsidRPr="00C73CD6" w:rsidRDefault="00CE0997" w:rsidP="00C73CD6">
      <w:pPr>
        <w:pStyle w:val="Para1"/>
        <w:tabs>
          <w:tab w:val="clear" w:pos="360"/>
        </w:tabs>
        <w:rPr>
          <w:rFonts w:eastAsia="MS Mincho"/>
          <w:lang w:val="fr-FR"/>
        </w:rPr>
      </w:pPr>
      <w:r>
        <w:rPr>
          <w:rFonts w:eastAsia="MS Mincho"/>
          <w:kern w:val="22"/>
          <w:szCs w:val="22"/>
          <w:lang w:val="fr-FR"/>
        </w:rPr>
        <w:t xml:space="preserve">Des déclarations ont été faites par les représentants des pays suivants : Allemagne, </w:t>
      </w:r>
      <w:r>
        <w:rPr>
          <w:lang w:val="fr-FR"/>
        </w:rPr>
        <w:t>Argentine</w:t>
      </w:r>
      <w:r w:rsidR="00C73CD6" w:rsidRPr="00C73CD6">
        <w:rPr>
          <w:lang w:val="fr-FR"/>
        </w:rPr>
        <w:t xml:space="preserve">, </w:t>
      </w:r>
      <w:r>
        <w:rPr>
          <w:noProof/>
          <w:lang w:val="fr-FR"/>
        </w:rPr>
        <w:t>Bé</w:t>
      </w:r>
      <w:r w:rsidR="00C73CD6" w:rsidRPr="00C73CD6">
        <w:rPr>
          <w:noProof/>
          <w:lang w:val="fr-FR"/>
        </w:rPr>
        <w:t>larus</w:t>
      </w:r>
      <w:r w:rsidR="00C73CD6" w:rsidRPr="00C73CD6">
        <w:rPr>
          <w:lang w:val="fr-FR"/>
        </w:rPr>
        <w:t xml:space="preserve">, </w:t>
      </w:r>
      <w:r>
        <w:rPr>
          <w:rFonts w:eastAsia="MS Mincho"/>
          <w:kern w:val="22"/>
          <w:szCs w:val="22"/>
          <w:lang w:val="fr-FR"/>
        </w:rPr>
        <w:t>Bolivie (État plurinational de), Brésil, Cambodge</w:t>
      </w:r>
      <w:r w:rsidR="00C73CD6" w:rsidRPr="00C73CD6">
        <w:rPr>
          <w:rFonts w:eastAsia="MS Mincho"/>
          <w:kern w:val="22"/>
          <w:szCs w:val="22"/>
          <w:lang w:val="fr-FR"/>
        </w:rPr>
        <w:t xml:space="preserve">, Canada, </w:t>
      </w:r>
      <w:r>
        <w:rPr>
          <w:rFonts w:eastAsia="MS Mincho"/>
          <w:kern w:val="22"/>
          <w:szCs w:val="22"/>
          <w:lang w:val="fr-FR"/>
        </w:rPr>
        <w:t xml:space="preserve">Îles </w:t>
      </w:r>
      <w:r>
        <w:rPr>
          <w:lang w:val="fr-FR"/>
        </w:rPr>
        <w:t>Cook</w:t>
      </w:r>
      <w:r w:rsidR="00C73CD6" w:rsidRPr="00C73CD6">
        <w:rPr>
          <w:lang w:val="fr-FR"/>
        </w:rPr>
        <w:t xml:space="preserve">, Costa Rica, Cuba, </w:t>
      </w:r>
      <w:r w:rsidR="00C73CD6" w:rsidRPr="00C73CD6">
        <w:rPr>
          <w:rFonts w:eastAsia="MS Mincho"/>
          <w:kern w:val="22"/>
          <w:szCs w:val="22"/>
          <w:lang w:val="fr-FR"/>
        </w:rPr>
        <w:t>Finland</w:t>
      </w:r>
      <w:r>
        <w:rPr>
          <w:rFonts w:eastAsia="MS Mincho"/>
          <w:kern w:val="22"/>
          <w:szCs w:val="22"/>
          <w:lang w:val="fr-FR"/>
        </w:rPr>
        <w:t>e</w:t>
      </w:r>
      <w:r w:rsidR="00C73CD6" w:rsidRPr="00C73CD6">
        <w:rPr>
          <w:rFonts w:eastAsia="MS Mincho"/>
          <w:kern w:val="22"/>
          <w:szCs w:val="22"/>
          <w:lang w:val="fr-FR"/>
        </w:rPr>
        <w:t xml:space="preserve">, </w:t>
      </w:r>
      <w:r>
        <w:rPr>
          <w:lang w:val="fr-FR"/>
        </w:rPr>
        <w:t xml:space="preserve">Géorgie, </w:t>
      </w:r>
      <w:r>
        <w:rPr>
          <w:rFonts w:eastAsia="MS Mincho"/>
          <w:kern w:val="22"/>
          <w:szCs w:val="22"/>
          <w:lang w:val="fr-FR"/>
        </w:rPr>
        <w:t>Jamaïque</w:t>
      </w:r>
      <w:r w:rsidR="00C73CD6" w:rsidRPr="00C73CD6">
        <w:rPr>
          <w:rFonts w:eastAsia="MS Mincho"/>
          <w:kern w:val="22"/>
          <w:szCs w:val="22"/>
          <w:lang w:val="fr-FR"/>
        </w:rPr>
        <w:t>, Jordan</w:t>
      </w:r>
      <w:r>
        <w:rPr>
          <w:rFonts w:eastAsia="MS Mincho"/>
          <w:kern w:val="22"/>
          <w:szCs w:val="22"/>
          <w:lang w:val="fr-FR"/>
        </w:rPr>
        <w:t>ie</w:t>
      </w:r>
      <w:r w:rsidR="00C73CD6" w:rsidRPr="00C73CD6">
        <w:rPr>
          <w:rFonts w:eastAsia="MS Mincho"/>
          <w:kern w:val="22"/>
          <w:szCs w:val="22"/>
          <w:lang w:val="fr-FR"/>
        </w:rPr>
        <w:t xml:space="preserve">, </w:t>
      </w:r>
      <w:r w:rsidR="00C73CD6" w:rsidRPr="00C73CD6">
        <w:rPr>
          <w:lang w:val="fr-FR"/>
        </w:rPr>
        <w:t xml:space="preserve">Malawi, </w:t>
      </w:r>
      <w:r>
        <w:rPr>
          <w:lang w:val="fr-FR"/>
        </w:rPr>
        <w:t>Malaisie</w:t>
      </w:r>
      <w:r w:rsidR="00C73CD6" w:rsidRPr="00C73CD6">
        <w:rPr>
          <w:lang w:val="fr-FR"/>
        </w:rPr>
        <w:t xml:space="preserve">, </w:t>
      </w:r>
      <w:r>
        <w:rPr>
          <w:lang w:val="fr-FR"/>
        </w:rPr>
        <w:t>Mexique</w:t>
      </w:r>
      <w:r w:rsidR="00C73CD6" w:rsidRPr="00C73CD6">
        <w:rPr>
          <w:lang w:val="fr-FR"/>
        </w:rPr>
        <w:t xml:space="preserve">, </w:t>
      </w:r>
      <w:r>
        <w:rPr>
          <w:lang w:val="fr-FR"/>
        </w:rPr>
        <w:t>Norvège</w:t>
      </w:r>
      <w:r w:rsidR="00C73CD6" w:rsidRPr="00C73CD6">
        <w:rPr>
          <w:lang w:val="fr-FR"/>
        </w:rPr>
        <w:t xml:space="preserve">, </w:t>
      </w:r>
      <w:r>
        <w:rPr>
          <w:rFonts w:eastAsia="MS Mincho"/>
          <w:kern w:val="22"/>
          <w:szCs w:val="22"/>
          <w:lang w:val="fr-FR"/>
        </w:rPr>
        <w:t>Pé</w:t>
      </w:r>
      <w:r w:rsidR="00C73CD6" w:rsidRPr="00C73CD6">
        <w:rPr>
          <w:rFonts w:eastAsia="MS Mincho"/>
          <w:kern w:val="22"/>
          <w:szCs w:val="22"/>
          <w:lang w:val="fr-FR"/>
        </w:rPr>
        <w:t>r</w:t>
      </w:r>
      <w:r w:rsidR="00380227">
        <w:rPr>
          <w:rFonts w:eastAsia="MS Mincho"/>
          <w:kern w:val="22"/>
          <w:szCs w:val="22"/>
          <w:lang w:val="fr-FR"/>
        </w:rPr>
        <w:t>o</w:t>
      </w:r>
      <w:r w:rsidR="00C73CD6" w:rsidRPr="00C73CD6">
        <w:rPr>
          <w:rFonts w:eastAsia="MS Mincho"/>
          <w:kern w:val="22"/>
          <w:szCs w:val="22"/>
          <w:lang w:val="fr-FR"/>
        </w:rPr>
        <w:t xml:space="preserve">u, </w:t>
      </w:r>
      <w:r w:rsidR="00380227">
        <w:rPr>
          <w:lang w:val="fr-FR"/>
        </w:rPr>
        <w:t>République de Corée</w:t>
      </w:r>
      <w:r w:rsidR="00C73CD6" w:rsidRPr="00C73CD6">
        <w:rPr>
          <w:lang w:val="fr-FR"/>
        </w:rPr>
        <w:t xml:space="preserve">, Seychelles, Sri Lanka, </w:t>
      </w:r>
      <w:r w:rsidR="00380227">
        <w:rPr>
          <w:rFonts w:eastAsia="MS Mincho"/>
          <w:kern w:val="22"/>
          <w:szCs w:val="22"/>
          <w:lang w:val="fr-FR"/>
        </w:rPr>
        <w:t>Suède</w:t>
      </w:r>
      <w:r w:rsidR="00C73CD6" w:rsidRPr="00C73CD6">
        <w:rPr>
          <w:rFonts w:eastAsia="MS Mincho"/>
          <w:kern w:val="22"/>
          <w:szCs w:val="22"/>
          <w:lang w:val="fr-FR"/>
        </w:rPr>
        <w:t xml:space="preserve">, </w:t>
      </w:r>
      <w:r w:rsidR="00C73CD6" w:rsidRPr="00C73CD6">
        <w:rPr>
          <w:lang w:val="fr-FR"/>
        </w:rPr>
        <w:t>V</w:t>
      </w:r>
      <w:r w:rsidR="00380227">
        <w:rPr>
          <w:lang w:val="fr-FR"/>
        </w:rPr>
        <w:t>enezuela (République bolivarienne du</w:t>
      </w:r>
      <w:r w:rsidR="00C73CD6" w:rsidRPr="00C73CD6">
        <w:rPr>
          <w:lang w:val="fr-FR"/>
        </w:rPr>
        <w:t xml:space="preserve">) </w:t>
      </w:r>
      <w:r w:rsidR="00380227">
        <w:rPr>
          <w:rFonts w:eastAsia="MS Mincho"/>
          <w:kern w:val="22"/>
          <w:szCs w:val="22"/>
          <w:lang w:val="fr-FR"/>
        </w:rPr>
        <w:t>et</w:t>
      </w:r>
      <w:r w:rsidR="00C73CD6" w:rsidRPr="00C73CD6">
        <w:rPr>
          <w:rFonts w:eastAsia="MS Mincho"/>
          <w:kern w:val="22"/>
          <w:szCs w:val="22"/>
          <w:lang w:val="fr-FR"/>
        </w:rPr>
        <w:t xml:space="preserve"> Zimbabwe</w:t>
      </w:r>
      <w:r w:rsidR="00380227">
        <w:rPr>
          <w:rFonts w:eastAsia="MS Mincho"/>
          <w:kern w:val="22"/>
          <w:szCs w:val="22"/>
          <w:lang w:val="fr-FR"/>
        </w:rPr>
        <w:t xml:space="preserve"> (au nom du Groupe africain</w:t>
      </w:r>
      <w:r w:rsidR="00C73CD6" w:rsidRPr="00C73CD6">
        <w:rPr>
          <w:rFonts w:eastAsia="MS Mincho"/>
          <w:kern w:val="22"/>
          <w:szCs w:val="22"/>
          <w:lang w:val="fr-FR"/>
        </w:rPr>
        <w:t>).</w:t>
      </w:r>
    </w:p>
    <w:p w:rsidR="00C73CD6" w:rsidRPr="00C73CD6" w:rsidRDefault="0038593B" w:rsidP="00C73CD6">
      <w:pPr>
        <w:pStyle w:val="Para1"/>
        <w:tabs>
          <w:tab w:val="clear" w:pos="360"/>
        </w:tabs>
        <w:rPr>
          <w:rFonts w:eastAsia="MS Mincho"/>
          <w:lang w:val="fr-FR"/>
        </w:rPr>
      </w:pPr>
      <w:r>
        <w:rPr>
          <w:rFonts w:eastAsia="MS Mincho"/>
          <w:lang w:val="fr-FR"/>
        </w:rPr>
        <w:t>Des</w:t>
      </w:r>
      <w:r w:rsidR="00380227">
        <w:rPr>
          <w:rFonts w:eastAsia="MS Mincho"/>
          <w:lang w:val="fr-FR"/>
        </w:rPr>
        <w:t xml:space="preserve"> représentant</w:t>
      </w:r>
      <w:r>
        <w:rPr>
          <w:rFonts w:eastAsia="MS Mincho"/>
          <w:lang w:val="fr-FR"/>
        </w:rPr>
        <w:t>s</w:t>
      </w:r>
      <w:r w:rsidR="00380227">
        <w:rPr>
          <w:rFonts w:eastAsia="MS Mincho"/>
          <w:lang w:val="fr-FR"/>
        </w:rPr>
        <w:t xml:space="preserve"> de l’Organisation des Nations Unies pour l’alimentation et l</w:t>
      </w:r>
      <w:r>
        <w:rPr>
          <w:rFonts w:eastAsia="MS Mincho"/>
          <w:lang w:val="fr-FR"/>
        </w:rPr>
        <w:t xml:space="preserve">’agriculture et du PNUE ont </w:t>
      </w:r>
      <w:r w:rsidR="00380227">
        <w:rPr>
          <w:rFonts w:eastAsia="MS Mincho"/>
          <w:lang w:val="fr-FR"/>
        </w:rPr>
        <w:t>pris la parole</w:t>
      </w:r>
      <w:r>
        <w:rPr>
          <w:rFonts w:eastAsia="MS Mincho"/>
          <w:lang w:val="fr-FR"/>
        </w:rPr>
        <w:t xml:space="preserve"> également</w:t>
      </w:r>
      <w:r w:rsidR="00380227">
        <w:rPr>
          <w:rFonts w:eastAsia="MS Mincho"/>
          <w:lang w:val="fr-FR"/>
        </w:rPr>
        <w:t>.</w:t>
      </w:r>
    </w:p>
    <w:p w:rsidR="00C73CD6" w:rsidRPr="00C73CD6" w:rsidRDefault="00380227" w:rsidP="00C73CD6">
      <w:pPr>
        <w:pStyle w:val="Para1"/>
        <w:tabs>
          <w:tab w:val="clear" w:pos="360"/>
        </w:tabs>
        <w:rPr>
          <w:rFonts w:eastAsia="MS Mincho"/>
          <w:lang w:val="fr-FR"/>
        </w:rPr>
      </w:pPr>
      <w:r>
        <w:rPr>
          <w:snapToGrid/>
          <w:lang w:val="fr-FR"/>
        </w:rPr>
        <w:t>Sont également intervenus des représentants des organisations et associations suivantes </w:t>
      </w:r>
      <w:r>
        <w:rPr>
          <w:noProof/>
          <w:snapToGrid/>
          <w:lang w:val="fr-FR"/>
        </w:rPr>
        <w:t xml:space="preserve">: </w:t>
      </w:r>
      <w:r w:rsidR="00C73CD6" w:rsidRPr="00C73CD6">
        <w:rPr>
          <w:bCs/>
          <w:noProof/>
          <w:snapToGrid/>
          <w:lang w:val="fr-FR"/>
        </w:rPr>
        <w:t>African Indigenous Women's</w:t>
      </w:r>
      <w:r w:rsidR="00C73CD6" w:rsidRPr="00C73CD6">
        <w:rPr>
          <w:bCs/>
          <w:snapToGrid/>
          <w:lang w:val="fr-FR"/>
        </w:rPr>
        <w:t xml:space="preserve"> Organisation</w:t>
      </w:r>
      <w:r w:rsidR="00C73CD6" w:rsidRPr="00C73CD6">
        <w:rPr>
          <w:snapToGrid/>
          <w:lang w:val="fr-FR"/>
        </w:rPr>
        <w:t xml:space="preserve"> (AIWO) </w:t>
      </w:r>
      <w:r>
        <w:rPr>
          <w:snapToGrid/>
          <w:lang w:val="fr-FR"/>
        </w:rPr>
        <w:t xml:space="preserve">(également au nom </w:t>
      </w:r>
      <w:r>
        <w:rPr>
          <w:noProof/>
          <w:snapToGrid/>
          <w:lang w:val="fr-FR"/>
        </w:rPr>
        <w:t xml:space="preserve">du </w:t>
      </w:r>
      <w:r w:rsidR="00C73CD6" w:rsidRPr="00C73CD6">
        <w:rPr>
          <w:noProof/>
          <w:snapToGrid/>
          <w:lang w:val="fr-FR"/>
        </w:rPr>
        <w:t xml:space="preserve">All </w:t>
      </w:r>
      <w:r w:rsidR="00C73CD6" w:rsidRPr="00C73CD6">
        <w:rPr>
          <w:bCs/>
          <w:noProof/>
          <w:snapToGrid/>
          <w:lang w:val="fr-FR"/>
        </w:rPr>
        <w:t>India Forum of Forest Movements</w:t>
      </w:r>
      <w:r>
        <w:rPr>
          <w:snapToGrid/>
          <w:lang w:val="fr-FR"/>
        </w:rPr>
        <w:t xml:space="preserve"> (AIFFM) et de la Coalition mondiale des forêts)</w:t>
      </w:r>
      <w:r w:rsidR="00C73CD6" w:rsidRPr="00C73CD6">
        <w:rPr>
          <w:snapToGrid/>
          <w:lang w:val="fr-FR"/>
        </w:rPr>
        <w:t xml:space="preserve">, GYBN, </w:t>
      </w:r>
      <w:r>
        <w:rPr>
          <w:snapToGrid/>
          <w:lang w:val="fr-FR"/>
        </w:rPr>
        <w:t xml:space="preserve">Consortium APAC </w:t>
      </w:r>
      <w:r>
        <w:rPr>
          <w:szCs w:val="22"/>
          <w:lang w:val="fr-FR"/>
        </w:rPr>
        <w:t>(également au nom de la Coalition mondiale des forêts</w:t>
      </w:r>
      <w:r w:rsidR="00C73CD6" w:rsidRPr="00C73CD6">
        <w:rPr>
          <w:lang w:val="fr-FR"/>
        </w:rPr>
        <w:t>),</w:t>
      </w:r>
      <w:r w:rsidR="00C73CD6" w:rsidRPr="00C73CD6">
        <w:rPr>
          <w:snapToGrid/>
          <w:lang w:val="fr-FR"/>
        </w:rPr>
        <w:t xml:space="preserve"> </w:t>
      </w:r>
      <w:r>
        <w:rPr>
          <w:snapToGrid/>
          <w:lang w:val="fr-FR"/>
        </w:rPr>
        <w:t>Forum international des peuples autochtones sur la biodiversité</w:t>
      </w:r>
      <w:r w:rsidR="00C73CD6" w:rsidRPr="00C73CD6">
        <w:rPr>
          <w:snapToGrid/>
          <w:lang w:val="fr-FR"/>
        </w:rPr>
        <w:t xml:space="preserve">, </w:t>
      </w:r>
      <w:r w:rsidR="00281181">
        <w:rPr>
          <w:snapToGrid/>
          <w:lang w:val="fr-FR"/>
        </w:rPr>
        <w:t xml:space="preserve">UICN, Réseau des gestionnaires d’aires marines protégées en Méditerranée (Association </w:t>
      </w:r>
      <w:r w:rsidR="00281181">
        <w:rPr>
          <w:noProof/>
          <w:snapToGrid/>
          <w:lang w:val="fr-FR"/>
        </w:rPr>
        <w:t>M</w:t>
      </w:r>
      <w:r w:rsidR="00281181">
        <w:rPr>
          <w:noProof/>
          <w:lang w:val="fr-FR"/>
        </w:rPr>
        <w:t>edPAN</w:t>
      </w:r>
      <w:r w:rsidR="00281181">
        <w:rPr>
          <w:lang w:val="fr-FR"/>
        </w:rPr>
        <w:t>)</w:t>
      </w:r>
      <w:r w:rsidR="00C73CD6" w:rsidRPr="00C73CD6">
        <w:rPr>
          <w:snapToGrid/>
          <w:lang w:val="fr-FR"/>
        </w:rPr>
        <w:t>.</w:t>
      </w:r>
    </w:p>
    <w:p w:rsidR="00A77FA3" w:rsidRPr="00A77FA3" w:rsidRDefault="000E33BA" w:rsidP="00C73CD6">
      <w:pPr>
        <w:pStyle w:val="Para1"/>
        <w:tabs>
          <w:tab w:val="clear" w:pos="360"/>
        </w:tabs>
        <w:rPr>
          <w:rFonts w:eastAsia="MS Mincho"/>
          <w:lang w:val="fr-FR"/>
        </w:rPr>
      </w:pPr>
      <w:r>
        <w:rPr>
          <w:snapToGrid/>
          <w:lang w:val="fr-FR"/>
        </w:rPr>
        <w:t xml:space="preserve">Après un échange </w:t>
      </w:r>
      <w:r w:rsidR="00281181">
        <w:rPr>
          <w:snapToGrid/>
          <w:lang w:val="fr-FR"/>
        </w:rPr>
        <w:t>de vue</w:t>
      </w:r>
      <w:r>
        <w:rPr>
          <w:snapToGrid/>
          <w:lang w:val="fr-FR"/>
        </w:rPr>
        <w:t>s</w:t>
      </w:r>
      <w:r w:rsidR="00281181">
        <w:rPr>
          <w:snapToGrid/>
          <w:lang w:val="fr-FR"/>
        </w:rPr>
        <w:t>, le président a déclaré qu’il élaborerait un texte révisé pour examen par l’Organe subsidiaire, compte tenu des ponts de vue exprimés oralement</w:t>
      </w:r>
      <w:r w:rsidR="00167966">
        <w:rPr>
          <w:snapToGrid/>
          <w:lang w:val="fr-FR"/>
        </w:rPr>
        <w:t xml:space="preserve"> par les Parties ou soutenus par celles-ci</w:t>
      </w:r>
      <w:r w:rsidR="00281181">
        <w:rPr>
          <w:snapToGrid/>
          <w:lang w:val="fr-FR"/>
        </w:rPr>
        <w:t xml:space="preserve"> et des commentaires transmis par écrit.</w:t>
      </w:r>
    </w:p>
    <w:p w:rsidR="00C73CD6" w:rsidRPr="00C73CD6" w:rsidRDefault="00A77FA3" w:rsidP="00C73CD6">
      <w:pPr>
        <w:pStyle w:val="Para1"/>
        <w:tabs>
          <w:tab w:val="clear" w:pos="360"/>
        </w:tabs>
        <w:rPr>
          <w:rFonts w:eastAsia="MS Mincho"/>
          <w:lang w:val="fr-FR"/>
        </w:rPr>
      </w:pPr>
      <w:r>
        <w:rPr>
          <w:lang w:val="fr-FR"/>
        </w:rPr>
        <w:t>À la 9</w:t>
      </w:r>
      <w:r w:rsidRPr="00475A35">
        <w:rPr>
          <w:vertAlign w:val="superscript"/>
          <w:lang w:val="fr-FR"/>
        </w:rPr>
        <w:t>ème</w:t>
      </w:r>
      <w:r>
        <w:rPr>
          <w:lang w:val="fr-FR"/>
        </w:rPr>
        <w:t xml:space="preserve"> séance de la réunion, le 6 juillet 2018, l’Organe subsidiaire, présidé par Mme Theresa </w:t>
      </w:r>
      <w:r>
        <w:rPr>
          <w:noProof/>
          <w:lang w:val="fr-FR"/>
        </w:rPr>
        <w:t>Mundita</w:t>
      </w:r>
      <w:r>
        <w:rPr>
          <w:lang w:val="fr-FR"/>
        </w:rPr>
        <w:t xml:space="preserve"> Lim (Philippines), a examiné le projet de recommandation révisé présenté par la présidente. Après un échange de vues, le projet de recommandation révisé a été approuvé, tel qu’amendé oralement, </w:t>
      </w:r>
      <w:r>
        <w:rPr>
          <w:lang w:val="fr-FR"/>
        </w:rPr>
        <w:lastRenderedPageBreak/>
        <w:t xml:space="preserve">pour adoption officielle par l’Organe subsidiaire en tant que </w:t>
      </w:r>
      <w:r w:rsidR="0076123B">
        <w:rPr>
          <w:lang w:val="fr-FR"/>
        </w:rPr>
        <w:t xml:space="preserve">projet de </w:t>
      </w:r>
      <w:r>
        <w:rPr>
          <w:lang w:val="fr-FR"/>
        </w:rPr>
        <w:t>recommandation CBD/SBSTTA.22/L.2.</w:t>
      </w:r>
      <w:r w:rsidR="00C73CD6" w:rsidRPr="00C73CD6">
        <w:rPr>
          <w:snapToGrid/>
          <w:lang w:val="fr-FR"/>
        </w:rPr>
        <w:t xml:space="preserve"> </w:t>
      </w:r>
    </w:p>
    <w:p w:rsidR="00C73CD6" w:rsidRPr="002F102A" w:rsidRDefault="002F102A" w:rsidP="00C73CD6">
      <w:pPr>
        <w:pStyle w:val="Para1"/>
        <w:tabs>
          <w:tab w:val="clear" w:pos="360"/>
        </w:tabs>
        <w:rPr>
          <w:rFonts w:eastAsia="MS Mincho"/>
          <w:lang w:val="fr-FR"/>
        </w:rPr>
      </w:pPr>
      <w:r w:rsidRPr="002F102A">
        <w:rPr>
          <w:rFonts w:eastAsia="MS Mincho"/>
          <w:lang w:val="fr-FR"/>
        </w:rPr>
        <w:t>A la 13</w:t>
      </w:r>
      <w:r w:rsidRPr="00C94AC5">
        <w:rPr>
          <w:rFonts w:eastAsia="MS Mincho"/>
          <w:vertAlign w:val="superscript"/>
          <w:lang w:val="fr-FR"/>
        </w:rPr>
        <w:t>ème</w:t>
      </w:r>
      <w:r w:rsidRPr="002F102A">
        <w:rPr>
          <w:rFonts w:eastAsia="MS Mincho"/>
          <w:lang w:val="fr-FR"/>
        </w:rPr>
        <w:t xml:space="preserve"> séance de la réunion</w:t>
      </w:r>
      <w:r w:rsidR="0038593B" w:rsidRPr="002F102A">
        <w:rPr>
          <w:rFonts w:eastAsia="MS Mincho"/>
          <w:lang w:val="fr-FR"/>
        </w:rPr>
        <w:t xml:space="preserve">, </w:t>
      </w:r>
      <w:r w:rsidRPr="002F102A">
        <w:rPr>
          <w:rFonts w:eastAsia="MS Mincho"/>
          <w:lang w:val="fr-FR"/>
        </w:rPr>
        <w:t>le 7 juillet</w:t>
      </w:r>
      <w:r w:rsidR="0038593B" w:rsidRPr="002F102A">
        <w:rPr>
          <w:rFonts w:eastAsia="MS Mincho"/>
          <w:lang w:val="fr-FR"/>
        </w:rPr>
        <w:t xml:space="preserve"> 2018, </w:t>
      </w:r>
      <w:r>
        <w:rPr>
          <w:rFonts w:eastAsia="MS Mincho"/>
          <w:lang w:val="fr-FR"/>
        </w:rPr>
        <w:t>l’Organe subsidiaire a adopté</w:t>
      </w:r>
      <w:r w:rsidR="00EF2F71">
        <w:rPr>
          <w:rFonts w:eastAsia="MS Mincho"/>
          <w:lang w:val="fr-FR"/>
        </w:rPr>
        <w:t xml:space="preserve"> CBD/SBSTTA/22/L.2</w:t>
      </w:r>
      <w:r w:rsidR="0038593B" w:rsidRPr="002F102A">
        <w:rPr>
          <w:rFonts w:eastAsia="MS Mincho"/>
          <w:lang w:val="fr-FR"/>
        </w:rPr>
        <w:t xml:space="preserve">, </w:t>
      </w:r>
      <w:r>
        <w:rPr>
          <w:rFonts w:eastAsia="MS Mincho"/>
          <w:lang w:val="fr-FR"/>
        </w:rPr>
        <w:t>tel que modifié oralement, comme recommandation</w:t>
      </w:r>
      <w:r w:rsidR="0038593B" w:rsidRPr="002F102A">
        <w:rPr>
          <w:rFonts w:eastAsia="MS Mincho"/>
          <w:lang w:val="fr-FR"/>
        </w:rPr>
        <w:t xml:space="preserve"> 22/5. </w:t>
      </w:r>
      <w:r w:rsidRPr="002F102A">
        <w:rPr>
          <w:rFonts w:eastAsia="MS Mincho"/>
          <w:lang w:val="fr-FR"/>
        </w:rPr>
        <w:t>Le texte de la recommandation, tel qu’adopté, figure dans la partie I du présent rapport</w:t>
      </w:r>
      <w:r w:rsidR="0038593B" w:rsidRPr="002F102A">
        <w:rPr>
          <w:rFonts w:eastAsia="MS Mincho"/>
          <w:lang w:val="fr-FR"/>
        </w:rPr>
        <w:t>.</w:t>
      </w:r>
    </w:p>
    <w:p w:rsidR="009E6BA9" w:rsidRPr="00112624" w:rsidRDefault="00112624" w:rsidP="00112624">
      <w:pPr>
        <w:pStyle w:val="Heading1"/>
        <w:ind w:left="1843" w:hanging="1134"/>
        <w:jc w:val="left"/>
        <w:rPr>
          <w:lang w:val="fr-FR"/>
        </w:rPr>
      </w:pPr>
      <w:bookmarkStart w:id="478" w:name="_Toc525904297"/>
      <w:bookmarkStart w:id="479" w:name="_Toc525904456"/>
      <w:bookmarkStart w:id="480" w:name="_Toc525904700"/>
      <w:r w:rsidRPr="00112624">
        <w:rPr>
          <w:lang w:val="fr-FR"/>
        </w:rPr>
        <w:t>point</w:t>
      </w:r>
      <w:r w:rsidR="00F92FAE" w:rsidRPr="00112624">
        <w:rPr>
          <w:lang w:val="fr-FR"/>
        </w:rPr>
        <w:t xml:space="preserve"> 8.</w:t>
      </w:r>
      <w:r w:rsidR="00F92FAE" w:rsidRPr="00112624">
        <w:rPr>
          <w:lang w:val="fr-FR"/>
        </w:rPr>
        <w:tab/>
      </w:r>
      <w:r>
        <w:rPr>
          <w:snapToGrid w:val="0"/>
          <w:kern w:val="22"/>
          <w:szCs w:val="22"/>
          <w:lang w:val="fr-FR"/>
        </w:rPr>
        <w:t>DiversitÉ biologique marine et cÔtiÈ</w:t>
      </w:r>
      <w:r w:rsidRPr="00112624">
        <w:rPr>
          <w:snapToGrid w:val="0"/>
          <w:kern w:val="22"/>
          <w:szCs w:val="22"/>
          <w:lang w:val="fr-FR"/>
        </w:rPr>
        <w:t>re : aires marines d’</w:t>
      </w:r>
      <w:r>
        <w:rPr>
          <w:snapToGrid w:val="0"/>
          <w:kern w:val="22"/>
          <w:szCs w:val="22"/>
          <w:lang w:val="fr-FR"/>
        </w:rPr>
        <w:t>importance É</w:t>
      </w:r>
      <w:r w:rsidRPr="00112624">
        <w:rPr>
          <w:snapToGrid w:val="0"/>
          <w:kern w:val="22"/>
          <w:szCs w:val="22"/>
          <w:lang w:val="fr-FR"/>
        </w:rPr>
        <w:t>cologiq</w:t>
      </w:r>
      <w:r w:rsidR="002D2E3F">
        <w:rPr>
          <w:snapToGrid w:val="0"/>
          <w:kern w:val="22"/>
          <w:szCs w:val="22"/>
          <w:lang w:val="fr-FR"/>
        </w:rPr>
        <w:t>ue ou biologique, gestion des dÉ</w:t>
      </w:r>
      <w:r w:rsidRPr="00112624">
        <w:rPr>
          <w:snapToGrid w:val="0"/>
          <w:kern w:val="22"/>
          <w:szCs w:val="22"/>
          <w:lang w:val="fr-FR"/>
        </w:rPr>
        <w:t>bris marins et du bruit sous</w:t>
      </w:r>
      <w:r w:rsidRPr="00112624">
        <w:rPr>
          <w:snapToGrid w:val="0"/>
          <w:kern w:val="22"/>
          <w:szCs w:val="22"/>
          <w:lang w:val="fr-FR"/>
        </w:rPr>
        <w:noBreakHyphen/>
        <w:t>marin d’</w:t>
      </w:r>
      <w:r w:rsidR="002D2E3F">
        <w:rPr>
          <w:snapToGrid w:val="0"/>
          <w:kern w:val="22"/>
          <w:szCs w:val="22"/>
          <w:lang w:val="fr-FR"/>
        </w:rPr>
        <w:t>origine anthropique, diversitÉ</w:t>
      </w:r>
      <w:r w:rsidRPr="00112624">
        <w:rPr>
          <w:snapToGrid w:val="0"/>
          <w:kern w:val="22"/>
          <w:szCs w:val="22"/>
          <w:lang w:val="fr-FR"/>
        </w:rPr>
        <w:t xml:space="preserve"> biologique dans les zones d’eau froide et planification de l’espace mari</w:t>
      </w:r>
      <w:r w:rsidR="002D2E3F">
        <w:rPr>
          <w:snapToGrid w:val="0"/>
          <w:kern w:val="22"/>
          <w:szCs w:val="22"/>
          <w:lang w:val="fr-FR"/>
        </w:rPr>
        <w:t>n</w:t>
      </w:r>
      <w:bookmarkEnd w:id="478"/>
      <w:bookmarkEnd w:id="479"/>
      <w:bookmarkEnd w:id="480"/>
    </w:p>
    <w:p w:rsidR="00B42BC7" w:rsidRPr="00B42BC7" w:rsidRDefault="00112624" w:rsidP="00B42BC7">
      <w:pPr>
        <w:pStyle w:val="Para1"/>
        <w:tabs>
          <w:tab w:val="clear" w:pos="360"/>
        </w:tabs>
        <w:rPr>
          <w:rFonts w:eastAsia="MS Mincho"/>
          <w:lang w:val="fr-FR"/>
        </w:rPr>
      </w:pPr>
      <w:r w:rsidRPr="00112624">
        <w:rPr>
          <w:lang w:val="fr-FR"/>
        </w:rPr>
        <w:t xml:space="preserve">À la </w:t>
      </w:r>
      <w:r w:rsidR="00B42BC7">
        <w:rPr>
          <w:kern w:val="22"/>
          <w:szCs w:val="22"/>
          <w:lang w:val="fr-FR"/>
        </w:rPr>
        <w:t>4</w:t>
      </w:r>
      <w:r w:rsidR="00B42BC7" w:rsidRPr="00B42BC7">
        <w:rPr>
          <w:kern w:val="22"/>
          <w:szCs w:val="22"/>
          <w:vertAlign w:val="superscript"/>
          <w:lang w:val="fr-FR"/>
        </w:rPr>
        <w:t>ème</w:t>
      </w:r>
      <w:r w:rsidR="009065E1" w:rsidRPr="00112624">
        <w:rPr>
          <w:vertAlign w:val="superscript"/>
          <w:lang w:val="fr-FR"/>
        </w:rPr>
        <w:t xml:space="preserve"> </w:t>
      </w:r>
      <w:r w:rsidRPr="00112624">
        <w:rPr>
          <w:lang w:val="fr-FR"/>
        </w:rPr>
        <w:t xml:space="preserve">séance de la réunion, le </w:t>
      </w:r>
      <w:r w:rsidR="00B42BC7">
        <w:rPr>
          <w:kern w:val="22"/>
          <w:szCs w:val="22"/>
          <w:lang w:val="fr-FR"/>
        </w:rPr>
        <w:t>3 juillet 2018</w:t>
      </w:r>
      <w:r w:rsidR="009065E1" w:rsidRPr="00112624">
        <w:rPr>
          <w:lang w:val="fr-FR"/>
        </w:rPr>
        <w:t xml:space="preserve">, </w:t>
      </w:r>
      <w:r w:rsidR="005D0433">
        <w:rPr>
          <w:kern w:val="22"/>
          <w:szCs w:val="22"/>
          <w:lang w:val="fr-FR"/>
        </w:rPr>
        <w:t>l’Organe subsidiaire a abord</w:t>
      </w:r>
      <w:r w:rsidR="00B42BC7">
        <w:rPr>
          <w:kern w:val="22"/>
          <w:szCs w:val="22"/>
          <w:lang w:val="fr-FR"/>
        </w:rPr>
        <w:t>é le point 8 de l’ordre du jour sous la présidence de M. Adams Toussaint (Sainte-Lucie).</w:t>
      </w:r>
    </w:p>
    <w:p w:rsidR="00B42BC7" w:rsidRPr="00B42BC7" w:rsidRDefault="00091FF6" w:rsidP="00B42BC7">
      <w:pPr>
        <w:pStyle w:val="Para1"/>
        <w:tabs>
          <w:tab w:val="clear" w:pos="360"/>
        </w:tabs>
        <w:rPr>
          <w:rFonts w:eastAsia="MS Mincho"/>
          <w:lang w:val="fr-FR"/>
        </w:rPr>
      </w:pPr>
      <w:r>
        <w:rPr>
          <w:rFonts w:eastAsia="MS Mincho"/>
          <w:lang w:val="fr-FR"/>
        </w:rPr>
        <w:t xml:space="preserve">Sur invitation du président, M. Moustafa </w:t>
      </w:r>
      <w:r>
        <w:rPr>
          <w:rFonts w:eastAsia="MS Mincho"/>
          <w:noProof/>
          <w:lang w:val="fr-FR"/>
        </w:rPr>
        <w:t>Fouda</w:t>
      </w:r>
      <w:r>
        <w:rPr>
          <w:rFonts w:eastAsia="MS Mincho"/>
          <w:lang w:val="fr-FR"/>
        </w:rPr>
        <w:t>, président de la première réunion du groupe consultatif informel sur les aires marines d’importance écologique ou biologique qui avait eu lieu le samedi 30 juin et le dimanche 1</w:t>
      </w:r>
      <w:r w:rsidRPr="00091FF6">
        <w:rPr>
          <w:rFonts w:eastAsia="MS Mincho"/>
          <w:vertAlign w:val="superscript"/>
          <w:lang w:val="fr-FR"/>
        </w:rPr>
        <w:t>er</w:t>
      </w:r>
      <w:r>
        <w:rPr>
          <w:rFonts w:eastAsia="MS Mincho"/>
          <w:lang w:val="fr-FR"/>
        </w:rPr>
        <w:t xml:space="preserve"> juillet 2018, a présenté un bref rap</w:t>
      </w:r>
      <w:r w:rsidR="00D94F04">
        <w:rPr>
          <w:rFonts w:eastAsia="MS Mincho"/>
          <w:lang w:val="fr-FR"/>
        </w:rPr>
        <w:t>port sur les travaux du groupe. Il a rappelé le mandat du groupe et précisé que 19 des 30 membres étaient présents. Ils se sont penchés sur les méthodes de révision des manuels de formation, notamment un manuel sur l’utilisation des connaissances traditionnelles, et les résultats préliminaires et les approches adoptées pour accroître la fonctionnalité du groupe et l’échange d’informations. Un rapport, qui fournit des conseils à court et à long terme sur des mesures est en cours d’élaboration et sera diffusé d’abord au groupe et par la suite à l’Organe subsidiaire à une future réunion.</w:t>
      </w:r>
    </w:p>
    <w:p w:rsidR="009065E1" w:rsidRPr="00920A2A" w:rsidRDefault="00FC61AB" w:rsidP="00B42BC7">
      <w:pPr>
        <w:pStyle w:val="Para1"/>
        <w:tabs>
          <w:tab w:val="clear" w:pos="360"/>
        </w:tabs>
        <w:rPr>
          <w:rFonts w:eastAsia="MS Mincho"/>
          <w:lang w:val="fr-FR"/>
        </w:rPr>
      </w:pPr>
      <w:r>
        <w:rPr>
          <w:kern w:val="22"/>
          <w:szCs w:val="22"/>
          <w:lang w:val="fr-FR"/>
        </w:rPr>
        <w:t xml:space="preserve"> Pour examiner ce point, l’Organe subsidiaire était saisi</w:t>
      </w:r>
      <w:r w:rsidR="005D0433">
        <w:rPr>
          <w:kern w:val="22"/>
          <w:szCs w:val="22"/>
          <w:lang w:val="fr-FR"/>
        </w:rPr>
        <w:t xml:space="preserve"> d’une note de la Secrétaire exécutive sur la diversité biologique marine et côtière </w:t>
      </w:r>
      <w:r w:rsidR="00BB2BD4" w:rsidRPr="00112624">
        <w:rPr>
          <w:rFonts w:eastAsia="MS Mincho"/>
          <w:lang w:val="fr-FR"/>
        </w:rPr>
        <w:t>(CBD/SBSTTA/22/7),</w:t>
      </w:r>
      <w:r w:rsidR="00D94F04">
        <w:rPr>
          <w:rFonts w:eastAsia="MS Mincho"/>
          <w:lang w:val="fr-FR"/>
        </w:rPr>
        <w:t xml:space="preserve"> de</w:t>
      </w:r>
      <w:r w:rsidR="00021469">
        <w:rPr>
          <w:rFonts w:eastAsia="MS Mincho"/>
          <w:lang w:val="fr-FR"/>
        </w:rPr>
        <w:t xml:space="preserve"> projet</w:t>
      </w:r>
      <w:r w:rsidR="00D94F04">
        <w:rPr>
          <w:rFonts w:eastAsia="MS Mincho"/>
          <w:lang w:val="fr-FR"/>
        </w:rPr>
        <w:t>s de</w:t>
      </w:r>
      <w:r w:rsidR="00021469">
        <w:rPr>
          <w:rFonts w:eastAsia="MS Mincho"/>
          <w:lang w:val="fr-FR"/>
        </w:rPr>
        <w:t xml:space="preserve"> rapport</w:t>
      </w:r>
      <w:r w:rsidR="00D94F04">
        <w:rPr>
          <w:rFonts w:eastAsia="MS Mincho"/>
          <w:lang w:val="fr-FR"/>
        </w:rPr>
        <w:t>s</w:t>
      </w:r>
      <w:r w:rsidR="00021469">
        <w:rPr>
          <w:rFonts w:eastAsia="MS Mincho"/>
          <w:lang w:val="fr-FR"/>
        </w:rPr>
        <w:t xml:space="preserve"> de synthèse sur </w:t>
      </w:r>
      <w:r w:rsidR="00021469">
        <w:rPr>
          <w:kern w:val="22"/>
          <w:lang w:val="fr-CA"/>
        </w:rPr>
        <w:t>la description des zones</w:t>
      </w:r>
      <w:r w:rsidR="00021469" w:rsidRPr="00E60EB9">
        <w:rPr>
          <w:kern w:val="22"/>
          <w:lang w:val="fr-CA"/>
        </w:rPr>
        <w:t xml:space="preserve"> qui répondent aux critères</w:t>
      </w:r>
      <w:r w:rsidR="00021469">
        <w:rPr>
          <w:kern w:val="22"/>
          <w:lang w:val="fr-CA"/>
        </w:rPr>
        <w:t xml:space="preserve"> d’identification</w:t>
      </w:r>
      <w:r w:rsidR="00021469" w:rsidRPr="00E60EB9">
        <w:rPr>
          <w:kern w:val="22"/>
          <w:lang w:val="fr-CA"/>
        </w:rPr>
        <w:t xml:space="preserve"> des aires marines d</w:t>
      </w:r>
      <w:r w:rsidR="00021469">
        <w:rPr>
          <w:kern w:val="22"/>
          <w:lang w:val="fr-CA"/>
        </w:rPr>
        <w:t>’</w:t>
      </w:r>
      <w:r w:rsidR="00021469" w:rsidRPr="00E60EB9">
        <w:rPr>
          <w:kern w:val="22"/>
          <w:lang w:val="fr-CA"/>
        </w:rPr>
        <w:t>importance écologique ou biologique</w:t>
      </w:r>
      <w:r w:rsidR="00BB2BD4" w:rsidRPr="00112624">
        <w:rPr>
          <w:rFonts w:eastAsia="MS Mincho"/>
          <w:lang w:val="fr-FR"/>
        </w:rPr>
        <w:t xml:space="preserve"> </w:t>
      </w:r>
      <w:r w:rsidR="00021469">
        <w:rPr>
          <w:rFonts w:eastAsia="MS Mincho"/>
          <w:lang w:val="fr-FR"/>
        </w:rPr>
        <w:t>(CBD/SBSTTA/22/7/Add.1)</w:t>
      </w:r>
      <w:r w:rsidR="00345FBB">
        <w:rPr>
          <w:rFonts w:eastAsia="MS Mincho"/>
          <w:lang w:val="fr-FR"/>
        </w:rPr>
        <w:t xml:space="preserve">. Il avait aussi à sa disposition </w:t>
      </w:r>
      <w:r w:rsidR="00021469">
        <w:rPr>
          <w:rFonts w:eastAsia="MS Mincho"/>
          <w:lang w:val="fr-FR"/>
        </w:rPr>
        <w:t xml:space="preserve">plusieurs documents d’information, notamment : une compilation des communications transmises sur les expériences de l’utilisation de mesures pour éviter, réduire au minimum et atténuer les effets néfastes importants du bruit sous-marin </w:t>
      </w:r>
      <w:r w:rsidR="004C067E">
        <w:rPr>
          <w:rFonts w:eastAsia="MS Mincho"/>
          <w:lang w:val="fr-FR"/>
        </w:rPr>
        <w:t>d’origine anthropique sur la diversité biologique marine et côtière</w:t>
      </w:r>
      <w:r w:rsidR="00120F38" w:rsidRPr="00112624">
        <w:rPr>
          <w:rFonts w:eastAsia="MS Mincho"/>
          <w:lang w:val="fr-FR"/>
        </w:rPr>
        <w:t xml:space="preserve"> (</w:t>
      </w:r>
      <w:r w:rsidR="00BB2BD4" w:rsidRPr="00112624">
        <w:rPr>
          <w:rFonts w:eastAsia="MS Mincho"/>
          <w:lang w:val="fr-FR"/>
        </w:rPr>
        <w:t>CBD/SBSTTA/22/INF/</w:t>
      </w:r>
      <w:r w:rsidR="00120F38" w:rsidRPr="00112624">
        <w:rPr>
          <w:rFonts w:eastAsia="MS Mincho"/>
          <w:lang w:val="fr-FR"/>
        </w:rPr>
        <w:t xml:space="preserve">13), </w:t>
      </w:r>
      <w:r w:rsidR="004C067E">
        <w:rPr>
          <w:rFonts w:eastAsia="MS Mincho"/>
          <w:kern w:val="22"/>
          <w:szCs w:val="22"/>
          <w:lang w:val="fr-FR"/>
        </w:rPr>
        <w:t xml:space="preserve">une compilation des communications transmises sur les expériences de la mise en œuvre de la planification spatiale marine </w:t>
      </w:r>
      <w:r w:rsidR="00120F38" w:rsidRPr="00112624">
        <w:rPr>
          <w:rFonts w:eastAsia="MS Mincho"/>
          <w:kern w:val="22"/>
          <w:szCs w:val="22"/>
          <w:lang w:val="fr-FR"/>
        </w:rPr>
        <w:t>(</w:t>
      </w:r>
      <w:r w:rsidR="00BB2BD4" w:rsidRPr="00112624">
        <w:rPr>
          <w:rFonts w:eastAsia="MS Mincho"/>
          <w:lang w:val="fr-FR"/>
        </w:rPr>
        <w:t>CBD/SBSTTA/22/INF/</w:t>
      </w:r>
      <w:r w:rsidR="00120F38" w:rsidRPr="00112624">
        <w:rPr>
          <w:rFonts w:eastAsia="MS Mincho"/>
          <w:kern w:val="22"/>
          <w:szCs w:val="22"/>
          <w:lang w:val="fr-FR"/>
        </w:rPr>
        <w:t xml:space="preserve">14), </w:t>
      </w:r>
      <w:r w:rsidR="004C067E">
        <w:rPr>
          <w:rFonts w:eastAsia="MS Mincho"/>
          <w:kern w:val="22"/>
          <w:szCs w:val="22"/>
          <w:lang w:val="fr-FR"/>
        </w:rPr>
        <w:t xml:space="preserve">une </w:t>
      </w:r>
      <w:r w:rsidR="00920A2A">
        <w:rPr>
          <w:rFonts w:eastAsia="MS Mincho"/>
          <w:kern w:val="22"/>
          <w:szCs w:val="22"/>
          <w:lang w:val="fr-FR"/>
        </w:rPr>
        <w:t xml:space="preserve">compilation et synthèse </w:t>
      </w:r>
      <w:r w:rsidR="004C067E">
        <w:rPr>
          <w:rFonts w:eastAsia="MS Mincho"/>
          <w:kern w:val="22"/>
          <w:szCs w:val="22"/>
          <w:lang w:val="fr-FR"/>
        </w:rPr>
        <w:t xml:space="preserve">des communications reçues sur les expériences de l’intégration de la biodiversité dans la pêche </w:t>
      </w:r>
      <w:r w:rsidR="00120F38" w:rsidRPr="00112624">
        <w:rPr>
          <w:rFonts w:eastAsia="MS Mincho"/>
          <w:kern w:val="22"/>
          <w:szCs w:val="22"/>
          <w:lang w:val="fr-FR"/>
        </w:rPr>
        <w:t>(</w:t>
      </w:r>
      <w:r w:rsidR="00BB2BD4" w:rsidRPr="00112624">
        <w:rPr>
          <w:rFonts w:eastAsia="MS Mincho"/>
          <w:lang w:val="fr-FR"/>
        </w:rPr>
        <w:t>CBD/SBSTTA/22/INF/</w:t>
      </w:r>
      <w:r w:rsidR="00120F38" w:rsidRPr="00112624">
        <w:rPr>
          <w:rFonts w:eastAsia="MS Mincho"/>
          <w:kern w:val="22"/>
          <w:szCs w:val="22"/>
          <w:lang w:val="fr-FR"/>
        </w:rPr>
        <w:t xml:space="preserve">15), </w:t>
      </w:r>
      <w:r w:rsidR="00920A2A">
        <w:rPr>
          <w:rFonts w:eastAsia="MS Mincho"/>
          <w:kern w:val="22"/>
          <w:szCs w:val="22"/>
          <w:lang w:val="fr-FR"/>
        </w:rPr>
        <w:t xml:space="preserve">une compilation des commentaires issus de </w:t>
      </w:r>
      <w:r w:rsidR="004C067E">
        <w:rPr>
          <w:rFonts w:eastAsia="MS Mincho"/>
          <w:kern w:val="22"/>
          <w:szCs w:val="22"/>
          <w:lang w:val="fr-FR"/>
        </w:rPr>
        <w:t>l’examen collégial</w:t>
      </w:r>
      <w:r w:rsidR="00920A2A">
        <w:rPr>
          <w:rFonts w:eastAsia="MS Mincho"/>
          <w:kern w:val="22"/>
          <w:szCs w:val="22"/>
          <w:lang w:val="fr-FR"/>
        </w:rPr>
        <w:t xml:space="preserve"> sur le</w:t>
      </w:r>
      <w:r w:rsidR="00BB2BD4" w:rsidRPr="00112624">
        <w:rPr>
          <w:rFonts w:eastAsia="MS Mincho"/>
          <w:kern w:val="22"/>
          <w:szCs w:val="22"/>
          <w:lang w:val="fr-FR"/>
        </w:rPr>
        <w:t xml:space="preserve"> r</w:t>
      </w:r>
      <w:r w:rsidR="004C067E">
        <w:rPr>
          <w:rFonts w:eastAsia="MS Mincho"/>
          <w:kern w:val="22"/>
          <w:szCs w:val="22"/>
          <w:lang w:val="fr-FR"/>
        </w:rPr>
        <w:t xml:space="preserve">apport de l’Atelier d’experts sur l’élaboration d’options pour modifier la description des aires marines d’importance écologique ou biologique, pour la description de nouvelles aires et pour le renforcement de la crédibilité et de la transparence de ce processus </w:t>
      </w:r>
      <w:r w:rsidR="00120F38" w:rsidRPr="00112624">
        <w:rPr>
          <w:rFonts w:eastAsia="MS Mincho"/>
          <w:kern w:val="22"/>
          <w:szCs w:val="22"/>
          <w:lang w:val="fr-FR"/>
        </w:rPr>
        <w:t>(</w:t>
      </w:r>
      <w:r w:rsidR="00BB2BD4" w:rsidRPr="00112624">
        <w:rPr>
          <w:rFonts w:eastAsia="MS Mincho"/>
          <w:lang w:val="fr-FR"/>
        </w:rPr>
        <w:t>CBD/SBSTTA/22/INF/</w:t>
      </w:r>
      <w:r w:rsidR="00920A2A">
        <w:rPr>
          <w:rFonts w:eastAsia="MS Mincho"/>
          <w:kern w:val="22"/>
          <w:szCs w:val="22"/>
          <w:lang w:val="fr-FR"/>
        </w:rPr>
        <w:t>25)</w:t>
      </w:r>
      <w:r w:rsidR="004C067E" w:rsidRPr="000C29AA">
        <w:rPr>
          <w:rFonts w:eastAsia="MS Mincho"/>
          <w:kern w:val="22"/>
          <w:szCs w:val="22"/>
          <w:lang w:val="fr-FR"/>
        </w:rPr>
        <w:t xml:space="preserve">, </w:t>
      </w:r>
      <w:r w:rsidR="0038593B">
        <w:rPr>
          <w:lang w:val="fr-FR"/>
        </w:rPr>
        <w:t xml:space="preserve">un document d’information </w:t>
      </w:r>
      <w:r w:rsidR="00920A2A">
        <w:rPr>
          <w:lang w:val="fr-FR"/>
        </w:rPr>
        <w:t>sur l’</w:t>
      </w:r>
      <w:r w:rsidR="004C067E">
        <w:rPr>
          <w:lang w:val="fr-FR"/>
        </w:rPr>
        <w:t>identification et la mise à l’échelle de solutions locales pour la réalisation des objectifs m</w:t>
      </w:r>
      <w:r w:rsidR="0038593B">
        <w:rPr>
          <w:lang w:val="fr-FR"/>
        </w:rPr>
        <w:t>ondiaux :  l’initiative Panorama</w:t>
      </w:r>
      <w:r w:rsidR="004C067E">
        <w:rPr>
          <w:lang w:val="fr-FR"/>
        </w:rPr>
        <w:t xml:space="preserve"> – solutions pour une planète saine</w:t>
      </w:r>
      <w:r w:rsidR="004C067E" w:rsidRPr="00112624">
        <w:rPr>
          <w:rFonts w:eastAsia="MS Mincho"/>
          <w:kern w:val="22"/>
          <w:szCs w:val="22"/>
          <w:lang w:val="fr-FR"/>
        </w:rPr>
        <w:t xml:space="preserve"> </w:t>
      </w:r>
      <w:r w:rsidR="00120F38" w:rsidRPr="00112624">
        <w:rPr>
          <w:rFonts w:eastAsia="MS Mincho"/>
          <w:kern w:val="22"/>
          <w:szCs w:val="22"/>
          <w:lang w:val="fr-FR"/>
        </w:rPr>
        <w:t>(</w:t>
      </w:r>
      <w:r w:rsidR="00BB2BD4" w:rsidRPr="00112624">
        <w:rPr>
          <w:rFonts w:eastAsia="MS Mincho"/>
          <w:lang w:val="fr-FR"/>
        </w:rPr>
        <w:t>CBD/SBSTTA/22/INF/</w:t>
      </w:r>
      <w:r w:rsidR="00120F38" w:rsidRPr="00112624">
        <w:rPr>
          <w:rFonts w:eastAsia="MS Mincho"/>
          <w:kern w:val="22"/>
          <w:szCs w:val="22"/>
          <w:lang w:val="fr-FR"/>
        </w:rPr>
        <w:t xml:space="preserve">26), </w:t>
      </w:r>
      <w:r w:rsidR="004C067E">
        <w:rPr>
          <w:rFonts w:eastAsia="MS Mincho"/>
          <w:kern w:val="22"/>
          <w:szCs w:val="22"/>
          <w:lang w:val="fr-FR"/>
        </w:rPr>
        <w:t xml:space="preserve">une compilation des expériences nationales de la réalisation de l’Objectif d’Aichi 11 dans les zones marines et côtières, y compris des mesures de gestion par zone dans les pêcheries marines et les autres secteurs océaniques </w:t>
      </w:r>
      <w:r w:rsidR="00BB2BD4" w:rsidRPr="00112624">
        <w:rPr>
          <w:rFonts w:eastAsia="MS Mincho"/>
          <w:kern w:val="22"/>
          <w:szCs w:val="22"/>
          <w:lang w:val="fr-FR"/>
        </w:rPr>
        <w:t>(</w:t>
      </w:r>
      <w:r w:rsidR="00BB2BD4" w:rsidRPr="00112624">
        <w:rPr>
          <w:rFonts w:eastAsia="MS Mincho"/>
          <w:lang w:val="fr-FR"/>
        </w:rPr>
        <w:t>CBD/SBSTTA/22/INF/</w:t>
      </w:r>
      <w:r w:rsidR="004C067E">
        <w:rPr>
          <w:rFonts w:eastAsia="MS Mincho"/>
          <w:kern w:val="22"/>
          <w:szCs w:val="22"/>
          <w:lang w:val="fr-FR"/>
        </w:rPr>
        <w:t xml:space="preserve">27), le rapport de l’Atelier d’experts </w:t>
      </w:r>
      <w:r w:rsidR="005C1653">
        <w:rPr>
          <w:rFonts w:eastAsia="MS Mincho"/>
          <w:kern w:val="22"/>
          <w:szCs w:val="22"/>
          <w:lang w:val="fr-FR"/>
        </w:rPr>
        <w:t>sur l’élaboration d’options pour modifier la description des aires marines d’importance écologique ou biologique, pour la description de nouvelles aires et pour le renforcement de la crédibilité et de la transparence de ce processus (CBD/EBSA/EM/2017/1/3), le rapport de l’Atelier régional pour faciliter la description des aires marines d’importance écologique ou biologique situées dans la mer Noire et la mer  Caspienne tenu à Baku, du 24 au 29 avril 2017 (CBD/EBSA/WS/2017/1/4), le rapport de l’Atelier d’experts sur les aires marines protégées et autres mesures de conservation efficaces</w:t>
      </w:r>
      <w:r w:rsidR="00920A2A">
        <w:rPr>
          <w:rFonts w:eastAsia="MS Mincho"/>
          <w:kern w:val="22"/>
          <w:szCs w:val="22"/>
          <w:lang w:val="fr-FR"/>
        </w:rPr>
        <w:t xml:space="preserve"> par zone</w:t>
      </w:r>
      <w:r w:rsidR="005C1653">
        <w:rPr>
          <w:rFonts w:eastAsia="MS Mincho"/>
          <w:kern w:val="22"/>
          <w:szCs w:val="22"/>
          <w:lang w:val="fr-FR"/>
        </w:rPr>
        <w:t xml:space="preserve"> pour réaliser l’Objectif d’Aichi 11 dans les zones marines et côtières</w:t>
      </w:r>
      <w:r w:rsidR="00BB2BD4" w:rsidRPr="00112624">
        <w:rPr>
          <w:rFonts w:eastAsia="MS Mincho"/>
          <w:kern w:val="22"/>
          <w:szCs w:val="22"/>
          <w:lang w:val="fr-FR"/>
        </w:rPr>
        <w:t xml:space="preserve"> (CBD/MCB/EM/2018/1/3)</w:t>
      </w:r>
      <w:r w:rsidR="005C1653">
        <w:rPr>
          <w:rFonts w:eastAsia="MS Mincho"/>
          <w:kern w:val="22"/>
          <w:szCs w:val="22"/>
          <w:lang w:val="fr-FR"/>
        </w:rPr>
        <w:t xml:space="preserve">, le rapport de l’Atelier régional pour faciliter la description des aires marines d’importance écologique ou biologique situées dans la mer Baltique, tenu à </w:t>
      </w:r>
      <w:r w:rsidR="006A1007" w:rsidRPr="00112624">
        <w:rPr>
          <w:rFonts w:eastAsia="MS Mincho"/>
          <w:kern w:val="22"/>
          <w:szCs w:val="22"/>
          <w:lang w:val="fr-FR"/>
        </w:rPr>
        <w:t>Helsinki,</w:t>
      </w:r>
      <w:r w:rsidR="005C1653">
        <w:rPr>
          <w:rFonts w:eastAsia="MS Mincho"/>
          <w:kern w:val="22"/>
          <w:szCs w:val="22"/>
          <w:lang w:val="fr-FR"/>
        </w:rPr>
        <w:t xml:space="preserve"> du 19 au 24 février </w:t>
      </w:r>
      <w:r w:rsidR="006A1007" w:rsidRPr="00112624">
        <w:rPr>
          <w:rFonts w:eastAsia="MS Mincho"/>
          <w:kern w:val="22"/>
          <w:szCs w:val="22"/>
          <w:lang w:val="fr-FR"/>
        </w:rPr>
        <w:t>2018 (CBD/EBSA/WS/2018/1/4)</w:t>
      </w:r>
      <w:r w:rsidR="00920A2A">
        <w:rPr>
          <w:rFonts w:eastAsia="MS Mincho"/>
          <w:kern w:val="22"/>
          <w:szCs w:val="22"/>
          <w:lang w:val="fr-FR"/>
        </w:rPr>
        <w:t>.</w:t>
      </w:r>
    </w:p>
    <w:p w:rsidR="00920A2A" w:rsidRPr="00920A2A" w:rsidRDefault="00920A2A" w:rsidP="00920A2A">
      <w:pPr>
        <w:pStyle w:val="Para1"/>
        <w:tabs>
          <w:tab w:val="clear" w:pos="360"/>
        </w:tabs>
        <w:rPr>
          <w:rFonts w:eastAsia="MS Mincho"/>
          <w:lang w:val="fr-FR"/>
        </w:rPr>
      </w:pPr>
      <w:r w:rsidRPr="00920A2A">
        <w:rPr>
          <w:rFonts w:eastAsia="MS Mincho"/>
          <w:lang w:val="fr-FR"/>
        </w:rPr>
        <w:lastRenderedPageBreak/>
        <w:t xml:space="preserve">Des </w:t>
      </w:r>
      <w:r w:rsidR="00663CDA">
        <w:rPr>
          <w:rFonts w:eastAsia="MS Mincho"/>
          <w:lang w:val="fr-FR"/>
        </w:rPr>
        <w:t>dé</w:t>
      </w:r>
      <w:r w:rsidRPr="00920A2A">
        <w:rPr>
          <w:rFonts w:eastAsia="MS Mincho"/>
          <w:lang w:val="fr-FR"/>
        </w:rPr>
        <w:t>clarations ont été faites par les repr</w:t>
      </w:r>
      <w:r>
        <w:rPr>
          <w:rFonts w:eastAsia="MS Mincho"/>
          <w:lang w:val="fr-FR"/>
        </w:rPr>
        <w:t>ésentants des pays suivants : Allemagne, Argentine</w:t>
      </w:r>
      <w:r w:rsidRPr="00920A2A">
        <w:rPr>
          <w:rFonts w:eastAsia="MS Mincho"/>
          <w:lang w:val="fr-FR"/>
        </w:rPr>
        <w:t xml:space="preserve">, </w:t>
      </w:r>
      <w:r>
        <w:rPr>
          <w:rFonts w:eastAsia="MS Mincho"/>
          <w:lang w:val="fr-FR"/>
        </w:rPr>
        <w:t>Australie</w:t>
      </w:r>
      <w:r w:rsidRPr="00920A2A">
        <w:rPr>
          <w:rFonts w:eastAsia="MS Mincho"/>
          <w:lang w:val="fr-FR"/>
        </w:rPr>
        <w:t xml:space="preserve">, </w:t>
      </w:r>
      <w:r>
        <w:rPr>
          <w:rFonts w:eastAsia="MS Mincho"/>
          <w:lang w:val="fr-FR"/>
        </w:rPr>
        <w:t>Belgique</w:t>
      </w:r>
      <w:r w:rsidRPr="00920A2A">
        <w:rPr>
          <w:rFonts w:eastAsia="MS Mincho"/>
          <w:lang w:val="fr-FR"/>
        </w:rPr>
        <w:t xml:space="preserve">, </w:t>
      </w:r>
      <w:r>
        <w:rPr>
          <w:rFonts w:eastAsia="MS Mincho"/>
          <w:lang w:val="fr-FR"/>
        </w:rPr>
        <w:t>Brés</w:t>
      </w:r>
      <w:r w:rsidRPr="00920A2A">
        <w:rPr>
          <w:rFonts w:eastAsia="MS Mincho"/>
          <w:lang w:val="fr-FR"/>
        </w:rPr>
        <w:t xml:space="preserve">il, Canada, </w:t>
      </w:r>
      <w:r>
        <w:rPr>
          <w:rFonts w:eastAsia="MS Mincho"/>
          <w:lang w:val="fr-FR"/>
        </w:rPr>
        <w:t>Chine</w:t>
      </w:r>
      <w:r w:rsidRPr="00920A2A">
        <w:rPr>
          <w:rFonts w:eastAsia="MS Mincho"/>
          <w:lang w:val="fr-FR"/>
        </w:rPr>
        <w:t xml:space="preserve">, Costa Rica, </w:t>
      </w:r>
      <w:r>
        <w:rPr>
          <w:rFonts w:eastAsia="MS Mincho"/>
          <w:lang w:val="fr-FR"/>
        </w:rPr>
        <w:t>Da</w:t>
      </w:r>
      <w:r w:rsidRPr="00920A2A">
        <w:rPr>
          <w:rFonts w:eastAsia="MS Mincho"/>
          <w:lang w:val="fr-FR"/>
        </w:rPr>
        <w:t>n</w:t>
      </w:r>
      <w:r>
        <w:rPr>
          <w:rFonts w:eastAsia="MS Mincho"/>
          <w:lang w:val="fr-FR"/>
        </w:rPr>
        <w:t>e</w:t>
      </w:r>
      <w:r w:rsidRPr="00920A2A">
        <w:rPr>
          <w:rFonts w:eastAsia="MS Mincho"/>
          <w:lang w:val="fr-FR"/>
        </w:rPr>
        <w:t>mark, Finland</w:t>
      </w:r>
      <w:r>
        <w:rPr>
          <w:rFonts w:eastAsia="MS Mincho"/>
          <w:lang w:val="fr-FR"/>
        </w:rPr>
        <w:t>e</w:t>
      </w:r>
      <w:r w:rsidRPr="00920A2A">
        <w:rPr>
          <w:rFonts w:eastAsia="MS Mincho"/>
          <w:lang w:val="fr-FR"/>
        </w:rPr>
        <w:t xml:space="preserve">, </w:t>
      </w:r>
      <w:r>
        <w:rPr>
          <w:rFonts w:eastAsia="MS Mincho"/>
          <w:lang w:val="fr-FR"/>
        </w:rPr>
        <w:t>France,</w:t>
      </w:r>
      <w:r w:rsidRPr="00920A2A">
        <w:rPr>
          <w:rFonts w:eastAsia="MS Mincho"/>
          <w:lang w:val="fr-FR"/>
        </w:rPr>
        <w:t xml:space="preserve"> </w:t>
      </w:r>
      <w:r>
        <w:rPr>
          <w:rFonts w:eastAsia="MS Mincho"/>
          <w:lang w:val="fr-FR"/>
        </w:rPr>
        <w:t>Grè</w:t>
      </w:r>
      <w:r w:rsidRPr="00920A2A">
        <w:rPr>
          <w:rFonts w:eastAsia="MS Mincho"/>
          <w:lang w:val="fr-FR"/>
        </w:rPr>
        <w:t xml:space="preserve">ce, </w:t>
      </w:r>
      <w:r w:rsidR="00663CDA">
        <w:rPr>
          <w:rFonts w:eastAsia="MS Mincho"/>
          <w:lang w:val="fr-FR"/>
        </w:rPr>
        <w:t>Inde</w:t>
      </w:r>
      <w:r w:rsidRPr="00920A2A">
        <w:rPr>
          <w:rFonts w:eastAsia="MS Mincho"/>
          <w:lang w:val="fr-FR"/>
        </w:rPr>
        <w:t xml:space="preserve">, </w:t>
      </w:r>
      <w:r w:rsidR="00663CDA">
        <w:rPr>
          <w:rFonts w:eastAsia="MS Mincho"/>
          <w:lang w:val="fr-FR"/>
        </w:rPr>
        <w:t>Indonésie</w:t>
      </w:r>
      <w:r w:rsidRPr="00920A2A">
        <w:rPr>
          <w:rFonts w:eastAsia="MS Mincho"/>
          <w:lang w:val="fr-FR"/>
        </w:rPr>
        <w:t xml:space="preserve">, </w:t>
      </w:r>
      <w:r w:rsidR="00663CDA">
        <w:rPr>
          <w:rFonts w:eastAsia="MS Mincho"/>
          <w:lang w:val="fr-FR"/>
        </w:rPr>
        <w:t>Jamaïque</w:t>
      </w:r>
      <w:r w:rsidRPr="00920A2A">
        <w:rPr>
          <w:rFonts w:eastAsia="MS Mincho"/>
          <w:lang w:val="fr-FR"/>
        </w:rPr>
        <w:t xml:space="preserve">, </w:t>
      </w:r>
      <w:r w:rsidR="00663CDA">
        <w:rPr>
          <w:rFonts w:eastAsia="MS Mincho"/>
          <w:lang w:val="fr-FR"/>
        </w:rPr>
        <w:t>Japo</w:t>
      </w:r>
      <w:r w:rsidRPr="00920A2A">
        <w:rPr>
          <w:rFonts w:eastAsia="MS Mincho"/>
          <w:lang w:val="fr-FR"/>
        </w:rPr>
        <w:t>n, Jordan</w:t>
      </w:r>
      <w:r w:rsidR="00A0693F">
        <w:rPr>
          <w:rFonts w:eastAsia="MS Mincho"/>
          <w:lang w:val="fr-FR"/>
        </w:rPr>
        <w:t>ie, Malaisie</w:t>
      </w:r>
      <w:r w:rsidRPr="00920A2A">
        <w:rPr>
          <w:rFonts w:eastAsia="MS Mincho"/>
          <w:lang w:val="fr-FR"/>
        </w:rPr>
        <w:t xml:space="preserve">, Maldives, </w:t>
      </w:r>
      <w:r w:rsidR="00A0693F">
        <w:rPr>
          <w:rFonts w:eastAsia="MS Mincho"/>
          <w:lang w:val="fr-FR"/>
        </w:rPr>
        <w:t>Maroc</w:t>
      </w:r>
      <w:r w:rsidR="00A0693F" w:rsidRPr="00920A2A">
        <w:rPr>
          <w:rFonts w:eastAsia="MS Mincho"/>
          <w:lang w:val="fr-FR"/>
        </w:rPr>
        <w:t>,</w:t>
      </w:r>
      <w:r w:rsidR="00A0693F">
        <w:rPr>
          <w:rFonts w:eastAsia="MS Mincho"/>
          <w:lang w:val="fr-FR"/>
        </w:rPr>
        <w:t xml:space="preserve"> Mexique</w:t>
      </w:r>
      <w:r w:rsidRPr="00920A2A">
        <w:rPr>
          <w:rFonts w:eastAsia="MS Mincho"/>
          <w:lang w:val="fr-FR"/>
        </w:rPr>
        <w:t xml:space="preserve">, </w:t>
      </w:r>
      <w:r w:rsidR="00A0693F">
        <w:rPr>
          <w:rFonts w:eastAsia="MS Mincho"/>
          <w:lang w:val="fr-FR"/>
        </w:rPr>
        <w:t>Nouvelle-Zélande</w:t>
      </w:r>
      <w:r w:rsidRPr="00920A2A">
        <w:rPr>
          <w:rFonts w:eastAsia="MS Mincho"/>
          <w:lang w:val="fr-FR"/>
        </w:rPr>
        <w:t>,</w:t>
      </w:r>
      <w:r w:rsidR="00A0693F">
        <w:rPr>
          <w:rFonts w:eastAsia="MS Mincho"/>
          <w:lang w:val="fr-FR"/>
        </w:rPr>
        <w:t xml:space="preserve"> Norvège</w:t>
      </w:r>
      <w:r w:rsidRPr="00920A2A">
        <w:rPr>
          <w:rFonts w:eastAsia="MS Mincho"/>
          <w:lang w:val="fr-FR"/>
        </w:rPr>
        <w:t xml:space="preserve">, Philippines </w:t>
      </w:r>
      <w:r w:rsidR="00A0693F">
        <w:rPr>
          <w:rFonts w:eastAsia="MS Mincho"/>
          <w:lang w:val="fr-FR"/>
        </w:rPr>
        <w:t>(au nom des États membres de l’ASEAN</w:t>
      </w:r>
      <w:r w:rsidRPr="00920A2A">
        <w:rPr>
          <w:rFonts w:eastAsia="MS Mincho"/>
          <w:lang w:val="fr-FR"/>
        </w:rPr>
        <w:t xml:space="preserve">), </w:t>
      </w:r>
      <w:r w:rsidR="00A0693F">
        <w:rPr>
          <w:rFonts w:eastAsia="MS Mincho"/>
          <w:lang w:val="fr-FR"/>
        </w:rPr>
        <w:t>République de Corée</w:t>
      </w:r>
      <w:r w:rsidRPr="00920A2A">
        <w:rPr>
          <w:rFonts w:eastAsia="MS Mincho"/>
          <w:lang w:val="fr-FR"/>
        </w:rPr>
        <w:t xml:space="preserve">, </w:t>
      </w:r>
      <w:r w:rsidR="009A3088">
        <w:rPr>
          <w:rFonts w:eastAsia="MS Mincho"/>
          <w:lang w:val="fr-FR"/>
        </w:rPr>
        <w:t>Royaume-Uni</w:t>
      </w:r>
      <w:r w:rsidR="00A0693F">
        <w:rPr>
          <w:rFonts w:eastAsia="MS Mincho"/>
          <w:lang w:val="fr-FR"/>
        </w:rPr>
        <w:t>, Sainte-Lucie</w:t>
      </w:r>
      <w:r w:rsidRPr="00920A2A">
        <w:rPr>
          <w:rFonts w:eastAsia="MS Mincho"/>
          <w:lang w:val="fr-FR"/>
        </w:rPr>
        <w:t xml:space="preserve">, Seychelles, </w:t>
      </w:r>
      <w:r w:rsidR="00A0693F">
        <w:rPr>
          <w:rFonts w:eastAsia="MS Mincho"/>
          <w:lang w:val="fr-FR"/>
        </w:rPr>
        <w:t>Singapour</w:t>
      </w:r>
      <w:r w:rsidRPr="00920A2A">
        <w:rPr>
          <w:rFonts w:eastAsia="MS Mincho"/>
          <w:lang w:val="fr-FR"/>
        </w:rPr>
        <w:t xml:space="preserve">, </w:t>
      </w:r>
      <w:r w:rsidR="00A0693F">
        <w:rPr>
          <w:rFonts w:eastAsia="MS Mincho"/>
          <w:lang w:val="fr-FR"/>
        </w:rPr>
        <w:t>Suède</w:t>
      </w:r>
      <w:r w:rsidRPr="00920A2A">
        <w:rPr>
          <w:rFonts w:eastAsia="MS Mincho"/>
          <w:lang w:val="fr-FR"/>
        </w:rPr>
        <w:t xml:space="preserve">, </w:t>
      </w:r>
      <w:r w:rsidR="00A0693F">
        <w:rPr>
          <w:rFonts w:eastAsia="MS Mincho"/>
          <w:lang w:val="fr-FR"/>
        </w:rPr>
        <w:t>Turquie, Turkménistan (au nom des pays d’Europe centrale et orientale présents).</w:t>
      </w:r>
    </w:p>
    <w:p w:rsidR="00920A2A" w:rsidRPr="00920A2A" w:rsidRDefault="00A0693F" w:rsidP="00920A2A">
      <w:pPr>
        <w:pStyle w:val="Para1"/>
        <w:tabs>
          <w:tab w:val="clear" w:pos="360"/>
        </w:tabs>
        <w:rPr>
          <w:rFonts w:eastAsia="MS Mincho"/>
          <w:lang w:val="fr-FR"/>
        </w:rPr>
      </w:pPr>
      <w:r>
        <w:rPr>
          <w:rFonts w:eastAsia="MS Mincho"/>
          <w:lang w:val="fr-FR"/>
        </w:rPr>
        <w:t>Ont aussi pris la parole des représentants de la Division des affaires maritimes et du droit de la mer du Bureau des affaires juridiques des Nations Unies, de la FAO et du PNUE.</w:t>
      </w:r>
    </w:p>
    <w:p w:rsidR="00920A2A" w:rsidRPr="00920A2A" w:rsidRDefault="00A0693F" w:rsidP="00920A2A">
      <w:pPr>
        <w:pStyle w:val="Para1"/>
        <w:tabs>
          <w:tab w:val="clear" w:pos="360"/>
        </w:tabs>
        <w:rPr>
          <w:rFonts w:eastAsia="MS Mincho"/>
          <w:lang w:val="fr-FR"/>
        </w:rPr>
      </w:pPr>
      <w:r>
        <w:rPr>
          <w:rFonts w:eastAsia="MS Mincho"/>
          <w:lang w:val="fr-FR"/>
        </w:rPr>
        <w:t>Le représentant du Forum international des peuples autochtones sur la biodiversité est aussi intervenu</w:t>
      </w:r>
      <w:r w:rsidR="00920A2A" w:rsidRPr="00920A2A">
        <w:rPr>
          <w:rFonts w:eastAsia="MS Mincho"/>
          <w:lang w:val="fr-FR"/>
        </w:rPr>
        <w:t>.</w:t>
      </w:r>
    </w:p>
    <w:p w:rsidR="00920A2A" w:rsidRPr="00920A2A" w:rsidRDefault="00A0693F" w:rsidP="00920A2A">
      <w:pPr>
        <w:pStyle w:val="Para1"/>
        <w:tabs>
          <w:tab w:val="clear" w:pos="360"/>
        </w:tabs>
        <w:rPr>
          <w:rFonts w:eastAsia="MS Mincho"/>
          <w:lang w:val="fr-FR"/>
        </w:rPr>
      </w:pPr>
      <w:r>
        <w:rPr>
          <w:lang w:val="fr-FR"/>
        </w:rPr>
        <w:t xml:space="preserve">Après un échange de vues, </w:t>
      </w:r>
      <w:r w:rsidR="00FC61AB">
        <w:rPr>
          <w:lang w:val="fr-FR"/>
        </w:rPr>
        <w:t>le président a déclaré qu’il élaborerait un texte révisé pour examen par un groupe de contact</w:t>
      </w:r>
      <w:r w:rsidR="00920A2A" w:rsidRPr="00920A2A">
        <w:rPr>
          <w:lang w:val="fr-FR"/>
        </w:rPr>
        <w:t>,</w:t>
      </w:r>
      <w:r w:rsidR="00FC61AB">
        <w:rPr>
          <w:lang w:val="fr-FR"/>
        </w:rPr>
        <w:t xml:space="preserve"> compte tenu des points de vue exprimés oralement </w:t>
      </w:r>
      <w:r w:rsidR="00741A0A">
        <w:rPr>
          <w:lang w:val="fr-FR"/>
        </w:rPr>
        <w:t xml:space="preserve">par les Parties ou soutenus par celles-ci </w:t>
      </w:r>
      <w:r w:rsidR="00FC61AB">
        <w:rPr>
          <w:lang w:val="fr-FR"/>
        </w:rPr>
        <w:t>et des commentaires reçus par écrit.</w:t>
      </w:r>
      <w:r w:rsidR="007912B4">
        <w:rPr>
          <w:lang w:val="fr-FR"/>
        </w:rPr>
        <w:t xml:space="preserve"> Le groupe de contact sera présidé par M. Moustafa </w:t>
      </w:r>
      <w:r w:rsidR="007912B4">
        <w:rPr>
          <w:noProof/>
          <w:lang w:val="fr-FR"/>
        </w:rPr>
        <w:t xml:space="preserve">Fouda </w:t>
      </w:r>
      <w:r w:rsidR="007912B4">
        <w:rPr>
          <w:lang w:val="fr-FR"/>
        </w:rPr>
        <w:t>et sera chargé d’examiner l’annexe 3 du document CBD/SBSTTA/22/7.</w:t>
      </w:r>
    </w:p>
    <w:p w:rsidR="00920A2A" w:rsidRPr="00253397" w:rsidRDefault="00253397" w:rsidP="00920A2A">
      <w:pPr>
        <w:pStyle w:val="Para1"/>
        <w:tabs>
          <w:tab w:val="clear" w:pos="360"/>
        </w:tabs>
        <w:rPr>
          <w:rFonts w:eastAsia="MS Mincho"/>
          <w:lang w:val="fr-FR"/>
        </w:rPr>
      </w:pPr>
      <w:r w:rsidRPr="00253397">
        <w:rPr>
          <w:rFonts w:eastAsia="MS Mincho"/>
          <w:lang w:val="fr-FR"/>
        </w:rPr>
        <w:t>A la 12</w:t>
      </w:r>
      <w:r w:rsidRPr="00C94AC5">
        <w:rPr>
          <w:rFonts w:eastAsia="MS Mincho"/>
          <w:vertAlign w:val="superscript"/>
          <w:lang w:val="fr-FR"/>
        </w:rPr>
        <w:t>ème</w:t>
      </w:r>
      <w:r w:rsidR="0038593B" w:rsidRPr="00253397">
        <w:rPr>
          <w:rFonts w:eastAsia="MS Mincho"/>
          <w:lang w:val="fr-FR"/>
        </w:rPr>
        <w:t xml:space="preserve"> </w:t>
      </w:r>
      <w:r w:rsidR="002F102A" w:rsidRPr="00253397">
        <w:rPr>
          <w:lang w:val="fr-FR"/>
        </w:rPr>
        <w:t>séance de la réunion</w:t>
      </w:r>
      <w:r w:rsidR="0038593B" w:rsidRPr="00253397">
        <w:rPr>
          <w:rFonts w:eastAsia="MS Mincho"/>
          <w:lang w:val="fr-FR"/>
        </w:rPr>
        <w:t xml:space="preserve">, </w:t>
      </w:r>
      <w:r w:rsidR="002F102A" w:rsidRPr="00253397">
        <w:rPr>
          <w:rFonts w:eastAsia="MS Mincho"/>
          <w:lang w:val="fr-FR"/>
        </w:rPr>
        <w:t>le 7 juillet</w:t>
      </w:r>
      <w:r w:rsidR="0038593B" w:rsidRPr="00253397">
        <w:rPr>
          <w:rFonts w:eastAsia="MS Mincho"/>
          <w:lang w:val="fr-FR"/>
        </w:rPr>
        <w:t xml:space="preserve"> 2018, </w:t>
      </w:r>
      <w:r w:rsidRPr="00253397">
        <w:rPr>
          <w:rFonts w:eastAsia="MS Mincho"/>
          <w:lang w:val="fr-FR"/>
        </w:rPr>
        <w:t>l’Organe subsidiaire, présidé par</w:t>
      </w:r>
      <w:r w:rsidR="0038593B" w:rsidRPr="00253397">
        <w:rPr>
          <w:rFonts w:eastAsia="MS Mincho"/>
          <w:lang w:val="fr-FR"/>
        </w:rPr>
        <w:t xml:space="preserve"> </w:t>
      </w:r>
      <w:r w:rsidR="00C94AC5">
        <w:rPr>
          <w:lang w:val="fr-FR"/>
        </w:rPr>
        <w:t xml:space="preserve">Mme </w:t>
      </w:r>
      <w:r w:rsidR="0038593B" w:rsidRPr="00253397">
        <w:rPr>
          <w:lang w:val="fr-FR"/>
        </w:rPr>
        <w:t>Theresa Mundita Lim (Philippines),</w:t>
      </w:r>
      <w:r w:rsidR="0038593B" w:rsidRPr="00253397">
        <w:rPr>
          <w:rFonts w:eastAsia="MS Mincho"/>
          <w:lang w:val="fr-FR"/>
        </w:rPr>
        <w:t xml:space="preserve"> </w:t>
      </w:r>
      <w:r>
        <w:rPr>
          <w:rFonts w:eastAsia="MS Mincho"/>
          <w:lang w:val="fr-FR"/>
        </w:rPr>
        <w:t>a examiné le texte révisé remis par la présidente</w:t>
      </w:r>
      <w:r w:rsidR="00C94AC5">
        <w:rPr>
          <w:rFonts w:eastAsia="MS Mincho"/>
          <w:lang w:val="fr-FR"/>
        </w:rPr>
        <w:t xml:space="preserve"> du groupe de contact</w:t>
      </w:r>
      <w:r w:rsidR="0038593B" w:rsidRPr="00253397">
        <w:rPr>
          <w:rFonts w:eastAsia="MS Mincho"/>
          <w:lang w:val="fr-FR"/>
        </w:rPr>
        <w:t xml:space="preserve">. </w:t>
      </w:r>
      <w:r w:rsidRPr="00253397">
        <w:rPr>
          <w:rFonts w:eastAsia="MS Mincho"/>
          <w:lang w:val="fr-FR"/>
        </w:rPr>
        <w:t>Après un échange de vues</w:t>
      </w:r>
      <w:r w:rsidR="0038593B" w:rsidRPr="00253397">
        <w:rPr>
          <w:rFonts w:eastAsia="MS Mincho"/>
          <w:lang w:val="fr-FR"/>
        </w:rPr>
        <w:t xml:space="preserve">, </w:t>
      </w:r>
      <w:r w:rsidRPr="00253397">
        <w:rPr>
          <w:rFonts w:eastAsia="MS Mincho"/>
          <w:lang w:val="fr-FR"/>
        </w:rPr>
        <w:t>le projet de recommandation révisé, tel que modifié oralement,</w:t>
      </w:r>
      <w:r w:rsidR="0038593B" w:rsidRPr="00253397">
        <w:rPr>
          <w:rFonts w:eastAsia="MS Mincho"/>
          <w:lang w:val="fr-FR"/>
        </w:rPr>
        <w:t xml:space="preserve"> </w:t>
      </w:r>
      <w:r>
        <w:rPr>
          <w:rFonts w:eastAsia="MS Mincho"/>
          <w:lang w:val="fr-FR"/>
        </w:rPr>
        <w:t>a été approuvé aux fins d’adoption officielle par l’Organe subsidiaire comme projet de recommandation CB</w:t>
      </w:r>
      <w:r w:rsidR="0038593B" w:rsidRPr="00253397">
        <w:rPr>
          <w:rFonts w:eastAsia="MS Mincho"/>
          <w:lang w:val="fr-FR"/>
        </w:rPr>
        <w:t>D/SBSTTA/22/L.8.</w:t>
      </w:r>
    </w:p>
    <w:p w:rsidR="0038593B" w:rsidRPr="002F102A" w:rsidRDefault="002F102A" w:rsidP="00920A2A">
      <w:pPr>
        <w:pStyle w:val="Para1"/>
        <w:tabs>
          <w:tab w:val="clear" w:pos="360"/>
        </w:tabs>
        <w:rPr>
          <w:rFonts w:eastAsia="MS Mincho"/>
          <w:lang w:val="fr-FR"/>
        </w:rPr>
      </w:pPr>
      <w:r w:rsidRPr="002F102A">
        <w:rPr>
          <w:rFonts w:eastAsia="MS Mincho"/>
          <w:lang w:val="fr-FR"/>
        </w:rPr>
        <w:t>A la 13</w:t>
      </w:r>
      <w:r w:rsidRPr="00253397">
        <w:rPr>
          <w:rFonts w:eastAsia="MS Mincho"/>
          <w:vertAlign w:val="superscript"/>
          <w:lang w:val="fr-FR"/>
        </w:rPr>
        <w:t>ème</w:t>
      </w:r>
      <w:r w:rsidRPr="002F102A">
        <w:rPr>
          <w:rFonts w:eastAsia="MS Mincho"/>
          <w:lang w:val="fr-FR"/>
        </w:rPr>
        <w:t xml:space="preserve"> séance de la réunion</w:t>
      </w:r>
      <w:r w:rsidR="0038593B" w:rsidRPr="002F102A">
        <w:rPr>
          <w:rFonts w:eastAsia="MS Mincho"/>
          <w:lang w:val="fr-FR"/>
        </w:rPr>
        <w:t xml:space="preserve">, </w:t>
      </w:r>
      <w:r w:rsidRPr="002F102A">
        <w:rPr>
          <w:rFonts w:eastAsia="MS Mincho"/>
          <w:lang w:val="fr-FR"/>
        </w:rPr>
        <w:t>le 7 juillet</w:t>
      </w:r>
      <w:r w:rsidR="0038593B" w:rsidRPr="002F102A">
        <w:rPr>
          <w:rFonts w:eastAsia="MS Mincho"/>
          <w:lang w:val="fr-FR"/>
        </w:rPr>
        <w:t xml:space="preserve"> 2018, </w:t>
      </w:r>
      <w:r w:rsidRPr="002F102A">
        <w:rPr>
          <w:rFonts w:eastAsia="MS Mincho"/>
          <w:lang w:val="fr-FR"/>
        </w:rPr>
        <w:t>l’Organe subsidiaire a adopté</w:t>
      </w:r>
      <w:r w:rsidR="00EF2F71">
        <w:rPr>
          <w:rFonts w:eastAsia="MS Mincho"/>
          <w:lang w:val="fr-FR"/>
        </w:rPr>
        <w:t xml:space="preserve"> CBD/SBSTTA/22/L.8</w:t>
      </w:r>
      <w:r w:rsidR="0038593B" w:rsidRPr="002F102A">
        <w:rPr>
          <w:rFonts w:eastAsia="MS Mincho"/>
          <w:lang w:val="fr-FR"/>
        </w:rPr>
        <w:t xml:space="preserve">, </w:t>
      </w:r>
      <w:r w:rsidRPr="002F102A">
        <w:rPr>
          <w:rFonts w:eastAsia="MS Mincho"/>
          <w:lang w:val="fr-FR"/>
        </w:rPr>
        <w:t>tel que modifié oralement, comme recommandation</w:t>
      </w:r>
      <w:r w:rsidR="0038593B" w:rsidRPr="002F102A">
        <w:rPr>
          <w:rFonts w:eastAsia="MS Mincho"/>
          <w:lang w:val="fr-FR"/>
        </w:rPr>
        <w:t xml:space="preserve"> 22/6. </w:t>
      </w:r>
      <w:r w:rsidRPr="002F102A">
        <w:rPr>
          <w:rFonts w:eastAsia="MS Mincho"/>
          <w:lang w:val="fr-FR"/>
        </w:rPr>
        <w:t>Le texte de la recommandation, tel qu’adopté, figure dans la partie I du présent rapport</w:t>
      </w:r>
      <w:r w:rsidR="0038593B" w:rsidRPr="002F102A">
        <w:rPr>
          <w:rFonts w:eastAsia="MS Mincho"/>
          <w:lang w:val="fr-FR"/>
        </w:rPr>
        <w:t>.</w:t>
      </w:r>
    </w:p>
    <w:p w:rsidR="009E6BA9" w:rsidRPr="005D0433" w:rsidRDefault="005D0433" w:rsidP="005D0433">
      <w:pPr>
        <w:pStyle w:val="Heading1"/>
        <w:ind w:left="1843" w:hanging="1134"/>
        <w:jc w:val="left"/>
        <w:rPr>
          <w:lang w:val="fr-FR"/>
        </w:rPr>
      </w:pPr>
      <w:bookmarkStart w:id="481" w:name="_Toc525904298"/>
      <w:bookmarkStart w:id="482" w:name="_Toc525904457"/>
      <w:bookmarkStart w:id="483" w:name="_Toc525904701"/>
      <w:r w:rsidRPr="005D0433">
        <w:rPr>
          <w:lang w:val="fr-FR"/>
        </w:rPr>
        <w:t>point</w:t>
      </w:r>
      <w:r w:rsidR="00F92FAE" w:rsidRPr="005D0433">
        <w:rPr>
          <w:lang w:val="fr-FR"/>
        </w:rPr>
        <w:t xml:space="preserve"> 9.</w:t>
      </w:r>
      <w:r w:rsidR="00F92FAE" w:rsidRPr="005D0433">
        <w:rPr>
          <w:lang w:val="fr-FR"/>
        </w:rPr>
        <w:tab/>
      </w:r>
      <w:r>
        <w:rPr>
          <w:snapToGrid w:val="0"/>
          <w:kern w:val="22"/>
          <w:szCs w:val="22"/>
          <w:lang w:val="fr-FR"/>
        </w:rPr>
        <w:t>DiversitÉ</w:t>
      </w:r>
      <w:r w:rsidRPr="005D0433">
        <w:rPr>
          <w:snapToGrid w:val="0"/>
          <w:kern w:val="22"/>
          <w:szCs w:val="22"/>
          <w:lang w:val="fr-FR"/>
        </w:rPr>
        <w:t xml:space="preserve"> biologi</w:t>
      </w:r>
      <w:r>
        <w:rPr>
          <w:snapToGrid w:val="0"/>
          <w:kern w:val="22"/>
          <w:szCs w:val="22"/>
          <w:lang w:val="fr-FR"/>
        </w:rPr>
        <w:t>que et changements climatiques : approches É</w:t>
      </w:r>
      <w:r w:rsidRPr="005D0433">
        <w:rPr>
          <w:snapToGrid w:val="0"/>
          <w:kern w:val="22"/>
          <w:szCs w:val="22"/>
          <w:lang w:val="fr-FR"/>
        </w:rPr>
        <w:t xml:space="preserve">cosystémiques d’adaptation aux </w:t>
      </w:r>
      <w:r>
        <w:rPr>
          <w:snapToGrid w:val="0"/>
          <w:kern w:val="22"/>
          <w:szCs w:val="22"/>
          <w:lang w:val="fr-FR"/>
        </w:rPr>
        <w:t>changements climatiques et de rÉ</w:t>
      </w:r>
      <w:r w:rsidRPr="005D0433">
        <w:rPr>
          <w:snapToGrid w:val="0"/>
          <w:kern w:val="22"/>
          <w:szCs w:val="22"/>
          <w:lang w:val="fr-FR"/>
        </w:rPr>
        <w:t>duction des risques de catastrophe</w:t>
      </w:r>
      <w:bookmarkEnd w:id="481"/>
      <w:bookmarkEnd w:id="482"/>
      <w:bookmarkEnd w:id="483"/>
    </w:p>
    <w:p w:rsidR="009065E1" w:rsidRPr="004B29B3" w:rsidRDefault="005D0433" w:rsidP="006A1007">
      <w:pPr>
        <w:pStyle w:val="Para1"/>
        <w:tabs>
          <w:tab w:val="clear" w:pos="360"/>
        </w:tabs>
        <w:rPr>
          <w:rFonts w:eastAsia="MS Mincho"/>
          <w:lang w:val="fr-FR"/>
        </w:rPr>
      </w:pPr>
      <w:r w:rsidRPr="00112624">
        <w:rPr>
          <w:lang w:val="fr-FR"/>
        </w:rPr>
        <w:t xml:space="preserve">À la </w:t>
      </w:r>
      <w:r w:rsidR="004B29B3">
        <w:rPr>
          <w:kern w:val="22"/>
          <w:szCs w:val="22"/>
          <w:lang w:val="fr-FR"/>
        </w:rPr>
        <w:t>5</w:t>
      </w:r>
      <w:r w:rsidR="004B29B3" w:rsidRPr="004B29B3">
        <w:rPr>
          <w:kern w:val="22"/>
          <w:szCs w:val="22"/>
          <w:vertAlign w:val="superscript"/>
          <w:lang w:val="fr-FR"/>
        </w:rPr>
        <w:t>ème</w:t>
      </w:r>
      <w:r w:rsidRPr="00112624">
        <w:rPr>
          <w:vertAlign w:val="superscript"/>
          <w:lang w:val="fr-FR"/>
        </w:rPr>
        <w:t xml:space="preserve"> </w:t>
      </w:r>
      <w:r w:rsidRPr="00112624">
        <w:rPr>
          <w:lang w:val="fr-FR"/>
        </w:rPr>
        <w:t xml:space="preserve">séance de la réunion, le </w:t>
      </w:r>
      <w:r w:rsidR="004B29B3">
        <w:rPr>
          <w:kern w:val="22"/>
          <w:szCs w:val="22"/>
          <w:lang w:val="fr-FR"/>
        </w:rPr>
        <w:t>4 juillet 2018</w:t>
      </w:r>
      <w:r w:rsidRPr="00112624">
        <w:rPr>
          <w:lang w:val="fr-FR"/>
        </w:rPr>
        <w:t xml:space="preserve">, </w:t>
      </w:r>
      <w:r>
        <w:rPr>
          <w:kern w:val="22"/>
          <w:szCs w:val="22"/>
          <w:lang w:val="fr-FR"/>
        </w:rPr>
        <w:t>l’Organe subsidiaire a abordé le point</w:t>
      </w:r>
      <w:r w:rsidRPr="00112624">
        <w:rPr>
          <w:lang w:val="fr-FR"/>
        </w:rPr>
        <w:t xml:space="preserve"> </w:t>
      </w:r>
      <w:r w:rsidR="009065E1" w:rsidRPr="00112624">
        <w:rPr>
          <w:lang w:val="fr-FR"/>
        </w:rPr>
        <w:t>9</w:t>
      </w:r>
      <w:r>
        <w:rPr>
          <w:lang w:val="fr-FR"/>
        </w:rPr>
        <w:t xml:space="preserve"> de l’ordre du jour</w:t>
      </w:r>
      <w:r w:rsidR="004B29B3">
        <w:rPr>
          <w:lang w:val="fr-FR"/>
        </w:rPr>
        <w:t xml:space="preserve"> sous la présidence de M. </w:t>
      </w:r>
      <w:r w:rsidR="004B29B3">
        <w:rPr>
          <w:noProof/>
          <w:lang w:val="fr-FR"/>
        </w:rPr>
        <w:t>Sigurdur Thrainsson</w:t>
      </w:r>
      <w:r w:rsidR="004B29B3">
        <w:rPr>
          <w:lang w:val="fr-FR"/>
        </w:rPr>
        <w:t xml:space="preserve"> (Islande)</w:t>
      </w:r>
      <w:r w:rsidR="009065E1" w:rsidRPr="00112624">
        <w:rPr>
          <w:lang w:val="fr-FR"/>
        </w:rPr>
        <w:t xml:space="preserve">. </w:t>
      </w:r>
      <w:r w:rsidR="0069099E">
        <w:rPr>
          <w:kern w:val="22"/>
          <w:szCs w:val="22"/>
          <w:lang w:val="fr-FR"/>
        </w:rPr>
        <w:t xml:space="preserve">Il était saisi pour ce faire d’une note de la Secrétaire exécutive sur la diversité biologique et les changements climatiques : approches écosystémiques d’adaptation aux changements climatiques et de réduction des risques de catastrophe </w:t>
      </w:r>
      <w:r w:rsidR="00BB2BD4" w:rsidRPr="00112624">
        <w:rPr>
          <w:kern w:val="22"/>
          <w:szCs w:val="22"/>
          <w:lang w:val="fr-FR"/>
        </w:rPr>
        <w:t>(CBD/SBSTTA/22/8)</w:t>
      </w:r>
      <w:r w:rsidR="0069099E">
        <w:rPr>
          <w:kern w:val="22"/>
          <w:szCs w:val="22"/>
          <w:lang w:val="fr-FR"/>
        </w:rPr>
        <w:t xml:space="preserve">. Il avait aussi à sa disposition des documents d’information : Lignes directrices facultatives pour la conception et l’application efficace d’approches écosystémiques d’adaptation aux changements climatiques et de réduction des risques de catastrophe </w:t>
      </w:r>
      <w:r w:rsidR="00BB2BD4" w:rsidRPr="00112624">
        <w:rPr>
          <w:kern w:val="22"/>
          <w:szCs w:val="22"/>
          <w:lang w:val="fr-FR"/>
        </w:rPr>
        <w:t>(</w:t>
      </w:r>
      <w:r w:rsidR="00BB2BD4" w:rsidRPr="00112624">
        <w:rPr>
          <w:rFonts w:eastAsia="MS Mincho"/>
          <w:lang w:val="fr-FR"/>
        </w:rPr>
        <w:t>CBD/SBSTTA/22/INF/</w:t>
      </w:r>
      <w:r w:rsidR="00BB2BD4" w:rsidRPr="00112624">
        <w:rPr>
          <w:kern w:val="22"/>
          <w:szCs w:val="22"/>
          <w:lang w:val="fr-FR"/>
        </w:rPr>
        <w:t>1), Ident</w:t>
      </w:r>
      <w:r w:rsidR="0069099E">
        <w:rPr>
          <w:kern w:val="22"/>
          <w:szCs w:val="22"/>
          <w:lang w:val="fr-FR"/>
        </w:rPr>
        <w:t xml:space="preserve">ification et mise à l’échelle </w:t>
      </w:r>
      <w:r w:rsidR="0069099E">
        <w:rPr>
          <w:lang w:val="fr-FR"/>
        </w:rPr>
        <w:t>de solutions locales pour la réalisation des objectifs m</w:t>
      </w:r>
      <w:r w:rsidR="00741A0A">
        <w:rPr>
          <w:lang w:val="fr-FR"/>
        </w:rPr>
        <w:t>ondiaux :  l’initiative Panorama</w:t>
      </w:r>
      <w:r w:rsidR="0069099E">
        <w:rPr>
          <w:lang w:val="fr-FR"/>
        </w:rPr>
        <w:t xml:space="preserve"> – solutions pour une planète saine</w:t>
      </w:r>
      <w:r w:rsidR="0069099E">
        <w:rPr>
          <w:kern w:val="22"/>
          <w:szCs w:val="22"/>
          <w:lang w:val="fr-FR"/>
        </w:rPr>
        <w:t xml:space="preserve"> </w:t>
      </w:r>
      <w:r w:rsidR="00BB2BD4" w:rsidRPr="00112624">
        <w:rPr>
          <w:kern w:val="22"/>
          <w:szCs w:val="22"/>
          <w:lang w:val="fr-FR"/>
        </w:rPr>
        <w:t xml:space="preserve"> (</w:t>
      </w:r>
      <w:r w:rsidR="00BB2BD4" w:rsidRPr="00112624">
        <w:rPr>
          <w:rFonts w:eastAsia="MS Mincho"/>
          <w:lang w:val="fr-FR"/>
        </w:rPr>
        <w:t>CBD/SBSTTA/22/INF/</w:t>
      </w:r>
      <w:r w:rsidR="006D1D3C">
        <w:rPr>
          <w:kern w:val="22"/>
          <w:szCs w:val="22"/>
          <w:lang w:val="fr-FR"/>
        </w:rPr>
        <w:t>26), Rapport de l’Atelier sur la recherche transdisciplinaire et la gouvernance</w:t>
      </w:r>
      <w:r w:rsidR="00B470B5">
        <w:rPr>
          <w:kern w:val="22"/>
          <w:szCs w:val="22"/>
          <w:lang w:val="fr-FR"/>
        </w:rPr>
        <w:t xml:space="preserve"> sur la </w:t>
      </w:r>
      <w:r w:rsidR="006D1D3C">
        <w:rPr>
          <w:kern w:val="22"/>
          <w:szCs w:val="22"/>
          <w:lang w:val="fr-FR"/>
        </w:rPr>
        <w:t>géo-ingénierie climatique</w:t>
      </w:r>
      <w:r w:rsidR="00BB2BD4" w:rsidRPr="00112624">
        <w:rPr>
          <w:kern w:val="22"/>
          <w:szCs w:val="22"/>
          <w:lang w:val="fr-FR"/>
        </w:rPr>
        <w:t xml:space="preserve"> (</w:t>
      </w:r>
      <w:r w:rsidR="00BB2BD4" w:rsidRPr="00112624">
        <w:rPr>
          <w:rFonts w:eastAsia="MS Mincho"/>
          <w:lang w:val="fr-FR"/>
        </w:rPr>
        <w:t>CBD/SBSTTA/22/INF/</w:t>
      </w:r>
      <w:r w:rsidR="00BB2BD4" w:rsidRPr="00112624">
        <w:rPr>
          <w:kern w:val="22"/>
          <w:szCs w:val="22"/>
          <w:lang w:val="fr-FR"/>
        </w:rPr>
        <w:t>33).</w:t>
      </w:r>
    </w:p>
    <w:p w:rsidR="004B29B3" w:rsidRPr="009A485E" w:rsidRDefault="004B29B3" w:rsidP="004B29B3">
      <w:pPr>
        <w:pStyle w:val="Para1"/>
        <w:tabs>
          <w:tab w:val="clear" w:pos="360"/>
        </w:tabs>
        <w:rPr>
          <w:rFonts w:eastAsia="MS Mincho"/>
          <w:lang w:val="fr-FR"/>
        </w:rPr>
      </w:pPr>
      <w:r w:rsidRPr="009A485E">
        <w:rPr>
          <w:kern w:val="22"/>
          <w:szCs w:val="22"/>
          <w:lang w:val="fr-FR"/>
        </w:rPr>
        <w:t>Des déclarations ont été faites par les représentants des pays suivants :</w:t>
      </w:r>
      <w:r w:rsidRPr="009A485E">
        <w:rPr>
          <w:rFonts w:eastAsia="MS Mincho"/>
          <w:lang w:val="fr-FR"/>
        </w:rPr>
        <w:t xml:space="preserve"> </w:t>
      </w:r>
      <w:r w:rsidR="009A485E">
        <w:rPr>
          <w:rFonts w:eastAsia="MS Mincho"/>
          <w:lang w:val="fr-FR"/>
        </w:rPr>
        <w:t xml:space="preserve">Afrique du Sud, Allemagne, </w:t>
      </w:r>
      <w:r w:rsidR="001F1850" w:rsidRPr="009A485E">
        <w:rPr>
          <w:rFonts w:eastAsia="MS Mincho"/>
          <w:lang w:val="fr-FR"/>
        </w:rPr>
        <w:t>Antigua-et-</w:t>
      </w:r>
      <w:r w:rsidRPr="009A485E">
        <w:rPr>
          <w:rFonts w:eastAsia="MS Mincho"/>
          <w:lang w:val="fr-FR"/>
        </w:rPr>
        <w:t xml:space="preserve">Barbuda, </w:t>
      </w:r>
      <w:r w:rsidR="001F1850" w:rsidRPr="009A485E">
        <w:rPr>
          <w:rFonts w:eastAsia="MS Mincho"/>
          <w:lang w:val="fr-FR"/>
        </w:rPr>
        <w:t>Argentine</w:t>
      </w:r>
      <w:r w:rsidRPr="009A485E">
        <w:rPr>
          <w:rFonts w:eastAsia="MS Mincho"/>
          <w:lang w:val="fr-FR"/>
        </w:rPr>
        <w:t>, B</w:t>
      </w:r>
      <w:r w:rsidR="009A485E" w:rsidRPr="009A485E">
        <w:rPr>
          <w:rFonts w:eastAsia="MS Mincho"/>
          <w:lang w:val="fr-FR"/>
        </w:rPr>
        <w:t>elgique</w:t>
      </w:r>
      <w:r w:rsidRPr="009A485E">
        <w:rPr>
          <w:rFonts w:eastAsia="MS Mincho"/>
          <w:lang w:val="fr-FR"/>
        </w:rPr>
        <w:t xml:space="preserve">, </w:t>
      </w:r>
      <w:r w:rsidR="009A485E" w:rsidRPr="009A485E">
        <w:rPr>
          <w:rFonts w:eastAsia="MS Mincho"/>
          <w:lang w:val="fr-FR"/>
        </w:rPr>
        <w:t>Bolivie (État plurinational de</w:t>
      </w:r>
      <w:r w:rsidRPr="009A485E">
        <w:rPr>
          <w:rFonts w:eastAsia="MS Mincho"/>
          <w:lang w:val="fr-FR"/>
        </w:rPr>
        <w:t xml:space="preserve">), </w:t>
      </w:r>
      <w:r w:rsidR="009A485E">
        <w:rPr>
          <w:rFonts w:eastAsia="MS Mincho"/>
          <w:lang w:val="fr-FR"/>
        </w:rPr>
        <w:t>Brés</w:t>
      </w:r>
      <w:r w:rsidRPr="009A485E">
        <w:rPr>
          <w:rFonts w:eastAsia="MS Mincho"/>
          <w:lang w:val="fr-FR"/>
        </w:rPr>
        <w:t xml:space="preserve">il, </w:t>
      </w:r>
      <w:r w:rsidR="009A485E">
        <w:rPr>
          <w:rFonts w:eastAsia="MS Mincho"/>
          <w:lang w:val="fr-FR"/>
        </w:rPr>
        <w:t>Cambodge</w:t>
      </w:r>
      <w:r w:rsidRPr="009A485E">
        <w:rPr>
          <w:rFonts w:eastAsia="MS Mincho"/>
          <w:lang w:val="fr-FR"/>
        </w:rPr>
        <w:t xml:space="preserve">, Canada, Cuba, </w:t>
      </w:r>
      <w:r w:rsidR="009A485E">
        <w:rPr>
          <w:rFonts w:eastAsia="MS Mincho"/>
          <w:lang w:val="fr-FR"/>
        </w:rPr>
        <w:t>É</w:t>
      </w:r>
      <w:r w:rsidRPr="009A485E">
        <w:rPr>
          <w:rFonts w:eastAsia="MS Mincho"/>
          <w:lang w:val="fr-FR"/>
        </w:rPr>
        <w:t>gypt</w:t>
      </w:r>
      <w:r w:rsidR="009A485E">
        <w:rPr>
          <w:rFonts w:eastAsia="MS Mincho"/>
          <w:lang w:val="fr-FR"/>
        </w:rPr>
        <w:t>e</w:t>
      </w:r>
      <w:r w:rsidRPr="009A485E">
        <w:rPr>
          <w:rFonts w:eastAsia="MS Mincho"/>
          <w:lang w:val="fr-FR"/>
        </w:rPr>
        <w:t xml:space="preserve">, </w:t>
      </w:r>
      <w:r w:rsidR="009A485E">
        <w:rPr>
          <w:rFonts w:eastAsia="MS Mincho"/>
          <w:lang w:val="fr-FR"/>
        </w:rPr>
        <w:t>Éthiopie,</w:t>
      </w:r>
      <w:r w:rsidRPr="009A485E">
        <w:rPr>
          <w:rFonts w:eastAsia="MS Mincho"/>
          <w:lang w:val="fr-FR"/>
        </w:rPr>
        <w:t xml:space="preserve"> Finland</w:t>
      </w:r>
      <w:r w:rsidR="009A485E">
        <w:rPr>
          <w:rFonts w:eastAsia="MS Mincho"/>
          <w:lang w:val="fr-FR"/>
        </w:rPr>
        <w:t>e</w:t>
      </w:r>
      <w:r w:rsidRPr="009A485E">
        <w:rPr>
          <w:rFonts w:eastAsia="MS Mincho"/>
          <w:lang w:val="fr-FR"/>
        </w:rPr>
        <w:t xml:space="preserve">, France, </w:t>
      </w:r>
      <w:r w:rsidR="009A485E">
        <w:rPr>
          <w:rFonts w:eastAsia="MS Mincho"/>
          <w:lang w:val="fr-FR"/>
        </w:rPr>
        <w:t>Gambie</w:t>
      </w:r>
      <w:r w:rsidRPr="009A485E">
        <w:rPr>
          <w:rFonts w:eastAsia="MS Mincho"/>
          <w:lang w:val="fr-FR"/>
        </w:rPr>
        <w:t xml:space="preserve">, </w:t>
      </w:r>
      <w:r w:rsidR="009A485E">
        <w:rPr>
          <w:rFonts w:eastAsia="MS Mincho"/>
          <w:lang w:val="fr-FR"/>
        </w:rPr>
        <w:t>Inde</w:t>
      </w:r>
      <w:r w:rsidRPr="009A485E">
        <w:rPr>
          <w:rFonts w:eastAsia="MS Mincho"/>
          <w:lang w:val="fr-FR"/>
        </w:rPr>
        <w:t xml:space="preserve">, </w:t>
      </w:r>
      <w:r w:rsidR="009A485E">
        <w:rPr>
          <w:rFonts w:eastAsia="MS Mincho"/>
          <w:lang w:val="fr-FR"/>
        </w:rPr>
        <w:t>Italie</w:t>
      </w:r>
      <w:r w:rsidRPr="009A485E">
        <w:rPr>
          <w:rFonts w:eastAsia="MS Mincho"/>
          <w:lang w:val="fr-FR"/>
        </w:rPr>
        <w:t xml:space="preserve">, </w:t>
      </w:r>
      <w:r w:rsidR="009A485E">
        <w:rPr>
          <w:rFonts w:eastAsia="MS Mincho"/>
          <w:lang w:val="fr-FR"/>
        </w:rPr>
        <w:t>Jamaïque</w:t>
      </w:r>
      <w:r w:rsidRPr="009A485E">
        <w:rPr>
          <w:rFonts w:eastAsia="MS Mincho"/>
          <w:lang w:val="fr-FR"/>
        </w:rPr>
        <w:t xml:space="preserve">, Malawi, </w:t>
      </w:r>
      <w:r w:rsidR="009A485E">
        <w:rPr>
          <w:rFonts w:eastAsia="MS Mincho"/>
          <w:lang w:val="fr-FR"/>
        </w:rPr>
        <w:t>Malaisie, Maldives, Maroc, Mexique</w:t>
      </w:r>
      <w:r w:rsidRPr="009A485E">
        <w:rPr>
          <w:rFonts w:eastAsia="MS Mincho"/>
          <w:lang w:val="fr-FR"/>
        </w:rPr>
        <w:t xml:space="preserve">, </w:t>
      </w:r>
      <w:r w:rsidR="00F52824">
        <w:rPr>
          <w:rFonts w:eastAsia="MS Mincho"/>
          <w:lang w:val="fr-FR"/>
        </w:rPr>
        <w:t>Né</w:t>
      </w:r>
      <w:r w:rsidR="00F52824" w:rsidRPr="009A485E">
        <w:rPr>
          <w:rFonts w:eastAsia="MS Mincho"/>
          <w:lang w:val="fr-FR"/>
        </w:rPr>
        <w:t>pal,</w:t>
      </w:r>
      <w:r w:rsidR="00F52824">
        <w:rPr>
          <w:rFonts w:eastAsia="MS Mincho"/>
          <w:lang w:val="fr-FR"/>
        </w:rPr>
        <w:t xml:space="preserve"> </w:t>
      </w:r>
      <w:r w:rsidR="009A485E">
        <w:rPr>
          <w:rFonts w:eastAsia="MS Mincho"/>
          <w:lang w:val="fr-FR"/>
        </w:rPr>
        <w:t>Nouvelle-Zélande, Norvège</w:t>
      </w:r>
      <w:r w:rsidRPr="009A485E">
        <w:rPr>
          <w:rFonts w:eastAsia="MS Mincho"/>
          <w:lang w:val="fr-FR"/>
        </w:rPr>
        <w:t xml:space="preserve">, </w:t>
      </w:r>
      <w:r w:rsidR="009A485E">
        <w:rPr>
          <w:rFonts w:eastAsia="MS Mincho"/>
          <w:lang w:val="fr-FR"/>
        </w:rPr>
        <w:t>Ouganda, Palaos (également au nom des Îles Cook, de la Micronésie</w:t>
      </w:r>
      <w:r w:rsidRPr="009A485E">
        <w:rPr>
          <w:rFonts w:eastAsia="MS Mincho"/>
          <w:lang w:val="fr-FR"/>
        </w:rPr>
        <w:t xml:space="preserve"> (</w:t>
      </w:r>
      <w:r w:rsidR="009A485E">
        <w:rPr>
          <w:rFonts w:eastAsia="MS Mincho"/>
          <w:lang w:val="fr-FR"/>
        </w:rPr>
        <w:t>États fédérés de)</w:t>
      </w:r>
      <w:r w:rsidRPr="009A485E">
        <w:rPr>
          <w:rFonts w:eastAsia="MS Mincho"/>
          <w:lang w:val="fr-FR"/>
        </w:rPr>
        <w:t xml:space="preserve"> </w:t>
      </w:r>
      <w:r w:rsidR="009A485E">
        <w:rPr>
          <w:rFonts w:eastAsia="MS Mincho"/>
          <w:lang w:val="fr-FR"/>
        </w:rPr>
        <w:t xml:space="preserve">States of) et des </w:t>
      </w:r>
      <w:r w:rsidRPr="009A485E">
        <w:rPr>
          <w:rFonts w:eastAsia="MS Mincho"/>
          <w:lang w:val="fr-FR"/>
        </w:rPr>
        <w:t xml:space="preserve">Tonga), </w:t>
      </w:r>
      <w:r w:rsidR="009A485E">
        <w:rPr>
          <w:rFonts w:eastAsia="MS Mincho"/>
          <w:lang w:val="fr-FR"/>
        </w:rPr>
        <w:t>Pays-Bas</w:t>
      </w:r>
      <w:r w:rsidR="009A485E" w:rsidRPr="009A485E">
        <w:rPr>
          <w:rFonts w:eastAsia="MS Mincho"/>
          <w:lang w:val="fr-FR"/>
        </w:rPr>
        <w:t>,</w:t>
      </w:r>
      <w:r w:rsidR="009A485E">
        <w:rPr>
          <w:rFonts w:eastAsia="MS Mincho"/>
          <w:lang w:val="fr-FR"/>
        </w:rPr>
        <w:t xml:space="preserve"> Pé</w:t>
      </w:r>
      <w:r w:rsidRPr="009A485E">
        <w:rPr>
          <w:rFonts w:eastAsia="MS Mincho"/>
          <w:lang w:val="fr-FR"/>
        </w:rPr>
        <w:t>r</w:t>
      </w:r>
      <w:r w:rsidR="009A485E">
        <w:rPr>
          <w:rFonts w:eastAsia="MS Mincho"/>
          <w:lang w:val="fr-FR"/>
        </w:rPr>
        <w:t>o</w:t>
      </w:r>
      <w:r w:rsidRPr="009A485E">
        <w:rPr>
          <w:rFonts w:eastAsia="MS Mincho"/>
          <w:lang w:val="fr-FR"/>
        </w:rPr>
        <w:t xml:space="preserve">u, </w:t>
      </w:r>
      <w:r w:rsidR="009A485E">
        <w:rPr>
          <w:rFonts w:eastAsia="MS Mincho"/>
          <w:lang w:val="fr-FR"/>
        </w:rPr>
        <w:t>Philippines (au nom des États membres de l’ASEAN</w:t>
      </w:r>
      <w:r w:rsidRPr="009A485E">
        <w:rPr>
          <w:rFonts w:eastAsia="MS Mincho"/>
          <w:lang w:val="fr-FR"/>
        </w:rPr>
        <w:t>),</w:t>
      </w:r>
      <w:r w:rsidR="009A485E">
        <w:rPr>
          <w:rFonts w:eastAsia="MS Mincho"/>
          <w:lang w:val="fr-FR"/>
        </w:rPr>
        <w:t xml:space="preserve"> </w:t>
      </w:r>
      <w:r w:rsidR="009A3088">
        <w:rPr>
          <w:rFonts w:eastAsia="MS Mincho"/>
          <w:lang w:val="fr-FR"/>
        </w:rPr>
        <w:t>Royaume-Uni</w:t>
      </w:r>
      <w:r w:rsidR="00F52824">
        <w:rPr>
          <w:rFonts w:eastAsia="MS Mincho"/>
          <w:lang w:val="fr-FR"/>
        </w:rPr>
        <w:t xml:space="preserve">, </w:t>
      </w:r>
      <w:r w:rsidR="009A485E">
        <w:rPr>
          <w:rFonts w:eastAsia="MS Mincho"/>
          <w:lang w:val="fr-FR"/>
        </w:rPr>
        <w:t>Soudan, Suède</w:t>
      </w:r>
      <w:r w:rsidRPr="009A485E">
        <w:rPr>
          <w:rFonts w:eastAsia="MS Mincho"/>
          <w:lang w:val="fr-FR"/>
        </w:rPr>
        <w:t>,</w:t>
      </w:r>
      <w:r w:rsidR="007912B4">
        <w:rPr>
          <w:rFonts w:eastAsia="MS Mincho"/>
          <w:lang w:val="fr-FR"/>
        </w:rPr>
        <w:t xml:space="preserve"> Suisse,</w:t>
      </w:r>
      <w:r w:rsidRPr="009A485E">
        <w:rPr>
          <w:rFonts w:eastAsia="MS Mincho"/>
          <w:lang w:val="fr-FR"/>
        </w:rPr>
        <w:t xml:space="preserve"> Ta</w:t>
      </w:r>
      <w:r w:rsidR="009A485E">
        <w:rPr>
          <w:rFonts w:eastAsia="MS Mincho"/>
          <w:lang w:val="fr-FR"/>
        </w:rPr>
        <w:t>d</w:t>
      </w:r>
      <w:r w:rsidRPr="009A485E">
        <w:rPr>
          <w:rFonts w:eastAsia="MS Mincho"/>
          <w:lang w:val="fr-FR"/>
        </w:rPr>
        <w:t xml:space="preserve">jikistan </w:t>
      </w:r>
      <w:r w:rsidR="009A485E">
        <w:rPr>
          <w:rFonts w:eastAsia="MS Mincho"/>
          <w:lang w:val="fr-FR"/>
        </w:rPr>
        <w:t>(au nom des pays d’Europe centrale et orientale présents)</w:t>
      </w:r>
      <w:r w:rsidR="00F52824">
        <w:rPr>
          <w:rFonts w:eastAsia="MS Mincho"/>
          <w:lang w:val="fr-FR"/>
        </w:rPr>
        <w:t xml:space="preserve">, Union européenne, </w:t>
      </w:r>
      <w:r w:rsidRPr="009A485E">
        <w:rPr>
          <w:rFonts w:eastAsia="MS Mincho"/>
          <w:lang w:val="fr-FR"/>
        </w:rPr>
        <w:t>V</w:t>
      </w:r>
      <w:r w:rsidR="00F52824">
        <w:rPr>
          <w:rFonts w:eastAsia="MS Mincho"/>
          <w:lang w:val="fr-FR"/>
        </w:rPr>
        <w:t>enezuela (République bolivarienne du</w:t>
      </w:r>
      <w:r w:rsidRPr="009A485E">
        <w:rPr>
          <w:rFonts w:eastAsia="MS Mincho"/>
          <w:lang w:val="fr-FR"/>
        </w:rPr>
        <w:t>)</w:t>
      </w:r>
      <w:r w:rsidRPr="009A485E">
        <w:rPr>
          <w:lang w:val="fr-FR"/>
        </w:rPr>
        <w:t>.</w:t>
      </w:r>
    </w:p>
    <w:p w:rsidR="004B29B3" w:rsidRPr="009A485E" w:rsidRDefault="0038593B" w:rsidP="004B29B3">
      <w:pPr>
        <w:pStyle w:val="Para1"/>
        <w:tabs>
          <w:tab w:val="clear" w:pos="360"/>
        </w:tabs>
        <w:rPr>
          <w:rFonts w:eastAsia="MS Mincho"/>
          <w:lang w:val="fr-FR"/>
        </w:rPr>
      </w:pPr>
      <w:r>
        <w:rPr>
          <w:rFonts w:eastAsia="MS Mincho"/>
          <w:lang w:val="fr-FR"/>
        </w:rPr>
        <w:t>Le représentant</w:t>
      </w:r>
      <w:r w:rsidR="00F52824">
        <w:rPr>
          <w:rFonts w:eastAsia="MS Mincho"/>
          <w:lang w:val="fr-FR"/>
        </w:rPr>
        <w:t xml:space="preserve"> de la Division des affaires maritimes et du droit de la mer du Bureau des affaires juridiques</w:t>
      </w:r>
      <w:r>
        <w:rPr>
          <w:rFonts w:eastAsia="MS Mincho"/>
          <w:lang w:val="fr-FR"/>
        </w:rPr>
        <w:t xml:space="preserve"> des Nations Unies s’est exprimé également</w:t>
      </w:r>
      <w:r w:rsidR="00F52824">
        <w:rPr>
          <w:rFonts w:eastAsia="MS Mincho"/>
          <w:lang w:val="fr-FR"/>
        </w:rPr>
        <w:t>.</w:t>
      </w:r>
    </w:p>
    <w:p w:rsidR="004B29B3" w:rsidRPr="009A485E" w:rsidRDefault="0038593B" w:rsidP="004B29B3">
      <w:pPr>
        <w:pStyle w:val="Para1"/>
        <w:tabs>
          <w:tab w:val="clear" w:pos="360"/>
        </w:tabs>
        <w:rPr>
          <w:rFonts w:eastAsia="MS Mincho"/>
          <w:lang w:val="fr-FR"/>
        </w:rPr>
      </w:pPr>
      <w:r>
        <w:rPr>
          <w:rFonts w:eastAsia="MS Mincho"/>
          <w:kern w:val="22"/>
          <w:szCs w:val="22"/>
          <w:lang w:val="fr-FR"/>
        </w:rPr>
        <w:lastRenderedPageBreak/>
        <w:t>Ont pris la parole également les r</w:t>
      </w:r>
      <w:r w:rsidR="00F52824">
        <w:rPr>
          <w:rFonts w:eastAsia="MS Mincho"/>
          <w:kern w:val="22"/>
          <w:szCs w:val="22"/>
          <w:lang w:val="fr-FR"/>
        </w:rPr>
        <w:t xml:space="preserve">eprésentants du Forum international des peuples autochtones sur la biodiversité, </w:t>
      </w:r>
      <w:r w:rsidR="00F52824">
        <w:rPr>
          <w:lang w:val="fr-FR"/>
        </w:rPr>
        <w:t>de la Coalition mondiale des forêts (également au nom du Consortium APAC)</w:t>
      </w:r>
      <w:r w:rsidR="004B29B3" w:rsidRPr="009A485E">
        <w:rPr>
          <w:lang w:val="fr-FR"/>
        </w:rPr>
        <w:t xml:space="preserve">, </w:t>
      </w:r>
      <w:r>
        <w:rPr>
          <w:lang w:val="fr-FR"/>
        </w:rPr>
        <w:t>de GYBN, IIFB, IUCN,</w:t>
      </w:r>
      <w:r w:rsidR="00F52824">
        <w:rPr>
          <w:lang w:val="fr-FR"/>
        </w:rPr>
        <w:t xml:space="preserve"> </w:t>
      </w:r>
      <w:r w:rsidR="004B29B3" w:rsidRPr="009A485E">
        <w:rPr>
          <w:lang w:val="fr-FR"/>
        </w:rPr>
        <w:t>Union Paysanne</w:t>
      </w:r>
      <w:r>
        <w:rPr>
          <w:lang w:val="fr-FR"/>
        </w:rPr>
        <w:t>, USC Canada et WWF.</w:t>
      </w:r>
    </w:p>
    <w:p w:rsidR="004B29B3" w:rsidRPr="007912B4" w:rsidRDefault="00F52824" w:rsidP="004B29B3">
      <w:pPr>
        <w:pStyle w:val="Para1"/>
        <w:tabs>
          <w:tab w:val="clear" w:pos="360"/>
        </w:tabs>
        <w:rPr>
          <w:rFonts w:eastAsia="MS Mincho"/>
          <w:lang w:val="fr-FR"/>
        </w:rPr>
      </w:pPr>
      <w:r>
        <w:rPr>
          <w:lang w:val="fr-FR"/>
        </w:rPr>
        <w:t>Après un échange de vues, le président a déclaré qu’il élaborerait un texte révisé pour examen par l’Organe subsidiaire, compte tenu des points de vue exprimés oralement</w:t>
      </w:r>
      <w:r w:rsidR="00741A0A">
        <w:rPr>
          <w:lang w:val="fr-FR"/>
        </w:rPr>
        <w:t xml:space="preserve"> par les Parties ou soutenus par celles-ci</w:t>
      </w:r>
      <w:r>
        <w:rPr>
          <w:lang w:val="fr-FR"/>
        </w:rPr>
        <w:t xml:space="preserve"> et des commentaires reçus par écrit.</w:t>
      </w:r>
    </w:p>
    <w:p w:rsidR="007912B4" w:rsidRPr="009A485E" w:rsidRDefault="007912B4" w:rsidP="004B29B3">
      <w:pPr>
        <w:pStyle w:val="Para1"/>
        <w:tabs>
          <w:tab w:val="clear" w:pos="360"/>
        </w:tabs>
        <w:rPr>
          <w:rFonts w:eastAsia="MS Mincho"/>
          <w:lang w:val="fr-FR"/>
        </w:rPr>
      </w:pPr>
      <w:r>
        <w:rPr>
          <w:lang w:val="fr-FR"/>
        </w:rPr>
        <w:t>À la 11</w:t>
      </w:r>
      <w:r w:rsidRPr="00475A35">
        <w:rPr>
          <w:vertAlign w:val="superscript"/>
          <w:lang w:val="fr-FR"/>
        </w:rPr>
        <w:t>ème</w:t>
      </w:r>
      <w:r>
        <w:rPr>
          <w:lang w:val="fr-FR"/>
        </w:rPr>
        <w:t xml:space="preserve"> séance de la réunion, le 6 juillet 2018, l’Organe subsidiaire, présidé par Mme Theresa </w:t>
      </w:r>
      <w:r>
        <w:rPr>
          <w:noProof/>
          <w:lang w:val="fr-FR"/>
        </w:rPr>
        <w:t>Mundita</w:t>
      </w:r>
      <w:r>
        <w:rPr>
          <w:lang w:val="fr-FR"/>
        </w:rPr>
        <w:t xml:space="preserve"> Lim (Philippines), a examiné le texte révisé présenté par la présidente. Après un échange de vues, le projet de recommandation révisé a été approuvé, tel qu’amendé oralement, pour adoption officielle par l’Organe subsidiaire en tant que projet de recommandation CBD/SBSTTA.22/L.7.</w:t>
      </w:r>
    </w:p>
    <w:p w:rsidR="004B29B3" w:rsidRPr="002F102A" w:rsidRDefault="002F102A" w:rsidP="004B29B3">
      <w:pPr>
        <w:pStyle w:val="Para1"/>
        <w:tabs>
          <w:tab w:val="clear" w:pos="360"/>
        </w:tabs>
        <w:rPr>
          <w:rFonts w:eastAsia="MS Mincho"/>
          <w:lang w:val="fr-FR"/>
        </w:rPr>
      </w:pPr>
      <w:r w:rsidRPr="002F102A">
        <w:rPr>
          <w:rFonts w:eastAsia="MS Mincho"/>
          <w:lang w:val="fr-FR"/>
        </w:rPr>
        <w:t>A la 13</w:t>
      </w:r>
      <w:r w:rsidRPr="00253397">
        <w:rPr>
          <w:rFonts w:eastAsia="MS Mincho"/>
          <w:vertAlign w:val="superscript"/>
          <w:lang w:val="fr-FR"/>
        </w:rPr>
        <w:t>ème</w:t>
      </w:r>
      <w:r w:rsidRPr="002F102A">
        <w:rPr>
          <w:rFonts w:eastAsia="MS Mincho"/>
          <w:lang w:val="fr-FR"/>
        </w:rPr>
        <w:t xml:space="preserve"> séance de la réunion</w:t>
      </w:r>
      <w:r w:rsidR="0038593B" w:rsidRPr="002F102A">
        <w:rPr>
          <w:rFonts w:eastAsia="MS Mincho"/>
          <w:lang w:val="fr-FR"/>
        </w:rPr>
        <w:t xml:space="preserve">, </w:t>
      </w:r>
      <w:r w:rsidRPr="002F102A">
        <w:rPr>
          <w:rFonts w:eastAsia="MS Mincho"/>
          <w:lang w:val="fr-FR"/>
        </w:rPr>
        <w:t>le 7 juillet</w:t>
      </w:r>
      <w:r w:rsidR="0038593B" w:rsidRPr="002F102A">
        <w:rPr>
          <w:rFonts w:eastAsia="MS Mincho"/>
          <w:lang w:val="fr-FR"/>
        </w:rPr>
        <w:t xml:space="preserve"> 2018, </w:t>
      </w:r>
      <w:r>
        <w:rPr>
          <w:rFonts w:eastAsia="MS Mincho"/>
          <w:lang w:val="fr-FR"/>
        </w:rPr>
        <w:t>l’Organe subsidiaire a adopté</w:t>
      </w:r>
      <w:r w:rsidR="0038593B" w:rsidRPr="002F102A">
        <w:rPr>
          <w:rFonts w:eastAsia="MS Mincho"/>
          <w:lang w:val="fr-FR"/>
        </w:rPr>
        <w:t xml:space="preserve"> CBD/SBSTTA/22/L.7, </w:t>
      </w:r>
      <w:r>
        <w:rPr>
          <w:rFonts w:eastAsia="MS Mincho"/>
          <w:lang w:val="fr-FR"/>
        </w:rPr>
        <w:t>tel que modifié oralement, comme recommandation</w:t>
      </w:r>
      <w:r w:rsidR="0038593B" w:rsidRPr="002F102A">
        <w:rPr>
          <w:rFonts w:eastAsia="MS Mincho"/>
          <w:lang w:val="fr-FR"/>
        </w:rPr>
        <w:t xml:space="preserve"> 22/7. </w:t>
      </w:r>
      <w:r w:rsidRPr="002F102A">
        <w:rPr>
          <w:rFonts w:eastAsia="MS Mincho"/>
          <w:lang w:val="fr-FR"/>
        </w:rPr>
        <w:t>Le texte de la recommandation, tel qu’adopté, figure dans la partie I du présent rapport</w:t>
      </w:r>
      <w:r w:rsidR="0038593B" w:rsidRPr="002F102A">
        <w:rPr>
          <w:rFonts w:eastAsia="MS Mincho"/>
          <w:lang w:val="fr-FR"/>
        </w:rPr>
        <w:t>.</w:t>
      </w:r>
    </w:p>
    <w:p w:rsidR="00B522B4" w:rsidRPr="00B470B5" w:rsidRDefault="00D40387" w:rsidP="00D40387">
      <w:pPr>
        <w:pStyle w:val="Heading1"/>
        <w:rPr>
          <w:lang w:val="fr-FR"/>
        </w:rPr>
      </w:pPr>
      <w:bookmarkStart w:id="484" w:name="_Toc525904299"/>
      <w:bookmarkStart w:id="485" w:name="_Toc525904458"/>
      <w:bookmarkStart w:id="486" w:name="_Toc525904702"/>
      <w:r w:rsidRPr="00B470B5">
        <w:rPr>
          <w:lang w:val="fr-FR"/>
        </w:rPr>
        <w:t>point 10.</w:t>
      </w:r>
      <w:r w:rsidRPr="00B470B5">
        <w:rPr>
          <w:lang w:val="fr-FR"/>
        </w:rPr>
        <w:tab/>
        <w:t>espÈces exotiques envahissantes</w:t>
      </w:r>
      <w:bookmarkEnd w:id="484"/>
      <w:bookmarkEnd w:id="485"/>
      <w:bookmarkEnd w:id="486"/>
    </w:p>
    <w:p w:rsidR="009065E1" w:rsidRPr="00487BF8" w:rsidRDefault="00B470B5" w:rsidP="006A1007">
      <w:pPr>
        <w:pStyle w:val="Para1"/>
        <w:tabs>
          <w:tab w:val="clear" w:pos="360"/>
        </w:tabs>
        <w:rPr>
          <w:rFonts w:eastAsia="MS Mincho"/>
          <w:lang w:val="fr-FR"/>
        </w:rPr>
      </w:pPr>
      <w:r w:rsidRPr="00B470B5">
        <w:rPr>
          <w:lang w:val="fr-FR"/>
        </w:rPr>
        <w:t xml:space="preserve">À la </w:t>
      </w:r>
      <w:r w:rsidR="00F52824">
        <w:rPr>
          <w:kern w:val="22"/>
          <w:szCs w:val="22"/>
          <w:lang w:val="fr-FR"/>
        </w:rPr>
        <w:t>5</w:t>
      </w:r>
      <w:r w:rsidR="00F52824" w:rsidRPr="00F52824">
        <w:rPr>
          <w:kern w:val="22"/>
          <w:szCs w:val="22"/>
          <w:vertAlign w:val="superscript"/>
          <w:lang w:val="fr-FR"/>
        </w:rPr>
        <w:t>ème</w:t>
      </w:r>
      <w:r w:rsidR="00F52824">
        <w:rPr>
          <w:kern w:val="22"/>
          <w:szCs w:val="22"/>
          <w:lang w:val="fr-FR"/>
        </w:rPr>
        <w:t xml:space="preserve"> </w:t>
      </w:r>
      <w:r w:rsidRPr="00B470B5">
        <w:rPr>
          <w:vertAlign w:val="superscript"/>
          <w:lang w:val="fr-FR"/>
        </w:rPr>
        <w:t xml:space="preserve"> </w:t>
      </w:r>
      <w:r w:rsidRPr="00B470B5">
        <w:rPr>
          <w:lang w:val="fr-FR"/>
        </w:rPr>
        <w:t xml:space="preserve">séance de la réunion, le </w:t>
      </w:r>
      <w:r w:rsidR="00F52824">
        <w:rPr>
          <w:kern w:val="22"/>
          <w:szCs w:val="22"/>
          <w:lang w:val="fr-FR"/>
        </w:rPr>
        <w:t>4 juillet 2018</w:t>
      </w:r>
      <w:r w:rsidRPr="00B470B5">
        <w:rPr>
          <w:lang w:val="fr-FR"/>
        </w:rPr>
        <w:t xml:space="preserve">, </w:t>
      </w:r>
      <w:r w:rsidR="004C3515">
        <w:rPr>
          <w:lang w:val="fr-FR"/>
        </w:rPr>
        <w:t xml:space="preserve">sous la présidence de M. </w:t>
      </w:r>
      <w:r w:rsidR="004C3515">
        <w:rPr>
          <w:noProof/>
          <w:lang w:val="fr-FR"/>
        </w:rPr>
        <w:t>Sigurdur Thrainsson</w:t>
      </w:r>
      <w:r w:rsidR="004C3515">
        <w:rPr>
          <w:lang w:val="fr-FR"/>
        </w:rPr>
        <w:t xml:space="preserve">, </w:t>
      </w:r>
      <w:r w:rsidRPr="00B470B5">
        <w:rPr>
          <w:kern w:val="22"/>
          <w:szCs w:val="22"/>
          <w:lang w:val="fr-FR"/>
        </w:rPr>
        <w:t>l’Organe subsidiaire a abordé le point</w:t>
      </w:r>
      <w:r w:rsidRPr="00B470B5">
        <w:rPr>
          <w:lang w:val="fr-FR"/>
        </w:rPr>
        <w:t xml:space="preserve"> </w:t>
      </w:r>
      <w:r w:rsidR="00355D6E">
        <w:rPr>
          <w:lang w:val="fr-FR"/>
        </w:rPr>
        <w:t>10</w:t>
      </w:r>
      <w:r w:rsidRPr="00B470B5">
        <w:rPr>
          <w:lang w:val="fr-FR"/>
        </w:rPr>
        <w:t xml:space="preserve"> de l’ordre du jour. </w:t>
      </w:r>
      <w:r w:rsidRPr="00B470B5">
        <w:rPr>
          <w:kern w:val="22"/>
          <w:szCs w:val="22"/>
          <w:lang w:val="fr-FR"/>
        </w:rPr>
        <w:t xml:space="preserve">Il était saisi pour ce faire d’une note de la Secrétaire exécutive sur les espèces exotiques envahissantes </w:t>
      </w:r>
      <w:r w:rsidR="00E079BB" w:rsidRPr="00B470B5">
        <w:rPr>
          <w:kern w:val="22"/>
          <w:szCs w:val="22"/>
          <w:lang w:val="fr-FR"/>
        </w:rPr>
        <w:t>(CBD/SBSTTA/22/9)</w:t>
      </w:r>
      <w:r>
        <w:rPr>
          <w:rFonts w:eastAsia="MS Mincho"/>
          <w:lang w:val="fr-FR"/>
        </w:rPr>
        <w:t xml:space="preserve"> ainsi que de documents d’information, notamment : des orientations pour l’interprétation des catégories sur les voies d’introduction au titre de la Conven</w:t>
      </w:r>
      <w:r w:rsidR="004C3515">
        <w:rPr>
          <w:rFonts w:eastAsia="MS Mincho"/>
          <w:lang w:val="fr-FR"/>
        </w:rPr>
        <w:t>tion</w:t>
      </w:r>
      <w:r>
        <w:rPr>
          <w:rFonts w:eastAsia="MS Mincho"/>
          <w:lang w:val="fr-FR"/>
        </w:rPr>
        <w:t xml:space="preserve"> </w:t>
      </w:r>
      <w:r w:rsidR="00E079BB" w:rsidRPr="00B470B5">
        <w:rPr>
          <w:rFonts w:eastAsia="MS Mincho"/>
          <w:lang w:val="fr-FR"/>
        </w:rPr>
        <w:t>(</w:t>
      </w:r>
      <w:r w:rsidR="006A1007" w:rsidRPr="00B470B5">
        <w:rPr>
          <w:rFonts w:eastAsia="MS Mincho"/>
          <w:lang w:val="fr-FR"/>
        </w:rPr>
        <w:t>CBD/SBSTTA/22/INF/</w:t>
      </w:r>
      <w:r w:rsidR="00E079BB" w:rsidRPr="00B470B5">
        <w:rPr>
          <w:rFonts w:eastAsia="MS Mincho"/>
          <w:lang w:val="fr-FR"/>
        </w:rPr>
        <w:t xml:space="preserve">9), </w:t>
      </w:r>
      <w:r w:rsidR="004C3515">
        <w:rPr>
          <w:rFonts w:eastAsia="MS Mincho"/>
          <w:lang w:val="fr-FR"/>
        </w:rPr>
        <w:t xml:space="preserve">un rapport intérimaire sur les </w:t>
      </w:r>
      <w:r w:rsidR="004C3515">
        <w:rPr>
          <w:rFonts w:eastAsia="MS Mincho"/>
          <w:kern w:val="22"/>
          <w:szCs w:val="22"/>
          <w:lang w:val="fr-FR"/>
        </w:rPr>
        <w:t>e</w:t>
      </w:r>
      <w:r>
        <w:rPr>
          <w:rFonts w:eastAsia="MS Mincho"/>
          <w:kern w:val="22"/>
          <w:szCs w:val="22"/>
          <w:lang w:val="fr-FR"/>
        </w:rPr>
        <w:t>spèces exotiques envahissantes</w:t>
      </w:r>
      <w:r w:rsidR="004C3515">
        <w:rPr>
          <w:rFonts w:eastAsia="MS Mincho"/>
          <w:kern w:val="22"/>
          <w:szCs w:val="22"/>
          <w:lang w:val="fr-FR"/>
        </w:rPr>
        <w:t xml:space="preserve"> </w:t>
      </w:r>
      <w:r w:rsidR="00E079BB" w:rsidRPr="00B470B5">
        <w:rPr>
          <w:rFonts w:eastAsia="MS Mincho"/>
          <w:kern w:val="22"/>
          <w:szCs w:val="22"/>
          <w:lang w:val="fr-FR"/>
        </w:rPr>
        <w:t>(</w:t>
      </w:r>
      <w:r w:rsidR="006A1007" w:rsidRPr="00B470B5">
        <w:rPr>
          <w:rFonts w:eastAsia="MS Mincho"/>
          <w:lang w:val="fr-FR"/>
        </w:rPr>
        <w:t>CBD/SBSTTA/22/INF/</w:t>
      </w:r>
      <w:r w:rsidR="00355D6E">
        <w:rPr>
          <w:rFonts w:eastAsia="MS Mincho"/>
          <w:kern w:val="22"/>
          <w:szCs w:val="22"/>
          <w:lang w:val="fr-FR"/>
        </w:rPr>
        <w:t xml:space="preserve">22), </w:t>
      </w:r>
      <w:r w:rsidR="004C3515">
        <w:rPr>
          <w:rFonts w:eastAsia="MS Mincho"/>
          <w:kern w:val="22"/>
          <w:szCs w:val="22"/>
          <w:lang w:val="fr-FR"/>
        </w:rPr>
        <w:t>un rapport sur les introductions non intentionnelles d’e</w:t>
      </w:r>
      <w:r w:rsidR="00355D6E">
        <w:rPr>
          <w:rFonts w:eastAsia="MS Mincho"/>
          <w:kern w:val="22"/>
          <w:szCs w:val="22"/>
          <w:lang w:val="fr-FR"/>
        </w:rPr>
        <w:t>s</w:t>
      </w:r>
      <w:r w:rsidR="004C3515">
        <w:rPr>
          <w:rFonts w:eastAsia="MS Mincho"/>
          <w:kern w:val="22"/>
          <w:szCs w:val="22"/>
          <w:lang w:val="fr-FR"/>
        </w:rPr>
        <w:t xml:space="preserve">pèces exotiques envahissantes du groupe spécialiste de l’UICN sur les espèces envahissantes </w:t>
      </w:r>
      <w:r w:rsidR="00E079BB" w:rsidRPr="00B470B5">
        <w:rPr>
          <w:rFonts w:eastAsia="MS Mincho"/>
          <w:kern w:val="22"/>
          <w:szCs w:val="22"/>
          <w:lang w:val="fr-FR"/>
        </w:rPr>
        <w:t>(</w:t>
      </w:r>
      <w:r w:rsidR="006A1007" w:rsidRPr="00B470B5">
        <w:rPr>
          <w:rFonts w:eastAsia="MS Mincho"/>
          <w:lang w:val="fr-FR"/>
        </w:rPr>
        <w:t>CBD/SBSTTA/22/INF/</w:t>
      </w:r>
      <w:r w:rsidR="00355D6E">
        <w:rPr>
          <w:rFonts w:eastAsia="MS Mincho"/>
          <w:kern w:val="22"/>
          <w:szCs w:val="22"/>
          <w:lang w:val="fr-FR"/>
        </w:rPr>
        <w:t xml:space="preserve">29), </w:t>
      </w:r>
      <w:r w:rsidR="004C3515">
        <w:rPr>
          <w:rFonts w:eastAsia="MS Mincho"/>
          <w:kern w:val="22"/>
          <w:szCs w:val="22"/>
          <w:lang w:val="fr-FR"/>
        </w:rPr>
        <w:t>un document sur le cadre de normes</w:t>
      </w:r>
      <w:r w:rsidR="00487BF8">
        <w:rPr>
          <w:rFonts w:eastAsia="MS Mincho"/>
          <w:kern w:val="22"/>
          <w:szCs w:val="22"/>
          <w:lang w:val="fr-FR"/>
        </w:rPr>
        <w:t xml:space="preserve"> sur le commerce électronique transfrontalier</w:t>
      </w:r>
      <w:r w:rsidR="004C3515">
        <w:rPr>
          <w:rFonts w:eastAsia="MS Mincho"/>
          <w:kern w:val="22"/>
          <w:szCs w:val="22"/>
          <w:lang w:val="fr-FR"/>
        </w:rPr>
        <w:t xml:space="preserve"> de l’Organisation mondiale des douanes </w:t>
      </w:r>
      <w:r w:rsidR="004C3515" w:rsidRPr="00B470B5">
        <w:rPr>
          <w:rFonts w:eastAsia="MS Mincho"/>
          <w:kern w:val="22"/>
          <w:szCs w:val="22"/>
          <w:lang w:val="fr-FR"/>
        </w:rPr>
        <w:t>(</w:t>
      </w:r>
      <w:r w:rsidR="004C3515" w:rsidRPr="00B470B5">
        <w:rPr>
          <w:rFonts w:eastAsia="MS Mincho"/>
          <w:lang w:val="fr-FR"/>
        </w:rPr>
        <w:t>CBD/SBSTTA/22/INF/</w:t>
      </w:r>
      <w:r w:rsidR="004C3515">
        <w:rPr>
          <w:rFonts w:eastAsia="MS Mincho"/>
          <w:kern w:val="22"/>
          <w:szCs w:val="22"/>
          <w:lang w:val="fr-FR"/>
        </w:rPr>
        <w:t>38)</w:t>
      </w:r>
      <w:r w:rsidR="00487BF8">
        <w:rPr>
          <w:rFonts w:eastAsia="MS Mincho"/>
          <w:kern w:val="22"/>
          <w:szCs w:val="22"/>
          <w:lang w:val="fr-FR"/>
        </w:rPr>
        <w:t xml:space="preserve"> et un</w:t>
      </w:r>
      <w:r w:rsidR="004C3515">
        <w:rPr>
          <w:rFonts w:eastAsia="MS Mincho"/>
          <w:kern w:val="22"/>
          <w:szCs w:val="22"/>
          <w:lang w:val="fr-FR"/>
        </w:rPr>
        <w:t xml:space="preserve"> </w:t>
      </w:r>
      <w:r w:rsidR="00487BF8">
        <w:rPr>
          <w:rFonts w:eastAsia="MS Mincho"/>
          <w:kern w:val="22"/>
          <w:szCs w:val="22"/>
          <w:lang w:val="fr-FR"/>
        </w:rPr>
        <w:t>rapport sur</w:t>
      </w:r>
      <w:r w:rsidR="00355D6E">
        <w:rPr>
          <w:rFonts w:eastAsia="MS Mincho"/>
          <w:kern w:val="22"/>
          <w:szCs w:val="22"/>
          <w:lang w:val="fr-FR"/>
        </w:rPr>
        <w:t xml:space="preserve"> l’Atelier sur le renforcement des capacités pour les petits États insulaires des Caraïbes en développement pour la réalisation de l’Objectif d’Aichi pour la biodiversité </w:t>
      </w:r>
      <w:r w:rsidR="00E079BB" w:rsidRPr="00B470B5">
        <w:rPr>
          <w:rFonts w:eastAsia="MS Mincho"/>
          <w:kern w:val="22"/>
          <w:szCs w:val="22"/>
          <w:lang w:val="fr-FR"/>
        </w:rPr>
        <w:t>9 (CBD/IAS/WS/2017/1/2).</w:t>
      </w:r>
    </w:p>
    <w:p w:rsidR="00487BF8" w:rsidRPr="00487BF8" w:rsidRDefault="00487BF8" w:rsidP="00487BF8">
      <w:pPr>
        <w:pStyle w:val="Para1"/>
        <w:tabs>
          <w:tab w:val="clear" w:pos="360"/>
        </w:tabs>
        <w:rPr>
          <w:rFonts w:eastAsia="MS Mincho"/>
          <w:lang w:val="fr-FR"/>
        </w:rPr>
      </w:pPr>
      <w:r w:rsidRPr="00487BF8">
        <w:rPr>
          <w:rFonts w:eastAsia="MS Mincho"/>
          <w:kern w:val="22"/>
          <w:szCs w:val="22"/>
          <w:lang w:val="fr-FR"/>
        </w:rPr>
        <w:t xml:space="preserve">Des </w:t>
      </w:r>
      <w:r>
        <w:rPr>
          <w:rFonts w:eastAsia="MS Mincho"/>
          <w:kern w:val="22"/>
          <w:szCs w:val="22"/>
          <w:lang w:val="fr-FR"/>
        </w:rPr>
        <w:t>dé</w:t>
      </w:r>
      <w:r w:rsidRPr="00487BF8">
        <w:rPr>
          <w:rFonts w:eastAsia="MS Mincho"/>
          <w:kern w:val="22"/>
          <w:szCs w:val="22"/>
          <w:lang w:val="fr-FR"/>
        </w:rPr>
        <w:t>clarations ont été faites par les représentants des pays suivants</w:t>
      </w:r>
      <w:r>
        <w:rPr>
          <w:rFonts w:eastAsia="MS Mincho"/>
          <w:kern w:val="22"/>
          <w:szCs w:val="22"/>
          <w:lang w:val="fr-FR"/>
        </w:rPr>
        <w:t xml:space="preserve"> : Allemagne, </w:t>
      </w:r>
      <w:r>
        <w:rPr>
          <w:lang w:val="fr-FR"/>
        </w:rPr>
        <w:t>Antigua-et-</w:t>
      </w:r>
      <w:r w:rsidRPr="00487BF8">
        <w:rPr>
          <w:lang w:val="fr-FR"/>
        </w:rPr>
        <w:t xml:space="preserve">Barbuda, </w:t>
      </w:r>
      <w:r>
        <w:rPr>
          <w:lang w:val="fr-FR"/>
        </w:rPr>
        <w:t>Australie, Belgique, Bolivie (État plurinational de),</w:t>
      </w:r>
      <w:r w:rsidRPr="00487BF8">
        <w:rPr>
          <w:lang w:val="fr-FR"/>
        </w:rPr>
        <w:t xml:space="preserve"> Finland</w:t>
      </w:r>
      <w:r>
        <w:rPr>
          <w:lang w:val="fr-FR"/>
        </w:rPr>
        <w:t>e</w:t>
      </w:r>
      <w:r w:rsidRPr="00487BF8">
        <w:rPr>
          <w:lang w:val="fr-FR"/>
        </w:rPr>
        <w:t xml:space="preserve">, </w:t>
      </w:r>
      <w:r>
        <w:rPr>
          <w:lang w:val="fr-FR"/>
        </w:rPr>
        <w:t>Inde, Indonésie (au nom des États membres de l’ASEAN</w:t>
      </w:r>
      <w:r w:rsidRPr="00487BF8">
        <w:rPr>
          <w:lang w:val="fr-FR"/>
        </w:rPr>
        <w:t>)</w:t>
      </w:r>
      <w:r>
        <w:rPr>
          <w:lang w:val="fr-FR"/>
        </w:rPr>
        <w:t>, Maroc, Mexique</w:t>
      </w:r>
      <w:r w:rsidRPr="00487BF8">
        <w:rPr>
          <w:lang w:val="fr-FR"/>
        </w:rPr>
        <w:t xml:space="preserve">, </w:t>
      </w:r>
      <w:r>
        <w:rPr>
          <w:lang w:val="fr-FR"/>
        </w:rPr>
        <w:t xml:space="preserve">Micronésie (États fédérés de) (également au nom des Îles </w:t>
      </w:r>
      <w:r w:rsidRPr="00487BF8">
        <w:rPr>
          <w:lang w:val="fr-FR"/>
        </w:rPr>
        <w:t>Cook</w:t>
      </w:r>
      <w:r>
        <w:rPr>
          <w:lang w:val="fr-FR"/>
        </w:rPr>
        <w:t>, des Palaos, des Îles Salomon et des Tonga</w:t>
      </w:r>
      <w:r w:rsidRPr="00487BF8">
        <w:rPr>
          <w:lang w:val="fr-FR"/>
        </w:rPr>
        <w:t xml:space="preserve">), </w:t>
      </w:r>
      <w:r>
        <w:rPr>
          <w:lang w:val="fr-FR"/>
        </w:rPr>
        <w:t>Nouvelle-Zélande, Niger, Norvège, République de Corée, Suède, Suisse et Union européenne.</w:t>
      </w:r>
    </w:p>
    <w:p w:rsidR="00487BF8" w:rsidRPr="00487BF8" w:rsidRDefault="00487BF8" w:rsidP="00487BF8">
      <w:pPr>
        <w:pStyle w:val="Para1"/>
        <w:tabs>
          <w:tab w:val="clear" w:pos="360"/>
        </w:tabs>
        <w:rPr>
          <w:rFonts w:eastAsia="MS Mincho"/>
          <w:lang w:val="fr-FR"/>
        </w:rPr>
      </w:pPr>
      <w:r>
        <w:rPr>
          <w:lang w:val="fr-FR"/>
        </w:rPr>
        <w:t>A la 6</w:t>
      </w:r>
      <w:r w:rsidRPr="00487BF8">
        <w:rPr>
          <w:vertAlign w:val="superscript"/>
          <w:lang w:val="fr-FR"/>
        </w:rPr>
        <w:t>ème</w:t>
      </w:r>
      <w:r>
        <w:rPr>
          <w:lang w:val="fr-FR"/>
        </w:rPr>
        <w:t xml:space="preserve"> séance de la réunion, le 4 juillet </w:t>
      </w:r>
      <w:r w:rsidR="002C0BEB">
        <w:rPr>
          <w:lang w:val="fr-FR"/>
        </w:rPr>
        <w:t xml:space="preserve">2018, l’Organe subsidiaire a poursuivi son examen de ce point sous la présidence de Mme </w:t>
      </w:r>
      <w:r w:rsidRPr="00487BF8">
        <w:rPr>
          <w:noProof/>
          <w:kern w:val="22"/>
          <w:szCs w:val="22"/>
          <w:lang w:val="fr-FR"/>
        </w:rPr>
        <w:t xml:space="preserve">Senka </w:t>
      </w:r>
      <w:r w:rsidRPr="00487BF8">
        <w:rPr>
          <w:noProof/>
          <w:lang w:val="fr-FR"/>
        </w:rPr>
        <w:t>Barudanović</w:t>
      </w:r>
      <w:r w:rsidRPr="00487BF8">
        <w:rPr>
          <w:kern w:val="22"/>
          <w:szCs w:val="22"/>
          <w:lang w:val="fr-FR"/>
        </w:rPr>
        <w:t xml:space="preserve"> </w:t>
      </w:r>
      <w:r w:rsidR="002C0BEB">
        <w:rPr>
          <w:kern w:val="22"/>
          <w:szCs w:val="22"/>
          <w:lang w:val="fr-FR"/>
        </w:rPr>
        <w:t>(Bosnie-Herzégovine</w:t>
      </w:r>
      <w:r w:rsidRPr="00487BF8">
        <w:rPr>
          <w:kern w:val="22"/>
          <w:szCs w:val="22"/>
          <w:lang w:val="fr-FR"/>
        </w:rPr>
        <w:t>)</w:t>
      </w:r>
      <w:r w:rsidR="002C0BEB">
        <w:rPr>
          <w:lang w:val="fr-FR"/>
        </w:rPr>
        <w:t>.</w:t>
      </w:r>
    </w:p>
    <w:p w:rsidR="00487BF8" w:rsidRPr="00487BF8" w:rsidRDefault="002C0BEB" w:rsidP="00487BF8">
      <w:pPr>
        <w:pStyle w:val="Para1"/>
        <w:tabs>
          <w:tab w:val="clear" w:pos="360"/>
        </w:tabs>
        <w:rPr>
          <w:kern w:val="22"/>
          <w:szCs w:val="22"/>
          <w:lang w:val="fr-FR"/>
        </w:rPr>
      </w:pPr>
      <w:r>
        <w:rPr>
          <w:rFonts w:eastAsia="MS Mincho"/>
          <w:lang w:val="fr-FR"/>
        </w:rPr>
        <w:t xml:space="preserve">Des déclarations ont été faites par les représentants des pays suivant : Afrique du Sud, </w:t>
      </w:r>
      <w:r>
        <w:rPr>
          <w:noProof/>
          <w:lang w:val="fr-FR"/>
        </w:rPr>
        <w:t>Bé</w:t>
      </w:r>
      <w:r w:rsidR="00487BF8" w:rsidRPr="00487BF8">
        <w:rPr>
          <w:noProof/>
          <w:lang w:val="fr-FR"/>
        </w:rPr>
        <w:t>larus</w:t>
      </w:r>
      <w:r w:rsidR="00487BF8" w:rsidRPr="00487BF8">
        <w:rPr>
          <w:lang w:val="fr-FR"/>
        </w:rPr>
        <w:t xml:space="preserve"> </w:t>
      </w:r>
      <w:r>
        <w:rPr>
          <w:lang w:val="fr-FR"/>
        </w:rPr>
        <w:t xml:space="preserve"> </w:t>
      </w:r>
      <w:r w:rsidR="00487BF8" w:rsidRPr="00487BF8">
        <w:rPr>
          <w:lang w:val="fr-FR"/>
        </w:rPr>
        <w:t>(</w:t>
      </w:r>
      <w:r>
        <w:rPr>
          <w:rFonts w:eastAsia="MS Mincho"/>
          <w:lang w:val="fr-FR"/>
        </w:rPr>
        <w:t xml:space="preserve">au nom des pays d’Europe centrale et orientale présents), </w:t>
      </w:r>
      <w:r w:rsidR="00487BF8" w:rsidRPr="00487BF8">
        <w:rPr>
          <w:lang w:val="fr-FR"/>
        </w:rPr>
        <w:t xml:space="preserve">Canada, Costa Rica, </w:t>
      </w:r>
      <w:r w:rsidR="002C0F8D">
        <w:rPr>
          <w:lang w:val="fr-FR"/>
        </w:rPr>
        <w:t>Cuba,</w:t>
      </w:r>
      <w:r w:rsidR="00487BF8" w:rsidRPr="00487BF8">
        <w:rPr>
          <w:lang w:val="fr-FR"/>
        </w:rPr>
        <w:t xml:space="preserve"> </w:t>
      </w:r>
      <w:r>
        <w:rPr>
          <w:lang w:val="fr-FR"/>
        </w:rPr>
        <w:t>Équateur</w:t>
      </w:r>
      <w:r w:rsidR="00487BF8" w:rsidRPr="00487BF8">
        <w:rPr>
          <w:lang w:val="fr-FR"/>
        </w:rPr>
        <w:t xml:space="preserve">, </w:t>
      </w:r>
      <w:r>
        <w:rPr>
          <w:lang w:val="fr-FR"/>
        </w:rPr>
        <w:t>É</w:t>
      </w:r>
      <w:r w:rsidR="00487BF8" w:rsidRPr="00487BF8">
        <w:rPr>
          <w:lang w:val="fr-FR"/>
        </w:rPr>
        <w:t>gypt</w:t>
      </w:r>
      <w:r>
        <w:rPr>
          <w:lang w:val="fr-FR"/>
        </w:rPr>
        <w:t>e</w:t>
      </w:r>
      <w:r w:rsidR="00487BF8" w:rsidRPr="00487BF8">
        <w:rPr>
          <w:lang w:val="fr-FR"/>
        </w:rPr>
        <w:t xml:space="preserve">, </w:t>
      </w:r>
      <w:r>
        <w:rPr>
          <w:lang w:val="fr-FR"/>
        </w:rPr>
        <w:t>Éthiopie</w:t>
      </w:r>
      <w:r w:rsidR="00487BF8" w:rsidRPr="00487BF8">
        <w:rPr>
          <w:lang w:val="fr-FR"/>
        </w:rPr>
        <w:t xml:space="preserve">, France, Guatemala, </w:t>
      </w:r>
      <w:r>
        <w:rPr>
          <w:lang w:val="fr-FR"/>
        </w:rPr>
        <w:t>Italie</w:t>
      </w:r>
      <w:r w:rsidR="00487BF8" w:rsidRPr="00487BF8">
        <w:rPr>
          <w:lang w:val="fr-FR"/>
        </w:rPr>
        <w:t xml:space="preserve">, </w:t>
      </w:r>
      <w:r>
        <w:rPr>
          <w:lang w:val="fr-FR"/>
        </w:rPr>
        <w:t>Pérou</w:t>
      </w:r>
      <w:r w:rsidR="00487BF8" w:rsidRPr="00487BF8">
        <w:rPr>
          <w:lang w:val="fr-FR"/>
        </w:rPr>
        <w:t>,</w:t>
      </w:r>
      <w:r w:rsidRPr="002C0BEB">
        <w:rPr>
          <w:lang w:val="fr-FR"/>
        </w:rPr>
        <w:t xml:space="preserve"> </w:t>
      </w:r>
      <w:r>
        <w:rPr>
          <w:lang w:val="fr-FR"/>
        </w:rPr>
        <w:t>République démocratique populaire lao</w:t>
      </w:r>
      <w:r w:rsidRPr="00487BF8">
        <w:rPr>
          <w:lang w:val="fr-FR"/>
        </w:rPr>
        <w:t>,</w:t>
      </w:r>
      <w:r>
        <w:rPr>
          <w:lang w:val="fr-FR"/>
        </w:rPr>
        <w:t xml:space="preserve"> </w:t>
      </w:r>
      <w:r w:rsidR="002C0F8D">
        <w:rPr>
          <w:lang w:val="fr-FR"/>
        </w:rPr>
        <w:t>République dominicaine</w:t>
      </w:r>
      <w:r w:rsidR="002C0F8D" w:rsidRPr="00487BF8">
        <w:rPr>
          <w:lang w:val="fr-FR"/>
        </w:rPr>
        <w:t>,</w:t>
      </w:r>
      <w:r w:rsidR="002C0F8D">
        <w:rPr>
          <w:lang w:val="fr-FR"/>
        </w:rPr>
        <w:t xml:space="preserve"> </w:t>
      </w:r>
      <w:r w:rsidR="009A3088">
        <w:rPr>
          <w:lang w:val="fr-FR"/>
        </w:rPr>
        <w:t>Royaume-Uni</w:t>
      </w:r>
      <w:r>
        <w:rPr>
          <w:lang w:val="fr-FR"/>
        </w:rPr>
        <w:t>,</w:t>
      </w:r>
      <w:r w:rsidR="00487BF8" w:rsidRPr="00487BF8">
        <w:rPr>
          <w:lang w:val="fr-FR"/>
        </w:rPr>
        <w:t xml:space="preserve"> Seychelles, </w:t>
      </w:r>
      <w:r>
        <w:rPr>
          <w:lang w:val="fr-FR"/>
        </w:rPr>
        <w:t>Sou</w:t>
      </w:r>
      <w:r w:rsidR="00487BF8" w:rsidRPr="00487BF8">
        <w:rPr>
          <w:lang w:val="fr-FR"/>
        </w:rPr>
        <w:t>dan, Venezuela (</w:t>
      </w:r>
      <w:r>
        <w:rPr>
          <w:lang w:val="fr-FR"/>
        </w:rPr>
        <w:t>République bolivarienne du</w:t>
      </w:r>
      <w:r w:rsidR="00487BF8" w:rsidRPr="00487BF8">
        <w:rPr>
          <w:lang w:val="fr-FR"/>
        </w:rPr>
        <w:t>)</w:t>
      </w:r>
      <w:r w:rsidR="00487BF8" w:rsidRPr="00487BF8">
        <w:rPr>
          <w:rFonts w:eastAsia="MS Mincho"/>
          <w:lang w:val="fr-FR"/>
        </w:rPr>
        <w:t>.</w:t>
      </w:r>
    </w:p>
    <w:p w:rsidR="00487BF8" w:rsidRPr="00487BF8" w:rsidRDefault="002C0BEB" w:rsidP="00487BF8">
      <w:pPr>
        <w:pStyle w:val="Para1"/>
        <w:tabs>
          <w:tab w:val="clear" w:pos="360"/>
        </w:tabs>
        <w:rPr>
          <w:rFonts w:eastAsia="MS Mincho"/>
          <w:lang w:val="fr-FR"/>
        </w:rPr>
      </w:pPr>
      <w:r>
        <w:rPr>
          <w:lang w:val="fr-FR"/>
        </w:rPr>
        <w:t xml:space="preserve">Des représentants du </w:t>
      </w:r>
      <w:r w:rsidR="00487BF8" w:rsidRPr="00487BF8">
        <w:rPr>
          <w:lang w:val="fr-FR"/>
        </w:rPr>
        <w:t xml:space="preserve">GYBN, </w:t>
      </w:r>
      <w:r>
        <w:rPr>
          <w:lang w:val="fr-FR"/>
        </w:rPr>
        <w:t>du Forum international des peuples autochtones su</w:t>
      </w:r>
      <w:r w:rsidR="0054459B">
        <w:rPr>
          <w:lang w:val="fr-FR"/>
        </w:rPr>
        <w:t xml:space="preserve">r la biodiversité, </w:t>
      </w:r>
      <w:r>
        <w:rPr>
          <w:lang w:val="fr-FR"/>
        </w:rPr>
        <w:t xml:space="preserve">d’Island Conservation </w:t>
      </w:r>
      <w:r w:rsidR="0054459B">
        <w:rPr>
          <w:lang w:val="fr-FR"/>
        </w:rPr>
        <w:t xml:space="preserve">et de l’UICN </w:t>
      </w:r>
      <w:r>
        <w:rPr>
          <w:lang w:val="fr-FR"/>
        </w:rPr>
        <w:t>ont aussi pris la parole</w:t>
      </w:r>
      <w:r w:rsidR="00487BF8" w:rsidRPr="00487BF8">
        <w:rPr>
          <w:lang w:val="fr-FR"/>
        </w:rPr>
        <w:t>.</w:t>
      </w:r>
    </w:p>
    <w:p w:rsidR="00487BF8" w:rsidRPr="00487BF8" w:rsidRDefault="0026486A" w:rsidP="00487BF8">
      <w:pPr>
        <w:pStyle w:val="Para1"/>
        <w:tabs>
          <w:tab w:val="clear" w:pos="360"/>
        </w:tabs>
        <w:rPr>
          <w:rFonts w:eastAsia="MS Mincho"/>
          <w:lang w:val="fr-FR"/>
        </w:rPr>
      </w:pPr>
      <w:r>
        <w:rPr>
          <w:lang w:val="fr-FR"/>
        </w:rPr>
        <w:t>Après un échange de vues, la présidente a déclaré qu’elle élaborerait un texte révisé pour examen par l’Organe subsidiaire, compte tenu des points de vue exprimés oralement</w:t>
      </w:r>
      <w:r w:rsidR="00741A0A">
        <w:rPr>
          <w:lang w:val="fr-FR"/>
        </w:rPr>
        <w:t xml:space="preserve"> par les Parties ou soutenus par celles-ci</w:t>
      </w:r>
      <w:r>
        <w:rPr>
          <w:lang w:val="fr-FR"/>
        </w:rPr>
        <w:t xml:space="preserve"> et des commentaires transmis par écrit.</w:t>
      </w:r>
    </w:p>
    <w:p w:rsidR="00487BF8" w:rsidRPr="00253397" w:rsidRDefault="0054459B" w:rsidP="00487BF8">
      <w:pPr>
        <w:pStyle w:val="Para1"/>
        <w:tabs>
          <w:tab w:val="clear" w:pos="360"/>
        </w:tabs>
        <w:rPr>
          <w:rFonts w:eastAsia="MS Mincho"/>
          <w:lang w:val="fr-FR"/>
        </w:rPr>
      </w:pPr>
      <w:r w:rsidRPr="00253397">
        <w:rPr>
          <w:lang w:val="fr-FR"/>
        </w:rPr>
        <w:t xml:space="preserve"> </w:t>
      </w:r>
      <w:r w:rsidR="00253397" w:rsidRPr="00253397">
        <w:rPr>
          <w:rFonts w:eastAsia="MS Mincho"/>
          <w:lang w:val="fr-FR"/>
        </w:rPr>
        <w:t>A la</w:t>
      </w:r>
      <w:r w:rsidRPr="00253397">
        <w:rPr>
          <w:rFonts w:eastAsia="MS Mincho"/>
          <w:lang w:val="fr-FR"/>
        </w:rPr>
        <w:t xml:space="preserve"> 10</w:t>
      </w:r>
      <w:r w:rsidR="00253397" w:rsidRPr="00C94AC5">
        <w:rPr>
          <w:rFonts w:eastAsia="MS Mincho"/>
          <w:vertAlign w:val="superscript"/>
          <w:lang w:val="fr-FR"/>
        </w:rPr>
        <w:t>ème</w:t>
      </w:r>
      <w:r w:rsidR="00C94AC5">
        <w:rPr>
          <w:rFonts w:eastAsia="MS Mincho"/>
          <w:lang w:val="fr-FR"/>
        </w:rPr>
        <w:t xml:space="preserve"> </w:t>
      </w:r>
      <w:r w:rsidR="002F102A" w:rsidRPr="00253397">
        <w:rPr>
          <w:rFonts w:eastAsia="MS Mincho"/>
          <w:lang w:val="fr-FR"/>
        </w:rPr>
        <w:t>séance de la réunion</w:t>
      </w:r>
      <w:r w:rsidR="00253397" w:rsidRPr="00253397">
        <w:rPr>
          <w:rFonts w:eastAsia="MS Mincho"/>
          <w:lang w:val="fr-FR"/>
        </w:rPr>
        <w:t>, le 6 juillet</w:t>
      </w:r>
      <w:r w:rsidRPr="00253397">
        <w:rPr>
          <w:rFonts w:eastAsia="MS Mincho"/>
          <w:lang w:val="fr-FR"/>
        </w:rPr>
        <w:t xml:space="preserve"> 2018, </w:t>
      </w:r>
      <w:r w:rsidR="00253397" w:rsidRPr="00253397">
        <w:rPr>
          <w:rFonts w:eastAsia="MS Mincho"/>
          <w:lang w:val="fr-FR"/>
        </w:rPr>
        <w:t>l’Organe subsidiaire, présidé par</w:t>
      </w:r>
      <w:r w:rsidRPr="00253397">
        <w:rPr>
          <w:rFonts w:eastAsia="MS Mincho"/>
          <w:lang w:val="fr-FR"/>
        </w:rPr>
        <w:t xml:space="preserve"> </w:t>
      </w:r>
      <w:r w:rsidR="00253397" w:rsidRPr="00253397">
        <w:rPr>
          <w:lang w:val="fr-FR"/>
        </w:rPr>
        <w:t>Mme</w:t>
      </w:r>
      <w:r w:rsidRPr="00253397">
        <w:rPr>
          <w:lang w:val="fr-FR"/>
        </w:rPr>
        <w:t xml:space="preserve"> </w:t>
      </w:r>
      <w:r w:rsidR="00253397">
        <w:rPr>
          <w:lang w:val="fr-FR"/>
        </w:rPr>
        <w:t> </w:t>
      </w:r>
      <w:r w:rsidRPr="00253397">
        <w:rPr>
          <w:lang w:val="fr-FR"/>
        </w:rPr>
        <w:t>Theresa Mundita Lim (Philippines),</w:t>
      </w:r>
      <w:r w:rsidRPr="00253397">
        <w:rPr>
          <w:rFonts w:eastAsia="MS Mincho"/>
          <w:lang w:val="fr-FR"/>
        </w:rPr>
        <w:t xml:space="preserve"> </w:t>
      </w:r>
      <w:r w:rsidR="00253397">
        <w:rPr>
          <w:rFonts w:eastAsia="MS Mincho"/>
          <w:lang w:val="fr-FR"/>
        </w:rPr>
        <w:t>a examiné le texte révisé remis par la présidente</w:t>
      </w:r>
      <w:r w:rsidRPr="00253397">
        <w:rPr>
          <w:rFonts w:eastAsia="MS Mincho"/>
          <w:lang w:val="fr-FR"/>
        </w:rPr>
        <w:t xml:space="preserve">. </w:t>
      </w:r>
      <w:r w:rsidR="00253397" w:rsidRPr="00253397">
        <w:rPr>
          <w:rFonts w:eastAsia="MS Mincho"/>
          <w:lang w:val="fr-FR"/>
        </w:rPr>
        <w:t>Après un échange de vues</w:t>
      </w:r>
      <w:r w:rsidRPr="00253397">
        <w:rPr>
          <w:rFonts w:eastAsia="MS Mincho"/>
          <w:lang w:val="fr-FR"/>
        </w:rPr>
        <w:t xml:space="preserve">, </w:t>
      </w:r>
      <w:r w:rsidR="00253397" w:rsidRPr="00253397">
        <w:rPr>
          <w:rFonts w:eastAsia="MS Mincho"/>
          <w:lang w:val="fr-FR"/>
        </w:rPr>
        <w:t>le projet de recommandation révisé, tel que modifié oralement,</w:t>
      </w:r>
      <w:r w:rsidRPr="00253397">
        <w:rPr>
          <w:rFonts w:eastAsia="MS Mincho"/>
          <w:lang w:val="fr-FR"/>
        </w:rPr>
        <w:t xml:space="preserve"> </w:t>
      </w:r>
      <w:r w:rsidR="00253397">
        <w:rPr>
          <w:rFonts w:eastAsia="MS Mincho"/>
          <w:lang w:val="fr-FR"/>
        </w:rPr>
        <w:t xml:space="preserve">a été approuvé aux fins d’adoption officielle par l’Organe subsidiaire comme projet de recommandation </w:t>
      </w:r>
      <w:r w:rsidRPr="00253397">
        <w:rPr>
          <w:rFonts w:eastAsia="MS Mincho"/>
          <w:lang w:val="fr-FR"/>
        </w:rPr>
        <w:t>CBD/SBSTTA/22/L.4.</w:t>
      </w:r>
    </w:p>
    <w:p w:rsidR="0054459B" w:rsidRPr="002F102A" w:rsidRDefault="002F102A" w:rsidP="00487BF8">
      <w:pPr>
        <w:pStyle w:val="Para1"/>
        <w:tabs>
          <w:tab w:val="clear" w:pos="360"/>
        </w:tabs>
        <w:rPr>
          <w:rFonts w:eastAsia="MS Mincho"/>
          <w:lang w:val="fr-FR"/>
        </w:rPr>
      </w:pPr>
      <w:r w:rsidRPr="002F102A">
        <w:rPr>
          <w:rFonts w:eastAsia="MS Mincho"/>
          <w:lang w:val="fr-FR"/>
        </w:rPr>
        <w:lastRenderedPageBreak/>
        <w:t>A la 13</w:t>
      </w:r>
      <w:r w:rsidRPr="00C94AC5">
        <w:rPr>
          <w:rFonts w:eastAsia="MS Mincho"/>
          <w:vertAlign w:val="superscript"/>
          <w:lang w:val="fr-FR"/>
        </w:rPr>
        <w:t>ème</w:t>
      </w:r>
      <w:r w:rsidRPr="002F102A">
        <w:rPr>
          <w:rFonts w:eastAsia="MS Mincho"/>
          <w:lang w:val="fr-FR"/>
        </w:rPr>
        <w:t xml:space="preserve"> séance de la réunion</w:t>
      </w:r>
      <w:r w:rsidR="0054459B" w:rsidRPr="002F102A">
        <w:rPr>
          <w:rFonts w:eastAsia="MS Mincho"/>
          <w:lang w:val="fr-FR"/>
        </w:rPr>
        <w:t xml:space="preserve">, </w:t>
      </w:r>
      <w:r w:rsidRPr="002F102A">
        <w:rPr>
          <w:rFonts w:eastAsia="MS Mincho"/>
          <w:lang w:val="fr-FR"/>
        </w:rPr>
        <w:t>le 7 juillet</w:t>
      </w:r>
      <w:r w:rsidR="0054459B" w:rsidRPr="002F102A">
        <w:rPr>
          <w:rFonts w:eastAsia="MS Mincho"/>
          <w:lang w:val="fr-FR"/>
        </w:rPr>
        <w:t xml:space="preserve"> 2018, </w:t>
      </w:r>
      <w:r w:rsidRPr="002F102A">
        <w:rPr>
          <w:rFonts w:eastAsia="MS Mincho"/>
          <w:lang w:val="fr-FR"/>
        </w:rPr>
        <w:t>l’Organe subsidiaire a adopté</w:t>
      </w:r>
      <w:r w:rsidR="0054459B" w:rsidRPr="002F102A">
        <w:rPr>
          <w:rFonts w:eastAsia="MS Mincho"/>
          <w:lang w:val="fr-FR"/>
        </w:rPr>
        <w:t xml:space="preserve"> CBD/SBSTTA/22/L.4, </w:t>
      </w:r>
      <w:r w:rsidRPr="002F102A">
        <w:rPr>
          <w:rFonts w:eastAsia="MS Mincho"/>
          <w:lang w:val="fr-FR"/>
        </w:rPr>
        <w:t>tel que modifié oralement, comme recommandation</w:t>
      </w:r>
      <w:r w:rsidR="0054459B" w:rsidRPr="002F102A">
        <w:rPr>
          <w:rFonts w:eastAsia="MS Mincho"/>
          <w:lang w:val="fr-FR"/>
        </w:rPr>
        <w:t xml:space="preserve"> 22/8. </w:t>
      </w:r>
      <w:r w:rsidRPr="002F102A">
        <w:rPr>
          <w:rFonts w:eastAsia="MS Mincho"/>
          <w:lang w:val="fr-FR"/>
        </w:rPr>
        <w:t>Le texte de la recommandation, tel qu’adopté, figure dans la partie I du présent rapport</w:t>
      </w:r>
      <w:r w:rsidR="0054459B" w:rsidRPr="002F102A">
        <w:rPr>
          <w:rFonts w:eastAsia="MS Mincho"/>
          <w:lang w:val="fr-FR"/>
        </w:rPr>
        <w:t>.</w:t>
      </w:r>
    </w:p>
    <w:p w:rsidR="00816AD7" w:rsidRPr="00B470B5" w:rsidRDefault="002942AC" w:rsidP="002942AC">
      <w:pPr>
        <w:pStyle w:val="Heading1"/>
        <w:rPr>
          <w:lang w:val="fr-FR"/>
        </w:rPr>
      </w:pPr>
      <w:bookmarkStart w:id="487" w:name="_Toc525904300"/>
      <w:bookmarkStart w:id="488" w:name="_Toc525904459"/>
      <w:bookmarkStart w:id="489" w:name="_Toc525904703"/>
      <w:r w:rsidRPr="00B470B5">
        <w:rPr>
          <w:lang w:val="fr-FR"/>
        </w:rPr>
        <w:t>point 11.</w:t>
      </w:r>
      <w:r w:rsidRPr="00B470B5">
        <w:rPr>
          <w:lang w:val="fr-FR"/>
        </w:rPr>
        <w:tab/>
        <w:t>CONSERVATION et utilisation durable des pollinisateurs</w:t>
      </w:r>
      <w:bookmarkEnd w:id="487"/>
      <w:bookmarkEnd w:id="488"/>
      <w:bookmarkEnd w:id="489"/>
    </w:p>
    <w:p w:rsidR="009065E1" w:rsidRPr="00B93197" w:rsidRDefault="00355D6E" w:rsidP="00B8674B">
      <w:pPr>
        <w:pStyle w:val="Para1"/>
        <w:tabs>
          <w:tab w:val="clear" w:pos="360"/>
        </w:tabs>
        <w:rPr>
          <w:rFonts w:eastAsia="MS Mincho"/>
          <w:lang w:val="fr-FR"/>
        </w:rPr>
      </w:pPr>
      <w:r w:rsidRPr="00B470B5">
        <w:rPr>
          <w:lang w:val="fr-FR"/>
        </w:rPr>
        <w:t xml:space="preserve">À la </w:t>
      </w:r>
      <w:r w:rsidR="00B93197">
        <w:rPr>
          <w:kern w:val="22"/>
          <w:szCs w:val="22"/>
          <w:lang w:val="fr-FR"/>
        </w:rPr>
        <w:t>6</w:t>
      </w:r>
      <w:r w:rsidR="00B93197" w:rsidRPr="00B93197">
        <w:rPr>
          <w:kern w:val="22"/>
          <w:szCs w:val="22"/>
          <w:vertAlign w:val="superscript"/>
          <w:lang w:val="fr-FR"/>
        </w:rPr>
        <w:t>ème</w:t>
      </w:r>
      <w:r w:rsidRPr="00B470B5">
        <w:rPr>
          <w:vertAlign w:val="superscript"/>
          <w:lang w:val="fr-FR"/>
        </w:rPr>
        <w:t xml:space="preserve"> </w:t>
      </w:r>
      <w:r w:rsidRPr="00B470B5">
        <w:rPr>
          <w:lang w:val="fr-FR"/>
        </w:rPr>
        <w:t xml:space="preserve">séance de la réunion, le </w:t>
      </w:r>
      <w:r w:rsidR="00B93197">
        <w:rPr>
          <w:kern w:val="22"/>
          <w:szCs w:val="22"/>
          <w:lang w:val="fr-FR"/>
        </w:rPr>
        <w:t>4 juillet 2018</w:t>
      </w:r>
      <w:r w:rsidRPr="00B470B5">
        <w:rPr>
          <w:lang w:val="fr-FR"/>
        </w:rPr>
        <w:t xml:space="preserve">, </w:t>
      </w:r>
      <w:r w:rsidRPr="00B470B5">
        <w:rPr>
          <w:kern w:val="22"/>
          <w:szCs w:val="22"/>
          <w:lang w:val="fr-FR"/>
        </w:rPr>
        <w:t>l’Organe subsidiaire a abordé le point</w:t>
      </w:r>
      <w:r w:rsidRPr="00B470B5">
        <w:rPr>
          <w:lang w:val="fr-FR"/>
        </w:rPr>
        <w:t xml:space="preserve"> </w:t>
      </w:r>
      <w:r>
        <w:rPr>
          <w:lang w:val="fr-FR"/>
        </w:rPr>
        <w:t>11</w:t>
      </w:r>
      <w:r w:rsidR="00B93197">
        <w:rPr>
          <w:lang w:val="fr-FR"/>
        </w:rPr>
        <w:t xml:space="preserve"> de l’ordre du jour, sous la présidence de Mme </w:t>
      </w:r>
      <w:r w:rsidR="00B93197" w:rsidRPr="00487BF8">
        <w:rPr>
          <w:noProof/>
          <w:kern w:val="22"/>
          <w:szCs w:val="22"/>
          <w:lang w:val="fr-FR"/>
        </w:rPr>
        <w:t xml:space="preserve">Senka </w:t>
      </w:r>
      <w:r w:rsidR="00B93197" w:rsidRPr="00487BF8">
        <w:rPr>
          <w:noProof/>
          <w:lang w:val="fr-FR"/>
        </w:rPr>
        <w:t>Barudanović</w:t>
      </w:r>
      <w:r w:rsidR="0054459B">
        <w:rPr>
          <w:noProof/>
          <w:lang w:val="fr-FR"/>
        </w:rPr>
        <w:t xml:space="preserve"> (Bosnie-et-Herzégovine)</w:t>
      </w:r>
      <w:r w:rsidR="00B93197">
        <w:rPr>
          <w:lang w:val="fr-FR"/>
        </w:rPr>
        <w:t xml:space="preserve">. </w:t>
      </w:r>
      <w:r w:rsidRPr="00B470B5">
        <w:rPr>
          <w:kern w:val="22"/>
          <w:szCs w:val="22"/>
          <w:lang w:val="fr-FR"/>
        </w:rPr>
        <w:t>Il était saisi pour ce faire d’une note de la Secrétaire exécutive sur</w:t>
      </w:r>
      <w:r w:rsidR="00BD2471">
        <w:rPr>
          <w:kern w:val="22"/>
          <w:szCs w:val="22"/>
          <w:lang w:val="fr-FR"/>
        </w:rPr>
        <w:t xml:space="preserve"> la conservation et l’utilisation durable  des pollinisateurs (CBD/SBSTTA/22/10) et de documents d’information, notamment l’étude mondiale sur les abeilles mellifères et d’autres pollinisateurs</w:t>
      </w:r>
      <w:r w:rsidR="006A1007" w:rsidRPr="00B470B5">
        <w:rPr>
          <w:kern w:val="22"/>
          <w:szCs w:val="22"/>
          <w:lang w:val="fr-FR"/>
        </w:rPr>
        <w:t xml:space="preserve"> </w:t>
      </w:r>
      <w:r w:rsidR="006A1007" w:rsidRPr="00B470B5">
        <w:rPr>
          <w:lang w:val="fr-FR"/>
        </w:rPr>
        <w:t>(</w:t>
      </w:r>
      <w:r w:rsidR="006A1007" w:rsidRPr="00B470B5">
        <w:rPr>
          <w:rFonts w:eastAsia="MS Mincho"/>
          <w:lang w:val="fr-FR"/>
        </w:rPr>
        <w:t>CBD/SBSTTA/22/INF/</w:t>
      </w:r>
      <w:r w:rsidR="006A1007" w:rsidRPr="00B470B5">
        <w:rPr>
          <w:lang w:val="fr-FR"/>
        </w:rPr>
        <w:t>16</w:t>
      </w:r>
      <w:r w:rsidR="00BD2471">
        <w:rPr>
          <w:lang w:val="fr-FR"/>
        </w:rPr>
        <w:t xml:space="preserve">), </w:t>
      </w:r>
      <w:r w:rsidR="00B93197">
        <w:rPr>
          <w:lang w:val="fr-FR"/>
        </w:rPr>
        <w:t xml:space="preserve">les initiatives et activités pertinentes pour promouvoir la conservation et l’utilisation durable des pollinisateurs </w:t>
      </w:r>
      <w:r w:rsidR="00B93197" w:rsidRPr="00B470B5">
        <w:rPr>
          <w:lang w:val="fr-FR"/>
        </w:rPr>
        <w:t>(</w:t>
      </w:r>
      <w:r w:rsidR="00B93197" w:rsidRPr="00B470B5">
        <w:rPr>
          <w:rFonts w:eastAsia="MS Mincho"/>
          <w:lang w:val="fr-FR"/>
        </w:rPr>
        <w:t>CBD/SBSTTA/22/INF/</w:t>
      </w:r>
      <w:r w:rsidR="00B93197">
        <w:rPr>
          <w:lang w:val="fr-FR"/>
        </w:rPr>
        <w:t xml:space="preserve">19) ; </w:t>
      </w:r>
      <w:r w:rsidR="00BD2471">
        <w:rPr>
          <w:lang w:val="fr-FR"/>
        </w:rPr>
        <w:t xml:space="preserve">des orientations et outils de soutien pour la mise en œuvre de l’initiative sur la conservation et l’utilisation durable des pollinisateurs </w:t>
      </w:r>
      <w:r w:rsidR="006A1007" w:rsidRPr="00B470B5">
        <w:rPr>
          <w:lang w:val="fr-FR"/>
        </w:rPr>
        <w:t>(</w:t>
      </w:r>
      <w:r w:rsidR="006A1007" w:rsidRPr="00B470B5">
        <w:rPr>
          <w:rFonts w:eastAsia="MS Mincho"/>
          <w:lang w:val="fr-FR"/>
        </w:rPr>
        <w:t>CBD/SBSTTA/22/INF/</w:t>
      </w:r>
      <w:r w:rsidR="0054459B">
        <w:rPr>
          <w:lang w:val="fr-FR"/>
        </w:rPr>
        <w:t xml:space="preserve">20) ; </w:t>
      </w:r>
      <w:r w:rsidR="00B93197">
        <w:rPr>
          <w:lang w:val="fr-FR"/>
        </w:rPr>
        <w:t>l’</w:t>
      </w:r>
      <w:r w:rsidR="00BD2471">
        <w:rPr>
          <w:lang w:val="fr-FR"/>
        </w:rPr>
        <w:t xml:space="preserve">examen des pollinisateurs et de la pollinisations présentant un intérêt pour la conservation et l’utilisation durable de la biodiversité dans tous les écosystèmes, au-delà de leur rôle dans l’agriculture et la production alimentaire </w:t>
      </w:r>
      <w:r w:rsidR="006A1007" w:rsidRPr="00B470B5">
        <w:rPr>
          <w:kern w:val="22"/>
          <w:szCs w:val="22"/>
          <w:lang w:val="fr-FR"/>
        </w:rPr>
        <w:t>(</w:t>
      </w:r>
      <w:r w:rsidR="006A1007" w:rsidRPr="00B470B5">
        <w:rPr>
          <w:rFonts w:eastAsia="MS Mincho"/>
          <w:lang w:val="fr-FR"/>
        </w:rPr>
        <w:t>CBD/SBSTTA/22/INF/</w:t>
      </w:r>
      <w:r w:rsidR="0054459B">
        <w:rPr>
          <w:kern w:val="22"/>
          <w:szCs w:val="22"/>
          <w:lang w:val="fr-FR"/>
        </w:rPr>
        <w:t>21) ;</w:t>
      </w:r>
      <w:r w:rsidR="006A1007" w:rsidRPr="00B470B5">
        <w:rPr>
          <w:kern w:val="22"/>
          <w:szCs w:val="22"/>
          <w:lang w:val="fr-FR"/>
        </w:rPr>
        <w:t xml:space="preserve"> </w:t>
      </w:r>
      <w:r w:rsidR="0054459B">
        <w:rPr>
          <w:kern w:val="22"/>
          <w:szCs w:val="22"/>
          <w:lang w:val="fr-FR"/>
        </w:rPr>
        <w:t>et l’I</w:t>
      </w:r>
      <w:r w:rsidR="00BD2471">
        <w:rPr>
          <w:kern w:val="22"/>
          <w:szCs w:val="22"/>
          <w:lang w:val="fr-FR"/>
        </w:rPr>
        <w:t xml:space="preserve">dentification et la mise à l’échelle </w:t>
      </w:r>
      <w:r w:rsidR="00021469">
        <w:rPr>
          <w:lang w:val="fr-FR"/>
        </w:rPr>
        <w:t>de solutions locales pour la réalisation des objectifs m</w:t>
      </w:r>
      <w:r w:rsidR="0054459B">
        <w:rPr>
          <w:lang w:val="fr-FR"/>
        </w:rPr>
        <w:t>ondiaux :</w:t>
      </w:r>
      <w:r w:rsidR="00741A0A">
        <w:rPr>
          <w:lang w:val="fr-FR"/>
        </w:rPr>
        <w:t xml:space="preserve"> l’initiative Panorama</w:t>
      </w:r>
      <w:r w:rsidR="00021469">
        <w:rPr>
          <w:lang w:val="fr-FR"/>
        </w:rPr>
        <w:t xml:space="preserve"> – solutions pour une planète saine</w:t>
      </w:r>
      <w:r w:rsidR="00021469" w:rsidRPr="00B470B5">
        <w:rPr>
          <w:kern w:val="22"/>
          <w:szCs w:val="22"/>
          <w:lang w:val="fr-FR"/>
        </w:rPr>
        <w:t xml:space="preserve"> </w:t>
      </w:r>
      <w:r w:rsidR="006A1007" w:rsidRPr="00B470B5">
        <w:rPr>
          <w:kern w:val="22"/>
          <w:szCs w:val="22"/>
          <w:lang w:val="fr-FR"/>
        </w:rPr>
        <w:t>(</w:t>
      </w:r>
      <w:r w:rsidR="006A1007" w:rsidRPr="00B470B5">
        <w:rPr>
          <w:rFonts w:eastAsia="MS Mincho"/>
          <w:lang w:val="fr-FR"/>
        </w:rPr>
        <w:t>CBD/SBSTTA/22/INF/</w:t>
      </w:r>
      <w:r w:rsidR="006A1007" w:rsidRPr="00B470B5">
        <w:rPr>
          <w:kern w:val="22"/>
          <w:szCs w:val="22"/>
          <w:lang w:val="fr-FR"/>
        </w:rPr>
        <w:t>26).</w:t>
      </w:r>
    </w:p>
    <w:p w:rsidR="00B93197" w:rsidRPr="00B93197" w:rsidRDefault="00B93197" w:rsidP="00B93197">
      <w:pPr>
        <w:pStyle w:val="Para1"/>
        <w:tabs>
          <w:tab w:val="clear" w:pos="360"/>
        </w:tabs>
        <w:rPr>
          <w:rFonts w:eastAsia="MS Mincho"/>
          <w:lang w:val="fr-FR"/>
        </w:rPr>
      </w:pPr>
      <w:r w:rsidRPr="00B93197">
        <w:rPr>
          <w:rFonts w:eastAsia="MS Mincho"/>
          <w:lang w:val="fr-FR"/>
        </w:rPr>
        <w:t>Des d</w:t>
      </w:r>
      <w:r w:rsidR="00F67E8A">
        <w:rPr>
          <w:rFonts w:eastAsia="MS Mincho"/>
          <w:lang w:val="fr-FR"/>
        </w:rPr>
        <w:t xml:space="preserve">éclarations ont été faites par les représentants des pays suivants : </w:t>
      </w:r>
      <w:r w:rsidR="00696F6C">
        <w:rPr>
          <w:rFonts w:eastAsia="MS Mincho"/>
          <w:lang w:val="fr-FR"/>
        </w:rPr>
        <w:t xml:space="preserve">Afrique du Sud, </w:t>
      </w:r>
      <w:r w:rsidR="00F67E8A">
        <w:rPr>
          <w:rFonts w:eastAsia="MS Mincho"/>
          <w:lang w:val="fr-FR"/>
        </w:rPr>
        <w:t>Argentine, Belgique, Bolivie</w:t>
      </w:r>
      <w:r w:rsidRPr="00B93197">
        <w:rPr>
          <w:rFonts w:eastAsia="MS Mincho"/>
          <w:lang w:val="fr-FR"/>
        </w:rPr>
        <w:t xml:space="preserve"> (</w:t>
      </w:r>
      <w:r w:rsidR="00F67E8A">
        <w:rPr>
          <w:rFonts w:eastAsia="MS Mincho"/>
          <w:lang w:val="fr-FR"/>
        </w:rPr>
        <w:t>É</w:t>
      </w:r>
      <w:r w:rsidR="00696F6C">
        <w:rPr>
          <w:rFonts w:eastAsia="MS Mincho"/>
          <w:lang w:val="fr-FR"/>
        </w:rPr>
        <w:t>tat plurinational de), Brés</w:t>
      </w:r>
      <w:r w:rsidRPr="00B93197">
        <w:rPr>
          <w:rFonts w:eastAsia="MS Mincho"/>
          <w:lang w:val="fr-FR"/>
        </w:rPr>
        <w:t>il, Canada</w:t>
      </w:r>
      <w:r w:rsidR="00696F6C">
        <w:rPr>
          <w:rFonts w:eastAsia="MS Mincho"/>
          <w:lang w:val="fr-FR"/>
        </w:rPr>
        <w:t xml:space="preserve">, Costa Rica, République dominicaine, Équateur, </w:t>
      </w:r>
      <w:r w:rsidRPr="00B93197">
        <w:rPr>
          <w:rFonts w:eastAsia="MS Mincho"/>
          <w:lang w:val="fr-FR"/>
        </w:rPr>
        <w:t>Finland</w:t>
      </w:r>
      <w:r w:rsidR="00696F6C">
        <w:rPr>
          <w:rFonts w:eastAsia="MS Mincho"/>
          <w:lang w:val="fr-FR"/>
        </w:rPr>
        <w:t>e</w:t>
      </w:r>
      <w:r w:rsidRPr="00B93197">
        <w:rPr>
          <w:rFonts w:eastAsia="MS Mincho"/>
          <w:lang w:val="fr-FR"/>
        </w:rPr>
        <w:t xml:space="preserve">, France, Guatemala,  </w:t>
      </w:r>
      <w:r w:rsidR="00696F6C">
        <w:rPr>
          <w:rFonts w:eastAsia="MS Mincho"/>
          <w:lang w:val="fr-FR"/>
        </w:rPr>
        <w:t>Inde, Indonésie, Malawi, Malaisie</w:t>
      </w:r>
      <w:r w:rsidRPr="00B93197">
        <w:rPr>
          <w:rFonts w:eastAsia="MS Mincho"/>
          <w:lang w:val="fr-FR"/>
        </w:rPr>
        <w:t xml:space="preserve">, </w:t>
      </w:r>
      <w:r w:rsidR="00696F6C">
        <w:rPr>
          <w:rFonts w:eastAsia="MS Mincho"/>
          <w:lang w:val="fr-FR"/>
        </w:rPr>
        <w:t>Maroc, Mexique, Nouvelle-Zélande, Norvège</w:t>
      </w:r>
      <w:r w:rsidRPr="00B93197">
        <w:rPr>
          <w:rFonts w:eastAsia="MS Mincho"/>
          <w:lang w:val="fr-FR"/>
        </w:rPr>
        <w:t xml:space="preserve">, </w:t>
      </w:r>
      <w:r w:rsidR="00696F6C">
        <w:rPr>
          <w:rFonts w:eastAsia="MS Mincho"/>
          <w:lang w:val="fr-FR"/>
        </w:rPr>
        <w:t>Pays-Bas, Pérou</w:t>
      </w:r>
      <w:r w:rsidRPr="00B93197">
        <w:rPr>
          <w:rFonts w:eastAsia="MS Mincho"/>
          <w:lang w:val="fr-FR"/>
        </w:rPr>
        <w:t>, Philippines (</w:t>
      </w:r>
      <w:r w:rsidR="00696F6C">
        <w:rPr>
          <w:rFonts w:eastAsia="MS Mincho"/>
          <w:lang w:val="fr-FR"/>
        </w:rPr>
        <w:t>au nom des États membres de l’ASEAN</w:t>
      </w:r>
      <w:r w:rsidRPr="00B93197">
        <w:rPr>
          <w:rFonts w:eastAsia="MS Mincho"/>
          <w:lang w:val="fr-FR"/>
        </w:rPr>
        <w:t>), Saint</w:t>
      </w:r>
      <w:r w:rsidR="00696F6C">
        <w:rPr>
          <w:rFonts w:eastAsia="MS Mincho"/>
          <w:lang w:val="fr-FR"/>
        </w:rPr>
        <w:t>e-Lucie, Suisse</w:t>
      </w:r>
      <w:r w:rsidRPr="00B93197">
        <w:rPr>
          <w:rFonts w:eastAsia="MS Mincho"/>
          <w:lang w:val="fr-FR"/>
        </w:rPr>
        <w:t xml:space="preserve">, </w:t>
      </w:r>
      <w:r w:rsidR="00696F6C">
        <w:rPr>
          <w:lang w:val="fr-FR"/>
        </w:rPr>
        <w:t>Turkmé</w:t>
      </w:r>
      <w:r w:rsidRPr="00B93197">
        <w:rPr>
          <w:lang w:val="fr-FR"/>
        </w:rPr>
        <w:t>nistan (</w:t>
      </w:r>
      <w:r w:rsidR="00696F6C">
        <w:rPr>
          <w:rFonts w:eastAsia="MS Mincho"/>
          <w:lang w:val="fr-FR"/>
        </w:rPr>
        <w:t>au nom des pays d’Europe centrale et orientale présents)</w:t>
      </w:r>
      <w:r w:rsidRPr="00B93197">
        <w:rPr>
          <w:rFonts w:eastAsia="MS Mincho"/>
          <w:lang w:val="fr-FR"/>
        </w:rPr>
        <w:t>,</w:t>
      </w:r>
      <w:r w:rsidR="00696F6C">
        <w:rPr>
          <w:rFonts w:eastAsia="MS Mincho"/>
          <w:lang w:val="fr-FR"/>
        </w:rPr>
        <w:t xml:space="preserve"> Union européenne</w:t>
      </w:r>
      <w:r w:rsidRPr="00B93197">
        <w:rPr>
          <w:rFonts w:eastAsia="MS Mincho"/>
          <w:lang w:val="fr-FR"/>
        </w:rPr>
        <w:t xml:space="preserve"> </w:t>
      </w:r>
      <w:r w:rsidR="00696F6C">
        <w:rPr>
          <w:rFonts w:eastAsia="MS Mincho"/>
          <w:lang w:val="fr-FR"/>
        </w:rPr>
        <w:t>et</w:t>
      </w:r>
      <w:r w:rsidRPr="00B93197">
        <w:rPr>
          <w:rFonts w:eastAsia="MS Mincho"/>
          <w:lang w:val="fr-FR"/>
        </w:rPr>
        <w:t xml:space="preserve"> </w:t>
      </w:r>
      <w:r w:rsidRPr="00B93197">
        <w:rPr>
          <w:lang w:val="fr-FR"/>
        </w:rPr>
        <w:t>V</w:t>
      </w:r>
      <w:r w:rsidR="00696F6C">
        <w:rPr>
          <w:lang w:val="fr-FR"/>
        </w:rPr>
        <w:t>enezuela (République bolivarienne du</w:t>
      </w:r>
      <w:r w:rsidRPr="00B93197">
        <w:rPr>
          <w:lang w:val="fr-FR"/>
        </w:rPr>
        <w:t>).</w:t>
      </w:r>
    </w:p>
    <w:p w:rsidR="00B93197" w:rsidRPr="0054459B" w:rsidRDefault="0054459B" w:rsidP="00B93197">
      <w:pPr>
        <w:pStyle w:val="Para1"/>
        <w:tabs>
          <w:tab w:val="clear" w:pos="360"/>
        </w:tabs>
        <w:rPr>
          <w:rFonts w:eastAsia="MS Mincho"/>
          <w:lang w:val="fr-FR"/>
        </w:rPr>
      </w:pPr>
      <w:r>
        <w:rPr>
          <w:rFonts w:eastAsia="MS Mincho"/>
          <w:lang w:val="fr-FR"/>
        </w:rPr>
        <w:t>Le représentant</w:t>
      </w:r>
      <w:r w:rsidR="00696F6C">
        <w:rPr>
          <w:rFonts w:eastAsia="MS Mincho"/>
          <w:lang w:val="fr-FR"/>
        </w:rPr>
        <w:t xml:space="preserve"> de la </w:t>
      </w:r>
      <w:r w:rsidR="00B93197" w:rsidRPr="00B93197">
        <w:rPr>
          <w:lang w:val="fr-FR"/>
        </w:rPr>
        <w:t>FAO</w:t>
      </w:r>
      <w:r>
        <w:rPr>
          <w:lang w:val="fr-FR"/>
        </w:rPr>
        <w:t xml:space="preserve"> a aussi</w:t>
      </w:r>
      <w:r w:rsidR="00696F6C">
        <w:rPr>
          <w:lang w:val="fr-FR"/>
        </w:rPr>
        <w:t xml:space="preserve"> pris la parole</w:t>
      </w:r>
      <w:r w:rsidR="00B93197" w:rsidRPr="00B93197">
        <w:rPr>
          <w:lang w:val="fr-FR"/>
        </w:rPr>
        <w:t>.</w:t>
      </w:r>
    </w:p>
    <w:p w:rsidR="0054459B" w:rsidRPr="00B93197" w:rsidRDefault="0054459B" w:rsidP="00B93197">
      <w:pPr>
        <w:pStyle w:val="Para1"/>
        <w:tabs>
          <w:tab w:val="clear" w:pos="360"/>
        </w:tabs>
        <w:rPr>
          <w:rFonts w:eastAsia="MS Mincho"/>
          <w:lang w:val="fr-FR"/>
        </w:rPr>
      </w:pPr>
      <w:r>
        <w:rPr>
          <w:lang w:val="fr-FR"/>
        </w:rPr>
        <w:t>Les représentants de l’IIFB et de l’UICN se sont exprimés également</w:t>
      </w:r>
    </w:p>
    <w:p w:rsidR="00B93197" w:rsidRPr="00253397" w:rsidRDefault="00F41633" w:rsidP="00B93197">
      <w:pPr>
        <w:pStyle w:val="Para1"/>
        <w:tabs>
          <w:tab w:val="clear" w:pos="360"/>
        </w:tabs>
        <w:rPr>
          <w:rFonts w:eastAsia="MS Mincho"/>
          <w:lang w:val="fr-FR"/>
        </w:rPr>
      </w:pPr>
      <w:r>
        <w:rPr>
          <w:lang w:val="fr-FR"/>
        </w:rPr>
        <w:t>Après un échange de vues, la présidente a déclaré qu’elle élaborerait un texte révisé pour examen par l’Organe subsidiaire, compte tenu des points de vue exprimés oralement par les Parties et soutenus par celles-ci, et des commentaires transmis par écrit.</w:t>
      </w:r>
      <w:r w:rsidR="0054459B">
        <w:rPr>
          <w:lang w:val="fr-FR"/>
        </w:rPr>
        <w:t xml:space="preserve"> </w:t>
      </w:r>
      <w:r w:rsidR="00253397">
        <w:rPr>
          <w:lang w:val="fr-FR"/>
        </w:rPr>
        <w:t>A la</w:t>
      </w:r>
      <w:r w:rsidR="0054459B" w:rsidRPr="00253397">
        <w:rPr>
          <w:lang w:val="fr-FR"/>
        </w:rPr>
        <w:t xml:space="preserve"> 10</w:t>
      </w:r>
      <w:r w:rsidR="00253397" w:rsidRPr="00253397">
        <w:rPr>
          <w:vertAlign w:val="superscript"/>
          <w:lang w:val="fr-FR"/>
        </w:rPr>
        <w:t>ème</w:t>
      </w:r>
      <w:r w:rsidR="0054459B" w:rsidRPr="00253397">
        <w:rPr>
          <w:vertAlign w:val="superscript"/>
          <w:lang w:val="fr-FR"/>
        </w:rPr>
        <w:t xml:space="preserve"> </w:t>
      </w:r>
      <w:r w:rsidR="002F102A" w:rsidRPr="00253397">
        <w:rPr>
          <w:lang w:val="fr-FR"/>
        </w:rPr>
        <w:t>séance de la réunion</w:t>
      </w:r>
      <w:r w:rsidR="0054459B" w:rsidRPr="00253397">
        <w:rPr>
          <w:lang w:val="fr-FR"/>
        </w:rPr>
        <w:t xml:space="preserve">, </w:t>
      </w:r>
      <w:r w:rsidR="00253397" w:rsidRPr="00253397">
        <w:rPr>
          <w:lang w:val="fr-FR"/>
        </w:rPr>
        <w:t>le 6 juillet</w:t>
      </w:r>
      <w:r w:rsidR="0054459B" w:rsidRPr="00253397">
        <w:rPr>
          <w:lang w:val="fr-FR"/>
        </w:rPr>
        <w:t xml:space="preserve"> 2018, </w:t>
      </w:r>
      <w:r w:rsidR="00253397" w:rsidRPr="00253397">
        <w:rPr>
          <w:lang w:val="fr-FR"/>
        </w:rPr>
        <w:t>l’Organe subsidiaire, présidé par</w:t>
      </w:r>
      <w:r w:rsidR="0054459B" w:rsidRPr="00253397">
        <w:rPr>
          <w:kern w:val="22"/>
          <w:szCs w:val="22"/>
          <w:lang w:val="fr-FR"/>
        </w:rPr>
        <w:t xml:space="preserve"> </w:t>
      </w:r>
      <w:r w:rsidR="00253397">
        <w:rPr>
          <w:lang w:val="fr-FR"/>
        </w:rPr>
        <w:t>Mme</w:t>
      </w:r>
      <w:r w:rsidR="0054459B" w:rsidRPr="00253397">
        <w:rPr>
          <w:lang w:val="fr-FR"/>
        </w:rPr>
        <w:t xml:space="preserve"> Theresa Mundita Lim (Philippines</w:t>
      </w:r>
      <w:r w:rsidR="0054459B" w:rsidRPr="00253397">
        <w:rPr>
          <w:kern w:val="22"/>
          <w:szCs w:val="22"/>
          <w:lang w:val="fr-FR"/>
        </w:rPr>
        <w:t>)</w:t>
      </w:r>
      <w:r w:rsidR="0054459B" w:rsidRPr="00253397">
        <w:rPr>
          <w:lang w:val="fr-FR"/>
        </w:rPr>
        <w:t xml:space="preserve">, </w:t>
      </w:r>
      <w:r w:rsidR="00253397">
        <w:rPr>
          <w:lang w:val="fr-FR"/>
        </w:rPr>
        <w:t>a poursuivi les débats sur ce point</w:t>
      </w:r>
      <w:r w:rsidR="0054459B" w:rsidRPr="00253397">
        <w:rPr>
          <w:lang w:val="fr-FR"/>
        </w:rPr>
        <w:t>.</w:t>
      </w:r>
    </w:p>
    <w:p w:rsidR="0054459B" w:rsidRPr="00253397" w:rsidRDefault="00253397" w:rsidP="0054459B">
      <w:pPr>
        <w:pStyle w:val="Para1"/>
        <w:rPr>
          <w:rFonts w:eastAsia="MS Mincho"/>
          <w:lang w:val="fr-FR"/>
        </w:rPr>
      </w:pPr>
      <w:r w:rsidRPr="00253397">
        <w:rPr>
          <w:rFonts w:eastAsia="MS Mincho"/>
          <w:lang w:val="fr-FR"/>
        </w:rPr>
        <w:t>Après un échange de vues</w:t>
      </w:r>
      <w:r w:rsidR="0054459B" w:rsidRPr="00253397">
        <w:rPr>
          <w:rFonts w:eastAsia="MS Mincho"/>
          <w:lang w:val="fr-FR"/>
        </w:rPr>
        <w:t xml:space="preserve">, </w:t>
      </w:r>
      <w:r w:rsidRPr="00253397">
        <w:rPr>
          <w:rFonts w:eastAsia="MS Mincho"/>
          <w:lang w:val="fr-FR"/>
        </w:rPr>
        <w:t>le projet de recommandation révisé, tel que modifié oralement,</w:t>
      </w:r>
      <w:r w:rsidR="0054459B" w:rsidRPr="00253397">
        <w:rPr>
          <w:rFonts w:eastAsia="MS Mincho"/>
          <w:lang w:val="fr-FR"/>
        </w:rPr>
        <w:t xml:space="preserve"> </w:t>
      </w:r>
      <w:r>
        <w:rPr>
          <w:rFonts w:eastAsia="MS Mincho"/>
          <w:lang w:val="fr-FR"/>
        </w:rPr>
        <w:t>a été approuvé aux fins d’adoption officielle par l’Organe subsidiaire comme projet de recommandation CB</w:t>
      </w:r>
      <w:r w:rsidR="0054459B" w:rsidRPr="00253397">
        <w:rPr>
          <w:rFonts w:eastAsia="MS Mincho"/>
          <w:lang w:val="fr-FR"/>
        </w:rPr>
        <w:t xml:space="preserve">D/SBSTTA/22/L.5. </w:t>
      </w:r>
    </w:p>
    <w:p w:rsidR="00B93197" w:rsidRPr="002F102A" w:rsidRDefault="0054459B" w:rsidP="0054459B">
      <w:pPr>
        <w:pStyle w:val="Para1"/>
        <w:tabs>
          <w:tab w:val="clear" w:pos="360"/>
        </w:tabs>
        <w:rPr>
          <w:rFonts w:eastAsia="MS Mincho"/>
          <w:lang w:val="fr-FR"/>
        </w:rPr>
      </w:pPr>
      <w:r w:rsidRPr="00253397">
        <w:rPr>
          <w:lang w:val="fr-FR"/>
        </w:rPr>
        <w:t xml:space="preserve"> </w:t>
      </w:r>
      <w:r w:rsidR="002F102A" w:rsidRPr="002F102A">
        <w:rPr>
          <w:rFonts w:eastAsia="MS Mincho"/>
          <w:lang w:val="fr-FR"/>
        </w:rPr>
        <w:t>A la 13</w:t>
      </w:r>
      <w:r w:rsidR="002F102A" w:rsidRPr="00C94AC5">
        <w:rPr>
          <w:rFonts w:eastAsia="MS Mincho"/>
          <w:vertAlign w:val="superscript"/>
          <w:lang w:val="fr-FR"/>
        </w:rPr>
        <w:t>ème</w:t>
      </w:r>
      <w:r w:rsidR="002F102A" w:rsidRPr="002F102A">
        <w:rPr>
          <w:rFonts w:eastAsia="MS Mincho"/>
          <w:lang w:val="fr-FR"/>
        </w:rPr>
        <w:t xml:space="preserve"> séance de la réunion</w:t>
      </w:r>
      <w:r w:rsidRPr="002F102A">
        <w:rPr>
          <w:rFonts w:eastAsia="MS Mincho"/>
          <w:lang w:val="fr-FR"/>
        </w:rPr>
        <w:t xml:space="preserve">, </w:t>
      </w:r>
      <w:r w:rsidR="002F102A" w:rsidRPr="002F102A">
        <w:rPr>
          <w:rFonts w:eastAsia="MS Mincho"/>
          <w:lang w:val="fr-FR"/>
        </w:rPr>
        <w:t>le 7 juillet</w:t>
      </w:r>
      <w:r w:rsidRPr="002F102A">
        <w:rPr>
          <w:rFonts w:eastAsia="MS Mincho"/>
          <w:lang w:val="fr-FR"/>
        </w:rPr>
        <w:t xml:space="preserve"> 2018, </w:t>
      </w:r>
      <w:r w:rsidR="002F102A" w:rsidRPr="002F102A">
        <w:rPr>
          <w:rFonts w:eastAsia="MS Mincho"/>
          <w:lang w:val="fr-FR"/>
        </w:rPr>
        <w:t>l’Organe subsidiaire a adopté</w:t>
      </w:r>
      <w:r w:rsidRPr="002F102A">
        <w:rPr>
          <w:rFonts w:eastAsia="MS Mincho"/>
          <w:lang w:val="fr-FR"/>
        </w:rPr>
        <w:t xml:space="preserve"> CBD/SBSTTA/22/L.5, </w:t>
      </w:r>
      <w:r w:rsidR="002F102A" w:rsidRPr="002F102A">
        <w:rPr>
          <w:rFonts w:eastAsia="MS Mincho"/>
          <w:lang w:val="fr-FR"/>
        </w:rPr>
        <w:t>tel que modifié oralement, comme recommandation</w:t>
      </w:r>
      <w:r w:rsidRPr="002F102A">
        <w:rPr>
          <w:rFonts w:eastAsia="MS Mincho"/>
          <w:lang w:val="fr-FR"/>
        </w:rPr>
        <w:t xml:space="preserve"> 22/9</w:t>
      </w:r>
      <w:r w:rsidR="00B93197" w:rsidRPr="002F102A">
        <w:rPr>
          <w:lang w:val="fr-FR"/>
        </w:rPr>
        <w:t>.</w:t>
      </w:r>
      <w:r w:rsidRPr="002F102A">
        <w:rPr>
          <w:lang w:val="fr-FR"/>
        </w:rPr>
        <w:t xml:space="preserve"> </w:t>
      </w:r>
      <w:r w:rsidR="002F102A" w:rsidRPr="002F102A">
        <w:rPr>
          <w:rFonts w:eastAsia="MS Mincho"/>
          <w:lang w:val="fr-FR"/>
        </w:rPr>
        <w:t>Le texte de la recommandation, tel qu’adopté, figure dans la partie I du présent rapport</w:t>
      </w:r>
      <w:r w:rsidRPr="002F102A">
        <w:rPr>
          <w:lang w:val="fr-FR"/>
        </w:rPr>
        <w:t>.</w:t>
      </w:r>
    </w:p>
    <w:p w:rsidR="009E6BA9" w:rsidRPr="00B93197" w:rsidRDefault="002942AC" w:rsidP="002942AC">
      <w:pPr>
        <w:pStyle w:val="Heading1"/>
        <w:ind w:left="1843" w:hanging="1134"/>
        <w:jc w:val="left"/>
        <w:rPr>
          <w:lang w:val="fr-FR"/>
        </w:rPr>
      </w:pPr>
      <w:bookmarkStart w:id="490" w:name="_Toc525904301"/>
      <w:bookmarkStart w:id="491" w:name="_Toc525904460"/>
      <w:bookmarkStart w:id="492" w:name="_Toc525904704"/>
      <w:r w:rsidRPr="00B93197">
        <w:rPr>
          <w:lang w:val="fr-FR"/>
        </w:rPr>
        <w:t>point 12.</w:t>
      </w:r>
      <w:r w:rsidRPr="00B93197">
        <w:rPr>
          <w:lang w:val="fr-FR"/>
        </w:rPr>
        <w:tab/>
        <w:t xml:space="preserve">deuxiÈme </w:t>
      </w:r>
      <w:r w:rsidRPr="00B93197">
        <w:rPr>
          <w:snapToGrid w:val="0"/>
          <w:kern w:val="22"/>
          <w:szCs w:val="22"/>
          <w:lang w:val="fr-FR"/>
        </w:rPr>
        <w:t>programme de travail de la Plateforme intergouvernementale scientifique et politique sur la biodiversité et les services écosystémiques</w:t>
      </w:r>
      <w:bookmarkEnd w:id="490"/>
      <w:bookmarkEnd w:id="491"/>
      <w:bookmarkEnd w:id="492"/>
    </w:p>
    <w:p w:rsidR="006A1007" w:rsidRPr="00D43E25" w:rsidRDefault="00021469" w:rsidP="00B8674B">
      <w:pPr>
        <w:pStyle w:val="Para1"/>
        <w:tabs>
          <w:tab w:val="clear" w:pos="360"/>
        </w:tabs>
        <w:rPr>
          <w:rFonts w:eastAsia="MS Mincho"/>
          <w:lang w:val="fr-FR"/>
        </w:rPr>
      </w:pPr>
      <w:r w:rsidRPr="00B93197">
        <w:rPr>
          <w:lang w:val="fr-FR"/>
        </w:rPr>
        <w:t xml:space="preserve">À la </w:t>
      </w:r>
      <w:r w:rsidR="00D43E25">
        <w:rPr>
          <w:kern w:val="22"/>
          <w:szCs w:val="22"/>
          <w:lang w:val="fr-FR"/>
        </w:rPr>
        <w:t>6</w:t>
      </w:r>
      <w:r w:rsidR="00D43E25" w:rsidRPr="00D43E25">
        <w:rPr>
          <w:kern w:val="22"/>
          <w:szCs w:val="22"/>
          <w:vertAlign w:val="superscript"/>
          <w:lang w:val="fr-FR"/>
        </w:rPr>
        <w:t>ème</w:t>
      </w:r>
      <w:r w:rsidRPr="00B93197">
        <w:rPr>
          <w:vertAlign w:val="superscript"/>
          <w:lang w:val="fr-FR"/>
        </w:rPr>
        <w:t xml:space="preserve"> </w:t>
      </w:r>
      <w:r w:rsidRPr="00B93197">
        <w:rPr>
          <w:lang w:val="fr-FR"/>
        </w:rPr>
        <w:t xml:space="preserve">séance de la réunion, le </w:t>
      </w:r>
      <w:r w:rsidR="00D43E25">
        <w:rPr>
          <w:kern w:val="22"/>
          <w:szCs w:val="22"/>
          <w:lang w:val="fr-FR"/>
        </w:rPr>
        <w:t>4 juillet 2018</w:t>
      </w:r>
      <w:r w:rsidRPr="00B93197">
        <w:rPr>
          <w:lang w:val="fr-FR"/>
        </w:rPr>
        <w:t xml:space="preserve">, </w:t>
      </w:r>
      <w:r w:rsidRPr="00B93197">
        <w:rPr>
          <w:kern w:val="22"/>
          <w:szCs w:val="22"/>
          <w:lang w:val="fr-FR"/>
        </w:rPr>
        <w:t>l’Organe subsidiaire a abordé le point</w:t>
      </w:r>
      <w:r w:rsidRPr="00B93197">
        <w:rPr>
          <w:lang w:val="fr-FR"/>
        </w:rPr>
        <w:t xml:space="preserve"> 12 </w:t>
      </w:r>
      <w:r w:rsidR="00D43E25">
        <w:rPr>
          <w:lang w:val="fr-FR"/>
        </w:rPr>
        <w:t xml:space="preserve">de l’ordre du jour, sous la présidence de Mme </w:t>
      </w:r>
      <w:r w:rsidR="00D43E25" w:rsidRPr="00487BF8">
        <w:rPr>
          <w:noProof/>
          <w:kern w:val="22"/>
          <w:szCs w:val="22"/>
          <w:lang w:val="fr-FR"/>
        </w:rPr>
        <w:t xml:space="preserve">Senka </w:t>
      </w:r>
      <w:r w:rsidR="00D43E25" w:rsidRPr="00487BF8">
        <w:rPr>
          <w:noProof/>
          <w:lang w:val="fr-FR"/>
        </w:rPr>
        <w:t>Barudanović</w:t>
      </w:r>
      <w:r w:rsidR="0054459B">
        <w:rPr>
          <w:noProof/>
          <w:lang w:val="fr-FR"/>
        </w:rPr>
        <w:t xml:space="preserve"> (Bosnie-Herzégovine)</w:t>
      </w:r>
      <w:r w:rsidR="00D43E25">
        <w:rPr>
          <w:lang w:val="fr-FR"/>
        </w:rPr>
        <w:t xml:space="preserve">. </w:t>
      </w:r>
      <w:r w:rsidRPr="00B93197">
        <w:rPr>
          <w:lang w:val="fr-FR"/>
        </w:rPr>
        <w:t xml:space="preserve"> </w:t>
      </w:r>
      <w:r w:rsidRPr="00B93197">
        <w:rPr>
          <w:kern w:val="22"/>
          <w:szCs w:val="22"/>
          <w:lang w:val="fr-FR"/>
        </w:rPr>
        <w:t>Il était saisi pour ce faire d’une note de la Secrétaire exécutive sur le deuxième programme de travail de l</w:t>
      </w:r>
      <w:r w:rsidR="0054459B">
        <w:rPr>
          <w:kern w:val="22"/>
          <w:szCs w:val="22"/>
          <w:lang w:val="fr-FR"/>
        </w:rPr>
        <w:t xml:space="preserve">’IPBES </w:t>
      </w:r>
      <w:r w:rsidR="006A1007" w:rsidRPr="00B93197">
        <w:rPr>
          <w:kern w:val="22"/>
          <w:szCs w:val="22"/>
          <w:lang w:val="fr-FR"/>
        </w:rPr>
        <w:t>(CBD/SBSTTA/22/11).</w:t>
      </w:r>
    </w:p>
    <w:p w:rsidR="00D43E25" w:rsidRPr="00B93197" w:rsidRDefault="00D43E25" w:rsidP="00D43E25">
      <w:pPr>
        <w:pStyle w:val="Para1"/>
        <w:tabs>
          <w:tab w:val="clear" w:pos="360"/>
        </w:tabs>
        <w:rPr>
          <w:rFonts w:eastAsia="MS Mincho"/>
          <w:lang w:val="fr-FR"/>
        </w:rPr>
      </w:pPr>
      <w:r>
        <w:rPr>
          <w:lang w:val="fr-FR"/>
        </w:rPr>
        <w:t xml:space="preserve">Sur invitation de la présidente, Mme </w:t>
      </w:r>
      <w:r w:rsidRPr="00B93197">
        <w:rPr>
          <w:lang w:val="fr-FR"/>
        </w:rPr>
        <w:t xml:space="preserve">Anne </w:t>
      </w:r>
      <w:r w:rsidRPr="00B93197">
        <w:rPr>
          <w:noProof/>
          <w:lang w:val="fr-FR"/>
        </w:rPr>
        <w:t>La</w:t>
      </w:r>
      <w:r>
        <w:rPr>
          <w:noProof/>
          <w:lang w:val="fr-FR"/>
        </w:rPr>
        <w:t>rigaurderie</w:t>
      </w:r>
      <w:r>
        <w:rPr>
          <w:lang w:val="fr-FR"/>
        </w:rPr>
        <w:t xml:space="preserve">, Secrétaire exécutive de l’IPBES, a fourni de plus amples renseignements sur l’élaboration du deuxième programme de travail de l’IPBES, qui couvrira la prochaine décennie, jusqu’en 2030. Il soutiendra les efforts déployés pour mettre en œuvre le cadre mondial de la </w:t>
      </w:r>
      <w:r w:rsidR="00EF2F71">
        <w:rPr>
          <w:lang w:val="fr-FR"/>
        </w:rPr>
        <w:t>biodiversité pour l’après-2020,</w:t>
      </w:r>
      <w:r w:rsidRPr="00B93197">
        <w:rPr>
          <w:lang w:val="fr-FR"/>
        </w:rPr>
        <w:t xml:space="preserve"> </w:t>
      </w:r>
      <w:r>
        <w:rPr>
          <w:lang w:val="fr-FR"/>
        </w:rPr>
        <w:t xml:space="preserve">le Programme de développement durable à </w:t>
      </w:r>
      <w:r>
        <w:rPr>
          <w:lang w:val="fr-FR"/>
        </w:rPr>
        <w:lastRenderedPageBreak/>
        <w:t>l’horizon 2030, y compris les Objectif</w:t>
      </w:r>
      <w:r w:rsidR="00EF2F71">
        <w:rPr>
          <w:lang w:val="fr-FR"/>
        </w:rPr>
        <w:t>s de développement durable</w:t>
      </w:r>
      <w:r>
        <w:rPr>
          <w:lang w:val="fr-FR"/>
        </w:rPr>
        <w:t xml:space="preserve">, et l’Accord de Paris sur les changements climatiques. Ce programme de travail sera glissant, c’est-à-dire </w:t>
      </w:r>
      <w:r w:rsidR="00106EB8">
        <w:rPr>
          <w:lang w:val="fr-FR"/>
        </w:rPr>
        <w:t xml:space="preserve">que ses éléments seront décidés au fur et à mesure qu’il progresse. Il consistera en deux éléments : un projet de cadre stratégique qui comprendra la mise en œuvre et l’intégration des quatre fonctions de l’IPBES, des dispositions institutionnelles et le renforcement de la mobilisation de ressources ; et le programme de travail, qui sera axé sur les sujets abordés dans les activités et les rapports de l’IPBES. L’IPBES lancera bientôt une invitation aux membres et aux observateurs qui sont autorisés à avoir une participation plus grande et aux accords multilatéraux sur l’environnement  relatifs à la biodiversité et aux services écosystémiques à présenter des demandes </w:t>
      </w:r>
      <w:r w:rsidR="001D1461">
        <w:rPr>
          <w:lang w:val="fr-FR"/>
        </w:rPr>
        <w:t>de sujets qu’ils souhaiteraient que l’IPBES examine. D’autres institutions des Nations unies et parties prenantes compétentes seront aussi invitées à présenter des propositions. L’IPBES</w:t>
      </w:r>
      <w:r w:rsidR="00F45428">
        <w:rPr>
          <w:lang w:val="fr-FR"/>
        </w:rPr>
        <w:t xml:space="preserve"> se réjouit à la per</w:t>
      </w:r>
      <w:r w:rsidR="00EF2F71">
        <w:rPr>
          <w:lang w:val="fr-FR"/>
        </w:rPr>
        <w:t>spective de recevoir des demande</w:t>
      </w:r>
      <w:r w:rsidR="00F45428">
        <w:rPr>
          <w:lang w:val="fr-FR"/>
        </w:rPr>
        <w:t xml:space="preserve">s de la Conférence des Parties </w:t>
      </w:r>
      <w:r w:rsidR="0054459B">
        <w:rPr>
          <w:lang w:val="fr-FR"/>
        </w:rPr>
        <w:t>à la Convention sur la diversité biologique</w:t>
      </w:r>
      <w:r w:rsidR="00EF2F71">
        <w:rPr>
          <w:lang w:val="fr-FR"/>
        </w:rPr>
        <w:t>, à sa quatorzième réunion</w:t>
      </w:r>
      <w:r w:rsidR="0054459B">
        <w:rPr>
          <w:lang w:val="fr-FR"/>
        </w:rPr>
        <w:t xml:space="preserve">, </w:t>
      </w:r>
      <w:r w:rsidR="00EF2F71">
        <w:rPr>
          <w:lang w:val="fr-FR"/>
        </w:rPr>
        <w:t>de sorte que l’IPBES puisse</w:t>
      </w:r>
      <w:r w:rsidR="00F45428">
        <w:rPr>
          <w:lang w:val="fr-FR"/>
        </w:rPr>
        <w:t xml:space="preserve"> fournir la base scientifique de la prise en compte du rôle de la biodiversité et assurer une politique cohérente d</w:t>
      </w:r>
      <w:r w:rsidR="00EF2F71">
        <w:rPr>
          <w:lang w:val="fr-FR"/>
        </w:rPr>
        <w:t>ans la poursuite de tous les Objectifs de développement durable</w:t>
      </w:r>
      <w:r w:rsidR="00F45428">
        <w:rPr>
          <w:lang w:val="fr-FR"/>
        </w:rPr>
        <w:t xml:space="preserve"> en ce qui concerne les synergies et les compromis relatifs à la biodiversité et les changements nécessaires pour réaliser la Vision 2050.</w:t>
      </w:r>
    </w:p>
    <w:p w:rsidR="00D43E25" w:rsidRPr="00B93197" w:rsidRDefault="001D1461" w:rsidP="001D1461">
      <w:pPr>
        <w:pStyle w:val="Para1"/>
        <w:tabs>
          <w:tab w:val="clear" w:pos="360"/>
        </w:tabs>
        <w:rPr>
          <w:rFonts w:eastAsia="MS Mincho"/>
          <w:lang w:val="fr-FR"/>
        </w:rPr>
      </w:pPr>
      <w:r>
        <w:rPr>
          <w:lang w:val="fr-FR"/>
        </w:rPr>
        <w:t>Des déclarations ont été faites par les représentants des pays suivants : Afrique du Sud, Belgique</w:t>
      </w:r>
      <w:r w:rsidR="00D43E25" w:rsidRPr="00B93197">
        <w:rPr>
          <w:lang w:val="fr-FR"/>
        </w:rPr>
        <w:t xml:space="preserve">, Canada, Costa Rica, Cuba, </w:t>
      </w:r>
      <w:r>
        <w:rPr>
          <w:lang w:val="fr-FR"/>
        </w:rPr>
        <w:t>É</w:t>
      </w:r>
      <w:r w:rsidR="00D43E25" w:rsidRPr="00B93197">
        <w:rPr>
          <w:lang w:val="fr-FR"/>
        </w:rPr>
        <w:t>gypt</w:t>
      </w:r>
      <w:r>
        <w:rPr>
          <w:lang w:val="fr-FR"/>
        </w:rPr>
        <w:t>e</w:t>
      </w:r>
      <w:r w:rsidR="00D43E25" w:rsidRPr="00B93197">
        <w:rPr>
          <w:lang w:val="fr-FR"/>
        </w:rPr>
        <w:t>, Finland</w:t>
      </w:r>
      <w:r>
        <w:rPr>
          <w:lang w:val="fr-FR"/>
        </w:rPr>
        <w:t>e</w:t>
      </w:r>
      <w:r w:rsidR="00D43E25" w:rsidRPr="00B93197">
        <w:rPr>
          <w:lang w:val="fr-FR"/>
        </w:rPr>
        <w:t>, France,</w:t>
      </w:r>
      <w:r>
        <w:rPr>
          <w:lang w:val="fr-FR"/>
        </w:rPr>
        <w:t xml:space="preserve"> Inde</w:t>
      </w:r>
      <w:r w:rsidR="00D43E25" w:rsidRPr="00B93197">
        <w:rPr>
          <w:lang w:val="fr-FR"/>
        </w:rPr>
        <w:t>, Jap</w:t>
      </w:r>
      <w:r>
        <w:rPr>
          <w:lang w:val="fr-FR"/>
        </w:rPr>
        <w:t>o</w:t>
      </w:r>
      <w:r w:rsidR="00D43E25" w:rsidRPr="00B93197">
        <w:rPr>
          <w:lang w:val="fr-FR"/>
        </w:rPr>
        <w:t xml:space="preserve">n, Maldives, </w:t>
      </w:r>
      <w:r>
        <w:rPr>
          <w:lang w:val="fr-FR"/>
        </w:rPr>
        <w:t>Maroc, Mexique,</w:t>
      </w:r>
      <w:r w:rsidR="00D43E25" w:rsidRPr="00B93197">
        <w:rPr>
          <w:lang w:val="fr-FR"/>
        </w:rPr>
        <w:t xml:space="preserve"> </w:t>
      </w:r>
      <w:r>
        <w:rPr>
          <w:lang w:val="fr-FR"/>
        </w:rPr>
        <w:t>Nouvelle-Zélande, Norvège</w:t>
      </w:r>
      <w:r w:rsidR="00D43E25" w:rsidRPr="00B93197">
        <w:rPr>
          <w:lang w:val="fr-FR"/>
        </w:rPr>
        <w:t xml:space="preserve">, </w:t>
      </w:r>
      <w:r>
        <w:rPr>
          <w:lang w:val="fr-FR"/>
        </w:rPr>
        <w:t xml:space="preserve">Pays-Bas, </w:t>
      </w:r>
      <w:r w:rsidR="002C0F8D">
        <w:rPr>
          <w:lang w:val="fr-FR"/>
        </w:rPr>
        <w:t xml:space="preserve">Philippines, </w:t>
      </w:r>
      <w:r>
        <w:rPr>
          <w:lang w:val="fr-FR"/>
        </w:rPr>
        <w:t xml:space="preserve">République de Moldova (au nom des pays d’Europe centrale et orientale présents à </w:t>
      </w:r>
      <w:r w:rsidR="009A3088">
        <w:rPr>
          <w:lang w:val="fr-FR"/>
        </w:rPr>
        <w:t>la réunion), Royaume-Uni</w:t>
      </w:r>
      <w:r>
        <w:rPr>
          <w:lang w:val="fr-FR"/>
        </w:rPr>
        <w:t>, Suède, Suisse et Union européenne</w:t>
      </w:r>
    </w:p>
    <w:p w:rsidR="00D43E25" w:rsidRPr="00B93197" w:rsidRDefault="0054459B" w:rsidP="001D1461">
      <w:pPr>
        <w:pStyle w:val="Para1"/>
        <w:tabs>
          <w:tab w:val="clear" w:pos="360"/>
        </w:tabs>
        <w:rPr>
          <w:rFonts w:eastAsia="MS Mincho"/>
          <w:lang w:val="fr-FR"/>
        </w:rPr>
      </w:pPr>
      <w:r>
        <w:rPr>
          <w:kern w:val="22"/>
          <w:szCs w:val="22"/>
          <w:lang w:val="fr-FR"/>
        </w:rPr>
        <w:t xml:space="preserve">Des représentants </w:t>
      </w:r>
      <w:r w:rsidR="001D1461">
        <w:rPr>
          <w:kern w:val="22"/>
          <w:szCs w:val="22"/>
          <w:lang w:val="fr-FR"/>
        </w:rPr>
        <w:t>de la Division des affaires maritimes et du droit de la mer du Bureau des affaires juridiques des Nations Unies</w:t>
      </w:r>
      <w:r w:rsidR="00E81B95">
        <w:rPr>
          <w:kern w:val="22"/>
          <w:szCs w:val="22"/>
          <w:lang w:val="fr-FR"/>
        </w:rPr>
        <w:t xml:space="preserve">, </w:t>
      </w:r>
      <w:r>
        <w:rPr>
          <w:kern w:val="22"/>
          <w:szCs w:val="22"/>
          <w:lang w:val="fr-FR"/>
        </w:rPr>
        <w:t xml:space="preserve">du PNUE </w:t>
      </w:r>
      <w:r w:rsidR="00E81B95">
        <w:rPr>
          <w:kern w:val="22"/>
          <w:szCs w:val="22"/>
          <w:lang w:val="fr-FR"/>
        </w:rPr>
        <w:t>et de l’UICN ont aussi pris la parole.</w:t>
      </w:r>
    </w:p>
    <w:p w:rsidR="00D43E25" w:rsidRPr="002C0F8D" w:rsidRDefault="0054459B" w:rsidP="001D1461">
      <w:pPr>
        <w:pStyle w:val="Para1"/>
        <w:tabs>
          <w:tab w:val="clear" w:pos="360"/>
        </w:tabs>
        <w:rPr>
          <w:rFonts w:eastAsia="MS Mincho"/>
          <w:lang w:val="fr-FR"/>
        </w:rPr>
      </w:pPr>
      <w:r>
        <w:rPr>
          <w:lang w:val="fr-FR"/>
        </w:rPr>
        <w:t xml:space="preserve">Les </w:t>
      </w:r>
      <w:r w:rsidR="00E81B95">
        <w:rPr>
          <w:lang w:val="fr-FR"/>
        </w:rPr>
        <w:t>représentant</w:t>
      </w:r>
      <w:r>
        <w:rPr>
          <w:lang w:val="fr-FR"/>
        </w:rPr>
        <w:t>s</w:t>
      </w:r>
      <w:r w:rsidR="00E81B95">
        <w:rPr>
          <w:lang w:val="fr-FR"/>
        </w:rPr>
        <w:t xml:space="preserve"> du Forum international des peuples autochtones sur la biodiversité</w:t>
      </w:r>
      <w:r>
        <w:rPr>
          <w:lang w:val="fr-FR"/>
        </w:rPr>
        <w:t xml:space="preserve"> et de l’UICN se sont exprimés également</w:t>
      </w:r>
      <w:r w:rsidR="00E81B95">
        <w:rPr>
          <w:lang w:val="fr-FR"/>
        </w:rPr>
        <w:t>.</w:t>
      </w:r>
    </w:p>
    <w:p w:rsidR="002C0F8D" w:rsidRPr="002C0F8D" w:rsidRDefault="002C0F8D" w:rsidP="001D1461">
      <w:pPr>
        <w:pStyle w:val="Para1"/>
        <w:tabs>
          <w:tab w:val="clear" w:pos="360"/>
        </w:tabs>
        <w:rPr>
          <w:rFonts w:eastAsia="MS Mincho"/>
          <w:lang w:val="fr-FR"/>
        </w:rPr>
      </w:pPr>
      <w:r>
        <w:rPr>
          <w:lang w:val="fr-FR"/>
        </w:rPr>
        <w:t>Après un échange de vues, la présidente a déclaré qu’elle élaborerait un texte révisé pour examen par l’Organe subsidiaire, compte tenu des points de vue exprimés oralement par les Parties ou soutenus par celles-ci et des commentaires transmis par écrit.</w:t>
      </w:r>
    </w:p>
    <w:p w:rsidR="00D43E25" w:rsidRPr="0054459B" w:rsidRDefault="002C0F8D" w:rsidP="002C0F8D">
      <w:pPr>
        <w:pStyle w:val="Para1"/>
        <w:tabs>
          <w:tab w:val="clear" w:pos="360"/>
        </w:tabs>
        <w:rPr>
          <w:rFonts w:eastAsia="MS Mincho"/>
          <w:lang w:val="fr-FR"/>
        </w:rPr>
      </w:pPr>
      <w:r>
        <w:rPr>
          <w:lang w:val="fr-FR"/>
        </w:rPr>
        <w:t>À la 11</w:t>
      </w:r>
      <w:r w:rsidRPr="00475A35">
        <w:rPr>
          <w:vertAlign w:val="superscript"/>
          <w:lang w:val="fr-FR"/>
        </w:rPr>
        <w:t>ème</w:t>
      </w:r>
      <w:r>
        <w:rPr>
          <w:lang w:val="fr-FR"/>
        </w:rPr>
        <w:t xml:space="preserve"> séance de la réunion, le 6 juillet 2018, l’Organe subsidiaire, présidé par Mme Theresa </w:t>
      </w:r>
      <w:r>
        <w:rPr>
          <w:noProof/>
          <w:lang w:val="fr-FR"/>
        </w:rPr>
        <w:t>Mundita</w:t>
      </w:r>
      <w:r>
        <w:rPr>
          <w:lang w:val="fr-FR"/>
        </w:rPr>
        <w:t xml:space="preserve"> Lim (Philippines), a examiné le projet de recommandation révisé présenté par la présidente. Après un échange de vues, le projet de recommandation révisé a été approuvé, tel qu’amendé oralement, pour adoption officielle par l’Organe subsidiaire en tant que projet de recommandation CBD/SBSTTA.22/L.3.</w:t>
      </w:r>
    </w:p>
    <w:p w:rsidR="0054459B" w:rsidRPr="002F102A" w:rsidRDefault="002F102A" w:rsidP="002C0F8D">
      <w:pPr>
        <w:pStyle w:val="Para1"/>
        <w:tabs>
          <w:tab w:val="clear" w:pos="360"/>
        </w:tabs>
        <w:rPr>
          <w:rFonts w:eastAsia="MS Mincho"/>
          <w:lang w:val="fr-FR"/>
        </w:rPr>
      </w:pPr>
      <w:r w:rsidRPr="002F102A">
        <w:rPr>
          <w:rFonts w:eastAsia="MS Mincho"/>
          <w:lang w:val="fr-FR"/>
        </w:rPr>
        <w:t>A la 13</w:t>
      </w:r>
      <w:r w:rsidRPr="002F102A">
        <w:rPr>
          <w:rFonts w:eastAsia="MS Mincho"/>
          <w:vertAlign w:val="superscript"/>
          <w:lang w:val="fr-FR"/>
        </w:rPr>
        <w:t>ème</w:t>
      </w:r>
      <w:r w:rsidRPr="002F102A">
        <w:rPr>
          <w:rFonts w:eastAsia="MS Mincho"/>
          <w:lang w:val="fr-FR"/>
        </w:rPr>
        <w:t xml:space="preserve"> séance de la réunion</w:t>
      </w:r>
      <w:r w:rsidR="0054459B" w:rsidRPr="002F102A">
        <w:rPr>
          <w:rFonts w:eastAsia="MS Mincho"/>
          <w:lang w:val="fr-FR"/>
        </w:rPr>
        <w:t xml:space="preserve">, </w:t>
      </w:r>
      <w:r w:rsidRPr="002F102A">
        <w:rPr>
          <w:rFonts w:eastAsia="MS Mincho"/>
          <w:lang w:val="fr-FR"/>
        </w:rPr>
        <w:t>le 7 juillet</w:t>
      </w:r>
      <w:r w:rsidR="0054459B" w:rsidRPr="002F102A">
        <w:rPr>
          <w:rFonts w:eastAsia="MS Mincho"/>
          <w:lang w:val="fr-FR"/>
        </w:rPr>
        <w:t xml:space="preserve"> 2018, </w:t>
      </w:r>
      <w:r>
        <w:rPr>
          <w:rFonts w:eastAsia="MS Mincho"/>
          <w:lang w:val="fr-FR"/>
        </w:rPr>
        <w:t>l’Organe subsidiaire a adopté</w:t>
      </w:r>
      <w:r w:rsidR="0054459B" w:rsidRPr="002F102A">
        <w:rPr>
          <w:rFonts w:eastAsia="MS Mincho"/>
          <w:lang w:val="fr-FR"/>
        </w:rPr>
        <w:t xml:space="preserve"> CBD/SBSTTA/22/L.3, </w:t>
      </w:r>
      <w:r>
        <w:rPr>
          <w:rFonts w:eastAsia="MS Mincho"/>
          <w:lang w:val="fr-FR"/>
        </w:rPr>
        <w:t>tel que modifié oralement, comme recommandation</w:t>
      </w:r>
      <w:r w:rsidR="0054459B" w:rsidRPr="002F102A">
        <w:rPr>
          <w:rFonts w:eastAsia="MS Mincho"/>
          <w:lang w:val="fr-FR"/>
        </w:rPr>
        <w:t xml:space="preserve"> 22/10. </w:t>
      </w:r>
      <w:r w:rsidRPr="002F102A">
        <w:rPr>
          <w:rFonts w:eastAsia="MS Mincho"/>
          <w:lang w:val="fr-FR"/>
        </w:rPr>
        <w:t>Le texte de la recommandation, tel qu’adopté, figure dans la partie I du présent rapport</w:t>
      </w:r>
      <w:r w:rsidR="0054459B" w:rsidRPr="002F102A">
        <w:rPr>
          <w:rFonts w:eastAsia="MS Mincho"/>
          <w:lang w:val="fr-FR"/>
        </w:rPr>
        <w:t>.</w:t>
      </w:r>
    </w:p>
    <w:p w:rsidR="009E6BA9" w:rsidRPr="00B93197" w:rsidRDefault="002942AC" w:rsidP="00EF2F71">
      <w:pPr>
        <w:pStyle w:val="Heading1"/>
        <w:tabs>
          <w:tab w:val="clear" w:pos="720"/>
          <w:tab w:val="left" w:pos="0"/>
        </w:tabs>
        <w:rPr>
          <w:lang w:val="fr-FR"/>
        </w:rPr>
      </w:pPr>
      <w:bookmarkStart w:id="493" w:name="_Toc525904302"/>
      <w:bookmarkStart w:id="494" w:name="_Toc525904461"/>
      <w:bookmarkStart w:id="495" w:name="_Toc525904705"/>
      <w:r w:rsidRPr="00B93197">
        <w:rPr>
          <w:lang w:val="fr-FR"/>
        </w:rPr>
        <w:t>point</w:t>
      </w:r>
      <w:r w:rsidR="00042636" w:rsidRPr="00B93197">
        <w:rPr>
          <w:lang w:val="fr-FR"/>
        </w:rPr>
        <w:t xml:space="preserve"> 1</w:t>
      </w:r>
      <w:r w:rsidR="00CB7C56" w:rsidRPr="00B93197">
        <w:rPr>
          <w:lang w:val="fr-FR"/>
        </w:rPr>
        <w:t>3</w:t>
      </w:r>
      <w:r w:rsidRPr="00B93197">
        <w:rPr>
          <w:lang w:val="fr-FR"/>
        </w:rPr>
        <w:t>.</w:t>
      </w:r>
      <w:r w:rsidRPr="00B93197">
        <w:rPr>
          <w:lang w:val="fr-FR"/>
        </w:rPr>
        <w:tab/>
        <w:t>questions diverses</w:t>
      </w:r>
      <w:bookmarkEnd w:id="493"/>
      <w:bookmarkEnd w:id="494"/>
      <w:bookmarkEnd w:id="495"/>
    </w:p>
    <w:p w:rsidR="00B8674B" w:rsidRPr="00B93197" w:rsidRDefault="0054459B" w:rsidP="00004EAF">
      <w:pPr>
        <w:pStyle w:val="Para1"/>
        <w:numPr>
          <w:ilvl w:val="0"/>
          <w:numId w:val="7"/>
        </w:numPr>
        <w:tabs>
          <w:tab w:val="clear" w:pos="360"/>
          <w:tab w:val="left" w:pos="720"/>
        </w:tabs>
        <w:snapToGrid w:val="0"/>
        <w:rPr>
          <w:rFonts w:eastAsia="Malgun Gothic"/>
          <w:lang w:val="fr-FR"/>
        </w:rPr>
      </w:pPr>
      <w:r>
        <w:rPr>
          <w:lang w:val="fr-FR"/>
        </w:rPr>
        <w:t>Aucune autre question n’a été soulevée.</w:t>
      </w:r>
    </w:p>
    <w:p w:rsidR="009E6BA9" w:rsidRPr="00B93197" w:rsidRDefault="002942AC" w:rsidP="00EF2F71">
      <w:pPr>
        <w:pStyle w:val="Heading1"/>
        <w:tabs>
          <w:tab w:val="clear" w:pos="720"/>
          <w:tab w:val="left" w:pos="0"/>
        </w:tabs>
        <w:rPr>
          <w:lang w:val="fr-FR"/>
        </w:rPr>
      </w:pPr>
      <w:bookmarkStart w:id="496" w:name="_Toc525904303"/>
      <w:bookmarkStart w:id="497" w:name="_Toc525904462"/>
      <w:bookmarkStart w:id="498" w:name="_Toc525904706"/>
      <w:r w:rsidRPr="00B93197">
        <w:rPr>
          <w:lang w:val="fr-FR"/>
        </w:rPr>
        <w:t>point</w:t>
      </w:r>
      <w:r w:rsidR="00042636" w:rsidRPr="00B93197">
        <w:rPr>
          <w:lang w:val="fr-FR"/>
        </w:rPr>
        <w:t xml:space="preserve"> 1</w:t>
      </w:r>
      <w:r w:rsidR="00CB7C56" w:rsidRPr="00B93197">
        <w:rPr>
          <w:lang w:val="fr-FR"/>
        </w:rPr>
        <w:t>4</w:t>
      </w:r>
      <w:r w:rsidRPr="00B93197">
        <w:rPr>
          <w:lang w:val="fr-FR"/>
        </w:rPr>
        <w:t>.</w:t>
      </w:r>
      <w:r w:rsidRPr="00B93197">
        <w:rPr>
          <w:lang w:val="fr-FR"/>
        </w:rPr>
        <w:tab/>
        <w:t>adoption du rapport</w:t>
      </w:r>
      <w:bookmarkEnd w:id="496"/>
      <w:bookmarkEnd w:id="497"/>
      <w:bookmarkEnd w:id="498"/>
    </w:p>
    <w:p w:rsidR="00B8674B" w:rsidRPr="00253397" w:rsidRDefault="00253397" w:rsidP="00004EAF">
      <w:pPr>
        <w:pStyle w:val="Para1"/>
        <w:numPr>
          <w:ilvl w:val="0"/>
          <w:numId w:val="7"/>
        </w:numPr>
        <w:tabs>
          <w:tab w:val="clear" w:pos="360"/>
          <w:tab w:val="left" w:pos="720"/>
        </w:tabs>
        <w:snapToGrid w:val="0"/>
        <w:rPr>
          <w:rFonts w:eastAsia="Malgun Gothic"/>
          <w:lang w:val="fr-FR"/>
        </w:rPr>
      </w:pPr>
      <w:r w:rsidRPr="00253397">
        <w:rPr>
          <w:rFonts w:eastAsia="Malgun Gothic"/>
          <w:lang w:val="fr-FR"/>
        </w:rPr>
        <w:t>Le présent rapport a été adopté</w:t>
      </w:r>
      <w:r w:rsidR="0054459B" w:rsidRPr="00253397">
        <w:rPr>
          <w:rFonts w:eastAsia="Malgun Gothic"/>
          <w:lang w:val="fr-FR"/>
        </w:rPr>
        <w:t xml:space="preserve">, </w:t>
      </w:r>
      <w:r w:rsidRPr="00253397">
        <w:rPr>
          <w:rFonts w:eastAsia="Malgun Gothic"/>
          <w:lang w:val="fr-FR"/>
        </w:rPr>
        <w:t xml:space="preserve">tel que modifié oralement, à </w:t>
      </w:r>
      <w:r w:rsidR="002F102A" w:rsidRPr="00253397">
        <w:rPr>
          <w:rFonts w:eastAsia="Malgun Gothic"/>
          <w:lang w:val="fr-FR"/>
        </w:rPr>
        <w:t>la 13</w:t>
      </w:r>
      <w:r w:rsidR="002F102A" w:rsidRPr="00253397">
        <w:rPr>
          <w:rFonts w:eastAsia="Malgun Gothic"/>
          <w:vertAlign w:val="superscript"/>
          <w:lang w:val="fr-FR"/>
        </w:rPr>
        <w:t>ème</w:t>
      </w:r>
      <w:r w:rsidR="002F102A" w:rsidRPr="00253397">
        <w:rPr>
          <w:rFonts w:eastAsia="Malgun Gothic"/>
          <w:lang w:val="fr-FR"/>
        </w:rPr>
        <w:t xml:space="preserve"> séance de la réunion</w:t>
      </w:r>
      <w:r w:rsidR="0054459B" w:rsidRPr="00253397">
        <w:rPr>
          <w:rFonts w:eastAsia="Malgun Gothic"/>
          <w:lang w:val="fr-FR"/>
        </w:rPr>
        <w:t xml:space="preserve">, </w:t>
      </w:r>
      <w:r>
        <w:rPr>
          <w:rFonts w:eastAsia="Malgun Gothic"/>
          <w:lang w:val="fr-FR"/>
        </w:rPr>
        <w:t>le 7 </w:t>
      </w:r>
      <w:r w:rsidR="002F102A" w:rsidRPr="00253397">
        <w:rPr>
          <w:rFonts w:eastAsia="Malgun Gothic"/>
          <w:lang w:val="fr-FR"/>
        </w:rPr>
        <w:t>juillet</w:t>
      </w:r>
      <w:r w:rsidR="0054459B" w:rsidRPr="00253397">
        <w:rPr>
          <w:rFonts w:eastAsia="Malgun Gothic"/>
          <w:lang w:val="fr-FR"/>
        </w:rPr>
        <w:t xml:space="preserve"> 2018, </w:t>
      </w:r>
      <w:r>
        <w:rPr>
          <w:rFonts w:eastAsia="Malgun Gothic"/>
          <w:lang w:val="fr-FR"/>
        </w:rPr>
        <w:t>sur la base du projet de rapport établi par le</w:t>
      </w:r>
      <w:r w:rsidR="0054459B" w:rsidRPr="00253397">
        <w:rPr>
          <w:rFonts w:eastAsia="Malgun Gothic"/>
          <w:lang w:val="fr-FR"/>
        </w:rPr>
        <w:t xml:space="preserve"> Rapporteur (</w:t>
      </w:r>
      <w:r w:rsidR="0054459B" w:rsidRPr="00253397">
        <w:rPr>
          <w:rFonts w:eastAsia="MS Mincho"/>
          <w:lang w:val="fr-FR"/>
        </w:rPr>
        <w:t>CBD/SBSTTA/22/L.</w:t>
      </w:r>
      <w:r w:rsidR="0054459B" w:rsidRPr="00253397">
        <w:rPr>
          <w:rFonts w:eastAsia="Malgun Gothic"/>
          <w:lang w:val="fr-FR"/>
        </w:rPr>
        <w:t xml:space="preserve">1), </w:t>
      </w:r>
      <w:r>
        <w:rPr>
          <w:rFonts w:eastAsia="Malgun Gothic"/>
          <w:lang w:val="fr-FR"/>
        </w:rPr>
        <w:t>étant entendu que le Rapporteur serait chargé de parachever le rapport</w:t>
      </w:r>
      <w:r w:rsidR="0054459B" w:rsidRPr="00253397">
        <w:rPr>
          <w:rFonts w:eastAsia="Malgun Gothic"/>
          <w:lang w:val="fr-FR"/>
        </w:rPr>
        <w:t>.</w:t>
      </w:r>
    </w:p>
    <w:p w:rsidR="009E6BA9" w:rsidRPr="00B93197" w:rsidRDefault="002942AC" w:rsidP="00EF2F71">
      <w:pPr>
        <w:pStyle w:val="Heading1"/>
        <w:tabs>
          <w:tab w:val="clear" w:pos="720"/>
          <w:tab w:val="left" w:pos="0"/>
        </w:tabs>
        <w:rPr>
          <w:lang w:val="fr-FR"/>
        </w:rPr>
      </w:pPr>
      <w:bookmarkStart w:id="499" w:name="_Toc525904304"/>
      <w:bookmarkStart w:id="500" w:name="_Toc525904463"/>
      <w:bookmarkStart w:id="501" w:name="_Toc525904707"/>
      <w:r w:rsidRPr="00B93197">
        <w:rPr>
          <w:lang w:val="fr-FR"/>
        </w:rPr>
        <w:t>point</w:t>
      </w:r>
      <w:r w:rsidR="00042636" w:rsidRPr="00B93197">
        <w:rPr>
          <w:lang w:val="fr-FR"/>
        </w:rPr>
        <w:t xml:space="preserve"> 1</w:t>
      </w:r>
      <w:r w:rsidR="00CB7C56" w:rsidRPr="00B93197">
        <w:rPr>
          <w:lang w:val="fr-FR"/>
        </w:rPr>
        <w:t>5</w:t>
      </w:r>
      <w:r w:rsidRPr="00B93197">
        <w:rPr>
          <w:lang w:val="fr-FR"/>
        </w:rPr>
        <w:t>.</w:t>
      </w:r>
      <w:r w:rsidRPr="00B93197">
        <w:rPr>
          <w:lang w:val="fr-FR"/>
        </w:rPr>
        <w:tab/>
        <w:t>CLÔture de la rÉunion</w:t>
      </w:r>
      <w:bookmarkEnd w:id="499"/>
      <w:bookmarkEnd w:id="500"/>
      <w:bookmarkEnd w:id="501"/>
    </w:p>
    <w:p w:rsidR="009E6BA9" w:rsidRPr="00253397" w:rsidRDefault="00253397" w:rsidP="002D3FF5">
      <w:pPr>
        <w:pStyle w:val="Para1"/>
        <w:suppressLineNumbers/>
        <w:tabs>
          <w:tab w:val="clear" w:pos="360"/>
          <w:tab w:val="num" w:pos="709"/>
        </w:tabs>
        <w:suppressAutoHyphens/>
        <w:rPr>
          <w:kern w:val="22"/>
          <w:szCs w:val="22"/>
          <w:lang w:val="fr-FR"/>
        </w:rPr>
      </w:pPr>
      <w:r w:rsidRPr="00253397">
        <w:rPr>
          <w:rFonts w:eastAsia="Malgun Gothic"/>
          <w:lang w:val="fr-FR"/>
        </w:rPr>
        <w:t xml:space="preserve">Après l’échange de courtoisies d’usage, la vingt-deuxième </w:t>
      </w:r>
      <w:r>
        <w:rPr>
          <w:rFonts w:eastAsia="Malgun Gothic"/>
          <w:lang w:val="fr-FR"/>
        </w:rPr>
        <w:t>ré</w:t>
      </w:r>
      <w:r w:rsidRPr="00253397">
        <w:rPr>
          <w:rFonts w:eastAsia="Malgun Gothic"/>
          <w:lang w:val="fr-FR"/>
        </w:rPr>
        <w:t>union de l’Organe subsidiaire chargé de fournir des avis</w:t>
      </w:r>
      <w:r>
        <w:rPr>
          <w:rFonts w:eastAsia="Malgun Gothic"/>
          <w:lang w:val="fr-FR"/>
        </w:rPr>
        <w:t xml:space="preserve"> s</w:t>
      </w:r>
      <w:r>
        <w:rPr>
          <w:lang w:val="fr-FR"/>
        </w:rPr>
        <w:t>cientifiques, techniques</w:t>
      </w:r>
      <w:r w:rsidR="0054459B" w:rsidRPr="00253397">
        <w:rPr>
          <w:lang w:val="fr-FR"/>
        </w:rPr>
        <w:t xml:space="preserve"> </w:t>
      </w:r>
      <w:r>
        <w:rPr>
          <w:lang w:val="fr-FR"/>
        </w:rPr>
        <w:t>et technologiques a été déclarée close à</w:t>
      </w:r>
      <w:r w:rsidR="0054459B" w:rsidRPr="00253397">
        <w:rPr>
          <w:lang w:val="fr-FR"/>
        </w:rPr>
        <w:t xml:space="preserve"> </w:t>
      </w:r>
      <w:r>
        <w:rPr>
          <w:lang w:val="fr-FR"/>
        </w:rPr>
        <w:t xml:space="preserve">18h45 le samedi </w:t>
      </w:r>
      <w:r w:rsidR="0054459B" w:rsidRPr="00253397">
        <w:rPr>
          <w:rFonts w:eastAsia="Malgun Gothic"/>
          <w:lang w:val="fr-FR"/>
        </w:rPr>
        <w:t>7 </w:t>
      </w:r>
      <w:r>
        <w:rPr>
          <w:rFonts w:eastAsia="Malgun Gothic"/>
          <w:lang w:val="fr-FR"/>
        </w:rPr>
        <w:t xml:space="preserve">juillet </w:t>
      </w:r>
      <w:r w:rsidR="0054459B" w:rsidRPr="00253397">
        <w:rPr>
          <w:rFonts w:eastAsia="Malgun Gothic"/>
          <w:lang w:val="fr-FR"/>
        </w:rPr>
        <w:t>2018.</w:t>
      </w:r>
    </w:p>
    <w:p w:rsidR="00736BC2" w:rsidRPr="00EF2F71" w:rsidRDefault="008052E0" w:rsidP="00EF2F71">
      <w:pPr>
        <w:pStyle w:val="Para1"/>
        <w:numPr>
          <w:ilvl w:val="0"/>
          <w:numId w:val="0"/>
        </w:numPr>
        <w:suppressLineNumbers/>
        <w:suppressAutoHyphens/>
        <w:jc w:val="center"/>
        <w:rPr>
          <w:kern w:val="22"/>
          <w:szCs w:val="22"/>
          <w:lang w:val="fr-FR"/>
        </w:rPr>
      </w:pPr>
      <w:r w:rsidRPr="002942AC">
        <w:rPr>
          <w:kern w:val="22"/>
          <w:szCs w:val="22"/>
          <w:lang w:val="fr-FR"/>
        </w:rPr>
        <w:t>__________</w:t>
      </w:r>
    </w:p>
    <w:sectPr w:rsidR="00736BC2" w:rsidRPr="00EF2F71" w:rsidSect="00D43CD7">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BAD" w:rsidRDefault="00A81BAD">
      <w:r>
        <w:separator/>
      </w:r>
    </w:p>
  </w:endnote>
  <w:endnote w:type="continuationSeparator" w:id="0">
    <w:p w:rsidR="00A81BAD" w:rsidRDefault="00A8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khbar MT">
    <w:altName w:val="Times New Roman"/>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Lucida Grand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BAD" w:rsidRDefault="00A81BAD">
      <w:r>
        <w:separator/>
      </w:r>
    </w:p>
  </w:footnote>
  <w:footnote w:type="continuationSeparator" w:id="0">
    <w:p w:rsidR="00A81BAD" w:rsidRDefault="00A81BAD">
      <w:r>
        <w:continuationSeparator/>
      </w:r>
    </w:p>
  </w:footnote>
  <w:footnote w:id="1">
    <w:p w:rsidR="00E62BFB" w:rsidRPr="00E46A38" w:rsidRDefault="00E62BFB" w:rsidP="00DC2190">
      <w:pPr>
        <w:pStyle w:val="FootnoteText"/>
        <w:kinsoku w:val="0"/>
        <w:overflowPunct w:val="0"/>
        <w:autoSpaceDE w:val="0"/>
        <w:autoSpaceDN w:val="0"/>
        <w:ind w:firstLine="0"/>
        <w:jc w:val="left"/>
        <w:rPr>
          <w:szCs w:val="18"/>
          <w:lang w:val="en-CA"/>
        </w:rPr>
      </w:pPr>
      <w:r w:rsidRPr="00090E10">
        <w:rPr>
          <w:rStyle w:val="FootnoteReference"/>
          <w:sz w:val="20"/>
          <w:szCs w:val="20"/>
          <w:u w:val="none"/>
          <w:vertAlign w:val="superscript"/>
        </w:rPr>
        <w:footnoteRef/>
      </w:r>
      <w:r w:rsidRPr="00090E10">
        <w:rPr>
          <w:sz w:val="20"/>
          <w:szCs w:val="20"/>
          <w:vertAlign w:val="superscript"/>
        </w:rPr>
        <w:t xml:space="preserve"> </w:t>
      </w:r>
      <w:r w:rsidRPr="00E46A38">
        <w:rPr>
          <w:szCs w:val="18"/>
        </w:rPr>
        <w:t>CBD/SBSTTA/22/INF/2.</w:t>
      </w:r>
    </w:p>
  </w:footnote>
  <w:footnote w:id="2">
    <w:p w:rsidR="00E62BFB" w:rsidRPr="00E46A38" w:rsidRDefault="00E62BFB" w:rsidP="00DC2190">
      <w:pPr>
        <w:pStyle w:val="FootnoteText"/>
        <w:kinsoku w:val="0"/>
        <w:overflowPunct w:val="0"/>
        <w:autoSpaceDE w:val="0"/>
        <w:autoSpaceDN w:val="0"/>
        <w:ind w:firstLine="0"/>
        <w:jc w:val="left"/>
        <w:rPr>
          <w:szCs w:val="18"/>
          <w:lang w:val="en-CA"/>
        </w:rPr>
      </w:pPr>
      <w:r w:rsidRPr="00090E10">
        <w:rPr>
          <w:rStyle w:val="FootnoteReference"/>
          <w:sz w:val="20"/>
          <w:szCs w:val="20"/>
          <w:u w:val="none"/>
          <w:vertAlign w:val="superscript"/>
        </w:rPr>
        <w:footnoteRef/>
      </w:r>
      <w:r w:rsidRPr="00090E10">
        <w:rPr>
          <w:sz w:val="20"/>
          <w:szCs w:val="20"/>
          <w:vertAlign w:val="superscript"/>
        </w:rPr>
        <w:t xml:space="preserve"> </w:t>
      </w:r>
      <w:r w:rsidRPr="00E46A38">
        <w:rPr>
          <w:szCs w:val="18"/>
        </w:rPr>
        <w:t>CBD/SBSTTA/22/INF/3.</w:t>
      </w:r>
    </w:p>
  </w:footnote>
  <w:footnote w:id="3">
    <w:p w:rsidR="00E62BFB" w:rsidRPr="006E53AE" w:rsidRDefault="00E62BFB" w:rsidP="00DC2190">
      <w:pPr>
        <w:pStyle w:val="FootnoteText"/>
        <w:kinsoku w:val="0"/>
        <w:overflowPunct w:val="0"/>
        <w:autoSpaceDE w:val="0"/>
        <w:autoSpaceDN w:val="0"/>
        <w:ind w:firstLine="0"/>
        <w:jc w:val="left"/>
        <w:rPr>
          <w:szCs w:val="18"/>
          <w:lang w:val="fr-FR"/>
        </w:rPr>
      </w:pPr>
      <w:r w:rsidRPr="00090E10">
        <w:rPr>
          <w:rStyle w:val="FootnoteReference"/>
          <w:sz w:val="20"/>
          <w:szCs w:val="20"/>
          <w:u w:val="none"/>
          <w:vertAlign w:val="superscript"/>
        </w:rPr>
        <w:footnoteRef/>
      </w:r>
      <w:r w:rsidRPr="00090E10">
        <w:rPr>
          <w:sz w:val="20"/>
          <w:szCs w:val="20"/>
          <w:vertAlign w:val="superscript"/>
          <w:lang w:val="fr-FR"/>
        </w:rPr>
        <w:t xml:space="preserve"> </w:t>
      </w:r>
      <w:r w:rsidRPr="006E53AE">
        <w:rPr>
          <w:szCs w:val="18"/>
          <w:lang w:val="fr-FR"/>
        </w:rPr>
        <w:t>CBD/SBSTTA/22/INF/4.</w:t>
      </w:r>
    </w:p>
  </w:footnote>
  <w:footnote w:id="4">
    <w:p w:rsidR="00E62BFB" w:rsidRPr="002B69DE" w:rsidRDefault="00E62BFB" w:rsidP="00DC2190">
      <w:pPr>
        <w:pStyle w:val="FootnoteText"/>
        <w:ind w:firstLine="0"/>
        <w:rPr>
          <w:lang w:val="fr-FR"/>
        </w:rPr>
      </w:pPr>
      <w:r w:rsidRPr="00090E10">
        <w:rPr>
          <w:rStyle w:val="FootnoteReference"/>
          <w:sz w:val="20"/>
          <w:szCs w:val="20"/>
          <w:u w:val="none"/>
          <w:vertAlign w:val="superscript"/>
          <w:lang w:val="fr-FR"/>
        </w:rPr>
        <w:footnoteRef/>
      </w:r>
      <w:r w:rsidRPr="002B69DE">
        <w:rPr>
          <w:lang w:val="fr-FR"/>
        </w:rPr>
        <w:t xml:space="preserve"> Le groupe</w:t>
      </w:r>
      <w:r>
        <w:rPr>
          <w:lang w:val="fr-FR"/>
        </w:rPr>
        <w:t xml:space="preserve"> spécial d’experts techniques sera convoqué selon le mode de fonctionnement de l’Organe subsidiaire chargé de fournir des avis scientifiques, techniques et technologiques, mais comptera cinq experts nommés par chacune des cinq régions</w:t>
      </w:r>
      <w:r w:rsidRPr="006E53AE">
        <w:rPr>
          <w:lang w:val="fr-FR"/>
        </w:rPr>
        <w:t>.</w:t>
      </w:r>
    </w:p>
  </w:footnote>
  <w:footnote w:id="5">
    <w:p w:rsidR="00E62BFB" w:rsidRPr="002B69DE" w:rsidRDefault="00E62BFB" w:rsidP="00DC2190">
      <w:pPr>
        <w:pStyle w:val="FootnoteText"/>
        <w:ind w:firstLine="0"/>
        <w:rPr>
          <w:lang w:val="fr-FR"/>
        </w:rPr>
      </w:pPr>
      <w:r w:rsidRPr="00090E10">
        <w:rPr>
          <w:rStyle w:val="FootnoteReference"/>
          <w:rFonts w:eastAsiaTheme="majorEastAsia"/>
          <w:sz w:val="20"/>
          <w:szCs w:val="20"/>
          <w:u w:val="none"/>
          <w:vertAlign w:val="superscript"/>
          <w:lang w:val="fr-FR"/>
        </w:rPr>
        <w:footnoteRef/>
      </w:r>
      <w:r w:rsidRPr="00090E10">
        <w:rPr>
          <w:sz w:val="20"/>
          <w:szCs w:val="20"/>
          <w:vertAlign w:val="superscript"/>
          <w:lang w:val="fr-FR"/>
        </w:rPr>
        <w:t xml:space="preserve"> </w:t>
      </w:r>
      <w:r w:rsidRPr="002B69DE">
        <w:rPr>
          <w:lang w:val="fr-FR"/>
        </w:rPr>
        <w:t>CBD/SBSTTA/22/INF/2 et</w:t>
      </w:r>
      <w:r>
        <w:rPr>
          <w:lang w:val="fr-FR"/>
        </w:rPr>
        <w:t xml:space="preserve"> additifs 1</w:t>
      </w:r>
      <w:r w:rsidRPr="002B69DE">
        <w:rPr>
          <w:lang w:val="fr-FR"/>
        </w:rPr>
        <w:t xml:space="preserve"> </w:t>
      </w:r>
      <w:r>
        <w:rPr>
          <w:lang w:val="fr-FR"/>
        </w:rPr>
        <w:t>et </w:t>
      </w:r>
      <w:r w:rsidRPr="002B69DE">
        <w:rPr>
          <w:lang w:val="fr-FR"/>
        </w:rPr>
        <w:t>2 (en anglais).</w:t>
      </w:r>
    </w:p>
  </w:footnote>
  <w:footnote w:id="6">
    <w:p w:rsidR="00E62BFB" w:rsidRPr="002B69DE" w:rsidRDefault="00E62BFB" w:rsidP="00DC2190">
      <w:pPr>
        <w:pStyle w:val="FootnoteText"/>
        <w:ind w:firstLine="0"/>
        <w:rPr>
          <w:lang w:val="fr-FR"/>
        </w:rPr>
      </w:pPr>
      <w:r w:rsidRPr="00090E10">
        <w:rPr>
          <w:rStyle w:val="FootnoteReference"/>
          <w:rFonts w:eastAsiaTheme="majorEastAsia"/>
          <w:sz w:val="20"/>
          <w:szCs w:val="20"/>
          <w:u w:val="none"/>
          <w:vertAlign w:val="superscript"/>
          <w:lang w:val="fr-FR"/>
        </w:rPr>
        <w:footnoteRef/>
      </w:r>
      <w:r w:rsidRPr="00090E10">
        <w:rPr>
          <w:sz w:val="20"/>
          <w:szCs w:val="20"/>
          <w:vertAlign w:val="superscript"/>
          <w:lang w:val="fr-FR"/>
        </w:rPr>
        <w:t xml:space="preserve"> </w:t>
      </w:r>
      <w:r>
        <w:rPr>
          <w:lang w:val="fr-FR"/>
        </w:rPr>
        <w:t xml:space="preserve">CBD/SBSTTA/22/INF/3 </w:t>
      </w:r>
      <w:r w:rsidRPr="002B69DE">
        <w:rPr>
          <w:lang w:val="fr-FR"/>
        </w:rPr>
        <w:t>(en anglais).</w:t>
      </w:r>
    </w:p>
  </w:footnote>
  <w:footnote w:id="7">
    <w:p w:rsidR="00E62BFB" w:rsidRPr="002B69DE" w:rsidRDefault="00E62BFB" w:rsidP="00DC2190">
      <w:pPr>
        <w:pStyle w:val="FootnoteText"/>
        <w:ind w:firstLine="0"/>
        <w:rPr>
          <w:lang w:val="fr-FR"/>
        </w:rPr>
      </w:pPr>
      <w:r w:rsidRPr="00090E10">
        <w:rPr>
          <w:rStyle w:val="FootnoteReference"/>
          <w:rFonts w:eastAsiaTheme="majorEastAsia"/>
          <w:sz w:val="20"/>
          <w:szCs w:val="20"/>
          <w:u w:val="none"/>
          <w:vertAlign w:val="superscript"/>
          <w:lang w:val="fr-FR"/>
        </w:rPr>
        <w:footnoteRef/>
      </w:r>
      <w:r w:rsidRPr="00090E10">
        <w:rPr>
          <w:sz w:val="20"/>
          <w:szCs w:val="20"/>
          <w:vertAlign w:val="superscript"/>
          <w:lang w:val="fr-FR"/>
        </w:rPr>
        <w:t xml:space="preserve"> </w:t>
      </w:r>
      <w:r w:rsidRPr="002B69DE">
        <w:rPr>
          <w:lang w:val="fr-FR"/>
        </w:rPr>
        <w:t>CBD/SBSTTA/22/INF/4</w:t>
      </w:r>
      <w:r>
        <w:rPr>
          <w:lang w:val="fr-FR"/>
        </w:rPr>
        <w:t xml:space="preserve"> </w:t>
      </w:r>
      <w:r w:rsidRPr="002B69DE">
        <w:rPr>
          <w:lang w:val="fr-FR"/>
        </w:rPr>
        <w:t>(en anglais).</w:t>
      </w:r>
    </w:p>
  </w:footnote>
  <w:footnote w:id="8">
    <w:p w:rsidR="00E62BFB" w:rsidRPr="00AF7D0C" w:rsidRDefault="00E62BFB" w:rsidP="00DC2190">
      <w:pPr>
        <w:pStyle w:val="FootnoteText"/>
        <w:kinsoku w:val="0"/>
        <w:overflowPunct w:val="0"/>
        <w:autoSpaceDE w:val="0"/>
        <w:autoSpaceDN w:val="0"/>
        <w:ind w:firstLine="0"/>
        <w:jc w:val="left"/>
        <w:rPr>
          <w:kern w:val="18"/>
          <w:lang w:val="fr-FR"/>
        </w:rPr>
      </w:pPr>
      <w:r w:rsidRPr="00090E10">
        <w:rPr>
          <w:rStyle w:val="FootnoteReference"/>
          <w:rFonts w:eastAsiaTheme="majorEastAsia"/>
          <w:kern w:val="18"/>
          <w:sz w:val="20"/>
          <w:szCs w:val="20"/>
          <w:u w:val="none"/>
          <w:vertAlign w:val="superscript"/>
          <w:lang w:val="fr-FR" w:bidi="fr-FR"/>
        </w:rPr>
        <w:footnoteRef/>
      </w:r>
      <w:r w:rsidRPr="00090E10">
        <w:rPr>
          <w:kern w:val="18"/>
          <w:sz w:val="20"/>
          <w:szCs w:val="20"/>
          <w:vertAlign w:val="superscript"/>
          <w:lang w:val="fr-FR" w:bidi="fr-FR"/>
        </w:rPr>
        <w:t xml:space="preserve"> </w:t>
      </w:r>
      <w:hyperlink r:id="rId1" w:history="1">
        <w:r w:rsidRPr="0068290F">
          <w:rPr>
            <w:rStyle w:val="Hyperlink"/>
            <w:kern w:val="18"/>
            <w:lang w:val="fr-FR" w:bidi="fr-FR"/>
          </w:rPr>
          <w:t>Décision VIII/10</w:t>
        </w:r>
      </w:hyperlink>
      <w:r w:rsidRPr="0068290F">
        <w:rPr>
          <w:kern w:val="18"/>
          <w:lang w:val="fr-FR" w:bidi="fr-FR"/>
        </w:rPr>
        <w:t>, annexe III.</w:t>
      </w:r>
    </w:p>
  </w:footnote>
  <w:footnote w:id="9">
    <w:p w:rsidR="00E62BFB" w:rsidRPr="008E6A48" w:rsidRDefault="00E62BFB" w:rsidP="009F6935">
      <w:pPr>
        <w:pStyle w:val="FootnoteText"/>
        <w:kinsoku w:val="0"/>
        <w:overflowPunct w:val="0"/>
        <w:autoSpaceDE w:val="0"/>
        <w:autoSpaceDN w:val="0"/>
        <w:ind w:firstLine="0"/>
        <w:jc w:val="left"/>
        <w:rPr>
          <w:snapToGrid w:val="0"/>
          <w:kern w:val="18"/>
          <w:szCs w:val="18"/>
          <w:lang w:val="fr-CA"/>
        </w:rPr>
      </w:pPr>
      <w:r w:rsidRPr="00EA2E10">
        <w:rPr>
          <w:rStyle w:val="FootnoteReference"/>
          <w:rFonts w:eastAsiaTheme="majorEastAsia"/>
          <w:snapToGrid w:val="0"/>
          <w:kern w:val="18"/>
          <w:sz w:val="20"/>
          <w:szCs w:val="20"/>
          <w:u w:val="none"/>
          <w:vertAlign w:val="superscript"/>
          <w:lang w:val="fr-CA"/>
        </w:rPr>
        <w:footnoteRef/>
      </w:r>
      <w:r w:rsidRPr="00EA2E10">
        <w:rPr>
          <w:snapToGrid w:val="0"/>
          <w:kern w:val="18"/>
          <w:sz w:val="20"/>
          <w:szCs w:val="20"/>
          <w:vertAlign w:val="superscript"/>
          <w:lang w:val="fr-CA"/>
        </w:rPr>
        <w:t xml:space="preserve"> </w:t>
      </w:r>
      <w:r w:rsidRPr="008E6A48">
        <w:rPr>
          <w:snapToGrid w:val="0"/>
          <w:kern w:val="18"/>
          <w:szCs w:val="18"/>
          <w:lang w:val="fr-CA"/>
        </w:rPr>
        <w:t>Annexe au document CBD/SBSTTA/22/4.</w:t>
      </w:r>
    </w:p>
  </w:footnote>
  <w:footnote w:id="10">
    <w:p w:rsidR="00E62BFB" w:rsidRPr="00934C05" w:rsidRDefault="00E62BFB" w:rsidP="009F6935">
      <w:pPr>
        <w:pStyle w:val="FootnoteText"/>
        <w:kinsoku w:val="0"/>
        <w:overflowPunct w:val="0"/>
        <w:autoSpaceDE w:val="0"/>
        <w:autoSpaceDN w:val="0"/>
        <w:adjustRightInd w:val="0"/>
        <w:snapToGrid w:val="0"/>
        <w:ind w:firstLine="0"/>
        <w:jc w:val="left"/>
        <w:rPr>
          <w:szCs w:val="18"/>
          <w:lang w:val="fr-FR"/>
        </w:rPr>
      </w:pPr>
      <w:r w:rsidRPr="00EA2E10">
        <w:rPr>
          <w:rStyle w:val="FootnoteReference"/>
          <w:sz w:val="20"/>
          <w:szCs w:val="20"/>
          <w:u w:val="none"/>
          <w:vertAlign w:val="superscript"/>
        </w:rPr>
        <w:footnoteRef/>
      </w:r>
      <w:r w:rsidRPr="00934C05">
        <w:rPr>
          <w:szCs w:val="18"/>
          <w:lang w:val="fr-FR"/>
        </w:rPr>
        <w:t xml:space="preserve"> Voir la décision XIII/17.</w:t>
      </w:r>
    </w:p>
  </w:footnote>
  <w:footnote w:id="11">
    <w:p w:rsidR="00E62BFB" w:rsidRPr="00E0239C" w:rsidRDefault="00E62BFB" w:rsidP="009F6935">
      <w:pPr>
        <w:pStyle w:val="FootnoteText"/>
        <w:kinsoku w:val="0"/>
        <w:overflowPunct w:val="0"/>
        <w:autoSpaceDE w:val="0"/>
        <w:autoSpaceDN w:val="0"/>
        <w:adjustRightInd w:val="0"/>
        <w:snapToGrid w:val="0"/>
        <w:ind w:firstLine="0"/>
        <w:jc w:val="left"/>
        <w:rPr>
          <w:szCs w:val="18"/>
          <w:lang w:val="fr-FR"/>
        </w:rPr>
      </w:pPr>
      <w:r w:rsidRPr="00216808">
        <w:rPr>
          <w:rStyle w:val="FootnoteReference"/>
          <w:sz w:val="20"/>
          <w:szCs w:val="20"/>
          <w:u w:val="none"/>
          <w:vertAlign w:val="superscript"/>
        </w:rPr>
        <w:footnoteRef/>
      </w:r>
      <w:r w:rsidRPr="00E0239C">
        <w:rPr>
          <w:szCs w:val="18"/>
          <w:lang w:val="fr-FR"/>
        </w:rPr>
        <w:t xml:space="preserve"> </w:t>
      </w:r>
      <w:r>
        <w:rPr>
          <w:szCs w:val="18"/>
          <w:lang w:val="fr-FR"/>
        </w:rPr>
        <w:t>L’</w:t>
      </w:r>
      <w:r>
        <w:rPr>
          <w:kern w:val="22"/>
          <w:szCs w:val="22"/>
          <w:lang w:val="fr-CA" w:bidi="fr-FR"/>
        </w:rPr>
        <w:t>Organe subsidiaire chargé de fournir des avis scientifiques, techniques et technologiques</w:t>
      </w:r>
      <w:r w:rsidRPr="00E0239C">
        <w:rPr>
          <w:snapToGrid w:val="0"/>
          <w:kern w:val="22"/>
          <w:szCs w:val="18"/>
          <w:lang w:val="fr-FR" w:eastAsia="x-none"/>
        </w:rPr>
        <w:t xml:space="preserve"> a recommandé que la Conférence des Parties siégeant en tant que réunion des Parties au Protocole de Cartagena sur la prévention des risques biotechnologiques (recomma</w:t>
      </w:r>
      <w:r>
        <w:rPr>
          <w:snapToGrid w:val="0"/>
          <w:kern w:val="22"/>
          <w:szCs w:val="18"/>
          <w:lang w:val="fr-FR" w:eastAsia="x-none"/>
        </w:rPr>
        <w:t>ndation 22/2</w:t>
      </w:r>
      <w:r w:rsidRPr="00E0239C">
        <w:rPr>
          <w:snapToGrid w:val="0"/>
          <w:kern w:val="22"/>
          <w:szCs w:val="18"/>
          <w:lang w:val="fr-FR" w:eastAsia="x-none"/>
        </w:rPr>
        <w:t xml:space="preserve">) </w:t>
      </w:r>
      <w:r>
        <w:rPr>
          <w:snapToGrid w:val="0"/>
          <w:kern w:val="22"/>
          <w:szCs w:val="18"/>
          <w:lang w:val="fr-FR" w:eastAsia="x-none"/>
        </w:rPr>
        <w:t>examine la nécessité d’avoir des orientations spécifiques sur l’évaluation des risques présentés par les organismes génétiquement modifiés ayant subi un forçage génétique à sa dixième réunion</w:t>
      </w:r>
      <w:r w:rsidRPr="00E0239C">
        <w:rPr>
          <w:snapToGrid w:val="0"/>
          <w:kern w:val="22"/>
          <w:szCs w:val="18"/>
          <w:lang w:val="fr-FR" w:eastAsia="x-none"/>
        </w:rPr>
        <w:t>.</w:t>
      </w:r>
    </w:p>
  </w:footnote>
  <w:footnote w:id="12">
    <w:p w:rsidR="00E62BFB" w:rsidRPr="008901FB" w:rsidRDefault="00E62BFB" w:rsidP="009F6935">
      <w:pPr>
        <w:pStyle w:val="FootnoteText"/>
        <w:kinsoku w:val="0"/>
        <w:overflowPunct w:val="0"/>
        <w:autoSpaceDE w:val="0"/>
        <w:autoSpaceDN w:val="0"/>
        <w:adjustRightInd w:val="0"/>
        <w:snapToGrid w:val="0"/>
        <w:ind w:firstLine="0"/>
        <w:jc w:val="left"/>
        <w:rPr>
          <w:szCs w:val="18"/>
          <w:lang w:val="fr-FR"/>
        </w:rPr>
      </w:pPr>
      <w:r w:rsidRPr="00216808">
        <w:rPr>
          <w:rStyle w:val="FootnoteReference"/>
          <w:sz w:val="20"/>
          <w:szCs w:val="20"/>
          <w:u w:val="none"/>
          <w:vertAlign w:val="superscript"/>
        </w:rPr>
        <w:footnoteRef/>
      </w:r>
      <w:r w:rsidRPr="00216808">
        <w:rPr>
          <w:sz w:val="20"/>
          <w:szCs w:val="20"/>
          <w:vertAlign w:val="superscript"/>
          <w:lang w:val="fr-FR"/>
        </w:rPr>
        <w:t xml:space="preserve"> </w:t>
      </w:r>
      <w:hyperlink r:id="rId2" w:history="1">
        <w:r w:rsidRPr="008901FB">
          <w:rPr>
            <w:rStyle w:val="Hyperlink"/>
            <w:szCs w:val="18"/>
            <w:lang w:val="fr-FR"/>
          </w:rPr>
          <w:t>https://www.cbd.int/meetings/SYNBIOAHTEG-2017-01</w:t>
        </w:r>
      </w:hyperlink>
      <w:r w:rsidRPr="008901FB">
        <w:rPr>
          <w:szCs w:val="18"/>
          <w:lang w:val="fr-FR"/>
        </w:rPr>
        <w:t>.</w:t>
      </w:r>
    </w:p>
  </w:footnote>
  <w:footnote w:id="13">
    <w:p w:rsidR="00E62BFB" w:rsidRPr="008901FB" w:rsidRDefault="00E62BFB" w:rsidP="009F6935">
      <w:pPr>
        <w:pStyle w:val="FootnoteText"/>
        <w:kinsoku w:val="0"/>
        <w:overflowPunct w:val="0"/>
        <w:autoSpaceDE w:val="0"/>
        <w:autoSpaceDN w:val="0"/>
        <w:adjustRightInd w:val="0"/>
        <w:snapToGrid w:val="0"/>
        <w:ind w:firstLine="0"/>
        <w:jc w:val="left"/>
        <w:rPr>
          <w:szCs w:val="18"/>
          <w:lang w:val="fr-FR"/>
        </w:rPr>
      </w:pPr>
      <w:r w:rsidRPr="00216808">
        <w:rPr>
          <w:rStyle w:val="FootnoteReference"/>
          <w:sz w:val="20"/>
          <w:szCs w:val="20"/>
          <w:u w:val="none"/>
          <w:vertAlign w:val="superscript"/>
        </w:rPr>
        <w:footnoteRef/>
      </w:r>
      <w:r w:rsidRPr="00216808">
        <w:rPr>
          <w:sz w:val="20"/>
          <w:szCs w:val="20"/>
          <w:vertAlign w:val="superscript"/>
          <w:lang w:val="fr-FR"/>
        </w:rPr>
        <w:t xml:space="preserve"> </w:t>
      </w:r>
      <w:hyperlink r:id="rId3" w:history="1">
        <w:r w:rsidRPr="008901FB">
          <w:rPr>
            <w:rStyle w:val="Hyperlink"/>
            <w:szCs w:val="18"/>
            <w:lang w:val="fr-FR"/>
          </w:rPr>
          <w:t>http://bch.cbd.int/onlineconferences/portal_detection/lab_network.shtml</w:t>
        </w:r>
      </w:hyperlink>
      <w:r w:rsidRPr="008901FB">
        <w:rPr>
          <w:szCs w:val="18"/>
          <w:lang w:val="fr-FR"/>
        </w:rPr>
        <w:t>.</w:t>
      </w:r>
    </w:p>
  </w:footnote>
  <w:footnote w:id="14">
    <w:p w:rsidR="00E62BFB" w:rsidRPr="00604685" w:rsidRDefault="00E62BFB" w:rsidP="009F6935">
      <w:pPr>
        <w:pStyle w:val="FootnoteText"/>
        <w:ind w:firstLine="0"/>
        <w:rPr>
          <w:lang w:val="en-CA"/>
        </w:rPr>
      </w:pPr>
      <w:r w:rsidRPr="00216808">
        <w:rPr>
          <w:rStyle w:val="FootnoteReference"/>
          <w:sz w:val="20"/>
          <w:szCs w:val="20"/>
          <w:u w:val="none"/>
          <w:vertAlign w:val="superscript"/>
        </w:rPr>
        <w:footnoteRef/>
      </w:r>
      <w:r w:rsidRPr="00216808">
        <w:rPr>
          <w:sz w:val="20"/>
          <w:szCs w:val="20"/>
          <w:vertAlign w:val="superscript"/>
        </w:rPr>
        <w:t xml:space="preserve"> </w:t>
      </w:r>
      <w:r w:rsidRPr="00021D4C">
        <w:t>SBSTTA/22/INF/17</w:t>
      </w:r>
      <w:r>
        <w:t>.</w:t>
      </w:r>
    </w:p>
  </w:footnote>
  <w:footnote w:id="15">
    <w:p w:rsidR="00E62BFB" w:rsidRPr="00207CAF" w:rsidRDefault="00E62BFB" w:rsidP="009F6935">
      <w:pPr>
        <w:pStyle w:val="FootnoteText"/>
        <w:spacing w:after="0"/>
        <w:ind w:firstLine="0"/>
        <w:jc w:val="left"/>
        <w:rPr>
          <w:szCs w:val="18"/>
          <w:lang w:val="en-CA"/>
        </w:rPr>
      </w:pPr>
      <w:r w:rsidRPr="00A12E58">
        <w:rPr>
          <w:rStyle w:val="FootnoteReference"/>
          <w:sz w:val="20"/>
          <w:szCs w:val="20"/>
          <w:u w:val="none"/>
          <w:vertAlign w:val="superscript"/>
        </w:rPr>
        <w:footnoteRef/>
      </w:r>
      <w:r w:rsidRPr="00A12E58">
        <w:rPr>
          <w:sz w:val="20"/>
          <w:szCs w:val="20"/>
          <w:vertAlign w:val="superscript"/>
        </w:rPr>
        <w:t xml:space="preserve"> </w:t>
      </w:r>
      <w:r w:rsidRPr="001724BB">
        <w:rPr>
          <w:szCs w:val="18"/>
        </w:rPr>
        <w:t>CBD/SBSTTA/22/INF/10.</w:t>
      </w:r>
    </w:p>
  </w:footnote>
  <w:footnote w:id="16">
    <w:p w:rsidR="00E62BFB" w:rsidRPr="00547709" w:rsidRDefault="00E62BFB" w:rsidP="009F6935">
      <w:pPr>
        <w:pStyle w:val="FootnoteText"/>
        <w:kinsoku w:val="0"/>
        <w:overflowPunct w:val="0"/>
        <w:autoSpaceDE w:val="0"/>
        <w:autoSpaceDN w:val="0"/>
        <w:adjustRightInd w:val="0"/>
        <w:snapToGrid w:val="0"/>
        <w:spacing w:after="0"/>
        <w:ind w:firstLine="0"/>
        <w:jc w:val="left"/>
        <w:rPr>
          <w:szCs w:val="18"/>
        </w:rPr>
      </w:pPr>
      <w:r w:rsidRPr="00A12E58">
        <w:rPr>
          <w:rStyle w:val="FootnoteReference"/>
          <w:sz w:val="20"/>
          <w:szCs w:val="20"/>
          <w:u w:val="none"/>
          <w:vertAlign w:val="superscript"/>
        </w:rPr>
        <w:footnoteRef/>
      </w:r>
      <w:r w:rsidRPr="00A12E58">
        <w:rPr>
          <w:sz w:val="20"/>
          <w:szCs w:val="20"/>
          <w:vertAlign w:val="superscript"/>
        </w:rPr>
        <w:t xml:space="preserve"> </w:t>
      </w:r>
      <w:r w:rsidRPr="00547709">
        <w:rPr>
          <w:szCs w:val="18"/>
        </w:rPr>
        <w:t>CBD/SBSTTA/22/INF/5, CBD/SBSTTA/22/INF/23, CBD/SBSTTA/22/INF/26, CBD/SBSTTA/22/INF/30, CBD/SBSTTA/22/INF/31, CBD/SBSTTA/22/INF/32, CBD/SBSTTA/22/INF/34, CBD/SBSTTA/22/INF/35</w:t>
      </w:r>
    </w:p>
  </w:footnote>
  <w:footnote w:id="17">
    <w:p w:rsidR="00E62BFB" w:rsidRPr="004F7C7F" w:rsidRDefault="00E62BFB" w:rsidP="009F6935">
      <w:pPr>
        <w:pStyle w:val="FootnoteText"/>
        <w:spacing w:after="0"/>
        <w:ind w:firstLine="0"/>
        <w:jc w:val="left"/>
        <w:rPr>
          <w:szCs w:val="18"/>
          <w:lang w:val="fr-FR"/>
        </w:rPr>
      </w:pPr>
      <w:r w:rsidRPr="00A12E58">
        <w:rPr>
          <w:rStyle w:val="FootnoteReference"/>
          <w:sz w:val="20"/>
          <w:szCs w:val="20"/>
          <w:u w:val="none"/>
          <w:vertAlign w:val="superscript"/>
        </w:rPr>
        <w:footnoteRef/>
      </w:r>
      <w:r w:rsidRPr="00A12E58">
        <w:rPr>
          <w:sz w:val="20"/>
          <w:szCs w:val="20"/>
          <w:vertAlign w:val="superscript"/>
          <w:lang w:val="fr-FR"/>
        </w:rPr>
        <w:t xml:space="preserve"> </w:t>
      </w:r>
      <w:r w:rsidRPr="004F7C7F">
        <w:rPr>
          <w:iCs/>
          <w:snapToGrid w:val="0"/>
          <w:kern w:val="22"/>
          <w:szCs w:val="18"/>
          <w:lang w:val="fr-FR"/>
        </w:rPr>
        <w:t>CBD/SBSTTA/22</w:t>
      </w:r>
      <w:r>
        <w:rPr>
          <w:iCs/>
          <w:snapToGrid w:val="0"/>
          <w:kern w:val="22"/>
          <w:szCs w:val="18"/>
          <w:lang w:val="fr-FR"/>
        </w:rPr>
        <w:t>/5</w:t>
      </w:r>
      <w:r w:rsidRPr="004F7C7F">
        <w:rPr>
          <w:iCs/>
          <w:snapToGrid w:val="0"/>
          <w:kern w:val="22"/>
          <w:szCs w:val="18"/>
          <w:lang w:val="fr-FR"/>
        </w:rPr>
        <w:t>, annexe I.</w:t>
      </w:r>
    </w:p>
  </w:footnote>
  <w:footnote w:id="18">
    <w:p w:rsidR="00E62BFB" w:rsidRPr="00E56D3F" w:rsidRDefault="00E62BFB" w:rsidP="009F6935">
      <w:pPr>
        <w:pStyle w:val="FootnoteText"/>
        <w:spacing w:after="0"/>
        <w:ind w:firstLine="0"/>
        <w:jc w:val="left"/>
        <w:rPr>
          <w:szCs w:val="18"/>
          <w:lang w:val="fr-CA"/>
        </w:rPr>
      </w:pPr>
      <w:r w:rsidRPr="00A12E58">
        <w:rPr>
          <w:rStyle w:val="FootnoteReference"/>
          <w:sz w:val="20"/>
          <w:szCs w:val="20"/>
          <w:u w:val="none"/>
          <w:vertAlign w:val="superscript"/>
        </w:rPr>
        <w:footnoteRef/>
      </w:r>
      <w:r w:rsidRPr="00A12E58">
        <w:rPr>
          <w:sz w:val="20"/>
          <w:szCs w:val="20"/>
          <w:vertAlign w:val="superscript"/>
          <w:lang w:val="fr-CA"/>
        </w:rPr>
        <w:t xml:space="preserve"> </w:t>
      </w:r>
      <w:r>
        <w:rPr>
          <w:szCs w:val="18"/>
          <w:lang w:val="fr-CA"/>
        </w:rPr>
        <w:t xml:space="preserve">Annexe à la décision </w:t>
      </w:r>
      <w:hyperlink r:id="rId4" w:history="1">
        <w:r w:rsidRPr="004F7C7F">
          <w:rPr>
            <w:rStyle w:val="Hyperlink"/>
            <w:szCs w:val="18"/>
            <w:lang w:val="fr-CA"/>
          </w:rPr>
          <w:t>X/2</w:t>
        </w:r>
      </w:hyperlink>
      <w:r w:rsidRPr="00E56D3F">
        <w:rPr>
          <w:szCs w:val="18"/>
          <w:lang w:val="fr-CA"/>
        </w:rPr>
        <w:t>.</w:t>
      </w:r>
    </w:p>
  </w:footnote>
  <w:footnote w:id="19">
    <w:p w:rsidR="00E62BFB" w:rsidRPr="006A7635" w:rsidRDefault="00E62BFB" w:rsidP="009F6935">
      <w:pPr>
        <w:pStyle w:val="FootnoteText"/>
        <w:kinsoku w:val="0"/>
        <w:overflowPunct w:val="0"/>
        <w:autoSpaceDE w:val="0"/>
        <w:autoSpaceDN w:val="0"/>
        <w:adjustRightInd w:val="0"/>
        <w:snapToGrid w:val="0"/>
        <w:spacing w:after="0"/>
        <w:ind w:firstLine="0"/>
        <w:jc w:val="left"/>
        <w:rPr>
          <w:szCs w:val="18"/>
          <w:lang w:val="fr-CA"/>
        </w:rPr>
      </w:pPr>
      <w:r w:rsidRPr="00A12E58">
        <w:rPr>
          <w:rStyle w:val="FootnoteReference"/>
          <w:sz w:val="20"/>
          <w:szCs w:val="20"/>
          <w:u w:val="none"/>
          <w:vertAlign w:val="superscript"/>
        </w:rPr>
        <w:footnoteRef/>
      </w:r>
      <w:r w:rsidRPr="006A7635">
        <w:rPr>
          <w:szCs w:val="18"/>
          <w:lang w:val="fr-CA"/>
        </w:rPr>
        <w:t xml:space="preserve"> </w:t>
      </w:r>
      <w:hyperlink r:id="rId5" w:history="1">
        <w:r w:rsidRPr="004F7C7F">
          <w:rPr>
            <w:rStyle w:val="Hyperlink"/>
            <w:szCs w:val="18"/>
            <w:lang w:val="fr-CA"/>
          </w:rPr>
          <w:t>CBD/SBI/2/1</w:t>
        </w:r>
      </w:hyperlink>
      <w:r w:rsidRPr="006A7635">
        <w:rPr>
          <w:szCs w:val="18"/>
          <w:lang w:val="fr-CA"/>
        </w:rPr>
        <w:t>.</w:t>
      </w:r>
    </w:p>
  </w:footnote>
  <w:footnote w:id="20">
    <w:p w:rsidR="00E62BFB" w:rsidRPr="001724BB" w:rsidRDefault="00E62BFB" w:rsidP="009F6935">
      <w:pPr>
        <w:pStyle w:val="FootnoteText"/>
        <w:spacing w:after="0"/>
        <w:ind w:firstLine="0"/>
        <w:jc w:val="left"/>
        <w:rPr>
          <w:szCs w:val="18"/>
          <w:lang w:val="fr-FR"/>
        </w:rPr>
      </w:pPr>
      <w:r w:rsidRPr="00A12E58">
        <w:rPr>
          <w:rStyle w:val="FootnoteReference"/>
          <w:sz w:val="20"/>
          <w:szCs w:val="20"/>
          <w:u w:val="none"/>
          <w:vertAlign w:val="superscript"/>
        </w:rPr>
        <w:footnoteRef/>
      </w:r>
      <w:r w:rsidRPr="00A12E58">
        <w:rPr>
          <w:sz w:val="20"/>
          <w:szCs w:val="20"/>
          <w:vertAlign w:val="superscript"/>
          <w:lang w:val="fr-FR"/>
        </w:rPr>
        <w:t xml:space="preserve"> </w:t>
      </w:r>
      <w:r w:rsidRPr="001724BB">
        <w:rPr>
          <w:szCs w:val="18"/>
          <w:lang w:val="fr-FR"/>
        </w:rPr>
        <w:t xml:space="preserve">Voir la résolution </w:t>
      </w:r>
      <w:hyperlink r:id="rId6" w:history="1">
        <w:r w:rsidRPr="004F7C7F">
          <w:rPr>
            <w:rStyle w:val="Hyperlink"/>
            <w:szCs w:val="18"/>
            <w:lang w:val="fr-FR"/>
          </w:rPr>
          <w:t>70/1</w:t>
        </w:r>
      </w:hyperlink>
      <w:r w:rsidRPr="001724BB">
        <w:rPr>
          <w:szCs w:val="18"/>
          <w:lang w:val="fr-FR"/>
        </w:rPr>
        <w:t xml:space="preserve"> de l’Assemblée générale intitulée </w:t>
      </w:r>
      <w:r>
        <w:rPr>
          <w:szCs w:val="18"/>
          <w:lang w:val="fr-FR"/>
        </w:rPr>
        <w:t>« </w:t>
      </w:r>
      <w:r w:rsidRPr="001724BB">
        <w:rPr>
          <w:szCs w:val="18"/>
          <w:lang w:val="fr-FR"/>
        </w:rPr>
        <w:t>Transform</w:t>
      </w:r>
      <w:r>
        <w:rPr>
          <w:szCs w:val="18"/>
          <w:lang w:val="fr-FR"/>
        </w:rPr>
        <w:t xml:space="preserve">er notre monde </w:t>
      </w:r>
      <w:r w:rsidRPr="001724BB">
        <w:rPr>
          <w:szCs w:val="18"/>
          <w:lang w:val="fr-FR"/>
        </w:rPr>
        <w:t xml:space="preserve">: </w:t>
      </w:r>
      <w:r>
        <w:rPr>
          <w:szCs w:val="18"/>
          <w:lang w:val="fr-FR"/>
        </w:rPr>
        <w:t>le Programme de développement durable à l’horizon 2030 »</w:t>
      </w:r>
      <w:r w:rsidRPr="001724BB">
        <w:rPr>
          <w:szCs w:val="18"/>
          <w:lang w:val="fr-FR"/>
        </w:rPr>
        <w:t>.</w:t>
      </w:r>
    </w:p>
  </w:footnote>
  <w:footnote w:id="21">
    <w:p w:rsidR="00E62BFB" w:rsidRPr="00F93FD6" w:rsidRDefault="00E62BFB" w:rsidP="009F6935">
      <w:pPr>
        <w:pStyle w:val="FootnoteText"/>
        <w:kinsoku w:val="0"/>
        <w:overflowPunct w:val="0"/>
        <w:autoSpaceDE w:val="0"/>
        <w:autoSpaceDN w:val="0"/>
        <w:adjustRightInd w:val="0"/>
        <w:snapToGrid w:val="0"/>
        <w:ind w:firstLine="0"/>
        <w:jc w:val="left"/>
        <w:rPr>
          <w:szCs w:val="18"/>
          <w:lang w:val="fr-FR"/>
        </w:rPr>
      </w:pPr>
      <w:r w:rsidRPr="004E0B00">
        <w:rPr>
          <w:rStyle w:val="FootnoteReference"/>
          <w:sz w:val="20"/>
          <w:szCs w:val="20"/>
          <w:u w:val="none"/>
          <w:vertAlign w:val="superscript"/>
        </w:rPr>
        <w:footnoteRef/>
      </w:r>
      <w:r w:rsidRPr="004E0B00">
        <w:rPr>
          <w:sz w:val="20"/>
          <w:szCs w:val="20"/>
          <w:vertAlign w:val="superscript"/>
          <w:lang w:val="fr-FR"/>
        </w:rPr>
        <w:t xml:space="preserve"> </w:t>
      </w:r>
      <w:r>
        <w:rPr>
          <w:szCs w:val="18"/>
          <w:lang w:val="fr-FR"/>
        </w:rPr>
        <w:t>Annexe à la dé</w:t>
      </w:r>
      <w:r w:rsidRPr="00F93FD6">
        <w:rPr>
          <w:szCs w:val="18"/>
          <w:lang w:val="fr-FR"/>
        </w:rPr>
        <w:t xml:space="preserve">cision </w:t>
      </w:r>
      <w:hyperlink r:id="rId7" w:history="1">
        <w:r w:rsidRPr="00F93FD6">
          <w:rPr>
            <w:rStyle w:val="Hyperlink"/>
            <w:szCs w:val="18"/>
            <w:lang w:val="fr-FR"/>
          </w:rPr>
          <w:t>X/2</w:t>
        </w:r>
      </w:hyperlink>
      <w:r w:rsidRPr="00F93FD6">
        <w:rPr>
          <w:szCs w:val="18"/>
          <w:lang w:val="fr-FR"/>
        </w:rPr>
        <w:t>.</w:t>
      </w:r>
    </w:p>
  </w:footnote>
  <w:footnote w:id="22">
    <w:p w:rsidR="00E62BFB" w:rsidRPr="00F93FD6" w:rsidRDefault="00E62BFB" w:rsidP="009F6935">
      <w:pPr>
        <w:pStyle w:val="FootnoteText"/>
        <w:kinsoku w:val="0"/>
        <w:overflowPunct w:val="0"/>
        <w:autoSpaceDE w:val="0"/>
        <w:autoSpaceDN w:val="0"/>
        <w:adjustRightInd w:val="0"/>
        <w:snapToGrid w:val="0"/>
        <w:ind w:firstLine="0"/>
        <w:jc w:val="left"/>
        <w:rPr>
          <w:szCs w:val="18"/>
          <w:lang w:val="fr-FR"/>
        </w:rPr>
      </w:pPr>
      <w:r w:rsidRPr="004E0B00">
        <w:rPr>
          <w:rStyle w:val="FootnoteReference"/>
          <w:sz w:val="20"/>
          <w:szCs w:val="20"/>
          <w:u w:val="none"/>
          <w:vertAlign w:val="superscript"/>
        </w:rPr>
        <w:footnoteRef/>
      </w:r>
      <w:r w:rsidRPr="00F93FD6">
        <w:rPr>
          <w:szCs w:val="18"/>
          <w:lang w:val="fr-FR"/>
        </w:rPr>
        <w:t xml:space="preserve"> </w:t>
      </w:r>
      <w:r w:rsidRPr="001724BB">
        <w:rPr>
          <w:szCs w:val="18"/>
          <w:lang w:val="fr-FR"/>
        </w:rPr>
        <w:t xml:space="preserve">Voir la résolution </w:t>
      </w:r>
      <w:hyperlink r:id="rId8" w:history="1">
        <w:r w:rsidRPr="004F7C7F">
          <w:rPr>
            <w:rStyle w:val="Hyperlink"/>
            <w:szCs w:val="18"/>
            <w:lang w:val="fr-FR"/>
          </w:rPr>
          <w:t>70/1</w:t>
        </w:r>
      </w:hyperlink>
      <w:r w:rsidRPr="001724BB">
        <w:rPr>
          <w:szCs w:val="18"/>
          <w:lang w:val="fr-FR"/>
        </w:rPr>
        <w:t xml:space="preserve"> de l’Assemblée générale intitulée </w:t>
      </w:r>
      <w:r>
        <w:rPr>
          <w:szCs w:val="18"/>
          <w:lang w:val="fr-FR"/>
        </w:rPr>
        <w:t>« </w:t>
      </w:r>
      <w:r w:rsidRPr="001724BB">
        <w:rPr>
          <w:szCs w:val="18"/>
          <w:lang w:val="fr-FR"/>
        </w:rPr>
        <w:t>Transform</w:t>
      </w:r>
      <w:r>
        <w:rPr>
          <w:szCs w:val="18"/>
          <w:lang w:val="fr-FR"/>
        </w:rPr>
        <w:t xml:space="preserve">er notre monde </w:t>
      </w:r>
      <w:r w:rsidRPr="001724BB">
        <w:rPr>
          <w:szCs w:val="18"/>
          <w:lang w:val="fr-FR"/>
        </w:rPr>
        <w:t xml:space="preserve">: </w:t>
      </w:r>
      <w:r>
        <w:rPr>
          <w:szCs w:val="18"/>
          <w:lang w:val="fr-FR"/>
        </w:rPr>
        <w:t>le Programme de développement durable à l’horizon 2030 »</w:t>
      </w:r>
      <w:r w:rsidRPr="00F93FD6">
        <w:rPr>
          <w:szCs w:val="18"/>
          <w:lang w:val="fr-FR"/>
        </w:rPr>
        <w:t>.</w:t>
      </w:r>
    </w:p>
  </w:footnote>
  <w:footnote w:id="23">
    <w:p w:rsidR="00E62BFB" w:rsidRPr="00E80656" w:rsidRDefault="00E62BFB" w:rsidP="009F6935">
      <w:pPr>
        <w:pStyle w:val="FootnoteText"/>
        <w:spacing w:after="0"/>
        <w:ind w:firstLine="0"/>
        <w:jc w:val="left"/>
        <w:rPr>
          <w:szCs w:val="18"/>
          <w:lang w:val="fr-FR"/>
        </w:rPr>
      </w:pPr>
      <w:r w:rsidRPr="004E0B00">
        <w:rPr>
          <w:rStyle w:val="FootnoteReference"/>
          <w:sz w:val="20"/>
          <w:szCs w:val="20"/>
          <w:u w:val="none"/>
          <w:vertAlign w:val="superscript"/>
        </w:rPr>
        <w:footnoteRef/>
      </w:r>
      <w:r w:rsidRPr="00E80656">
        <w:rPr>
          <w:szCs w:val="18"/>
          <w:lang w:val="fr-FR"/>
        </w:rPr>
        <w:t xml:space="preserve"> Voir aussi </w:t>
      </w:r>
      <w:r w:rsidRPr="00E80656">
        <w:rPr>
          <w:iCs/>
          <w:snapToGrid w:val="0"/>
          <w:kern w:val="22"/>
          <w:szCs w:val="18"/>
          <w:lang w:val="fr-FR"/>
        </w:rPr>
        <w:t>CBD/SBSTTA/22/INF/10, INF/</w:t>
      </w:r>
      <w:r w:rsidRPr="00E80656">
        <w:rPr>
          <w:szCs w:val="18"/>
          <w:lang w:val="fr-FR"/>
        </w:rPr>
        <w:t>22, INF/23, INF/26, INF/30, INF/31, INF/32, INF/34 et INF/35.</w:t>
      </w:r>
    </w:p>
  </w:footnote>
  <w:footnote w:id="24">
    <w:p w:rsidR="00E62BFB" w:rsidRPr="009F6935" w:rsidRDefault="00E62BFB" w:rsidP="009F6935">
      <w:pPr>
        <w:pStyle w:val="FootnoteText"/>
        <w:ind w:firstLine="0"/>
        <w:jc w:val="left"/>
        <w:rPr>
          <w:szCs w:val="18"/>
          <w:lang w:val="en-AU"/>
        </w:rPr>
      </w:pPr>
      <w:r w:rsidRPr="004E0B00">
        <w:rPr>
          <w:rStyle w:val="FootnoteReference"/>
          <w:sz w:val="20"/>
          <w:szCs w:val="20"/>
          <w:u w:val="none"/>
          <w:vertAlign w:val="superscript"/>
        </w:rPr>
        <w:footnoteRef/>
      </w:r>
      <w:r w:rsidRPr="004E0B00">
        <w:rPr>
          <w:sz w:val="20"/>
          <w:szCs w:val="20"/>
          <w:vertAlign w:val="superscript"/>
          <w:lang w:val="en-AU"/>
        </w:rPr>
        <w:t xml:space="preserve"> </w:t>
      </w:r>
      <w:r w:rsidRPr="009F6935">
        <w:rPr>
          <w:iCs/>
          <w:snapToGrid w:val="0"/>
          <w:kern w:val="22"/>
          <w:szCs w:val="18"/>
          <w:lang w:val="en-AU"/>
        </w:rPr>
        <w:t>CBD/SBSTTA/22, annexe I.</w:t>
      </w:r>
    </w:p>
  </w:footnote>
  <w:footnote w:id="25">
    <w:p w:rsidR="00E62BFB" w:rsidRPr="001724BB" w:rsidRDefault="00E62BFB" w:rsidP="009F6935">
      <w:pPr>
        <w:pStyle w:val="FootnoteText"/>
        <w:spacing w:after="0"/>
        <w:ind w:firstLine="0"/>
        <w:jc w:val="left"/>
        <w:rPr>
          <w:szCs w:val="18"/>
          <w:lang w:val="en-AU"/>
        </w:rPr>
      </w:pPr>
      <w:r w:rsidRPr="004E0B00">
        <w:rPr>
          <w:rStyle w:val="FootnoteReference"/>
          <w:sz w:val="20"/>
          <w:szCs w:val="20"/>
          <w:u w:val="none"/>
          <w:vertAlign w:val="superscript"/>
        </w:rPr>
        <w:footnoteRef/>
      </w:r>
      <w:r w:rsidRPr="001724BB">
        <w:rPr>
          <w:szCs w:val="18"/>
          <w:lang w:val="en-AU"/>
        </w:rPr>
        <w:t xml:space="preserve"> </w:t>
      </w:r>
      <w:r w:rsidRPr="001724BB">
        <w:rPr>
          <w:iCs/>
          <w:snapToGrid w:val="0"/>
          <w:kern w:val="22"/>
          <w:szCs w:val="18"/>
          <w:lang w:val="en-AU"/>
        </w:rPr>
        <w:t>CBD/SBSTTA/22/INF/10.</w:t>
      </w:r>
    </w:p>
  </w:footnote>
  <w:footnote w:id="26">
    <w:p w:rsidR="00E62BFB" w:rsidRPr="001724BB" w:rsidRDefault="00E62BFB" w:rsidP="009F6935">
      <w:pPr>
        <w:pStyle w:val="FootnoteText"/>
        <w:spacing w:after="0"/>
        <w:ind w:firstLine="0"/>
        <w:jc w:val="left"/>
        <w:rPr>
          <w:szCs w:val="18"/>
          <w:lang w:val="en-CA"/>
        </w:rPr>
      </w:pPr>
      <w:r w:rsidRPr="00E2241E">
        <w:rPr>
          <w:rStyle w:val="FootnoteReference"/>
          <w:sz w:val="20"/>
          <w:szCs w:val="20"/>
          <w:u w:val="none"/>
          <w:vertAlign w:val="superscript"/>
        </w:rPr>
        <w:footnoteRef/>
      </w:r>
      <w:r w:rsidRPr="00E2241E">
        <w:rPr>
          <w:sz w:val="20"/>
          <w:szCs w:val="20"/>
          <w:vertAlign w:val="superscript"/>
        </w:rPr>
        <w:t xml:space="preserve"> </w:t>
      </w:r>
      <w:r w:rsidRPr="001724BB">
        <w:rPr>
          <w:iCs/>
          <w:snapToGrid w:val="0"/>
          <w:kern w:val="22"/>
          <w:szCs w:val="18"/>
        </w:rPr>
        <w:t>CBD/SBSTTA/22, annex</w:t>
      </w:r>
      <w:r>
        <w:rPr>
          <w:iCs/>
          <w:snapToGrid w:val="0"/>
          <w:kern w:val="22"/>
          <w:szCs w:val="18"/>
        </w:rPr>
        <w:t>e</w:t>
      </w:r>
      <w:r w:rsidRPr="001724BB">
        <w:rPr>
          <w:iCs/>
          <w:snapToGrid w:val="0"/>
          <w:kern w:val="22"/>
          <w:szCs w:val="18"/>
        </w:rPr>
        <w:t xml:space="preserve"> I.</w:t>
      </w:r>
    </w:p>
  </w:footnote>
  <w:footnote w:id="27">
    <w:p w:rsidR="00E62BFB" w:rsidRPr="00207CAF" w:rsidRDefault="00E62BFB" w:rsidP="009F6935">
      <w:pPr>
        <w:pStyle w:val="FootnoteText"/>
        <w:spacing w:after="0"/>
        <w:ind w:firstLine="0"/>
        <w:jc w:val="left"/>
        <w:rPr>
          <w:szCs w:val="18"/>
          <w:lang w:val="en-CA"/>
        </w:rPr>
      </w:pPr>
      <w:r w:rsidRPr="00E2241E">
        <w:rPr>
          <w:rStyle w:val="FootnoteReference"/>
          <w:sz w:val="20"/>
          <w:szCs w:val="20"/>
          <w:u w:val="none"/>
          <w:vertAlign w:val="superscript"/>
        </w:rPr>
        <w:footnoteRef/>
      </w:r>
      <w:r w:rsidRPr="00E2241E">
        <w:rPr>
          <w:sz w:val="20"/>
          <w:szCs w:val="20"/>
          <w:vertAlign w:val="superscript"/>
        </w:rPr>
        <w:t xml:space="preserve"> </w:t>
      </w:r>
      <w:r>
        <w:rPr>
          <w:szCs w:val="18"/>
        </w:rPr>
        <w:t xml:space="preserve">Voir le </w:t>
      </w:r>
      <w:hyperlink r:id="rId9" w:tgtFrame="_blank" w:history="1">
        <w:r>
          <w:rPr>
            <w:rStyle w:val="Hyperlink"/>
            <w:szCs w:val="18"/>
          </w:rPr>
          <w:t>Report of the global inception and capacity-building meeting on developing capacity for undertaking national ecosystem assessments in IPBES</w:t>
        </w:r>
      </w:hyperlink>
      <w:r>
        <w:rPr>
          <w:szCs w:val="18"/>
        </w:rPr>
        <w:t xml:space="preserve"> et le </w:t>
      </w:r>
      <w:hyperlink r:id="rId10" w:tgtFrame="_blank" w:history="1">
        <w:r>
          <w:rPr>
            <w:rStyle w:val="Hyperlink"/>
            <w:color w:val="800080"/>
            <w:szCs w:val="18"/>
          </w:rPr>
          <w:t>Project on “supporting developing country capacity to address science-policy questions through IPBES via the UNDP managed Biodiversity et Ecosystem Services Network (BES-Net) and the UNEP-WCMC hosted Sub-Global Assessment Network”</w:t>
        </w:r>
      </w:hyperlink>
      <w:r>
        <w:rPr>
          <w:szCs w:val="18"/>
        </w:rPr>
        <w:t>.</w:t>
      </w:r>
    </w:p>
  </w:footnote>
  <w:footnote w:id="28">
    <w:p w:rsidR="00E62BFB" w:rsidRPr="001724BB" w:rsidRDefault="00E62BFB" w:rsidP="009F6935">
      <w:pPr>
        <w:pStyle w:val="FootnoteText"/>
        <w:spacing w:after="0"/>
        <w:ind w:firstLine="0"/>
        <w:jc w:val="left"/>
        <w:rPr>
          <w:szCs w:val="18"/>
          <w:lang w:val="fr-FR"/>
        </w:rPr>
      </w:pPr>
      <w:r w:rsidRPr="00E2241E">
        <w:rPr>
          <w:rStyle w:val="FootnoteReference"/>
          <w:sz w:val="20"/>
          <w:szCs w:val="20"/>
          <w:u w:val="none"/>
          <w:vertAlign w:val="superscript"/>
        </w:rPr>
        <w:footnoteRef/>
      </w:r>
      <w:r w:rsidRPr="001724BB">
        <w:rPr>
          <w:szCs w:val="18"/>
          <w:lang w:val="fr-FR"/>
        </w:rPr>
        <w:t xml:space="preserve"> </w:t>
      </w:r>
      <w:r>
        <w:rPr>
          <w:iCs/>
          <w:snapToGrid w:val="0"/>
          <w:kern w:val="22"/>
          <w:szCs w:val="18"/>
          <w:lang w:val="fr-FR"/>
        </w:rPr>
        <w:t>Décision</w:t>
      </w:r>
      <w:r w:rsidRPr="001724BB">
        <w:rPr>
          <w:iCs/>
          <w:snapToGrid w:val="0"/>
          <w:kern w:val="22"/>
          <w:szCs w:val="18"/>
          <w:lang w:val="fr-FR"/>
        </w:rPr>
        <w:t>s III/11, V/5 et VIII/23.</w:t>
      </w:r>
    </w:p>
  </w:footnote>
  <w:footnote w:id="29">
    <w:p w:rsidR="00E62BFB" w:rsidRPr="00AD3F2C" w:rsidRDefault="00E62BFB" w:rsidP="009F6935">
      <w:pPr>
        <w:pStyle w:val="FootnoteText"/>
        <w:spacing w:after="0"/>
        <w:ind w:firstLine="0"/>
        <w:jc w:val="left"/>
        <w:rPr>
          <w:szCs w:val="18"/>
          <w:lang w:val="fr-CA"/>
        </w:rPr>
      </w:pPr>
      <w:r w:rsidRPr="00E2241E">
        <w:rPr>
          <w:rStyle w:val="FootnoteReference"/>
          <w:sz w:val="20"/>
          <w:szCs w:val="20"/>
          <w:u w:val="none"/>
          <w:vertAlign w:val="superscript"/>
        </w:rPr>
        <w:footnoteRef/>
      </w:r>
      <w:r w:rsidRPr="00E2241E">
        <w:rPr>
          <w:sz w:val="20"/>
          <w:szCs w:val="20"/>
          <w:vertAlign w:val="superscript"/>
          <w:lang w:val="fr-CA"/>
        </w:rPr>
        <w:t xml:space="preserve"> </w:t>
      </w:r>
      <w:r w:rsidRPr="00AD3F2C">
        <w:rPr>
          <w:szCs w:val="18"/>
          <w:lang w:val="fr-CA"/>
        </w:rPr>
        <w:t>CBD/SBSTTA/22/INF/23.</w:t>
      </w:r>
    </w:p>
  </w:footnote>
  <w:footnote w:id="30">
    <w:p w:rsidR="00E62BFB" w:rsidRPr="00E80656" w:rsidRDefault="00E62BFB" w:rsidP="009F6935">
      <w:pPr>
        <w:pStyle w:val="FootnoteText"/>
        <w:spacing w:after="0"/>
        <w:ind w:firstLine="0"/>
        <w:jc w:val="left"/>
        <w:rPr>
          <w:szCs w:val="18"/>
          <w:lang w:val="fr-FR"/>
        </w:rPr>
      </w:pPr>
      <w:r w:rsidRPr="00E2241E">
        <w:rPr>
          <w:rStyle w:val="FootnoteReference"/>
          <w:sz w:val="20"/>
          <w:szCs w:val="20"/>
          <w:u w:val="none"/>
          <w:vertAlign w:val="superscript"/>
        </w:rPr>
        <w:footnoteRef/>
      </w:r>
      <w:r w:rsidRPr="00E2241E">
        <w:rPr>
          <w:sz w:val="20"/>
          <w:szCs w:val="20"/>
          <w:vertAlign w:val="superscript"/>
          <w:lang w:val="fr-FR"/>
        </w:rPr>
        <w:t xml:space="preserve"> </w:t>
      </w:r>
      <w:r w:rsidRPr="00E80656">
        <w:rPr>
          <w:szCs w:val="18"/>
          <w:lang w:val="fr-FR"/>
        </w:rPr>
        <w:t>Annexe à la décision XIII/5.</w:t>
      </w:r>
    </w:p>
  </w:footnote>
  <w:footnote w:id="31">
    <w:p w:rsidR="00E62BFB" w:rsidRPr="00A97976" w:rsidRDefault="00E62BFB" w:rsidP="009F6935">
      <w:pPr>
        <w:pStyle w:val="FootnoteText"/>
        <w:kinsoku w:val="0"/>
        <w:overflowPunct w:val="0"/>
        <w:autoSpaceDE w:val="0"/>
        <w:autoSpaceDN w:val="0"/>
        <w:adjustRightInd w:val="0"/>
        <w:snapToGrid w:val="0"/>
        <w:spacing w:after="0"/>
        <w:ind w:firstLine="0"/>
        <w:jc w:val="left"/>
        <w:rPr>
          <w:szCs w:val="18"/>
          <w:lang w:val="fr-FR"/>
        </w:rPr>
      </w:pPr>
      <w:r w:rsidRPr="00E2241E">
        <w:rPr>
          <w:rStyle w:val="FootnoteReference"/>
          <w:sz w:val="20"/>
          <w:szCs w:val="20"/>
          <w:u w:val="none"/>
          <w:vertAlign w:val="superscript"/>
        </w:rPr>
        <w:footnoteRef/>
      </w:r>
      <w:r w:rsidRPr="00A97976">
        <w:rPr>
          <w:szCs w:val="18"/>
          <w:lang w:val="fr-FR"/>
        </w:rPr>
        <w:t xml:space="preserve"> </w:t>
      </w:r>
      <w:hyperlink r:id="rId11" w:history="1">
        <w:r>
          <w:rPr>
            <w:rStyle w:val="Hyperlink"/>
            <w:szCs w:val="18"/>
            <w:lang w:val="fr-FR"/>
          </w:rPr>
          <w:t>https://www.cbd.int/gbo/gbo4/publication/lbo-en.pdf</w:t>
        </w:r>
      </w:hyperlink>
    </w:p>
  </w:footnote>
  <w:footnote w:id="32">
    <w:p w:rsidR="00E62BFB" w:rsidRPr="003E38C8" w:rsidRDefault="00E62BFB" w:rsidP="009F6935">
      <w:pPr>
        <w:pStyle w:val="FootnoteText"/>
        <w:spacing w:after="0"/>
        <w:ind w:firstLine="0"/>
        <w:jc w:val="left"/>
        <w:rPr>
          <w:szCs w:val="18"/>
          <w:lang w:val="fr-FR"/>
        </w:rPr>
      </w:pPr>
      <w:r w:rsidRPr="00E2241E">
        <w:rPr>
          <w:rStyle w:val="FootnoteReference"/>
          <w:sz w:val="20"/>
          <w:szCs w:val="20"/>
          <w:u w:val="none"/>
          <w:vertAlign w:val="superscript"/>
        </w:rPr>
        <w:footnoteRef/>
      </w:r>
      <w:r w:rsidRPr="003E38C8">
        <w:rPr>
          <w:szCs w:val="18"/>
          <w:lang w:val="fr-FR"/>
        </w:rPr>
        <w:t xml:space="preserve"> </w:t>
      </w:r>
      <w:r>
        <w:rPr>
          <w:iCs/>
          <w:snapToGrid w:val="0"/>
          <w:kern w:val="22"/>
          <w:szCs w:val="18"/>
          <w:lang w:val="fr-FR"/>
        </w:rPr>
        <w:t>Partie VI de la d</w:t>
      </w:r>
      <w:r w:rsidRPr="003E38C8">
        <w:rPr>
          <w:iCs/>
          <w:snapToGrid w:val="0"/>
          <w:kern w:val="22"/>
          <w:szCs w:val="18"/>
          <w:lang w:val="fr-FR"/>
        </w:rPr>
        <w:t>écision</w:t>
      </w:r>
      <w:r>
        <w:rPr>
          <w:iCs/>
          <w:snapToGrid w:val="0"/>
          <w:kern w:val="22"/>
          <w:szCs w:val="18"/>
          <w:lang w:val="fr-FR"/>
        </w:rPr>
        <w:t xml:space="preserve"> X/2</w:t>
      </w:r>
      <w:r w:rsidRPr="003E38C8">
        <w:rPr>
          <w:iCs/>
          <w:snapToGrid w:val="0"/>
          <w:kern w:val="22"/>
          <w:szCs w:val="18"/>
          <w:lang w:val="fr-FR"/>
        </w:rPr>
        <w:t>.</w:t>
      </w:r>
    </w:p>
  </w:footnote>
  <w:footnote w:id="33">
    <w:p w:rsidR="00E62BFB" w:rsidRPr="006D37DD" w:rsidRDefault="00E62BFB" w:rsidP="009F6935">
      <w:pPr>
        <w:pStyle w:val="FootnoteText"/>
        <w:kinsoku w:val="0"/>
        <w:overflowPunct w:val="0"/>
        <w:autoSpaceDE w:val="0"/>
        <w:autoSpaceDN w:val="0"/>
        <w:spacing w:after="0"/>
        <w:ind w:firstLine="0"/>
        <w:jc w:val="left"/>
        <w:rPr>
          <w:snapToGrid w:val="0"/>
          <w:kern w:val="18"/>
          <w:szCs w:val="18"/>
          <w:lang w:val="fr-FR"/>
        </w:rPr>
      </w:pPr>
      <w:r w:rsidRPr="00E2241E">
        <w:rPr>
          <w:rStyle w:val="FootnoteReference"/>
          <w:rFonts w:eastAsiaTheme="majorEastAsia"/>
          <w:snapToGrid w:val="0"/>
          <w:kern w:val="18"/>
          <w:sz w:val="20"/>
          <w:szCs w:val="20"/>
          <w:u w:val="none"/>
          <w:vertAlign w:val="superscript"/>
        </w:rPr>
        <w:footnoteRef/>
      </w:r>
      <w:r w:rsidRPr="00E2241E">
        <w:rPr>
          <w:snapToGrid w:val="0"/>
          <w:kern w:val="18"/>
          <w:sz w:val="20"/>
          <w:szCs w:val="20"/>
          <w:vertAlign w:val="superscript"/>
          <w:lang w:val="fr-FR"/>
        </w:rPr>
        <w:t xml:space="preserve"> </w:t>
      </w:r>
      <w:r w:rsidRPr="006D37DD">
        <w:rPr>
          <w:snapToGrid w:val="0"/>
          <w:kern w:val="18"/>
          <w:szCs w:val="18"/>
          <w:lang w:val="fr-FR"/>
        </w:rPr>
        <w:t>Les mesures identifié</w:t>
      </w:r>
      <w:r>
        <w:rPr>
          <w:snapToGrid w:val="0"/>
          <w:kern w:val="18"/>
          <w:szCs w:val="18"/>
          <w:lang w:val="fr-FR"/>
        </w:rPr>
        <w:t xml:space="preserve">es ici devraient être examinées au regard des orientations déjà élaborées par la </w:t>
      </w:r>
      <w:r w:rsidRPr="006D37DD">
        <w:rPr>
          <w:snapToGrid w:val="0"/>
          <w:kern w:val="18"/>
          <w:szCs w:val="18"/>
          <w:lang w:val="fr-FR"/>
        </w:rPr>
        <w:t xml:space="preserve">Conférence des Parties, y compris </w:t>
      </w:r>
      <w:r>
        <w:rPr>
          <w:snapToGrid w:val="0"/>
          <w:kern w:val="18"/>
          <w:szCs w:val="18"/>
          <w:lang w:val="fr-FR"/>
        </w:rPr>
        <w:t xml:space="preserve">la </w:t>
      </w:r>
      <w:r w:rsidRPr="006D37DD">
        <w:rPr>
          <w:snapToGrid w:val="0"/>
          <w:kern w:val="18"/>
          <w:szCs w:val="18"/>
          <w:lang w:val="fr-FR"/>
        </w:rPr>
        <w:t>décision</w:t>
      </w:r>
      <w:r>
        <w:rPr>
          <w:snapToGrid w:val="0"/>
          <w:kern w:val="18"/>
          <w:szCs w:val="18"/>
          <w:lang w:val="fr-FR"/>
        </w:rPr>
        <w:t xml:space="preserve"> X/2 sur le </w:t>
      </w:r>
      <w:r w:rsidRPr="00D94D3C">
        <w:rPr>
          <w:iCs/>
          <w:snapToGrid w:val="0"/>
          <w:kern w:val="22"/>
          <w:szCs w:val="22"/>
          <w:lang w:val="fr-FR"/>
        </w:rPr>
        <w:t>Plan stratégique pour la diversité biologique</w:t>
      </w:r>
      <w:r>
        <w:rPr>
          <w:iCs/>
          <w:snapToGrid w:val="0"/>
          <w:kern w:val="22"/>
          <w:szCs w:val="22"/>
          <w:lang w:val="fr-FR"/>
        </w:rPr>
        <w:t xml:space="preserve"> 2011-2020 </w:t>
      </w:r>
      <w:r w:rsidRPr="006D37DD">
        <w:rPr>
          <w:snapToGrid w:val="0"/>
          <w:kern w:val="18"/>
          <w:szCs w:val="18"/>
          <w:lang w:val="fr-FR"/>
        </w:rPr>
        <w:t xml:space="preserve">et </w:t>
      </w:r>
      <w:r>
        <w:rPr>
          <w:snapToGrid w:val="0"/>
          <w:kern w:val="18"/>
          <w:szCs w:val="18"/>
          <w:lang w:val="fr-FR"/>
        </w:rPr>
        <w:t>son fondement technique</w:t>
      </w:r>
      <w:r w:rsidRPr="006D37DD">
        <w:rPr>
          <w:snapToGrid w:val="0"/>
          <w:kern w:val="18"/>
          <w:szCs w:val="18"/>
          <w:lang w:val="fr-FR"/>
        </w:rPr>
        <w:t xml:space="preserve"> (UNEP/CBD/COP/10/27/Add.1), ainsi que</w:t>
      </w:r>
      <w:r>
        <w:rPr>
          <w:snapToGrid w:val="0"/>
          <w:kern w:val="18"/>
          <w:szCs w:val="18"/>
          <w:lang w:val="fr-FR"/>
        </w:rPr>
        <w:t xml:space="preserve"> les besoins de mise en œuvre </w:t>
      </w:r>
      <w:r w:rsidRPr="006D37DD">
        <w:rPr>
          <w:snapToGrid w:val="0"/>
          <w:kern w:val="18"/>
          <w:szCs w:val="18"/>
          <w:lang w:val="fr-FR"/>
        </w:rPr>
        <w:t>identifié</w:t>
      </w:r>
      <w:r>
        <w:rPr>
          <w:snapToGrid w:val="0"/>
          <w:kern w:val="18"/>
          <w:szCs w:val="18"/>
          <w:lang w:val="fr-FR"/>
        </w:rPr>
        <w:t>s par la</w:t>
      </w:r>
      <w:r w:rsidRPr="006D37DD">
        <w:rPr>
          <w:snapToGrid w:val="0"/>
          <w:kern w:val="18"/>
          <w:szCs w:val="18"/>
          <w:lang w:val="fr-FR"/>
        </w:rPr>
        <w:t xml:space="preserve"> Conférence des</w:t>
      </w:r>
      <w:r>
        <w:rPr>
          <w:snapToGrid w:val="0"/>
          <w:kern w:val="18"/>
          <w:szCs w:val="18"/>
          <w:lang w:val="fr-FR"/>
        </w:rPr>
        <w:t xml:space="preserve"> Parties dans la</w:t>
      </w:r>
      <w:r w:rsidRPr="006D37DD">
        <w:rPr>
          <w:snapToGrid w:val="0"/>
          <w:kern w:val="18"/>
          <w:szCs w:val="18"/>
          <w:lang w:val="fr-FR"/>
        </w:rPr>
        <w:t xml:space="preserve"> décision XII/1.</w:t>
      </w:r>
    </w:p>
  </w:footnote>
  <w:footnote w:id="34">
    <w:p w:rsidR="00E62BFB" w:rsidRPr="009E3119" w:rsidRDefault="00E62BFB" w:rsidP="009F6935">
      <w:pPr>
        <w:pStyle w:val="FootnoteText"/>
        <w:ind w:firstLine="0"/>
        <w:rPr>
          <w:lang w:val="fr-FR"/>
        </w:rPr>
      </w:pPr>
      <w:r w:rsidRPr="0005076E">
        <w:rPr>
          <w:rStyle w:val="FootnoteReference"/>
          <w:sz w:val="20"/>
          <w:szCs w:val="20"/>
          <w:u w:val="none"/>
          <w:vertAlign w:val="superscript"/>
        </w:rPr>
        <w:footnoteRef/>
      </w:r>
      <w:r w:rsidRPr="00E5596D">
        <w:rPr>
          <w:vertAlign w:val="superscript"/>
          <w:lang w:val="fr-FR"/>
        </w:rPr>
        <w:t xml:space="preserve"> </w:t>
      </w:r>
      <w:r>
        <w:rPr>
          <w:lang w:val="fr-FR"/>
        </w:rPr>
        <w:t>Tel que défini à l’article 2 de la Convention sur la diversité biologique et conformément aux dispositions de la Convention.</w:t>
      </w:r>
    </w:p>
  </w:footnote>
  <w:footnote w:id="35">
    <w:p w:rsidR="00E62BFB" w:rsidRPr="009E3119" w:rsidRDefault="00E62BFB" w:rsidP="009F6935">
      <w:pPr>
        <w:pStyle w:val="FootnoteText"/>
        <w:ind w:firstLine="0"/>
        <w:rPr>
          <w:lang w:val="fr-FR"/>
        </w:rPr>
      </w:pPr>
      <w:r w:rsidRPr="0005076E">
        <w:rPr>
          <w:rStyle w:val="FootnoteReference"/>
          <w:sz w:val="20"/>
          <w:szCs w:val="20"/>
          <w:u w:val="none"/>
          <w:vertAlign w:val="superscript"/>
        </w:rPr>
        <w:footnoteRef/>
      </w:r>
      <w:r w:rsidRPr="00E5596D">
        <w:rPr>
          <w:vertAlign w:val="superscript"/>
          <w:lang w:val="fr-FR"/>
        </w:rPr>
        <w:t xml:space="preserve"> </w:t>
      </w:r>
      <w:r>
        <w:rPr>
          <w:lang w:val="fr-FR"/>
        </w:rPr>
        <w:t>Tel que défini à l’article 2 de la Convention sur la diversité biologique et conformément aux dispositions de la Convention.</w:t>
      </w:r>
    </w:p>
  </w:footnote>
  <w:footnote w:id="36">
    <w:p w:rsidR="00E62BFB" w:rsidRPr="00320E40" w:rsidRDefault="00E62BFB" w:rsidP="009F6935">
      <w:pPr>
        <w:pStyle w:val="FootnoteText"/>
        <w:ind w:firstLine="0"/>
        <w:rPr>
          <w:lang w:val="fr-FR"/>
        </w:rPr>
      </w:pPr>
      <w:r w:rsidRPr="00F17422">
        <w:rPr>
          <w:rStyle w:val="FootnoteReference"/>
          <w:sz w:val="20"/>
          <w:szCs w:val="20"/>
          <w:u w:val="none"/>
          <w:vertAlign w:val="superscript"/>
        </w:rPr>
        <w:footnoteRef/>
      </w:r>
      <w:r w:rsidRPr="00320E40">
        <w:rPr>
          <w:lang w:val="fr-FR"/>
        </w:rPr>
        <w:t xml:space="preserve"> Rapport du Rapporteur </w:t>
      </w:r>
      <w:r>
        <w:rPr>
          <w:lang w:val="fr-FR"/>
        </w:rPr>
        <w:t>spé</w:t>
      </w:r>
      <w:r w:rsidRPr="00320E40">
        <w:rPr>
          <w:lang w:val="fr-FR"/>
        </w:rPr>
        <w:t xml:space="preserve">cial sur les droits des </w:t>
      </w:r>
      <w:r>
        <w:rPr>
          <w:lang w:val="fr-FR"/>
        </w:rPr>
        <w:t>peu</w:t>
      </w:r>
      <w:r w:rsidRPr="00320E40">
        <w:rPr>
          <w:lang w:val="fr-FR"/>
        </w:rPr>
        <w:t>ples autochtones</w:t>
      </w:r>
      <w:r>
        <w:rPr>
          <w:lang w:val="fr-FR"/>
        </w:rPr>
        <w:t xml:space="preserve"> auprès </w:t>
      </w:r>
      <w:r w:rsidRPr="00320E40">
        <w:rPr>
          <w:lang w:val="fr-FR"/>
        </w:rPr>
        <w:t>du Conseil des droits de l’homme, Victoria Tauli-Corpuz (</w:t>
      </w:r>
      <w:hyperlink r:id="rId12" w:history="1">
        <w:r w:rsidRPr="00AC55AB">
          <w:rPr>
            <w:rStyle w:val="Hyperlink"/>
            <w:lang w:val="fr-FR"/>
          </w:rPr>
          <w:t>A/71/229</w:t>
        </w:r>
      </w:hyperlink>
      <w:r w:rsidRPr="00320E40">
        <w:rPr>
          <w:lang w:val="fr-FR"/>
        </w:rPr>
        <w:t>).</w:t>
      </w:r>
    </w:p>
  </w:footnote>
  <w:footnote w:id="37">
    <w:p w:rsidR="00E62BFB" w:rsidRPr="00FA2BE7" w:rsidRDefault="00E62BFB" w:rsidP="009F6935">
      <w:pPr>
        <w:pStyle w:val="FootnoteText"/>
        <w:ind w:firstLine="0"/>
        <w:rPr>
          <w:lang w:val="fr-FR"/>
        </w:rPr>
      </w:pPr>
      <w:r w:rsidRPr="00F17422">
        <w:rPr>
          <w:rStyle w:val="FootnoteReference"/>
          <w:sz w:val="20"/>
          <w:szCs w:val="20"/>
          <w:u w:val="none"/>
          <w:vertAlign w:val="superscript"/>
        </w:rPr>
        <w:footnoteRef/>
      </w:r>
      <w:r w:rsidRPr="00F17422">
        <w:rPr>
          <w:sz w:val="20"/>
          <w:szCs w:val="20"/>
          <w:vertAlign w:val="superscript"/>
          <w:lang w:val="fr-FR"/>
        </w:rPr>
        <w:t xml:space="preserve"> </w:t>
      </w:r>
      <w:r w:rsidRPr="00FA2BE7">
        <w:rPr>
          <w:lang w:val="fr-FR"/>
        </w:rPr>
        <w:t>R</w:t>
      </w:r>
      <w:r>
        <w:rPr>
          <w:lang w:val="fr-FR"/>
        </w:rPr>
        <w:t xml:space="preserve">apport du Rapporteur spécial </w:t>
      </w:r>
      <w:r>
        <w:rPr>
          <w:snapToGrid w:val="0"/>
          <w:kern w:val="18"/>
          <w:szCs w:val="18"/>
          <w:lang w:val="fr-FR"/>
        </w:rPr>
        <w:t xml:space="preserve">sur la question des </w:t>
      </w:r>
      <w:r w:rsidRPr="00FA2BE7">
        <w:rPr>
          <w:snapToGrid w:val="0"/>
          <w:kern w:val="18"/>
          <w:szCs w:val="18"/>
          <w:lang w:val="fr-FR"/>
        </w:rPr>
        <w:t xml:space="preserve">obligations </w:t>
      </w:r>
      <w:r>
        <w:rPr>
          <w:snapToGrid w:val="0"/>
          <w:kern w:val="18"/>
          <w:szCs w:val="18"/>
          <w:lang w:val="fr-FR"/>
        </w:rPr>
        <w:t xml:space="preserve">en matière </w:t>
      </w:r>
      <w:r w:rsidRPr="00FA2BE7">
        <w:rPr>
          <w:snapToGrid w:val="0"/>
          <w:kern w:val="18"/>
          <w:szCs w:val="18"/>
          <w:lang w:val="fr-FR"/>
        </w:rPr>
        <w:t>des droits de l’homme concerna</w:t>
      </w:r>
      <w:r>
        <w:rPr>
          <w:snapToGrid w:val="0"/>
          <w:kern w:val="18"/>
          <w:szCs w:val="18"/>
          <w:lang w:val="fr-FR"/>
        </w:rPr>
        <w:t xml:space="preserve">nt le droit à un environnement sans danger, en bon état et durable </w:t>
      </w:r>
      <w:r>
        <w:rPr>
          <w:lang w:val="fr-FR"/>
        </w:rPr>
        <w:t>auprès du</w:t>
      </w:r>
      <w:r w:rsidRPr="00320E40">
        <w:rPr>
          <w:lang w:val="fr-FR"/>
        </w:rPr>
        <w:t xml:space="preserve"> Conseil des droits de l’homme</w:t>
      </w:r>
      <w:r w:rsidRPr="00FA2BE7">
        <w:rPr>
          <w:snapToGrid w:val="0"/>
          <w:kern w:val="18"/>
          <w:szCs w:val="18"/>
          <w:lang w:val="fr-FR"/>
        </w:rPr>
        <w:t>, John Knox</w:t>
      </w:r>
      <w:r>
        <w:rPr>
          <w:snapToGrid w:val="0"/>
          <w:kern w:val="18"/>
          <w:szCs w:val="18"/>
          <w:lang w:val="fr-FR"/>
        </w:rPr>
        <w:t xml:space="preserve"> (</w:t>
      </w:r>
      <w:hyperlink r:id="rId13" w:history="1">
        <w:r w:rsidRPr="00FA2BE7">
          <w:rPr>
            <w:rStyle w:val="Hyperlink"/>
            <w:snapToGrid w:val="0"/>
            <w:kern w:val="18"/>
            <w:szCs w:val="18"/>
            <w:lang w:val="fr-FR"/>
          </w:rPr>
          <w:t>A/HRC/34/49</w:t>
        </w:r>
      </w:hyperlink>
      <w:r>
        <w:rPr>
          <w:snapToGrid w:val="0"/>
          <w:kern w:val="18"/>
          <w:szCs w:val="18"/>
          <w:lang w:val="fr-FR"/>
        </w:rPr>
        <w:t>).</w:t>
      </w:r>
    </w:p>
  </w:footnote>
  <w:footnote w:id="38">
    <w:p w:rsidR="00E62BFB" w:rsidRPr="007B3E88"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17422">
        <w:rPr>
          <w:rStyle w:val="FootnoteReference"/>
          <w:snapToGrid w:val="0"/>
          <w:kern w:val="18"/>
          <w:sz w:val="20"/>
          <w:szCs w:val="20"/>
          <w:u w:val="none"/>
          <w:vertAlign w:val="superscript"/>
        </w:rPr>
        <w:footnoteRef/>
      </w:r>
      <w:r w:rsidRPr="00BE78F9">
        <w:rPr>
          <w:snapToGrid w:val="0"/>
          <w:kern w:val="18"/>
          <w:szCs w:val="18"/>
        </w:rPr>
        <w:t xml:space="preserve"> </w:t>
      </w:r>
      <w:r w:rsidRPr="007B3E88">
        <w:rPr>
          <w:snapToGrid w:val="0"/>
          <w:kern w:val="18"/>
          <w:szCs w:val="18"/>
        </w:rPr>
        <w:t xml:space="preserve">Hadded, N.M. et al. 2015. Habitat fragmentation and its lasting impact on Earth’s ecosystems. </w:t>
      </w:r>
      <w:r w:rsidRPr="007B3E88">
        <w:rPr>
          <w:snapToGrid w:val="0"/>
          <w:kern w:val="18"/>
          <w:szCs w:val="18"/>
          <w:lang w:val="en-CA"/>
        </w:rPr>
        <w:t xml:space="preserve">Science Advances: 1(2): e1500052, Mar 2015. </w:t>
      </w:r>
      <w:hyperlink r:id="rId14" w:history="1">
        <w:r w:rsidRPr="00BE78F9">
          <w:rPr>
            <w:rStyle w:val="Hyperlink"/>
            <w:snapToGrid w:val="0"/>
            <w:kern w:val="18"/>
            <w:szCs w:val="18"/>
            <w:lang w:val="en-US"/>
          </w:rPr>
          <w:t>https://www.ncbi.nlm.nih.gov/pmc/articles/PMC4643828/</w:t>
        </w:r>
      </w:hyperlink>
    </w:p>
  </w:footnote>
  <w:footnote w:id="39">
    <w:p w:rsidR="00E62BFB" w:rsidRPr="007B3E88"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17422">
        <w:rPr>
          <w:rStyle w:val="FootnoteReference"/>
          <w:snapToGrid w:val="0"/>
          <w:kern w:val="18"/>
          <w:sz w:val="20"/>
          <w:szCs w:val="20"/>
          <w:u w:val="none"/>
          <w:vertAlign w:val="superscript"/>
        </w:rPr>
        <w:footnoteRef/>
      </w:r>
      <w:r w:rsidRPr="00F17422">
        <w:rPr>
          <w:snapToGrid w:val="0"/>
          <w:kern w:val="18"/>
          <w:sz w:val="20"/>
          <w:szCs w:val="20"/>
        </w:rPr>
        <w:t xml:space="preserve"> </w:t>
      </w:r>
      <w:r w:rsidRPr="007B3E88">
        <w:rPr>
          <w:snapToGrid w:val="0"/>
          <w:kern w:val="18"/>
          <w:szCs w:val="18"/>
        </w:rPr>
        <w:t>Watson, J. et al. 2018. The exceptional value of intact forest ecosystems. Nature Ecology and Evolution 2, 599-610.</w:t>
      </w:r>
    </w:p>
  </w:footnote>
  <w:footnote w:id="40">
    <w:p w:rsidR="00E62BFB" w:rsidRPr="007B3E88" w:rsidRDefault="00E62BFB" w:rsidP="009F6935">
      <w:pPr>
        <w:keepLines/>
        <w:suppressLineNumbers/>
        <w:suppressAutoHyphens/>
        <w:kinsoku w:val="0"/>
        <w:overflowPunct w:val="0"/>
        <w:autoSpaceDE w:val="0"/>
        <w:autoSpaceDN w:val="0"/>
        <w:adjustRightInd w:val="0"/>
        <w:snapToGrid w:val="0"/>
        <w:spacing w:after="60"/>
        <w:jc w:val="left"/>
        <w:rPr>
          <w:snapToGrid w:val="0"/>
          <w:color w:val="272525"/>
          <w:kern w:val="18"/>
          <w:sz w:val="18"/>
          <w:szCs w:val="18"/>
          <w:lang w:val="en-US"/>
        </w:rPr>
      </w:pPr>
      <w:r w:rsidRPr="00F17422">
        <w:rPr>
          <w:rStyle w:val="FootnoteReference"/>
          <w:snapToGrid w:val="0"/>
          <w:kern w:val="18"/>
          <w:sz w:val="20"/>
          <w:szCs w:val="20"/>
          <w:u w:val="none"/>
          <w:vertAlign w:val="superscript"/>
        </w:rPr>
        <w:footnoteRef/>
      </w:r>
      <w:r w:rsidRPr="00BE78F9">
        <w:rPr>
          <w:snapToGrid w:val="0"/>
          <w:kern w:val="18"/>
          <w:sz w:val="18"/>
          <w:szCs w:val="18"/>
        </w:rPr>
        <w:t xml:space="preserve"> </w:t>
      </w:r>
      <w:r w:rsidRPr="007B3E88">
        <w:rPr>
          <w:snapToGrid w:val="0"/>
          <w:kern w:val="18"/>
          <w:sz w:val="18"/>
          <w:szCs w:val="18"/>
          <w:lang w:val="en-US"/>
        </w:rPr>
        <w:t>Ervin, J., K. J. Mulongoy, K. Lawrence, E. Game, D. Sheppard, P. Bridgewater, G. Bennett, S.B. Gidda and P. Bos. 2010. Making Protected Areas Relevant: A guide to integrating protected areas into wider landscapes, seascapes and sectoral plans and strategies. CBD Technical Series No. 44. Montreal, Canada: Convention on Biological Diversity, 94</w:t>
      </w:r>
      <w:r w:rsidRPr="009B350E">
        <w:rPr>
          <w:snapToGrid w:val="0"/>
          <w:kern w:val="18"/>
          <w:sz w:val="18"/>
          <w:szCs w:val="18"/>
          <w:lang w:val="en-US"/>
        </w:rPr>
        <w:t> </w:t>
      </w:r>
      <w:r w:rsidRPr="007B3E88">
        <w:rPr>
          <w:snapToGrid w:val="0"/>
          <w:kern w:val="18"/>
          <w:sz w:val="18"/>
          <w:szCs w:val="18"/>
          <w:lang w:val="en-US"/>
        </w:rPr>
        <w:t>pp.</w:t>
      </w:r>
    </w:p>
  </w:footnote>
  <w:footnote w:id="41">
    <w:p w:rsidR="00E62BFB" w:rsidRPr="007B3E88"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F17422">
        <w:rPr>
          <w:rStyle w:val="FootnoteReference"/>
          <w:snapToGrid w:val="0"/>
          <w:kern w:val="18"/>
          <w:sz w:val="20"/>
          <w:szCs w:val="20"/>
          <w:u w:val="none"/>
          <w:vertAlign w:val="superscript"/>
        </w:rPr>
        <w:footnoteRef/>
      </w:r>
      <w:r w:rsidRPr="00BE78F9">
        <w:rPr>
          <w:snapToGrid w:val="0"/>
          <w:kern w:val="18"/>
          <w:szCs w:val="18"/>
        </w:rPr>
        <w:t xml:space="preserve"> </w:t>
      </w:r>
      <w:r>
        <w:rPr>
          <w:snapToGrid w:val="0"/>
          <w:kern w:val="18"/>
          <w:szCs w:val="18"/>
        </w:rPr>
        <w:t>Voir par exemple</w:t>
      </w:r>
      <w:r w:rsidRPr="007B3E88">
        <w:rPr>
          <w:snapToGrid w:val="0"/>
          <w:kern w:val="18"/>
          <w:szCs w:val="18"/>
        </w:rPr>
        <w:t xml:space="preserve"> CBD. 2016. Biodiversity and the 2030 Agenda. Montreal: Secretariat of the Convention on Biological Diversity. Available at https://www.cbd.int/development/doc/biodiversity-2030-agenda-policy-brief-en.pdf</w:t>
      </w:r>
    </w:p>
  </w:footnote>
  <w:footnote w:id="42">
    <w:p w:rsidR="00E62BFB" w:rsidRPr="000117F6"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snapToGrid w:val="0"/>
          <w:kern w:val="18"/>
          <w:sz w:val="20"/>
          <w:szCs w:val="20"/>
          <w:u w:val="none"/>
          <w:vertAlign w:val="superscript"/>
        </w:rPr>
        <w:footnoteRef/>
      </w:r>
      <w:r w:rsidRPr="00F17422">
        <w:rPr>
          <w:snapToGrid w:val="0"/>
          <w:kern w:val="18"/>
          <w:sz w:val="20"/>
          <w:szCs w:val="20"/>
          <w:lang w:val="fr-CA"/>
        </w:rPr>
        <w:t xml:space="preserve"> </w:t>
      </w:r>
      <w:r w:rsidRPr="00017416">
        <w:rPr>
          <w:snapToGrid w:val="0"/>
          <w:kern w:val="18"/>
          <w:szCs w:val="18"/>
          <w:lang w:val="fr-CA"/>
        </w:rPr>
        <w:t xml:space="preserve">Voir par exemple : United Nations Development Programme. </w:t>
      </w:r>
      <w:r w:rsidRPr="007B3E88">
        <w:rPr>
          <w:snapToGrid w:val="0"/>
          <w:kern w:val="18"/>
          <w:szCs w:val="18"/>
        </w:rPr>
        <w:t xml:space="preserve">2018. Nature for water, Nature for life: Nature-based solutions for achieving the Global Goals. </w:t>
      </w:r>
      <w:r w:rsidRPr="000117F6">
        <w:rPr>
          <w:snapToGrid w:val="0"/>
          <w:kern w:val="18"/>
          <w:szCs w:val="18"/>
          <w:lang w:val="fr-CA"/>
        </w:rPr>
        <w:t>New York, UNDP; p</w:t>
      </w:r>
      <w:r>
        <w:rPr>
          <w:snapToGrid w:val="0"/>
          <w:kern w:val="18"/>
          <w:szCs w:val="18"/>
          <w:lang w:val="fr-CA"/>
        </w:rPr>
        <w:t>ublié</w:t>
      </w:r>
      <w:r w:rsidRPr="000117F6">
        <w:rPr>
          <w:snapToGrid w:val="0"/>
          <w:kern w:val="18"/>
          <w:szCs w:val="18"/>
          <w:lang w:val="fr-CA"/>
        </w:rPr>
        <w:t xml:space="preserve"> sur le site </w:t>
      </w:r>
      <w:hyperlink r:id="rId15" w:history="1">
        <w:r w:rsidRPr="000117F6">
          <w:rPr>
            <w:rStyle w:val="Hyperlink"/>
            <w:snapToGrid w:val="0"/>
            <w:kern w:val="18"/>
            <w:szCs w:val="18"/>
            <w:lang w:val="fr-CA"/>
          </w:rPr>
          <w:t>www.natureforlife.world</w:t>
        </w:r>
      </w:hyperlink>
      <w:r w:rsidRPr="000117F6">
        <w:rPr>
          <w:snapToGrid w:val="0"/>
          <w:kern w:val="18"/>
          <w:szCs w:val="18"/>
          <w:lang w:val="fr-CA"/>
        </w:rPr>
        <w:t>.</w:t>
      </w:r>
    </w:p>
  </w:footnote>
  <w:footnote w:id="43">
    <w:p w:rsidR="00E62BFB" w:rsidRPr="00935F1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snapToGrid w:val="0"/>
          <w:kern w:val="18"/>
          <w:sz w:val="20"/>
          <w:szCs w:val="20"/>
          <w:u w:val="none"/>
          <w:vertAlign w:val="superscript"/>
        </w:rPr>
        <w:footnoteRef/>
      </w:r>
      <w:r w:rsidRPr="00F17422">
        <w:rPr>
          <w:snapToGrid w:val="0"/>
          <w:kern w:val="18"/>
          <w:sz w:val="20"/>
          <w:szCs w:val="20"/>
          <w:lang w:val="fr-CA"/>
        </w:rPr>
        <w:t xml:space="preserve"> </w:t>
      </w:r>
      <w:r w:rsidRPr="00A41637">
        <w:rPr>
          <w:snapToGrid w:val="0"/>
          <w:kern w:val="18"/>
          <w:szCs w:val="18"/>
          <w:lang w:val="fr-CA"/>
        </w:rPr>
        <w:t xml:space="preserve">Voir Bronson et al., 2017. Natural Climate Solutions. </w:t>
      </w:r>
      <w:r w:rsidRPr="00935F1F">
        <w:rPr>
          <w:snapToGrid w:val="0"/>
          <w:kern w:val="18"/>
          <w:szCs w:val="18"/>
          <w:lang w:val="fr-CA"/>
        </w:rPr>
        <w:t xml:space="preserve">PNAS: 114(44): 11645-11650 publié sur le site : </w:t>
      </w:r>
      <w:hyperlink r:id="rId16" w:history="1">
        <w:r w:rsidRPr="00BE78F9">
          <w:rPr>
            <w:rStyle w:val="Hyperlink"/>
            <w:snapToGrid w:val="0"/>
            <w:kern w:val="18"/>
            <w:szCs w:val="18"/>
            <w:lang w:val="fr-CA"/>
          </w:rPr>
          <w:t>http://www.pnas.org/content/114/44/11645</w:t>
        </w:r>
      </w:hyperlink>
      <w:r w:rsidRPr="00935F1F">
        <w:rPr>
          <w:snapToGrid w:val="0"/>
          <w:kern w:val="18"/>
          <w:szCs w:val="18"/>
          <w:lang w:val="fr-CA"/>
        </w:rPr>
        <w:t>.</w:t>
      </w:r>
    </w:p>
  </w:footnote>
  <w:footnote w:id="44">
    <w:p w:rsidR="00E62BFB" w:rsidRPr="00935F1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snapToGrid w:val="0"/>
          <w:kern w:val="18"/>
          <w:sz w:val="20"/>
          <w:szCs w:val="20"/>
          <w:u w:val="none"/>
          <w:vertAlign w:val="superscript"/>
        </w:rPr>
        <w:footnoteRef/>
      </w:r>
      <w:r w:rsidRPr="00BE78F9">
        <w:rPr>
          <w:snapToGrid w:val="0"/>
          <w:kern w:val="18"/>
          <w:szCs w:val="18"/>
          <w:lang w:val="en-CA"/>
        </w:rPr>
        <w:t xml:space="preserve"> </w:t>
      </w:r>
      <w:r w:rsidRPr="007B3E88">
        <w:rPr>
          <w:snapToGrid w:val="0"/>
          <w:kern w:val="18"/>
          <w:szCs w:val="18"/>
          <w:lang w:val="en-CA"/>
        </w:rPr>
        <w:t xml:space="preserve">Dudley, N. et al. 2009. </w:t>
      </w:r>
      <w:r w:rsidRPr="007B3E88">
        <w:rPr>
          <w:snapToGrid w:val="0"/>
          <w:kern w:val="18"/>
          <w:szCs w:val="18"/>
          <w:lang w:val="en-US"/>
        </w:rPr>
        <w:t xml:space="preserve">Natural Solutions – Protected Areas: Helping People Cope with Climate Change. </w:t>
      </w:r>
      <w:r w:rsidRPr="00A41637">
        <w:rPr>
          <w:snapToGrid w:val="0"/>
          <w:kern w:val="18"/>
          <w:szCs w:val="18"/>
          <w:lang w:val="fr-CA"/>
        </w:rPr>
        <w:t xml:space="preserve">Switzerland: IUCN. </w:t>
      </w:r>
      <w:r w:rsidRPr="00935F1F">
        <w:rPr>
          <w:snapToGrid w:val="0"/>
          <w:kern w:val="18"/>
          <w:szCs w:val="18"/>
          <w:lang w:val="fr-CA"/>
        </w:rPr>
        <w:t>Publié sur le site : https://www.iucn.org/content/natural-solutions-protected-areas-helping-people-cope-climate-change.</w:t>
      </w:r>
    </w:p>
  </w:footnote>
  <w:footnote w:id="45">
    <w:p w:rsidR="00E62BFB" w:rsidRPr="00935F1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snapToGrid w:val="0"/>
          <w:kern w:val="18"/>
          <w:sz w:val="20"/>
          <w:szCs w:val="20"/>
          <w:vertAlign w:val="superscript"/>
          <w:lang w:eastAsia="ja-JP" w:bidi="th-TH"/>
        </w:rPr>
        <w:footnoteRef/>
      </w:r>
      <w:r w:rsidRPr="007B3E88">
        <w:rPr>
          <w:snapToGrid w:val="0"/>
          <w:kern w:val="18"/>
          <w:szCs w:val="18"/>
        </w:rPr>
        <w:t xml:space="preserve"> </w:t>
      </w:r>
      <w:r>
        <w:rPr>
          <w:snapToGrid w:val="0"/>
          <w:kern w:val="18"/>
          <w:szCs w:val="18"/>
        </w:rPr>
        <w:t>Voir</w:t>
      </w:r>
      <w:r w:rsidRPr="007B3E88">
        <w:rPr>
          <w:snapToGrid w:val="0"/>
          <w:kern w:val="18"/>
          <w:szCs w:val="18"/>
        </w:rPr>
        <w:t xml:space="preserve"> UNDP. 2016. National Biodiversity Strategies and Action Plans: Natural Catalysts for Accelerating Action on Sustainable Development Goals. Interim Report. United Nations Development Programme. Dec</w:t>
      </w:r>
      <w:r w:rsidRPr="009B350E">
        <w:rPr>
          <w:snapToGrid w:val="0"/>
          <w:kern w:val="18"/>
          <w:szCs w:val="18"/>
        </w:rPr>
        <w:t>ember</w:t>
      </w:r>
      <w:r w:rsidRPr="007B3E88">
        <w:rPr>
          <w:snapToGrid w:val="0"/>
          <w:kern w:val="18"/>
          <w:szCs w:val="18"/>
        </w:rPr>
        <w:t xml:space="preserve"> 2016. UNDP: New York, </w:t>
      </w:r>
      <w:r w:rsidRPr="009B350E">
        <w:rPr>
          <w:snapToGrid w:val="0"/>
          <w:kern w:val="18"/>
          <w:szCs w:val="18"/>
        </w:rPr>
        <w:t>United States of America</w:t>
      </w:r>
      <w:r w:rsidRPr="007B3E88">
        <w:rPr>
          <w:snapToGrid w:val="0"/>
          <w:kern w:val="18"/>
          <w:szCs w:val="18"/>
        </w:rPr>
        <w:t xml:space="preserve">. </w:t>
      </w:r>
      <w:r w:rsidRPr="00935F1F">
        <w:rPr>
          <w:snapToGrid w:val="0"/>
          <w:kern w:val="18"/>
          <w:szCs w:val="18"/>
          <w:lang w:val="fr-CA"/>
        </w:rPr>
        <w:t xml:space="preserve">10017, publié sur le site : </w:t>
      </w:r>
      <w:hyperlink r:id="rId17" w:history="1">
        <w:r w:rsidRPr="005B3F8D">
          <w:rPr>
            <w:rStyle w:val="Hyperlink"/>
            <w:snapToGrid w:val="0"/>
            <w:kern w:val="18"/>
            <w:szCs w:val="18"/>
            <w:lang w:val="fr-CA"/>
          </w:rPr>
          <w:t>https://www.cbd.int/doc/nbsap/NBSAPs-catalysts-SDGs.pdf</w:t>
        </w:r>
      </w:hyperlink>
    </w:p>
  </w:footnote>
  <w:footnote w:id="46">
    <w:p w:rsidR="00E62BFB" w:rsidRPr="00DC06CB"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F17422">
        <w:rPr>
          <w:rStyle w:val="FootnoteReference"/>
          <w:rFonts w:eastAsia="Batang"/>
          <w:iCs/>
          <w:snapToGrid w:val="0"/>
          <w:kern w:val="18"/>
          <w:sz w:val="20"/>
          <w:szCs w:val="20"/>
          <w:u w:val="none"/>
          <w:vertAlign w:val="superscript"/>
          <w:lang w:eastAsia="ja-JP" w:bidi="th-TH"/>
        </w:rPr>
        <w:footnoteRef/>
      </w:r>
      <w:r w:rsidRPr="00F17422">
        <w:rPr>
          <w:snapToGrid w:val="0"/>
          <w:kern w:val="18"/>
          <w:sz w:val="20"/>
          <w:szCs w:val="20"/>
          <w:lang w:val="fr-CA"/>
        </w:rPr>
        <w:t xml:space="preserve"> </w:t>
      </w:r>
      <w:r>
        <w:rPr>
          <w:rFonts w:eastAsia="Batang"/>
          <w:iCs/>
          <w:snapToGrid w:val="0"/>
          <w:kern w:val="18"/>
          <w:szCs w:val="18"/>
          <w:lang w:val="fr-CA" w:eastAsia="ja-JP" w:bidi="th-TH"/>
        </w:rPr>
        <w:t xml:space="preserve">Plusieurs études, dont une récente analyse de 165 aires protégées de partout au monde, révèlent que les lieux où les </w:t>
      </w:r>
      <w:r w:rsidRPr="00463AC3">
        <w:rPr>
          <w:rFonts w:eastAsia="Batang"/>
          <w:i/>
          <w:iCs/>
          <w:snapToGrid w:val="0"/>
          <w:kern w:val="18"/>
          <w:szCs w:val="18"/>
          <w:lang w:val="fr-CA" w:eastAsia="ja-JP" w:bidi="th-TH"/>
        </w:rPr>
        <w:t>populations locales</w:t>
      </w:r>
      <w:r>
        <w:rPr>
          <w:rFonts w:eastAsia="Batang"/>
          <w:iCs/>
          <w:snapToGrid w:val="0"/>
          <w:kern w:val="18"/>
          <w:szCs w:val="18"/>
          <w:lang w:val="fr-CA" w:eastAsia="ja-JP" w:bidi="th-TH"/>
        </w:rPr>
        <w:t xml:space="preserve"> participent directement aux efforts de conservation et en tirent profit présentent une plus grande efficacité en matière de conservation de la diversité biologique et de développement socioéconomique</w:t>
      </w:r>
      <w:r w:rsidRPr="00B36330">
        <w:rPr>
          <w:rFonts w:eastAsia="Batang"/>
          <w:iCs/>
          <w:snapToGrid w:val="0"/>
          <w:kern w:val="18"/>
          <w:szCs w:val="18"/>
          <w:lang w:val="fr-CA" w:eastAsia="ja-JP" w:bidi="th-TH"/>
        </w:rPr>
        <w:t xml:space="preserve">. </w:t>
      </w:r>
      <w:r w:rsidRPr="00DC06CB">
        <w:rPr>
          <w:snapToGrid w:val="0"/>
          <w:kern w:val="18"/>
          <w:szCs w:val="18"/>
          <w:lang w:val="en-US"/>
        </w:rPr>
        <w:t xml:space="preserve">Oldekop, J.A., et al. (2015). A global assessment of the social and conservation outcomes of protected areas – </w:t>
      </w:r>
      <w:r w:rsidRPr="00DC06CB">
        <w:rPr>
          <w:i/>
          <w:iCs/>
          <w:snapToGrid w:val="0"/>
          <w:kern w:val="18"/>
          <w:szCs w:val="18"/>
          <w:lang w:val="en-US"/>
        </w:rPr>
        <w:t>Conservation Biology</w:t>
      </w:r>
      <w:r w:rsidRPr="00DC06CB">
        <w:rPr>
          <w:snapToGrid w:val="0"/>
          <w:kern w:val="18"/>
          <w:szCs w:val="18"/>
          <w:lang w:val="en-US"/>
        </w:rPr>
        <w:t>, 30(1): 133-141.</w:t>
      </w:r>
    </w:p>
  </w:footnote>
  <w:footnote w:id="47">
    <w:p w:rsidR="00E62BFB" w:rsidRPr="00B3633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eastAsia="ja-JP" w:bidi="th-TH"/>
        </w:rPr>
      </w:pPr>
      <w:r w:rsidRPr="00F17422">
        <w:rPr>
          <w:rStyle w:val="FootnoteReference"/>
          <w:rFonts w:eastAsia="Batang"/>
          <w:iCs/>
          <w:snapToGrid w:val="0"/>
          <w:kern w:val="18"/>
          <w:sz w:val="20"/>
          <w:szCs w:val="20"/>
          <w:u w:val="none"/>
          <w:vertAlign w:val="superscript"/>
          <w:lang w:val="fr-CA" w:eastAsia="ja-JP" w:bidi="th-TH"/>
        </w:rPr>
        <w:footnoteRef/>
      </w:r>
      <w:r w:rsidRPr="00F43A15">
        <w:rPr>
          <w:snapToGrid w:val="0"/>
          <w:kern w:val="18"/>
          <w:szCs w:val="18"/>
          <w:lang w:val="fr-CA"/>
        </w:rPr>
        <w:t xml:space="preserve"> </w:t>
      </w:r>
      <w:r>
        <w:rPr>
          <w:snapToGrid w:val="0"/>
          <w:kern w:val="18"/>
          <w:szCs w:val="18"/>
          <w:lang w:val="fr-CA" w:eastAsia="ja-JP" w:bidi="th-TH"/>
        </w:rPr>
        <w:t>Dans cette même décision, les Parties ont été invitées à créer des mécanismes et des processus clairs pour le partage équitable des coûts et des bienfaits, et pour la participation entière et efficace des peuples autochtones et des communautés locales en lien avec les aires protégées, conformément aux lois du pays et aux obligations internationales en vigueur; et à reconnaître le rôle des aires protégées par les communautés autochtones et locales, des aires protégées des autres parties prenantes pour la conservation de la diversité biologique, de la gestion collaborative et de la diversification des modes de gouvernance</w:t>
      </w:r>
      <w:r w:rsidRPr="00B36330">
        <w:rPr>
          <w:snapToGrid w:val="0"/>
          <w:kern w:val="18"/>
          <w:szCs w:val="18"/>
          <w:lang w:val="fr-CA" w:eastAsia="ja-JP" w:bidi="th-TH"/>
        </w:rPr>
        <w:t>.</w:t>
      </w:r>
    </w:p>
  </w:footnote>
  <w:footnote w:id="48">
    <w:p w:rsidR="00E62BFB" w:rsidRPr="00B3633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snapToGrid w:val="0"/>
          <w:kern w:val="18"/>
          <w:sz w:val="20"/>
          <w:szCs w:val="20"/>
          <w:u w:val="none"/>
          <w:vertAlign w:val="superscript"/>
          <w:lang w:val="fr-CA"/>
        </w:rPr>
        <w:footnoteRef/>
      </w:r>
      <w:r w:rsidRPr="00F43A15">
        <w:rPr>
          <w:snapToGrid w:val="0"/>
          <w:kern w:val="18"/>
          <w:szCs w:val="18"/>
          <w:lang w:val="fr-CA"/>
        </w:rPr>
        <w:t xml:space="preserve"> </w:t>
      </w:r>
      <w:r w:rsidRPr="00B36330">
        <w:rPr>
          <w:snapToGrid w:val="0"/>
          <w:kern w:val="18"/>
          <w:szCs w:val="18"/>
          <w:lang w:val="fr-CA" w:eastAsia="ja-JP" w:bidi="th-TH"/>
        </w:rPr>
        <w:t>CBD/SBSTTA/22/INF/8.</w:t>
      </w:r>
    </w:p>
  </w:footnote>
  <w:footnote w:id="49">
    <w:p w:rsidR="00E62BFB" w:rsidRPr="00B3633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rFonts w:eastAsia="Batang"/>
          <w:iCs/>
          <w:snapToGrid w:val="0"/>
          <w:kern w:val="18"/>
          <w:sz w:val="20"/>
          <w:szCs w:val="20"/>
          <w:u w:val="none"/>
          <w:vertAlign w:val="superscript"/>
          <w:lang w:val="fr-CA" w:eastAsia="ja-JP" w:bidi="th-TH"/>
        </w:rPr>
        <w:footnoteRef/>
      </w:r>
      <w:r w:rsidRPr="00B36330">
        <w:rPr>
          <w:snapToGrid w:val="0"/>
          <w:kern w:val="18"/>
          <w:szCs w:val="18"/>
          <w:lang w:val="fr-CA"/>
        </w:rPr>
        <w:t xml:space="preserve"> </w:t>
      </w:r>
      <w:r>
        <w:rPr>
          <w:snapToGrid w:val="0"/>
          <w:kern w:val="18"/>
          <w:szCs w:val="18"/>
          <w:lang w:val="fr-CA"/>
        </w:rPr>
        <w:t>Par exemple entre les peuples autochtones et les communautés locales et les gouvernements ou entre les particuliers et le gouvernement</w:t>
      </w:r>
      <w:r w:rsidRPr="00B36330">
        <w:rPr>
          <w:snapToGrid w:val="0"/>
          <w:kern w:val="18"/>
          <w:szCs w:val="18"/>
          <w:lang w:val="fr-CA"/>
        </w:rPr>
        <w:t>.</w:t>
      </w:r>
    </w:p>
  </w:footnote>
  <w:footnote w:id="50">
    <w:p w:rsidR="00E62BFB" w:rsidRPr="0026314F" w:rsidRDefault="00E62BFB" w:rsidP="00F17422">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eastAsia="ja-JP" w:bidi="th-TH"/>
        </w:rPr>
      </w:pPr>
      <w:r w:rsidRPr="00F17422">
        <w:rPr>
          <w:rStyle w:val="FootnoteReference"/>
          <w:rFonts w:eastAsia="Batang" w:cs="Times New Roman"/>
          <w:bCs w:val="0"/>
          <w:iCs/>
          <w:snapToGrid w:val="0"/>
          <w:kern w:val="18"/>
          <w:sz w:val="20"/>
          <w:szCs w:val="20"/>
          <w:u w:val="none"/>
          <w:vertAlign w:val="superscript"/>
          <w:lang w:eastAsia="ja-JP" w:bidi="th-TH"/>
        </w:rPr>
        <w:footnoteRef/>
      </w:r>
      <w:r w:rsidRPr="00F17422">
        <w:rPr>
          <w:rFonts w:cs="Times New Roman"/>
          <w:snapToGrid w:val="0"/>
          <w:kern w:val="18"/>
          <w:sz w:val="20"/>
          <w:szCs w:val="20"/>
          <w:lang w:val="fr-CA"/>
        </w:rPr>
        <w:t xml:space="preserve"> </w:t>
      </w:r>
      <w:r w:rsidRPr="0026314F">
        <w:rPr>
          <w:rFonts w:cs="Times New Roman"/>
          <w:snapToGrid w:val="0"/>
          <w:kern w:val="18"/>
          <w:sz w:val="18"/>
          <w:szCs w:val="18"/>
          <w:lang w:val="fr-CA" w:eastAsia="ja-JP" w:bidi="th-TH"/>
        </w:rPr>
        <w:t xml:space="preserve">Et ce, parce que le mode de gouvernance </w:t>
      </w:r>
      <w:r>
        <w:rPr>
          <w:rFonts w:cs="Times New Roman"/>
          <w:snapToGrid w:val="0"/>
          <w:kern w:val="18"/>
          <w:sz w:val="18"/>
          <w:szCs w:val="18"/>
          <w:lang w:val="fr-CA" w:eastAsia="ja-JP" w:bidi="th-TH"/>
        </w:rPr>
        <w:t>concerne le ou les acteurs ayant la responsabilité d’initier l’établissement de l’autorité et de la responsabilité, et le maintien de celles-ci, pour les aires protégées et conservées, et qu’il varie selon le mode d’occupation et les aspirations de la partie prenante</w:t>
      </w:r>
      <w:r w:rsidRPr="0026314F">
        <w:rPr>
          <w:rFonts w:cs="Times New Roman"/>
          <w:snapToGrid w:val="0"/>
          <w:kern w:val="18"/>
          <w:sz w:val="18"/>
          <w:szCs w:val="18"/>
          <w:lang w:val="fr-CA" w:eastAsia="ja-JP" w:bidi="th-TH"/>
        </w:rPr>
        <w:t>.</w:t>
      </w:r>
    </w:p>
  </w:footnote>
  <w:footnote w:id="51">
    <w:p w:rsidR="00E62BFB" w:rsidRPr="0026314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rFonts w:eastAsia="Batang"/>
          <w:iCs/>
          <w:snapToGrid w:val="0"/>
          <w:kern w:val="18"/>
          <w:sz w:val="20"/>
          <w:szCs w:val="20"/>
          <w:u w:val="none"/>
          <w:vertAlign w:val="superscript"/>
          <w:lang w:val="fr-CA" w:eastAsia="ja-JP" w:bidi="th-TH"/>
        </w:rPr>
        <w:footnoteRef/>
      </w:r>
      <w:r w:rsidRPr="00F17422">
        <w:rPr>
          <w:snapToGrid w:val="0"/>
          <w:kern w:val="18"/>
          <w:sz w:val="20"/>
          <w:szCs w:val="20"/>
          <w:lang w:val="fr-CA"/>
        </w:rPr>
        <w:t xml:space="preserve"> </w:t>
      </w:r>
      <w:r>
        <w:rPr>
          <w:snapToGrid w:val="0"/>
          <w:kern w:val="18"/>
          <w:szCs w:val="18"/>
          <w:lang w:val="fr-CA"/>
        </w:rPr>
        <w:t xml:space="preserve">Orientations utiles </w:t>
      </w:r>
      <w:r w:rsidRPr="0026314F">
        <w:rPr>
          <w:snapToGrid w:val="0"/>
          <w:kern w:val="18"/>
          <w:szCs w:val="18"/>
          <w:lang w:val="fr-CA"/>
        </w:rPr>
        <w:t xml:space="preserve">: </w:t>
      </w:r>
      <w:hyperlink r:id="rId18" w:history="1">
        <w:r w:rsidRPr="00F43A15">
          <w:rPr>
            <w:rStyle w:val="Hyperlink"/>
            <w:snapToGrid w:val="0"/>
            <w:kern w:val="18"/>
            <w:szCs w:val="18"/>
            <w:lang w:val="fr-CA"/>
          </w:rPr>
          <w:t>Cahier technique N</w:t>
        </w:r>
        <w:r w:rsidRPr="00F43A15">
          <w:rPr>
            <w:rStyle w:val="Hyperlink"/>
            <w:snapToGrid w:val="0"/>
            <w:kern w:val="18"/>
            <w:szCs w:val="18"/>
            <w:vertAlign w:val="superscript"/>
            <w:lang w:val="fr-CA"/>
          </w:rPr>
          <w:t>o</w:t>
        </w:r>
        <w:r w:rsidRPr="00F43A15">
          <w:rPr>
            <w:rStyle w:val="Hyperlink"/>
            <w:snapToGrid w:val="0"/>
            <w:kern w:val="18"/>
            <w:szCs w:val="18"/>
            <w:lang w:val="fr-CA"/>
          </w:rPr>
          <w:t xml:space="preserve"> 64 de la CDB</w:t>
        </w:r>
      </w:hyperlink>
      <w:r>
        <w:rPr>
          <w:snapToGrid w:val="0"/>
          <w:kern w:val="18"/>
          <w:szCs w:val="18"/>
          <w:lang w:val="fr-CA"/>
        </w:rPr>
        <w:t xml:space="preserve">, </w:t>
      </w:r>
      <w:r w:rsidRPr="0026314F">
        <w:rPr>
          <w:snapToGrid w:val="0"/>
          <w:kern w:val="18"/>
          <w:szCs w:val="18"/>
          <w:lang w:val="fr-CA"/>
        </w:rPr>
        <w:t xml:space="preserve"> </w:t>
      </w:r>
      <w:r>
        <w:rPr>
          <w:snapToGrid w:val="0"/>
          <w:kern w:val="18"/>
          <w:szCs w:val="18"/>
          <w:lang w:val="fr-CA"/>
        </w:rPr>
        <w:t>la</w:t>
      </w:r>
      <w:r w:rsidRPr="0026314F">
        <w:rPr>
          <w:snapToGrid w:val="0"/>
          <w:kern w:val="18"/>
          <w:szCs w:val="18"/>
          <w:lang w:val="fr-CA"/>
        </w:rPr>
        <w:t xml:space="preserve"> </w:t>
      </w:r>
      <w:hyperlink r:id="rId19" w:history="1">
        <w:r>
          <w:rPr>
            <w:rStyle w:val="Hyperlink"/>
            <w:snapToGrid w:val="0"/>
            <w:kern w:val="18"/>
            <w:szCs w:val="18"/>
            <w:lang w:val="fr-CA"/>
          </w:rPr>
          <w:t>Déclaration des Nations Unies sur les droits des peuples autochtones</w:t>
        </w:r>
      </w:hyperlink>
      <w:r w:rsidRPr="0026314F">
        <w:rPr>
          <w:snapToGrid w:val="0"/>
          <w:kern w:val="18"/>
          <w:szCs w:val="18"/>
          <w:lang w:val="fr-CA"/>
        </w:rPr>
        <w:t>; Sue Stolton, Kent H. Redford and Nigel Dudley (2014). </w:t>
      </w:r>
      <w:hyperlink r:id="rId20" w:history="1">
        <w:r w:rsidRPr="00F43A15">
          <w:rPr>
            <w:rStyle w:val="Hyperlink"/>
            <w:i/>
            <w:iCs/>
            <w:snapToGrid w:val="0"/>
            <w:kern w:val="18"/>
            <w:szCs w:val="18"/>
            <w:lang w:val="fr-CA"/>
          </w:rPr>
          <w:t>The Futures of Privately Protected Areas</w:t>
        </w:r>
        <w:r w:rsidRPr="00F43A15">
          <w:rPr>
            <w:rStyle w:val="Hyperlink"/>
            <w:snapToGrid w:val="0"/>
            <w:kern w:val="18"/>
            <w:szCs w:val="18"/>
            <w:lang w:val="fr-CA"/>
          </w:rPr>
          <w:t>.</w:t>
        </w:r>
      </w:hyperlink>
      <w:r>
        <w:rPr>
          <w:snapToGrid w:val="0"/>
          <w:kern w:val="18"/>
          <w:szCs w:val="18"/>
          <w:lang w:val="fr-CA"/>
        </w:rPr>
        <w:t xml:space="preserve"> </w:t>
      </w:r>
      <w:r w:rsidRPr="0026314F">
        <w:rPr>
          <w:snapToGrid w:val="0"/>
          <w:kern w:val="18"/>
          <w:szCs w:val="18"/>
          <w:lang w:val="fr-CA"/>
        </w:rPr>
        <w:t xml:space="preserve">Gland, </w:t>
      </w:r>
      <w:r>
        <w:rPr>
          <w:snapToGrid w:val="0"/>
          <w:kern w:val="18"/>
          <w:szCs w:val="18"/>
          <w:lang w:val="fr-CA"/>
        </w:rPr>
        <w:t>Suisse</w:t>
      </w:r>
      <w:r w:rsidRPr="0026314F">
        <w:rPr>
          <w:snapToGrid w:val="0"/>
          <w:kern w:val="18"/>
          <w:szCs w:val="18"/>
          <w:lang w:val="fr-CA"/>
        </w:rPr>
        <w:t>,</w:t>
      </w:r>
      <w:r>
        <w:rPr>
          <w:snapToGrid w:val="0"/>
          <w:kern w:val="18"/>
          <w:szCs w:val="18"/>
          <w:lang w:val="fr-CA"/>
        </w:rPr>
        <w:t xml:space="preserve"> UI</w:t>
      </w:r>
      <w:r w:rsidRPr="0026314F">
        <w:rPr>
          <w:snapToGrid w:val="0"/>
          <w:kern w:val="18"/>
          <w:szCs w:val="18"/>
          <w:lang w:val="fr-CA"/>
        </w:rPr>
        <w:t>CN.</w:t>
      </w:r>
    </w:p>
  </w:footnote>
  <w:footnote w:id="52">
    <w:p w:rsidR="00E62BFB" w:rsidRPr="0026314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F17422">
        <w:rPr>
          <w:rStyle w:val="FootnoteReference"/>
          <w:rFonts w:eastAsia="Batang"/>
          <w:iCs/>
          <w:snapToGrid w:val="0"/>
          <w:kern w:val="18"/>
          <w:sz w:val="20"/>
          <w:szCs w:val="20"/>
          <w:u w:val="none"/>
          <w:vertAlign w:val="superscript"/>
          <w:lang w:val="fr-CA" w:eastAsia="ja-JP" w:bidi="th-TH"/>
        </w:rPr>
        <w:footnoteRef/>
      </w:r>
      <w:r w:rsidRPr="00F17422">
        <w:rPr>
          <w:snapToGrid w:val="0"/>
          <w:kern w:val="18"/>
          <w:sz w:val="20"/>
          <w:szCs w:val="20"/>
          <w:lang w:val="fr-CA"/>
        </w:rPr>
        <w:t xml:space="preserve"> </w:t>
      </w:r>
      <w:r>
        <w:rPr>
          <w:snapToGrid w:val="0"/>
          <w:kern w:val="18"/>
          <w:szCs w:val="18"/>
          <w:lang w:val="fr-CA"/>
        </w:rPr>
        <w:t>Les acteurs tels que les gouvernements infranationaux, les gouvernements locaux, les propriétaires fonciers, les petits cultivateurs, les organisations non gouvernementales et autres entités privées, et les peuples autochtones et communautés locales</w:t>
      </w:r>
      <w:r w:rsidRPr="0026314F">
        <w:rPr>
          <w:snapToGrid w:val="0"/>
          <w:kern w:val="18"/>
          <w:szCs w:val="18"/>
          <w:lang w:val="fr-CA" w:eastAsia="ja-JP" w:bidi="th-TH"/>
        </w:rPr>
        <w:t>.</w:t>
      </w:r>
    </w:p>
  </w:footnote>
  <w:footnote w:id="53">
    <w:p w:rsidR="00E62BFB" w:rsidRPr="00DC06CB" w:rsidRDefault="00E62BFB" w:rsidP="009F6935">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en-US"/>
        </w:rPr>
      </w:pPr>
      <w:r w:rsidRPr="00F17422">
        <w:rPr>
          <w:rStyle w:val="FootnoteReference"/>
          <w:rFonts w:eastAsia="Batang" w:cs="Times New Roman"/>
          <w:bCs w:val="0"/>
          <w:iCs/>
          <w:snapToGrid w:val="0"/>
          <w:kern w:val="18"/>
          <w:sz w:val="20"/>
          <w:szCs w:val="20"/>
          <w:u w:val="none"/>
          <w:vertAlign w:val="superscript"/>
          <w:lang w:val="fr-CA" w:eastAsia="ja-JP" w:bidi="th-TH"/>
        </w:rPr>
        <w:footnoteRef/>
      </w:r>
      <w:r w:rsidRPr="00F43A15">
        <w:rPr>
          <w:rFonts w:cs="Times New Roman"/>
          <w:snapToGrid w:val="0"/>
          <w:kern w:val="18"/>
          <w:sz w:val="18"/>
          <w:szCs w:val="18"/>
          <w:lang w:val="en-US"/>
        </w:rPr>
        <w:t xml:space="preserve"> </w:t>
      </w:r>
      <w:r w:rsidRPr="00DC06CB">
        <w:rPr>
          <w:rFonts w:cs="Times New Roman"/>
          <w:snapToGrid w:val="0"/>
          <w:kern w:val="18"/>
          <w:sz w:val="18"/>
          <w:szCs w:val="18"/>
          <w:lang w:val="en-US"/>
        </w:rPr>
        <w:t xml:space="preserve">Orientations utiles : </w:t>
      </w:r>
      <w:hyperlink r:id="rId21" w:history="1">
        <w:r w:rsidRPr="00F43A15">
          <w:rPr>
            <w:rStyle w:val="Hyperlink"/>
            <w:rFonts w:cs="Times New Roman"/>
            <w:snapToGrid w:val="0"/>
            <w:kern w:val="18"/>
            <w:sz w:val="18"/>
            <w:szCs w:val="18"/>
            <w:lang w:val="en-US"/>
          </w:rPr>
          <w:t>IUCN Best Practice Guidelines No. 20</w:t>
        </w:r>
      </w:hyperlink>
      <w:r w:rsidRPr="00DC06CB">
        <w:rPr>
          <w:rFonts w:cs="Times New Roman"/>
          <w:snapToGrid w:val="0"/>
          <w:kern w:val="18"/>
          <w:sz w:val="18"/>
          <w:szCs w:val="18"/>
          <w:lang w:val="en-US"/>
        </w:rPr>
        <w:t>: Governance of Protected Areas: from Understanding to Action (2013).</w:t>
      </w:r>
    </w:p>
  </w:footnote>
  <w:footnote w:id="54">
    <w:p w:rsidR="00E62BFB" w:rsidRPr="003F0010" w:rsidRDefault="00E62BFB" w:rsidP="009F6935">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eastAsia="ja-JP" w:bidi="th-TH"/>
        </w:rPr>
      </w:pPr>
      <w:r w:rsidRPr="00F17422">
        <w:rPr>
          <w:rStyle w:val="FootnoteReference"/>
          <w:rFonts w:eastAsia="Batang" w:cs="Times New Roman"/>
          <w:bCs w:val="0"/>
          <w:iCs/>
          <w:snapToGrid w:val="0"/>
          <w:kern w:val="18"/>
          <w:sz w:val="20"/>
          <w:szCs w:val="20"/>
          <w:u w:val="none"/>
          <w:vertAlign w:val="superscript"/>
          <w:lang w:val="fr-CA" w:eastAsia="ja-JP" w:bidi="th-TH"/>
        </w:rPr>
        <w:footnoteRef/>
      </w:r>
      <w:r w:rsidRPr="00F17422">
        <w:rPr>
          <w:rFonts w:cs="Times New Roman"/>
          <w:snapToGrid w:val="0"/>
          <w:kern w:val="18"/>
          <w:sz w:val="20"/>
          <w:szCs w:val="20"/>
          <w:lang w:val="fr-CA"/>
        </w:rPr>
        <w:t xml:space="preserve"> </w:t>
      </w:r>
      <w:r w:rsidRPr="003F0010">
        <w:rPr>
          <w:rFonts w:cs="Times New Roman"/>
          <w:snapToGrid w:val="0"/>
          <w:kern w:val="18"/>
          <w:sz w:val="18"/>
          <w:szCs w:val="18"/>
          <w:lang w:val="fr-CA" w:eastAsia="ja-JP" w:bidi="th-TH"/>
        </w:rPr>
        <w:t>Une telle évaluation</w:t>
      </w:r>
      <w:r>
        <w:rPr>
          <w:rFonts w:cs="Times New Roman"/>
          <w:snapToGrid w:val="0"/>
          <w:kern w:val="18"/>
          <w:sz w:val="18"/>
          <w:szCs w:val="18"/>
          <w:lang w:val="fr-CA" w:eastAsia="ja-JP" w:bidi="th-TH"/>
        </w:rPr>
        <w:t xml:space="preserve"> aide aussi à cerner les aires d’importance particulière pour la diversité biologique, l’état de la conservation et de la protection, et la manière de les gouverner et par qui, ce qui laisse présager la possibilité de contributions aux réseaux existants. Les facteurs économiques et les coûts et les bienfaits sociaux et culturels doivent aussi entrer en ligne de compte</w:t>
      </w:r>
      <w:r w:rsidRPr="003F0010">
        <w:rPr>
          <w:rFonts w:cs="Times New Roman"/>
          <w:snapToGrid w:val="0"/>
          <w:kern w:val="18"/>
          <w:sz w:val="18"/>
          <w:szCs w:val="18"/>
          <w:lang w:val="fr-CA" w:eastAsia="ja-JP" w:bidi="th-TH"/>
        </w:rPr>
        <w:t>.</w:t>
      </w:r>
    </w:p>
  </w:footnote>
  <w:footnote w:id="55">
    <w:p w:rsidR="00E62BFB" w:rsidRPr="00A41637"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49FC">
        <w:rPr>
          <w:rStyle w:val="FootnoteReference"/>
          <w:rFonts w:eastAsia="Batang"/>
          <w:iCs/>
          <w:snapToGrid w:val="0"/>
          <w:kern w:val="18"/>
          <w:sz w:val="20"/>
          <w:szCs w:val="20"/>
          <w:u w:val="none"/>
          <w:vertAlign w:val="superscript"/>
          <w:lang w:eastAsia="ja-JP" w:bidi="th-TH"/>
        </w:rPr>
        <w:footnoteRef/>
      </w:r>
      <w:r w:rsidRPr="008049FC">
        <w:rPr>
          <w:snapToGrid w:val="0"/>
          <w:kern w:val="18"/>
          <w:sz w:val="20"/>
          <w:szCs w:val="20"/>
          <w:lang w:val="fr-CA"/>
        </w:rPr>
        <w:t xml:space="preserve"> </w:t>
      </w:r>
      <w:r w:rsidRPr="00D65F0F">
        <w:rPr>
          <w:snapToGrid w:val="0"/>
          <w:kern w:val="18"/>
          <w:szCs w:val="18"/>
          <w:lang w:val="fr-CA" w:eastAsia="ja-JP" w:bidi="th-TH"/>
        </w:rPr>
        <w:t xml:space="preserve">Les gouvernements et </w:t>
      </w:r>
      <w:r>
        <w:rPr>
          <w:snapToGrid w:val="0"/>
          <w:kern w:val="18"/>
          <w:szCs w:val="18"/>
          <w:lang w:val="fr-CA" w:eastAsia="ja-JP" w:bidi="th-TH"/>
        </w:rPr>
        <w:t xml:space="preserve">les </w:t>
      </w:r>
      <w:r w:rsidRPr="00D65F0F">
        <w:rPr>
          <w:snapToGrid w:val="0"/>
          <w:kern w:val="18"/>
          <w:szCs w:val="18"/>
          <w:lang w:val="fr-CA" w:eastAsia="ja-JP" w:bidi="th-TH"/>
        </w:rPr>
        <w:t>parties prenantes intéressés peuven</w:t>
      </w:r>
      <w:r>
        <w:rPr>
          <w:snapToGrid w:val="0"/>
          <w:kern w:val="18"/>
          <w:szCs w:val="18"/>
          <w:lang w:val="fr-CA" w:eastAsia="ja-JP" w:bidi="th-TH"/>
        </w:rPr>
        <w:t xml:space="preserve">t consulter les nombreuses données d’expérience et orientations des </w:t>
      </w:r>
      <w:r w:rsidRPr="00CA6CB3">
        <w:rPr>
          <w:snapToGrid w:val="0"/>
          <w:kern w:val="18"/>
          <w:szCs w:val="18"/>
          <w:lang w:val="fr-CA" w:eastAsia="ja-JP" w:bidi="th-TH"/>
        </w:rPr>
        <w:t xml:space="preserve">Parties. Orientations utiles </w:t>
      </w:r>
      <w:r w:rsidRPr="00CA6CB3">
        <w:rPr>
          <w:snapToGrid w:val="0"/>
          <w:kern w:val="18"/>
          <w:szCs w:val="18"/>
          <w:lang w:val="fr-CA"/>
        </w:rPr>
        <w:t xml:space="preserve">: </w:t>
      </w:r>
      <w:hyperlink r:id="rId22" w:history="1">
        <w:r w:rsidRPr="00F43A15">
          <w:rPr>
            <w:rStyle w:val="Hyperlink"/>
            <w:snapToGrid w:val="0"/>
            <w:kern w:val="18"/>
            <w:szCs w:val="18"/>
            <w:lang w:val="fr-CA"/>
          </w:rPr>
          <w:t>Cahier technique n</w:t>
        </w:r>
        <w:r w:rsidRPr="00F43A15">
          <w:rPr>
            <w:rStyle w:val="Hyperlink"/>
            <w:snapToGrid w:val="0"/>
            <w:kern w:val="18"/>
            <w:szCs w:val="18"/>
            <w:vertAlign w:val="superscript"/>
            <w:lang w:val="fr-CA"/>
          </w:rPr>
          <w:t>o</w:t>
        </w:r>
        <w:r w:rsidRPr="00F43A15">
          <w:rPr>
            <w:rStyle w:val="Hyperlink"/>
            <w:snapToGrid w:val="0"/>
            <w:kern w:val="18"/>
            <w:szCs w:val="18"/>
            <w:lang w:val="fr-CA"/>
          </w:rPr>
          <w:t xml:space="preserve"> 64 de la CDB</w:t>
        </w:r>
      </w:hyperlink>
      <w:r w:rsidRPr="00CA6CB3">
        <w:rPr>
          <w:snapToGrid w:val="0"/>
          <w:kern w:val="18"/>
          <w:szCs w:val="18"/>
          <w:lang w:val="fr-CA"/>
        </w:rPr>
        <w:t>, Sue Stolton, Kent H. Redford and Nigel Dudley (2014). </w:t>
      </w:r>
      <w:hyperlink r:id="rId23" w:history="1">
        <w:r w:rsidRPr="00F43A15">
          <w:rPr>
            <w:rStyle w:val="Hyperlink"/>
            <w:i/>
            <w:iCs/>
            <w:snapToGrid w:val="0"/>
            <w:kern w:val="18"/>
            <w:szCs w:val="18"/>
            <w:lang w:val="en-US"/>
          </w:rPr>
          <w:t>The Futures of Privately Protected Areas</w:t>
        </w:r>
      </w:hyperlink>
      <w:r w:rsidRPr="00A41637">
        <w:rPr>
          <w:snapToGrid w:val="0"/>
          <w:kern w:val="18"/>
          <w:szCs w:val="18"/>
          <w:lang w:val="en-US"/>
        </w:rPr>
        <w:t xml:space="preserve">. Gland, Suisse, UICN; et le document </w:t>
      </w:r>
      <w:r>
        <w:rPr>
          <w:snapToGrid w:val="0"/>
          <w:kern w:val="18"/>
          <w:szCs w:val="18"/>
          <w:lang w:val="en-US"/>
        </w:rPr>
        <w:t>d’information</w:t>
      </w:r>
      <w:r w:rsidRPr="00A41637">
        <w:rPr>
          <w:snapToGrid w:val="0"/>
          <w:kern w:val="18"/>
          <w:szCs w:val="18"/>
          <w:lang w:val="en-US"/>
        </w:rPr>
        <w:t xml:space="preserve"> CBD/SBSTTA/22/INF/8.</w:t>
      </w:r>
    </w:p>
  </w:footnote>
  <w:footnote w:id="56">
    <w:p w:rsidR="00E62BFB" w:rsidRPr="00A41637"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en-US"/>
        </w:rPr>
        <w:t xml:space="preserve"> </w:t>
      </w:r>
      <w:hyperlink r:id="rId24" w:history="1">
        <w:r w:rsidRPr="00F43A15">
          <w:rPr>
            <w:rStyle w:val="Hyperlink"/>
            <w:snapToGrid w:val="0"/>
            <w:kern w:val="18"/>
            <w:szCs w:val="18"/>
            <w:lang w:val="en-US"/>
          </w:rPr>
          <w:t>IUCN Best Practice Guidelines No. 20</w:t>
        </w:r>
      </w:hyperlink>
    </w:p>
  </w:footnote>
  <w:footnote w:id="57">
    <w:p w:rsidR="00E62BFB" w:rsidRPr="00CA6CB3"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snapToGrid w:val="0"/>
          <w:kern w:val="18"/>
          <w:sz w:val="20"/>
          <w:szCs w:val="20"/>
          <w:u w:val="none"/>
          <w:vertAlign w:val="superscript"/>
          <w:lang w:val="fr-CA"/>
        </w:rPr>
        <w:footnoteRef/>
      </w:r>
      <w:r w:rsidRPr="00CA6CB3">
        <w:rPr>
          <w:snapToGrid w:val="0"/>
          <w:kern w:val="18"/>
          <w:szCs w:val="18"/>
          <w:lang w:val="fr-CA"/>
        </w:rPr>
        <w:t xml:space="preserve"> Dans le context</w:t>
      </w:r>
      <w:r>
        <w:rPr>
          <w:snapToGrid w:val="0"/>
          <w:kern w:val="18"/>
          <w:szCs w:val="18"/>
          <w:lang w:val="fr-CA"/>
        </w:rPr>
        <w:t>e</w:t>
      </w:r>
      <w:r w:rsidRPr="00CA6CB3">
        <w:rPr>
          <w:snapToGrid w:val="0"/>
          <w:kern w:val="18"/>
          <w:szCs w:val="18"/>
          <w:lang w:val="fr-CA"/>
        </w:rPr>
        <w:t xml:space="preserve"> des aires protégées, </w:t>
      </w:r>
      <w:r>
        <w:rPr>
          <w:snapToGrid w:val="0"/>
          <w:kern w:val="18"/>
          <w:szCs w:val="18"/>
          <w:lang w:val="fr-CA"/>
        </w:rPr>
        <w:t>les « détenteurs de droits » sont des acteurs possédant les droits légaux ou coutumiers relatifs aux ressources naturelles et aux terres</w:t>
      </w:r>
      <w:r w:rsidRPr="00CA6CB3">
        <w:rPr>
          <w:snapToGrid w:val="0"/>
          <w:kern w:val="18"/>
          <w:szCs w:val="18"/>
          <w:lang w:val="fr-CA"/>
        </w:rPr>
        <w:t>.</w:t>
      </w:r>
      <w:r>
        <w:rPr>
          <w:snapToGrid w:val="0"/>
          <w:kern w:val="18"/>
          <w:szCs w:val="18"/>
          <w:lang w:val="fr-CA"/>
        </w:rPr>
        <w:t xml:space="preserve"> Les « parties prenantes » sont des acteurs ayant de l’intérêt et des inquiétudes concernant les ressources naturelles et les terres.</w:t>
      </w:r>
    </w:p>
  </w:footnote>
  <w:footnote w:id="58">
    <w:p w:rsidR="00E62BFB" w:rsidRPr="00A41637"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en-US"/>
        </w:rPr>
        <w:t xml:space="preserve"> </w:t>
      </w:r>
      <w:r w:rsidRPr="00A41637">
        <w:rPr>
          <w:snapToGrid w:val="0"/>
          <w:kern w:val="18"/>
          <w:szCs w:val="18"/>
          <w:lang w:val="en-US"/>
        </w:rPr>
        <w:t xml:space="preserve">Schreckenberg, K., et.al. (2016): </w:t>
      </w:r>
      <w:hyperlink r:id="rId25" w:history="1">
        <w:r w:rsidRPr="00F43A15">
          <w:rPr>
            <w:rStyle w:val="Hyperlink"/>
            <w:snapToGrid w:val="0"/>
            <w:kern w:val="18"/>
            <w:szCs w:val="18"/>
            <w:lang w:val="en-US"/>
          </w:rPr>
          <w:t>Unpacking Equity for Protected Area Conservation</w:t>
        </w:r>
      </w:hyperlink>
      <w:r w:rsidRPr="00A41637">
        <w:rPr>
          <w:snapToGrid w:val="0"/>
          <w:kern w:val="18"/>
          <w:szCs w:val="18"/>
          <w:lang w:val="en-US"/>
        </w:rPr>
        <w:t xml:space="preserve">, </w:t>
      </w:r>
      <w:r w:rsidRPr="00A41637">
        <w:rPr>
          <w:i/>
          <w:iCs/>
          <w:snapToGrid w:val="0"/>
          <w:kern w:val="18"/>
          <w:szCs w:val="18"/>
          <w:lang w:val="en-US"/>
        </w:rPr>
        <w:t>PARKS Journal</w:t>
      </w:r>
      <w:r w:rsidRPr="00A41637">
        <w:rPr>
          <w:snapToGrid w:val="0"/>
          <w:kern w:val="18"/>
          <w:szCs w:val="18"/>
          <w:lang w:val="en-US"/>
        </w:rPr>
        <w:t>.</w:t>
      </w:r>
    </w:p>
  </w:footnote>
  <w:footnote w:id="59">
    <w:p w:rsidR="00E62BFB" w:rsidRPr="00A41637"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en-US"/>
        </w:rPr>
        <w:t xml:space="preserve"> </w:t>
      </w:r>
      <w:r w:rsidRPr="00A41637">
        <w:rPr>
          <w:snapToGrid w:val="0"/>
          <w:kern w:val="18"/>
          <w:szCs w:val="18"/>
          <w:lang w:val="en-US"/>
        </w:rPr>
        <w:t>“Protected areas: facilitating the achievement of Aichi Biodiversity Target 11” (</w:t>
      </w:r>
      <w:hyperlink r:id="rId26" w:history="1">
        <w:r w:rsidRPr="00F43A15">
          <w:rPr>
            <w:rStyle w:val="Hyperlink"/>
            <w:snapToGrid w:val="0"/>
            <w:kern w:val="18"/>
            <w:szCs w:val="18"/>
            <w:lang w:val="en-US"/>
          </w:rPr>
          <w:t>UNEP/CBD/COP/13/INF/17</w:t>
        </w:r>
      </w:hyperlink>
      <w:r w:rsidRPr="00A41637">
        <w:rPr>
          <w:snapToGrid w:val="0"/>
          <w:kern w:val="18"/>
          <w:szCs w:val="18"/>
          <w:lang w:val="en-US"/>
        </w:rPr>
        <w:t>)</w:t>
      </w:r>
      <w:r>
        <w:rPr>
          <w:snapToGrid w:val="0"/>
          <w:kern w:val="18"/>
          <w:szCs w:val="18"/>
          <w:lang w:val="en-US"/>
        </w:rPr>
        <w:t>.</w:t>
      </w:r>
    </w:p>
  </w:footnote>
  <w:footnote w:id="60">
    <w:p w:rsidR="00E62BFB" w:rsidRPr="00AF70A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eastAsia="ja-JP" w:bidi="th-TH"/>
        </w:rPr>
        <w:footnoteRef/>
      </w:r>
      <w:r w:rsidRPr="008049FC">
        <w:rPr>
          <w:snapToGrid w:val="0"/>
          <w:kern w:val="18"/>
          <w:sz w:val="20"/>
          <w:szCs w:val="20"/>
          <w:lang w:val="fr-CA"/>
        </w:rPr>
        <w:t xml:space="preserve"> </w:t>
      </w:r>
      <w:r w:rsidRPr="00AF70AF">
        <w:rPr>
          <w:snapToGrid w:val="0"/>
          <w:kern w:val="18"/>
          <w:szCs w:val="18"/>
          <w:lang w:val="fr-CA"/>
        </w:rPr>
        <w:t>La participation effic</w:t>
      </w:r>
      <w:r>
        <w:rPr>
          <w:snapToGrid w:val="0"/>
          <w:kern w:val="18"/>
          <w:szCs w:val="18"/>
          <w:lang w:val="fr-CA"/>
        </w:rPr>
        <w:t>ace des autres parties prenantes s’applique aux organes publics assurant la gouvernance des aires protégées, tandis que la coordination avec les autres parties prenantes s’applique aux acteurs non gouvernementaux assurant la gouvernance des aires protégées</w:t>
      </w:r>
      <w:r w:rsidRPr="00AF70AF">
        <w:rPr>
          <w:snapToGrid w:val="0"/>
          <w:kern w:val="18"/>
          <w:szCs w:val="18"/>
          <w:lang w:val="fr-CA"/>
        </w:rPr>
        <w:t>.</w:t>
      </w:r>
    </w:p>
  </w:footnote>
  <w:footnote w:id="61">
    <w:p w:rsidR="00E62BFB" w:rsidRPr="00190085"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fr-CA"/>
        </w:rPr>
        <w:t xml:space="preserve"> </w:t>
      </w:r>
      <w:r w:rsidRPr="0078227F">
        <w:rPr>
          <w:snapToGrid w:val="0"/>
          <w:kern w:val="18"/>
          <w:szCs w:val="18"/>
          <w:lang w:val="fr-CA"/>
        </w:rPr>
        <w:t xml:space="preserve">Voir aussi la décision VII/28 : </w:t>
      </w:r>
      <w:r>
        <w:rPr>
          <w:snapToGrid w:val="0"/>
          <w:kern w:val="18"/>
          <w:szCs w:val="18"/>
          <w:lang w:val="fr-CA"/>
        </w:rPr>
        <w:t xml:space="preserve">Prend note que l’établissement, la gestion et le suivi des aires protégées doivent se faire avec la participation entière et active des peuples autochtones et des communautés locales et dans le respect complet de leurs droits, </w:t>
      </w:r>
      <w:r w:rsidRPr="00190085">
        <w:rPr>
          <w:snapToGrid w:val="0"/>
          <w:kern w:val="18"/>
          <w:szCs w:val="18"/>
          <w:lang w:val="fr-CA"/>
        </w:rPr>
        <w:t xml:space="preserve">conformément aux lois du pays et </w:t>
      </w:r>
      <w:r>
        <w:rPr>
          <w:snapToGrid w:val="0"/>
          <w:kern w:val="18"/>
          <w:szCs w:val="18"/>
          <w:lang w:val="fr-CA"/>
        </w:rPr>
        <w:t>aux</w:t>
      </w:r>
      <w:r w:rsidRPr="00190085">
        <w:rPr>
          <w:snapToGrid w:val="0"/>
          <w:kern w:val="18"/>
          <w:szCs w:val="18"/>
          <w:lang w:val="fr-CA"/>
        </w:rPr>
        <w:t xml:space="preserve"> obligations internationales en vigueur</w:t>
      </w:r>
    </w:p>
  </w:footnote>
  <w:footnote w:id="62">
    <w:p w:rsidR="00E62BFB" w:rsidRPr="00190085"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fr-CA"/>
        </w:rPr>
        <w:t xml:space="preserve"> </w:t>
      </w:r>
      <w:r w:rsidRPr="00190085">
        <w:rPr>
          <w:snapToGrid w:val="0"/>
          <w:kern w:val="18"/>
          <w:szCs w:val="18"/>
          <w:lang w:val="fr-CA"/>
        </w:rPr>
        <w:t xml:space="preserve">Orientations utiles : </w:t>
      </w:r>
      <w:hyperlink r:id="rId27" w:history="1">
        <w:r w:rsidRPr="006207F9">
          <w:rPr>
            <w:rStyle w:val="Hyperlink"/>
            <w:snapToGrid w:val="0"/>
            <w:kern w:val="18"/>
            <w:szCs w:val="18"/>
            <w:lang w:val="fr-CA"/>
          </w:rPr>
          <w:t>FAO Voluntary Guidelines on the Responsible Governance of Tenure</w:t>
        </w:r>
      </w:hyperlink>
      <w:r w:rsidRPr="00190085">
        <w:rPr>
          <w:snapToGrid w:val="0"/>
          <w:kern w:val="18"/>
          <w:szCs w:val="18"/>
          <w:lang w:val="fr-CA"/>
        </w:rPr>
        <w:t xml:space="preserve"> (2012); Cahier technique n</w:t>
      </w:r>
      <w:r w:rsidRPr="00190085">
        <w:rPr>
          <w:snapToGrid w:val="0"/>
          <w:kern w:val="18"/>
          <w:szCs w:val="18"/>
          <w:vertAlign w:val="superscript"/>
          <w:lang w:val="fr-CA"/>
        </w:rPr>
        <w:t>o</w:t>
      </w:r>
      <w:r w:rsidRPr="00190085">
        <w:rPr>
          <w:snapToGrid w:val="0"/>
          <w:kern w:val="18"/>
          <w:szCs w:val="18"/>
          <w:lang w:val="fr-CA"/>
        </w:rPr>
        <w:t xml:space="preserve"> 64 de la CDB</w:t>
      </w:r>
      <w:r w:rsidRPr="00190085">
        <w:rPr>
          <w:rStyle w:val="Hyperlink"/>
          <w:snapToGrid w:val="0"/>
          <w:kern w:val="18"/>
          <w:szCs w:val="18"/>
          <w:lang w:val="fr-CA"/>
        </w:rPr>
        <w:t>.</w:t>
      </w:r>
    </w:p>
  </w:footnote>
  <w:footnote w:id="63">
    <w:p w:rsidR="00E62BFB" w:rsidRPr="00876FC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fr-CA"/>
        </w:rPr>
        <w:t xml:space="preserve"> </w:t>
      </w:r>
      <w:r w:rsidRPr="00876FC0">
        <w:rPr>
          <w:snapToGrid w:val="0"/>
          <w:kern w:val="18"/>
          <w:szCs w:val="18"/>
          <w:lang w:val="fr-CA"/>
        </w:rPr>
        <w:t xml:space="preserve">Annexe à la décision </w:t>
      </w:r>
      <w:r w:rsidRPr="00876FC0">
        <w:rPr>
          <w:snapToGrid w:val="0"/>
          <w:kern w:val="18"/>
          <w:lang w:val="fr-CA"/>
        </w:rPr>
        <w:t>XII/12</w:t>
      </w:r>
      <w:r w:rsidRPr="00876FC0">
        <w:rPr>
          <w:snapToGrid w:val="0"/>
          <w:kern w:val="18"/>
          <w:szCs w:val="18"/>
          <w:lang w:val="fr-CA"/>
        </w:rPr>
        <w:t>, notamment la tâche III sur les aires protégées</w:t>
      </w:r>
      <w:r w:rsidRPr="00876FC0">
        <w:rPr>
          <w:snapToGrid w:val="0"/>
          <w:kern w:val="18"/>
          <w:szCs w:val="18"/>
          <w:lang w:val="fr-CA" w:eastAsia="ja-JP" w:bidi="th-TH"/>
        </w:rPr>
        <w:t>.</w:t>
      </w:r>
    </w:p>
  </w:footnote>
  <w:footnote w:id="64">
    <w:p w:rsidR="00E62BFB" w:rsidRPr="00876FC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fr-CA"/>
        </w:rPr>
        <w:t xml:space="preserve"> </w:t>
      </w:r>
      <w:r w:rsidRPr="00876FC0">
        <w:rPr>
          <w:snapToGrid w:val="0"/>
          <w:kern w:val="18"/>
          <w:szCs w:val="18"/>
          <w:lang w:val="fr-CA"/>
        </w:rPr>
        <w:t>Orientations utiles : C</w:t>
      </w:r>
      <w:r>
        <w:rPr>
          <w:snapToGrid w:val="0"/>
          <w:kern w:val="18"/>
          <w:szCs w:val="18"/>
          <w:lang w:val="fr-CA"/>
        </w:rPr>
        <w:t>ommissi</w:t>
      </w:r>
      <w:r w:rsidRPr="00876FC0">
        <w:rPr>
          <w:snapToGrid w:val="0"/>
          <w:kern w:val="18"/>
          <w:szCs w:val="18"/>
          <w:lang w:val="fr-CA"/>
        </w:rPr>
        <w:t xml:space="preserve">on économique des Nations Unies pour l’Europe, </w:t>
      </w:r>
      <w:hyperlink r:id="rId28" w:history="1">
        <w:r w:rsidRPr="006207F9">
          <w:rPr>
            <w:rStyle w:val="Hyperlink"/>
            <w:snapToGrid w:val="0"/>
            <w:kern w:val="18"/>
            <w:szCs w:val="18"/>
            <w:lang w:val="fr-CA"/>
          </w:rPr>
          <w:t xml:space="preserve">Convention sur l’accès à l’information, la participation du public à la prise de décisions et l’accès la justice en matière d’environnement </w:t>
        </w:r>
      </w:hyperlink>
      <w:r w:rsidRPr="00876FC0">
        <w:rPr>
          <w:snapToGrid w:val="0"/>
          <w:kern w:val="18"/>
          <w:szCs w:val="18"/>
          <w:lang w:val="fr-CA"/>
        </w:rPr>
        <w:t xml:space="preserve"> (</w:t>
      </w:r>
      <w:r>
        <w:rPr>
          <w:snapToGrid w:val="0"/>
          <w:kern w:val="18"/>
          <w:szCs w:val="18"/>
          <w:lang w:val="fr-CA"/>
        </w:rPr>
        <w:t>Convention d’Aarhus</w:t>
      </w:r>
      <w:r w:rsidRPr="00876FC0">
        <w:rPr>
          <w:snapToGrid w:val="0"/>
          <w:kern w:val="18"/>
          <w:szCs w:val="18"/>
          <w:lang w:val="fr-CA"/>
        </w:rPr>
        <w:t>).</w:t>
      </w:r>
    </w:p>
  </w:footnote>
  <w:footnote w:id="65">
    <w:p w:rsidR="00E62BFB" w:rsidRPr="00807B0B" w:rsidRDefault="00E62BFB" w:rsidP="009F6935">
      <w:pPr>
        <w:pStyle w:val="Para10"/>
        <w:keepLines/>
        <w:suppressLineNumbers/>
        <w:suppressAutoHyphens/>
        <w:kinsoku w:val="0"/>
        <w:overflowPunct w:val="0"/>
        <w:autoSpaceDE w:val="0"/>
        <w:autoSpaceDN w:val="0"/>
        <w:adjustRightInd w:val="0"/>
        <w:snapToGrid w:val="0"/>
        <w:spacing w:before="0" w:after="60"/>
        <w:jc w:val="left"/>
        <w:rPr>
          <w:rFonts w:cs="Times New Roman"/>
          <w:snapToGrid w:val="0"/>
          <w:kern w:val="18"/>
          <w:sz w:val="18"/>
          <w:szCs w:val="18"/>
          <w:lang w:val="fr-CA"/>
        </w:rPr>
      </w:pPr>
      <w:r w:rsidRPr="008049FC">
        <w:rPr>
          <w:rStyle w:val="FootnoteReference"/>
          <w:rFonts w:eastAsia="Batang" w:cs="Times New Roman"/>
          <w:bCs w:val="0"/>
          <w:iCs/>
          <w:snapToGrid w:val="0"/>
          <w:kern w:val="18"/>
          <w:sz w:val="20"/>
          <w:szCs w:val="20"/>
          <w:u w:val="none"/>
          <w:vertAlign w:val="superscript"/>
          <w:lang w:eastAsia="ja-JP" w:bidi="th-TH"/>
        </w:rPr>
        <w:footnoteRef/>
      </w:r>
      <w:r w:rsidRPr="006207F9">
        <w:rPr>
          <w:rFonts w:cs="Times New Roman"/>
          <w:snapToGrid w:val="0"/>
          <w:kern w:val="18"/>
          <w:sz w:val="18"/>
          <w:szCs w:val="18"/>
          <w:lang w:val="fr-CA"/>
        </w:rPr>
        <w:t xml:space="preserve"> </w:t>
      </w:r>
      <w:r w:rsidRPr="00807B0B">
        <w:rPr>
          <w:rFonts w:cs="Times New Roman"/>
          <w:snapToGrid w:val="0"/>
          <w:kern w:val="18"/>
          <w:sz w:val="18"/>
          <w:szCs w:val="18"/>
          <w:lang w:val="fr-CA"/>
        </w:rPr>
        <w:t xml:space="preserve">Décision VII/28, </w:t>
      </w:r>
      <w:r>
        <w:rPr>
          <w:rFonts w:cs="Times New Roman"/>
          <w:snapToGrid w:val="0"/>
          <w:kern w:val="18"/>
          <w:sz w:val="18"/>
          <w:szCs w:val="18"/>
          <w:lang w:val="fr-CA"/>
        </w:rPr>
        <w:t>activité proposée</w:t>
      </w:r>
      <w:r w:rsidRPr="00807B0B">
        <w:rPr>
          <w:rFonts w:cs="Times New Roman"/>
          <w:snapToGrid w:val="0"/>
          <w:kern w:val="18"/>
          <w:sz w:val="18"/>
          <w:szCs w:val="18"/>
          <w:lang w:val="fr-CA"/>
        </w:rPr>
        <w:t xml:space="preserve"> 2.1.1; </w:t>
      </w:r>
      <w:r>
        <w:rPr>
          <w:rFonts w:cs="Times New Roman"/>
          <w:snapToGrid w:val="0"/>
          <w:kern w:val="18"/>
          <w:sz w:val="18"/>
          <w:szCs w:val="18"/>
          <w:lang w:val="fr-CA"/>
        </w:rPr>
        <w:t>paragraphe 6 e) de la dé</w:t>
      </w:r>
      <w:r w:rsidRPr="00807B0B">
        <w:rPr>
          <w:rFonts w:cs="Times New Roman"/>
          <w:snapToGrid w:val="0"/>
          <w:kern w:val="18"/>
          <w:sz w:val="18"/>
          <w:szCs w:val="18"/>
          <w:lang w:val="fr-CA"/>
        </w:rPr>
        <w:t xml:space="preserve">cision </w:t>
      </w:r>
      <w:r w:rsidRPr="00D67874">
        <w:rPr>
          <w:snapToGrid w:val="0"/>
          <w:kern w:val="18"/>
          <w:lang w:val="fr-CA"/>
        </w:rPr>
        <w:t>IX/18</w:t>
      </w:r>
      <w:r>
        <w:rPr>
          <w:rFonts w:cs="Times New Roman"/>
          <w:snapToGrid w:val="0"/>
          <w:kern w:val="18"/>
          <w:sz w:val="18"/>
          <w:szCs w:val="18"/>
          <w:lang w:val="fr-CA"/>
        </w:rPr>
        <w:t xml:space="preserve"> </w:t>
      </w:r>
      <w:r w:rsidRPr="00807B0B">
        <w:rPr>
          <w:rFonts w:cs="Times New Roman"/>
          <w:snapToGrid w:val="0"/>
          <w:kern w:val="18"/>
          <w:sz w:val="18"/>
          <w:szCs w:val="18"/>
          <w:lang w:val="fr-CA"/>
        </w:rPr>
        <w:t>A</w:t>
      </w:r>
      <w:r>
        <w:rPr>
          <w:rFonts w:cs="Times New Roman"/>
          <w:snapToGrid w:val="0"/>
          <w:kern w:val="18"/>
          <w:sz w:val="18"/>
          <w:szCs w:val="18"/>
          <w:lang w:val="fr-CA"/>
        </w:rPr>
        <w:t>; paragraphes 31a) et 32 d) de la dé</w:t>
      </w:r>
      <w:r w:rsidRPr="00807B0B">
        <w:rPr>
          <w:rFonts w:cs="Times New Roman"/>
          <w:snapToGrid w:val="0"/>
          <w:kern w:val="18"/>
          <w:sz w:val="18"/>
          <w:szCs w:val="18"/>
          <w:lang w:val="fr-CA"/>
        </w:rPr>
        <w:t>cision</w:t>
      </w:r>
      <w:r>
        <w:rPr>
          <w:rFonts w:cs="Times New Roman"/>
          <w:snapToGrid w:val="0"/>
          <w:kern w:val="18"/>
          <w:sz w:val="18"/>
          <w:szCs w:val="18"/>
          <w:lang w:val="fr-CA"/>
        </w:rPr>
        <w:t> </w:t>
      </w:r>
      <w:r w:rsidRPr="00D67874">
        <w:rPr>
          <w:rFonts w:cs="Times New Roman"/>
          <w:snapToGrid w:val="0"/>
          <w:kern w:val="18"/>
          <w:sz w:val="18"/>
          <w:szCs w:val="18"/>
          <w:lang w:val="fr-CA"/>
        </w:rPr>
        <w:t>X/31</w:t>
      </w:r>
      <w:r w:rsidRPr="00807B0B">
        <w:rPr>
          <w:rFonts w:cs="Times New Roman"/>
          <w:snapToGrid w:val="0"/>
          <w:kern w:val="18"/>
          <w:sz w:val="18"/>
          <w:szCs w:val="18"/>
          <w:lang w:val="fr-CA"/>
        </w:rPr>
        <w:t>.</w:t>
      </w:r>
    </w:p>
  </w:footnote>
  <w:footnote w:id="66">
    <w:p w:rsidR="00E62BFB" w:rsidRPr="00807B0B"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en-US"/>
        </w:rPr>
        <w:t xml:space="preserve"> </w:t>
      </w:r>
      <w:r w:rsidRPr="00DC06CB">
        <w:rPr>
          <w:rFonts w:eastAsia="MS Mincho"/>
          <w:bCs/>
          <w:snapToGrid w:val="0"/>
          <w:kern w:val="18"/>
          <w:szCs w:val="18"/>
          <w:lang w:val="en-US"/>
        </w:rPr>
        <w:t xml:space="preserve">Franks, P et al. (2018) Understanding and assessing equity in protected area conservation: a matter of governance, rights, social impacts and human wellbeing. </w:t>
      </w:r>
      <w:r w:rsidRPr="00807B0B">
        <w:rPr>
          <w:rFonts w:eastAsia="MS Mincho"/>
          <w:bCs/>
          <w:snapToGrid w:val="0"/>
          <w:kern w:val="18"/>
          <w:szCs w:val="18"/>
          <w:lang w:val="fr-CA"/>
        </w:rPr>
        <w:t>IIED Issue Paper. IIED, London.</w:t>
      </w:r>
    </w:p>
  </w:footnote>
  <w:footnote w:id="67">
    <w:p w:rsidR="00E62BFB" w:rsidRPr="00D67874"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kern w:val="18"/>
          <w:sz w:val="20"/>
          <w:szCs w:val="20"/>
          <w:lang w:val="fr-CA"/>
        </w:rPr>
        <w:t xml:space="preserve"> </w:t>
      </w:r>
      <w:r w:rsidRPr="00D67874">
        <w:rPr>
          <w:snapToGrid w:val="0"/>
          <w:kern w:val="18"/>
          <w:szCs w:val="18"/>
          <w:lang w:val="fr-CA"/>
        </w:rPr>
        <w:t xml:space="preserve">Décision VII/28, activité proposée 1.1.7 du but l 1 du </w:t>
      </w:r>
      <w:hyperlink r:id="rId29" w:history="1">
        <w:r w:rsidRPr="006207F9">
          <w:rPr>
            <w:rStyle w:val="Hyperlink"/>
            <w:snapToGrid w:val="0"/>
            <w:kern w:val="18"/>
            <w:szCs w:val="18"/>
            <w:lang w:val="fr-CA"/>
          </w:rPr>
          <w:t>Programme de travail sur les aires protégées</w:t>
        </w:r>
      </w:hyperlink>
      <w:r w:rsidRPr="00D67874">
        <w:rPr>
          <w:snapToGrid w:val="0"/>
          <w:kern w:val="18"/>
          <w:szCs w:val="18"/>
          <w:lang w:val="fr-CA"/>
        </w:rPr>
        <w:t>.</w:t>
      </w:r>
    </w:p>
  </w:footnote>
  <w:footnote w:id="68">
    <w:p w:rsidR="00E62BFB" w:rsidRPr="00D5736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rStyle w:val="FootnoteReference"/>
          <w:rFonts w:eastAsia="Batang"/>
          <w:iCs/>
          <w:snapToGrid w:val="0"/>
          <w:kern w:val="18"/>
          <w:sz w:val="20"/>
          <w:szCs w:val="20"/>
          <w:u w:val="none"/>
          <w:vertAlign w:val="superscript"/>
          <w:lang w:val="fr-CA" w:eastAsia="ja-JP" w:bidi="th-TH"/>
        </w:rPr>
        <w:t xml:space="preserve"> </w:t>
      </w:r>
      <w:r w:rsidRPr="00D67874">
        <w:rPr>
          <w:snapToGrid w:val="0"/>
          <w:kern w:val="18"/>
          <w:szCs w:val="18"/>
          <w:lang w:val="fr-CA"/>
        </w:rPr>
        <w:t>Orientations utiles : Commission économique des Nations Unies pour l’Eur</w:t>
      </w:r>
      <w:r>
        <w:rPr>
          <w:snapToGrid w:val="0"/>
          <w:kern w:val="18"/>
          <w:szCs w:val="18"/>
          <w:lang w:val="fr-CA"/>
        </w:rPr>
        <w:t>ope,</w:t>
      </w:r>
      <w:r w:rsidRPr="00D67874">
        <w:rPr>
          <w:snapToGrid w:val="0"/>
          <w:kern w:val="18"/>
          <w:szCs w:val="18"/>
          <w:lang w:val="fr-CA"/>
        </w:rPr>
        <w:t xml:space="preserve"> </w:t>
      </w:r>
      <w:r>
        <w:rPr>
          <w:snapToGrid w:val="0"/>
          <w:kern w:val="18"/>
          <w:szCs w:val="18"/>
          <w:lang w:val="fr-CA"/>
        </w:rPr>
        <w:t xml:space="preserve">Convention sur l’accès à l’information, la participation du public à la prise de décisions et l’accès la justice en matière d’environnement </w:t>
      </w:r>
      <w:r w:rsidRPr="00876FC0">
        <w:rPr>
          <w:snapToGrid w:val="0"/>
          <w:kern w:val="18"/>
          <w:szCs w:val="18"/>
          <w:lang w:val="fr-CA"/>
        </w:rPr>
        <w:t xml:space="preserve"> (</w:t>
      </w:r>
      <w:r>
        <w:rPr>
          <w:snapToGrid w:val="0"/>
          <w:kern w:val="18"/>
          <w:szCs w:val="18"/>
          <w:lang w:val="fr-CA"/>
        </w:rPr>
        <w:t>Convention d’Aarhus)</w:t>
      </w:r>
      <w:r w:rsidRPr="00D67874">
        <w:rPr>
          <w:snapToGrid w:val="0"/>
          <w:kern w:val="18"/>
          <w:szCs w:val="18"/>
          <w:lang w:val="fr-CA"/>
        </w:rPr>
        <w:t>; FAO</w:t>
      </w:r>
      <w:r>
        <w:rPr>
          <w:snapToGrid w:val="0"/>
          <w:kern w:val="18"/>
          <w:szCs w:val="18"/>
          <w:lang w:val="fr-CA"/>
        </w:rPr>
        <w:t>,</w:t>
      </w:r>
      <w:r w:rsidRPr="00D67874">
        <w:rPr>
          <w:snapToGrid w:val="0"/>
          <w:kern w:val="18"/>
          <w:szCs w:val="18"/>
          <w:lang w:val="fr-CA"/>
        </w:rPr>
        <w:t xml:space="preserve"> </w:t>
      </w:r>
      <w:r>
        <w:rPr>
          <w:snapToGrid w:val="0"/>
          <w:kern w:val="18"/>
          <w:szCs w:val="18"/>
          <w:lang w:val="fr-CA"/>
        </w:rPr>
        <w:t>Directives volontaires pour une gouvernance responsable des régimes fonciers</w:t>
      </w:r>
      <w:r w:rsidRPr="00D67874">
        <w:rPr>
          <w:snapToGrid w:val="0"/>
          <w:kern w:val="18"/>
          <w:szCs w:val="18"/>
          <w:lang w:val="fr-CA"/>
        </w:rPr>
        <w:t xml:space="preserve"> (2012); </w:t>
      </w:r>
      <w:r>
        <w:rPr>
          <w:snapToGrid w:val="0"/>
          <w:kern w:val="18"/>
          <w:szCs w:val="18"/>
          <w:lang w:val="fr-CA"/>
        </w:rPr>
        <w:t xml:space="preserve">Plan d’action de la CDB </w:t>
      </w:r>
      <w:r w:rsidRPr="00D5736F">
        <w:rPr>
          <w:snapToGrid w:val="0"/>
          <w:kern w:val="18"/>
          <w:szCs w:val="18"/>
          <w:lang w:val="fr-CA"/>
        </w:rPr>
        <w:t>sur l’utilisation coutumière durable (annexe à la décision XII/12),  Lignes directrices d’Akwé Kon;</w:t>
      </w:r>
      <w:r>
        <w:rPr>
          <w:snapToGrid w:val="0"/>
          <w:kern w:val="18"/>
          <w:szCs w:val="18"/>
          <w:lang w:val="fr-CA"/>
        </w:rPr>
        <w:t xml:space="preserve"> </w:t>
      </w:r>
      <w:hyperlink r:id="rId30" w:history="1">
        <w:r w:rsidRPr="006207F9">
          <w:rPr>
            <w:rStyle w:val="Hyperlink"/>
            <w:snapToGrid w:val="0"/>
            <w:kern w:val="18"/>
            <w:szCs w:val="18"/>
            <w:lang w:val="fr-CA"/>
          </w:rPr>
          <w:t>Déclaration des Nations Unies sur les droits des peuples autochtones</w:t>
        </w:r>
      </w:hyperlink>
      <w:r>
        <w:rPr>
          <w:snapToGrid w:val="0"/>
          <w:kern w:val="18"/>
          <w:szCs w:val="18"/>
          <w:lang w:val="fr-CA"/>
        </w:rPr>
        <w:t>,</w:t>
      </w:r>
      <w:r>
        <w:rPr>
          <w:rStyle w:val="Hyperlink"/>
          <w:snapToGrid w:val="0"/>
          <w:kern w:val="18"/>
          <w:szCs w:val="18"/>
          <w:lang w:val="fr-CA"/>
        </w:rPr>
        <w:t xml:space="preserve"> </w:t>
      </w:r>
      <w:r w:rsidRPr="00D5736F">
        <w:rPr>
          <w:snapToGrid w:val="0"/>
          <w:kern w:val="18"/>
          <w:szCs w:val="18"/>
          <w:lang w:val="fr-CA"/>
        </w:rPr>
        <w:t>FAO, Lignes directrices facultatives sur la pêche à petite échelle.</w:t>
      </w:r>
    </w:p>
  </w:footnote>
  <w:footnote w:id="69">
    <w:p w:rsidR="00E62BFB" w:rsidRPr="006207F9" w:rsidRDefault="00E62BFB" w:rsidP="009F6935">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snapToGrid w:val="0"/>
          <w:color w:val="000000" w:themeColor="text1"/>
          <w:kern w:val="18"/>
          <w:sz w:val="20"/>
          <w:szCs w:val="20"/>
          <w:lang w:val="fr-CA"/>
        </w:rPr>
        <w:t xml:space="preserve"> </w:t>
      </w:r>
      <w:r w:rsidRPr="00D5736F">
        <w:rPr>
          <w:snapToGrid w:val="0"/>
          <w:color w:val="000000" w:themeColor="text1"/>
          <w:kern w:val="18"/>
          <w:szCs w:val="18"/>
          <w:lang w:val="fr-CA"/>
        </w:rPr>
        <w:t xml:space="preserve">Orientations utiles : Méthode d’évaluation de la gouvernance des aires (IIED, à venir) : Évaluation des aires afin d’aider à comprendre la mise en pratique de la gouvernance et de cerner des moyens d’améliorer et/ou de mieux adapter le modèle de </w:t>
      </w:r>
      <w:r w:rsidRPr="006207F9">
        <w:rPr>
          <w:snapToGrid w:val="0"/>
          <w:color w:val="000000" w:themeColor="text1"/>
          <w:kern w:val="18"/>
          <w:szCs w:val="18"/>
          <w:lang w:val="fr-CA"/>
        </w:rPr>
        <w:t>gouvernance et les arrangements concernant la prise de décisions dans le contexte local</w:t>
      </w:r>
      <w:r w:rsidRPr="006207F9">
        <w:rPr>
          <w:snapToGrid w:val="0"/>
          <w:color w:val="000000" w:themeColor="text1"/>
          <w:kern w:val="18"/>
          <w:szCs w:val="18"/>
          <w:lang w:val="fr-CA" w:eastAsia="ja-JP" w:bidi="th-TH"/>
        </w:rPr>
        <w:t>.</w:t>
      </w:r>
    </w:p>
  </w:footnote>
  <w:footnote w:id="70">
    <w:p w:rsidR="00E62BFB" w:rsidRPr="00D5736F" w:rsidRDefault="00E62BFB" w:rsidP="009F6935">
      <w:pPr>
        <w:keepLines/>
        <w:suppressLineNumbers/>
        <w:suppressAutoHyphens/>
        <w:kinsoku w:val="0"/>
        <w:overflowPunct w:val="0"/>
        <w:autoSpaceDE w:val="0"/>
        <w:autoSpaceDN w:val="0"/>
        <w:adjustRightInd w:val="0"/>
        <w:snapToGrid w:val="0"/>
        <w:spacing w:after="60"/>
        <w:jc w:val="left"/>
        <w:outlineLvl w:val="1"/>
        <w:rPr>
          <w:rStyle w:val="FootnoteReference"/>
          <w:snapToGrid w:val="0"/>
          <w:color w:val="000000" w:themeColor="text1"/>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rStyle w:val="FootnoteReference"/>
          <w:rFonts w:eastAsia="Batang"/>
          <w:iCs/>
          <w:snapToGrid w:val="0"/>
          <w:kern w:val="18"/>
          <w:sz w:val="20"/>
          <w:szCs w:val="20"/>
          <w:u w:val="none"/>
          <w:vertAlign w:val="superscript"/>
          <w:lang w:val="en-US" w:eastAsia="ja-JP" w:bidi="th-TH"/>
        </w:rPr>
        <w:t xml:space="preserve"> </w:t>
      </w:r>
      <w:r w:rsidRPr="00D5736F">
        <w:rPr>
          <w:snapToGrid w:val="0"/>
          <w:color w:val="000000" w:themeColor="text1"/>
          <w:kern w:val="18"/>
          <w:sz w:val="18"/>
          <w:szCs w:val="18"/>
          <w:lang w:val="en-US"/>
        </w:rPr>
        <w:t xml:space="preserve">Orientations utiles : Franks, P and Small, R (2016) Social Assessment for Protected Areas (SAPA). </w:t>
      </w:r>
      <w:r w:rsidRPr="00D5736F">
        <w:rPr>
          <w:snapToGrid w:val="0"/>
          <w:color w:val="000000" w:themeColor="text1"/>
          <w:kern w:val="18"/>
          <w:sz w:val="18"/>
          <w:szCs w:val="18"/>
          <w:lang w:val="fr-CA"/>
        </w:rPr>
        <w:t>Methodology Manual for SAPA Facilitators. IIED, London.</w:t>
      </w:r>
    </w:p>
  </w:footnote>
  <w:footnote w:id="71">
    <w:p w:rsidR="00E62BFB" w:rsidRPr="00807B0B" w:rsidRDefault="00E62BFB" w:rsidP="009F6935">
      <w:pPr>
        <w:pStyle w:val="FootnoteText"/>
        <w:suppressLineNumbers/>
        <w:suppressAutoHyphens/>
        <w:kinsoku w:val="0"/>
        <w:overflowPunct w:val="0"/>
        <w:autoSpaceDE w:val="0"/>
        <w:autoSpaceDN w:val="0"/>
        <w:adjustRightInd w:val="0"/>
        <w:snapToGrid w:val="0"/>
        <w:ind w:firstLine="0"/>
        <w:jc w:val="left"/>
        <w:rPr>
          <w:snapToGrid w:val="0"/>
          <w:color w:val="000000" w:themeColor="text1"/>
          <w:kern w:val="18"/>
          <w:szCs w:val="18"/>
          <w:lang w:val="fr-CA"/>
        </w:rPr>
      </w:pPr>
      <w:r w:rsidRPr="008049FC">
        <w:rPr>
          <w:rStyle w:val="FootnoteReference"/>
          <w:rFonts w:eastAsia="Batang"/>
          <w:iCs/>
          <w:snapToGrid w:val="0"/>
          <w:kern w:val="18"/>
          <w:sz w:val="20"/>
          <w:szCs w:val="20"/>
          <w:u w:val="none"/>
          <w:vertAlign w:val="superscript"/>
          <w:lang w:val="fr-CA" w:eastAsia="ja-JP" w:bidi="th-TH"/>
        </w:rPr>
        <w:footnoteRef/>
      </w:r>
      <w:r w:rsidRPr="008049FC">
        <w:rPr>
          <w:rStyle w:val="FootnoteReference"/>
          <w:rFonts w:eastAsia="Batang"/>
          <w:iCs/>
          <w:snapToGrid w:val="0"/>
          <w:kern w:val="18"/>
          <w:sz w:val="20"/>
          <w:szCs w:val="20"/>
          <w:u w:val="none"/>
          <w:vertAlign w:val="superscript"/>
          <w:lang w:val="fr-CA" w:eastAsia="ja-JP" w:bidi="th-TH"/>
        </w:rPr>
        <w:t xml:space="preserve"> </w:t>
      </w:r>
      <w:r>
        <w:rPr>
          <w:snapToGrid w:val="0"/>
          <w:color w:val="000000" w:themeColor="text1"/>
          <w:kern w:val="18"/>
          <w:szCs w:val="18"/>
          <w:lang w:val="fr-CA"/>
        </w:rPr>
        <w:t>Décision</w:t>
      </w:r>
      <w:r w:rsidRPr="00807B0B">
        <w:rPr>
          <w:snapToGrid w:val="0"/>
          <w:color w:val="000000" w:themeColor="text1"/>
          <w:kern w:val="18"/>
          <w:szCs w:val="18"/>
          <w:lang w:val="fr-CA"/>
        </w:rPr>
        <w:t xml:space="preserve"> VII/28, </w:t>
      </w:r>
      <w:r>
        <w:rPr>
          <w:snapToGrid w:val="0"/>
          <w:color w:val="000000" w:themeColor="text1"/>
          <w:kern w:val="18"/>
          <w:szCs w:val="18"/>
          <w:lang w:val="fr-CA"/>
        </w:rPr>
        <w:t>activité proposée</w:t>
      </w:r>
      <w:r w:rsidRPr="00807B0B">
        <w:rPr>
          <w:snapToGrid w:val="0"/>
          <w:color w:val="000000" w:themeColor="text1"/>
          <w:kern w:val="18"/>
          <w:szCs w:val="18"/>
          <w:lang w:val="fr-CA"/>
        </w:rPr>
        <w:t xml:space="preserve"> </w:t>
      </w:r>
      <w:r w:rsidRPr="00807B0B">
        <w:rPr>
          <w:snapToGrid w:val="0"/>
          <w:color w:val="000000" w:themeColor="text1"/>
          <w:kern w:val="18"/>
          <w:szCs w:val="18"/>
          <w:shd w:val="clear" w:color="auto" w:fill="FFFFFF"/>
          <w:lang w:val="fr-CA"/>
        </w:rPr>
        <w:t>2.1.6</w:t>
      </w:r>
      <w:r w:rsidRPr="00807B0B">
        <w:rPr>
          <w:snapToGrid w:val="0"/>
          <w:color w:val="000000" w:themeColor="text1"/>
          <w:kern w:val="18"/>
          <w:szCs w:val="18"/>
          <w:lang w:val="fr-CA"/>
        </w:rPr>
        <w:t>.</w:t>
      </w:r>
    </w:p>
  </w:footnote>
  <w:footnote w:id="72">
    <w:p w:rsidR="00E62BFB" w:rsidRPr="00C62141" w:rsidRDefault="00E62BFB" w:rsidP="009F6935">
      <w:pPr>
        <w:pStyle w:val="FootnoteText"/>
        <w:suppressLineNumbers/>
        <w:suppressAutoHyphens/>
        <w:kinsoku w:val="0"/>
        <w:overflowPunct w:val="0"/>
        <w:autoSpaceDE w:val="0"/>
        <w:autoSpaceDN w:val="0"/>
        <w:adjustRightInd w:val="0"/>
        <w:snapToGrid w:val="0"/>
        <w:ind w:firstLine="0"/>
        <w:jc w:val="left"/>
        <w:rPr>
          <w:rStyle w:val="FootnoteReference"/>
          <w:snapToGrid w:val="0"/>
          <w:color w:val="000000" w:themeColor="text1"/>
          <w:kern w:val="18"/>
          <w:szCs w:val="18"/>
          <w:lang w:val="fr-CA"/>
        </w:rPr>
      </w:pPr>
      <w:r w:rsidRPr="008049FC">
        <w:rPr>
          <w:rStyle w:val="FootnoteReference"/>
          <w:rFonts w:eastAsia="Batang"/>
          <w:iCs/>
          <w:snapToGrid w:val="0"/>
          <w:kern w:val="18"/>
          <w:sz w:val="20"/>
          <w:szCs w:val="20"/>
          <w:u w:val="none"/>
          <w:vertAlign w:val="superscript"/>
          <w:lang w:eastAsia="ja-JP" w:bidi="th-TH"/>
        </w:rPr>
        <w:footnoteRef/>
      </w:r>
      <w:r w:rsidRPr="006207F9">
        <w:rPr>
          <w:snapToGrid w:val="0"/>
          <w:color w:val="000000" w:themeColor="text1"/>
          <w:kern w:val="18"/>
          <w:szCs w:val="18"/>
          <w:lang w:val="fr-CA"/>
        </w:rPr>
        <w:t xml:space="preserve"> </w:t>
      </w:r>
      <w:r w:rsidRPr="00C62141">
        <w:rPr>
          <w:snapToGrid w:val="0"/>
          <w:color w:val="000000" w:themeColor="text1"/>
          <w:kern w:val="18"/>
          <w:szCs w:val="18"/>
          <w:lang w:val="fr-CA"/>
        </w:rPr>
        <w:t>Orientations utiles : Évaluation sociale des aires protégées.</w:t>
      </w:r>
    </w:p>
  </w:footnote>
  <w:footnote w:id="73">
    <w:p w:rsidR="00E62BFB" w:rsidRPr="002F5613"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CA"/>
        </w:rPr>
      </w:pPr>
      <w:r w:rsidRPr="00A96257">
        <w:rPr>
          <w:rStyle w:val="FootnoteReference"/>
          <w:snapToGrid w:val="0"/>
          <w:kern w:val="18"/>
          <w:sz w:val="20"/>
          <w:szCs w:val="20"/>
          <w:u w:val="none"/>
          <w:vertAlign w:val="superscript"/>
          <w:lang w:val="fr-CA"/>
        </w:rPr>
        <w:footnoteRef/>
      </w:r>
      <w:r w:rsidRPr="00733AED">
        <w:rPr>
          <w:snapToGrid w:val="0"/>
          <w:kern w:val="18"/>
          <w:szCs w:val="18"/>
          <w:lang w:val="fr-CA"/>
        </w:rPr>
        <w:t xml:space="preserve"> </w:t>
      </w:r>
      <w:r w:rsidRPr="002F5613">
        <w:rPr>
          <w:snapToGrid w:val="0"/>
          <w:kern w:val="18"/>
          <w:szCs w:val="18"/>
          <w:lang w:val="fr-CA"/>
        </w:rPr>
        <w:t xml:space="preserve">Le document CBD/PA/EM/2018/1/INF/4 </w:t>
      </w:r>
      <w:r>
        <w:rPr>
          <w:snapToGrid w:val="0"/>
          <w:kern w:val="18"/>
          <w:szCs w:val="18"/>
          <w:lang w:val="fr-CA"/>
        </w:rPr>
        <w:t>présente</w:t>
      </w:r>
      <w:r w:rsidRPr="002F5613">
        <w:rPr>
          <w:snapToGrid w:val="0"/>
          <w:kern w:val="18"/>
          <w:szCs w:val="18"/>
          <w:lang w:val="fr-CA"/>
        </w:rPr>
        <w:t xml:space="preserve"> plusieurs exemples de cette contribution.</w:t>
      </w:r>
    </w:p>
  </w:footnote>
  <w:footnote w:id="74">
    <w:p w:rsidR="00E62BFB" w:rsidRPr="00AB2873" w:rsidRDefault="00E62BFB" w:rsidP="009F6935">
      <w:pPr>
        <w:pStyle w:val="FootnoteText"/>
        <w:kinsoku w:val="0"/>
        <w:overflowPunct w:val="0"/>
        <w:autoSpaceDE w:val="0"/>
        <w:autoSpaceDN w:val="0"/>
        <w:adjustRightInd w:val="0"/>
        <w:snapToGrid w:val="0"/>
        <w:ind w:firstLine="0"/>
        <w:jc w:val="left"/>
        <w:rPr>
          <w:szCs w:val="18"/>
          <w:lang w:val="fr-CA"/>
        </w:rPr>
      </w:pPr>
      <w:r w:rsidRPr="00285792">
        <w:rPr>
          <w:rStyle w:val="FootnoteReference"/>
          <w:sz w:val="20"/>
          <w:szCs w:val="20"/>
          <w:u w:val="none"/>
          <w:vertAlign w:val="superscript"/>
        </w:rPr>
        <w:footnoteRef/>
      </w:r>
      <w:r w:rsidRPr="00AB2873">
        <w:rPr>
          <w:szCs w:val="18"/>
          <w:lang w:val="fr-CA"/>
        </w:rPr>
        <w:t xml:space="preserve"> </w:t>
      </w:r>
      <w:r w:rsidRPr="002841EB">
        <w:rPr>
          <w:szCs w:val="18"/>
          <w:lang w:val="fr-FR"/>
        </w:rPr>
        <w:t>Décision XIII/12, annexe III</w:t>
      </w:r>
      <w:r w:rsidRPr="00AB2873">
        <w:rPr>
          <w:szCs w:val="18"/>
          <w:lang w:val="fr-CA"/>
        </w:rPr>
        <w:t>.</w:t>
      </w:r>
    </w:p>
  </w:footnote>
  <w:footnote w:id="75">
    <w:p w:rsidR="00E62BFB" w:rsidRPr="002D6CB3" w:rsidRDefault="00E62BFB" w:rsidP="009F6935">
      <w:pPr>
        <w:pStyle w:val="FootnoteText"/>
        <w:ind w:firstLine="0"/>
        <w:rPr>
          <w:lang w:val="fr-FR"/>
        </w:rPr>
      </w:pPr>
      <w:r w:rsidRPr="00285792">
        <w:rPr>
          <w:rStyle w:val="FootnoteReference"/>
          <w:sz w:val="20"/>
          <w:szCs w:val="20"/>
          <w:u w:val="none"/>
          <w:vertAlign w:val="superscript"/>
        </w:rPr>
        <w:footnoteRef/>
      </w:r>
      <w:r w:rsidRPr="00285792">
        <w:rPr>
          <w:sz w:val="20"/>
          <w:szCs w:val="20"/>
          <w:vertAlign w:val="superscript"/>
          <w:lang w:val="fr-FR"/>
        </w:rPr>
        <w:t xml:space="preserve"> </w:t>
      </w:r>
      <w:r>
        <w:rPr>
          <w:lang w:val="fr-FR"/>
        </w:rPr>
        <w:t>CBD/SBSTTA/22/7/Add.1.</w:t>
      </w:r>
      <w:r w:rsidRPr="002D6CB3">
        <w:rPr>
          <w:lang w:val="fr-FR"/>
        </w:rPr>
        <w:t xml:space="preserve"> </w:t>
      </w:r>
    </w:p>
  </w:footnote>
  <w:footnote w:id="76">
    <w:p w:rsidR="00E62BFB" w:rsidRPr="00367D4B" w:rsidRDefault="00E62BFB" w:rsidP="009F6935">
      <w:pPr>
        <w:pStyle w:val="FootnoteText"/>
        <w:keepLines w:val="0"/>
        <w:kinsoku w:val="0"/>
        <w:overflowPunct w:val="0"/>
        <w:autoSpaceDE w:val="0"/>
        <w:autoSpaceDN w:val="0"/>
        <w:spacing w:after="120"/>
        <w:ind w:firstLine="0"/>
        <w:jc w:val="left"/>
        <w:rPr>
          <w:snapToGrid w:val="0"/>
          <w:kern w:val="18"/>
          <w:szCs w:val="18"/>
          <w:lang w:val="fr-FR"/>
        </w:rPr>
      </w:pPr>
      <w:r w:rsidRPr="00010EA0">
        <w:rPr>
          <w:rStyle w:val="FootnoteReference"/>
          <w:rFonts w:eastAsiaTheme="majorEastAsia"/>
          <w:snapToGrid w:val="0"/>
          <w:kern w:val="18"/>
          <w:sz w:val="20"/>
          <w:szCs w:val="20"/>
          <w:u w:val="none"/>
          <w:vertAlign w:val="superscript"/>
          <w:lang w:val="fr-FR"/>
        </w:rPr>
        <w:footnoteRef/>
      </w:r>
      <w:r w:rsidRPr="00010EA0">
        <w:rPr>
          <w:snapToGrid w:val="0"/>
          <w:kern w:val="18"/>
          <w:sz w:val="20"/>
          <w:szCs w:val="20"/>
          <w:vertAlign w:val="superscript"/>
          <w:lang w:val="fr-FR"/>
        </w:rPr>
        <w:t xml:space="preserve"> </w:t>
      </w:r>
      <w:r w:rsidRPr="00367D4B">
        <w:rPr>
          <w:snapToGrid w:val="0"/>
          <w:kern w:val="18"/>
          <w:szCs w:val="18"/>
          <w:lang w:val="fr-FR"/>
        </w:rPr>
        <w:t>CBD/EBSA/WS/2017/1/3 et CBD/EBSA/WS/2018/1/4.</w:t>
      </w:r>
    </w:p>
  </w:footnote>
  <w:footnote w:id="77">
    <w:p w:rsidR="00E62BFB" w:rsidRPr="00367D4B" w:rsidRDefault="00E62BFB" w:rsidP="009F6935">
      <w:pPr>
        <w:pStyle w:val="FootnoteText"/>
        <w:kinsoku w:val="0"/>
        <w:overflowPunct w:val="0"/>
        <w:autoSpaceDE w:val="0"/>
        <w:autoSpaceDN w:val="0"/>
        <w:adjustRightInd w:val="0"/>
        <w:snapToGrid w:val="0"/>
        <w:spacing w:after="0"/>
        <w:ind w:firstLine="0"/>
        <w:jc w:val="left"/>
        <w:rPr>
          <w:snapToGrid w:val="0"/>
          <w:kern w:val="18"/>
          <w:szCs w:val="18"/>
          <w:lang w:val="fr-FR"/>
        </w:rPr>
      </w:pPr>
      <w:r w:rsidRPr="00010EA0">
        <w:rPr>
          <w:rStyle w:val="FootnoteReference"/>
          <w:rFonts w:eastAsiaTheme="majorEastAsia"/>
          <w:snapToGrid w:val="0"/>
          <w:kern w:val="18"/>
          <w:sz w:val="20"/>
          <w:szCs w:val="20"/>
          <w:u w:val="none"/>
          <w:vertAlign w:val="superscript"/>
          <w:lang w:val="fr-FR"/>
        </w:rPr>
        <w:footnoteRef/>
      </w:r>
      <w:r w:rsidRPr="00010EA0">
        <w:rPr>
          <w:snapToGrid w:val="0"/>
          <w:kern w:val="18"/>
          <w:sz w:val="20"/>
          <w:szCs w:val="20"/>
          <w:vertAlign w:val="superscript"/>
          <w:lang w:val="fr-FR"/>
        </w:rPr>
        <w:t xml:space="preserve"> </w:t>
      </w:r>
      <w:r w:rsidRPr="00010EA0">
        <w:rPr>
          <w:rStyle w:val="Strong"/>
          <w:b w:val="0"/>
          <w:snapToGrid w:val="0"/>
          <w:kern w:val="18"/>
          <w:szCs w:val="18"/>
          <w:lang w:val="fr-FR"/>
        </w:rPr>
        <w:t>CBD/EBSA/EM/2017/1/3.</w:t>
      </w:r>
    </w:p>
  </w:footnote>
  <w:footnote w:id="78">
    <w:p w:rsidR="00E62BFB" w:rsidRPr="00D37316" w:rsidRDefault="00E62BFB" w:rsidP="009F6935">
      <w:pPr>
        <w:pStyle w:val="FootnoteText"/>
        <w:spacing w:after="0"/>
        <w:ind w:firstLine="0"/>
        <w:rPr>
          <w:lang w:val="fr-FR"/>
        </w:rPr>
      </w:pPr>
      <w:r w:rsidRPr="00010EA0">
        <w:rPr>
          <w:rStyle w:val="FootnoteReference"/>
          <w:sz w:val="20"/>
          <w:szCs w:val="20"/>
          <w:u w:val="none"/>
          <w:vertAlign w:val="superscript"/>
        </w:rPr>
        <w:footnoteRef/>
      </w:r>
      <w:r w:rsidRPr="00D37316">
        <w:rPr>
          <w:lang w:val="fr-FR"/>
        </w:rPr>
        <w:t xml:space="preserve"> </w:t>
      </w:r>
      <w:r>
        <w:rPr>
          <w:lang w:val="fr-FR"/>
        </w:rPr>
        <w:t>CBD/SBSTTA/22/INF/13.</w:t>
      </w:r>
    </w:p>
  </w:footnote>
  <w:footnote w:id="79">
    <w:p w:rsidR="00E62BFB" w:rsidRPr="00D37316" w:rsidRDefault="00E62BFB" w:rsidP="009F6935">
      <w:pPr>
        <w:pStyle w:val="FootnoteText"/>
        <w:spacing w:after="0"/>
        <w:ind w:firstLine="0"/>
        <w:rPr>
          <w:lang w:val="fr-FR"/>
        </w:rPr>
      </w:pPr>
      <w:r w:rsidRPr="00010EA0">
        <w:rPr>
          <w:rStyle w:val="FootnoteReference"/>
          <w:sz w:val="20"/>
          <w:szCs w:val="20"/>
          <w:u w:val="none"/>
          <w:vertAlign w:val="superscript"/>
        </w:rPr>
        <w:footnoteRef/>
      </w:r>
      <w:r w:rsidRPr="00010EA0">
        <w:rPr>
          <w:sz w:val="20"/>
          <w:szCs w:val="20"/>
          <w:vertAlign w:val="superscript"/>
          <w:lang w:val="fr-FR"/>
        </w:rPr>
        <w:t xml:space="preserve"> </w:t>
      </w:r>
      <w:r>
        <w:rPr>
          <w:lang w:val="fr-FR"/>
        </w:rPr>
        <w:t>CBD/SBSTTA/22/INF/14.</w:t>
      </w:r>
    </w:p>
  </w:footnote>
  <w:footnote w:id="80">
    <w:p w:rsidR="00E62BFB" w:rsidRPr="00367D4B" w:rsidRDefault="00E62BFB" w:rsidP="009F6935">
      <w:pPr>
        <w:pStyle w:val="FootnoteText"/>
        <w:kinsoku w:val="0"/>
        <w:overflowPunct w:val="0"/>
        <w:autoSpaceDE w:val="0"/>
        <w:autoSpaceDN w:val="0"/>
        <w:adjustRightInd w:val="0"/>
        <w:snapToGrid w:val="0"/>
        <w:ind w:firstLine="0"/>
        <w:jc w:val="left"/>
        <w:rPr>
          <w:szCs w:val="18"/>
          <w:lang w:val="fr-FR"/>
        </w:rPr>
      </w:pPr>
      <w:r w:rsidRPr="00010EA0">
        <w:rPr>
          <w:rStyle w:val="FootnoteReference"/>
          <w:sz w:val="20"/>
          <w:szCs w:val="20"/>
          <w:u w:val="none"/>
          <w:vertAlign w:val="superscript"/>
          <w:lang w:val="fr-FR"/>
        </w:rPr>
        <w:footnoteRef/>
      </w:r>
      <w:r w:rsidRPr="00010EA0">
        <w:rPr>
          <w:sz w:val="20"/>
          <w:szCs w:val="20"/>
          <w:vertAlign w:val="superscript"/>
          <w:lang w:val="fr-FR"/>
        </w:rPr>
        <w:t xml:space="preserve"> </w:t>
      </w:r>
      <w:r>
        <w:rPr>
          <w:szCs w:val="18"/>
          <w:lang w:val="fr-FR"/>
        </w:rPr>
        <w:t>Voir la résolution </w:t>
      </w:r>
      <w:hyperlink r:id="rId31" w:history="1">
        <w:r w:rsidRPr="00367D4B">
          <w:rPr>
            <w:rStyle w:val="Hyperlink"/>
            <w:szCs w:val="18"/>
            <w:lang w:val="fr-FR"/>
          </w:rPr>
          <w:t>71/312</w:t>
        </w:r>
      </w:hyperlink>
      <w:r>
        <w:rPr>
          <w:szCs w:val="18"/>
          <w:lang w:val="fr-FR"/>
        </w:rPr>
        <w:t xml:space="preserve"> de l’Assemblée générale en date du 6 juillet </w:t>
      </w:r>
      <w:r w:rsidRPr="00367D4B">
        <w:rPr>
          <w:szCs w:val="18"/>
          <w:lang w:val="fr-FR"/>
        </w:rPr>
        <w:t>2017.</w:t>
      </w:r>
    </w:p>
  </w:footnote>
  <w:footnote w:id="81">
    <w:p w:rsidR="00E62BFB" w:rsidRPr="00AA68DB" w:rsidRDefault="00E62BFB" w:rsidP="009F6935">
      <w:pPr>
        <w:pStyle w:val="FootnoteText"/>
        <w:kinsoku w:val="0"/>
        <w:overflowPunct w:val="0"/>
        <w:autoSpaceDE w:val="0"/>
        <w:autoSpaceDN w:val="0"/>
        <w:adjustRightInd w:val="0"/>
        <w:snapToGrid w:val="0"/>
        <w:ind w:firstLine="0"/>
        <w:jc w:val="left"/>
        <w:rPr>
          <w:snapToGrid w:val="0"/>
          <w:kern w:val="22"/>
          <w:szCs w:val="18"/>
          <w:lang w:val="fr-FR"/>
        </w:rPr>
      </w:pPr>
      <w:r w:rsidRPr="00010EA0">
        <w:rPr>
          <w:rStyle w:val="FootnoteReference"/>
          <w:sz w:val="20"/>
          <w:szCs w:val="20"/>
          <w:u w:val="none"/>
          <w:vertAlign w:val="superscript"/>
          <w:lang w:val="fr-FR"/>
        </w:rPr>
        <w:footnoteRef/>
      </w:r>
      <w:r w:rsidRPr="00010EA0">
        <w:rPr>
          <w:sz w:val="20"/>
          <w:szCs w:val="20"/>
          <w:vertAlign w:val="superscript"/>
          <w:lang w:val="fr-FR"/>
        </w:rPr>
        <w:t xml:space="preserve"> </w:t>
      </w:r>
      <w:r w:rsidRPr="00367D4B">
        <w:rPr>
          <w:i/>
          <w:snapToGrid w:val="0"/>
          <w:kern w:val="22"/>
          <w:szCs w:val="18"/>
          <w:lang w:val="fr-FR"/>
        </w:rPr>
        <w:t xml:space="preserve">Notant </w:t>
      </w:r>
      <w:r w:rsidRPr="00367D4B">
        <w:rPr>
          <w:iCs/>
          <w:snapToGrid w:val="0"/>
          <w:kern w:val="22"/>
          <w:szCs w:val="18"/>
          <w:lang w:val="fr-FR"/>
        </w:rPr>
        <w:t>la résolution 3/7</w:t>
      </w:r>
      <w:r w:rsidRPr="00367D4B">
        <w:rPr>
          <w:i/>
          <w:snapToGrid w:val="0"/>
          <w:kern w:val="22"/>
          <w:szCs w:val="18"/>
          <w:lang w:val="fr-FR"/>
        </w:rPr>
        <w:t xml:space="preserve"> </w:t>
      </w:r>
      <w:r w:rsidRPr="00367D4B">
        <w:rPr>
          <w:snapToGrid w:val="0"/>
          <w:kern w:val="22"/>
          <w:szCs w:val="18"/>
          <w:lang w:val="fr-FR"/>
        </w:rPr>
        <w:t xml:space="preserve">de l’Assemblée des Nations Unies pour l’environnement </w:t>
      </w:r>
      <w:r>
        <w:rPr>
          <w:snapToGrid w:val="0"/>
          <w:kern w:val="22"/>
          <w:szCs w:val="18"/>
          <w:lang w:val="fr-FR"/>
        </w:rPr>
        <w:t xml:space="preserve">sur les déchets marins et les microplastiques et en particulier l’invitation adressée aux organisations et conventions internationales et régionales compétentes, notamment à la Convention sur la diversité biologique, à multiplier, dans le respect de leurs mandats, les actions qu’elles mènent pour prévenir et réduire les déchets marins et les microplastiques, ainsi que leurs incidences nuisibles, et à coordonner ces actions, selon qu’il convient, afin d’y parvenir, ainsi que la décision relative à la convocation d’un groupe spécial d’experts à composition non limitée, dans le cadre de </w:t>
      </w:r>
      <w:r w:rsidRPr="00367D4B">
        <w:rPr>
          <w:snapToGrid w:val="0"/>
          <w:kern w:val="22"/>
          <w:szCs w:val="18"/>
          <w:lang w:val="fr-FR"/>
        </w:rPr>
        <w:t>l’Assemblée des Nations Unies pour l’environnement</w:t>
      </w:r>
      <w:r>
        <w:rPr>
          <w:snapToGrid w:val="0"/>
          <w:kern w:val="22"/>
          <w:szCs w:val="18"/>
          <w:lang w:val="fr-FR"/>
        </w:rPr>
        <w:t>, afin qu’il examine les obstacles rencontrés dans la lutte contre les déchets marins plastiques et les microplastiques de toute origine, en particulier d’origine terrestre, ainsi que les options permettant de les réduire</w:t>
      </w:r>
      <w:r w:rsidRPr="00367D4B">
        <w:rPr>
          <w:snapToGrid w:val="0"/>
          <w:kern w:val="22"/>
          <w:szCs w:val="18"/>
          <w:lang w:val="fr-FR"/>
        </w:rPr>
        <w:t>.</w:t>
      </w:r>
    </w:p>
  </w:footnote>
  <w:footnote w:id="82">
    <w:p w:rsidR="00E62BFB" w:rsidRPr="00367D4B" w:rsidRDefault="00E62BFB" w:rsidP="009F6935">
      <w:pPr>
        <w:pStyle w:val="FootnoteText"/>
        <w:kinsoku w:val="0"/>
        <w:overflowPunct w:val="0"/>
        <w:autoSpaceDE w:val="0"/>
        <w:autoSpaceDN w:val="0"/>
        <w:adjustRightInd w:val="0"/>
        <w:snapToGrid w:val="0"/>
        <w:ind w:firstLine="0"/>
        <w:jc w:val="left"/>
        <w:rPr>
          <w:szCs w:val="18"/>
          <w:lang w:val="fr-FR"/>
        </w:rPr>
      </w:pPr>
      <w:r w:rsidRPr="00010EA0">
        <w:rPr>
          <w:rStyle w:val="FootnoteReference"/>
          <w:sz w:val="20"/>
          <w:szCs w:val="20"/>
          <w:u w:val="none"/>
          <w:vertAlign w:val="superscript"/>
          <w:lang w:val="fr-FR"/>
        </w:rPr>
        <w:footnoteRef/>
      </w:r>
      <w:r w:rsidRPr="00010EA0">
        <w:rPr>
          <w:sz w:val="20"/>
          <w:szCs w:val="20"/>
          <w:vertAlign w:val="superscript"/>
          <w:lang w:val="fr-FR"/>
        </w:rPr>
        <w:t xml:space="preserve"> </w:t>
      </w:r>
      <w:r>
        <w:rPr>
          <w:szCs w:val="18"/>
          <w:lang w:val="fr-FR"/>
        </w:rPr>
        <w:t>« </w:t>
      </w:r>
      <w:r w:rsidRPr="00367D4B">
        <w:rPr>
          <w:szCs w:val="18"/>
          <w:lang w:val="fr-FR"/>
        </w:rPr>
        <w:t xml:space="preserve">Compilation </w:t>
      </w:r>
      <w:r>
        <w:rPr>
          <w:szCs w:val="18"/>
          <w:lang w:val="fr-FR"/>
        </w:rPr>
        <w:t>et</w:t>
      </w:r>
      <w:r w:rsidRPr="00367D4B">
        <w:rPr>
          <w:szCs w:val="18"/>
          <w:lang w:val="fr-FR"/>
        </w:rPr>
        <w:t xml:space="preserve"> </w:t>
      </w:r>
      <w:r>
        <w:rPr>
          <w:szCs w:val="18"/>
          <w:lang w:val="fr-FR"/>
        </w:rPr>
        <w:t>synthèse</w:t>
      </w:r>
      <w:r w:rsidRPr="00367D4B">
        <w:rPr>
          <w:szCs w:val="18"/>
          <w:lang w:val="fr-FR"/>
        </w:rPr>
        <w:t xml:space="preserve"> </w:t>
      </w:r>
      <w:r>
        <w:rPr>
          <w:szCs w:val="18"/>
          <w:lang w:val="fr-FR"/>
        </w:rPr>
        <w:t>des</w:t>
      </w:r>
      <w:r w:rsidRPr="00367D4B">
        <w:rPr>
          <w:szCs w:val="18"/>
          <w:lang w:val="fr-FR"/>
        </w:rPr>
        <w:t xml:space="preserve"> e</w:t>
      </w:r>
      <w:r>
        <w:rPr>
          <w:szCs w:val="18"/>
          <w:lang w:val="fr-FR"/>
        </w:rPr>
        <w:t>xpé</w:t>
      </w:r>
      <w:r w:rsidRPr="00367D4B">
        <w:rPr>
          <w:szCs w:val="18"/>
          <w:lang w:val="fr-FR"/>
        </w:rPr>
        <w:t xml:space="preserve">riences </w:t>
      </w:r>
      <w:r>
        <w:rPr>
          <w:szCs w:val="18"/>
          <w:lang w:val="fr-FR"/>
        </w:rPr>
        <w:t>acquises dans l’intégration de la biodiversité dans les activités de pêche »</w:t>
      </w:r>
      <w:r w:rsidRPr="00367D4B">
        <w:rPr>
          <w:szCs w:val="18"/>
          <w:lang w:val="fr-FR"/>
        </w:rPr>
        <w:t xml:space="preserve"> (CBD/SBSTTA/22/INF/15).</w:t>
      </w:r>
    </w:p>
  </w:footnote>
  <w:footnote w:id="83">
    <w:p w:rsidR="00E62BFB" w:rsidRPr="00367D4B" w:rsidRDefault="00E62BFB" w:rsidP="009F6935">
      <w:pPr>
        <w:pStyle w:val="FootnoteText"/>
        <w:kinsoku w:val="0"/>
        <w:overflowPunct w:val="0"/>
        <w:autoSpaceDE w:val="0"/>
        <w:autoSpaceDN w:val="0"/>
        <w:adjustRightInd w:val="0"/>
        <w:snapToGrid w:val="0"/>
        <w:ind w:firstLine="0"/>
        <w:jc w:val="left"/>
        <w:rPr>
          <w:spacing w:val="-8"/>
          <w:kern w:val="18"/>
          <w:szCs w:val="18"/>
          <w:lang w:val="fr-FR"/>
        </w:rPr>
      </w:pPr>
      <w:r w:rsidRPr="00010EA0">
        <w:rPr>
          <w:rStyle w:val="FootnoteReference"/>
          <w:spacing w:val="-8"/>
          <w:kern w:val="18"/>
          <w:sz w:val="20"/>
          <w:szCs w:val="20"/>
          <w:u w:val="none"/>
          <w:vertAlign w:val="superscript"/>
          <w:lang w:val="fr-FR"/>
        </w:rPr>
        <w:footnoteRef/>
      </w:r>
      <w:r w:rsidRPr="00010EA0">
        <w:rPr>
          <w:spacing w:val="-8"/>
          <w:kern w:val="18"/>
          <w:sz w:val="20"/>
          <w:szCs w:val="20"/>
          <w:vertAlign w:val="superscript"/>
          <w:lang w:val="fr-FR"/>
        </w:rPr>
        <w:t xml:space="preserve"> </w:t>
      </w:r>
      <w:r>
        <w:rPr>
          <w:spacing w:val="-8"/>
          <w:kern w:val="18"/>
          <w:szCs w:val="18"/>
          <w:lang w:val="fr-FR"/>
        </w:rPr>
        <w:t>Voir la</w:t>
      </w:r>
      <w:r w:rsidRPr="00367D4B">
        <w:rPr>
          <w:spacing w:val="-8"/>
          <w:kern w:val="18"/>
          <w:szCs w:val="18"/>
          <w:lang w:val="fr-FR"/>
        </w:rPr>
        <w:t xml:space="preserve"> </w:t>
      </w:r>
      <w:r>
        <w:rPr>
          <w:spacing w:val="-8"/>
          <w:kern w:val="18"/>
          <w:szCs w:val="18"/>
          <w:lang w:val="fr-FR"/>
        </w:rPr>
        <w:t>ré</w:t>
      </w:r>
      <w:r w:rsidRPr="00367D4B">
        <w:rPr>
          <w:spacing w:val="-8"/>
          <w:kern w:val="18"/>
          <w:szCs w:val="18"/>
          <w:lang w:val="fr-FR"/>
        </w:rPr>
        <w:t xml:space="preserve">solution </w:t>
      </w:r>
      <w:hyperlink r:id="rId32" w:history="1">
        <w:r w:rsidRPr="00367D4B">
          <w:rPr>
            <w:rStyle w:val="Hyperlink"/>
            <w:spacing w:val="-8"/>
            <w:kern w:val="18"/>
            <w:szCs w:val="18"/>
            <w:lang w:val="fr-FR"/>
          </w:rPr>
          <w:t>70/1</w:t>
        </w:r>
      </w:hyperlink>
      <w:r w:rsidRPr="00367D4B">
        <w:rPr>
          <w:spacing w:val="-8"/>
          <w:kern w:val="18"/>
          <w:szCs w:val="18"/>
          <w:lang w:val="fr-FR"/>
        </w:rPr>
        <w:t xml:space="preserve"> </w:t>
      </w:r>
      <w:r>
        <w:rPr>
          <w:spacing w:val="-8"/>
          <w:kern w:val="18"/>
          <w:szCs w:val="18"/>
          <w:lang w:val="fr-FR"/>
        </w:rPr>
        <w:t xml:space="preserve">de l’Assemblée générale en date du 25 septembre </w:t>
      </w:r>
      <w:r w:rsidRPr="00367D4B">
        <w:rPr>
          <w:spacing w:val="-8"/>
          <w:kern w:val="18"/>
          <w:szCs w:val="18"/>
          <w:lang w:val="fr-FR"/>
        </w:rPr>
        <w:t>2015</w:t>
      </w:r>
      <w:r>
        <w:rPr>
          <w:spacing w:val="-8"/>
          <w:kern w:val="18"/>
          <w:szCs w:val="18"/>
          <w:lang w:val="fr-FR"/>
        </w:rPr>
        <w:t>,</w:t>
      </w:r>
      <w:r w:rsidRPr="00367D4B">
        <w:rPr>
          <w:spacing w:val="-8"/>
          <w:kern w:val="18"/>
          <w:szCs w:val="18"/>
          <w:lang w:val="fr-FR"/>
        </w:rPr>
        <w:t xml:space="preserve"> </w:t>
      </w:r>
      <w:r>
        <w:rPr>
          <w:spacing w:val="-8"/>
          <w:kern w:val="18"/>
          <w:szCs w:val="18"/>
          <w:lang w:val="fr-FR"/>
        </w:rPr>
        <w:t>intitulée « Transformer notre monde : le Programme de développement durable à l’horizon 2030 »</w:t>
      </w:r>
      <w:r w:rsidRPr="00367D4B">
        <w:rPr>
          <w:spacing w:val="-8"/>
          <w:kern w:val="18"/>
          <w:szCs w:val="18"/>
          <w:lang w:val="fr-FR"/>
        </w:rPr>
        <w:t>.</w:t>
      </w:r>
    </w:p>
  </w:footnote>
  <w:footnote w:id="84">
    <w:p w:rsidR="00E62BFB" w:rsidRPr="00FF72A3" w:rsidRDefault="00E62BFB" w:rsidP="009F6935">
      <w:pPr>
        <w:pStyle w:val="FootnoteText"/>
        <w:kinsoku w:val="0"/>
        <w:overflowPunct w:val="0"/>
        <w:autoSpaceDE w:val="0"/>
        <w:autoSpaceDN w:val="0"/>
        <w:adjustRightInd w:val="0"/>
        <w:snapToGrid w:val="0"/>
        <w:ind w:firstLine="0"/>
        <w:jc w:val="left"/>
        <w:rPr>
          <w:snapToGrid w:val="0"/>
          <w:kern w:val="18"/>
          <w:szCs w:val="18"/>
          <w:lang w:val="fr-FR"/>
        </w:rPr>
      </w:pPr>
      <w:r w:rsidRPr="00010EA0">
        <w:rPr>
          <w:rStyle w:val="FootnoteReference"/>
          <w:rFonts w:eastAsiaTheme="majorEastAsia"/>
          <w:snapToGrid w:val="0"/>
          <w:kern w:val="18"/>
          <w:sz w:val="20"/>
          <w:szCs w:val="20"/>
          <w:u w:val="none"/>
          <w:vertAlign w:val="superscript"/>
          <w:lang w:val="fr-FR"/>
        </w:rPr>
        <w:footnoteRef/>
      </w:r>
      <w:r w:rsidRPr="00FF72A3">
        <w:rPr>
          <w:snapToGrid w:val="0"/>
          <w:kern w:val="18"/>
          <w:szCs w:val="18"/>
          <w:lang w:val="fr-FR"/>
        </w:rPr>
        <w:t xml:space="preserve"> Comme décrit à la note de bas de page n° 1 de la </w:t>
      </w:r>
      <w:r>
        <w:rPr>
          <w:snapToGrid w:val="0"/>
          <w:kern w:val="18"/>
          <w:szCs w:val="18"/>
          <w:lang w:val="fr-FR"/>
        </w:rPr>
        <w:t>dé</w:t>
      </w:r>
      <w:r w:rsidRPr="00FF72A3">
        <w:rPr>
          <w:snapToGrid w:val="0"/>
          <w:kern w:val="18"/>
          <w:szCs w:val="18"/>
          <w:lang w:val="fr-FR"/>
        </w:rPr>
        <w:t>cision XIII/12.</w:t>
      </w:r>
    </w:p>
  </w:footnote>
  <w:footnote w:id="85">
    <w:p w:rsidR="00E62BFB" w:rsidRPr="002211F5" w:rsidRDefault="00E62BFB" w:rsidP="009F6935">
      <w:pPr>
        <w:pStyle w:val="FootnoteText"/>
        <w:ind w:firstLine="0"/>
        <w:rPr>
          <w:lang w:val="fr-FR"/>
        </w:rPr>
      </w:pPr>
      <w:r w:rsidRPr="00010EA0">
        <w:rPr>
          <w:rStyle w:val="FootnoteReference"/>
          <w:sz w:val="20"/>
          <w:szCs w:val="20"/>
          <w:u w:val="none"/>
          <w:vertAlign w:val="superscript"/>
        </w:rPr>
        <w:footnoteRef/>
      </w:r>
      <w:r w:rsidRPr="00010EA0">
        <w:rPr>
          <w:sz w:val="20"/>
          <w:szCs w:val="20"/>
          <w:vertAlign w:val="superscript"/>
          <w:lang w:val="fr-FR"/>
        </w:rPr>
        <w:t xml:space="preserve"> </w:t>
      </w:r>
      <w:r>
        <w:rPr>
          <w:snapToGrid w:val="0"/>
          <w:kern w:val="22"/>
          <w:lang w:val="fr-FR"/>
        </w:rPr>
        <w:t>Décision VII/11.</w:t>
      </w:r>
    </w:p>
  </w:footnote>
  <w:footnote w:id="86">
    <w:p w:rsidR="00E62BFB" w:rsidRPr="00C061DF" w:rsidRDefault="00E62BFB" w:rsidP="009F6935">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010EA0">
        <w:rPr>
          <w:rStyle w:val="FootnoteReference"/>
          <w:snapToGrid w:val="0"/>
          <w:kern w:val="18"/>
          <w:sz w:val="20"/>
          <w:szCs w:val="20"/>
          <w:u w:val="none"/>
          <w:vertAlign w:val="superscript"/>
        </w:rPr>
        <w:footnoteRef/>
      </w:r>
      <w:r w:rsidRPr="00010EA0">
        <w:rPr>
          <w:snapToGrid w:val="0"/>
          <w:kern w:val="18"/>
          <w:sz w:val="20"/>
          <w:szCs w:val="20"/>
          <w:vertAlign w:val="superscript"/>
          <w:lang w:val="fr-FR"/>
        </w:rPr>
        <w:t xml:space="preserve"> </w:t>
      </w:r>
      <w:r w:rsidRPr="00C965C0">
        <w:rPr>
          <w:snapToGrid w:val="0"/>
          <w:kern w:val="18"/>
          <w:szCs w:val="18"/>
          <w:lang w:val="fr-FR"/>
        </w:rPr>
        <w:t xml:space="preserve">Organisation des Nations Unies, </w:t>
      </w:r>
      <w:r w:rsidRPr="00C965C0">
        <w:rPr>
          <w:i/>
          <w:iCs/>
          <w:snapToGrid w:val="0"/>
          <w:kern w:val="18"/>
          <w:szCs w:val="18"/>
          <w:lang w:val="fr-FR"/>
        </w:rPr>
        <w:t>Recueil des traités</w:t>
      </w:r>
      <w:r>
        <w:rPr>
          <w:snapToGrid w:val="0"/>
          <w:kern w:val="18"/>
          <w:szCs w:val="18"/>
          <w:lang w:val="fr-FR"/>
        </w:rPr>
        <w:t xml:space="preserve">, </w:t>
      </w:r>
      <w:r w:rsidRPr="00C965C0">
        <w:rPr>
          <w:snapToGrid w:val="0"/>
          <w:kern w:val="18"/>
          <w:szCs w:val="18"/>
          <w:lang w:val="fr-FR"/>
        </w:rPr>
        <w:t>No. </w:t>
      </w:r>
      <w:r w:rsidRPr="00C061DF">
        <w:rPr>
          <w:snapToGrid w:val="0"/>
          <w:kern w:val="18"/>
          <w:szCs w:val="18"/>
          <w:lang w:val="fr-FR"/>
        </w:rPr>
        <w:t>I-54113.</w:t>
      </w:r>
    </w:p>
  </w:footnote>
  <w:footnote w:id="87">
    <w:p w:rsidR="00E62BFB" w:rsidRPr="00C965C0" w:rsidRDefault="00E62BFB" w:rsidP="009F6935">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010EA0">
        <w:rPr>
          <w:rStyle w:val="FootnoteReference"/>
          <w:snapToGrid w:val="0"/>
          <w:kern w:val="18"/>
          <w:sz w:val="20"/>
          <w:szCs w:val="20"/>
          <w:u w:val="none"/>
          <w:vertAlign w:val="superscript"/>
        </w:rPr>
        <w:footnoteRef/>
      </w:r>
      <w:r w:rsidRPr="00010EA0">
        <w:rPr>
          <w:snapToGrid w:val="0"/>
          <w:kern w:val="18"/>
          <w:sz w:val="20"/>
          <w:szCs w:val="20"/>
          <w:vertAlign w:val="superscript"/>
          <w:lang w:val="fr-FR"/>
        </w:rPr>
        <w:t xml:space="preserve"> </w:t>
      </w:r>
      <w:r w:rsidRPr="00C965C0">
        <w:rPr>
          <w:snapToGrid w:val="0"/>
          <w:kern w:val="18"/>
          <w:szCs w:val="18"/>
          <w:lang w:val="fr-FR"/>
        </w:rPr>
        <w:t>Voir la résolution 70/1 du 25 septembre 2015 de l’Assemblée générale des Nations Unies.</w:t>
      </w:r>
    </w:p>
  </w:footnote>
  <w:footnote w:id="88">
    <w:p w:rsidR="00E62BFB" w:rsidRPr="00C061DF" w:rsidRDefault="00E62BFB" w:rsidP="009F6935">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010EA0">
        <w:rPr>
          <w:rStyle w:val="FootnoteReference"/>
          <w:snapToGrid w:val="0"/>
          <w:kern w:val="18"/>
          <w:sz w:val="20"/>
          <w:szCs w:val="20"/>
          <w:u w:val="none"/>
          <w:vertAlign w:val="superscript"/>
        </w:rPr>
        <w:footnoteRef/>
      </w:r>
      <w:r w:rsidRPr="00C061DF">
        <w:rPr>
          <w:snapToGrid w:val="0"/>
          <w:kern w:val="18"/>
          <w:szCs w:val="18"/>
          <w:lang w:val="fr-FR"/>
        </w:rPr>
        <w:t xml:space="preserve"> </w:t>
      </w:r>
      <w:hyperlink r:id="rId33" w:history="1">
        <w:r w:rsidRPr="00780D2F">
          <w:rPr>
            <w:rStyle w:val="Hyperlink"/>
            <w:snapToGrid w:val="0"/>
            <w:kern w:val="18"/>
            <w:szCs w:val="18"/>
            <w:lang w:val="fr-FR"/>
          </w:rPr>
          <w:t>Décision X/2</w:t>
        </w:r>
      </w:hyperlink>
      <w:r w:rsidRPr="00C061DF">
        <w:rPr>
          <w:snapToGrid w:val="0"/>
          <w:kern w:val="18"/>
          <w:szCs w:val="18"/>
          <w:lang w:val="fr-FR"/>
        </w:rPr>
        <w:t>.</w:t>
      </w:r>
    </w:p>
  </w:footnote>
  <w:footnote w:id="89">
    <w:p w:rsidR="00E62BFB" w:rsidRPr="00DD5128" w:rsidRDefault="00E62BFB" w:rsidP="009F6935">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010EA0">
        <w:rPr>
          <w:rStyle w:val="FootnoteReference"/>
          <w:snapToGrid w:val="0"/>
          <w:kern w:val="18"/>
          <w:sz w:val="20"/>
          <w:szCs w:val="20"/>
          <w:u w:val="none"/>
          <w:vertAlign w:val="superscript"/>
        </w:rPr>
        <w:footnoteRef/>
      </w:r>
      <w:r w:rsidRPr="00DD5128">
        <w:rPr>
          <w:snapToGrid w:val="0"/>
          <w:kern w:val="18"/>
          <w:szCs w:val="18"/>
          <w:lang w:val="fr-FR"/>
        </w:rPr>
        <w:t xml:space="preserve"> La </w:t>
      </w:r>
      <w:r>
        <w:rPr>
          <w:snapToGrid w:val="0"/>
          <w:kern w:val="18"/>
          <w:szCs w:val="18"/>
          <w:lang w:val="fr-FR"/>
        </w:rPr>
        <w:t>terminologie retenue est subordonnée à</w:t>
      </w:r>
      <w:r w:rsidRPr="00DD5128">
        <w:rPr>
          <w:snapToGrid w:val="0"/>
          <w:kern w:val="18"/>
          <w:szCs w:val="18"/>
          <w:lang w:val="fr-FR"/>
        </w:rPr>
        <w:t xml:space="preserve"> l’</w:t>
      </w:r>
      <w:r>
        <w:rPr>
          <w:snapToGrid w:val="0"/>
          <w:kern w:val="18"/>
          <w:szCs w:val="18"/>
          <w:lang w:val="fr-FR"/>
        </w:rPr>
        <w:t>examen de ce point par la</w:t>
      </w:r>
      <w:r w:rsidRPr="00DD5128">
        <w:rPr>
          <w:snapToGrid w:val="0"/>
          <w:kern w:val="18"/>
          <w:szCs w:val="18"/>
          <w:lang w:val="fr-FR"/>
        </w:rPr>
        <w:t xml:space="preserve"> Conférence des Parties contractantes à la Convention de Ramsar </w:t>
      </w:r>
      <w:r>
        <w:rPr>
          <w:snapToGrid w:val="0"/>
          <w:kern w:val="18"/>
          <w:szCs w:val="18"/>
          <w:lang w:val="fr-FR"/>
        </w:rPr>
        <w:t>sur les zones humides à sa treizième réunion, en octob</w:t>
      </w:r>
      <w:r w:rsidRPr="00DD5128">
        <w:rPr>
          <w:snapToGrid w:val="0"/>
          <w:kern w:val="18"/>
          <w:szCs w:val="18"/>
          <w:lang w:val="fr-FR"/>
        </w:rPr>
        <w:t>r</w:t>
      </w:r>
      <w:r>
        <w:rPr>
          <w:snapToGrid w:val="0"/>
          <w:kern w:val="18"/>
          <w:szCs w:val="18"/>
          <w:lang w:val="fr-FR"/>
        </w:rPr>
        <w:t>e</w:t>
      </w:r>
      <w:r w:rsidRPr="00DD5128">
        <w:rPr>
          <w:snapToGrid w:val="0"/>
          <w:kern w:val="18"/>
          <w:szCs w:val="18"/>
          <w:lang w:val="fr-FR"/>
        </w:rPr>
        <w:t xml:space="preserve"> 2018.</w:t>
      </w:r>
    </w:p>
  </w:footnote>
  <w:footnote w:id="90">
    <w:p w:rsidR="00E62BFB" w:rsidRPr="00C061DF" w:rsidRDefault="00E62BFB" w:rsidP="009F6935">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010EA0">
        <w:rPr>
          <w:rStyle w:val="FootnoteReference"/>
          <w:snapToGrid w:val="0"/>
          <w:kern w:val="18"/>
          <w:sz w:val="20"/>
          <w:szCs w:val="20"/>
          <w:u w:val="none"/>
          <w:vertAlign w:val="superscript"/>
          <w:lang w:val="fr-FR"/>
        </w:rPr>
        <w:footnoteRef/>
      </w:r>
      <w:r w:rsidRPr="00010EA0">
        <w:rPr>
          <w:snapToGrid w:val="0"/>
          <w:kern w:val="18"/>
          <w:sz w:val="20"/>
          <w:szCs w:val="20"/>
          <w:vertAlign w:val="superscript"/>
          <w:lang w:val="fr-FR"/>
        </w:rPr>
        <w:t xml:space="preserve"> </w:t>
      </w:r>
      <w:r w:rsidRPr="00C061DF">
        <w:rPr>
          <w:snapToGrid w:val="0"/>
          <w:kern w:val="18"/>
          <w:szCs w:val="18"/>
          <w:lang w:val="fr-FR"/>
        </w:rPr>
        <w:t>CBD/SBSTTA/22/INF/1.</w:t>
      </w:r>
    </w:p>
  </w:footnote>
  <w:footnote w:id="91">
    <w:p w:rsidR="00E62BFB" w:rsidRPr="00E96C13"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8966A7">
        <w:rPr>
          <w:rStyle w:val="FootnoteReference"/>
          <w:snapToGrid w:val="0"/>
          <w:kern w:val="18"/>
          <w:sz w:val="20"/>
          <w:szCs w:val="20"/>
          <w:u w:val="none"/>
          <w:vertAlign w:val="superscript"/>
        </w:rPr>
        <w:footnoteRef/>
      </w:r>
      <w:r w:rsidRPr="008966A7">
        <w:rPr>
          <w:snapToGrid w:val="0"/>
          <w:kern w:val="18"/>
          <w:sz w:val="20"/>
          <w:szCs w:val="20"/>
          <w:vertAlign w:val="superscript"/>
          <w:lang w:val="fr-FR"/>
        </w:rPr>
        <w:t xml:space="preserve"> </w:t>
      </w:r>
      <w:r w:rsidRPr="00377E20">
        <w:rPr>
          <w:noProof/>
          <w:snapToGrid w:val="0"/>
          <w:kern w:val="18"/>
          <w:szCs w:val="18"/>
          <w:lang w:val="fr-FR"/>
        </w:rPr>
        <w:t xml:space="preserve">Tiré du Cahier technique de la CBD 41. </w:t>
      </w:r>
      <w:r w:rsidRPr="00E96C13">
        <w:rPr>
          <w:noProof/>
          <w:snapToGrid w:val="0"/>
          <w:kern w:val="18"/>
          <w:szCs w:val="18"/>
        </w:rPr>
        <w:t>2009. Connecting Biodiversity and Climate Change Mitigation and Adaptation: Report of the Second Ad Hoc Technical Expert Group on Biodiversity and Climate Change.</w:t>
      </w:r>
    </w:p>
  </w:footnote>
  <w:footnote w:id="92">
    <w:p w:rsidR="00E62BFB" w:rsidRPr="00E96C13"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rPr>
      </w:pPr>
      <w:r w:rsidRPr="008966A7">
        <w:rPr>
          <w:rStyle w:val="FootnoteReference"/>
          <w:noProof/>
          <w:snapToGrid w:val="0"/>
          <w:kern w:val="18"/>
          <w:sz w:val="20"/>
          <w:szCs w:val="20"/>
          <w:u w:val="none"/>
          <w:vertAlign w:val="superscript"/>
        </w:rPr>
        <w:footnoteRef/>
      </w:r>
      <w:r w:rsidRPr="008966A7">
        <w:rPr>
          <w:noProof/>
          <w:snapToGrid w:val="0"/>
          <w:kern w:val="18"/>
          <w:sz w:val="20"/>
          <w:szCs w:val="20"/>
          <w:vertAlign w:val="superscript"/>
        </w:rPr>
        <w:t xml:space="preserve"> </w:t>
      </w:r>
      <w:r w:rsidRPr="00E96C13">
        <w:rPr>
          <w:noProof/>
          <w:snapToGrid w:val="0"/>
          <w:kern w:val="18"/>
          <w:szCs w:val="18"/>
        </w:rPr>
        <w:t>Estrella, M. and N. Saalismaa. 2013. Ecosystem-based Disaster Risk Reduction: An Overview, In: Renaud, F., Sudmeier-Rieux, K. and M. Estrella (eds.)</w:t>
      </w:r>
      <w:r w:rsidRPr="001D6C46">
        <w:rPr>
          <w:noProof/>
          <w:snapToGrid w:val="0"/>
          <w:kern w:val="18"/>
          <w:szCs w:val="18"/>
        </w:rPr>
        <w:t>,</w:t>
      </w:r>
      <w:r w:rsidRPr="00E96C13">
        <w:rPr>
          <w:noProof/>
          <w:snapToGrid w:val="0"/>
          <w:kern w:val="18"/>
          <w:szCs w:val="18"/>
        </w:rPr>
        <w:t xml:space="preserve"> </w:t>
      </w:r>
      <w:r w:rsidRPr="00E96C13">
        <w:rPr>
          <w:i/>
          <w:iCs/>
          <w:noProof/>
          <w:snapToGrid w:val="0"/>
          <w:kern w:val="18"/>
          <w:szCs w:val="18"/>
        </w:rPr>
        <w:t>The Role of Ecosystem Management in Disaster Risk Reduction</w:t>
      </w:r>
      <w:r w:rsidRPr="00E96C13">
        <w:rPr>
          <w:noProof/>
          <w:snapToGrid w:val="0"/>
          <w:kern w:val="18"/>
          <w:szCs w:val="18"/>
        </w:rPr>
        <w:t>. Tokyo: UNU Press</w:t>
      </w:r>
    </w:p>
  </w:footnote>
  <w:footnote w:id="93">
    <w:p w:rsidR="00E62BFB" w:rsidRPr="00D3779A"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966A7">
        <w:rPr>
          <w:rStyle w:val="FootnoteReference"/>
          <w:snapToGrid w:val="0"/>
          <w:kern w:val="18"/>
          <w:sz w:val="20"/>
          <w:szCs w:val="20"/>
          <w:u w:val="none"/>
          <w:vertAlign w:val="superscript"/>
        </w:rPr>
        <w:footnoteRef/>
      </w:r>
      <w:r w:rsidRPr="008966A7">
        <w:rPr>
          <w:snapToGrid w:val="0"/>
          <w:kern w:val="18"/>
          <w:sz w:val="20"/>
          <w:szCs w:val="20"/>
          <w:vertAlign w:val="superscript"/>
        </w:rPr>
        <w:t xml:space="preserve"> </w:t>
      </w:r>
      <w:r w:rsidRPr="00D3779A">
        <w:rPr>
          <w:snapToGrid w:val="0"/>
          <w:kern w:val="18"/>
          <w:szCs w:val="18"/>
        </w:rPr>
        <w:t>CBD/SBSTTA/22/INF/1.</w:t>
      </w:r>
    </w:p>
  </w:footnote>
  <w:footnote w:id="94">
    <w:p w:rsidR="00E62BFB" w:rsidRPr="00E96C13"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8966A7">
        <w:rPr>
          <w:rStyle w:val="FootnoteReference"/>
          <w:snapToGrid w:val="0"/>
          <w:kern w:val="18"/>
          <w:sz w:val="20"/>
          <w:szCs w:val="20"/>
          <w:u w:val="none"/>
          <w:vertAlign w:val="superscript"/>
        </w:rPr>
        <w:footnoteRef/>
      </w:r>
      <w:r w:rsidRPr="008966A7">
        <w:rPr>
          <w:snapToGrid w:val="0"/>
          <w:kern w:val="18"/>
          <w:sz w:val="20"/>
          <w:szCs w:val="20"/>
          <w:vertAlign w:val="superscript"/>
        </w:rPr>
        <w:t xml:space="preserve"> </w:t>
      </w:r>
      <w:r w:rsidRPr="00E96C13">
        <w:rPr>
          <w:i/>
          <w:iCs/>
          <w:snapToGrid w:val="0"/>
          <w:kern w:val="18"/>
          <w:szCs w:val="18"/>
        </w:rPr>
        <w:t>Synthesis Report on Experiences with Ecosystem-Based Approaches to Climate Change Adaptation and Disaster Risk Reduction</w:t>
      </w:r>
      <w:r w:rsidRPr="00E96C13">
        <w:rPr>
          <w:snapToGrid w:val="0"/>
          <w:kern w:val="18"/>
          <w:szCs w:val="18"/>
        </w:rPr>
        <w:t xml:space="preserve"> (</w:t>
      </w:r>
      <w:hyperlink r:id="rId34" w:history="1">
        <w:r w:rsidRPr="0032278F">
          <w:rPr>
            <w:rStyle w:val="Hyperlink"/>
            <w:snapToGrid w:val="0"/>
            <w:kern w:val="18"/>
            <w:szCs w:val="18"/>
          </w:rPr>
          <w:t>https://www.cbd.int/doc/publications/cbd-ts-85-en.pdf</w:t>
        </w:r>
      </w:hyperlink>
      <w:r w:rsidRPr="00E96C13">
        <w:rPr>
          <w:snapToGrid w:val="0"/>
          <w:kern w:val="18"/>
          <w:szCs w:val="18"/>
        </w:rPr>
        <w:t>)</w:t>
      </w:r>
    </w:p>
  </w:footnote>
  <w:footnote w:id="95">
    <w:p w:rsidR="00E62BFB" w:rsidRPr="00776F6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rPr>
        <w:footnoteRef/>
      </w:r>
      <w:r>
        <w:rPr>
          <w:snapToGrid w:val="0"/>
          <w:kern w:val="18"/>
          <w:szCs w:val="18"/>
          <w:lang w:val="fr-FR"/>
        </w:rPr>
        <w:t xml:space="preserve"> Source : base de données PANORAMA </w:t>
      </w:r>
      <w:r w:rsidRPr="00517521">
        <w:rPr>
          <w:snapToGrid w:val="0"/>
          <w:kern w:val="18"/>
          <w:szCs w:val="18"/>
          <w:lang w:val="fr-FR"/>
        </w:rPr>
        <w:t>https://panorama.solutions/en/portal/ecosystem-based-adaptation</w:t>
      </w:r>
      <w:r>
        <w:rPr>
          <w:snapToGrid w:val="0"/>
          <w:kern w:val="18"/>
          <w:szCs w:val="18"/>
          <w:lang w:val="fr-FR"/>
        </w:rPr>
        <w:t>.</w:t>
      </w:r>
    </w:p>
  </w:footnote>
  <w:footnote w:id="96">
    <w:p w:rsidR="00E62BFB" w:rsidRPr="00105563"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rPr>
        <w:footnoteRef/>
      </w:r>
      <w:r w:rsidRPr="008966A7">
        <w:rPr>
          <w:snapToGrid w:val="0"/>
          <w:kern w:val="18"/>
          <w:sz w:val="20"/>
          <w:szCs w:val="20"/>
          <w:vertAlign w:val="superscript"/>
          <w:lang w:val="fr-FR"/>
        </w:rPr>
        <w:t xml:space="preserve"> </w:t>
      </w:r>
      <w:r w:rsidRPr="00105563">
        <w:rPr>
          <w:snapToGrid w:val="0"/>
          <w:kern w:val="18"/>
          <w:szCs w:val="18"/>
          <w:lang w:val="fr-FR"/>
        </w:rPr>
        <w:t xml:space="preserve">Y compris les </w:t>
      </w:r>
      <w:r>
        <w:rPr>
          <w:snapToGrid w:val="0"/>
          <w:kern w:val="18"/>
          <w:szCs w:val="18"/>
          <w:lang w:val="fr-FR"/>
        </w:rPr>
        <w:t>Orientations sur le renforcement des effets positifs et la réduction au minimum des effets négatifs des activités d’adaptation aux changements climatiques sur la biodiversité</w:t>
      </w:r>
      <w:r w:rsidRPr="00105563">
        <w:rPr>
          <w:snapToGrid w:val="0"/>
          <w:kern w:val="18"/>
          <w:szCs w:val="18"/>
          <w:lang w:val="fr-FR"/>
        </w:rPr>
        <w:t xml:space="preserve"> (UNEP/CBD/SBSTTA/20/INF/1).</w:t>
      </w:r>
    </w:p>
  </w:footnote>
  <w:footnote w:id="97">
    <w:p w:rsidR="00E62BFB" w:rsidRPr="00105563"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Pr>
          <w:snapToGrid w:val="0"/>
          <w:kern w:val="18"/>
          <w:szCs w:val="18"/>
          <w:lang w:val="fr-FR"/>
        </w:rPr>
        <w:t>Voir la Restauration des écosystèmes : plan d’action à court terme (</w:t>
      </w:r>
      <w:hyperlink r:id="rId35" w:history="1">
        <w:r w:rsidRPr="00541854">
          <w:rPr>
            <w:rStyle w:val="Hyperlink"/>
            <w:snapToGrid w:val="0"/>
            <w:kern w:val="18"/>
            <w:szCs w:val="18"/>
            <w:lang w:val="fr-FR"/>
          </w:rPr>
          <w:t>décision XIII/5</w:t>
        </w:r>
      </w:hyperlink>
      <w:r w:rsidRPr="00105563">
        <w:rPr>
          <w:snapToGrid w:val="0"/>
          <w:kern w:val="18"/>
          <w:szCs w:val="18"/>
          <w:lang w:val="fr-FR"/>
        </w:rPr>
        <w:t>);</w:t>
      </w:r>
      <w:r>
        <w:rPr>
          <w:snapToGrid w:val="0"/>
          <w:kern w:val="18"/>
          <w:szCs w:val="18"/>
          <w:lang w:val="fr-FR"/>
        </w:rPr>
        <w:t> </w:t>
      </w:r>
      <w:hyperlink r:id="rId36" w:history="1">
        <w:r>
          <w:rPr>
            <w:rStyle w:val="Hyperlink"/>
            <w:snapToGrid w:val="0"/>
            <w:kern w:val="18"/>
            <w:szCs w:val="18"/>
            <w:lang w:val="fr-FR"/>
          </w:rPr>
          <w:t>la</w:t>
        </w:r>
        <w:r w:rsidRPr="00105563">
          <w:rPr>
            <w:rStyle w:val="Hyperlink"/>
            <w:snapToGrid w:val="0"/>
            <w:kern w:val="18"/>
            <w:szCs w:val="18"/>
            <w:lang w:val="fr-FR"/>
          </w:rPr>
          <w:t xml:space="preserve"> </w:t>
        </w:r>
        <w:r>
          <w:rPr>
            <w:rStyle w:val="Hyperlink"/>
            <w:snapToGrid w:val="0"/>
            <w:kern w:val="18"/>
            <w:szCs w:val="18"/>
            <w:lang w:val="fr-FR"/>
          </w:rPr>
          <w:t>Déclaration des Nations Unies sur les droits des peuples autochtones</w:t>
        </w:r>
      </w:hyperlink>
      <w:r>
        <w:rPr>
          <w:rStyle w:val="Hyperlink"/>
          <w:snapToGrid w:val="0"/>
          <w:kern w:val="18"/>
          <w:szCs w:val="18"/>
          <w:lang w:val="fr-FR"/>
        </w:rPr>
        <w:t> </w:t>
      </w:r>
      <w:r>
        <w:rPr>
          <w:snapToGrid w:val="0"/>
          <w:kern w:val="18"/>
          <w:szCs w:val="18"/>
          <w:lang w:val="fr-FR"/>
        </w:rPr>
        <w:t>; et les principes, lignes directrices et autres outils élaborés au titre de la Convention, disponibles sur le site</w:t>
      </w:r>
      <w:r w:rsidRPr="00105563">
        <w:rPr>
          <w:snapToGrid w:val="0"/>
          <w:kern w:val="18"/>
          <w:szCs w:val="18"/>
          <w:lang w:val="fr-FR"/>
        </w:rPr>
        <w:t xml:space="preserve"> </w:t>
      </w:r>
      <w:hyperlink r:id="rId37" w:history="1">
        <w:r w:rsidRPr="00105563">
          <w:rPr>
            <w:rStyle w:val="Hyperlink"/>
            <w:snapToGrid w:val="0"/>
            <w:kern w:val="18"/>
            <w:szCs w:val="18"/>
            <w:lang w:val="fr-FR"/>
          </w:rPr>
          <w:t>https://www.cbd.int/guidelines/</w:t>
        </w:r>
      </w:hyperlink>
      <w:r w:rsidRPr="00105563">
        <w:rPr>
          <w:rStyle w:val="Hyperlink"/>
          <w:snapToGrid w:val="0"/>
          <w:kern w:val="18"/>
          <w:szCs w:val="18"/>
          <w:lang w:val="fr-FR"/>
        </w:rPr>
        <w:t>.</w:t>
      </w:r>
    </w:p>
  </w:footnote>
  <w:footnote w:id="98">
    <w:p w:rsidR="00E62BFB" w:rsidRPr="004B4EB1"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Pr>
          <w:snapToGrid w:val="0"/>
          <w:kern w:val="18"/>
          <w:szCs w:val="18"/>
          <w:lang w:val="fr-FR"/>
        </w:rPr>
        <w:t xml:space="preserve"> </w:t>
      </w:r>
      <w:r w:rsidRPr="004B4EB1">
        <w:rPr>
          <w:snapToGrid w:val="0"/>
          <w:kern w:val="18"/>
          <w:szCs w:val="18"/>
          <w:lang w:val="fr-FR"/>
        </w:rPr>
        <w:t xml:space="preserve">L’utilisation des phases </w:t>
      </w:r>
      <w:r w:rsidRPr="004B4EB1">
        <w:rPr>
          <w:lang w:val="fr-FR"/>
        </w:rPr>
        <w:t xml:space="preserve">de redressement, de remise en état et de reconstruction après une </w:t>
      </w:r>
      <w:r>
        <w:rPr>
          <w:lang w:val="fr-FR"/>
        </w:rPr>
        <w:t>catastrophe naturelle</w:t>
      </w:r>
      <w:r w:rsidRPr="004B4EB1">
        <w:rPr>
          <w:lang w:val="fr-FR"/>
        </w:rPr>
        <w:t xml:space="preserve"> pour accroître la résilience des pays et des communautés, en intégrant des mesures de réduction des risques de </w:t>
      </w:r>
      <w:r>
        <w:rPr>
          <w:lang w:val="fr-FR"/>
        </w:rPr>
        <w:t>catastrophe naturelle</w:t>
      </w:r>
      <w:r w:rsidRPr="004B4EB1">
        <w:rPr>
          <w:lang w:val="fr-FR"/>
        </w:rPr>
        <w:t xml:space="preserve"> aux processus de rétablissement des infrastructures physiques et du système social et de revitalisation des moyens de subsistance, de l’économie et de l’environnement.</w:t>
      </w:r>
      <w:r w:rsidRPr="004B4EB1">
        <w:rPr>
          <w:snapToGrid w:val="0"/>
          <w:kern w:val="18"/>
          <w:szCs w:val="18"/>
          <w:lang w:val="fr-FR"/>
        </w:rPr>
        <w:t xml:space="preserve"> (UNISDR - définition de « reconstruire en mieux</w:t>
      </w:r>
      <w:r>
        <w:rPr>
          <w:snapToGrid w:val="0"/>
          <w:kern w:val="18"/>
          <w:szCs w:val="18"/>
          <w:lang w:val="fr-FR"/>
        </w:rPr>
        <w:t> »</w:t>
      </w:r>
      <w:r w:rsidRPr="004B4EB1">
        <w:rPr>
          <w:snapToGrid w:val="0"/>
          <w:kern w:val="18"/>
          <w:szCs w:val="18"/>
          <w:lang w:val="fr-FR"/>
        </w:rPr>
        <w:t xml:space="preserve"> 2017, </w:t>
      </w:r>
      <w:r>
        <w:rPr>
          <w:snapToGrid w:val="0"/>
          <w:kern w:val="18"/>
          <w:szCs w:val="18"/>
          <w:lang w:val="fr-FR"/>
        </w:rPr>
        <w:t>telle que recommandée par le groupe de travail intergouvernemental à composition non limitée sur les indicateurs et la terminologie relatifs à la réduction des risques de catastrophe naturelle</w:t>
      </w:r>
      <w:r w:rsidRPr="004B4EB1">
        <w:rPr>
          <w:snapToGrid w:val="0"/>
          <w:kern w:val="18"/>
          <w:szCs w:val="18"/>
          <w:lang w:val="fr-FR"/>
        </w:rPr>
        <w:t xml:space="preserve"> (</w:t>
      </w:r>
      <w:hyperlink r:id="rId38" w:history="1">
        <w:r w:rsidRPr="004B4EB1">
          <w:rPr>
            <w:rStyle w:val="Hyperlink"/>
            <w:snapToGrid w:val="0"/>
            <w:kern w:val="18"/>
            <w:szCs w:val="18"/>
            <w:lang w:val="fr-FR"/>
          </w:rPr>
          <w:t>A/71/644</w:t>
        </w:r>
      </w:hyperlink>
      <w:r>
        <w:rPr>
          <w:snapToGrid w:val="0"/>
          <w:kern w:val="18"/>
          <w:szCs w:val="18"/>
          <w:lang w:val="fr-FR"/>
        </w:rPr>
        <w:t xml:space="preserve"> et</w:t>
      </w:r>
      <w:r w:rsidRPr="004B4EB1">
        <w:rPr>
          <w:snapToGrid w:val="0"/>
          <w:kern w:val="18"/>
          <w:szCs w:val="18"/>
          <w:lang w:val="fr-FR"/>
        </w:rPr>
        <w:t xml:space="preserve"> </w:t>
      </w:r>
      <w:hyperlink r:id="rId39" w:history="1">
        <w:r w:rsidRPr="00A81100">
          <w:rPr>
            <w:rStyle w:val="Hyperlink"/>
            <w:snapToGrid w:val="0"/>
            <w:kern w:val="18"/>
            <w:szCs w:val="18"/>
            <w:lang w:val="fr-FR"/>
          </w:rPr>
          <w:t>Corr.1</w:t>
        </w:r>
      </w:hyperlink>
      <w:r>
        <w:rPr>
          <w:snapToGrid w:val="0"/>
          <w:kern w:val="18"/>
          <w:szCs w:val="18"/>
          <w:lang w:val="fr-FR"/>
        </w:rPr>
        <w:t xml:space="preserve">) et approuvée par l’Assemblée générale des Nations Unies </w:t>
      </w:r>
      <w:r w:rsidRPr="004B4EB1">
        <w:rPr>
          <w:snapToGrid w:val="0"/>
          <w:kern w:val="18"/>
          <w:szCs w:val="18"/>
          <w:lang w:val="fr-FR"/>
        </w:rPr>
        <w:t xml:space="preserve">(voir la </w:t>
      </w:r>
      <w:hyperlink r:id="rId40" w:history="1">
        <w:r w:rsidRPr="004B4EB1">
          <w:rPr>
            <w:rStyle w:val="Hyperlink"/>
            <w:snapToGrid w:val="0"/>
            <w:kern w:val="18"/>
            <w:szCs w:val="18"/>
            <w:lang w:val="fr-FR"/>
          </w:rPr>
          <w:t>résolution 71/276</w:t>
        </w:r>
      </w:hyperlink>
      <w:r w:rsidRPr="004B4EB1">
        <w:rPr>
          <w:snapToGrid w:val="0"/>
          <w:kern w:val="18"/>
          <w:szCs w:val="18"/>
          <w:lang w:val="fr-FR"/>
        </w:rPr>
        <w:t>)).</w:t>
      </w:r>
    </w:p>
  </w:footnote>
  <w:footnote w:id="99">
    <w:p w:rsidR="00E62BFB" w:rsidRPr="004B4EB1"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Pr>
          <w:snapToGrid w:val="0"/>
          <w:kern w:val="18"/>
          <w:szCs w:val="18"/>
          <w:lang w:val="fr-FR"/>
        </w:rPr>
        <w:t xml:space="preserve">L’approche </w:t>
      </w:r>
      <w:r w:rsidRPr="004B4EB1">
        <w:rPr>
          <w:snapToGrid w:val="0"/>
          <w:kern w:val="18"/>
          <w:szCs w:val="18"/>
          <w:lang w:val="fr-FR"/>
        </w:rPr>
        <w:t>de précaution  est indiquée dans le préambule de la Convention sur la diversité biologique</w:t>
      </w:r>
      <w:r>
        <w:rPr>
          <w:snapToGrid w:val="0"/>
          <w:kern w:val="18"/>
          <w:szCs w:val="18"/>
          <w:lang w:val="fr-FR"/>
        </w:rPr>
        <w:t> : « Lorsqu’il existe une menace de réduction sensible ou de perte de la diversité biologique, l’absence de certitudes scientifiques totales ne doit pas être invoquée comme raison pour différer les mesures qui permettraient d’en éviter le danger ou d’en atténuer les effets. »</w:t>
      </w:r>
    </w:p>
  </w:footnote>
  <w:footnote w:id="100">
    <w:p w:rsidR="00E62BFB" w:rsidRPr="00F71CA3"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F71CA3">
        <w:rPr>
          <w:snapToGrid w:val="0"/>
          <w:kern w:val="18"/>
          <w:szCs w:val="18"/>
          <w:lang w:val="fr-FR"/>
        </w:rPr>
        <w:t>Une vision du monde qui a</w:t>
      </w:r>
      <w:r>
        <w:rPr>
          <w:snapToGrid w:val="0"/>
          <w:kern w:val="18"/>
          <w:szCs w:val="18"/>
          <w:lang w:val="fr-FR"/>
        </w:rPr>
        <w:t xml:space="preserve"> évolué au fil des ans et comprend des aspects physiques et spirituels (adapté du réseau</w:t>
      </w:r>
      <w:r>
        <w:rPr>
          <w:lang w:val="fr-FR"/>
        </w:rPr>
        <w:t xml:space="preserve"> </w:t>
      </w:r>
      <w:r w:rsidRPr="00E07A85">
        <w:rPr>
          <w:i/>
          <w:noProof/>
          <w:lang w:val="fr-FR"/>
        </w:rPr>
        <w:t>Indigenous Peoples’ Restauration Network</w:t>
      </w:r>
      <w:r w:rsidRPr="00F71CA3">
        <w:rPr>
          <w:snapToGrid w:val="0"/>
          <w:kern w:val="18"/>
          <w:szCs w:val="18"/>
          <w:lang w:val="fr-FR"/>
        </w:rPr>
        <w:t>).</w:t>
      </w:r>
    </w:p>
  </w:footnote>
  <w:footnote w:id="101">
    <w:p w:rsidR="00E62BFB" w:rsidRPr="00377E2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966A7">
        <w:rPr>
          <w:rStyle w:val="FootnoteReference"/>
          <w:snapToGrid w:val="0"/>
          <w:kern w:val="18"/>
          <w:sz w:val="20"/>
          <w:szCs w:val="20"/>
          <w:u w:val="none"/>
          <w:vertAlign w:val="superscript"/>
          <w:lang w:val="fr-FR"/>
        </w:rPr>
        <w:footnoteRef/>
      </w:r>
      <w:r w:rsidRPr="00377E20">
        <w:rPr>
          <w:snapToGrid w:val="0"/>
          <w:kern w:val="18"/>
          <w:szCs w:val="18"/>
          <w:lang w:val="en-US"/>
        </w:rPr>
        <w:t xml:space="preserve"> CBD/SBSTTA/22/INF/1.</w:t>
      </w:r>
    </w:p>
  </w:footnote>
  <w:footnote w:id="102">
    <w:p w:rsidR="00E62BFB" w:rsidRPr="00C061D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AU"/>
        </w:rPr>
      </w:pPr>
      <w:r w:rsidRPr="008966A7">
        <w:rPr>
          <w:rStyle w:val="FootnoteReference"/>
          <w:snapToGrid w:val="0"/>
          <w:kern w:val="18"/>
          <w:sz w:val="20"/>
          <w:szCs w:val="20"/>
          <w:u w:val="none"/>
          <w:vertAlign w:val="superscript"/>
          <w:lang w:val="fr-FR"/>
        </w:rPr>
        <w:footnoteRef/>
      </w:r>
      <w:r w:rsidRPr="00C061DF">
        <w:rPr>
          <w:snapToGrid w:val="0"/>
          <w:kern w:val="18"/>
          <w:szCs w:val="18"/>
          <w:lang w:val="en-AU"/>
        </w:rPr>
        <w:t xml:space="preserve"> CBD/SBSTTA/22/INF/1. </w:t>
      </w:r>
    </w:p>
  </w:footnote>
  <w:footnote w:id="103">
    <w:p w:rsidR="00E62BFB" w:rsidRPr="000E3528"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0E3528">
        <w:rPr>
          <w:snapToGrid w:val="0"/>
          <w:kern w:val="18"/>
          <w:szCs w:val="18"/>
          <w:lang w:val="fr-FR"/>
        </w:rPr>
        <w:t xml:space="preserve"> Ibid.</w:t>
      </w:r>
    </w:p>
  </w:footnote>
  <w:footnote w:id="104">
    <w:p w:rsidR="00E62BFB" w:rsidRPr="00D360BF"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sidRPr="008966A7">
        <w:rPr>
          <w:noProof/>
          <w:snapToGrid w:val="0"/>
          <w:kern w:val="18"/>
          <w:sz w:val="20"/>
          <w:szCs w:val="20"/>
          <w:vertAlign w:val="superscript"/>
          <w:lang w:val="fr-FR"/>
        </w:rPr>
        <w:t xml:space="preserve"> </w:t>
      </w:r>
      <w:r w:rsidRPr="00D360BF">
        <w:rPr>
          <w:noProof/>
          <w:snapToGrid w:val="0"/>
          <w:kern w:val="18"/>
          <w:szCs w:val="18"/>
          <w:lang w:val="fr-FR"/>
        </w:rPr>
        <w:t>CBD/SBSTTA/22/INF/1, annexe</w:t>
      </w:r>
      <w:r>
        <w:rPr>
          <w:noProof/>
          <w:snapToGrid w:val="0"/>
          <w:kern w:val="18"/>
          <w:szCs w:val="18"/>
          <w:lang w:val="fr-FR"/>
        </w:rPr>
        <w:t xml:space="preserve"> ; </w:t>
      </w:r>
      <w:hyperlink r:id="rId41" w:history="1">
        <w:r w:rsidRPr="001D2A3E">
          <w:rPr>
            <w:rStyle w:val="Hyperlink"/>
            <w:noProof/>
            <w:snapToGrid w:val="0"/>
            <w:kern w:val="18"/>
            <w:szCs w:val="18"/>
            <w:lang w:val="fr-FR"/>
          </w:rPr>
          <w:t>Cahier technique de la CBD n</w:t>
        </w:r>
        <w:r w:rsidRPr="001D2A3E">
          <w:rPr>
            <w:rStyle w:val="Hyperlink"/>
            <w:noProof/>
            <w:snapToGrid w:val="0"/>
            <w:kern w:val="18"/>
            <w:szCs w:val="18"/>
            <w:vertAlign w:val="superscript"/>
            <w:lang w:val="fr-FR"/>
          </w:rPr>
          <w:t>o</w:t>
        </w:r>
        <w:r w:rsidRPr="001D2A3E">
          <w:rPr>
            <w:rStyle w:val="Hyperlink"/>
            <w:noProof/>
            <w:snapToGrid w:val="0"/>
            <w:kern w:val="18"/>
            <w:szCs w:val="18"/>
            <w:lang w:val="fr-FR"/>
          </w:rPr>
          <w:t xml:space="preserve"> 85,</w:t>
        </w:r>
      </w:hyperlink>
      <w:r>
        <w:rPr>
          <w:noProof/>
          <w:snapToGrid w:val="0"/>
          <w:kern w:val="18"/>
          <w:szCs w:val="18"/>
          <w:lang w:val="fr-FR"/>
        </w:rPr>
        <w:t xml:space="preserve"> annexes II et</w:t>
      </w:r>
      <w:r w:rsidRPr="00D360BF">
        <w:rPr>
          <w:noProof/>
          <w:snapToGrid w:val="0"/>
          <w:kern w:val="18"/>
          <w:szCs w:val="18"/>
          <w:lang w:val="fr-FR"/>
        </w:rPr>
        <w:t xml:space="preserve"> III</w:t>
      </w:r>
      <w:r>
        <w:rPr>
          <w:noProof/>
          <w:snapToGrid w:val="0"/>
          <w:kern w:val="18"/>
          <w:szCs w:val="18"/>
          <w:lang w:val="fr-FR"/>
        </w:rPr>
        <w:t xml:space="preserve"> (anglais seulement)</w:t>
      </w:r>
      <w:r w:rsidRPr="00D360BF">
        <w:rPr>
          <w:noProof/>
          <w:snapToGrid w:val="0"/>
          <w:kern w:val="18"/>
          <w:szCs w:val="18"/>
          <w:lang w:val="fr-FR"/>
        </w:rPr>
        <w:t>.</w:t>
      </w:r>
    </w:p>
  </w:footnote>
  <w:footnote w:id="105">
    <w:p w:rsidR="00E62BFB" w:rsidRPr="00D360BF"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sidRPr="008966A7">
        <w:rPr>
          <w:noProof/>
          <w:snapToGrid w:val="0"/>
          <w:kern w:val="18"/>
          <w:sz w:val="20"/>
          <w:szCs w:val="20"/>
          <w:vertAlign w:val="superscript"/>
          <w:lang w:val="fr-FR"/>
        </w:rPr>
        <w:t xml:space="preserve"> </w:t>
      </w:r>
      <w:r w:rsidRPr="00D360BF">
        <w:rPr>
          <w:noProof/>
          <w:snapToGrid w:val="0"/>
          <w:kern w:val="18"/>
          <w:szCs w:val="18"/>
          <w:lang w:val="fr-FR"/>
        </w:rPr>
        <w:t>CBD/SBSTTA/22/INF/1.</w:t>
      </w:r>
    </w:p>
  </w:footnote>
  <w:footnote w:id="106">
    <w:p w:rsidR="00E62BFB" w:rsidRPr="00D360BF"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sidRPr="008966A7">
        <w:rPr>
          <w:noProof/>
          <w:snapToGrid w:val="0"/>
          <w:kern w:val="18"/>
          <w:sz w:val="20"/>
          <w:szCs w:val="20"/>
          <w:vertAlign w:val="superscript"/>
          <w:lang w:val="fr-FR"/>
        </w:rPr>
        <w:t xml:space="preserve"> </w:t>
      </w:r>
      <w:r>
        <w:rPr>
          <w:noProof/>
          <w:snapToGrid w:val="0"/>
          <w:kern w:val="18"/>
          <w:szCs w:val="18"/>
          <w:lang w:val="fr-FR"/>
        </w:rPr>
        <w:t>Tels que le Partenariat pour l’environnement et la réduction des risques de catastrophe naturelle (PERRC), Fiend</w:t>
      </w:r>
      <w:r w:rsidRPr="00D360BF">
        <w:rPr>
          <w:noProof/>
          <w:snapToGrid w:val="0"/>
          <w:kern w:val="18"/>
          <w:szCs w:val="18"/>
          <w:lang w:val="fr-FR"/>
        </w:rPr>
        <w:t xml:space="preserve">s of </w:t>
      </w:r>
      <w:r>
        <w:rPr>
          <w:noProof/>
          <w:snapToGrid w:val="0"/>
          <w:kern w:val="18"/>
          <w:szCs w:val="18"/>
          <w:lang w:val="fr-FR"/>
        </w:rPr>
        <w:t>l’adaptation fondée sur les écosystèmes</w:t>
      </w:r>
      <w:r w:rsidRPr="00D360BF">
        <w:rPr>
          <w:noProof/>
          <w:snapToGrid w:val="0"/>
          <w:kern w:val="18"/>
          <w:szCs w:val="18"/>
          <w:lang w:val="fr-FR"/>
        </w:rPr>
        <w:t xml:space="preserve"> (FEBA), PANORAMA, BES-Net (Biodiversity and Ecosystem Services Network), Ecoshape, </w:t>
      </w:r>
      <w:r>
        <w:rPr>
          <w:noProof/>
          <w:snapToGrid w:val="0"/>
          <w:kern w:val="18"/>
          <w:szCs w:val="18"/>
          <w:lang w:val="fr-FR"/>
        </w:rPr>
        <w:t xml:space="preserve">Groupe thématique sur les services écosystémiques et la réduction des risques de catastrophe naturelle de </w:t>
      </w:r>
      <w:r w:rsidRPr="00D360BF">
        <w:rPr>
          <w:noProof/>
          <w:snapToGrid w:val="0"/>
          <w:kern w:val="18"/>
          <w:szCs w:val="18"/>
          <w:lang w:val="fr-FR"/>
        </w:rPr>
        <w:t>Ecosystem</w:t>
      </w:r>
      <w:r>
        <w:rPr>
          <w:noProof/>
          <w:snapToGrid w:val="0"/>
          <w:kern w:val="18"/>
          <w:szCs w:val="18"/>
          <w:lang w:val="fr-FR"/>
        </w:rPr>
        <w:t xml:space="preserve"> Services Partnership, Groupes thématiques de l’UICN, et CAP-Net (PNUD</w:t>
      </w:r>
      <w:r w:rsidRPr="00D360BF">
        <w:rPr>
          <w:noProof/>
          <w:snapToGrid w:val="0"/>
          <w:kern w:val="18"/>
          <w:szCs w:val="18"/>
          <w:lang w:val="fr-FR"/>
        </w:rPr>
        <w:t>).</w:t>
      </w:r>
    </w:p>
  </w:footnote>
  <w:footnote w:id="107">
    <w:p w:rsidR="00E62BFB" w:rsidRPr="00D360BF"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Pr>
          <w:noProof/>
          <w:snapToGrid w:val="0"/>
          <w:kern w:val="18"/>
          <w:szCs w:val="18"/>
          <w:lang w:val="fr-FR"/>
        </w:rPr>
        <w:t xml:space="preserve"> Notamment : plans nationaux d’adaptation (CCNUCC), Cadre opérationnel pour l’adaptation fondée sur les écosystèmes</w:t>
      </w:r>
      <w:r w:rsidRPr="00D360BF">
        <w:rPr>
          <w:noProof/>
          <w:snapToGrid w:val="0"/>
          <w:kern w:val="18"/>
          <w:szCs w:val="18"/>
          <w:lang w:val="fr-FR"/>
        </w:rPr>
        <w:t xml:space="preserve"> (WWF)</w:t>
      </w:r>
      <w:r>
        <w:rPr>
          <w:noProof/>
          <w:snapToGrid w:val="0"/>
          <w:kern w:val="18"/>
          <w:szCs w:val="18"/>
          <w:lang w:val="fr-FR"/>
        </w:rPr>
        <w:t>, Cycle de l’intégration de l’adaptation</w:t>
      </w:r>
      <w:r w:rsidRPr="00D360BF">
        <w:rPr>
          <w:noProof/>
          <w:snapToGrid w:val="0"/>
          <w:kern w:val="18"/>
          <w:szCs w:val="18"/>
          <w:lang w:val="fr-FR"/>
        </w:rPr>
        <w:t xml:space="preserve"> (GIZ)</w:t>
      </w:r>
      <w:r>
        <w:rPr>
          <w:noProof/>
          <w:snapToGrid w:val="0"/>
          <w:kern w:val="18"/>
          <w:szCs w:val="18"/>
          <w:lang w:val="fr-FR"/>
        </w:rPr>
        <w:t>, Cycle de la gestion du risque de catastrophe naturelle (Agence européenne pour l’environnement</w:t>
      </w:r>
      <w:r w:rsidRPr="00D360BF">
        <w:rPr>
          <w:noProof/>
          <w:snapToGrid w:val="0"/>
          <w:kern w:val="18"/>
          <w:szCs w:val="18"/>
          <w:lang w:val="fr-FR"/>
        </w:rPr>
        <w:t xml:space="preserve">), </w:t>
      </w:r>
      <w:r>
        <w:rPr>
          <w:noProof/>
          <w:snapToGrid w:val="0"/>
          <w:kern w:val="18"/>
          <w:szCs w:val="18"/>
          <w:lang w:val="fr-FR"/>
        </w:rPr>
        <w:t>Éco-DRR</w:t>
      </w:r>
      <w:r w:rsidRPr="00D360BF">
        <w:rPr>
          <w:noProof/>
          <w:snapToGrid w:val="0"/>
          <w:kern w:val="18"/>
          <w:szCs w:val="18"/>
          <w:lang w:val="fr-FR"/>
        </w:rPr>
        <w:t xml:space="preserve"> cycle (Sudmeier-Rieux 2013), Ecosystems protecting infrastructure and communities (IUCN, Monty et al. 2017), and the Landscape Approach (CARE Netherlands and Wetlands International).</w:t>
      </w:r>
    </w:p>
  </w:footnote>
  <w:footnote w:id="108">
    <w:p w:rsidR="00E62BFB" w:rsidRPr="00D360BF"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sidRPr="008966A7">
        <w:rPr>
          <w:noProof/>
          <w:snapToGrid w:val="0"/>
          <w:kern w:val="18"/>
          <w:sz w:val="20"/>
          <w:szCs w:val="20"/>
          <w:vertAlign w:val="superscript"/>
          <w:lang w:val="fr-FR"/>
        </w:rPr>
        <w:t xml:space="preserve"> </w:t>
      </w:r>
      <w:r>
        <w:rPr>
          <w:noProof/>
          <w:snapToGrid w:val="0"/>
          <w:kern w:val="18"/>
          <w:szCs w:val="18"/>
          <w:lang w:val="fr-FR"/>
        </w:rPr>
        <w:t>Pour de plus amples renseignements, consulter le document</w:t>
      </w:r>
      <w:r w:rsidRPr="00D360BF">
        <w:rPr>
          <w:noProof/>
          <w:snapToGrid w:val="0"/>
          <w:kern w:val="18"/>
          <w:szCs w:val="18"/>
          <w:lang w:val="fr-FR"/>
        </w:rPr>
        <w:t xml:space="preserve"> CBD/SBSTTA/22/INF/1.</w:t>
      </w:r>
    </w:p>
  </w:footnote>
  <w:footnote w:id="109">
    <w:p w:rsidR="00E62BFB" w:rsidRPr="00D360BF"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sidRPr="00D360BF">
        <w:rPr>
          <w:noProof/>
          <w:snapToGrid w:val="0"/>
          <w:kern w:val="18"/>
          <w:szCs w:val="18"/>
          <w:lang w:val="fr-FR"/>
        </w:rPr>
        <w:t xml:space="preserve"> CBD/SBSTTA/22/INF/1.</w:t>
      </w:r>
    </w:p>
  </w:footnote>
  <w:footnote w:id="110">
    <w:p w:rsidR="00E62BFB" w:rsidRPr="00BF0C9F"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BF0C9F">
        <w:rPr>
          <w:snapToGrid w:val="0"/>
          <w:kern w:val="18"/>
          <w:szCs w:val="18"/>
          <w:lang w:val="fr-FR"/>
        </w:rPr>
        <w:t>Disponible dans le document CBD/SBSTTA/22/INF/1.</w:t>
      </w:r>
    </w:p>
  </w:footnote>
  <w:footnote w:id="111">
    <w:p w:rsidR="00E62BFB" w:rsidRPr="0060785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607850">
        <w:rPr>
          <w:snapToGrid w:val="0"/>
          <w:kern w:val="18"/>
          <w:szCs w:val="18"/>
          <w:lang w:val="fr-FR"/>
        </w:rPr>
        <w:t xml:space="preserve">Groupe </w:t>
      </w:r>
      <w:r w:rsidRPr="00607850">
        <w:rPr>
          <w:rFonts w:eastAsia="Calibri"/>
          <w:snapToGrid w:val="0"/>
          <w:kern w:val="22"/>
          <w:szCs w:val="22"/>
          <w:lang w:val="fr-FR"/>
        </w:rPr>
        <w:t>d’experts</w:t>
      </w:r>
      <w:r w:rsidRPr="00607850">
        <w:rPr>
          <w:snapToGrid w:val="0"/>
          <w:kern w:val="18"/>
          <w:szCs w:val="18"/>
          <w:lang w:val="fr-FR"/>
        </w:rPr>
        <w:t xml:space="preserve"> intergouvernemental sur l’évolution du climat, </w:t>
      </w:r>
      <w:hyperlink r:id="rId42" w:history="1">
        <w:r>
          <w:rPr>
            <w:rStyle w:val="Hyperlink"/>
            <w:i/>
            <w:iCs/>
            <w:snapToGrid w:val="0"/>
            <w:kern w:val="18"/>
            <w:szCs w:val="18"/>
            <w:lang w:val="fr-FR"/>
          </w:rPr>
          <w:t>Cinqu</w:t>
        </w:r>
        <w:r w:rsidRPr="00607850">
          <w:rPr>
            <w:rStyle w:val="Hyperlink"/>
            <w:i/>
            <w:iCs/>
            <w:snapToGrid w:val="0"/>
            <w:kern w:val="18"/>
            <w:szCs w:val="18"/>
            <w:lang w:val="fr-FR"/>
          </w:rPr>
          <w:t>ième rapport d’évaluation</w:t>
        </w:r>
      </w:hyperlink>
      <w:r>
        <w:rPr>
          <w:snapToGrid w:val="0"/>
          <w:kern w:val="18"/>
          <w:szCs w:val="18"/>
          <w:lang w:val="fr-FR"/>
        </w:rPr>
        <w:t>, 2014</w:t>
      </w:r>
      <w:r w:rsidRPr="00607850">
        <w:rPr>
          <w:snapToGrid w:val="0"/>
          <w:kern w:val="18"/>
          <w:szCs w:val="18"/>
          <w:lang w:val="fr-FR"/>
        </w:rPr>
        <w:t>.</w:t>
      </w:r>
    </w:p>
  </w:footnote>
  <w:footnote w:id="112">
    <w:p w:rsidR="00E62BFB" w:rsidRPr="00377E20" w:rsidRDefault="00E62BFB" w:rsidP="009F6935">
      <w:pPr>
        <w:pStyle w:val="FootnoteText"/>
        <w:suppressLineNumbers/>
        <w:suppressAutoHyphens/>
        <w:kinsoku w:val="0"/>
        <w:overflowPunct w:val="0"/>
        <w:autoSpaceDE w:val="0"/>
        <w:autoSpaceDN w:val="0"/>
        <w:adjustRightInd w:val="0"/>
        <w:snapToGrid w:val="0"/>
        <w:spacing w:after="0"/>
        <w:ind w:firstLine="0"/>
        <w:jc w:val="left"/>
        <w:rPr>
          <w:snapToGrid w:val="0"/>
          <w:kern w:val="18"/>
          <w:szCs w:val="18"/>
          <w:lang w:val="fr-FR"/>
        </w:rPr>
      </w:pPr>
      <w:r w:rsidRPr="008966A7">
        <w:rPr>
          <w:rStyle w:val="FootnoteReference"/>
          <w:snapToGrid w:val="0"/>
          <w:kern w:val="18"/>
          <w:sz w:val="20"/>
          <w:szCs w:val="20"/>
          <w:u w:val="none"/>
          <w:vertAlign w:val="superscript"/>
        </w:rPr>
        <w:footnoteRef/>
      </w:r>
      <w:r w:rsidRPr="008966A7">
        <w:rPr>
          <w:snapToGrid w:val="0"/>
          <w:kern w:val="18"/>
          <w:sz w:val="20"/>
          <w:szCs w:val="20"/>
          <w:vertAlign w:val="superscript"/>
          <w:lang w:val="fr-FR"/>
        </w:rPr>
        <w:t xml:space="preserve"> </w:t>
      </w:r>
      <w:r w:rsidRPr="00DB3677">
        <w:rPr>
          <w:snapToGrid w:val="0"/>
          <w:kern w:val="18"/>
          <w:szCs w:val="18"/>
          <w:lang w:val="fr-FR"/>
        </w:rPr>
        <w:t>Voir CBD/SBSTTA/22/INF/1.</w:t>
      </w:r>
    </w:p>
  </w:footnote>
  <w:footnote w:id="113">
    <w:p w:rsidR="00E62BFB" w:rsidRPr="00546EE6" w:rsidRDefault="00E62BFB" w:rsidP="009F6935">
      <w:pPr>
        <w:pStyle w:val="FootnoteText"/>
        <w:suppressLineNumbers/>
        <w:tabs>
          <w:tab w:val="left" w:pos="8610"/>
        </w:tabs>
        <w:suppressAutoHyphens/>
        <w:kinsoku w:val="0"/>
        <w:overflowPunct w:val="0"/>
        <w:autoSpaceDE w:val="0"/>
        <w:autoSpaceDN w:val="0"/>
        <w:adjustRightInd w:val="0"/>
        <w:snapToGrid w:val="0"/>
        <w:spacing w:after="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546EE6">
        <w:rPr>
          <w:snapToGrid w:val="0"/>
          <w:kern w:val="18"/>
          <w:szCs w:val="18"/>
          <w:lang w:val="fr-FR"/>
        </w:rPr>
        <w:t>Ibid.</w:t>
      </w:r>
      <w:r>
        <w:rPr>
          <w:snapToGrid w:val="0"/>
          <w:kern w:val="18"/>
          <w:szCs w:val="18"/>
          <w:lang w:val="fr-FR"/>
        </w:rPr>
        <w:tab/>
      </w:r>
    </w:p>
  </w:footnote>
  <w:footnote w:id="114">
    <w:p w:rsidR="00E62BFB" w:rsidRPr="00377E2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en-US"/>
        </w:rPr>
        <w:t xml:space="preserve"> </w:t>
      </w:r>
      <w:r w:rsidRPr="00377E20">
        <w:rPr>
          <w:snapToGrid w:val="0"/>
          <w:kern w:val="18"/>
          <w:szCs w:val="18"/>
          <w:lang w:val="en-US"/>
        </w:rPr>
        <w:t>CBD/SBSTTA/22/INF/1.</w:t>
      </w:r>
    </w:p>
  </w:footnote>
  <w:footnote w:id="115">
    <w:p w:rsidR="00E62BFB" w:rsidRPr="00377E20"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sidRPr="008966A7">
        <w:rPr>
          <w:rStyle w:val="FootnoteReference"/>
          <w:snapToGrid w:val="0"/>
          <w:kern w:val="18"/>
          <w:sz w:val="20"/>
          <w:szCs w:val="20"/>
          <w:u w:val="none"/>
          <w:vertAlign w:val="superscript"/>
          <w:lang w:val="fr-FR"/>
        </w:rPr>
        <w:footnoteRef/>
      </w:r>
      <w:r w:rsidRPr="00377E20">
        <w:rPr>
          <w:snapToGrid w:val="0"/>
          <w:kern w:val="18"/>
          <w:szCs w:val="18"/>
          <w:lang w:val="en-US"/>
        </w:rPr>
        <w:t xml:space="preserve"> Voir </w:t>
      </w:r>
      <w:hyperlink r:id="rId43" w:history="1">
        <w:r w:rsidRPr="0065626E">
          <w:rPr>
            <w:rStyle w:val="Hyperlink"/>
            <w:snapToGrid w:val="0"/>
            <w:kern w:val="18"/>
            <w:szCs w:val="18"/>
            <w:lang w:val="en-US"/>
          </w:rPr>
          <w:t xml:space="preserve">« Making Ecosystem-based Adaptation Effective </w:t>
        </w:r>
        <w:r w:rsidRPr="0065626E">
          <w:rPr>
            <w:rStyle w:val="Hyperlink"/>
            <w:lang w:val="en-US"/>
          </w:rPr>
          <w:t>– A Framework for Defining Qualification Criteria and Quality Standards</w:t>
        </w:r>
        <w:r w:rsidRPr="0065626E">
          <w:rPr>
            <w:rStyle w:val="Hyperlink"/>
            <w:snapToGrid w:val="0"/>
            <w:kern w:val="18"/>
            <w:szCs w:val="18"/>
            <w:lang w:val="en-US"/>
          </w:rPr>
          <w:t> »</w:t>
        </w:r>
      </w:hyperlink>
      <w:r w:rsidRPr="00377E20">
        <w:rPr>
          <w:snapToGrid w:val="0"/>
          <w:kern w:val="18"/>
          <w:szCs w:val="18"/>
          <w:lang w:val="en-US"/>
        </w:rPr>
        <w:t xml:space="preserve"> (FEBA – document technique).</w:t>
      </w:r>
    </w:p>
  </w:footnote>
  <w:footnote w:id="116">
    <w:p w:rsidR="00E62BFB" w:rsidRPr="00802A1A"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802A1A">
        <w:rPr>
          <w:snapToGrid w:val="0"/>
          <w:kern w:val="18"/>
          <w:szCs w:val="18"/>
          <w:lang w:val="fr-FR"/>
        </w:rPr>
        <w:t>Voir CBD/SBSTTA/22/INF/1.</w:t>
      </w:r>
    </w:p>
  </w:footnote>
  <w:footnote w:id="117">
    <w:p w:rsidR="00E62BFB" w:rsidRPr="00802A1A"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802A1A">
        <w:rPr>
          <w:snapToGrid w:val="0"/>
          <w:kern w:val="18"/>
          <w:szCs w:val="18"/>
          <w:lang w:val="fr-FR"/>
        </w:rPr>
        <w:t>Ibid.</w:t>
      </w:r>
    </w:p>
  </w:footnote>
  <w:footnote w:id="118">
    <w:p w:rsidR="00E62BFB" w:rsidRPr="00802A1A"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8966A7">
        <w:rPr>
          <w:rStyle w:val="FootnoteReference"/>
          <w:snapToGrid w:val="0"/>
          <w:kern w:val="18"/>
          <w:sz w:val="20"/>
          <w:szCs w:val="20"/>
          <w:u w:val="none"/>
          <w:vertAlign w:val="superscript"/>
          <w:lang w:val="fr-FR"/>
        </w:rPr>
        <w:footnoteRef/>
      </w:r>
      <w:r w:rsidRPr="008966A7">
        <w:rPr>
          <w:snapToGrid w:val="0"/>
          <w:kern w:val="18"/>
          <w:sz w:val="20"/>
          <w:szCs w:val="20"/>
          <w:vertAlign w:val="superscript"/>
          <w:lang w:val="fr-FR"/>
        </w:rPr>
        <w:t xml:space="preserve"> </w:t>
      </w:r>
      <w:r w:rsidRPr="00802A1A">
        <w:rPr>
          <w:snapToGrid w:val="0"/>
          <w:kern w:val="18"/>
          <w:szCs w:val="18"/>
          <w:lang w:val="fr-FR"/>
        </w:rPr>
        <w:t>Ibid.</w:t>
      </w:r>
    </w:p>
  </w:footnote>
  <w:footnote w:id="119">
    <w:p w:rsidR="00E62BFB" w:rsidRPr="0020432D" w:rsidRDefault="00E62BFB" w:rsidP="009F6935">
      <w:pPr>
        <w:pStyle w:val="FootnoteText"/>
        <w:suppressLineNumbers/>
        <w:suppressAutoHyphens/>
        <w:kinsoku w:val="0"/>
        <w:overflowPunct w:val="0"/>
        <w:autoSpaceDE w:val="0"/>
        <w:autoSpaceDN w:val="0"/>
        <w:adjustRightInd w:val="0"/>
        <w:snapToGrid w:val="0"/>
        <w:ind w:firstLine="0"/>
        <w:jc w:val="left"/>
        <w:rPr>
          <w:noProof/>
          <w:snapToGrid w:val="0"/>
          <w:kern w:val="18"/>
          <w:szCs w:val="18"/>
          <w:lang w:val="fr-FR"/>
        </w:rPr>
      </w:pPr>
      <w:r w:rsidRPr="008966A7">
        <w:rPr>
          <w:rStyle w:val="FootnoteReference"/>
          <w:noProof/>
          <w:snapToGrid w:val="0"/>
          <w:kern w:val="18"/>
          <w:sz w:val="20"/>
          <w:szCs w:val="20"/>
          <w:u w:val="none"/>
          <w:vertAlign w:val="superscript"/>
          <w:lang w:val="fr-FR"/>
        </w:rPr>
        <w:footnoteRef/>
      </w:r>
      <w:r w:rsidRPr="008966A7">
        <w:rPr>
          <w:noProof/>
          <w:snapToGrid w:val="0"/>
          <w:kern w:val="18"/>
          <w:sz w:val="20"/>
          <w:szCs w:val="20"/>
          <w:vertAlign w:val="superscript"/>
          <w:lang w:val="fr-FR"/>
        </w:rPr>
        <w:t xml:space="preserve"> </w:t>
      </w:r>
      <w:r w:rsidRPr="0020432D">
        <w:rPr>
          <w:noProof/>
          <w:snapToGrid w:val="0"/>
          <w:kern w:val="18"/>
          <w:szCs w:val="18"/>
          <w:lang w:val="fr-FR"/>
        </w:rPr>
        <w:t>Les méthodes d’estimation de la valeur des activités d’</w:t>
      </w:r>
      <w:r>
        <w:rPr>
          <w:noProof/>
          <w:snapToGrid w:val="0"/>
          <w:kern w:val="18"/>
          <w:szCs w:val="18"/>
          <w:lang w:val="fr-FR"/>
        </w:rPr>
        <w:t>adaptation fondée sur les écosystèmes et de réduction des risques de catastrophe naturelle fondée sur les écosystèmes</w:t>
      </w:r>
      <w:r w:rsidRPr="0020432D">
        <w:rPr>
          <w:noProof/>
          <w:snapToGrid w:val="0"/>
          <w:kern w:val="18"/>
          <w:szCs w:val="18"/>
          <w:lang w:val="fr-FR"/>
        </w:rPr>
        <w:t xml:space="preserve">, tirées de la publication de </w:t>
      </w:r>
      <w:hyperlink r:id="rId44" w:history="1">
        <w:r w:rsidRPr="0065626E">
          <w:rPr>
            <w:rStyle w:val="Hyperlink"/>
            <w:noProof/>
            <w:snapToGrid w:val="0"/>
            <w:kern w:val="18"/>
            <w:szCs w:val="18"/>
            <w:lang w:val="fr-FR"/>
          </w:rPr>
          <w:t>Frontier Economics : «  The Economics of Climate Resilience: Appraising ﬂood management initiatives – a case study »</w:t>
        </w:r>
      </w:hyperlink>
      <w:r>
        <w:rPr>
          <w:noProof/>
          <w:snapToGrid w:val="0"/>
          <w:kern w:val="18"/>
          <w:szCs w:val="18"/>
          <w:lang w:val="fr-FR"/>
        </w:rPr>
        <w:t xml:space="preserve"> figurent dans le document </w:t>
      </w:r>
      <w:r w:rsidRPr="0020432D">
        <w:rPr>
          <w:noProof/>
          <w:snapToGrid w:val="0"/>
          <w:kern w:val="18"/>
          <w:szCs w:val="18"/>
          <w:lang w:val="fr-FR"/>
        </w:rPr>
        <w:t>CBD/SBSTTA/22/INF/1.</w:t>
      </w:r>
    </w:p>
  </w:footnote>
  <w:footnote w:id="120">
    <w:p w:rsidR="00E62BFB" w:rsidRPr="00DF0E24"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564AC5">
        <w:rPr>
          <w:rStyle w:val="FootnoteReference"/>
          <w:snapToGrid w:val="0"/>
          <w:kern w:val="18"/>
          <w:sz w:val="20"/>
          <w:szCs w:val="20"/>
          <w:u w:val="none"/>
          <w:vertAlign w:val="superscript"/>
          <w:lang w:val="fr-FR"/>
        </w:rPr>
        <w:footnoteRef/>
      </w:r>
      <w:r w:rsidRPr="00DF0E24">
        <w:rPr>
          <w:snapToGrid w:val="0"/>
          <w:kern w:val="18"/>
          <w:szCs w:val="18"/>
          <w:lang w:val="fr-FR"/>
        </w:rPr>
        <w:t xml:space="preserve"> Voir le document CBD/SBSTTA/22/INF/1.</w:t>
      </w:r>
    </w:p>
  </w:footnote>
  <w:footnote w:id="121">
    <w:p w:rsidR="00E62BFB" w:rsidRPr="003E0AC6" w:rsidRDefault="00E62BFB" w:rsidP="009F6935">
      <w:pPr>
        <w:pStyle w:val="FootnoteText"/>
        <w:suppressLineNumbers/>
        <w:suppressAutoHyphens/>
        <w:kinsoku w:val="0"/>
        <w:overflowPunct w:val="0"/>
        <w:autoSpaceDE w:val="0"/>
        <w:autoSpaceDN w:val="0"/>
        <w:adjustRightInd w:val="0"/>
        <w:snapToGrid w:val="0"/>
        <w:ind w:firstLine="0"/>
        <w:jc w:val="left"/>
        <w:rPr>
          <w:b/>
          <w:snapToGrid w:val="0"/>
          <w:kern w:val="18"/>
          <w:szCs w:val="18"/>
          <w:lang w:val="fr-FR"/>
        </w:rPr>
      </w:pPr>
      <w:r w:rsidRPr="00564AC5">
        <w:rPr>
          <w:rStyle w:val="FootnoteReference"/>
          <w:snapToGrid w:val="0"/>
          <w:kern w:val="18"/>
          <w:sz w:val="20"/>
          <w:szCs w:val="20"/>
          <w:u w:val="none"/>
          <w:vertAlign w:val="superscript"/>
          <w:lang w:val="fr-FR"/>
        </w:rPr>
        <w:footnoteRef/>
      </w:r>
      <w:r w:rsidRPr="003E0AC6">
        <w:rPr>
          <w:snapToGrid w:val="0"/>
          <w:kern w:val="18"/>
          <w:szCs w:val="18"/>
          <w:lang w:val="fr-FR"/>
        </w:rPr>
        <w:t xml:space="preserve"> Plusieurs mesures clés et </w:t>
      </w:r>
      <w:r>
        <w:rPr>
          <w:snapToGrid w:val="0"/>
          <w:kern w:val="18"/>
          <w:szCs w:val="18"/>
          <w:lang w:val="fr-FR"/>
        </w:rPr>
        <w:t>considé</w:t>
      </w:r>
      <w:r w:rsidRPr="003E0AC6">
        <w:rPr>
          <w:snapToGrid w:val="0"/>
          <w:kern w:val="18"/>
          <w:szCs w:val="18"/>
          <w:lang w:val="fr-FR"/>
        </w:rPr>
        <w:t>rations</w:t>
      </w:r>
      <w:r>
        <w:rPr>
          <w:snapToGrid w:val="0"/>
          <w:kern w:val="18"/>
          <w:szCs w:val="18"/>
          <w:lang w:val="fr-FR"/>
        </w:rPr>
        <w:t xml:space="preserve"> sont fondées sur le dossier d’apprentissage sur le suivi et l’évaluation (dans le développement) qui sera publié en 2018 par</w:t>
      </w:r>
      <w:r w:rsidRPr="003E0AC6">
        <w:rPr>
          <w:snapToGrid w:val="0"/>
          <w:kern w:val="18"/>
          <w:szCs w:val="18"/>
          <w:lang w:val="fr-FR"/>
        </w:rPr>
        <w:t xml:space="preserve"> </w:t>
      </w:r>
      <w:r w:rsidRPr="003E0AC6">
        <w:rPr>
          <w:noProof/>
          <w:snapToGrid w:val="0"/>
          <w:kern w:val="18"/>
          <w:szCs w:val="18"/>
          <w:lang w:val="fr-FR"/>
        </w:rPr>
        <w:t>Deutsche Gesellschaft für Internationale Zusammenarbeit.</w:t>
      </w:r>
    </w:p>
  </w:footnote>
  <w:footnote w:id="122">
    <w:p w:rsidR="00E62BFB" w:rsidRPr="003E0AC6"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564AC5">
        <w:rPr>
          <w:rStyle w:val="FootnoteReference"/>
          <w:snapToGrid w:val="0"/>
          <w:kern w:val="18"/>
          <w:sz w:val="20"/>
          <w:szCs w:val="20"/>
          <w:u w:val="none"/>
          <w:vertAlign w:val="superscript"/>
          <w:lang w:val="fr-FR"/>
        </w:rPr>
        <w:footnoteRef/>
      </w:r>
      <w:r w:rsidRPr="00564AC5">
        <w:rPr>
          <w:snapToGrid w:val="0"/>
          <w:kern w:val="18"/>
          <w:sz w:val="20"/>
          <w:szCs w:val="20"/>
          <w:vertAlign w:val="superscript"/>
          <w:lang w:val="fr-FR"/>
        </w:rPr>
        <w:t xml:space="preserve"> </w:t>
      </w:r>
      <w:r>
        <w:rPr>
          <w:snapToGrid w:val="0"/>
          <w:kern w:val="18"/>
          <w:szCs w:val="18"/>
          <w:lang w:val="fr-FR"/>
        </w:rPr>
        <w:t>Voir</w:t>
      </w:r>
      <w:r w:rsidRPr="003E0AC6">
        <w:rPr>
          <w:snapToGrid w:val="0"/>
          <w:kern w:val="18"/>
          <w:szCs w:val="18"/>
          <w:lang w:val="fr-FR"/>
        </w:rPr>
        <w:t xml:space="preserve"> CBD/SBSTTA/22/INF/1.</w:t>
      </w:r>
    </w:p>
  </w:footnote>
  <w:footnote w:id="123">
    <w:p w:rsidR="00E62BFB" w:rsidRPr="003E0AC6"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564AC5">
        <w:rPr>
          <w:rStyle w:val="FootnoteReference"/>
          <w:snapToGrid w:val="0"/>
          <w:kern w:val="18"/>
          <w:sz w:val="20"/>
          <w:szCs w:val="20"/>
          <w:u w:val="none"/>
          <w:vertAlign w:val="superscript"/>
          <w:lang w:val="fr-FR"/>
        </w:rPr>
        <w:footnoteRef/>
      </w:r>
      <w:r w:rsidRPr="00564AC5">
        <w:rPr>
          <w:snapToGrid w:val="0"/>
          <w:kern w:val="18"/>
          <w:sz w:val="20"/>
          <w:szCs w:val="20"/>
          <w:vertAlign w:val="superscript"/>
          <w:lang w:val="fr-FR"/>
        </w:rPr>
        <w:t xml:space="preserve"> </w:t>
      </w:r>
      <w:r>
        <w:rPr>
          <w:snapToGrid w:val="0"/>
          <w:kern w:val="18"/>
          <w:szCs w:val="18"/>
          <w:lang w:val="fr-FR"/>
        </w:rPr>
        <w:t xml:space="preserve">Des renseignements supplémentaires sont disponibles sur le site Web de la CBD </w:t>
      </w:r>
      <w:r w:rsidRPr="003E0AC6">
        <w:rPr>
          <w:snapToGrid w:val="0"/>
          <w:kern w:val="18"/>
          <w:szCs w:val="18"/>
          <w:lang w:val="fr-FR"/>
        </w:rPr>
        <w:t>(</w:t>
      </w:r>
      <w:hyperlink r:id="rId45" w:history="1">
        <w:r w:rsidRPr="003E0AC6">
          <w:rPr>
            <w:rStyle w:val="Hyperlink"/>
            <w:snapToGrid w:val="0"/>
            <w:kern w:val="18"/>
            <w:szCs w:val="18"/>
            <w:lang w:val="fr-FR"/>
          </w:rPr>
          <w:t>https://www.cbd.int/indicators/default.shtml</w:t>
        </w:r>
      </w:hyperlink>
      <w:r>
        <w:rPr>
          <w:snapToGrid w:val="0"/>
          <w:kern w:val="18"/>
          <w:szCs w:val="18"/>
          <w:lang w:val="fr-FR"/>
        </w:rPr>
        <w:t>) et dans le cinquième rapport d’évaluation du GIEC (voir</w:t>
      </w:r>
      <w:r w:rsidRPr="003E0AC6">
        <w:rPr>
          <w:snapToGrid w:val="0"/>
          <w:kern w:val="18"/>
          <w:szCs w:val="18"/>
          <w:lang w:val="fr-FR"/>
        </w:rPr>
        <w:t xml:space="preserve"> </w:t>
      </w:r>
      <w:hyperlink r:id="rId46" w:history="1">
        <w:r w:rsidRPr="003E0AC6">
          <w:rPr>
            <w:rStyle w:val="Hyperlink"/>
            <w:snapToGrid w:val="0"/>
            <w:kern w:val="18"/>
            <w:szCs w:val="18"/>
            <w:lang w:val="fr-FR"/>
          </w:rPr>
          <w:t>https://www.ipcc.ch/report/ar5/</w:t>
        </w:r>
      </w:hyperlink>
      <w:r w:rsidRPr="003E0AC6">
        <w:rPr>
          <w:snapToGrid w:val="0"/>
          <w:kern w:val="18"/>
          <w:szCs w:val="18"/>
          <w:lang w:val="fr-FR"/>
        </w:rPr>
        <w:t>)</w:t>
      </w:r>
    </w:p>
  </w:footnote>
  <w:footnote w:id="124">
    <w:p w:rsidR="00E62BFB" w:rsidRPr="003E0AC6" w:rsidRDefault="00E62BFB" w:rsidP="009F6935">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564AC5">
        <w:rPr>
          <w:rStyle w:val="FootnoteReference"/>
          <w:snapToGrid w:val="0"/>
          <w:kern w:val="18"/>
          <w:sz w:val="20"/>
          <w:szCs w:val="20"/>
          <w:u w:val="none"/>
          <w:vertAlign w:val="superscript"/>
          <w:lang w:val="fr-FR"/>
        </w:rPr>
        <w:footnoteRef/>
      </w:r>
      <w:r w:rsidRPr="00564AC5">
        <w:rPr>
          <w:snapToGrid w:val="0"/>
          <w:kern w:val="18"/>
          <w:sz w:val="20"/>
          <w:szCs w:val="20"/>
          <w:vertAlign w:val="superscript"/>
          <w:lang w:val="fr-FR"/>
        </w:rPr>
        <w:t xml:space="preserve"> </w:t>
      </w:r>
      <w:r>
        <w:rPr>
          <w:snapToGrid w:val="0"/>
          <w:kern w:val="18"/>
          <w:szCs w:val="18"/>
          <w:lang w:val="fr-FR"/>
        </w:rPr>
        <w:t>Voir</w:t>
      </w:r>
      <w:r w:rsidRPr="003E0AC6">
        <w:rPr>
          <w:snapToGrid w:val="0"/>
          <w:kern w:val="18"/>
          <w:szCs w:val="18"/>
          <w:lang w:val="fr-FR"/>
        </w:rPr>
        <w:t xml:space="preserve"> CBD/SBSTTA/22/INF/1, annex</w:t>
      </w:r>
      <w:r>
        <w:rPr>
          <w:snapToGrid w:val="0"/>
          <w:kern w:val="18"/>
          <w:szCs w:val="18"/>
          <w:lang w:val="fr-FR"/>
        </w:rPr>
        <w:t>e</w:t>
      </w:r>
      <w:r w:rsidRPr="003E0AC6">
        <w:rPr>
          <w:snapToGrid w:val="0"/>
          <w:kern w:val="18"/>
          <w:szCs w:val="18"/>
          <w:lang w:val="fr-FR"/>
        </w:rPr>
        <w:t> III.</w:t>
      </w:r>
    </w:p>
  </w:footnote>
  <w:footnote w:id="125">
    <w:p w:rsidR="00E62BFB" w:rsidRPr="002B78E5" w:rsidRDefault="00E62BFB" w:rsidP="009F6935">
      <w:pPr>
        <w:pStyle w:val="FootnoteText"/>
        <w:kinsoku w:val="0"/>
        <w:overflowPunct w:val="0"/>
        <w:autoSpaceDE w:val="0"/>
        <w:autoSpaceDN w:val="0"/>
        <w:ind w:firstLine="0"/>
        <w:jc w:val="left"/>
        <w:rPr>
          <w:snapToGrid w:val="0"/>
          <w:kern w:val="18"/>
          <w:szCs w:val="18"/>
          <w:lang w:val="fr-CA"/>
        </w:rPr>
      </w:pPr>
      <w:r w:rsidRPr="00A23D0C">
        <w:rPr>
          <w:rStyle w:val="FootnoteReference"/>
          <w:rFonts w:eastAsiaTheme="majorEastAsia"/>
          <w:snapToGrid w:val="0"/>
          <w:kern w:val="18"/>
          <w:sz w:val="20"/>
          <w:szCs w:val="20"/>
          <w:u w:val="none"/>
          <w:vertAlign w:val="superscript"/>
        </w:rPr>
        <w:footnoteRef/>
      </w:r>
      <w:r w:rsidRPr="002B78E5">
        <w:rPr>
          <w:snapToGrid w:val="0"/>
          <w:kern w:val="18"/>
          <w:szCs w:val="18"/>
          <w:lang w:val="fr-CA"/>
        </w:rPr>
        <w:t xml:space="preserve">   Un représentant d'une Partie a fait une objection formelle au cours du processus menant à l'adoption de cette décision et a souligné qu'il ne pensait pas que la Conférence des Parties pouvait légitimement adopter une motion ou un texte faisant l'objet d'une objection formelle. Quelques représentants ont fait part de leurs rése</w:t>
      </w:r>
      <w:r>
        <w:rPr>
          <w:snapToGrid w:val="0"/>
          <w:kern w:val="18"/>
          <w:szCs w:val="18"/>
          <w:lang w:val="fr-CA"/>
        </w:rPr>
        <w:t>rves quant à la procédure ayant conduit</w:t>
      </w:r>
      <w:r w:rsidRPr="002B78E5">
        <w:rPr>
          <w:snapToGrid w:val="0"/>
          <w:kern w:val="18"/>
          <w:szCs w:val="18"/>
          <w:lang w:val="fr-CA"/>
        </w:rPr>
        <w:t xml:space="preserve"> à l'adoption de cette décision (voir UNEP/CBD/COP/6/20, par. 294-324).</w:t>
      </w:r>
    </w:p>
  </w:footnote>
  <w:footnote w:id="126">
    <w:p w:rsidR="00E62BFB" w:rsidRPr="002B78E5" w:rsidRDefault="00E62BFB" w:rsidP="009F6935">
      <w:pPr>
        <w:pStyle w:val="FootnoteText"/>
        <w:kinsoku w:val="0"/>
        <w:overflowPunct w:val="0"/>
        <w:autoSpaceDE w:val="0"/>
        <w:autoSpaceDN w:val="0"/>
        <w:ind w:firstLine="0"/>
        <w:jc w:val="left"/>
        <w:rPr>
          <w:snapToGrid w:val="0"/>
          <w:kern w:val="18"/>
          <w:szCs w:val="18"/>
          <w:lang w:val="fr-CA"/>
        </w:rPr>
      </w:pPr>
      <w:r w:rsidRPr="00A23D0C">
        <w:rPr>
          <w:rStyle w:val="FootnoteReference"/>
          <w:rFonts w:eastAsiaTheme="majorEastAsia"/>
          <w:snapToGrid w:val="0"/>
          <w:kern w:val="18"/>
          <w:sz w:val="20"/>
          <w:szCs w:val="20"/>
          <w:u w:val="none"/>
          <w:vertAlign w:val="superscript"/>
        </w:rPr>
        <w:footnoteRef/>
      </w:r>
      <w:r w:rsidRPr="002B78E5">
        <w:rPr>
          <w:snapToGrid w:val="0"/>
          <w:kern w:val="18"/>
          <w:szCs w:val="18"/>
          <w:lang w:val="fr-CA"/>
        </w:rPr>
        <w:t xml:space="preserve"> </w:t>
      </w:r>
      <w:hyperlink r:id="rId47" w:history="1">
        <w:r w:rsidRPr="002B78E5">
          <w:rPr>
            <w:rStyle w:val="Hyperlink"/>
            <w:snapToGrid w:val="0"/>
            <w:kern w:val="18"/>
            <w:szCs w:val="18"/>
            <w:lang w:val="fr-CA"/>
          </w:rPr>
          <w:t>https://www.unece.org/fileadmin/DAM/trans/doc/2014/wp24/CTU_Code_French_01.pdf</w:t>
        </w:r>
      </w:hyperlink>
      <w:r w:rsidRPr="002B78E5">
        <w:rPr>
          <w:snapToGrid w:val="0"/>
          <w:kern w:val="18"/>
          <w:szCs w:val="18"/>
          <w:lang w:val="fr-CA"/>
        </w:rPr>
        <w:t xml:space="preserve"> </w:t>
      </w:r>
    </w:p>
  </w:footnote>
  <w:footnote w:id="127">
    <w:p w:rsidR="00E62BFB" w:rsidRPr="002B78E5" w:rsidRDefault="00E62BFB" w:rsidP="009F6935">
      <w:pPr>
        <w:pStyle w:val="FootnoteText"/>
        <w:kinsoku w:val="0"/>
        <w:overflowPunct w:val="0"/>
        <w:autoSpaceDE w:val="0"/>
        <w:autoSpaceDN w:val="0"/>
        <w:ind w:firstLine="0"/>
        <w:jc w:val="left"/>
        <w:rPr>
          <w:snapToGrid w:val="0"/>
          <w:kern w:val="18"/>
          <w:szCs w:val="18"/>
          <w:lang w:val="fr-CA"/>
        </w:rPr>
      </w:pPr>
      <w:r w:rsidRPr="00A23D0C">
        <w:rPr>
          <w:rStyle w:val="FootnoteReference"/>
          <w:rFonts w:eastAsiaTheme="majorEastAsia"/>
          <w:snapToGrid w:val="0"/>
          <w:kern w:val="18"/>
          <w:sz w:val="20"/>
          <w:szCs w:val="20"/>
          <w:u w:val="none"/>
          <w:vertAlign w:val="superscript"/>
        </w:rPr>
        <w:footnoteRef/>
      </w:r>
      <w:r w:rsidRPr="00A23D0C">
        <w:rPr>
          <w:snapToGrid w:val="0"/>
          <w:kern w:val="18"/>
          <w:sz w:val="20"/>
          <w:szCs w:val="20"/>
          <w:vertAlign w:val="superscript"/>
          <w:lang w:val="fr-CA"/>
        </w:rPr>
        <w:t xml:space="preserve"> </w:t>
      </w:r>
      <w:r w:rsidRPr="002B78E5">
        <w:rPr>
          <w:snapToGrid w:val="0"/>
          <w:kern w:val="18"/>
          <w:szCs w:val="18"/>
          <w:lang w:val="fr-CA"/>
        </w:rPr>
        <w:t>La désinfection désigne, après comp</w:t>
      </w:r>
      <w:r>
        <w:rPr>
          <w:snapToGrid w:val="0"/>
          <w:kern w:val="18"/>
          <w:szCs w:val="18"/>
          <w:lang w:val="fr-CA"/>
        </w:rPr>
        <w:t xml:space="preserve">let nettoyage, l’application de procédures visant </w:t>
      </w:r>
      <w:r w:rsidRPr="002B78E5">
        <w:rPr>
          <w:snapToGrid w:val="0"/>
          <w:kern w:val="18"/>
          <w:szCs w:val="18"/>
          <w:lang w:val="fr-CA"/>
        </w:rPr>
        <w:t xml:space="preserve">à détruire les agents infectieux ou parasitaires responsables de maladies </w:t>
      </w:r>
      <w:r>
        <w:rPr>
          <w:snapToGrid w:val="0"/>
          <w:kern w:val="18"/>
          <w:szCs w:val="18"/>
          <w:lang w:val="fr-CA"/>
        </w:rPr>
        <w:t>animales, y compris de zoonoses</w:t>
      </w:r>
      <w:r w:rsidRPr="002B78E5">
        <w:rPr>
          <w:snapToGrid w:val="0"/>
          <w:kern w:val="18"/>
          <w:szCs w:val="18"/>
          <w:lang w:val="fr-CA"/>
        </w:rPr>
        <w:t>; elle s'applique aux locaux, véhicules et objets divers qui ont pu être, directement ou indirectement, contaminés (</w:t>
      </w:r>
      <w:hyperlink r:id="rId48" w:history="1">
        <w:r w:rsidRPr="002B78E5">
          <w:rPr>
            <w:rStyle w:val="Hyperlink"/>
            <w:snapToGrid w:val="0"/>
            <w:kern w:val="18"/>
            <w:szCs w:val="18"/>
            <w:lang w:val="fr-CA"/>
          </w:rPr>
          <w:t>Code sanitaire pour les animaux terrestres de l’OIE</w:t>
        </w:r>
      </w:hyperlink>
      <w:r w:rsidRPr="002B78E5">
        <w:rPr>
          <w:rStyle w:val="Hyperlink"/>
          <w:snapToGrid w:val="0"/>
          <w:color w:val="000000" w:themeColor="text1"/>
          <w:kern w:val="18"/>
          <w:szCs w:val="18"/>
          <w:lang w:val="fr-CA"/>
        </w:rPr>
        <w:t>).</w:t>
      </w:r>
    </w:p>
  </w:footnote>
  <w:footnote w:id="128">
    <w:p w:rsidR="00E62BFB" w:rsidRPr="00087256" w:rsidRDefault="00E62BFB" w:rsidP="009F6935">
      <w:pPr>
        <w:rPr>
          <w:sz w:val="18"/>
          <w:lang w:val="fr-FR"/>
        </w:rPr>
      </w:pPr>
      <w:r w:rsidRPr="00A23D0C">
        <w:rPr>
          <w:rStyle w:val="FootnoteReference"/>
          <w:sz w:val="20"/>
          <w:szCs w:val="20"/>
          <w:u w:val="none"/>
          <w:vertAlign w:val="superscript"/>
        </w:rPr>
        <w:footnoteRef/>
      </w:r>
      <w:r w:rsidRPr="00A23D0C">
        <w:rPr>
          <w:sz w:val="20"/>
          <w:szCs w:val="20"/>
          <w:vertAlign w:val="superscript"/>
          <w:lang w:val="fr-FR"/>
        </w:rPr>
        <w:t xml:space="preserve"> </w:t>
      </w:r>
      <w:r>
        <w:rPr>
          <w:sz w:val="18"/>
          <w:lang w:val="fr-FR"/>
        </w:rPr>
        <w:t xml:space="preserve"> Annexe III à </w:t>
      </w:r>
      <w:r w:rsidRPr="00A23D0C">
        <w:rPr>
          <w:sz w:val="18"/>
          <w:szCs w:val="18"/>
          <w:lang w:val="fr-FR"/>
        </w:rPr>
        <w:t xml:space="preserve">la </w:t>
      </w:r>
      <w:hyperlink r:id="rId49" w:history="1">
        <w:r w:rsidRPr="00A23D0C">
          <w:rPr>
            <w:rStyle w:val="Hyperlink"/>
            <w:sz w:val="18"/>
            <w:szCs w:val="18"/>
            <w:lang w:val="fr-FR"/>
          </w:rPr>
          <w:t>décision VIII/10</w:t>
        </w:r>
      </w:hyperlink>
      <w:r w:rsidRPr="00A23D0C">
        <w:rPr>
          <w:sz w:val="18"/>
          <w:szCs w:val="18"/>
          <w:lang w:val="fr-FR"/>
        </w:rPr>
        <w:t>.</w:t>
      </w:r>
    </w:p>
    <w:p w:rsidR="00E62BFB" w:rsidRPr="00F85EC0" w:rsidRDefault="00E62BFB" w:rsidP="009F6935">
      <w:pPr>
        <w:pStyle w:val="FootnoteText"/>
        <w:rPr>
          <w:lang w:val="fr-FR"/>
        </w:rPr>
      </w:pPr>
    </w:p>
  </w:footnote>
  <w:footnote w:id="129">
    <w:p w:rsidR="00E62BFB" w:rsidRPr="00342C29" w:rsidRDefault="00E62BFB" w:rsidP="009F6935">
      <w:pPr>
        <w:pStyle w:val="FootnoteText"/>
        <w:keepLines w:val="0"/>
        <w:kinsoku w:val="0"/>
        <w:overflowPunct w:val="0"/>
        <w:autoSpaceDE w:val="0"/>
        <w:autoSpaceDN w:val="0"/>
        <w:ind w:firstLine="0"/>
        <w:jc w:val="left"/>
        <w:rPr>
          <w:snapToGrid w:val="0"/>
          <w:kern w:val="18"/>
          <w:szCs w:val="18"/>
          <w:lang w:val="fr-FR"/>
        </w:rPr>
      </w:pPr>
      <w:r w:rsidRPr="00A23D0C">
        <w:rPr>
          <w:rStyle w:val="FootnoteReference"/>
          <w:snapToGrid w:val="0"/>
          <w:kern w:val="18"/>
          <w:sz w:val="20"/>
          <w:szCs w:val="20"/>
          <w:u w:val="none"/>
          <w:vertAlign w:val="superscript"/>
        </w:rPr>
        <w:footnoteRef/>
      </w:r>
      <w:r w:rsidRPr="00A23D0C">
        <w:rPr>
          <w:snapToGrid w:val="0"/>
          <w:kern w:val="18"/>
          <w:sz w:val="20"/>
          <w:szCs w:val="20"/>
          <w:vertAlign w:val="superscript"/>
          <w:lang w:val="fr-FR"/>
        </w:rPr>
        <w:t xml:space="preserve"> </w:t>
      </w:r>
      <w:r w:rsidRPr="00342C29">
        <w:rPr>
          <w:snapToGrid w:val="0"/>
          <w:kern w:val="18"/>
          <w:szCs w:val="18"/>
          <w:lang w:val="fr-FR" w:eastAsia="de-DE"/>
        </w:rPr>
        <w:t>CBD/SBSTTA/22/INF/21.</w:t>
      </w:r>
    </w:p>
  </w:footnote>
  <w:footnote w:id="130">
    <w:p w:rsidR="00E62BFB" w:rsidRPr="003E3EF4" w:rsidRDefault="00E62BFB" w:rsidP="009F6935">
      <w:pPr>
        <w:pStyle w:val="FootnoteText"/>
        <w:kinsoku w:val="0"/>
        <w:overflowPunct w:val="0"/>
        <w:autoSpaceDE w:val="0"/>
        <w:autoSpaceDN w:val="0"/>
        <w:adjustRightInd w:val="0"/>
        <w:snapToGrid w:val="0"/>
        <w:ind w:firstLine="0"/>
        <w:jc w:val="left"/>
        <w:rPr>
          <w:szCs w:val="18"/>
          <w:lang w:val="fr-FR"/>
        </w:rPr>
      </w:pPr>
      <w:r w:rsidRPr="00A23D0C">
        <w:rPr>
          <w:rStyle w:val="FootnoteReference"/>
          <w:sz w:val="20"/>
          <w:szCs w:val="20"/>
          <w:u w:val="none"/>
          <w:vertAlign w:val="superscript"/>
        </w:rPr>
        <w:footnoteRef/>
      </w:r>
      <w:r w:rsidRPr="00A23D0C">
        <w:rPr>
          <w:sz w:val="20"/>
          <w:szCs w:val="20"/>
          <w:vertAlign w:val="superscript"/>
          <w:lang w:val="fr-FR"/>
        </w:rPr>
        <w:t xml:space="preserve"> </w:t>
      </w:r>
      <w:r w:rsidRPr="003E3EF4">
        <w:rPr>
          <w:szCs w:val="18"/>
          <w:lang w:val="fr-FR"/>
        </w:rPr>
        <w:t>En attente de</w:t>
      </w:r>
      <w:r>
        <w:rPr>
          <w:szCs w:val="18"/>
          <w:lang w:val="fr-FR"/>
        </w:rPr>
        <w:t xml:space="preserve"> la</w:t>
      </w:r>
      <w:r w:rsidRPr="003E3EF4">
        <w:rPr>
          <w:szCs w:val="18"/>
          <w:lang w:val="fr-FR"/>
        </w:rPr>
        <w:t xml:space="preserve"> finalisation du projet de rapport complet </w:t>
      </w:r>
      <w:r w:rsidRPr="003E3EF4">
        <w:rPr>
          <w:kern w:val="22"/>
          <w:szCs w:val="18"/>
          <w:lang w:val="fr-FR"/>
        </w:rPr>
        <w:t>sur l'importance des pollinisateurs et de la pollinisation pour la conservation et l'utilisation durable de la biodiversité dans tous les écosystèmes au-delà du rôle qu'ils assurent dans l'agriculture et la production alimentaire, conformément au paragraphe 3 de la recommandation </w:t>
      </w:r>
      <w:r>
        <w:rPr>
          <w:kern w:val="22"/>
          <w:szCs w:val="18"/>
          <w:lang w:val="fr-FR"/>
        </w:rPr>
        <w:t>22/9</w:t>
      </w:r>
      <w:r w:rsidRPr="003E3EF4">
        <w:rPr>
          <w:kern w:val="22"/>
          <w:szCs w:val="18"/>
          <w:lang w:val="fr-FR"/>
        </w:rPr>
        <w:t xml:space="preserve"> de l'Organe subsidiaire chargé de fournir des avis scientifiques, techniques et technologiques.</w:t>
      </w:r>
    </w:p>
  </w:footnote>
  <w:footnote w:id="131">
    <w:p w:rsidR="00E62BFB" w:rsidRPr="00703AE6" w:rsidRDefault="00E62BFB" w:rsidP="009F6935">
      <w:pPr>
        <w:pStyle w:val="FootnoteText"/>
        <w:kinsoku w:val="0"/>
        <w:overflowPunct w:val="0"/>
        <w:autoSpaceDE w:val="0"/>
        <w:autoSpaceDN w:val="0"/>
        <w:adjustRightInd w:val="0"/>
        <w:snapToGrid w:val="0"/>
        <w:ind w:firstLine="0"/>
        <w:jc w:val="left"/>
        <w:rPr>
          <w:szCs w:val="18"/>
          <w:lang w:val="fr-FR"/>
        </w:rPr>
      </w:pPr>
      <w:r w:rsidRPr="00A23D0C">
        <w:rPr>
          <w:rStyle w:val="FootnoteReference"/>
          <w:sz w:val="20"/>
          <w:szCs w:val="20"/>
          <w:u w:val="none"/>
          <w:vertAlign w:val="superscript"/>
        </w:rPr>
        <w:footnoteRef/>
      </w:r>
      <w:r w:rsidRPr="00703AE6">
        <w:rPr>
          <w:szCs w:val="18"/>
          <w:lang w:val="fr-FR"/>
        </w:rPr>
        <w:t xml:space="preserve"> Lacunes recensées dans l'Élément 4 du Plan d'action 2018-2030 </w:t>
      </w:r>
      <w:r>
        <w:rPr>
          <w:szCs w:val="18"/>
          <w:lang w:val="fr-FR"/>
        </w:rPr>
        <w:t>présenté dans l'annexe</w:t>
      </w:r>
      <w:r w:rsidRPr="00703AE6">
        <w:rPr>
          <w:szCs w:val="18"/>
          <w:lang w:val="fr-FR"/>
        </w:rPr>
        <w:t> I.</w:t>
      </w:r>
    </w:p>
  </w:footnote>
  <w:footnote w:id="132">
    <w:p w:rsidR="00E62BFB" w:rsidRPr="00642C2E" w:rsidRDefault="00E62BFB" w:rsidP="009F6935">
      <w:pPr>
        <w:pStyle w:val="FootnoteText"/>
        <w:spacing w:before="40" w:after="40"/>
        <w:ind w:firstLine="0"/>
        <w:rPr>
          <w:noProof/>
          <w:szCs w:val="18"/>
          <w:lang w:val="en-US"/>
        </w:rPr>
      </w:pPr>
      <w:r w:rsidRPr="00A23D0C">
        <w:rPr>
          <w:rStyle w:val="FootnoteReference"/>
          <w:noProof/>
          <w:sz w:val="20"/>
          <w:szCs w:val="20"/>
          <w:u w:val="none"/>
          <w:vertAlign w:val="superscript"/>
          <w:lang w:val="fr-FR"/>
        </w:rPr>
        <w:footnoteRef/>
      </w:r>
      <w:r w:rsidRPr="00342C29">
        <w:rPr>
          <w:noProof/>
          <w:szCs w:val="18"/>
          <w:lang w:val="en-US"/>
        </w:rPr>
        <w:t xml:space="preserve"> </w:t>
      </w:r>
      <w:r w:rsidRPr="00342C29">
        <w:rPr>
          <w:noProof/>
          <w:szCs w:val="18"/>
          <w:lang w:val="en-US" w:eastAsia="de-DE"/>
        </w:rPr>
        <w:t xml:space="preserve">IPBES (2016). </w:t>
      </w:r>
      <w:hyperlink r:id="rId50" w:history="1">
        <w:r w:rsidRPr="00DB0EB2">
          <w:rPr>
            <w:rStyle w:val="Hyperlink"/>
            <w:i/>
            <w:iCs/>
            <w:snapToGrid w:val="0"/>
            <w:kern w:val="18"/>
            <w:szCs w:val="18"/>
            <w:lang w:eastAsia="de-DE"/>
          </w:rPr>
          <w:t>A</w:t>
        </w:r>
        <w:r w:rsidRPr="00DB0EB2">
          <w:rPr>
            <w:rStyle w:val="Hyperlink"/>
            <w:i/>
            <w:iCs/>
            <w:snapToGrid w:val="0"/>
            <w:kern w:val="18"/>
            <w:szCs w:val="18"/>
          </w:rPr>
          <w:t>ssessment Report on Pollinators, Pollination and Food Production</w:t>
        </w:r>
      </w:hyperlink>
      <w:r w:rsidRPr="00DB0EB2">
        <w:rPr>
          <w:rStyle w:val="Hyperlink"/>
          <w:snapToGrid w:val="0"/>
          <w:kern w:val="18"/>
          <w:szCs w:val="18"/>
        </w:rPr>
        <w:t>.</w:t>
      </w:r>
    </w:p>
  </w:footnote>
  <w:footnote w:id="133">
    <w:p w:rsidR="00E62BFB" w:rsidRPr="00BF3EB5" w:rsidRDefault="00E62BFB" w:rsidP="009F6935">
      <w:pPr>
        <w:pStyle w:val="FootnoteText"/>
        <w:spacing w:before="40" w:after="40"/>
        <w:ind w:firstLine="0"/>
        <w:rPr>
          <w:szCs w:val="18"/>
          <w:lang w:val="fr-FR"/>
        </w:rPr>
      </w:pPr>
      <w:r w:rsidRPr="00A23D0C">
        <w:rPr>
          <w:rStyle w:val="FootnoteReference"/>
          <w:sz w:val="20"/>
          <w:szCs w:val="20"/>
          <w:u w:val="none"/>
          <w:vertAlign w:val="superscript"/>
          <w:lang w:val="fr-FR"/>
        </w:rPr>
        <w:footnoteRef/>
      </w:r>
      <w:r w:rsidRPr="00A23D0C">
        <w:rPr>
          <w:sz w:val="20"/>
          <w:szCs w:val="20"/>
          <w:vertAlign w:val="superscript"/>
          <w:lang w:val="fr-FR"/>
        </w:rPr>
        <w:t xml:space="preserve"> </w:t>
      </w:r>
      <w:r w:rsidRPr="00BF3EB5">
        <w:rPr>
          <w:szCs w:val="18"/>
          <w:lang w:val="fr-FR" w:eastAsia="de-DE"/>
        </w:rPr>
        <w:t>Ibid.</w:t>
      </w:r>
    </w:p>
  </w:footnote>
  <w:footnote w:id="134">
    <w:p w:rsidR="00E62BFB" w:rsidRPr="00BF3EB5" w:rsidRDefault="00E62BFB" w:rsidP="009F6935">
      <w:pPr>
        <w:pStyle w:val="FootnoteText"/>
        <w:spacing w:before="40" w:after="40"/>
        <w:ind w:firstLine="0"/>
        <w:rPr>
          <w:szCs w:val="18"/>
          <w:lang w:val="fr-FR"/>
        </w:rPr>
      </w:pPr>
      <w:r w:rsidRPr="00A23D0C">
        <w:rPr>
          <w:rStyle w:val="FootnoteReference"/>
          <w:sz w:val="20"/>
          <w:szCs w:val="20"/>
          <w:u w:val="none"/>
          <w:vertAlign w:val="superscript"/>
          <w:lang w:val="fr-FR"/>
        </w:rPr>
        <w:footnoteRef/>
      </w:r>
      <w:r w:rsidRPr="00A23D0C">
        <w:rPr>
          <w:sz w:val="20"/>
          <w:szCs w:val="20"/>
          <w:vertAlign w:val="superscript"/>
          <w:lang w:val="fr-FR"/>
        </w:rPr>
        <w:t xml:space="preserve"> </w:t>
      </w:r>
      <w:r>
        <w:rPr>
          <w:szCs w:val="18"/>
          <w:lang w:val="fr-FR"/>
        </w:rPr>
        <w:t>Décision </w:t>
      </w:r>
      <w:r w:rsidRPr="00BF3EB5">
        <w:rPr>
          <w:szCs w:val="18"/>
          <w:lang w:val="fr-FR"/>
        </w:rPr>
        <w:t>V</w:t>
      </w:r>
      <w:r>
        <w:rPr>
          <w:szCs w:val="18"/>
          <w:lang w:val="fr-FR"/>
        </w:rPr>
        <w:t>I</w:t>
      </w:r>
      <w:r w:rsidRPr="00BF3EB5">
        <w:rPr>
          <w:szCs w:val="18"/>
          <w:lang w:val="fr-FR"/>
        </w:rPr>
        <w:t xml:space="preserve">/5 </w:t>
      </w:r>
      <w:r>
        <w:rPr>
          <w:szCs w:val="18"/>
          <w:lang w:val="fr-FR"/>
        </w:rPr>
        <w:t xml:space="preserve">sur la </w:t>
      </w:r>
      <w:r>
        <w:rPr>
          <w:color w:val="333333"/>
          <w:szCs w:val="18"/>
          <w:shd w:val="clear" w:color="auto" w:fill="FFFFFF"/>
          <w:lang w:val="fr-FR"/>
        </w:rPr>
        <w:t>d</w:t>
      </w:r>
      <w:r w:rsidRPr="00BF3EB5">
        <w:rPr>
          <w:color w:val="333333"/>
          <w:szCs w:val="18"/>
          <w:shd w:val="clear" w:color="auto" w:fill="FFFFFF"/>
          <w:lang w:val="fr-FR"/>
        </w:rPr>
        <w:t>iversité biologique agricole</w:t>
      </w:r>
      <w:r w:rsidRPr="00DC1B0E">
        <w:rPr>
          <w:szCs w:val="18"/>
          <w:shd w:val="clear" w:color="auto" w:fill="FFFFFF"/>
          <w:lang w:val="fr-FR"/>
        </w:rPr>
        <w:t>, annexe II.</w:t>
      </w:r>
    </w:p>
  </w:footnote>
  <w:footnote w:id="135">
    <w:p w:rsidR="00E62BFB" w:rsidRPr="00BF3EB5" w:rsidRDefault="00E62BFB" w:rsidP="009F6935">
      <w:pPr>
        <w:pStyle w:val="FootnoteText"/>
        <w:ind w:firstLine="0"/>
        <w:rPr>
          <w:lang w:val="fr-FR"/>
        </w:rPr>
      </w:pPr>
      <w:r w:rsidRPr="00A23D0C">
        <w:rPr>
          <w:rStyle w:val="FootnoteReference"/>
          <w:sz w:val="20"/>
          <w:szCs w:val="20"/>
          <w:u w:val="none"/>
          <w:vertAlign w:val="superscript"/>
          <w:lang w:val="fr-FR"/>
        </w:rPr>
        <w:footnoteRef/>
      </w:r>
      <w:r w:rsidRPr="00BF3EB5">
        <w:rPr>
          <w:lang w:val="fr-FR"/>
        </w:rPr>
        <w:t xml:space="preserve"> </w:t>
      </w:r>
      <w:r w:rsidRPr="00BF3EB5">
        <w:rPr>
          <w:szCs w:val="18"/>
          <w:lang w:val="fr-FR"/>
        </w:rPr>
        <w:t>Habitats des pollinisateurs</w:t>
      </w:r>
      <w:r>
        <w:rPr>
          <w:szCs w:val="18"/>
          <w:lang w:val="fr-FR"/>
        </w:rPr>
        <w:t> : les zones qui offrent du fourrage, des sites de nidification et d’autres conditions favorables à l’ensemble du cycle de vie des différentes espèces de pollinisateurs.</w:t>
      </w:r>
    </w:p>
  </w:footnote>
  <w:footnote w:id="136">
    <w:p w:rsidR="00E62BFB" w:rsidRPr="007A1B00" w:rsidRDefault="00E62BFB" w:rsidP="009F6935">
      <w:pPr>
        <w:pStyle w:val="FootnoteText"/>
        <w:kinsoku w:val="0"/>
        <w:overflowPunct w:val="0"/>
        <w:autoSpaceDE w:val="0"/>
        <w:autoSpaceDN w:val="0"/>
        <w:adjustRightInd w:val="0"/>
        <w:snapToGrid w:val="0"/>
        <w:ind w:firstLine="0"/>
        <w:rPr>
          <w:snapToGrid w:val="0"/>
          <w:kern w:val="18"/>
          <w:szCs w:val="18"/>
          <w:lang w:val="fr-CA"/>
        </w:rPr>
      </w:pPr>
      <w:r w:rsidRPr="00A23D0C">
        <w:rPr>
          <w:rStyle w:val="FootnoteReference"/>
          <w:snapToGrid w:val="0"/>
          <w:kern w:val="18"/>
          <w:sz w:val="20"/>
          <w:szCs w:val="20"/>
          <w:u w:val="none"/>
          <w:vertAlign w:val="superscript"/>
          <w:lang w:val="fr-CA"/>
        </w:rPr>
        <w:footnoteRef/>
      </w:r>
      <w:r w:rsidRPr="007A1B00">
        <w:rPr>
          <w:snapToGrid w:val="0"/>
          <w:kern w:val="18"/>
          <w:szCs w:val="18"/>
          <w:lang w:val="fr-CA"/>
        </w:rPr>
        <w:t xml:space="preserve"> </w:t>
      </w:r>
      <w:r>
        <w:rPr>
          <w:snapToGrid w:val="0"/>
          <w:kern w:val="18"/>
          <w:szCs w:val="18"/>
          <w:lang w:val="fr-CA"/>
        </w:rPr>
        <w:t>Prenant note de la publication du Groupe de travail sur les pesticides systémiques de la CEM/CSE de l’UICN intitulée  « Mise à jour de l’évaluation mondiale intégrée sur les pesticides systémiques ».</w:t>
      </w:r>
    </w:p>
  </w:footnote>
  <w:footnote w:id="137">
    <w:p w:rsidR="00E62BFB" w:rsidRPr="00595E8F" w:rsidRDefault="00E62BFB" w:rsidP="009F6935">
      <w:pPr>
        <w:pStyle w:val="FootnoteText"/>
        <w:spacing w:before="40" w:after="40"/>
        <w:ind w:firstLine="0"/>
        <w:jc w:val="left"/>
        <w:rPr>
          <w:szCs w:val="18"/>
          <w:lang w:val="fr-FR"/>
        </w:rPr>
      </w:pPr>
      <w:r w:rsidRPr="00C61E45">
        <w:rPr>
          <w:rStyle w:val="FootnoteReference"/>
          <w:sz w:val="20"/>
          <w:szCs w:val="20"/>
          <w:u w:val="none"/>
          <w:vertAlign w:val="superscript"/>
          <w:lang w:val="fr-FR"/>
        </w:rPr>
        <w:footnoteRef/>
      </w:r>
      <w:r w:rsidRPr="00C61E45">
        <w:rPr>
          <w:sz w:val="20"/>
          <w:szCs w:val="20"/>
          <w:vertAlign w:val="superscript"/>
          <w:lang w:val="fr-FR"/>
        </w:rPr>
        <w:t xml:space="preserve"> </w:t>
      </w:r>
      <w:r w:rsidRPr="00595E8F">
        <w:rPr>
          <w:szCs w:val="18"/>
          <w:lang w:val="fr-FR"/>
        </w:rPr>
        <w:t xml:space="preserve">Voir la </w:t>
      </w:r>
      <w:hyperlink r:id="rId51" w:history="1">
        <w:r w:rsidRPr="00933C04">
          <w:rPr>
            <w:rStyle w:val="Hyperlink"/>
            <w:szCs w:val="18"/>
            <w:lang w:val="fr-FR"/>
          </w:rPr>
          <w:t>résolution 72/238</w:t>
        </w:r>
      </w:hyperlink>
      <w:r w:rsidRPr="00595E8F">
        <w:rPr>
          <w:szCs w:val="18"/>
          <w:lang w:val="fr-FR"/>
        </w:rPr>
        <w:t xml:space="preserve"> du 20 décembre 2017 de l’Assemblée générale sur le développement agricole</w:t>
      </w:r>
      <w:r>
        <w:rPr>
          <w:szCs w:val="18"/>
          <w:lang w:val="fr-FR"/>
        </w:rPr>
        <w:t>, la sécurité alimentaire et la nutrition.</w:t>
      </w:r>
    </w:p>
  </w:footnote>
  <w:footnote w:id="138">
    <w:p w:rsidR="00E62BFB" w:rsidRPr="00595E8F" w:rsidRDefault="00E62BFB" w:rsidP="009F6935">
      <w:pPr>
        <w:pStyle w:val="FootnoteText"/>
        <w:spacing w:before="40" w:after="40"/>
        <w:ind w:firstLine="0"/>
        <w:rPr>
          <w:szCs w:val="18"/>
          <w:lang w:val="fr-FR"/>
        </w:rPr>
      </w:pPr>
      <w:r w:rsidRPr="00C61E45">
        <w:rPr>
          <w:rStyle w:val="FootnoteReference"/>
          <w:sz w:val="20"/>
          <w:szCs w:val="20"/>
          <w:u w:val="none"/>
          <w:vertAlign w:val="superscript"/>
          <w:lang w:val="fr-FR"/>
        </w:rPr>
        <w:footnoteRef/>
      </w:r>
      <w:r w:rsidRPr="00595E8F">
        <w:rPr>
          <w:szCs w:val="18"/>
          <w:lang w:val="fr-FR"/>
        </w:rPr>
        <w:t xml:space="preserve"> </w:t>
      </w:r>
      <w:r>
        <w:rPr>
          <w:szCs w:val="18"/>
          <w:lang w:val="fr-FR"/>
        </w:rPr>
        <w:t>Par exemple une conférence régulière pour l’initiative, éventuellement liée à la Fédération internationale des associations apicoles, APIMONDIA</w:t>
      </w:r>
      <w:r w:rsidRPr="00933C04">
        <w:rPr>
          <w:szCs w:val="18"/>
          <w:lang w:val="fr-FR"/>
        </w:rPr>
        <w:t xml:space="preserve"> </w:t>
      </w:r>
      <w:hyperlink r:id="rId52" w:history="1">
        <w:r w:rsidRPr="00933C04">
          <w:rPr>
            <w:rStyle w:val="Hyperlink"/>
            <w:szCs w:val="18"/>
            <w:lang w:val="fr-FR"/>
          </w:rPr>
          <w:t>http://www.apimondia.com/fr</w:t>
        </w:r>
      </w:hyperlink>
    </w:p>
  </w:footnote>
  <w:footnote w:id="139">
    <w:p w:rsidR="00E62BFB" w:rsidRPr="00791C68" w:rsidRDefault="00E62BFB" w:rsidP="009F6935">
      <w:pPr>
        <w:pStyle w:val="FootnoteText"/>
        <w:ind w:firstLine="0"/>
        <w:rPr>
          <w:lang w:val="fr-FR"/>
        </w:rPr>
      </w:pPr>
      <w:r w:rsidRPr="00C61E45">
        <w:rPr>
          <w:rStyle w:val="FootnoteReference"/>
          <w:sz w:val="20"/>
          <w:szCs w:val="20"/>
          <w:u w:val="none"/>
          <w:vertAlign w:val="superscript"/>
        </w:rPr>
        <w:footnoteRef/>
      </w:r>
      <w:r w:rsidRPr="00791C68">
        <w:rPr>
          <w:lang w:val="fr-FR"/>
        </w:rPr>
        <w:t xml:space="preserve"> </w:t>
      </w:r>
      <w:r w:rsidRPr="00791C68">
        <w:rPr>
          <w:i/>
          <w:kern w:val="22"/>
          <w:szCs w:val="18"/>
          <w:lang w:val="fr-FR"/>
        </w:rPr>
        <w:t>L’intérêt que présentent les pollinisateurs et la pollinisation pour la conservation et l’utilisation durable de la biodiversité</w:t>
      </w:r>
      <w:r>
        <w:rPr>
          <w:i/>
          <w:kern w:val="22"/>
          <w:szCs w:val="18"/>
          <w:lang w:val="fr-FR"/>
        </w:rPr>
        <w:t xml:space="preserve"> dans tous les écosystè</w:t>
      </w:r>
      <w:r w:rsidRPr="00791C68">
        <w:rPr>
          <w:i/>
          <w:kern w:val="22"/>
          <w:szCs w:val="18"/>
          <w:lang w:val="fr-FR"/>
        </w:rPr>
        <w:t>m</w:t>
      </w:r>
      <w:r>
        <w:rPr>
          <w:i/>
          <w:kern w:val="22"/>
          <w:szCs w:val="18"/>
          <w:lang w:val="fr-FR"/>
        </w:rPr>
        <w:t>e</w:t>
      </w:r>
      <w:r w:rsidRPr="00791C68">
        <w:rPr>
          <w:i/>
          <w:kern w:val="22"/>
          <w:szCs w:val="18"/>
          <w:lang w:val="fr-FR"/>
        </w:rPr>
        <w:t>s</w:t>
      </w:r>
      <w:r>
        <w:rPr>
          <w:i/>
          <w:kern w:val="22"/>
          <w:szCs w:val="18"/>
          <w:lang w:val="fr-FR"/>
        </w:rPr>
        <w:t xml:space="preserve">, par-delà leur rôle dans l’agriculture et la </w:t>
      </w:r>
      <w:r w:rsidRPr="00791C68">
        <w:rPr>
          <w:i/>
          <w:kern w:val="22"/>
          <w:szCs w:val="18"/>
          <w:lang w:val="fr-FR"/>
        </w:rPr>
        <w:t>production</w:t>
      </w:r>
      <w:r>
        <w:rPr>
          <w:i/>
          <w:kern w:val="22"/>
          <w:szCs w:val="18"/>
          <w:lang w:val="fr-FR"/>
        </w:rPr>
        <w:t xml:space="preserve"> alimentaire</w:t>
      </w:r>
      <w:r w:rsidRPr="00791C68">
        <w:rPr>
          <w:kern w:val="22"/>
          <w:szCs w:val="18"/>
          <w:lang w:val="fr-FR"/>
        </w:rPr>
        <w:t xml:space="preserve">, </w:t>
      </w:r>
      <w:r>
        <w:rPr>
          <w:lang w:val="fr-FR"/>
        </w:rPr>
        <w:t>basé sur le document</w:t>
      </w:r>
      <w:r w:rsidRPr="00791C68">
        <w:rPr>
          <w:spacing w:val="-2"/>
          <w:kern w:val="22"/>
          <w:szCs w:val="22"/>
          <w:lang w:val="fr-FR" w:eastAsia="de-DE"/>
        </w:rPr>
        <w:t xml:space="preserve"> CBD/SBSTTA/22/INF/21</w:t>
      </w:r>
      <w:r w:rsidRPr="00791C68">
        <w:rPr>
          <w:kern w:val="22"/>
          <w:szCs w:val="18"/>
          <w:lang w:val="fr-FR"/>
        </w:rPr>
        <w:t xml:space="preserve"> </w:t>
      </w:r>
      <w:r>
        <w:rPr>
          <w:kern w:val="22"/>
          <w:szCs w:val="18"/>
          <w:lang w:val="fr-FR"/>
        </w:rPr>
        <w:t xml:space="preserve">qui sera parachevé conformément au </w:t>
      </w:r>
      <w:r w:rsidRPr="00791C68">
        <w:rPr>
          <w:kern w:val="22"/>
          <w:szCs w:val="18"/>
          <w:lang w:val="fr-FR"/>
        </w:rPr>
        <w:t>paragraph</w:t>
      </w:r>
      <w:r>
        <w:rPr>
          <w:kern w:val="22"/>
          <w:szCs w:val="18"/>
          <w:lang w:val="fr-FR"/>
        </w:rPr>
        <w:t>e 3 de la recomman</w:t>
      </w:r>
      <w:r w:rsidRPr="00791C68">
        <w:rPr>
          <w:kern w:val="22"/>
          <w:szCs w:val="18"/>
          <w:lang w:val="fr-FR"/>
        </w:rPr>
        <w:t>dation 22/</w:t>
      </w:r>
      <w:r>
        <w:rPr>
          <w:kern w:val="22"/>
          <w:szCs w:val="18"/>
          <w:lang w:val="fr-FR"/>
        </w:rPr>
        <w:t>9 de l’Organe subsidiaire chargé de fournir des avis scientifiques, techniques et technologiques</w:t>
      </w:r>
      <w:r w:rsidRPr="00791C68">
        <w:rPr>
          <w:lang w:val="fr-FR" w:eastAsia="de-DE"/>
        </w:rPr>
        <w:t>.</w:t>
      </w:r>
    </w:p>
  </w:footnote>
  <w:footnote w:id="140">
    <w:p w:rsidR="00E62BFB" w:rsidRPr="00CA6BA5" w:rsidRDefault="00E62BFB" w:rsidP="009F6935">
      <w:pPr>
        <w:pStyle w:val="Para1"/>
        <w:numPr>
          <w:ilvl w:val="0"/>
          <w:numId w:val="0"/>
        </w:numPr>
        <w:rPr>
          <w:lang w:val="fr-FR" w:eastAsia="de-DE"/>
        </w:rPr>
      </w:pPr>
      <w:r w:rsidRPr="00C61E45">
        <w:rPr>
          <w:rStyle w:val="FootnoteReference"/>
          <w:sz w:val="20"/>
          <w:szCs w:val="20"/>
          <w:u w:val="none"/>
          <w:vertAlign w:val="superscript"/>
        </w:rPr>
        <w:footnoteRef/>
      </w:r>
      <w:r w:rsidRPr="00C61E45">
        <w:rPr>
          <w:sz w:val="20"/>
          <w:szCs w:val="20"/>
          <w:vertAlign w:val="superscript"/>
          <w:lang w:val="fr-FR"/>
        </w:rPr>
        <w:t xml:space="preserve"> </w:t>
      </w:r>
      <w:r w:rsidRPr="00CA6BA5">
        <w:rPr>
          <w:sz w:val="18"/>
          <w:lang w:val="fr-FR"/>
        </w:rPr>
        <w:t>Les principaux auteurs du rapport sont l</w:t>
      </w:r>
      <w:r>
        <w:rPr>
          <w:sz w:val="18"/>
          <w:lang w:val="fr-FR"/>
        </w:rPr>
        <w:t>es suivants :</w:t>
      </w:r>
      <w:r w:rsidRPr="00CA6BA5">
        <w:rPr>
          <w:sz w:val="18"/>
          <w:lang w:val="fr-FR" w:eastAsia="de-DE"/>
        </w:rPr>
        <w:t xml:space="preserve"> </w:t>
      </w:r>
      <w:r w:rsidRPr="00CA6BA5">
        <w:rPr>
          <w:noProof/>
          <w:sz w:val="18"/>
          <w:lang w:val="fr-FR" w:eastAsia="de-DE"/>
        </w:rPr>
        <w:t>Marcelo Aizen, Pathiba Basu, Damayanti Buchori, Lynn Dicks, Vera Lucia Imperatriz Fonseca, Leonardo Galetto, Lucas Garibaldi, Brad Howlett, Stephen Johnson, Monica Kobayashi, Michael Lattorff, Phil Lyver, Hien Ngo, Simon Potts, Deepa Senapathi, Colleen Seymour and Adam Vanbergen</w:t>
      </w:r>
      <w:r>
        <w:rPr>
          <w:noProof/>
          <w:sz w:val="18"/>
          <w:lang w:val="fr-FR" w:eastAsia="de-DE"/>
        </w:rPr>
        <w:t xml:space="preserve">. </w:t>
      </w:r>
      <w:r w:rsidRPr="000B4D24">
        <w:rPr>
          <w:noProof/>
          <w:sz w:val="18"/>
          <w:lang w:val="fr-FR" w:eastAsia="de-DE"/>
        </w:rPr>
        <w:t>Le rapport a été édité par</w:t>
      </w:r>
      <w:r>
        <w:rPr>
          <w:noProof/>
          <w:sz w:val="18"/>
          <w:lang w:val="fr-FR" w:eastAsia="de-DE"/>
        </w:rPr>
        <w:t xml:space="preserve"> Barbara Gemmill-Herren et</w:t>
      </w:r>
      <w:r w:rsidRPr="000B4D24">
        <w:rPr>
          <w:noProof/>
          <w:sz w:val="18"/>
          <w:lang w:val="fr-FR" w:eastAsia="de-DE"/>
        </w:rPr>
        <w:t xml:space="preserve"> Monica Kobayashi</w:t>
      </w:r>
      <w:r w:rsidRPr="000B4D24">
        <w:rPr>
          <w:lang w:val="fr-FR" w:eastAsia="de-DE"/>
        </w:rPr>
        <w:t xml:space="preserve">. </w:t>
      </w:r>
      <w:r>
        <w:rPr>
          <w:sz w:val="18"/>
          <w:lang w:val="fr-FR"/>
        </w:rPr>
        <w:t>Un atelier tenu du 27 au 29 novembre</w:t>
      </w:r>
      <w:r w:rsidRPr="00CA6BA5">
        <w:rPr>
          <w:sz w:val="18"/>
          <w:lang w:val="fr-FR"/>
        </w:rPr>
        <w:t xml:space="preserve"> 2017 </w:t>
      </w:r>
      <w:r>
        <w:rPr>
          <w:sz w:val="18"/>
          <w:lang w:val="fr-FR"/>
        </w:rPr>
        <w:t>en collaboration avec l’IPBES, l’Université de Reading et la Convention sur la diversité biologique a réuni des experts régionaux en matière de pollinisateurs pour examiner et évaluer le rôle des pollinisateurs et des services de pollinisation dans le soutien des écosystèmes au-delà des systèmes agricoles et des services écosystémique au-delà de la production alimentaire</w:t>
      </w:r>
      <w:r w:rsidRPr="00CA6BA5">
        <w:rPr>
          <w:sz w:val="18"/>
          <w:lang w:val="fr-FR"/>
        </w:rPr>
        <w:t xml:space="preserve">. </w:t>
      </w:r>
    </w:p>
  </w:footnote>
  <w:footnote w:id="141">
    <w:p w:rsidR="00E62BFB" w:rsidRPr="007A1B00" w:rsidRDefault="00E62BFB" w:rsidP="009F6935">
      <w:pPr>
        <w:pStyle w:val="FootnoteText"/>
        <w:tabs>
          <w:tab w:val="right" w:pos="9462"/>
        </w:tabs>
        <w:kinsoku w:val="0"/>
        <w:overflowPunct w:val="0"/>
        <w:autoSpaceDE w:val="0"/>
        <w:autoSpaceDN w:val="0"/>
        <w:adjustRightInd w:val="0"/>
        <w:snapToGrid w:val="0"/>
        <w:ind w:firstLine="0"/>
        <w:jc w:val="left"/>
        <w:rPr>
          <w:snapToGrid w:val="0"/>
          <w:kern w:val="18"/>
          <w:szCs w:val="18"/>
          <w:lang w:val="fr-CA"/>
        </w:rPr>
      </w:pPr>
      <w:r w:rsidRPr="00C61E45">
        <w:rPr>
          <w:rStyle w:val="FootnoteReference"/>
          <w:snapToGrid w:val="0"/>
          <w:kern w:val="18"/>
          <w:sz w:val="20"/>
          <w:szCs w:val="20"/>
          <w:u w:val="none"/>
          <w:vertAlign w:val="superscript"/>
          <w:lang w:val="fr-CA"/>
        </w:rPr>
        <w:footnoteRef/>
      </w:r>
      <w:r>
        <w:rPr>
          <w:snapToGrid w:val="0"/>
          <w:kern w:val="18"/>
          <w:szCs w:val="18"/>
          <w:lang w:val="fr-CA"/>
        </w:rPr>
        <w:t xml:space="preserve"> Données officielles :</w:t>
      </w:r>
      <w:r w:rsidRPr="007A1B00">
        <w:rPr>
          <w:snapToGrid w:val="0"/>
          <w:kern w:val="18"/>
          <w:szCs w:val="18"/>
          <w:lang w:val="fr-CA"/>
        </w:rPr>
        <w:t xml:space="preserve"> </w:t>
      </w:r>
      <w:hyperlink r:id="rId53" w:history="1">
        <w:r w:rsidRPr="007A1B00">
          <w:rPr>
            <w:rStyle w:val="Hyperlink"/>
            <w:snapToGrid w:val="0"/>
            <w:kern w:val="18"/>
            <w:szCs w:val="18"/>
            <w:lang w:val="fr-CA"/>
          </w:rPr>
          <w:t>http://www.mma.gov.br/biomas/mata-atl%C3%A2ntica_emdesenvolvimento</w:t>
        </w:r>
      </w:hyperlink>
    </w:p>
  </w:footnote>
  <w:footnote w:id="142">
    <w:p w:rsidR="00E62BFB" w:rsidRPr="008E5247" w:rsidRDefault="00E62BFB" w:rsidP="009F6935">
      <w:pPr>
        <w:pStyle w:val="FootnoteText"/>
        <w:keepLines w:val="0"/>
        <w:kinsoku w:val="0"/>
        <w:overflowPunct w:val="0"/>
        <w:autoSpaceDE w:val="0"/>
        <w:autoSpaceDN w:val="0"/>
        <w:ind w:firstLine="0"/>
        <w:jc w:val="left"/>
        <w:rPr>
          <w:snapToGrid w:val="0"/>
          <w:kern w:val="18"/>
          <w:szCs w:val="18"/>
          <w:lang w:val="fr-FR"/>
        </w:rPr>
      </w:pPr>
      <w:r w:rsidRPr="00C61E45">
        <w:rPr>
          <w:rStyle w:val="FootnoteReference"/>
          <w:snapToGrid w:val="0"/>
          <w:kern w:val="18"/>
          <w:sz w:val="20"/>
          <w:szCs w:val="20"/>
          <w:u w:val="none"/>
          <w:vertAlign w:val="superscript"/>
          <w:lang w:val="fr-FR"/>
        </w:rPr>
        <w:footnoteRef/>
      </w:r>
      <w:r w:rsidRPr="00C61E45">
        <w:rPr>
          <w:snapToGrid w:val="0"/>
          <w:kern w:val="18"/>
          <w:sz w:val="20"/>
          <w:szCs w:val="20"/>
          <w:vertAlign w:val="superscript"/>
          <w:lang w:val="fr-FR"/>
        </w:rPr>
        <w:t xml:space="preserve"> </w:t>
      </w:r>
      <w:r w:rsidRPr="008E5247">
        <w:rPr>
          <w:rFonts w:asciiTheme="majorBidi" w:hAnsiTheme="majorBidi" w:cstheme="majorBidi"/>
          <w:snapToGrid w:val="0"/>
          <w:kern w:val="18"/>
          <w:szCs w:val="18"/>
          <w:lang w:val="fr-FR"/>
        </w:rPr>
        <w:t xml:space="preserve">Ces cultures comprennent les suivantes: pomme de terre, tomate, poivron, cacao, fraise, </w:t>
      </w:r>
      <w:r w:rsidRPr="008E5247">
        <w:rPr>
          <w:rFonts w:asciiTheme="majorBidi" w:eastAsiaTheme="minorEastAsia" w:hAnsiTheme="majorBidi" w:cstheme="majorBidi"/>
          <w:snapToGrid w:val="0"/>
          <w:color w:val="000000" w:themeColor="text1"/>
          <w:kern w:val="18"/>
          <w:szCs w:val="18"/>
          <w:lang w:val="fr-FR"/>
        </w:rPr>
        <w:t>quinoa, amarante, avocat</w:t>
      </w:r>
      <w:r>
        <w:rPr>
          <w:rFonts w:asciiTheme="majorBidi" w:eastAsiaTheme="minorEastAsia" w:hAnsiTheme="majorBidi" w:cstheme="majorBidi"/>
          <w:snapToGrid w:val="0"/>
          <w:color w:val="000000" w:themeColor="text1"/>
          <w:kern w:val="18"/>
          <w:szCs w:val="18"/>
          <w:lang w:val="fr-FR"/>
        </w:rPr>
        <w:t>, patate douce</w:t>
      </w:r>
      <w:r>
        <w:rPr>
          <w:rFonts w:asciiTheme="majorBidi" w:eastAsiaTheme="minorEastAsia" w:hAnsiTheme="majorBidi" w:cstheme="majorBidi"/>
          <w:noProof/>
          <w:snapToGrid w:val="0"/>
          <w:color w:val="000000" w:themeColor="text1"/>
          <w:kern w:val="18"/>
          <w:szCs w:val="18"/>
          <w:lang w:val="fr-FR"/>
        </w:rPr>
        <w:t>, açaï,</w:t>
      </w:r>
      <w:r>
        <w:rPr>
          <w:rFonts w:asciiTheme="majorBidi" w:eastAsiaTheme="minorEastAsia" w:hAnsiTheme="majorBidi" w:cstheme="majorBidi"/>
          <w:snapToGrid w:val="0"/>
          <w:color w:val="000000" w:themeColor="text1"/>
          <w:kern w:val="18"/>
          <w:szCs w:val="18"/>
          <w:lang w:val="fr-FR"/>
        </w:rPr>
        <w:t xml:space="preserve"> palmite, noix du Brésil, guarana, fruit de la passion et </w:t>
      </w:r>
      <w:r w:rsidRPr="008E5247">
        <w:rPr>
          <w:rFonts w:asciiTheme="majorBidi" w:eastAsiaTheme="minorEastAsia" w:hAnsiTheme="majorBidi" w:cstheme="majorBidi"/>
          <w:snapToGrid w:val="0"/>
          <w:color w:val="000000" w:themeColor="text1"/>
          <w:kern w:val="18"/>
          <w:szCs w:val="18"/>
          <w:lang w:val="fr-FR"/>
        </w:rPr>
        <w:t>yucca.</w:t>
      </w:r>
    </w:p>
  </w:footnote>
  <w:footnote w:id="143">
    <w:p w:rsidR="00E62BFB" w:rsidRPr="00A521B3" w:rsidRDefault="00E62BFB" w:rsidP="009F6935">
      <w:pPr>
        <w:pStyle w:val="FootnoteText"/>
        <w:kinsoku w:val="0"/>
        <w:overflowPunct w:val="0"/>
        <w:autoSpaceDE w:val="0"/>
        <w:autoSpaceDN w:val="0"/>
        <w:adjustRightInd w:val="0"/>
        <w:snapToGrid w:val="0"/>
        <w:spacing w:after="0"/>
        <w:ind w:firstLine="0"/>
        <w:jc w:val="left"/>
        <w:rPr>
          <w:kern w:val="18"/>
          <w:szCs w:val="18"/>
          <w:lang w:val="fr-FR"/>
        </w:rPr>
      </w:pPr>
      <w:r w:rsidRPr="00C61E45">
        <w:rPr>
          <w:rStyle w:val="FootnoteReference"/>
          <w:kern w:val="18"/>
          <w:sz w:val="20"/>
          <w:szCs w:val="20"/>
          <w:u w:val="none"/>
          <w:vertAlign w:val="superscript"/>
        </w:rPr>
        <w:footnoteRef/>
      </w:r>
      <w:r w:rsidRPr="00C61E45">
        <w:rPr>
          <w:kern w:val="18"/>
          <w:sz w:val="20"/>
          <w:szCs w:val="20"/>
          <w:vertAlign w:val="superscript"/>
          <w:lang w:val="fr-FR"/>
        </w:rPr>
        <w:t xml:space="preserve"> </w:t>
      </w:r>
      <w:r>
        <w:rPr>
          <w:kern w:val="18"/>
          <w:szCs w:val="18"/>
          <w:lang w:val="fr-FR"/>
        </w:rPr>
        <w:t>Voir la résolution </w:t>
      </w:r>
      <w:hyperlink r:id="rId54" w:history="1">
        <w:r w:rsidRPr="009530B4">
          <w:rPr>
            <w:rStyle w:val="Hyperlink"/>
            <w:kern w:val="18"/>
            <w:szCs w:val="18"/>
            <w:lang w:val="fr-FR"/>
          </w:rPr>
          <w:t>70/1</w:t>
        </w:r>
      </w:hyperlink>
      <w:r>
        <w:rPr>
          <w:kern w:val="18"/>
          <w:szCs w:val="18"/>
          <w:lang w:val="fr-FR"/>
        </w:rPr>
        <w:t xml:space="preserve"> du 25 </w:t>
      </w:r>
      <w:r w:rsidRPr="00A521B3">
        <w:rPr>
          <w:kern w:val="18"/>
          <w:szCs w:val="18"/>
          <w:lang w:val="fr-FR"/>
        </w:rPr>
        <w:t>septembre</w:t>
      </w:r>
      <w:r>
        <w:rPr>
          <w:kern w:val="18"/>
          <w:szCs w:val="18"/>
          <w:lang w:val="fr-FR"/>
        </w:rPr>
        <w:t> </w:t>
      </w:r>
      <w:r w:rsidRPr="00A521B3">
        <w:rPr>
          <w:kern w:val="18"/>
          <w:szCs w:val="18"/>
          <w:lang w:val="fr-FR"/>
        </w:rPr>
        <w:t>2015 de l</w:t>
      </w:r>
      <w:r>
        <w:rPr>
          <w:kern w:val="18"/>
          <w:szCs w:val="18"/>
          <w:lang w:val="fr-FR"/>
        </w:rPr>
        <w:t>’</w:t>
      </w:r>
      <w:r w:rsidRPr="00A521B3">
        <w:rPr>
          <w:kern w:val="18"/>
          <w:szCs w:val="18"/>
          <w:lang w:val="fr-FR"/>
        </w:rPr>
        <w:t>Assemblée générale des Nations Unies.</w:t>
      </w:r>
    </w:p>
  </w:footnote>
  <w:footnote w:id="144">
    <w:p w:rsidR="00E62BFB" w:rsidRPr="00A521B3" w:rsidRDefault="00E62BFB" w:rsidP="009F6935">
      <w:pPr>
        <w:pStyle w:val="FootnoteText"/>
        <w:kinsoku w:val="0"/>
        <w:overflowPunct w:val="0"/>
        <w:autoSpaceDE w:val="0"/>
        <w:autoSpaceDN w:val="0"/>
        <w:adjustRightInd w:val="0"/>
        <w:snapToGrid w:val="0"/>
        <w:ind w:firstLine="0"/>
        <w:jc w:val="left"/>
        <w:rPr>
          <w:kern w:val="18"/>
          <w:szCs w:val="18"/>
          <w:lang w:val="fr-FR"/>
        </w:rPr>
      </w:pPr>
      <w:r w:rsidRPr="00C61E45">
        <w:rPr>
          <w:rStyle w:val="FootnoteReference"/>
          <w:kern w:val="18"/>
          <w:sz w:val="20"/>
          <w:szCs w:val="20"/>
          <w:u w:val="none"/>
          <w:vertAlign w:val="superscript"/>
        </w:rPr>
        <w:footnoteRef/>
      </w:r>
      <w:r w:rsidRPr="00A521B3">
        <w:rPr>
          <w:kern w:val="18"/>
          <w:szCs w:val="18"/>
          <w:lang w:val="fr-FR"/>
        </w:rPr>
        <w:t xml:space="preserve"> Organisation des Nations Unies, </w:t>
      </w:r>
      <w:r w:rsidRPr="00A521B3">
        <w:rPr>
          <w:i/>
          <w:iCs/>
          <w:kern w:val="18"/>
          <w:szCs w:val="18"/>
          <w:lang w:val="fr-FR"/>
        </w:rPr>
        <w:t>Recueil des traités</w:t>
      </w:r>
      <w:r w:rsidRPr="00A521B3">
        <w:rPr>
          <w:kern w:val="18"/>
          <w:szCs w:val="18"/>
          <w:lang w:val="fr-FR"/>
        </w:rPr>
        <w:t>, No. 54113.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fr-FR"/>
      </w:rPr>
      <w:alias w:val="Subject"/>
      <w:tag w:val=""/>
      <w:id w:val="1661889183"/>
      <w:placeholder>
        <w:docPart w:val="28C607B7D11C40DEB7D529F7AD1AB886"/>
      </w:placeholder>
      <w:dataBinding w:prefixMappings="xmlns:ns0='http://purl.org/dc/elements/1.1/' xmlns:ns1='http://schemas.openxmlformats.org/package/2006/metadata/core-properties' " w:xpath="/ns1:coreProperties[1]/ns0:subject[1]" w:storeItemID="{6C3C8BC8-F283-45AE-878A-BAB7291924A1}"/>
      <w:text/>
    </w:sdtPr>
    <w:sdtContent>
      <w:p w:rsidR="00E62BFB" w:rsidRPr="00CA2A30" w:rsidRDefault="00E62BFB">
        <w:pPr>
          <w:pStyle w:val="Header"/>
          <w:rPr>
            <w:lang w:val="fr-FR"/>
          </w:rPr>
        </w:pPr>
        <w:r>
          <w:rPr>
            <w:lang w:val="fr-FR"/>
          </w:rPr>
          <w:t>CBD/SBSTTA/22/12</w:t>
        </w:r>
      </w:p>
    </w:sdtContent>
  </w:sdt>
  <w:p w:rsidR="00E62BFB" w:rsidRPr="00FF376C" w:rsidRDefault="00E62BFB">
    <w:pPr>
      <w:pStyle w:val="Header"/>
      <w:rPr>
        <w:rStyle w:val="PageNumber"/>
      </w:rPr>
    </w:pPr>
    <w:r w:rsidRPr="00CA2A30">
      <w:rPr>
        <w:lang w:val="fr-FR"/>
      </w:rPr>
      <w:t xml:space="preserve">Page </w:t>
    </w:r>
    <w:r>
      <w:rPr>
        <w:rStyle w:val="PageNumber"/>
      </w:rPr>
      <w:fldChar w:fldCharType="begin"/>
    </w:r>
    <w:r w:rsidRPr="00CA2A30">
      <w:rPr>
        <w:rStyle w:val="PageNumber"/>
        <w:lang w:val="fr-FR"/>
      </w:rPr>
      <w:instrText xml:space="preserve"> PAGE </w:instrText>
    </w:r>
    <w:r>
      <w:rPr>
        <w:rStyle w:val="PageNumber"/>
      </w:rPr>
      <w:fldChar w:fldCharType="separate"/>
    </w:r>
    <w:r w:rsidR="00D52544">
      <w:rPr>
        <w:rStyle w:val="PageNumber"/>
        <w:noProof/>
        <w:lang w:val="fr-FR"/>
      </w:rPr>
      <w:t>54</w:t>
    </w:r>
    <w:r>
      <w:rPr>
        <w:rStyle w:val="PageNumber"/>
      </w:rPr>
      <w:fldChar w:fldCharType="end"/>
    </w:r>
  </w:p>
  <w:p w:rsidR="00E62BFB" w:rsidRPr="00CA2A30" w:rsidRDefault="00E62BFB">
    <w:pPr>
      <w:pStyle w:val="Header"/>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836200215"/>
      <w:placeholder>
        <w:docPart w:val="D01F3F052A3347138D79C9F83A933864"/>
      </w:placeholder>
      <w:dataBinding w:prefixMappings="xmlns:ns0='http://purl.org/dc/elements/1.1/' xmlns:ns1='http://schemas.openxmlformats.org/package/2006/metadata/core-properties' " w:xpath="/ns1:coreProperties[1]/ns0:subject[1]" w:storeItemID="{6C3C8BC8-F283-45AE-878A-BAB7291924A1}"/>
      <w:text/>
    </w:sdtPr>
    <w:sdtContent>
      <w:p w:rsidR="00E62BFB" w:rsidRPr="00D25B46" w:rsidRDefault="00E62BFB" w:rsidP="00E543AE">
        <w:pPr>
          <w:pStyle w:val="Header"/>
          <w:tabs>
            <w:tab w:val="clear" w:pos="4320"/>
          </w:tabs>
          <w:jc w:val="right"/>
          <w:rPr>
            <w:noProof/>
            <w:kern w:val="22"/>
          </w:rPr>
        </w:pPr>
        <w:r>
          <w:rPr>
            <w:noProof/>
            <w:kern w:val="22"/>
          </w:rPr>
          <w:t>CBD/SBSTTA/22/12</w:t>
        </w:r>
      </w:p>
    </w:sdtContent>
  </w:sdt>
  <w:p w:rsidR="00E62BFB" w:rsidRPr="00D25B46" w:rsidRDefault="00E62BFB" w:rsidP="00E543AE">
    <w:pPr>
      <w:pStyle w:val="Header"/>
      <w:tabs>
        <w:tab w:val="clear" w:pos="4320"/>
      </w:tabs>
      <w:jc w:val="right"/>
      <w:rPr>
        <w:rStyle w:val="PageNumber"/>
        <w:noProof/>
        <w:kern w:val="22"/>
      </w:rPr>
    </w:pPr>
    <w:r w:rsidRPr="00D25B46">
      <w:rPr>
        <w:noProof/>
        <w:kern w:val="22"/>
      </w:rPr>
      <w:t xml:space="preserve">Page </w:t>
    </w:r>
    <w:r w:rsidRPr="00D25B46">
      <w:rPr>
        <w:rStyle w:val="PageNumber"/>
        <w:noProof/>
        <w:kern w:val="22"/>
      </w:rPr>
      <w:fldChar w:fldCharType="begin"/>
    </w:r>
    <w:r w:rsidRPr="00D25B46">
      <w:rPr>
        <w:rStyle w:val="PageNumber"/>
        <w:noProof/>
        <w:kern w:val="22"/>
      </w:rPr>
      <w:instrText xml:space="preserve"> PAGE </w:instrText>
    </w:r>
    <w:r w:rsidRPr="00D25B46">
      <w:rPr>
        <w:rStyle w:val="PageNumber"/>
        <w:noProof/>
        <w:kern w:val="22"/>
      </w:rPr>
      <w:fldChar w:fldCharType="separate"/>
    </w:r>
    <w:r w:rsidR="00D52544">
      <w:rPr>
        <w:rStyle w:val="PageNumber"/>
        <w:noProof/>
        <w:kern w:val="22"/>
      </w:rPr>
      <w:t>53</w:t>
    </w:r>
    <w:r w:rsidRPr="00D25B46">
      <w:rPr>
        <w:rStyle w:val="PageNumber"/>
        <w:noProof/>
        <w:kern w:val="22"/>
      </w:rPr>
      <w:fldChar w:fldCharType="end"/>
    </w:r>
  </w:p>
  <w:p w:rsidR="00E62BFB" w:rsidRPr="00D25B46" w:rsidRDefault="00E62BFB"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A6A"/>
    <w:multiLevelType w:val="hybridMultilevel"/>
    <w:tmpl w:val="2766D73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A0E7F"/>
    <w:multiLevelType w:val="hybridMultilevel"/>
    <w:tmpl w:val="80BC0E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B729F"/>
    <w:multiLevelType w:val="hybridMultilevel"/>
    <w:tmpl w:val="2766F27E"/>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360934"/>
    <w:multiLevelType w:val="hybridMultilevel"/>
    <w:tmpl w:val="7B48FD80"/>
    <w:lvl w:ilvl="0" w:tplc="16505B2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42F1E"/>
    <w:multiLevelType w:val="hybridMultilevel"/>
    <w:tmpl w:val="091CBBE4"/>
    <w:lvl w:ilvl="0" w:tplc="418287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910917"/>
    <w:multiLevelType w:val="hybridMultilevel"/>
    <w:tmpl w:val="9A24F154"/>
    <w:lvl w:ilvl="0" w:tplc="EABE15F2">
      <w:start w:val="1"/>
      <w:numFmt w:val="decimal"/>
      <w:lvlText w:val="%1."/>
      <w:lvlJc w:val="left"/>
      <w:pPr>
        <w:ind w:left="720" w:hanging="360"/>
      </w:pPr>
      <w:rPr>
        <w:b w:val="0"/>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04E8D"/>
    <w:multiLevelType w:val="hybridMultilevel"/>
    <w:tmpl w:val="E9145434"/>
    <w:lvl w:ilvl="0" w:tplc="BC0809A6">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C3974"/>
    <w:multiLevelType w:val="hybridMultilevel"/>
    <w:tmpl w:val="E4D8E9F2"/>
    <w:lvl w:ilvl="0" w:tplc="0C0C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66F06"/>
    <w:multiLevelType w:val="hybridMultilevel"/>
    <w:tmpl w:val="25686D1C"/>
    <w:lvl w:ilvl="0" w:tplc="5B1CC5BC">
      <w:start w:val="1"/>
      <w:numFmt w:val="lowerLetter"/>
      <w:lvlText w:val="%1)"/>
      <w:lvlJc w:val="left"/>
      <w:pPr>
        <w:ind w:left="108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A07C4"/>
    <w:multiLevelType w:val="hybridMultilevel"/>
    <w:tmpl w:val="A95CAEEE"/>
    <w:lvl w:ilvl="0" w:tplc="C3727700">
      <w:start w:val="1"/>
      <w:numFmt w:val="upp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D3343A"/>
    <w:multiLevelType w:val="multilevel"/>
    <w:tmpl w:val="0D386316"/>
    <w:lvl w:ilvl="0">
      <w:start w:val="1"/>
      <w:numFmt w:val="lowerLetter"/>
      <w:lvlText w:val="%1)"/>
      <w:lvlJc w:val="left"/>
      <w:pPr>
        <w:tabs>
          <w:tab w:val="num" w:pos="786"/>
        </w:tabs>
        <w:ind w:left="786"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BAC3AE9"/>
    <w:multiLevelType w:val="hybridMultilevel"/>
    <w:tmpl w:val="3850B3E6"/>
    <w:lvl w:ilvl="0" w:tplc="228C987A">
      <w:start w:val="1"/>
      <w:numFmt w:val="lowerLetter"/>
      <w:lvlText w:val="%1)"/>
      <w:lvlJc w:val="left"/>
      <w:pPr>
        <w:ind w:left="720" w:hanging="360"/>
      </w:pPr>
      <w:rPr>
        <w:rFonts w:ascii="Times New Roman" w:eastAsia="Malgun Gothic" w:hAnsi="Times New Roman" w:cs="Times New Roman"/>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454B5"/>
    <w:multiLevelType w:val="hybridMultilevel"/>
    <w:tmpl w:val="F5100742"/>
    <w:lvl w:ilvl="0" w:tplc="DD500A12">
      <w:start w:val="1"/>
      <w:numFmt w:val="lowerLetter"/>
      <w:lvlText w:val="%1)"/>
      <w:lvlJc w:val="left"/>
      <w:pPr>
        <w:ind w:left="720" w:hanging="360"/>
      </w:pPr>
      <w:rPr>
        <w:rFonts w:ascii="Times New Roman" w:eastAsia="Times New Roman" w:hAnsi="Times New Roman" w:cs="Times New Roman"/>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DBC67C4"/>
    <w:multiLevelType w:val="hybridMultilevel"/>
    <w:tmpl w:val="7224291C"/>
    <w:lvl w:ilvl="0" w:tplc="040C0017">
      <w:start w:val="1"/>
      <w:numFmt w:val="lowerLetter"/>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2D53E0"/>
    <w:multiLevelType w:val="hybridMultilevel"/>
    <w:tmpl w:val="D16A6E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1F082156"/>
    <w:multiLevelType w:val="hybridMultilevel"/>
    <w:tmpl w:val="47446B3A"/>
    <w:lvl w:ilvl="0" w:tplc="6A3C03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0C31751"/>
    <w:multiLevelType w:val="hybridMultilevel"/>
    <w:tmpl w:val="36ACE2FA"/>
    <w:lvl w:ilvl="0" w:tplc="0C0C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4C1B03"/>
    <w:multiLevelType w:val="hybridMultilevel"/>
    <w:tmpl w:val="DB84F3EA"/>
    <w:lvl w:ilvl="0" w:tplc="5BC275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2484EAD"/>
    <w:multiLevelType w:val="hybridMultilevel"/>
    <w:tmpl w:val="0598EBF2"/>
    <w:lvl w:ilvl="0" w:tplc="04DCCE2E">
      <w:start w:val="10"/>
      <w:numFmt w:val="upperLetter"/>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6097197"/>
    <w:multiLevelType w:val="hybridMultilevel"/>
    <w:tmpl w:val="8DFED0D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CAB40D4C">
      <w:start w:val="1"/>
      <w:numFmt w:val="lowerLetter"/>
      <w:lvlText w:val="(%5)"/>
      <w:lvlJc w:val="left"/>
      <w:pPr>
        <w:ind w:left="3960" w:hanging="360"/>
      </w:pPr>
      <w:rPr>
        <w:rFonts w:hint="default"/>
        <w:b w:val="0"/>
      </w:r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29776BB1"/>
    <w:multiLevelType w:val="hybridMultilevel"/>
    <w:tmpl w:val="D9A2AD9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29E034F5"/>
    <w:multiLevelType w:val="hybridMultilevel"/>
    <w:tmpl w:val="57AE32DE"/>
    <w:lvl w:ilvl="0" w:tplc="CCC4F0F4">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B56A1"/>
    <w:multiLevelType w:val="hybridMultilevel"/>
    <w:tmpl w:val="825A16E6"/>
    <w:lvl w:ilvl="0" w:tplc="FC4C91E0">
      <w:start w:val="1"/>
      <w:numFmt w:val="lowerLetter"/>
      <w:lvlText w:val="%1)"/>
      <w:lvlJc w:val="left"/>
      <w:pPr>
        <w:ind w:left="1080" w:hanging="360"/>
      </w:pPr>
      <w:rPr>
        <w:rFonts w:ascii="Times New Roman" w:eastAsia="Times New Roman" w:hAnsi="Times New Roman" w:cs="Times New Roman"/>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2E7A2E29"/>
    <w:multiLevelType w:val="hybridMultilevel"/>
    <w:tmpl w:val="00D405E8"/>
    <w:lvl w:ilvl="0" w:tplc="D1F88F90">
      <w:start w:val="1"/>
      <w:numFmt w:val="lowerLetter"/>
      <w:lvlText w:val="%1)"/>
      <w:lvlJc w:val="left"/>
      <w:pPr>
        <w:ind w:left="1080" w:hanging="360"/>
      </w:pPr>
      <w:rPr>
        <w:rFonts w:ascii="Times New Roman" w:eastAsia="Malgun Gothic" w:hAnsi="Times New Roman" w:cs="Times New Roman"/>
        <w:b w:val="0"/>
      </w:rPr>
    </w:lvl>
    <w:lvl w:ilvl="1" w:tplc="B6C8B946">
      <w:numFmt w:val="bullet"/>
      <w:lvlText w:val=""/>
      <w:lvlJc w:val="left"/>
      <w:pPr>
        <w:tabs>
          <w:tab w:val="num" w:pos="1800"/>
        </w:tabs>
        <w:ind w:left="1800" w:hanging="360"/>
      </w:pPr>
      <w:rPr>
        <w:rFonts w:ascii="Wingdings" w:hAnsi="Wingdings" w:hint="default"/>
      </w:rPr>
    </w:lvl>
    <w:lvl w:ilvl="2" w:tplc="26588280" w:tentative="1">
      <w:start w:val="1"/>
      <w:numFmt w:val="decimal"/>
      <w:lvlText w:val="%3."/>
      <w:lvlJc w:val="left"/>
      <w:pPr>
        <w:tabs>
          <w:tab w:val="num" w:pos="2520"/>
        </w:tabs>
        <w:ind w:left="2520" w:hanging="360"/>
      </w:pPr>
    </w:lvl>
    <w:lvl w:ilvl="3" w:tplc="D9F07FCC" w:tentative="1">
      <w:start w:val="1"/>
      <w:numFmt w:val="decimal"/>
      <w:lvlText w:val="%4."/>
      <w:lvlJc w:val="left"/>
      <w:pPr>
        <w:tabs>
          <w:tab w:val="num" w:pos="3240"/>
        </w:tabs>
        <w:ind w:left="3240" w:hanging="360"/>
      </w:pPr>
    </w:lvl>
    <w:lvl w:ilvl="4" w:tplc="19A084D2" w:tentative="1">
      <w:start w:val="1"/>
      <w:numFmt w:val="decimal"/>
      <w:lvlText w:val="%5."/>
      <w:lvlJc w:val="left"/>
      <w:pPr>
        <w:tabs>
          <w:tab w:val="num" w:pos="3960"/>
        </w:tabs>
        <w:ind w:left="3960" w:hanging="360"/>
      </w:pPr>
    </w:lvl>
    <w:lvl w:ilvl="5" w:tplc="CC207990" w:tentative="1">
      <w:start w:val="1"/>
      <w:numFmt w:val="decimal"/>
      <w:lvlText w:val="%6."/>
      <w:lvlJc w:val="left"/>
      <w:pPr>
        <w:tabs>
          <w:tab w:val="num" w:pos="4680"/>
        </w:tabs>
        <w:ind w:left="4680" w:hanging="360"/>
      </w:pPr>
    </w:lvl>
    <w:lvl w:ilvl="6" w:tplc="E81056DE" w:tentative="1">
      <w:start w:val="1"/>
      <w:numFmt w:val="decimal"/>
      <w:lvlText w:val="%7."/>
      <w:lvlJc w:val="left"/>
      <w:pPr>
        <w:tabs>
          <w:tab w:val="num" w:pos="5400"/>
        </w:tabs>
        <w:ind w:left="5400" w:hanging="360"/>
      </w:pPr>
    </w:lvl>
    <w:lvl w:ilvl="7" w:tplc="EC64771A" w:tentative="1">
      <w:start w:val="1"/>
      <w:numFmt w:val="decimal"/>
      <w:lvlText w:val="%8."/>
      <w:lvlJc w:val="left"/>
      <w:pPr>
        <w:tabs>
          <w:tab w:val="num" w:pos="6120"/>
        </w:tabs>
        <w:ind w:left="6120" w:hanging="360"/>
      </w:pPr>
    </w:lvl>
    <w:lvl w:ilvl="8" w:tplc="B3508DBE" w:tentative="1">
      <w:start w:val="1"/>
      <w:numFmt w:val="decimal"/>
      <w:lvlText w:val="%9."/>
      <w:lvlJc w:val="left"/>
      <w:pPr>
        <w:tabs>
          <w:tab w:val="num" w:pos="6840"/>
        </w:tabs>
        <w:ind w:left="6840" w:hanging="360"/>
      </w:pPr>
    </w:lvl>
  </w:abstractNum>
  <w:abstractNum w:abstractNumId="2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2FA926F0"/>
    <w:multiLevelType w:val="hybridMultilevel"/>
    <w:tmpl w:val="61464242"/>
    <w:lvl w:ilvl="0" w:tplc="260626B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E62B18"/>
    <w:multiLevelType w:val="hybridMultilevel"/>
    <w:tmpl w:val="33F6CF8C"/>
    <w:lvl w:ilvl="0" w:tplc="B080C630">
      <w:start w:val="3"/>
      <w:numFmt w:val="upperLetter"/>
      <w:lvlText w:val="%1."/>
      <w:lvlJc w:val="left"/>
      <w:pPr>
        <w:ind w:left="1080" w:hanging="360"/>
      </w:pPr>
      <w:rPr>
        <w:rFonts w:hint="default"/>
      </w:rPr>
    </w:lvl>
    <w:lvl w:ilvl="1" w:tplc="E4286410">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14D2490"/>
    <w:multiLevelType w:val="hybridMultilevel"/>
    <w:tmpl w:val="ADC29AA0"/>
    <w:lvl w:ilvl="0" w:tplc="747AEA9E">
      <w:start w:val="1"/>
      <w:numFmt w:val="lowerLetter"/>
      <w:lvlText w:val="%1)"/>
      <w:lvlJc w:val="left"/>
      <w:pPr>
        <w:ind w:left="1301" w:hanging="360"/>
      </w:pPr>
      <w:rPr>
        <w:rFonts w:ascii="Times New Roman" w:eastAsia="Times New Roman"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1" w15:restartNumberingAfterBreak="0">
    <w:nsid w:val="32040269"/>
    <w:multiLevelType w:val="hybridMultilevel"/>
    <w:tmpl w:val="7F86AE3A"/>
    <w:lvl w:ilvl="0" w:tplc="8764AF94">
      <w:start w:val="1"/>
      <w:numFmt w:val="lowerLetter"/>
      <w:lvlText w:val="%1)"/>
      <w:lvlJc w:val="left"/>
      <w:pPr>
        <w:ind w:left="1301" w:hanging="360"/>
      </w:pPr>
      <w:rPr>
        <w:rFonts w:ascii="Times New Roman" w:eastAsia="Malgun Gothic" w:hAnsi="Times New Roman" w:cs="Times New Roman"/>
        <w:b w:val="0"/>
      </w:rPr>
    </w:lvl>
    <w:lvl w:ilvl="1" w:tplc="04090019" w:tentative="1">
      <w:start w:val="1"/>
      <w:numFmt w:val="lowerLetter"/>
      <w:lvlText w:val="%2."/>
      <w:lvlJc w:val="left"/>
      <w:pPr>
        <w:ind w:left="2021" w:hanging="360"/>
      </w:pPr>
    </w:lvl>
    <w:lvl w:ilvl="2" w:tplc="0409001B" w:tentative="1">
      <w:start w:val="1"/>
      <w:numFmt w:val="lowerRoman"/>
      <w:lvlText w:val="%3."/>
      <w:lvlJc w:val="right"/>
      <w:pPr>
        <w:ind w:left="2741" w:hanging="180"/>
      </w:pPr>
    </w:lvl>
    <w:lvl w:ilvl="3" w:tplc="0409000F" w:tentative="1">
      <w:start w:val="1"/>
      <w:numFmt w:val="decimal"/>
      <w:lvlText w:val="%4."/>
      <w:lvlJc w:val="left"/>
      <w:pPr>
        <w:ind w:left="3461" w:hanging="360"/>
      </w:pPr>
    </w:lvl>
    <w:lvl w:ilvl="4" w:tplc="04090019" w:tentative="1">
      <w:start w:val="1"/>
      <w:numFmt w:val="lowerLetter"/>
      <w:lvlText w:val="%5."/>
      <w:lvlJc w:val="left"/>
      <w:pPr>
        <w:ind w:left="4181" w:hanging="360"/>
      </w:pPr>
    </w:lvl>
    <w:lvl w:ilvl="5" w:tplc="0409001B" w:tentative="1">
      <w:start w:val="1"/>
      <w:numFmt w:val="lowerRoman"/>
      <w:lvlText w:val="%6."/>
      <w:lvlJc w:val="right"/>
      <w:pPr>
        <w:ind w:left="4901" w:hanging="180"/>
      </w:pPr>
    </w:lvl>
    <w:lvl w:ilvl="6" w:tplc="0409000F" w:tentative="1">
      <w:start w:val="1"/>
      <w:numFmt w:val="decimal"/>
      <w:lvlText w:val="%7."/>
      <w:lvlJc w:val="left"/>
      <w:pPr>
        <w:ind w:left="5621" w:hanging="360"/>
      </w:pPr>
    </w:lvl>
    <w:lvl w:ilvl="7" w:tplc="04090019" w:tentative="1">
      <w:start w:val="1"/>
      <w:numFmt w:val="lowerLetter"/>
      <w:lvlText w:val="%8."/>
      <w:lvlJc w:val="left"/>
      <w:pPr>
        <w:ind w:left="6341" w:hanging="360"/>
      </w:pPr>
    </w:lvl>
    <w:lvl w:ilvl="8" w:tplc="0409001B" w:tentative="1">
      <w:start w:val="1"/>
      <w:numFmt w:val="lowerRoman"/>
      <w:lvlText w:val="%9."/>
      <w:lvlJc w:val="right"/>
      <w:pPr>
        <w:ind w:left="7061" w:hanging="180"/>
      </w:pPr>
    </w:lvl>
  </w:abstractNum>
  <w:abstractNum w:abstractNumId="32" w15:restartNumberingAfterBreak="0">
    <w:nsid w:val="322210AE"/>
    <w:multiLevelType w:val="hybridMultilevel"/>
    <w:tmpl w:val="4DEE19CC"/>
    <w:lvl w:ilvl="0" w:tplc="040C0017">
      <w:start w:val="1"/>
      <w:numFmt w:val="lowerLetter"/>
      <w:lvlText w:val="%1)"/>
      <w:lvlJc w:val="left"/>
      <w:pPr>
        <w:ind w:left="0" w:hanging="360"/>
      </w:pPr>
      <w:rPr>
        <w:rFonts w:hint="default"/>
        <w:b w:val="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359439D9"/>
    <w:multiLevelType w:val="hybridMultilevel"/>
    <w:tmpl w:val="B44EC636"/>
    <w:lvl w:ilvl="0" w:tplc="22C2C52C">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8B549BF"/>
    <w:multiLevelType w:val="hybridMultilevel"/>
    <w:tmpl w:val="5EB83292"/>
    <w:lvl w:ilvl="0" w:tplc="8FF2B9AA">
      <w:start w:val="1"/>
      <w:numFmt w:val="lowerLetter"/>
      <w:lvlText w:val="%1)"/>
      <w:lvlJc w:val="left"/>
      <w:pPr>
        <w:ind w:left="720" w:hanging="360"/>
      </w:pPr>
      <w:rPr>
        <w:rFonts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BB42288"/>
    <w:multiLevelType w:val="hybridMultilevel"/>
    <w:tmpl w:val="4BD8FA48"/>
    <w:lvl w:ilvl="0" w:tplc="32FAEA80">
      <w:start w:val="1"/>
      <w:numFmt w:val="lowerLetter"/>
      <w:lvlText w:val="%1)"/>
      <w:lvlJc w:val="left"/>
      <w:pPr>
        <w:ind w:left="1080" w:hanging="360"/>
      </w:pPr>
      <w:rPr>
        <w:rFonts w:ascii="Times New Roman" w:eastAsia="Times New Roman" w:hAnsi="Times New Roman" w:cs="Times New Roman"/>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37" w15:restartNumberingAfterBreak="0">
    <w:nsid w:val="3EBF6E23"/>
    <w:multiLevelType w:val="hybridMultilevel"/>
    <w:tmpl w:val="BCC0BDB2"/>
    <w:lvl w:ilvl="0" w:tplc="DF125AEA">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5B187D"/>
    <w:multiLevelType w:val="hybridMultilevel"/>
    <w:tmpl w:val="B232B486"/>
    <w:lvl w:ilvl="0" w:tplc="05443A4A">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41CE365A"/>
    <w:multiLevelType w:val="hybridMultilevel"/>
    <w:tmpl w:val="6B588B52"/>
    <w:lvl w:ilvl="0" w:tplc="4C0E22F8">
      <w:start w:val="1"/>
      <w:numFmt w:val="lowerLetter"/>
      <w:lvlText w:val="%1)"/>
      <w:lvlJc w:val="left"/>
      <w:pPr>
        <w:ind w:left="720" w:hanging="360"/>
      </w:pPr>
      <w:rPr>
        <w:rFonts w:ascii="Times New Roman" w:eastAsia="Malgun Gothic"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84C5B5D"/>
    <w:multiLevelType w:val="hybridMultilevel"/>
    <w:tmpl w:val="4154C9C4"/>
    <w:lvl w:ilvl="0" w:tplc="D6E6B4C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49237B26"/>
    <w:multiLevelType w:val="hybridMultilevel"/>
    <w:tmpl w:val="F6F26A72"/>
    <w:lvl w:ilvl="0" w:tplc="2C3EB218">
      <w:start w:val="1"/>
      <w:numFmt w:val="lowerLetter"/>
      <w:lvlText w:val="%1)"/>
      <w:lvlJc w:val="left"/>
      <w:pPr>
        <w:ind w:left="720" w:hanging="360"/>
      </w:pPr>
      <w:rPr>
        <w:rFonts w:ascii="Times New Roman" w:eastAsia="Times New Roman" w:hAnsi="Times New Roman" w:cs="Times New Roman"/>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7064F8"/>
    <w:multiLevelType w:val="hybridMultilevel"/>
    <w:tmpl w:val="EACC3342"/>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BD1528F"/>
    <w:multiLevelType w:val="hybridMultilevel"/>
    <w:tmpl w:val="CCC4019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5204B552">
      <w:start w:val="1"/>
      <w:numFmt w:val="lowerLetter"/>
      <w:lvlText w:val="%7)"/>
      <w:lvlJc w:val="left"/>
      <w:pPr>
        <w:ind w:left="360" w:hanging="360"/>
      </w:pPr>
      <w:rPr>
        <w:rFonts w:ascii="Times New Roman" w:eastAsia="Times New Roman" w:hAnsi="Times New Roman" w:cs="Times New Roman"/>
        <w:b w:val="0"/>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7" w15:restartNumberingAfterBreak="0">
    <w:nsid w:val="4BF52AB1"/>
    <w:multiLevelType w:val="hybridMultilevel"/>
    <w:tmpl w:val="AE6C0B88"/>
    <w:lvl w:ilvl="0" w:tplc="417A37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EA84285"/>
    <w:multiLevelType w:val="hybridMultilevel"/>
    <w:tmpl w:val="3EC45176"/>
    <w:lvl w:ilvl="0" w:tplc="A7F87AB6">
      <w:start w:val="1"/>
      <w:numFmt w:val="lowerLetter"/>
      <w:lvlText w:val="%1)"/>
      <w:lvlJc w:val="left"/>
      <w:pPr>
        <w:ind w:left="720"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EDB7BDA"/>
    <w:multiLevelType w:val="hybridMultilevel"/>
    <w:tmpl w:val="356E2820"/>
    <w:lvl w:ilvl="0" w:tplc="0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0F50A16"/>
    <w:multiLevelType w:val="multilevel"/>
    <w:tmpl w:val="2CAAD4D4"/>
    <w:lvl w:ilvl="0">
      <w:start w:val="1"/>
      <w:numFmt w:val="lowerLetter"/>
      <w:lvlText w:val="%1)"/>
      <w:lvlJc w:val="left"/>
      <w:pPr>
        <w:tabs>
          <w:tab w:val="num" w:pos="360"/>
        </w:tabs>
        <w:ind w:left="360" w:hanging="360"/>
      </w:pPr>
      <w:rPr>
        <w:rFonts w:hint="default"/>
        <w:b w:val="0"/>
        <w:sz w:val="22"/>
        <w:szCs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2" w15:restartNumberingAfterBreak="0">
    <w:nsid w:val="575E0C87"/>
    <w:multiLevelType w:val="hybridMultilevel"/>
    <w:tmpl w:val="ED6E53AE"/>
    <w:lvl w:ilvl="0" w:tplc="8CCAA39E">
      <w:start w:val="1"/>
      <w:numFmt w:val="lowerLetter"/>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B04DE5"/>
    <w:multiLevelType w:val="hybridMultilevel"/>
    <w:tmpl w:val="342840EE"/>
    <w:lvl w:ilvl="0" w:tplc="57688DD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867382E"/>
    <w:multiLevelType w:val="hybridMultilevel"/>
    <w:tmpl w:val="E6A62192"/>
    <w:lvl w:ilvl="0" w:tplc="10090001">
      <w:start w:val="1"/>
      <w:numFmt w:val="bullet"/>
      <w:lvlText w:val=""/>
      <w:lvlJc w:val="left"/>
      <w:pPr>
        <w:ind w:left="720" w:hanging="360"/>
      </w:pPr>
      <w:rPr>
        <w:rFonts w:ascii="Symbol" w:hAnsi="Symbol" w:hint="default"/>
      </w:rPr>
    </w:lvl>
    <w:lvl w:ilvl="1" w:tplc="6C6CC60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8E21E0C"/>
    <w:multiLevelType w:val="hybridMultilevel"/>
    <w:tmpl w:val="98ACAB76"/>
    <w:lvl w:ilvl="0" w:tplc="10090001">
      <w:start w:val="1"/>
      <w:numFmt w:val="bullet"/>
      <w:lvlText w:val=""/>
      <w:lvlJc w:val="left"/>
      <w:pPr>
        <w:ind w:left="720" w:hanging="360"/>
      </w:pPr>
      <w:rPr>
        <w:rFonts w:ascii="Symbol" w:hAnsi="Symbol" w:hint="default"/>
      </w:rPr>
    </w:lvl>
    <w:lvl w:ilvl="1" w:tplc="5DE6C82A">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15:restartNumberingAfterBreak="0">
    <w:nsid w:val="58E50B6F"/>
    <w:multiLevelType w:val="hybridMultilevel"/>
    <w:tmpl w:val="6950A8C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7" w15:restartNumberingAfterBreak="0">
    <w:nsid w:val="5A2E6AC8"/>
    <w:multiLevelType w:val="hybridMultilevel"/>
    <w:tmpl w:val="30BE35B8"/>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8" w15:restartNumberingAfterBreak="0">
    <w:nsid w:val="5B516B6E"/>
    <w:multiLevelType w:val="hybridMultilevel"/>
    <w:tmpl w:val="420E825E"/>
    <w:lvl w:ilvl="0" w:tplc="9D4605C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60" w15:restartNumberingAfterBreak="0">
    <w:nsid w:val="633E19A5"/>
    <w:multiLevelType w:val="hybridMultilevel"/>
    <w:tmpl w:val="EAA41AD2"/>
    <w:lvl w:ilvl="0" w:tplc="A3600568">
      <w:start w:val="1"/>
      <w:numFmt w:val="lowerLetter"/>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3446E90"/>
    <w:multiLevelType w:val="hybridMultilevel"/>
    <w:tmpl w:val="5444178C"/>
    <w:lvl w:ilvl="0" w:tplc="040C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3DC36B5"/>
    <w:multiLevelType w:val="multilevel"/>
    <w:tmpl w:val="71C4DE34"/>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56639D3"/>
    <w:multiLevelType w:val="hybridMultilevel"/>
    <w:tmpl w:val="96A859B4"/>
    <w:lvl w:ilvl="0" w:tplc="0C090017">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64" w15:restartNumberingAfterBreak="0">
    <w:nsid w:val="65CD486A"/>
    <w:multiLevelType w:val="hybridMultilevel"/>
    <w:tmpl w:val="A3905C96"/>
    <w:lvl w:ilvl="0" w:tplc="FAD2DE32">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7015AA8"/>
    <w:multiLevelType w:val="hybridMultilevel"/>
    <w:tmpl w:val="6AE2CE8E"/>
    <w:lvl w:ilvl="0" w:tplc="0C09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9070B0C"/>
    <w:multiLevelType w:val="hybridMultilevel"/>
    <w:tmpl w:val="8FBA5918"/>
    <w:lvl w:ilvl="0" w:tplc="541C4304">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67" w15:restartNumberingAfterBreak="0">
    <w:nsid w:val="69A05E12"/>
    <w:multiLevelType w:val="hybridMultilevel"/>
    <w:tmpl w:val="60BEDA8E"/>
    <w:lvl w:ilvl="0" w:tplc="4FD4035C">
      <w:start w:val="10"/>
      <w:numFmt w:val="decimal"/>
      <w:lvlText w:val="%1."/>
      <w:lvlJc w:val="left"/>
      <w:pPr>
        <w:ind w:left="2520" w:hanging="360"/>
      </w:pPr>
      <w:rPr>
        <w:rFonts w:hint="default"/>
      </w:rPr>
    </w:lvl>
    <w:lvl w:ilvl="1" w:tplc="0C0C0019" w:tentative="1">
      <w:start w:val="1"/>
      <w:numFmt w:val="lowerLetter"/>
      <w:lvlText w:val="%2."/>
      <w:lvlJc w:val="left"/>
      <w:pPr>
        <w:ind w:left="3240" w:hanging="360"/>
      </w:pPr>
    </w:lvl>
    <w:lvl w:ilvl="2" w:tplc="0C0C001B" w:tentative="1">
      <w:start w:val="1"/>
      <w:numFmt w:val="lowerRoman"/>
      <w:lvlText w:val="%3."/>
      <w:lvlJc w:val="right"/>
      <w:pPr>
        <w:ind w:left="3960" w:hanging="180"/>
      </w:pPr>
    </w:lvl>
    <w:lvl w:ilvl="3" w:tplc="0C0C000F" w:tentative="1">
      <w:start w:val="1"/>
      <w:numFmt w:val="decimal"/>
      <w:lvlText w:val="%4."/>
      <w:lvlJc w:val="left"/>
      <w:pPr>
        <w:ind w:left="4680" w:hanging="360"/>
      </w:pPr>
    </w:lvl>
    <w:lvl w:ilvl="4" w:tplc="0C0C0019" w:tentative="1">
      <w:start w:val="1"/>
      <w:numFmt w:val="lowerLetter"/>
      <w:lvlText w:val="%5."/>
      <w:lvlJc w:val="left"/>
      <w:pPr>
        <w:ind w:left="5400" w:hanging="360"/>
      </w:pPr>
    </w:lvl>
    <w:lvl w:ilvl="5" w:tplc="0C0C001B" w:tentative="1">
      <w:start w:val="1"/>
      <w:numFmt w:val="lowerRoman"/>
      <w:lvlText w:val="%6."/>
      <w:lvlJc w:val="right"/>
      <w:pPr>
        <w:ind w:left="6120" w:hanging="180"/>
      </w:pPr>
    </w:lvl>
    <w:lvl w:ilvl="6" w:tplc="0C0C000F" w:tentative="1">
      <w:start w:val="1"/>
      <w:numFmt w:val="decimal"/>
      <w:lvlText w:val="%7."/>
      <w:lvlJc w:val="left"/>
      <w:pPr>
        <w:ind w:left="6840" w:hanging="360"/>
      </w:pPr>
    </w:lvl>
    <w:lvl w:ilvl="7" w:tplc="0C0C0019" w:tentative="1">
      <w:start w:val="1"/>
      <w:numFmt w:val="lowerLetter"/>
      <w:lvlText w:val="%8."/>
      <w:lvlJc w:val="left"/>
      <w:pPr>
        <w:ind w:left="7560" w:hanging="360"/>
      </w:pPr>
    </w:lvl>
    <w:lvl w:ilvl="8" w:tplc="0C0C001B" w:tentative="1">
      <w:start w:val="1"/>
      <w:numFmt w:val="lowerRoman"/>
      <w:lvlText w:val="%9."/>
      <w:lvlJc w:val="right"/>
      <w:pPr>
        <w:ind w:left="8280" w:hanging="180"/>
      </w:pPr>
    </w:lvl>
  </w:abstractNum>
  <w:abstractNum w:abstractNumId="68" w15:restartNumberingAfterBreak="0">
    <w:nsid w:val="6A7E400D"/>
    <w:multiLevelType w:val="hybridMultilevel"/>
    <w:tmpl w:val="1B1C848C"/>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9" w15:restartNumberingAfterBreak="0">
    <w:nsid w:val="6BBF3CC4"/>
    <w:multiLevelType w:val="hybridMultilevel"/>
    <w:tmpl w:val="CEA41826"/>
    <w:lvl w:ilvl="0" w:tplc="B1C6AAE6">
      <w:start w:val="1"/>
      <w:numFmt w:val="lowerLetter"/>
      <w:lvlText w:val="%1)"/>
      <w:lvlJc w:val="left"/>
      <w:pPr>
        <w:ind w:left="720" w:hanging="360"/>
      </w:pPr>
      <w:rPr>
        <w:rFonts w:hint="default"/>
        <w:b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6C1D5F85"/>
    <w:multiLevelType w:val="hybridMultilevel"/>
    <w:tmpl w:val="1CF2CAC0"/>
    <w:lvl w:ilvl="0" w:tplc="040C0017">
      <w:start w:val="1"/>
      <w:numFmt w:val="lowerLetter"/>
      <w:lvlText w:val="%1)"/>
      <w:lvlJc w:val="left"/>
      <w:pPr>
        <w:ind w:left="36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215EF6"/>
    <w:multiLevelType w:val="hybridMultilevel"/>
    <w:tmpl w:val="C700BDB8"/>
    <w:lvl w:ilvl="0" w:tplc="DE0C3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4" w15:restartNumberingAfterBreak="0">
    <w:nsid w:val="70DC01C0"/>
    <w:multiLevelType w:val="hybridMultilevel"/>
    <w:tmpl w:val="ECB0DD3E"/>
    <w:lvl w:ilvl="0" w:tplc="44DCF986">
      <w:start w:val="1"/>
      <w:numFmt w:val="lowerLetter"/>
      <w:lvlText w:val="%1)"/>
      <w:lvlJc w:val="left"/>
      <w:pPr>
        <w:ind w:left="1080" w:hanging="360"/>
      </w:pPr>
      <w:rPr>
        <w:rFonts w:ascii="Times New Roman" w:eastAsia="MS Mincho" w:hAnsi="Times New Roman" w:cs="Times New Roman"/>
        <w:b w:val="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744D024C"/>
    <w:multiLevelType w:val="hybridMultilevel"/>
    <w:tmpl w:val="63FAF158"/>
    <w:lvl w:ilvl="0" w:tplc="040C0017">
      <w:start w:val="1"/>
      <w:numFmt w:val="lowerLetter"/>
      <w:lvlText w:val="%1)"/>
      <w:lvlJc w:val="left"/>
      <w:pPr>
        <w:ind w:left="1440" w:hanging="360"/>
      </w:pPr>
      <w:rPr>
        <w:rFonts w:hint="default"/>
        <w:b w:val="0"/>
        <w:i w:val="0"/>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6" w15:restartNumberingAfterBreak="0">
    <w:nsid w:val="76DA69C2"/>
    <w:multiLevelType w:val="hybridMultilevel"/>
    <w:tmpl w:val="C3842E6E"/>
    <w:lvl w:ilvl="0" w:tplc="04090019">
      <w:start w:val="1"/>
      <w:numFmt w:val="lowerLetter"/>
      <w:lvlText w:val="%1."/>
      <w:lvlJc w:val="left"/>
      <w:pPr>
        <w:ind w:left="720" w:hanging="360"/>
      </w:pPr>
    </w:lvl>
    <w:lvl w:ilvl="1" w:tplc="87A06C6E">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037CE6"/>
    <w:multiLevelType w:val="hybridMultilevel"/>
    <w:tmpl w:val="69987A60"/>
    <w:lvl w:ilvl="0" w:tplc="10090001">
      <w:start w:val="1"/>
      <w:numFmt w:val="bullet"/>
      <w:lvlText w:val=""/>
      <w:lvlJc w:val="left"/>
      <w:pPr>
        <w:ind w:left="720" w:hanging="360"/>
      </w:pPr>
      <w:rPr>
        <w:rFonts w:ascii="Symbol" w:hAnsi="Symbol" w:hint="default"/>
      </w:rPr>
    </w:lvl>
    <w:lvl w:ilvl="1" w:tplc="AAB21D32">
      <w:start w:val="1"/>
      <w:numFmt w:val="lowerRoman"/>
      <w:lvlText w:val="%2)"/>
      <w:lvlJc w:val="left"/>
      <w:pPr>
        <w:ind w:left="1440" w:hanging="360"/>
      </w:pPr>
      <w:rPr>
        <w:rFonts w:hint="default"/>
        <w:b w:val="0"/>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8407EF3"/>
    <w:multiLevelType w:val="hybridMultilevel"/>
    <w:tmpl w:val="FFD63D20"/>
    <w:lvl w:ilvl="0" w:tplc="9DF09F5C">
      <w:start w:val="1"/>
      <w:numFmt w:val="lowerLetter"/>
      <w:lvlText w:val="%1)"/>
      <w:lvlJc w:val="left"/>
      <w:pPr>
        <w:ind w:left="720" w:hanging="360"/>
      </w:pPr>
      <w:rPr>
        <w:rFonts w:hint="default"/>
        <w:b w:val="0"/>
        <w:i w:val="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15:restartNumberingAfterBreak="0">
    <w:nsid w:val="79550E9D"/>
    <w:multiLevelType w:val="hybridMultilevel"/>
    <w:tmpl w:val="2FCAA2EC"/>
    <w:lvl w:ilvl="0" w:tplc="E6CE07A6">
      <w:start w:val="1"/>
      <w:numFmt w:val="lowerLetter"/>
      <w:lvlText w:val="%1)"/>
      <w:lvlJc w:val="left"/>
      <w:pPr>
        <w:ind w:left="1545" w:hanging="360"/>
      </w:pPr>
      <w:rPr>
        <w:rFonts w:ascii="Times New Roman" w:eastAsia="MS Mincho" w:hAnsi="Times New Roman" w:cs="Times New Roman"/>
        <w:b w:val="0"/>
      </w:rPr>
    </w:lvl>
    <w:lvl w:ilvl="1" w:tplc="10090019">
      <w:start w:val="1"/>
      <w:numFmt w:val="lowerLetter"/>
      <w:lvlText w:val="%2."/>
      <w:lvlJc w:val="left"/>
      <w:pPr>
        <w:ind w:left="2265" w:hanging="360"/>
      </w:pPr>
    </w:lvl>
    <w:lvl w:ilvl="2" w:tplc="1009001B" w:tentative="1">
      <w:start w:val="1"/>
      <w:numFmt w:val="lowerRoman"/>
      <w:lvlText w:val="%3."/>
      <w:lvlJc w:val="right"/>
      <w:pPr>
        <w:ind w:left="2985" w:hanging="180"/>
      </w:pPr>
    </w:lvl>
    <w:lvl w:ilvl="3" w:tplc="1009000F" w:tentative="1">
      <w:start w:val="1"/>
      <w:numFmt w:val="decimal"/>
      <w:lvlText w:val="%4."/>
      <w:lvlJc w:val="left"/>
      <w:pPr>
        <w:ind w:left="3705" w:hanging="360"/>
      </w:pPr>
    </w:lvl>
    <w:lvl w:ilvl="4" w:tplc="10090019" w:tentative="1">
      <w:start w:val="1"/>
      <w:numFmt w:val="lowerLetter"/>
      <w:lvlText w:val="%5."/>
      <w:lvlJc w:val="left"/>
      <w:pPr>
        <w:ind w:left="4425" w:hanging="360"/>
      </w:pPr>
    </w:lvl>
    <w:lvl w:ilvl="5" w:tplc="1009001B" w:tentative="1">
      <w:start w:val="1"/>
      <w:numFmt w:val="lowerRoman"/>
      <w:lvlText w:val="%6."/>
      <w:lvlJc w:val="right"/>
      <w:pPr>
        <w:ind w:left="5145" w:hanging="180"/>
      </w:pPr>
    </w:lvl>
    <w:lvl w:ilvl="6" w:tplc="1009000F" w:tentative="1">
      <w:start w:val="1"/>
      <w:numFmt w:val="decimal"/>
      <w:lvlText w:val="%7."/>
      <w:lvlJc w:val="left"/>
      <w:pPr>
        <w:ind w:left="5865" w:hanging="360"/>
      </w:pPr>
    </w:lvl>
    <w:lvl w:ilvl="7" w:tplc="10090019" w:tentative="1">
      <w:start w:val="1"/>
      <w:numFmt w:val="lowerLetter"/>
      <w:lvlText w:val="%8."/>
      <w:lvlJc w:val="left"/>
      <w:pPr>
        <w:ind w:left="6585" w:hanging="360"/>
      </w:pPr>
    </w:lvl>
    <w:lvl w:ilvl="8" w:tplc="1009001B" w:tentative="1">
      <w:start w:val="1"/>
      <w:numFmt w:val="lowerRoman"/>
      <w:lvlText w:val="%9."/>
      <w:lvlJc w:val="right"/>
      <w:pPr>
        <w:ind w:left="7305" w:hanging="180"/>
      </w:pPr>
    </w:lvl>
  </w:abstractNum>
  <w:abstractNum w:abstractNumId="81" w15:restartNumberingAfterBreak="0">
    <w:nsid w:val="7A5146DF"/>
    <w:multiLevelType w:val="hybridMultilevel"/>
    <w:tmpl w:val="81AE5FF6"/>
    <w:lvl w:ilvl="0" w:tplc="040C0017">
      <w:start w:val="1"/>
      <w:numFmt w:val="lowerLetter"/>
      <w:lvlText w:val="%1)"/>
      <w:lvlJc w:val="left"/>
      <w:pPr>
        <w:ind w:left="1080" w:hanging="360"/>
      </w:pPr>
      <w:rPr>
        <w:rFont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AE042AF"/>
    <w:multiLevelType w:val="hybridMultilevel"/>
    <w:tmpl w:val="2C6E0044"/>
    <w:lvl w:ilvl="0" w:tplc="AE741760">
      <w:start w:val="1"/>
      <w:numFmt w:val="lowerLetter"/>
      <w:lvlText w:val="%1)"/>
      <w:lvlJc w:val="left"/>
      <w:pPr>
        <w:ind w:left="1170" w:hanging="360"/>
      </w:pPr>
      <w:rPr>
        <w:rFonts w:ascii="Times New Roman" w:eastAsia="MS Mincho" w:hAnsi="Times New Roman" w:cs="Times New Roman"/>
        <w:b w:val="0"/>
      </w:rPr>
    </w:lvl>
    <w:lvl w:ilvl="1" w:tplc="10090019">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83" w15:restartNumberingAfterBreak="0">
    <w:nsid w:val="7CA22A1D"/>
    <w:multiLevelType w:val="hybridMultilevel"/>
    <w:tmpl w:val="EEBA018C"/>
    <w:lvl w:ilvl="0" w:tplc="04090019">
      <w:start w:val="1"/>
      <w:numFmt w:val="lowerLetter"/>
      <w:lvlText w:val="%1."/>
      <w:lvlJc w:val="left"/>
      <w:pPr>
        <w:ind w:left="720" w:hanging="360"/>
      </w:pPr>
    </w:lvl>
    <w:lvl w:ilvl="1" w:tplc="A3FA2156">
      <w:start w:val="1"/>
      <w:numFmt w:val="lowerRoman"/>
      <w:lvlText w:val="%2)"/>
      <w:lvlJc w:val="left"/>
      <w:pPr>
        <w:ind w:left="1440" w:hanging="360"/>
      </w:pPr>
      <w:rPr>
        <w:rFonts w:ascii="Times New Roman" w:eastAsia="Times New Roman" w:hAnsi="Times New Roman" w:cs="Times New Roman"/>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15:restartNumberingAfterBreak="0">
    <w:nsid w:val="7D975761"/>
    <w:multiLevelType w:val="hybridMultilevel"/>
    <w:tmpl w:val="5DB2DF82"/>
    <w:lvl w:ilvl="0" w:tplc="9114339C">
      <w:start w:val="1"/>
      <w:numFmt w:val="lowerLetter"/>
      <w:lvlText w:val="%1)"/>
      <w:lvlJc w:val="left"/>
      <w:pPr>
        <w:ind w:left="360" w:hanging="360"/>
      </w:pPr>
      <w:rPr>
        <w:rFonts w:hint="default"/>
        <w:b w:val="0"/>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5"/>
  </w:num>
  <w:num w:numId="2">
    <w:abstractNumId w:val="27"/>
  </w:num>
  <w:num w:numId="3">
    <w:abstractNumId w:val="48"/>
  </w:num>
  <w:num w:numId="4">
    <w:abstractNumId w:val="40"/>
  </w:num>
  <w:num w:numId="5">
    <w:abstractNumId w:val="48"/>
  </w:num>
  <w:num w:numId="6">
    <w:abstractNumId w:val="43"/>
  </w:num>
  <w:num w:numId="7">
    <w:abstractNumId w:val="4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7"/>
  </w:num>
  <w:num w:numId="11">
    <w:abstractNumId w:val="67"/>
  </w:num>
  <w:num w:numId="12">
    <w:abstractNumId w:val="15"/>
  </w:num>
  <w:num w:numId="13">
    <w:abstractNumId w:val="57"/>
  </w:num>
  <w:num w:numId="14">
    <w:abstractNumId w:val="29"/>
  </w:num>
  <w:num w:numId="15">
    <w:abstractNumId w:val="23"/>
  </w:num>
  <w:num w:numId="16">
    <w:abstractNumId w:val="37"/>
  </w:num>
  <w:num w:numId="17">
    <w:abstractNumId w:val="21"/>
  </w:num>
  <w:num w:numId="18">
    <w:abstractNumId w:val="46"/>
  </w:num>
  <w:num w:numId="19">
    <w:abstractNumId w:val="78"/>
  </w:num>
  <w:num w:numId="20">
    <w:abstractNumId w:val="18"/>
  </w:num>
  <w:num w:numId="21">
    <w:abstractNumId w:val="71"/>
  </w:num>
  <w:num w:numId="22">
    <w:abstractNumId w:val="74"/>
  </w:num>
  <w:num w:numId="23">
    <w:abstractNumId w:val="13"/>
  </w:num>
  <w:num w:numId="24">
    <w:abstractNumId w:val="44"/>
  </w:num>
  <w:num w:numId="25">
    <w:abstractNumId w:val="24"/>
  </w:num>
  <w:num w:numId="26">
    <w:abstractNumId w:val="49"/>
  </w:num>
  <w:num w:numId="27">
    <w:abstractNumId w:val="6"/>
  </w:num>
  <w:num w:numId="28">
    <w:abstractNumId w:val="39"/>
  </w:num>
  <w:num w:numId="29">
    <w:abstractNumId w:val="26"/>
  </w:num>
  <w:num w:numId="30">
    <w:abstractNumId w:val="52"/>
  </w:num>
  <w:num w:numId="31">
    <w:abstractNumId w:val="31"/>
  </w:num>
  <w:num w:numId="32">
    <w:abstractNumId w:val="30"/>
  </w:num>
  <w:num w:numId="33">
    <w:abstractNumId w:val="12"/>
  </w:num>
  <w:num w:numId="34">
    <w:abstractNumId w:val="35"/>
  </w:num>
  <w:num w:numId="35">
    <w:abstractNumId w:val="8"/>
  </w:num>
  <w:num w:numId="36">
    <w:abstractNumId w:val="76"/>
  </w:num>
  <w:num w:numId="37">
    <w:abstractNumId w:val="83"/>
  </w:num>
  <w:num w:numId="38">
    <w:abstractNumId w:val="82"/>
  </w:num>
  <w:num w:numId="39">
    <w:abstractNumId w:val="66"/>
  </w:num>
  <w:num w:numId="40">
    <w:abstractNumId w:val="80"/>
  </w:num>
  <w:num w:numId="41">
    <w:abstractNumId w:val="50"/>
  </w:num>
  <w:num w:numId="42">
    <w:abstractNumId w:val="81"/>
  </w:num>
  <w:num w:numId="43">
    <w:abstractNumId w:val="70"/>
  </w:num>
  <w:num w:numId="44">
    <w:abstractNumId w:val="11"/>
  </w:num>
  <w:num w:numId="45">
    <w:abstractNumId w:val="51"/>
  </w:num>
  <w:num w:numId="46">
    <w:abstractNumId w:val="32"/>
  </w:num>
  <w:num w:numId="47">
    <w:abstractNumId w:val="75"/>
  </w:num>
  <w:num w:numId="48">
    <w:abstractNumId w:val="22"/>
  </w:num>
  <w:num w:numId="49">
    <w:abstractNumId w:val="56"/>
  </w:num>
  <w:num w:numId="50">
    <w:abstractNumId w:val="68"/>
  </w:num>
  <w:num w:numId="51">
    <w:abstractNumId w:val="45"/>
  </w:num>
  <w:num w:numId="52">
    <w:abstractNumId w:val="61"/>
  </w:num>
  <w:num w:numId="53">
    <w:abstractNumId w:val="84"/>
  </w:num>
  <w:num w:numId="54">
    <w:abstractNumId w:val="41"/>
  </w:num>
  <w:num w:numId="55">
    <w:abstractNumId w:val="10"/>
  </w:num>
  <w:num w:numId="56">
    <w:abstractNumId w:val="0"/>
  </w:num>
  <w:num w:numId="57">
    <w:abstractNumId w:val="62"/>
  </w:num>
  <w:num w:numId="58">
    <w:abstractNumId w:val="19"/>
  </w:num>
  <w:num w:numId="59">
    <w:abstractNumId w:val="3"/>
  </w:num>
  <w:num w:numId="60">
    <w:abstractNumId w:val="60"/>
  </w:num>
  <w:num w:numId="61">
    <w:abstractNumId w:val="64"/>
  </w:num>
  <w:num w:numId="62">
    <w:abstractNumId w:val="38"/>
  </w:num>
  <w:num w:numId="63">
    <w:abstractNumId w:val="4"/>
  </w:num>
  <w:num w:numId="64">
    <w:abstractNumId w:val="42"/>
  </w:num>
  <w:num w:numId="65">
    <w:abstractNumId w:val="53"/>
  </w:num>
  <w:num w:numId="66">
    <w:abstractNumId w:val="79"/>
  </w:num>
  <w:num w:numId="67">
    <w:abstractNumId w:val="55"/>
  </w:num>
  <w:num w:numId="68">
    <w:abstractNumId w:val="33"/>
  </w:num>
  <w:num w:numId="69">
    <w:abstractNumId w:val="54"/>
  </w:num>
  <w:num w:numId="70">
    <w:abstractNumId w:val="85"/>
  </w:num>
  <w:num w:numId="71">
    <w:abstractNumId w:val="28"/>
  </w:num>
  <w:num w:numId="72">
    <w:abstractNumId w:val="69"/>
  </w:num>
  <w:num w:numId="73">
    <w:abstractNumId w:val="34"/>
  </w:num>
  <w:num w:numId="74">
    <w:abstractNumId w:val="77"/>
  </w:num>
  <w:num w:numId="75">
    <w:abstractNumId w:val="2"/>
  </w:num>
  <w:num w:numId="76">
    <w:abstractNumId w:val="36"/>
  </w:num>
  <w:num w:numId="77">
    <w:abstractNumId w:val="5"/>
  </w:num>
  <w:num w:numId="78">
    <w:abstractNumId w:val="47"/>
  </w:num>
  <w:num w:numId="79">
    <w:abstractNumId w:val="9"/>
  </w:num>
  <w:num w:numId="80">
    <w:abstractNumId w:val="14"/>
  </w:num>
  <w:num w:numId="81">
    <w:abstractNumId w:val="20"/>
  </w:num>
  <w:num w:numId="82">
    <w:abstractNumId w:val="72"/>
  </w:num>
  <w:num w:numId="83">
    <w:abstractNumId w:val="73"/>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7"/>
  </w:num>
  <w:num w:numId="86">
    <w:abstractNumId w:val="63"/>
  </w:num>
  <w:num w:numId="87">
    <w:abstractNumId w:val="65"/>
  </w:num>
  <w:num w:numId="88">
    <w:abstractNumId w:val="1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561"/>
    <w:rsid w:val="00004DEC"/>
    <w:rsid w:val="00004EAF"/>
    <w:rsid w:val="000055A5"/>
    <w:rsid w:val="00010EA0"/>
    <w:rsid w:val="0002018C"/>
    <w:rsid w:val="00020CE3"/>
    <w:rsid w:val="00021469"/>
    <w:rsid w:val="000219AC"/>
    <w:rsid w:val="0002560D"/>
    <w:rsid w:val="000260B3"/>
    <w:rsid w:val="00031AE3"/>
    <w:rsid w:val="00031D24"/>
    <w:rsid w:val="000322AA"/>
    <w:rsid w:val="0003316C"/>
    <w:rsid w:val="000333BE"/>
    <w:rsid w:val="00036405"/>
    <w:rsid w:val="00037791"/>
    <w:rsid w:val="00037873"/>
    <w:rsid w:val="00042636"/>
    <w:rsid w:val="0005076E"/>
    <w:rsid w:val="00054381"/>
    <w:rsid w:val="0006603F"/>
    <w:rsid w:val="000672BE"/>
    <w:rsid w:val="000711E1"/>
    <w:rsid w:val="00073708"/>
    <w:rsid w:val="00074A95"/>
    <w:rsid w:val="000849DB"/>
    <w:rsid w:val="000876F1"/>
    <w:rsid w:val="00090E10"/>
    <w:rsid w:val="00091FF6"/>
    <w:rsid w:val="00093C6D"/>
    <w:rsid w:val="00096F98"/>
    <w:rsid w:val="000979E2"/>
    <w:rsid w:val="000A024B"/>
    <w:rsid w:val="000B1EB6"/>
    <w:rsid w:val="000B361E"/>
    <w:rsid w:val="000C29AA"/>
    <w:rsid w:val="000C33BF"/>
    <w:rsid w:val="000C56BD"/>
    <w:rsid w:val="000D2C6C"/>
    <w:rsid w:val="000D71F0"/>
    <w:rsid w:val="000D767E"/>
    <w:rsid w:val="000E33BA"/>
    <w:rsid w:val="000E637D"/>
    <w:rsid w:val="000E7E6A"/>
    <w:rsid w:val="000F268B"/>
    <w:rsid w:val="000F3078"/>
    <w:rsid w:val="000F3993"/>
    <w:rsid w:val="000F63AB"/>
    <w:rsid w:val="0010272B"/>
    <w:rsid w:val="00106EB8"/>
    <w:rsid w:val="00111582"/>
    <w:rsid w:val="001116FF"/>
    <w:rsid w:val="00112624"/>
    <w:rsid w:val="00113F0D"/>
    <w:rsid w:val="00120F38"/>
    <w:rsid w:val="0012214B"/>
    <w:rsid w:val="001235EF"/>
    <w:rsid w:val="001257B8"/>
    <w:rsid w:val="00125A2F"/>
    <w:rsid w:val="001268F0"/>
    <w:rsid w:val="001338EC"/>
    <w:rsid w:val="001405AE"/>
    <w:rsid w:val="00144DC2"/>
    <w:rsid w:val="00147CB4"/>
    <w:rsid w:val="00150480"/>
    <w:rsid w:val="00150BAE"/>
    <w:rsid w:val="00151178"/>
    <w:rsid w:val="00157FB3"/>
    <w:rsid w:val="00164CE4"/>
    <w:rsid w:val="00165ACD"/>
    <w:rsid w:val="00166367"/>
    <w:rsid w:val="00167966"/>
    <w:rsid w:val="00167F4A"/>
    <w:rsid w:val="001743CE"/>
    <w:rsid w:val="00176FCE"/>
    <w:rsid w:val="001776C9"/>
    <w:rsid w:val="00181BBB"/>
    <w:rsid w:val="00192E06"/>
    <w:rsid w:val="001942EC"/>
    <w:rsid w:val="001956D6"/>
    <w:rsid w:val="00196B2C"/>
    <w:rsid w:val="00197713"/>
    <w:rsid w:val="001A22CC"/>
    <w:rsid w:val="001A2DDC"/>
    <w:rsid w:val="001A4F13"/>
    <w:rsid w:val="001A5072"/>
    <w:rsid w:val="001A5FBF"/>
    <w:rsid w:val="001A62C0"/>
    <w:rsid w:val="001B0823"/>
    <w:rsid w:val="001B3179"/>
    <w:rsid w:val="001B569F"/>
    <w:rsid w:val="001B5CE9"/>
    <w:rsid w:val="001B6FA7"/>
    <w:rsid w:val="001C47BC"/>
    <w:rsid w:val="001C6E62"/>
    <w:rsid w:val="001D1461"/>
    <w:rsid w:val="001D629C"/>
    <w:rsid w:val="001E1C30"/>
    <w:rsid w:val="001E2B55"/>
    <w:rsid w:val="001F038D"/>
    <w:rsid w:val="001F1850"/>
    <w:rsid w:val="001F2A05"/>
    <w:rsid w:val="001F496B"/>
    <w:rsid w:val="001F6379"/>
    <w:rsid w:val="00204415"/>
    <w:rsid w:val="00212443"/>
    <w:rsid w:val="002140B5"/>
    <w:rsid w:val="00216808"/>
    <w:rsid w:val="00216A83"/>
    <w:rsid w:val="00224B44"/>
    <w:rsid w:val="00224B92"/>
    <w:rsid w:val="0022522E"/>
    <w:rsid w:val="00231333"/>
    <w:rsid w:val="00231BB7"/>
    <w:rsid w:val="0023418F"/>
    <w:rsid w:val="00234413"/>
    <w:rsid w:val="002357E1"/>
    <w:rsid w:val="00236043"/>
    <w:rsid w:val="00236AAE"/>
    <w:rsid w:val="002411A7"/>
    <w:rsid w:val="00243766"/>
    <w:rsid w:val="00243CB2"/>
    <w:rsid w:val="00244277"/>
    <w:rsid w:val="002523E0"/>
    <w:rsid w:val="00252897"/>
    <w:rsid w:val="00253397"/>
    <w:rsid w:val="0026486A"/>
    <w:rsid w:val="00264D14"/>
    <w:rsid w:val="00271196"/>
    <w:rsid w:val="00276B09"/>
    <w:rsid w:val="00281181"/>
    <w:rsid w:val="00283173"/>
    <w:rsid w:val="00285792"/>
    <w:rsid w:val="002858A7"/>
    <w:rsid w:val="00291985"/>
    <w:rsid w:val="0029200F"/>
    <w:rsid w:val="00293839"/>
    <w:rsid w:val="002942AC"/>
    <w:rsid w:val="00296D5C"/>
    <w:rsid w:val="002970F3"/>
    <w:rsid w:val="002978F5"/>
    <w:rsid w:val="002A22CE"/>
    <w:rsid w:val="002A311C"/>
    <w:rsid w:val="002A5DC3"/>
    <w:rsid w:val="002B0942"/>
    <w:rsid w:val="002C07ED"/>
    <w:rsid w:val="002C0BEB"/>
    <w:rsid w:val="002C0F8D"/>
    <w:rsid w:val="002C425C"/>
    <w:rsid w:val="002C42D8"/>
    <w:rsid w:val="002D170E"/>
    <w:rsid w:val="002D2E3F"/>
    <w:rsid w:val="002D3FF5"/>
    <w:rsid w:val="002E119A"/>
    <w:rsid w:val="002E141C"/>
    <w:rsid w:val="002F102A"/>
    <w:rsid w:val="002F2670"/>
    <w:rsid w:val="002F2B03"/>
    <w:rsid w:val="002F4B15"/>
    <w:rsid w:val="00311BAC"/>
    <w:rsid w:val="003120BE"/>
    <w:rsid w:val="003210FF"/>
    <w:rsid w:val="003257F2"/>
    <w:rsid w:val="00325DE3"/>
    <w:rsid w:val="00326859"/>
    <w:rsid w:val="0032793C"/>
    <w:rsid w:val="00333FCA"/>
    <w:rsid w:val="0033580D"/>
    <w:rsid w:val="00336766"/>
    <w:rsid w:val="00341B94"/>
    <w:rsid w:val="00345932"/>
    <w:rsid w:val="00345FBB"/>
    <w:rsid w:val="00353EBE"/>
    <w:rsid w:val="00355D6E"/>
    <w:rsid w:val="0035611C"/>
    <w:rsid w:val="0035766E"/>
    <w:rsid w:val="00357D4A"/>
    <w:rsid w:val="00360BE3"/>
    <w:rsid w:val="0036464D"/>
    <w:rsid w:val="003701C2"/>
    <w:rsid w:val="003742C4"/>
    <w:rsid w:val="00380227"/>
    <w:rsid w:val="00381183"/>
    <w:rsid w:val="0038593B"/>
    <w:rsid w:val="0039145D"/>
    <w:rsid w:val="003918B9"/>
    <w:rsid w:val="00396F4A"/>
    <w:rsid w:val="003A138F"/>
    <w:rsid w:val="003B102B"/>
    <w:rsid w:val="003B10B9"/>
    <w:rsid w:val="003C113F"/>
    <w:rsid w:val="003C55EF"/>
    <w:rsid w:val="003D0352"/>
    <w:rsid w:val="003D3017"/>
    <w:rsid w:val="003E2359"/>
    <w:rsid w:val="003E2DAE"/>
    <w:rsid w:val="003E625A"/>
    <w:rsid w:val="003E7588"/>
    <w:rsid w:val="003E78FC"/>
    <w:rsid w:val="003F4DD8"/>
    <w:rsid w:val="003F6E44"/>
    <w:rsid w:val="003F75BF"/>
    <w:rsid w:val="00403D6A"/>
    <w:rsid w:val="00406BC6"/>
    <w:rsid w:val="00406DDF"/>
    <w:rsid w:val="00416B31"/>
    <w:rsid w:val="00416E8E"/>
    <w:rsid w:val="004238E1"/>
    <w:rsid w:val="00435C46"/>
    <w:rsid w:val="00435DEC"/>
    <w:rsid w:val="00440EFB"/>
    <w:rsid w:val="00442AD7"/>
    <w:rsid w:val="00443193"/>
    <w:rsid w:val="0044424E"/>
    <w:rsid w:val="00444AD7"/>
    <w:rsid w:val="00475A35"/>
    <w:rsid w:val="00484C83"/>
    <w:rsid w:val="00487BF8"/>
    <w:rsid w:val="00491190"/>
    <w:rsid w:val="004A5A6B"/>
    <w:rsid w:val="004B29B3"/>
    <w:rsid w:val="004B3969"/>
    <w:rsid w:val="004B597A"/>
    <w:rsid w:val="004B6018"/>
    <w:rsid w:val="004C067E"/>
    <w:rsid w:val="004C3515"/>
    <w:rsid w:val="004D09EF"/>
    <w:rsid w:val="004D5A9A"/>
    <w:rsid w:val="004E0B00"/>
    <w:rsid w:val="004F034D"/>
    <w:rsid w:val="004F221C"/>
    <w:rsid w:val="004F5CFF"/>
    <w:rsid w:val="00500530"/>
    <w:rsid w:val="00500812"/>
    <w:rsid w:val="005032C9"/>
    <w:rsid w:val="0050453C"/>
    <w:rsid w:val="0050486A"/>
    <w:rsid w:val="00505528"/>
    <w:rsid w:val="00516C26"/>
    <w:rsid w:val="00534173"/>
    <w:rsid w:val="00534EFE"/>
    <w:rsid w:val="0053561A"/>
    <w:rsid w:val="00536FC7"/>
    <w:rsid w:val="0054343D"/>
    <w:rsid w:val="00543DFD"/>
    <w:rsid w:val="005440A6"/>
    <w:rsid w:val="0054459B"/>
    <w:rsid w:val="005540BB"/>
    <w:rsid w:val="00561EFB"/>
    <w:rsid w:val="00564AC5"/>
    <w:rsid w:val="005737FF"/>
    <w:rsid w:val="00573B3E"/>
    <w:rsid w:val="00573F1F"/>
    <w:rsid w:val="00580676"/>
    <w:rsid w:val="00580B65"/>
    <w:rsid w:val="00592DF1"/>
    <w:rsid w:val="0059365D"/>
    <w:rsid w:val="00593BF5"/>
    <w:rsid w:val="005955D2"/>
    <w:rsid w:val="005962DD"/>
    <w:rsid w:val="005A4284"/>
    <w:rsid w:val="005A4633"/>
    <w:rsid w:val="005A48D7"/>
    <w:rsid w:val="005A4EA5"/>
    <w:rsid w:val="005A6DF5"/>
    <w:rsid w:val="005B051D"/>
    <w:rsid w:val="005B7726"/>
    <w:rsid w:val="005C1653"/>
    <w:rsid w:val="005C3C5A"/>
    <w:rsid w:val="005D0433"/>
    <w:rsid w:val="005D139C"/>
    <w:rsid w:val="005D4A18"/>
    <w:rsid w:val="005D5DA8"/>
    <w:rsid w:val="005D78FB"/>
    <w:rsid w:val="005E44D2"/>
    <w:rsid w:val="005F4C74"/>
    <w:rsid w:val="00614196"/>
    <w:rsid w:val="006260D5"/>
    <w:rsid w:val="00634050"/>
    <w:rsid w:val="00634C78"/>
    <w:rsid w:val="0063582A"/>
    <w:rsid w:val="00643D02"/>
    <w:rsid w:val="0064534F"/>
    <w:rsid w:val="00645E6C"/>
    <w:rsid w:val="0064683F"/>
    <w:rsid w:val="00647803"/>
    <w:rsid w:val="006507F2"/>
    <w:rsid w:val="00650803"/>
    <w:rsid w:val="00653F15"/>
    <w:rsid w:val="00655492"/>
    <w:rsid w:val="00657DE6"/>
    <w:rsid w:val="00663CDA"/>
    <w:rsid w:val="00670C0C"/>
    <w:rsid w:val="00671CF9"/>
    <w:rsid w:val="00674721"/>
    <w:rsid w:val="00675D0C"/>
    <w:rsid w:val="00681008"/>
    <w:rsid w:val="00687A53"/>
    <w:rsid w:val="00690160"/>
    <w:rsid w:val="006906D9"/>
    <w:rsid w:val="00690847"/>
    <w:rsid w:val="0069099E"/>
    <w:rsid w:val="00691003"/>
    <w:rsid w:val="006922A2"/>
    <w:rsid w:val="00692BA7"/>
    <w:rsid w:val="00693BC7"/>
    <w:rsid w:val="00693CD3"/>
    <w:rsid w:val="00696F6C"/>
    <w:rsid w:val="006A1007"/>
    <w:rsid w:val="006A5B0E"/>
    <w:rsid w:val="006A711A"/>
    <w:rsid w:val="006B074E"/>
    <w:rsid w:val="006B17C8"/>
    <w:rsid w:val="006B2BD5"/>
    <w:rsid w:val="006B6407"/>
    <w:rsid w:val="006C26FB"/>
    <w:rsid w:val="006D0E3D"/>
    <w:rsid w:val="006D1D3C"/>
    <w:rsid w:val="006D476B"/>
    <w:rsid w:val="006D61FA"/>
    <w:rsid w:val="006F0E5C"/>
    <w:rsid w:val="006F0EC7"/>
    <w:rsid w:val="006F284C"/>
    <w:rsid w:val="006F67F0"/>
    <w:rsid w:val="006F7227"/>
    <w:rsid w:val="007010FA"/>
    <w:rsid w:val="00702366"/>
    <w:rsid w:val="00705456"/>
    <w:rsid w:val="00711C5A"/>
    <w:rsid w:val="00712FD8"/>
    <w:rsid w:val="007163BC"/>
    <w:rsid w:val="00717CE3"/>
    <w:rsid w:val="00724BAA"/>
    <w:rsid w:val="00730AE3"/>
    <w:rsid w:val="00736BC2"/>
    <w:rsid w:val="00741A0A"/>
    <w:rsid w:val="00742935"/>
    <w:rsid w:val="007462A7"/>
    <w:rsid w:val="0075167F"/>
    <w:rsid w:val="00752F7A"/>
    <w:rsid w:val="00761177"/>
    <w:rsid w:val="0076123B"/>
    <w:rsid w:val="007613D2"/>
    <w:rsid w:val="00763526"/>
    <w:rsid w:val="00764705"/>
    <w:rsid w:val="00765D1E"/>
    <w:rsid w:val="00780960"/>
    <w:rsid w:val="00780F50"/>
    <w:rsid w:val="00784048"/>
    <w:rsid w:val="007912B4"/>
    <w:rsid w:val="0079254A"/>
    <w:rsid w:val="0079325E"/>
    <w:rsid w:val="007949E6"/>
    <w:rsid w:val="00794D7F"/>
    <w:rsid w:val="00795477"/>
    <w:rsid w:val="007A0D43"/>
    <w:rsid w:val="007A22B7"/>
    <w:rsid w:val="007B1587"/>
    <w:rsid w:val="007C37A4"/>
    <w:rsid w:val="007C4931"/>
    <w:rsid w:val="007C5285"/>
    <w:rsid w:val="007C61F4"/>
    <w:rsid w:val="007C633B"/>
    <w:rsid w:val="007D3182"/>
    <w:rsid w:val="007D56BD"/>
    <w:rsid w:val="007E0E11"/>
    <w:rsid w:val="007F35AE"/>
    <w:rsid w:val="00800679"/>
    <w:rsid w:val="008049FC"/>
    <w:rsid w:val="008052E0"/>
    <w:rsid w:val="00805E29"/>
    <w:rsid w:val="0080715D"/>
    <w:rsid w:val="008075A1"/>
    <w:rsid w:val="00811A17"/>
    <w:rsid w:val="0081340E"/>
    <w:rsid w:val="008153F7"/>
    <w:rsid w:val="00815E55"/>
    <w:rsid w:val="00816AD7"/>
    <w:rsid w:val="00825524"/>
    <w:rsid w:val="0083211E"/>
    <w:rsid w:val="008435FB"/>
    <w:rsid w:val="008461ED"/>
    <w:rsid w:val="00847F50"/>
    <w:rsid w:val="00853580"/>
    <w:rsid w:val="00853DC1"/>
    <w:rsid w:val="00855455"/>
    <w:rsid w:val="00855E30"/>
    <w:rsid w:val="008572A5"/>
    <w:rsid w:val="00867A65"/>
    <w:rsid w:val="00870D40"/>
    <w:rsid w:val="00872D56"/>
    <w:rsid w:val="00872E46"/>
    <w:rsid w:val="0087586D"/>
    <w:rsid w:val="00880C91"/>
    <w:rsid w:val="00883D86"/>
    <w:rsid w:val="008936EE"/>
    <w:rsid w:val="00894038"/>
    <w:rsid w:val="00896636"/>
    <w:rsid w:val="008966A7"/>
    <w:rsid w:val="008A1114"/>
    <w:rsid w:val="008A6B57"/>
    <w:rsid w:val="008B3911"/>
    <w:rsid w:val="008C013C"/>
    <w:rsid w:val="008C1E35"/>
    <w:rsid w:val="008D10AC"/>
    <w:rsid w:val="008D1507"/>
    <w:rsid w:val="008D5AA2"/>
    <w:rsid w:val="008E5F84"/>
    <w:rsid w:val="008E70ED"/>
    <w:rsid w:val="008E72D6"/>
    <w:rsid w:val="008E7500"/>
    <w:rsid w:val="008E7A43"/>
    <w:rsid w:val="008F01D2"/>
    <w:rsid w:val="008F08AD"/>
    <w:rsid w:val="008F2E43"/>
    <w:rsid w:val="008F5D53"/>
    <w:rsid w:val="008F7E83"/>
    <w:rsid w:val="009065E1"/>
    <w:rsid w:val="009067F8"/>
    <w:rsid w:val="009157B4"/>
    <w:rsid w:val="009175A8"/>
    <w:rsid w:val="009203F4"/>
    <w:rsid w:val="00920A2A"/>
    <w:rsid w:val="00922A43"/>
    <w:rsid w:val="00922EAD"/>
    <w:rsid w:val="0092794B"/>
    <w:rsid w:val="00933BEE"/>
    <w:rsid w:val="009359EB"/>
    <w:rsid w:val="00940EE1"/>
    <w:rsid w:val="00953525"/>
    <w:rsid w:val="00953856"/>
    <w:rsid w:val="009554D5"/>
    <w:rsid w:val="00962A31"/>
    <w:rsid w:val="009663C9"/>
    <w:rsid w:val="0098366D"/>
    <w:rsid w:val="00983680"/>
    <w:rsid w:val="00990320"/>
    <w:rsid w:val="009951E1"/>
    <w:rsid w:val="009A3088"/>
    <w:rsid w:val="009A485E"/>
    <w:rsid w:val="009B0787"/>
    <w:rsid w:val="009B168F"/>
    <w:rsid w:val="009B5E1D"/>
    <w:rsid w:val="009C54DB"/>
    <w:rsid w:val="009D2F92"/>
    <w:rsid w:val="009D342F"/>
    <w:rsid w:val="009D72BD"/>
    <w:rsid w:val="009D77B0"/>
    <w:rsid w:val="009E2B79"/>
    <w:rsid w:val="009E3A48"/>
    <w:rsid w:val="009E5E18"/>
    <w:rsid w:val="009E6BA9"/>
    <w:rsid w:val="009F1383"/>
    <w:rsid w:val="009F6935"/>
    <w:rsid w:val="00A004B9"/>
    <w:rsid w:val="00A02A18"/>
    <w:rsid w:val="00A02A78"/>
    <w:rsid w:val="00A0693F"/>
    <w:rsid w:val="00A10051"/>
    <w:rsid w:val="00A10C85"/>
    <w:rsid w:val="00A12E58"/>
    <w:rsid w:val="00A138AE"/>
    <w:rsid w:val="00A143B9"/>
    <w:rsid w:val="00A16E19"/>
    <w:rsid w:val="00A20F36"/>
    <w:rsid w:val="00A214DD"/>
    <w:rsid w:val="00A22668"/>
    <w:rsid w:val="00A23D0C"/>
    <w:rsid w:val="00A2637A"/>
    <w:rsid w:val="00A27E35"/>
    <w:rsid w:val="00A30DAD"/>
    <w:rsid w:val="00A36A64"/>
    <w:rsid w:val="00A37482"/>
    <w:rsid w:val="00A40147"/>
    <w:rsid w:val="00A4063A"/>
    <w:rsid w:val="00A46424"/>
    <w:rsid w:val="00A5299C"/>
    <w:rsid w:val="00A60CD2"/>
    <w:rsid w:val="00A6302E"/>
    <w:rsid w:val="00A722F5"/>
    <w:rsid w:val="00A77FA3"/>
    <w:rsid w:val="00A81BAD"/>
    <w:rsid w:val="00A864CC"/>
    <w:rsid w:val="00A92086"/>
    <w:rsid w:val="00A96257"/>
    <w:rsid w:val="00A96446"/>
    <w:rsid w:val="00A96B28"/>
    <w:rsid w:val="00AA014E"/>
    <w:rsid w:val="00AA0634"/>
    <w:rsid w:val="00AA07E3"/>
    <w:rsid w:val="00AA1FFB"/>
    <w:rsid w:val="00AB2D94"/>
    <w:rsid w:val="00AB420D"/>
    <w:rsid w:val="00AB7B9B"/>
    <w:rsid w:val="00AC1E69"/>
    <w:rsid w:val="00AC41B7"/>
    <w:rsid w:val="00AC75CE"/>
    <w:rsid w:val="00AD07C6"/>
    <w:rsid w:val="00AD3D90"/>
    <w:rsid w:val="00AD5340"/>
    <w:rsid w:val="00AD55E7"/>
    <w:rsid w:val="00AD7B82"/>
    <w:rsid w:val="00AE1582"/>
    <w:rsid w:val="00AE3A58"/>
    <w:rsid w:val="00AF0185"/>
    <w:rsid w:val="00AF14E7"/>
    <w:rsid w:val="00AF51DF"/>
    <w:rsid w:val="00AF5DAD"/>
    <w:rsid w:val="00AF63B2"/>
    <w:rsid w:val="00AF7D0C"/>
    <w:rsid w:val="00B006C0"/>
    <w:rsid w:val="00B01911"/>
    <w:rsid w:val="00B041CF"/>
    <w:rsid w:val="00B069E8"/>
    <w:rsid w:val="00B11282"/>
    <w:rsid w:val="00B12DD1"/>
    <w:rsid w:val="00B23120"/>
    <w:rsid w:val="00B271A0"/>
    <w:rsid w:val="00B3299A"/>
    <w:rsid w:val="00B42BC7"/>
    <w:rsid w:val="00B45220"/>
    <w:rsid w:val="00B470B5"/>
    <w:rsid w:val="00B47660"/>
    <w:rsid w:val="00B522B4"/>
    <w:rsid w:val="00B5440F"/>
    <w:rsid w:val="00B56B11"/>
    <w:rsid w:val="00B56E5D"/>
    <w:rsid w:val="00B577DF"/>
    <w:rsid w:val="00B579D9"/>
    <w:rsid w:val="00B846C6"/>
    <w:rsid w:val="00B85F9B"/>
    <w:rsid w:val="00B8674B"/>
    <w:rsid w:val="00B93197"/>
    <w:rsid w:val="00B9460E"/>
    <w:rsid w:val="00B972FA"/>
    <w:rsid w:val="00BA05D5"/>
    <w:rsid w:val="00BA1498"/>
    <w:rsid w:val="00BA3233"/>
    <w:rsid w:val="00BA5A81"/>
    <w:rsid w:val="00BB109E"/>
    <w:rsid w:val="00BB2BD4"/>
    <w:rsid w:val="00BB3144"/>
    <w:rsid w:val="00BB79D0"/>
    <w:rsid w:val="00BC5BDC"/>
    <w:rsid w:val="00BC642B"/>
    <w:rsid w:val="00BD2471"/>
    <w:rsid w:val="00BD3550"/>
    <w:rsid w:val="00BD3773"/>
    <w:rsid w:val="00BD3EA7"/>
    <w:rsid w:val="00BD402A"/>
    <w:rsid w:val="00BE37A4"/>
    <w:rsid w:val="00BE45DE"/>
    <w:rsid w:val="00BE73DC"/>
    <w:rsid w:val="00BF2082"/>
    <w:rsid w:val="00BF6797"/>
    <w:rsid w:val="00C02625"/>
    <w:rsid w:val="00C05456"/>
    <w:rsid w:val="00C076A9"/>
    <w:rsid w:val="00C0799D"/>
    <w:rsid w:val="00C11B1C"/>
    <w:rsid w:val="00C11BE2"/>
    <w:rsid w:val="00C12F4F"/>
    <w:rsid w:val="00C15BBB"/>
    <w:rsid w:val="00C17480"/>
    <w:rsid w:val="00C22D62"/>
    <w:rsid w:val="00C2495A"/>
    <w:rsid w:val="00C26433"/>
    <w:rsid w:val="00C3032F"/>
    <w:rsid w:val="00C31FC0"/>
    <w:rsid w:val="00C37FF1"/>
    <w:rsid w:val="00C41D7F"/>
    <w:rsid w:val="00C42964"/>
    <w:rsid w:val="00C4453D"/>
    <w:rsid w:val="00C451A1"/>
    <w:rsid w:val="00C45A6B"/>
    <w:rsid w:val="00C507CD"/>
    <w:rsid w:val="00C56659"/>
    <w:rsid w:val="00C61E45"/>
    <w:rsid w:val="00C64F50"/>
    <w:rsid w:val="00C70BDA"/>
    <w:rsid w:val="00C73CD6"/>
    <w:rsid w:val="00C774E5"/>
    <w:rsid w:val="00C82060"/>
    <w:rsid w:val="00C82679"/>
    <w:rsid w:val="00C82868"/>
    <w:rsid w:val="00C830B5"/>
    <w:rsid w:val="00C912FE"/>
    <w:rsid w:val="00C94AC5"/>
    <w:rsid w:val="00C96220"/>
    <w:rsid w:val="00CA0213"/>
    <w:rsid w:val="00CA14AA"/>
    <w:rsid w:val="00CA6905"/>
    <w:rsid w:val="00CA6B87"/>
    <w:rsid w:val="00CB22AD"/>
    <w:rsid w:val="00CB2AE5"/>
    <w:rsid w:val="00CB51DA"/>
    <w:rsid w:val="00CB6542"/>
    <w:rsid w:val="00CB7C56"/>
    <w:rsid w:val="00CC2031"/>
    <w:rsid w:val="00CC2E24"/>
    <w:rsid w:val="00CC415F"/>
    <w:rsid w:val="00CD4916"/>
    <w:rsid w:val="00CE0997"/>
    <w:rsid w:val="00CE51C3"/>
    <w:rsid w:val="00CF3E63"/>
    <w:rsid w:val="00CF4F69"/>
    <w:rsid w:val="00CF5424"/>
    <w:rsid w:val="00CF5F96"/>
    <w:rsid w:val="00D05E23"/>
    <w:rsid w:val="00D15193"/>
    <w:rsid w:val="00D22AE8"/>
    <w:rsid w:val="00D2379C"/>
    <w:rsid w:val="00D25459"/>
    <w:rsid w:val="00D26102"/>
    <w:rsid w:val="00D26B19"/>
    <w:rsid w:val="00D33FA2"/>
    <w:rsid w:val="00D40387"/>
    <w:rsid w:val="00D40B0A"/>
    <w:rsid w:val="00D432AD"/>
    <w:rsid w:val="00D43CD7"/>
    <w:rsid w:val="00D43E25"/>
    <w:rsid w:val="00D444FC"/>
    <w:rsid w:val="00D468CE"/>
    <w:rsid w:val="00D4777C"/>
    <w:rsid w:val="00D5013C"/>
    <w:rsid w:val="00D51069"/>
    <w:rsid w:val="00D52544"/>
    <w:rsid w:val="00D61DD7"/>
    <w:rsid w:val="00D61F9B"/>
    <w:rsid w:val="00D660E2"/>
    <w:rsid w:val="00D6617B"/>
    <w:rsid w:val="00D66F98"/>
    <w:rsid w:val="00D74D98"/>
    <w:rsid w:val="00D806EB"/>
    <w:rsid w:val="00D815B8"/>
    <w:rsid w:val="00D82FD1"/>
    <w:rsid w:val="00D84795"/>
    <w:rsid w:val="00D86F6E"/>
    <w:rsid w:val="00D9097D"/>
    <w:rsid w:val="00D91D14"/>
    <w:rsid w:val="00D94F04"/>
    <w:rsid w:val="00D9537D"/>
    <w:rsid w:val="00DA2A65"/>
    <w:rsid w:val="00DA30C7"/>
    <w:rsid w:val="00DA36F7"/>
    <w:rsid w:val="00DA44B8"/>
    <w:rsid w:val="00DB4155"/>
    <w:rsid w:val="00DC078B"/>
    <w:rsid w:val="00DC1B9A"/>
    <w:rsid w:val="00DC2190"/>
    <w:rsid w:val="00DC6ADE"/>
    <w:rsid w:val="00DC7822"/>
    <w:rsid w:val="00DD0DDE"/>
    <w:rsid w:val="00DD1CDF"/>
    <w:rsid w:val="00DD5121"/>
    <w:rsid w:val="00DD52CC"/>
    <w:rsid w:val="00DD56EA"/>
    <w:rsid w:val="00DE065C"/>
    <w:rsid w:val="00DE308B"/>
    <w:rsid w:val="00DE4BF5"/>
    <w:rsid w:val="00DF2A48"/>
    <w:rsid w:val="00DF4FD9"/>
    <w:rsid w:val="00DF51A6"/>
    <w:rsid w:val="00E059DA"/>
    <w:rsid w:val="00E05D88"/>
    <w:rsid w:val="00E079BB"/>
    <w:rsid w:val="00E121C5"/>
    <w:rsid w:val="00E13E47"/>
    <w:rsid w:val="00E14E45"/>
    <w:rsid w:val="00E16645"/>
    <w:rsid w:val="00E2241E"/>
    <w:rsid w:val="00E3120A"/>
    <w:rsid w:val="00E37A7A"/>
    <w:rsid w:val="00E47630"/>
    <w:rsid w:val="00E543AE"/>
    <w:rsid w:val="00E55B3B"/>
    <w:rsid w:val="00E55E91"/>
    <w:rsid w:val="00E56561"/>
    <w:rsid w:val="00E577C9"/>
    <w:rsid w:val="00E62BFB"/>
    <w:rsid w:val="00E66E68"/>
    <w:rsid w:val="00E77123"/>
    <w:rsid w:val="00E77DDF"/>
    <w:rsid w:val="00E81B95"/>
    <w:rsid w:val="00E83CB9"/>
    <w:rsid w:val="00E8483D"/>
    <w:rsid w:val="00E85919"/>
    <w:rsid w:val="00E91287"/>
    <w:rsid w:val="00EA2606"/>
    <w:rsid w:val="00EA2E10"/>
    <w:rsid w:val="00EA5B83"/>
    <w:rsid w:val="00EA6EF9"/>
    <w:rsid w:val="00EA7525"/>
    <w:rsid w:val="00EB7269"/>
    <w:rsid w:val="00EC006B"/>
    <w:rsid w:val="00EC0891"/>
    <w:rsid w:val="00ED52A8"/>
    <w:rsid w:val="00ED6E89"/>
    <w:rsid w:val="00EE00D4"/>
    <w:rsid w:val="00EE51DB"/>
    <w:rsid w:val="00EF0C1F"/>
    <w:rsid w:val="00EF23A5"/>
    <w:rsid w:val="00EF2F71"/>
    <w:rsid w:val="00EF5965"/>
    <w:rsid w:val="00F13DC0"/>
    <w:rsid w:val="00F14485"/>
    <w:rsid w:val="00F16628"/>
    <w:rsid w:val="00F16F02"/>
    <w:rsid w:val="00F17422"/>
    <w:rsid w:val="00F269DC"/>
    <w:rsid w:val="00F26A60"/>
    <w:rsid w:val="00F31C34"/>
    <w:rsid w:val="00F337F7"/>
    <w:rsid w:val="00F3688C"/>
    <w:rsid w:val="00F37A33"/>
    <w:rsid w:val="00F4079E"/>
    <w:rsid w:val="00F41633"/>
    <w:rsid w:val="00F416A0"/>
    <w:rsid w:val="00F4478E"/>
    <w:rsid w:val="00F45428"/>
    <w:rsid w:val="00F465B6"/>
    <w:rsid w:val="00F52824"/>
    <w:rsid w:val="00F5282C"/>
    <w:rsid w:val="00F6113A"/>
    <w:rsid w:val="00F64CB9"/>
    <w:rsid w:val="00F66AEE"/>
    <w:rsid w:val="00F67181"/>
    <w:rsid w:val="00F67E8A"/>
    <w:rsid w:val="00F7122F"/>
    <w:rsid w:val="00F71B12"/>
    <w:rsid w:val="00F730E1"/>
    <w:rsid w:val="00F764B7"/>
    <w:rsid w:val="00F771FB"/>
    <w:rsid w:val="00F77628"/>
    <w:rsid w:val="00F8179F"/>
    <w:rsid w:val="00F838DD"/>
    <w:rsid w:val="00F92FAE"/>
    <w:rsid w:val="00FA007A"/>
    <w:rsid w:val="00FA0C36"/>
    <w:rsid w:val="00FA3085"/>
    <w:rsid w:val="00FA6FAD"/>
    <w:rsid w:val="00FB0C87"/>
    <w:rsid w:val="00FB25F8"/>
    <w:rsid w:val="00FC5C6D"/>
    <w:rsid w:val="00FC6159"/>
    <w:rsid w:val="00FC61AB"/>
    <w:rsid w:val="00FD061C"/>
    <w:rsid w:val="00FD2898"/>
    <w:rsid w:val="00FD360D"/>
    <w:rsid w:val="00FF1E60"/>
    <w:rsid w:val="00FF4D6A"/>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CD75C3D-B566-4FF6-828A-0EEE6D39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0" w:unhideWhenUsed="1"/>
    <w:lsdException w:name="Table Grid" w:uiPriority="39"/>
    <w:lsdException w:name="Table Theme" w:locked="1" w:semiHidden="1" w:unhideWhenUsed="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pPr>
      <w:keepLines/>
      <w:spacing w:after="60"/>
      <w:ind w:firstLine="720"/>
    </w:pPr>
    <w:rPr>
      <w:sz w:val="18"/>
    </w:rPr>
  </w:style>
  <w:style w:type="paragraph" w:styleId="BodyText">
    <w:name w:val="Body Text"/>
    <w:basedOn w:val="Normal"/>
    <w:link w:val="BodyTextCh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Pr>
      <w:sz w:val="16"/>
    </w:rPr>
  </w:style>
  <w:style w:type="paragraph" w:styleId="CommentText">
    <w:name w:val="annotation text"/>
    <w:basedOn w:val="Normal"/>
    <w:link w:val="CommentTextChar"/>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sz w:val="18"/>
      <w:u w:val="single"/>
      <w:vertAlign w:val="baseline"/>
    </w:rPr>
  </w:style>
  <w:style w:type="paragraph" w:styleId="BodyTextIndent">
    <w:name w:val="Body Text Indent"/>
    <w:basedOn w:val="Normal"/>
    <w:link w:val="BodyTextIndentChar"/>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5"/>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uiPriority w:val="39"/>
    <w:pPr>
      <w:spacing w:before="120" w:after="120"/>
      <w:ind w:left="1760"/>
      <w:jc w:val="left"/>
    </w:pPr>
  </w:style>
  <w:style w:type="paragraph" w:styleId="TOC1">
    <w:name w:val="toc 1"/>
    <w:basedOn w:val="Normal"/>
    <w:next w:val="Normal"/>
    <w:autoRedefine/>
    <w:uiPriority w:val="39"/>
    <w:rsid w:val="00ED52A8"/>
    <w:pPr>
      <w:tabs>
        <w:tab w:val="right" w:leader="dot" w:pos="9350"/>
      </w:tabs>
      <w:spacing w:after="120"/>
      <w:ind w:left="720" w:hanging="720"/>
      <w:jc w:val="left"/>
    </w:pPr>
    <w:rPr>
      <w:caps/>
    </w:rPr>
  </w:style>
  <w:style w:type="paragraph" w:styleId="TOC2">
    <w:name w:val="toc 2"/>
    <w:basedOn w:val="Normal"/>
    <w:next w:val="Normal"/>
    <w:autoRedefine/>
    <w:uiPriority w:val="39"/>
    <w:rsid w:val="00ED52A8"/>
    <w:pPr>
      <w:tabs>
        <w:tab w:val="left" w:pos="2160"/>
        <w:tab w:val="right" w:leader="dot" w:pos="9356"/>
      </w:tabs>
      <w:spacing w:after="120"/>
      <w:ind w:left="1440" w:hanging="720"/>
      <w:jc w:val="left"/>
    </w:pPr>
    <w:rPr>
      <w:noProof/>
      <w:szCs w:val="22"/>
    </w:rPr>
  </w:style>
  <w:style w:type="paragraph" w:styleId="TOC3">
    <w:name w:val="toc 3"/>
    <w:basedOn w:val="Normal"/>
    <w:next w:val="Normal"/>
    <w:autoRedefine/>
    <w:uiPriority w:val="39"/>
    <w:pPr>
      <w:ind w:left="2160" w:hanging="720"/>
    </w:pPr>
  </w:style>
  <w:style w:type="paragraph" w:styleId="TOC4">
    <w:name w:val="toc 4"/>
    <w:basedOn w:val="Normal"/>
    <w:next w:val="Normal"/>
    <w:autoRedefine/>
    <w:uiPriority w:val="39"/>
    <w:pPr>
      <w:spacing w:before="120" w:after="120"/>
      <w:ind w:left="660"/>
      <w:jc w:val="left"/>
    </w:pPr>
  </w:style>
  <w:style w:type="paragraph" w:styleId="TOC5">
    <w:name w:val="toc 5"/>
    <w:basedOn w:val="Normal"/>
    <w:next w:val="Normal"/>
    <w:autoRedefine/>
    <w:uiPriority w:val="39"/>
    <w:pPr>
      <w:spacing w:before="120" w:after="120"/>
      <w:ind w:left="880"/>
      <w:jc w:val="left"/>
    </w:pPr>
  </w:style>
  <w:style w:type="paragraph" w:styleId="TOC6">
    <w:name w:val="toc 6"/>
    <w:basedOn w:val="Normal"/>
    <w:next w:val="Normal"/>
    <w:autoRedefine/>
    <w:uiPriority w:val="39"/>
    <w:pPr>
      <w:spacing w:before="120" w:after="120"/>
      <w:ind w:left="1100"/>
      <w:jc w:val="left"/>
    </w:pPr>
  </w:style>
  <w:style w:type="paragraph" w:styleId="TOC7">
    <w:name w:val="toc 7"/>
    <w:basedOn w:val="Normal"/>
    <w:next w:val="Normal"/>
    <w:autoRedefine/>
    <w:uiPriority w:val="39"/>
    <w:pPr>
      <w:spacing w:before="120" w:after="120"/>
      <w:ind w:left="1320"/>
      <w:jc w:val="left"/>
    </w:pPr>
  </w:style>
  <w:style w:type="paragraph" w:styleId="TOC8">
    <w:name w:val="toc 8"/>
    <w:basedOn w:val="Normal"/>
    <w:next w:val="Normal"/>
    <w:autoRedefine/>
    <w:uiPriority w:val="39"/>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99"/>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iPriority w:val="99"/>
    <w:unhideWhenUsed/>
    <w:rsid w:val="00AD3D90"/>
    <w:pPr>
      <w:jc w:val="left"/>
    </w:pPr>
    <w:rPr>
      <w:rFonts w:ascii="Calibri" w:eastAsia="Calibri" w:hAnsi="Calibri"/>
      <w:szCs w:val="21"/>
      <w:lang w:val="en-US"/>
    </w:rPr>
  </w:style>
  <w:style w:type="character" w:customStyle="1" w:styleId="PlainTextChar">
    <w:name w:val="Plain Text Char"/>
    <w:link w:val="PlainText"/>
    <w:uiPriority w:val="99"/>
    <w:rsid w:val="00AD3D90"/>
    <w:rPr>
      <w:rFonts w:ascii="Calibri" w:eastAsia="Calibri" w:hAnsi="Calibri"/>
      <w:sz w:val="22"/>
      <w:szCs w:val="21"/>
      <w:lang w:val="en-US"/>
    </w:rPr>
  </w:style>
  <w:style w:type="character" w:customStyle="1" w:styleId="HeaderChar">
    <w:name w:val="Header Char"/>
    <w:link w:val="Header"/>
    <w:uiPriority w:val="99"/>
    <w:rsid w:val="009E6BA9"/>
    <w:rPr>
      <w:sz w:val="22"/>
      <w:szCs w:val="24"/>
      <w:lang w:val="en-GB"/>
    </w:rPr>
  </w:style>
  <w:style w:type="character" w:customStyle="1" w:styleId="Para1Char">
    <w:name w:val="Para1 Char"/>
    <w:link w:val="Para1"/>
    <w:locked/>
    <w:rsid w:val="009E6BA9"/>
    <w:rPr>
      <w:snapToGrid w:val="0"/>
      <w:sz w:val="22"/>
      <w:szCs w:val="18"/>
      <w:lang w:val="en-GB"/>
    </w:rPr>
  </w:style>
  <w:style w:type="paragraph" w:customStyle="1" w:styleId="StylePara1Before0pt">
    <w:name w:val="Style Para1 + Before:  0 pt"/>
    <w:basedOn w:val="Para1"/>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rPr>
  </w:style>
  <w:style w:type="character" w:customStyle="1" w:styleId="Heading2Char">
    <w:name w:val="Heading 2 Char"/>
    <w:basedOn w:val="DefaultParagraphFont"/>
    <w:link w:val="Heading2"/>
    <w:rsid w:val="00F66AEE"/>
    <w:rPr>
      <w:b/>
      <w:bCs/>
      <w:iCs/>
      <w:sz w:val="22"/>
      <w:szCs w:val="24"/>
      <w:lang w:val="en-GB"/>
    </w:rPr>
  </w:style>
  <w:style w:type="character" w:customStyle="1" w:styleId="Heading1Char">
    <w:name w:val="Heading 1 Char"/>
    <w:basedOn w:val="DefaultParagraphFont"/>
    <w:link w:val="Heading1"/>
    <w:locked/>
    <w:rsid w:val="00381183"/>
    <w:rPr>
      <w:b/>
      <w:caps/>
      <w:sz w:val="22"/>
      <w:szCs w:val="24"/>
      <w:lang w:val="en-GB"/>
    </w:rPr>
  </w:style>
  <w:style w:type="table" w:styleId="TableGrid">
    <w:name w:val="Table Grid"/>
    <w:basedOn w:val="TableNormal"/>
    <w:uiPriority w:val="39"/>
    <w:rsid w:val="002C07E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C0799D"/>
    <w:pPr>
      <w:widowControl w:val="0"/>
      <w:adjustRightInd w:val="0"/>
      <w:spacing w:line="360" w:lineRule="atLeast"/>
      <w:textAlignment w:val="baseline"/>
    </w:pPr>
    <w:rPr>
      <w:rFonts w:ascii="Arial" w:eastAsia="Batang" w:hAnsi="Arial" w:cs="Arial"/>
      <w:szCs w:val="20"/>
      <w:lang w:val="pl-PL" w:eastAsia="pl-PL"/>
    </w:rPr>
  </w:style>
  <w:style w:type="character" w:customStyle="1" w:styleId="Heading3Char">
    <w:name w:val="Heading 3 Char"/>
    <w:basedOn w:val="DefaultParagraphFont"/>
    <w:link w:val="Heading3"/>
    <w:rsid w:val="0054459B"/>
    <w:rPr>
      <w:i/>
      <w:iCs/>
      <w:sz w:val="22"/>
      <w:szCs w:val="24"/>
      <w:lang w:val="en-GB"/>
    </w:rPr>
  </w:style>
  <w:style w:type="paragraph" w:customStyle="1" w:styleId="recommendation">
    <w:name w:val="recommendation"/>
    <w:basedOn w:val="Heading2"/>
    <w:qFormat/>
    <w:rsid w:val="00DC2190"/>
    <w:pPr>
      <w:tabs>
        <w:tab w:val="clear" w:pos="720"/>
      </w:tabs>
      <w:spacing w:before="240" w:after="60" w:line="276" w:lineRule="auto"/>
      <w:jc w:val="left"/>
    </w:pPr>
    <w:rPr>
      <w:i/>
      <w:snapToGrid w:val="0"/>
      <w:kern w:val="2"/>
      <w:szCs w:val="22"/>
      <w:lang w:val="en-US"/>
    </w:rPr>
  </w:style>
  <w:style w:type="character" w:customStyle="1" w:styleId="st">
    <w:name w:val="st"/>
    <w:rsid w:val="00DC2190"/>
  </w:style>
  <w:style w:type="paragraph" w:customStyle="1" w:styleId="StylePara1HeadingsCSTimesNewRoman">
    <w:name w:val="Style Para1 + +Headings CS (Times New Roman)"/>
    <w:basedOn w:val="Para1"/>
    <w:rsid w:val="009F6935"/>
    <w:pPr>
      <w:numPr>
        <w:numId w:val="0"/>
      </w:numPr>
    </w:pPr>
    <w:rPr>
      <w:rFonts w:asciiTheme="majorBidi" w:hAnsiTheme="majorBidi"/>
    </w:rPr>
  </w:style>
  <w:style w:type="character" w:customStyle="1" w:styleId="Heading4Char">
    <w:name w:val="Heading 4 Char"/>
    <w:basedOn w:val="DefaultParagraphFont"/>
    <w:link w:val="Heading4"/>
    <w:rsid w:val="009F6935"/>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9F6935"/>
    <w:rPr>
      <w:bCs/>
      <w:i/>
      <w:sz w:val="22"/>
      <w:szCs w:val="26"/>
      <w:lang w:val="en-CA"/>
    </w:rPr>
  </w:style>
  <w:style w:type="character" w:customStyle="1" w:styleId="Heading6Char">
    <w:name w:val="Heading 6 Char"/>
    <w:basedOn w:val="DefaultParagraphFont"/>
    <w:link w:val="Heading6"/>
    <w:rsid w:val="009F6935"/>
    <w:rPr>
      <w:sz w:val="22"/>
      <w:szCs w:val="24"/>
      <w:u w:val="single"/>
      <w:lang w:val="en-GB"/>
    </w:rPr>
  </w:style>
  <w:style w:type="character" w:customStyle="1" w:styleId="Heading7Char">
    <w:name w:val="Heading 7 Char"/>
    <w:basedOn w:val="DefaultParagraphFont"/>
    <w:link w:val="Heading7"/>
    <w:rsid w:val="009F6935"/>
    <w:rPr>
      <w:rFonts w:ascii="Univers" w:hAnsi="Univers"/>
      <w:b/>
      <w:sz w:val="28"/>
      <w:szCs w:val="24"/>
      <w:lang w:val="en-GB"/>
    </w:rPr>
  </w:style>
  <w:style w:type="character" w:customStyle="1" w:styleId="Heading8Char">
    <w:name w:val="Heading 8 Char"/>
    <w:basedOn w:val="DefaultParagraphFont"/>
    <w:link w:val="Heading8"/>
    <w:rsid w:val="009F6935"/>
    <w:rPr>
      <w:rFonts w:ascii="Univers" w:hAnsi="Univers"/>
      <w:b/>
      <w:sz w:val="32"/>
      <w:szCs w:val="24"/>
      <w:lang w:val="en-GB"/>
    </w:rPr>
  </w:style>
  <w:style w:type="character" w:customStyle="1" w:styleId="Heading9Char">
    <w:name w:val="Heading 9 Char"/>
    <w:basedOn w:val="DefaultParagraphFont"/>
    <w:link w:val="Heading9"/>
    <w:rsid w:val="009F6935"/>
    <w:rPr>
      <w:i/>
      <w:iCs/>
      <w:sz w:val="22"/>
      <w:szCs w:val="24"/>
      <w:lang w:val="en-GB"/>
    </w:rPr>
  </w:style>
  <w:style w:type="character" w:customStyle="1" w:styleId="FooterChar">
    <w:name w:val="Footer Char"/>
    <w:basedOn w:val="DefaultParagraphFont"/>
    <w:link w:val="Footer"/>
    <w:uiPriority w:val="99"/>
    <w:rsid w:val="009F6935"/>
    <w:rPr>
      <w:sz w:val="22"/>
      <w:szCs w:val="24"/>
      <w:lang w:val="en-GB"/>
    </w:rPr>
  </w:style>
  <w:style w:type="character" w:customStyle="1" w:styleId="BodyTextChar">
    <w:name w:val="Body Text Char"/>
    <w:basedOn w:val="DefaultParagraphFont"/>
    <w:link w:val="BodyText"/>
    <w:rsid w:val="009F6935"/>
    <w:rPr>
      <w:iCs/>
      <w:sz w:val="22"/>
      <w:szCs w:val="24"/>
      <w:lang w:val="en-GB"/>
    </w:rPr>
  </w:style>
  <w:style w:type="character" w:customStyle="1" w:styleId="BodyTextIndentChar">
    <w:name w:val="Body Text Indent Char"/>
    <w:basedOn w:val="DefaultParagraphFont"/>
    <w:link w:val="BodyTextIndent"/>
    <w:rsid w:val="009F6935"/>
    <w:rPr>
      <w:sz w:val="22"/>
      <w:szCs w:val="24"/>
      <w:lang w:val="en-GB"/>
    </w:rPr>
  </w:style>
  <w:style w:type="character" w:customStyle="1" w:styleId="EndnoteTextChar">
    <w:name w:val="Endnote Text Char"/>
    <w:basedOn w:val="DefaultParagraphFont"/>
    <w:link w:val="EndnoteText"/>
    <w:semiHidden/>
    <w:rsid w:val="009F6935"/>
    <w:rPr>
      <w:rFonts w:ascii="Courier New" w:hAnsi="Courier New"/>
      <w:sz w:val="22"/>
      <w:szCs w:val="24"/>
      <w:lang w:val="en-GB"/>
    </w:rPr>
  </w:style>
  <w:style w:type="paragraph" w:customStyle="1" w:styleId="Para10">
    <w:name w:val="Para 1"/>
    <w:basedOn w:val="BodyText"/>
    <w:rsid w:val="009F6935"/>
    <w:pPr>
      <w:ind w:firstLine="0"/>
    </w:pPr>
    <w:rPr>
      <w:rFonts w:eastAsia="MS Mincho" w:cs="Angsana New"/>
      <w:bCs/>
      <w:iCs w:val="0"/>
      <w:szCs w:val="22"/>
    </w:rPr>
  </w:style>
  <w:style w:type="character" w:customStyle="1" w:styleId="UnresolvedMention1">
    <w:name w:val="Unresolved Mention1"/>
    <w:basedOn w:val="DefaultParagraphFont"/>
    <w:uiPriority w:val="99"/>
    <w:semiHidden/>
    <w:unhideWhenUsed/>
    <w:rsid w:val="009F6935"/>
    <w:rPr>
      <w:color w:val="808080"/>
      <w:shd w:val="clear" w:color="auto" w:fill="E6E6E6"/>
    </w:rPr>
  </w:style>
  <w:style w:type="character" w:customStyle="1" w:styleId="UnresolvedMention2">
    <w:name w:val="Unresolved Mention2"/>
    <w:basedOn w:val="DefaultParagraphFont"/>
    <w:uiPriority w:val="99"/>
    <w:unhideWhenUsed/>
    <w:rsid w:val="009F6935"/>
    <w:rPr>
      <w:color w:val="808080"/>
      <w:shd w:val="clear" w:color="auto" w:fill="E6E6E6"/>
    </w:rPr>
  </w:style>
  <w:style w:type="character" w:customStyle="1" w:styleId="ListParagraphChar">
    <w:name w:val="List Paragraph Char"/>
    <w:link w:val="ListParagraph"/>
    <w:uiPriority w:val="34"/>
    <w:rsid w:val="009F6935"/>
    <w:rPr>
      <w:sz w:val="22"/>
      <w:szCs w:val="24"/>
      <w:lang w:val="en-GB"/>
    </w:rPr>
  </w:style>
  <w:style w:type="character" w:styleId="Strong">
    <w:name w:val="Strong"/>
    <w:basedOn w:val="DefaultParagraphFont"/>
    <w:uiPriority w:val="22"/>
    <w:qFormat/>
    <w:rsid w:val="009F6935"/>
    <w:rPr>
      <w:b/>
      <w:bCs/>
    </w:rPr>
  </w:style>
  <w:style w:type="paragraph" w:customStyle="1" w:styleId="Caption1">
    <w:name w:val="Caption1"/>
    <w:basedOn w:val="Normal"/>
    <w:next w:val="Normal"/>
    <w:uiPriority w:val="35"/>
    <w:unhideWhenUsed/>
    <w:qFormat/>
    <w:rsid w:val="009F6935"/>
    <w:pPr>
      <w:spacing w:after="200"/>
      <w:jc w:val="left"/>
    </w:pPr>
    <w:rPr>
      <w:rFonts w:ascii="Calibri" w:eastAsia="Calibri" w:hAnsi="Calibri"/>
      <w:b/>
      <w:bCs/>
      <w:color w:val="4472C4"/>
      <w:sz w:val="18"/>
      <w:szCs w:val="18"/>
      <w:lang w:val="en-CA"/>
    </w:rPr>
  </w:style>
  <w:style w:type="character" w:customStyle="1" w:styleId="BalloonTextChar2">
    <w:name w:val="Balloon Text Char2"/>
    <w:uiPriority w:val="99"/>
    <w:semiHidden/>
    <w:rsid w:val="009F6935"/>
    <w:rPr>
      <w:rFonts w:ascii="Lucida Grande" w:hAnsi="Lucida Grande"/>
      <w:sz w:val="18"/>
      <w:szCs w:val="18"/>
    </w:rPr>
  </w:style>
  <w:style w:type="paragraph" w:customStyle="1" w:styleId="Paranum">
    <w:name w:val="Paranum"/>
    <w:basedOn w:val="Para1"/>
    <w:rsid w:val="009F6935"/>
    <w:pPr>
      <w:numPr>
        <w:numId w:val="76"/>
      </w:numPr>
      <w:spacing w:line="240" w:lineRule="exact"/>
    </w:pPr>
    <w:rPr>
      <w:rFonts w:eastAsia="Malgun Gothic"/>
      <w:snapToGrid/>
      <w:szCs w:val="20"/>
      <w:lang w:val="en-US" w:eastAsia="x-none"/>
    </w:rPr>
  </w:style>
  <w:style w:type="paragraph" w:styleId="Title">
    <w:name w:val="Title"/>
    <w:basedOn w:val="Normal"/>
    <w:next w:val="Normal"/>
    <w:link w:val="TitleChar"/>
    <w:qFormat/>
    <w:rsid w:val="009F693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9F6935"/>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qFormat/>
    <w:rsid w:val="009F693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9F6935"/>
    <w:rPr>
      <w:rFonts w:asciiTheme="majorHAnsi" w:eastAsiaTheme="majorEastAsia" w:hAnsiTheme="majorHAnsi" w:cstheme="majorBidi"/>
      <w:i/>
      <w:iCs/>
      <w:color w:val="4472C4" w:themeColor="accent1"/>
      <w:spacing w:val="15"/>
      <w:sz w:val="24"/>
      <w:szCs w:val="24"/>
      <w:lang w:val="en-GB"/>
    </w:rPr>
  </w:style>
  <w:style w:type="paragraph" w:customStyle="1" w:styleId="CBD-Doc-Type">
    <w:name w:val="CBD-Doc-Type"/>
    <w:basedOn w:val="Normal"/>
    <w:rsid w:val="009F6935"/>
    <w:pPr>
      <w:keepLines/>
      <w:spacing w:before="240" w:after="120"/>
    </w:pPr>
    <w:rPr>
      <w:rFonts w:cs="Angsana New"/>
      <w:b/>
      <w:i/>
      <w:sz w:val="24"/>
    </w:rPr>
  </w:style>
  <w:style w:type="paragraph" w:customStyle="1" w:styleId="CBD-Doc">
    <w:name w:val="CBD-Doc"/>
    <w:basedOn w:val="Normal"/>
    <w:rsid w:val="009F6935"/>
    <w:pPr>
      <w:keepLines/>
      <w:numPr>
        <w:numId w:val="82"/>
      </w:numPr>
      <w:spacing w:after="120"/>
    </w:pPr>
    <w:rPr>
      <w:rFonts w:cs="Angsana New"/>
    </w:rPr>
  </w:style>
  <w:style w:type="paragraph" w:styleId="Caption">
    <w:name w:val="caption"/>
    <w:basedOn w:val="Normal"/>
    <w:next w:val="Normal"/>
    <w:uiPriority w:val="35"/>
    <w:unhideWhenUsed/>
    <w:qFormat/>
    <w:rsid w:val="009F6935"/>
    <w:pPr>
      <w:keepNext/>
      <w:keepLines/>
      <w:spacing w:after="200"/>
    </w:pPr>
    <w:rPr>
      <w:b/>
      <w:iCs/>
      <w:szCs w:val="18"/>
    </w:rPr>
  </w:style>
  <w:style w:type="paragraph" w:customStyle="1" w:styleId="Seite">
    <w:name w:val="Seite"/>
    <w:basedOn w:val="Normal"/>
    <w:rsid w:val="009F6935"/>
    <w:pPr>
      <w:suppressAutoHyphens/>
      <w:spacing w:line="200" w:lineRule="exact"/>
      <w:jc w:val="right"/>
    </w:pPr>
    <w:rPr>
      <w:rFonts w:ascii="Arial" w:hAnsi="Arial"/>
      <w:sz w:val="14"/>
      <w:szCs w:val="14"/>
      <w:lang w:val="fr-FR" w:eastAsia="de-CH"/>
    </w:rPr>
  </w:style>
  <w:style w:type="paragraph" w:customStyle="1" w:styleId="A-KopfFett">
    <w:name w:val="_A-KopfFett"/>
    <w:basedOn w:val="A-Standard"/>
    <w:next w:val="Header"/>
    <w:rsid w:val="009F6935"/>
    <w:pPr>
      <w:spacing w:before="60" w:line="200" w:lineRule="atLeast"/>
    </w:pPr>
    <w:rPr>
      <w:b/>
      <w:sz w:val="15"/>
    </w:rPr>
  </w:style>
  <w:style w:type="paragraph" w:customStyle="1" w:styleId="A-Standard">
    <w:name w:val="_A-Standard"/>
    <w:basedOn w:val="Normal"/>
    <w:qFormat/>
    <w:rsid w:val="009F6935"/>
    <w:pPr>
      <w:spacing w:line="260" w:lineRule="atLeast"/>
      <w:jc w:val="left"/>
    </w:pPr>
    <w:rPr>
      <w:rFonts w:ascii="Arial" w:hAnsi="Arial"/>
      <w:sz w:val="20"/>
      <w:szCs w:val="20"/>
      <w:lang w:val="fr-FR" w:eastAsia="de-CH"/>
    </w:rPr>
  </w:style>
  <w:style w:type="paragraph" w:customStyle="1" w:styleId="KopfDept">
    <w:name w:val="KopfDept"/>
    <w:basedOn w:val="Header"/>
    <w:next w:val="A-KopfFett"/>
    <w:rsid w:val="009F6935"/>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9F6935"/>
    <w:rPr>
      <w:rFonts w:ascii="Arial" w:hAnsi="Arial"/>
      <w:noProof/>
      <w:sz w:val="15"/>
      <w:lang w:val="de-CH" w:eastAsia="de-CH"/>
    </w:rPr>
  </w:style>
  <w:style w:type="paragraph" w:customStyle="1" w:styleId="A-PostFett">
    <w:name w:val="_A-Post Fett"/>
    <w:basedOn w:val="Normal"/>
    <w:next w:val="Normal"/>
    <w:rsid w:val="009F6935"/>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9F6935"/>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9F6935"/>
    <w:pPr>
      <w:spacing w:line="160" w:lineRule="exact"/>
    </w:pPr>
    <w:rPr>
      <w:rFonts w:ascii="Arial" w:hAnsi="Arial"/>
      <w:noProof/>
      <w:sz w:val="12"/>
      <w:szCs w:val="12"/>
      <w:lang w:val="de-CH" w:eastAsia="de-CH"/>
    </w:rPr>
  </w:style>
  <w:style w:type="paragraph" w:customStyle="1" w:styleId="Platzhalter">
    <w:name w:val="Platzhalter"/>
    <w:basedOn w:val="Normal"/>
    <w:next w:val="Normal"/>
    <w:rsid w:val="009F6935"/>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9F6935"/>
    <w:rPr>
      <w:b/>
    </w:rPr>
  </w:style>
  <w:style w:type="paragraph" w:customStyle="1" w:styleId="A-Kopf">
    <w:name w:val="_A-Kopf"/>
    <w:basedOn w:val="Header"/>
    <w:qFormat/>
    <w:rsid w:val="009F6935"/>
    <w:pPr>
      <w:tabs>
        <w:tab w:val="clear" w:pos="4320"/>
        <w:tab w:val="clear" w:pos="8640"/>
      </w:tabs>
      <w:suppressAutoHyphens/>
      <w:spacing w:line="200" w:lineRule="atLeast"/>
      <w:jc w:val="left"/>
    </w:pPr>
    <w:rPr>
      <w:rFonts w:ascii="Arial" w:hAnsi="Arial"/>
      <w:noProof/>
      <w:sz w:val="15"/>
      <w:szCs w:val="20"/>
      <w:lang w:val="fr-FR" w:eastAsia="de-CH"/>
    </w:rPr>
  </w:style>
  <w:style w:type="paragraph" w:customStyle="1" w:styleId="AKopf-ohneAbstand">
    <w:name w:val="A_Kopf-ohne Abstand"/>
    <w:basedOn w:val="A-Kopf"/>
    <w:next w:val="A-Kopf"/>
    <w:qFormat/>
    <w:rsid w:val="009F6935"/>
    <w:rPr>
      <w:b/>
    </w:rPr>
  </w:style>
  <w:style w:type="paragraph" w:customStyle="1" w:styleId="A-Absender">
    <w:name w:val="_A-Absender"/>
    <w:basedOn w:val="Footer"/>
    <w:qFormat/>
    <w:rsid w:val="009F6935"/>
    <w:pPr>
      <w:tabs>
        <w:tab w:val="clear" w:pos="4320"/>
        <w:tab w:val="clear" w:pos="8640"/>
      </w:tabs>
      <w:suppressAutoHyphens/>
      <w:spacing w:line="200" w:lineRule="exact"/>
      <w:ind w:firstLine="0"/>
      <w:jc w:val="left"/>
    </w:pPr>
    <w:rPr>
      <w:rFonts w:ascii="Arial" w:hAnsi="Arial"/>
      <w:noProof/>
      <w:sz w:val="15"/>
      <w:szCs w:val="15"/>
      <w:lang w:val="fr-FR" w:eastAsia="de-CH"/>
    </w:rPr>
  </w:style>
  <w:style w:type="paragraph" w:customStyle="1" w:styleId="A-Pfad">
    <w:name w:val="_A-Pfad"/>
    <w:next w:val="Footer"/>
    <w:rsid w:val="009F6935"/>
    <w:pPr>
      <w:spacing w:line="160" w:lineRule="atLeast"/>
    </w:pPr>
    <w:rPr>
      <w:rFonts w:ascii="Arial" w:hAnsi="Arial"/>
      <w:noProof/>
      <w:sz w:val="12"/>
      <w:szCs w:val="12"/>
      <w:lang w:val="de-CH" w:eastAsia="de-CH"/>
    </w:rPr>
  </w:style>
  <w:style w:type="paragraph" w:customStyle="1" w:styleId="AKopf-ohneAbstand0">
    <w:name w:val="_A_Kopf-ohne Abstand"/>
    <w:basedOn w:val="A-Kopf"/>
    <w:next w:val="A-Kopf"/>
    <w:qFormat/>
    <w:rsid w:val="009F6935"/>
    <w:rPr>
      <w:b/>
    </w:rPr>
  </w:style>
  <w:style w:type="paragraph" w:customStyle="1" w:styleId="A-Logo">
    <w:name w:val="_A-Logo"/>
    <w:basedOn w:val="A-Kopf"/>
    <w:rsid w:val="009F6935"/>
    <w:pPr>
      <w:spacing w:before="60" w:line="240" w:lineRule="auto"/>
    </w:pPr>
  </w:style>
  <w:style w:type="paragraph" w:customStyle="1" w:styleId="A-Ref">
    <w:name w:val="_A-Ref"/>
    <w:basedOn w:val="Normal"/>
    <w:next w:val="Normal"/>
    <w:rsid w:val="009F6935"/>
    <w:pPr>
      <w:spacing w:line="200" w:lineRule="atLeast"/>
      <w:jc w:val="left"/>
    </w:pPr>
    <w:rPr>
      <w:rFonts w:ascii="Arial" w:hAnsi="Arial"/>
      <w:sz w:val="15"/>
      <w:szCs w:val="20"/>
      <w:lang w:val="fr-FR" w:eastAsia="de-CH"/>
    </w:rPr>
  </w:style>
  <w:style w:type="paragraph" w:customStyle="1" w:styleId="A-Post">
    <w:name w:val="_A-Post"/>
    <w:basedOn w:val="Normal"/>
    <w:next w:val="Normal"/>
    <w:rsid w:val="009F6935"/>
    <w:pPr>
      <w:spacing w:after="140" w:line="200" w:lineRule="exact"/>
      <w:jc w:val="left"/>
    </w:pPr>
    <w:rPr>
      <w:rFonts w:ascii="Arial" w:hAnsi="Arial"/>
      <w:sz w:val="14"/>
      <w:szCs w:val="20"/>
      <w:u w:val="single"/>
      <w:lang w:val="fr-FR" w:eastAsia="de-CH"/>
    </w:rPr>
  </w:style>
  <w:style w:type="paragraph" w:customStyle="1" w:styleId="A-Titel">
    <w:name w:val="_A-Titel"/>
    <w:basedOn w:val="Normal"/>
    <w:qFormat/>
    <w:rsid w:val="009F6935"/>
    <w:pPr>
      <w:spacing w:line="480" w:lineRule="atLeast"/>
      <w:jc w:val="left"/>
    </w:pPr>
    <w:rPr>
      <w:rFonts w:ascii="Arial" w:hAnsi="Arial"/>
      <w:b/>
      <w:sz w:val="42"/>
      <w:szCs w:val="20"/>
      <w:lang w:val="fr-CH" w:eastAsia="de-CH"/>
    </w:rPr>
  </w:style>
  <w:style w:type="paragraph" w:customStyle="1" w:styleId="A-Untertitel">
    <w:name w:val="_A-Untertitel"/>
    <w:basedOn w:val="Normal"/>
    <w:qFormat/>
    <w:rsid w:val="009F6935"/>
    <w:pPr>
      <w:spacing w:line="480" w:lineRule="atLeast"/>
      <w:jc w:val="left"/>
    </w:pPr>
    <w:rPr>
      <w:rFonts w:ascii="Arial" w:hAnsi="Arial"/>
      <w:sz w:val="42"/>
      <w:szCs w:val="20"/>
      <w:lang w:val="fr-CH" w:eastAsia="de-CH"/>
    </w:rPr>
  </w:style>
  <w:style w:type="paragraph" w:customStyle="1" w:styleId="A-Traktandum-Titel">
    <w:name w:val="_A-Traktandum-Titel"/>
    <w:next w:val="A-Standard"/>
    <w:rsid w:val="009F6935"/>
    <w:pPr>
      <w:numPr>
        <w:numId w:val="83"/>
      </w:numPr>
      <w:spacing w:before="240" w:line="280" w:lineRule="atLeast"/>
      <w:ind w:left="357" w:hanging="357"/>
    </w:pPr>
    <w:rPr>
      <w:rFonts w:ascii="Arial" w:hAnsi="Arial" w:cs="Arial"/>
      <w:b/>
      <w:bCs/>
      <w:kern w:val="28"/>
      <w:szCs w:val="42"/>
      <w:lang w:val="de-CH" w:eastAsia="de-CH"/>
    </w:rPr>
  </w:style>
  <w:style w:type="paragraph" w:customStyle="1" w:styleId="GPPproposaltext">
    <w:name w:val="GPPproposaltext"/>
    <w:basedOn w:val="Normal"/>
    <w:link w:val="GPPproposaltextChar"/>
    <w:rsid w:val="009F6935"/>
    <w:rPr>
      <w:rFonts w:eastAsiaTheme="minorEastAsia"/>
      <w:sz w:val="24"/>
      <w:lang w:eastAsia="zh-CN"/>
    </w:rPr>
  </w:style>
  <w:style w:type="character" w:customStyle="1" w:styleId="GPPproposaltextChar">
    <w:name w:val="GPPproposaltext Char"/>
    <w:basedOn w:val="DefaultParagraphFont"/>
    <w:link w:val="GPPproposaltext"/>
    <w:rsid w:val="009F6935"/>
    <w:rPr>
      <w:rFonts w:eastAsiaTheme="minorEastAsia"/>
      <w:sz w:val="24"/>
      <w:szCs w:val="24"/>
      <w:lang w:val="en-GB" w:eastAsia="zh-CN"/>
    </w:rPr>
  </w:style>
  <w:style w:type="paragraph" w:styleId="Quote">
    <w:name w:val="Quote"/>
    <w:basedOn w:val="Normal"/>
    <w:next w:val="Normal"/>
    <w:link w:val="QuoteChar"/>
    <w:uiPriority w:val="29"/>
    <w:qFormat/>
    <w:rsid w:val="009F6935"/>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9F6935"/>
    <w:rPr>
      <w:rFonts w:ascii="Arial" w:eastAsiaTheme="minorHAnsi" w:hAnsi="Arial" w:cstheme="minorBidi"/>
      <w:i/>
      <w:iCs/>
      <w:color w:val="404040" w:themeColor="text1" w:themeTint="BF"/>
      <w:szCs w:val="22"/>
      <w:lang w:val="fr-FR"/>
    </w:rPr>
  </w:style>
  <w:style w:type="paragraph" w:customStyle="1" w:styleId="p1">
    <w:name w:val="p1"/>
    <w:basedOn w:val="Normal"/>
    <w:rsid w:val="009F6935"/>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9F6935"/>
    <w:rPr>
      <w:kern w:val="22"/>
      <w:sz w:val="18"/>
      <w:u w:val="none"/>
      <w:vertAlign w:val="superscript"/>
    </w:rPr>
  </w:style>
  <w:style w:type="table" w:customStyle="1" w:styleId="Gitternetztabelle1hell1">
    <w:name w:val="Gitternetztabelle 1 hell1"/>
    <w:basedOn w:val="TableNormal"/>
    <w:uiPriority w:val="46"/>
    <w:rsid w:val="009F6935"/>
    <w:rPr>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9F6935"/>
    <w:pPr>
      <w:spacing w:before="100" w:beforeAutospacing="1" w:after="100" w:afterAutospacing="1"/>
      <w:jc w:val="left"/>
    </w:pPr>
    <w:rPr>
      <w:rFonts w:eastAsiaTheme="minorEastAsia"/>
      <w:sz w:val="24"/>
      <w:lang w:val="de-CH" w:eastAsia="de-CH"/>
    </w:rPr>
  </w:style>
  <w:style w:type="character" w:customStyle="1" w:styleId="NewParaChar">
    <w:name w:val="NewPara Char"/>
    <w:basedOn w:val="DefaultParagraphFont"/>
    <w:link w:val="NewPara"/>
    <w:locked/>
    <w:rsid w:val="009F6935"/>
    <w:rPr>
      <w:rFonts w:cs="Akhbar MT"/>
      <w:szCs w:val="30"/>
      <w:lang w:val="en-GB"/>
    </w:rPr>
  </w:style>
  <w:style w:type="paragraph" w:customStyle="1" w:styleId="NewPara">
    <w:name w:val="NewPara"/>
    <w:basedOn w:val="ListParagraph"/>
    <w:link w:val="NewParaChar"/>
    <w:qFormat/>
    <w:rsid w:val="009F6935"/>
    <w:pPr>
      <w:numPr>
        <w:numId w:val="84"/>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9F6935"/>
    <w:rPr>
      <w:kern w:val="22"/>
      <w:sz w:val="22"/>
      <w:u w:val="none"/>
      <w:vertAlign w:val="superscript"/>
    </w:rPr>
  </w:style>
  <w:style w:type="character" w:customStyle="1" w:styleId="UnresolvedMention3">
    <w:name w:val="Unresolved Mention3"/>
    <w:basedOn w:val="DefaultParagraphFont"/>
    <w:uiPriority w:val="99"/>
    <w:semiHidden/>
    <w:unhideWhenUsed/>
    <w:rsid w:val="009F6935"/>
    <w:rPr>
      <w:color w:val="808080"/>
      <w:shd w:val="clear" w:color="auto" w:fill="E6E6E6"/>
    </w:rPr>
  </w:style>
  <w:style w:type="paragraph" w:styleId="TOCHeading">
    <w:name w:val="TOC Heading"/>
    <w:basedOn w:val="Heading1"/>
    <w:next w:val="Normal"/>
    <w:uiPriority w:val="39"/>
    <w:unhideWhenUsed/>
    <w:qFormat/>
    <w:rsid w:val="00EF2F71"/>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1332">
      <w:bodyDiv w:val="1"/>
      <w:marLeft w:val="0"/>
      <w:marRight w:val="0"/>
      <w:marTop w:val="0"/>
      <w:marBottom w:val="0"/>
      <w:divBdr>
        <w:top w:val="none" w:sz="0" w:space="0" w:color="auto"/>
        <w:left w:val="none" w:sz="0" w:space="0" w:color="auto"/>
        <w:bottom w:val="none" w:sz="0" w:space="0" w:color="auto"/>
        <w:right w:val="none" w:sz="0" w:space="0" w:color="auto"/>
      </w:divBdr>
    </w:div>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486019330">
      <w:bodyDiv w:val="1"/>
      <w:marLeft w:val="0"/>
      <w:marRight w:val="0"/>
      <w:marTop w:val="0"/>
      <w:marBottom w:val="0"/>
      <w:divBdr>
        <w:top w:val="none" w:sz="0" w:space="0" w:color="auto"/>
        <w:left w:val="none" w:sz="0" w:space="0" w:color="auto"/>
        <w:bottom w:val="none" w:sz="0" w:space="0" w:color="auto"/>
        <w:right w:val="none" w:sz="0" w:space="0" w:color="auto"/>
      </w:divBdr>
    </w:div>
    <w:div w:id="553008124">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21703414">
      <w:bodyDiv w:val="1"/>
      <w:marLeft w:val="0"/>
      <w:marRight w:val="0"/>
      <w:marTop w:val="0"/>
      <w:marBottom w:val="0"/>
      <w:divBdr>
        <w:top w:val="none" w:sz="0" w:space="0" w:color="auto"/>
        <w:left w:val="none" w:sz="0" w:space="0" w:color="auto"/>
        <w:bottom w:val="none" w:sz="0" w:space="0" w:color="auto"/>
        <w:right w:val="none" w:sz="0" w:space="0" w:color="auto"/>
      </w:divBdr>
    </w:div>
    <w:div w:id="908148313">
      <w:bodyDiv w:val="1"/>
      <w:marLeft w:val="0"/>
      <w:marRight w:val="0"/>
      <w:marTop w:val="0"/>
      <w:marBottom w:val="0"/>
      <w:divBdr>
        <w:top w:val="none" w:sz="0" w:space="0" w:color="auto"/>
        <w:left w:val="none" w:sz="0" w:space="0" w:color="auto"/>
        <w:bottom w:val="none" w:sz="0" w:space="0" w:color="auto"/>
        <w:right w:val="none" w:sz="0" w:space="0" w:color="auto"/>
      </w:divBdr>
    </w:div>
    <w:div w:id="1159425866">
      <w:bodyDiv w:val="1"/>
      <w:marLeft w:val="0"/>
      <w:marRight w:val="0"/>
      <w:marTop w:val="0"/>
      <w:marBottom w:val="0"/>
      <w:divBdr>
        <w:top w:val="none" w:sz="0" w:space="0" w:color="auto"/>
        <w:left w:val="none" w:sz="0" w:space="0" w:color="auto"/>
        <w:bottom w:val="none" w:sz="0" w:space="0" w:color="auto"/>
        <w:right w:val="none" w:sz="0" w:space="0" w:color="auto"/>
      </w:divBdr>
    </w:div>
    <w:div w:id="1217358000">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2099598072">
      <w:bodyDiv w:val="1"/>
      <w:marLeft w:val="0"/>
      <w:marRight w:val="0"/>
      <w:marTop w:val="0"/>
      <w:marBottom w:val="0"/>
      <w:divBdr>
        <w:top w:val="none" w:sz="0" w:space="0" w:color="auto"/>
        <w:left w:val="none" w:sz="0" w:space="0" w:color="auto"/>
        <w:bottom w:val="none" w:sz="0" w:space="0" w:color="auto"/>
        <w:right w:val="none" w:sz="0" w:space="0" w:color="auto"/>
      </w:divBdr>
    </w:div>
    <w:div w:id="210202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06-fr.pdf" TargetMode="External"/><Relationship Id="rId18" Type="http://schemas.openxmlformats.org/officeDocument/2006/relationships/hyperlink" Target="https://www.cbd.int/doc/decisions/cop-10/cop-10-dec-31-fr.pdf" TargetMode="External"/><Relationship Id="rId26" Type="http://schemas.openxmlformats.org/officeDocument/2006/relationships/hyperlink" Target="https://www.cbd.int/doc/decisions/cop-10/cop-10-dec-33-fr.pdf" TargetMode="External"/><Relationship Id="rId39" Type="http://schemas.openxmlformats.org/officeDocument/2006/relationships/image" Target="media/image5.png"/><Relationship Id="rId21" Type="http://schemas.openxmlformats.org/officeDocument/2006/relationships/hyperlink" Target="https://www.cbd.int/doc/decisions/cop-10/cop-10-dec-29-en.pdf" TargetMode="External"/><Relationship Id="rId34" Type="http://schemas.openxmlformats.org/officeDocument/2006/relationships/diagramQuickStyle" Target="diagrams/quickStyle1.xml"/><Relationship Id="rId42" Type="http://schemas.openxmlformats.org/officeDocument/2006/relationships/image" Target="media/image6.emf"/><Relationship Id="rId47" Type="http://schemas.openxmlformats.org/officeDocument/2006/relationships/hyperlink" Target="https://www.cbd.int/doc/decisions/cop-12/cop-12-dec-16-fr.pdf" TargetMode="External"/><Relationship Id="rId50" Type="http://schemas.openxmlformats.org/officeDocument/2006/relationships/hyperlink" Target="https://www.cbd.int/decision/cop/default.shtml?id=7179"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bd.int/doc/decisions/cop-12/cop-12-dec-24-fr.pdf" TargetMode="External"/><Relationship Id="rId17" Type="http://schemas.openxmlformats.org/officeDocument/2006/relationships/hyperlink" Target="https://www.cbd.int/doc/decisions/cop-07/full/cop-07-dec-fr.pdf" TargetMode="External"/><Relationship Id="rId25" Type="http://schemas.openxmlformats.org/officeDocument/2006/relationships/hyperlink" Target="https://www.cbd.int/doc/decisions/cop-09/cop-09-dec-16-fr.pdf" TargetMode="External"/><Relationship Id="rId33" Type="http://schemas.openxmlformats.org/officeDocument/2006/relationships/diagramLayout" Target="diagrams/layout1.xml"/><Relationship Id="rId38" Type="http://schemas.openxmlformats.org/officeDocument/2006/relationships/hyperlink" Target="http://www.undp.org/content/undp/en/home/librarypage/environment-energy/climate_change/adaptation/mainstreaming_climatechangeadaptationintodevelopmentplanningagui.html" TargetMode="External"/><Relationship Id="rId46" Type="http://schemas.openxmlformats.org/officeDocument/2006/relationships/hyperlink" Target="https://www.cbd.int/doc/decisions/cop-12/cop-12-dec-16-fr.pdf"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bd.int/doc/decisions/cop-10/cop-10-dec-31-fr.pdf" TargetMode="External"/><Relationship Id="rId20" Type="http://schemas.openxmlformats.org/officeDocument/2006/relationships/image" Target="cid:image002.png@01D3C061.9532EE20" TargetMode="External"/><Relationship Id="rId29" Type="http://schemas.openxmlformats.org/officeDocument/2006/relationships/hyperlink" Target="https://www.cbd.int/doc/decisions/cop-13/cop-13-dec-05-fr.pdf" TargetMode="External"/><Relationship Id="rId41" Type="http://schemas.openxmlformats.org/officeDocument/2006/relationships/hyperlink" Target="https://www.cbd.int/traditional/guidelines.shtml" TargetMode="External"/><Relationship Id="rId54" Type="http://schemas.openxmlformats.org/officeDocument/2006/relationships/hyperlink" Target="https://www.cbd.int/doc/decisions/cop-13/cop-13-dec-15-f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7/mop-07-dec-12-fr.pdf" TargetMode="External"/><Relationship Id="rId24" Type="http://schemas.openxmlformats.org/officeDocument/2006/relationships/hyperlink" Target="https://www.cbd.int/doc/decisions/cop-13/cop-13-dec-12-en.pdf" TargetMode="External"/><Relationship Id="rId32" Type="http://schemas.openxmlformats.org/officeDocument/2006/relationships/diagramData" Target="diagrams/data1.xml"/><Relationship Id="rId37" Type="http://schemas.openxmlformats.org/officeDocument/2006/relationships/hyperlink" Target="http://awsassets.panda.org/downloads/wwf_wb_eba_project_2014_gms_ecosystem_based_adaptation_general_framework.pdf" TargetMode="External"/><Relationship Id="rId40" Type="http://schemas.openxmlformats.org/officeDocument/2006/relationships/hyperlink" Target="https://www.cbd.int/traditional/guidelines.shtml" TargetMode="External"/><Relationship Id="rId45" Type="http://schemas.openxmlformats.org/officeDocument/2006/relationships/hyperlink" Target="https://www.naturalcapitalproject.org/invest" TargetMode="External"/><Relationship Id="rId53" Type="http://schemas.openxmlformats.org/officeDocument/2006/relationships/hyperlink" Target="https://www.cbd.int/doc/decisions/cop-13/cop-13-dec-15-fr.doc" TargetMode="External"/><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bd.int/doc/decisions/cop-10/cop-10-dec-31-fr.pdf" TargetMode="External"/><Relationship Id="rId23" Type="http://schemas.openxmlformats.org/officeDocument/2006/relationships/hyperlink" Target="https://www.cbd.int/doc/decisions/cop-12/cop-12-dec-22-en.pdf" TargetMode="External"/><Relationship Id="rId28" Type="http://schemas.openxmlformats.org/officeDocument/2006/relationships/hyperlink" Target="https://www.cbd.int/doc/decisions/cop-13/cop-13-dec-04-fr.pdf" TargetMode="External"/><Relationship Id="rId36" Type="http://schemas.microsoft.com/office/2007/relationships/diagramDrawing" Target="diagrams/drawing1.xml"/><Relationship Id="rId49" Type="http://schemas.openxmlformats.org/officeDocument/2006/relationships/hyperlink" Target="https://www.cbd.int/decision/cop/default.shtml?id=7147" TargetMode="External"/><Relationship Id="rId57"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s://www.cbd.int/sp/" TargetMode="External"/><Relationship Id="rId44" Type="http://schemas.openxmlformats.org/officeDocument/2006/relationships/hyperlink" Target="https://www.naturalcapitalproject.org/invest" TargetMode="External"/><Relationship Id="rId52" Type="http://schemas.openxmlformats.org/officeDocument/2006/relationships/hyperlink" Target="https://www.cbd.int/decision/cop/default.shtml?id=71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3-fr.pdf" TargetMode="External"/><Relationship Id="rId22" Type="http://schemas.openxmlformats.org/officeDocument/2006/relationships/hyperlink" Target="https://www.cbd.int/doc/decisions/cop-11/cop-11-dec-17-en.pdf" TargetMode="External"/><Relationship Id="rId27" Type="http://schemas.openxmlformats.org/officeDocument/2006/relationships/hyperlink" Target="https://www.cbd.int/doc/decisions/cop-12/cop-12-dec-20-fr.pdf" TargetMode="External"/><Relationship Id="rId30" Type="http://schemas.openxmlformats.org/officeDocument/2006/relationships/hyperlink" Target="https://www.cbd.int/doc/decisions/cop-13/cop-13-dec-04-fr.pdf" TargetMode="External"/><Relationship Id="rId35" Type="http://schemas.openxmlformats.org/officeDocument/2006/relationships/diagramColors" Target="diagrams/colors1.xml"/><Relationship Id="rId43" Type="http://schemas.openxmlformats.org/officeDocument/2006/relationships/hyperlink" Target="https://www.ipcc.ch/report/ar5/wg2/" TargetMode="External"/><Relationship Id="rId48" Type="http://schemas.openxmlformats.org/officeDocument/2006/relationships/hyperlink" Target="https://www.cbd.int/decision/cop/default.shtml?id=7107"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www.cbd.int/doc/decisions/cop-13/cop-13-dec-15-fr.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undocs.org/A/HRC/34/49" TargetMode="External"/><Relationship Id="rId18" Type="http://schemas.openxmlformats.org/officeDocument/2006/relationships/hyperlink" Target="https://www.cbd.int/doc/publications/cbd-ts-64-en.pdf" TargetMode="External"/><Relationship Id="rId26" Type="http://schemas.openxmlformats.org/officeDocument/2006/relationships/hyperlink" Target="https://www.cbd.int/doc/meetings/cop/cop-13/information/cop-13-inf-17-en.pdf" TargetMode="External"/><Relationship Id="rId39" Type="http://schemas.openxmlformats.org/officeDocument/2006/relationships/hyperlink" Target="https://documents-dds-ny.un.org/doc/UNDOC/GEN/N17/015/18/pdf/N1701518.pdf?OpenElement" TargetMode="External"/><Relationship Id="rId3" Type="http://schemas.openxmlformats.org/officeDocument/2006/relationships/hyperlink" Target="http://bch.cbd.int/onlineconferences/portal_detection/lab_network.shtml" TargetMode="External"/><Relationship Id="rId21" Type="http://schemas.openxmlformats.org/officeDocument/2006/relationships/hyperlink" Target="https://portals.iucn.org/library/node/29138" TargetMode="External"/><Relationship Id="rId34" Type="http://schemas.openxmlformats.org/officeDocument/2006/relationships/hyperlink" Target="https://www.cbd.int/doc/publications/cbd-ts-85-en.pdf" TargetMode="External"/><Relationship Id="rId42" Type="http://schemas.openxmlformats.org/officeDocument/2006/relationships/hyperlink" Target="http://www.ipcc.ch/report/ar4/" TargetMode="External"/><Relationship Id="rId47" Type="http://schemas.openxmlformats.org/officeDocument/2006/relationships/hyperlink" Target="https://www.unece.org/fileadmin/DAM/trans/doc/2014/wp24/CTU_Code_French_01.pdf" TargetMode="External"/><Relationship Id="rId50" Type="http://schemas.openxmlformats.org/officeDocument/2006/relationships/hyperlink" Target="https://www.ipbes.net/sites/default/files/downloads/pdf/individual_chapters_pollination_20170305.pdf" TargetMode="External"/><Relationship Id="rId7" Type="http://schemas.openxmlformats.org/officeDocument/2006/relationships/hyperlink" Target="https://www.cbd.int/doc/decisions/cop-10/cop-10-dec-02-en.pdf" TargetMode="External"/><Relationship Id="rId12" Type="http://schemas.openxmlformats.org/officeDocument/2006/relationships/hyperlink" Target="https://undocs.org/A/71/229" TargetMode="External"/><Relationship Id="rId17" Type="http://schemas.openxmlformats.org/officeDocument/2006/relationships/hyperlink" Target="https://www.cbd.int/doc/nbsap/NBSAPs-catalysts-SDGs.pdf" TargetMode="External"/><Relationship Id="rId25" Type="http://schemas.openxmlformats.org/officeDocument/2006/relationships/hyperlink" Target="http://parksjournal.com/wp-content/uploads/2016/11/PARKS-22.2-Schreckenberg-et-al-10.2305IUCN.CH_.2016.PARKS-22-2KS.en_.pdf" TargetMode="External"/><Relationship Id="rId33" Type="http://schemas.openxmlformats.org/officeDocument/2006/relationships/hyperlink" Target="https://www.cbd.int/doc/decisions/cop-10/cop-10-dec-02-fr.pdf" TargetMode="External"/><Relationship Id="rId38" Type="http://schemas.openxmlformats.org/officeDocument/2006/relationships/hyperlink" Target="https://www.preventionweb.net/files/50683_oiewgreportfrench.pdf" TargetMode="External"/><Relationship Id="rId46" Type="http://schemas.openxmlformats.org/officeDocument/2006/relationships/hyperlink" Target="https://www.ipcc.ch/report/ar5/" TargetMode="External"/><Relationship Id="rId2" Type="http://schemas.openxmlformats.org/officeDocument/2006/relationships/hyperlink" Target="https://www.cbd.int/meetings/SYNBIOAHTEG-2017-01" TargetMode="External"/><Relationship Id="rId16" Type="http://schemas.openxmlformats.org/officeDocument/2006/relationships/hyperlink" Target="http://www.pnas.org/content/114/44/11645" TargetMode="External"/><Relationship Id="rId20" Type="http://schemas.openxmlformats.org/officeDocument/2006/relationships/hyperlink" Target="https://portals.iucn.org/library/sites/library/files/documents/PATRS-001.pdf" TargetMode="External"/><Relationship Id="rId29" Type="http://schemas.openxmlformats.org/officeDocument/2006/relationships/hyperlink" Target="https://www.cbd.int/protected/pow/learnmore/intro/" TargetMode="External"/><Relationship Id="rId41" Type="http://schemas.openxmlformats.org/officeDocument/2006/relationships/hyperlink" Target="https://www.cbd.int/doc/publications/cbd-ts-85-en.pdf" TargetMode="External"/><Relationship Id="rId54" Type="http://schemas.openxmlformats.org/officeDocument/2006/relationships/hyperlink" Target="http://undocs.org/A/RES/70/1" TargetMode="External"/><Relationship Id="rId1" Type="http://schemas.openxmlformats.org/officeDocument/2006/relationships/hyperlink" Target="https://www.cbd.int/doc/decisions/cop-08/cop-08-dec-10-fr.pdf" TargetMode="External"/><Relationship Id="rId6" Type="http://schemas.openxmlformats.org/officeDocument/2006/relationships/hyperlink" Target="https://undocs.org/A/RES/70/1" TargetMode="External"/><Relationship Id="rId11" Type="http://schemas.openxmlformats.org/officeDocument/2006/relationships/hyperlink" Target="https://www.cbd.int/gbo/gbo4/publication/lbo-en.pdf" TargetMode="External"/><Relationship Id="rId24" Type="http://schemas.openxmlformats.org/officeDocument/2006/relationships/hyperlink" Target="https://portals.iucn.org/library/node/29138" TargetMode="External"/><Relationship Id="rId32" Type="http://schemas.openxmlformats.org/officeDocument/2006/relationships/hyperlink" Target="http://undocs.org/fr/A/RES/70/1" TargetMode="External"/><Relationship Id="rId37" Type="http://schemas.openxmlformats.org/officeDocument/2006/relationships/hyperlink" Target="https://www.cbd.int/guidelines/" TargetMode="External"/><Relationship Id="rId40" Type="http://schemas.openxmlformats.org/officeDocument/2006/relationships/hyperlink" Target="https://www.un.org/en/ga/search/view_doc.asp?symbol=A/RES/71/276" TargetMode="External"/><Relationship Id="rId45" Type="http://schemas.openxmlformats.org/officeDocument/2006/relationships/hyperlink" Target="https://www.cbd.int/indicators/default.shtml" TargetMode="External"/><Relationship Id="rId53" Type="http://schemas.openxmlformats.org/officeDocument/2006/relationships/hyperlink" Target="http://www.mma.gov.br/biomas/mata-atl%C3%A2ntica_emdesenvolvimento" TargetMode="External"/><Relationship Id="rId5" Type="http://schemas.openxmlformats.org/officeDocument/2006/relationships/hyperlink" Target="https://www.cbd.int/doc/c/c418/4b06/65b26745a1c1a1793cc5ea40/sbi-02-01-fr.pdf" TargetMode="External"/><Relationship Id="rId15" Type="http://schemas.openxmlformats.org/officeDocument/2006/relationships/hyperlink" Target="http://www.natureforlife.world" TargetMode="External"/><Relationship Id="rId23" Type="http://schemas.openxmlformats.org/officeDocument/2006/relationships/hyperlink" Target="https://portals.iucn.org/library/sites/library/files/documents/PATRS-001.pdf" TargetMode="External"/><Relationship Id="rId28" Type="http://schemas.openxmlformats.org/officeDocument/2006/relationships/hyperlink" Target="http://live.unece.org/fileadmin/DAM/env/pp/documents/cep43e.pdf" TargetMode="External"/><Relationship Id="rId36" Type="http://schemas.openxmlformats.org/officeDocument/2006/relationships/hyperlink" Target="https://www.un.org/development/desa/indigenouspeoples/declaration-on-the-rights-of-indigenous-peoples.html" TargetMode="External"/><Relationship Id="rId49" Type="http://schemas.openxmlformats.org/officeDocument/2006/relationships/hyperlink" Target="https://www.cbd.int/decisions/cop/?m=cop-08" TargetMode="External"/><Relationship Id="rId10" Type="http://schemas.openxmlformats.org/officeDocument/2006/relationships/hyperlink" Target="https://email.cbd.int/owa/redir.aspx?C=ltFWbWIO20fcm6Zng2rI2tbIlgXyZNP14doLjO70u_Sizo3qOOHVCA..&amp;URL=https%3a%2f%2fwww.international-climate-initiative.com%2fen%2fnc%2fdetails%2f%3fprojectid%3d2803%26iki_lang%3den" TargetMode="External"/><Relationship Id="rId19" Type="http://schemas.openxmlformats.org/officeDocument/2006/relationships/hyperlink" Target="http://www.un.org/esa/socdev/unpfii/documents/DRIPS_fr.pdf" TargetMode="External"/><Relationship Id="rId31" Type="http://schemas.openxmlformats.org/officeDocument/2006/relationships/hyperlink" Target="http://undocs.org/fr/A/RES/71/312" TargetMode="External"/><Relationship Id="rId44" Type="http://schemas.openxmlformats.org/officeDocument/2006/relationships/hyperlink" Target="http://randd.defra.gov.uk/Default.aspx?Module=More&amp;Location=None&amp;ProjectID=18016" TargetMode="External"/><Relationship Id="rId52" Type="http://schemas.openxmlformats.org/officeDocument/2006/relationships/hyperlink" Target="http://www.apimondia.com/fr" TargetMode="External"/><Relationship Id="rId4" Type="http://schemas.openxmlformats.org/officeDocument/2006/relationships/hyperlink" Target="https://www.cbd.int/doc/decisions/cop-10/cop-10-dec-02-fr.pdf" TargetMode="External"/><Relationship Id="rId9" Type="http://schemas.openxmlformats.org/officeDocument/2006/relationships/hyperlink" Target="https://email.cbd.int/owa/redir.aspx?C=vqhiKZYEHH2nRYactZiFfwAP13sjRWLBLEPC5s0NWLKizo3qOOHVCA..&amp;URL=http%3a%2f%2fwww.besnet.world%2fsites%2fdefault%2ffiles%2fWorkshopReport_July2017.pdf" TargetMode="External"/><Relationship Id="rId14" Type="http://schemas.openxmlformats.org/officeDocument/2006/relationships/hyperlink" Target="https://www.ncbi.nlm.nih.gov/pmc/articles/PMC4643828/" TargetMode="External"/><Relationship Id="rId22" Type="http://schemas.openxmlformats.org/officeDocument/2006/relationships/hyperlink" Target="https://www.cbd.int/doc/publications/cbd-ts-64-en.pdf" TargetMode="External"/><Relationship Id="rId27" Type="http://schemas.openxmlformats.org/officeDocument/2006/relationships/hyperlink" Target="http://www.fao.org/docrep/016/i2801e/i2801e.pdf" TargetMode="External"/><Relationship Id="rId30" Type="http://schemas.openxmlformats.org/officeDocument/2006/relationships/hyperlink" Target="http://www.un.org/esa/socdev/unpfii/documents/DRIPS_fr.pdf" TargetMode="External"/><Relationship Id="rId35" Type="http://schemas.openxmlformats.org/officeDocument/2006/relationships/hyperlink" Target="https://www.cbd.int/doc/decisions/cop-10/cop-10-dec-02-fr.pdf" TargetMode="External"/><Relationship Id="rId43" Type="http://schemas.openxmlformats.org/officeDocument/2006/relationships/hyperlink" Target="https://www.iucn.org/theme/ecosystem-management/our-work/ecosystem-based-adaptation-and-climate-change/friends-eba-feba/knowledge-products" TargetMode="External"/><Relationship Id="rId48" Type="http://schemas.openxmlformats.org/officeDocument/2006/relationships/hyperlink" Target="http://www.oie.int/fr/normes/code-terrestre/" TargetMode="External"/><Relationship Id="rId8" Type="http://schemas.openxmlformats.org/officeDocument/2006/relationships/hyperlink" Target="https://undocs.org/A/RES/70/1" TargetMode="External"/><Relationship Id="rId51" Type="http://schemas.openxmlformats.org/officeDocument/2006/relationships/hyperlink" Target="https://documents-dds-ny.un.org/doc/UNDOC/GEN/N17/467/97/pdf/N1746797.pdf?OpenEl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Recherche des points d'accès et argument en faveur</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Intégration des approches écosystémiques d'</a:t>
          </a:r>
          <a:r>
            <a:rPr lang="fr-FR">
              <a:latin typeface="Times New Roman" panose="02020603050405020304" pitchFamily="18" charset="0"/>
              <a:cs typeface="Times New Roman" panose="02020603050405020304" pitchFamily="18" charset="0"/>
            </a:rPr>
            <a:t>adaptation aux changements climatiques </a:t>
          </a:r>
          <a:r>
            <a:rPr lang="en-CA">
              <a:latin typeface="Times New Roman" panose="02020603050405020304" pitchFamily="18" charset="0"/>
              <a:cs typeface="Times New Roman" panose="02020603050405020304" pitchFamily="18" charset="0"/>
            </a:rPr>
            <a:t>et de</a:t>
          </a:r>
          <a:r>
            <a:rPr lang="fr-FR">
              <a:latin typeface="Times New Roman" panose="02020603050405020304" pitchFamily="18" charset="0"/>
              <a:cs typeface="Times New Roman" panose="02020603050405020304" pitchFamily="18" charset="0"/>
            </a:rPr>
            <a:t> réduction des risques de catastrophe naturelle </a:t>
          </a:r>
          <a:r>
            <a:rPr lang="en-CA">
              <a:latin typeface="Times New Roman" panose="02020603050405020304" pitchFamily="18" charset="0"/>
              <a:cs typeface="Times New Roman" panose="02020603050405020304" pitchFamily="18" charset="0"/>
            </a:rPr>
            <a:t>dans les processus politiques et de planification</a:t>
          </a: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dgm:spPr/>
      <dgm:t>
        <a:bodyPr/>
        <a:lstStyle/>
        <a:p>
          <a:endParaRPr lang="en-CA"/>
        </a:p>
        <a:p>
          <a:endParaRPr lang="en-CA"/>
        </a:p>
        <a:p>
          <a:r>
            <a:rPr lang="en-CA">
              <a:latin typeface="Times New Roman" panose="02020603050405020304" pitchFamily="18" charset="0"/>
              <a:cs typeface="Times New Roman" panose="02020603050405020304" pitchFamily="18" charset="0"/>
            </a:rPr>
            <a:t>Renforcer l'application de l'adaptation fondée sur les écosystèmes</a:t>
          </a:r>
          <a:r>
            <a:rPr lang="en-CA"/>
            <a:t> </a:t>
          </a: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t>
        <a:bodyPr/>
        <a:lstStyle/>
        <a:p>
          <a:endParaRPr lang="fr-FR"/>
        </a:p>
      </dgm:t>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dgm:spPr/>
      <dgm:t>
        <a:bodyPr/>
        <a:lstStyle/>
        <a:p>
          <a:endParaRPr lang="fr-FR"/>
        </a:p>
      </dgm:t>
    </dgm:pt>
    <dgm:pt modelId="{2BEED4DF-C0C8-4A3F-9C2E-05AA2513F8B4}" type="pres">
      <dgm:prSet presAssocID="{68460846-3425-4814-AC22-29512B352963}" presName="nodeTx" presStyleLbl="node1" presStyleIdx="0" presStyleCnt="3">
        <dgm:presLayoutVars>
          <dgm:bulletEnabled val="1"/>
        </dgm:presLayoutVars>
      </dgm:prSet>
      <dgm:spPr/>
      <dgm:t>
        <a:bodyPr/>
        <a:lstStyle/>
        <a:p>
          <a:endParaRPr lang="fr-FR"/>
        </a:p>
      </dgm:t>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t>
        <a:bodyPr/>
        <a:lstStyle/>
        <a:p>
          <a:endParaRPr lang="fr-FR"/>
        </a:p>
      </dgm:t>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t>
        <a:bodyPr/>
        <a:lstStyle/>
        <a:p>
          <a:endParaRPr lang="fr-FR"/>
        </a:p>
      </dgm:t>
    </dgm:pt>
    <dgm:pt modelId="{4B1D61F5-6DB4-4FD7-934D-B1F8EE3A842B}" type="pres">
      <dgm:prSet presAssocID="{27C935EF-1D93-4E70-907F-7A74D345A045}" presName="nodeTx" presStyleLbl="node1" presStyleIdx="1" presStyleCnt="3">
        <dgm:presLayoutVars>
          <dgm:bulletEnabled val="1"/>
        </dgm:presLayoutVars>
      </dgm:prSet>
      <dgm:spPr/>
      <dgm:t>
        <a:bodyPr/>
        <a:lstStyle/>
        <a:p>
          <a:endParaRPr lang="fr-FR"/>
        </a:p>
      </dgm:t>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t>
        <a:bodyPr/>
        <a:lstStyle/>
        <a:p>
          <a:endParaRPr lang="fr-FR"/>
        </a:p>
      </dgm:t>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t>
        <a:bodyPr/>
        <a:lstStyle/>
        <a:p>
          <a:endParaRPr lang="fr-FR"/>
        </a:p>
      </dgm:t>
    </dgm:pt>
    <dgm:pt modelId="{7CF0F336-7ABC-49F3-8EB5-F3A6D3D057D9}" type="pres">
      <dgm:prSet presAssocID="{ADE5642F-8019-4453-AA0F-F1D5B2F3FCE2}" presName="nodeTx" presStyleLbl="node1" presStyleIdx="2" presStyleCnt="3">
        <dgm:presLayoutVars>
          <dgm:bulletEnabled val="1"/>
        </dgm:presLayoutVars>
      </dgm:prSet>
      <dgm:spPr/>
      <dgm:t>
        <a:bodyPr/>
        <a:lstStyle/>
        <a:p>
          <a:endParaRPr lang="fr-FR"/>
        </a:p>
      </dgm:t>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0BA889A3-1F1B-47E5-88F8-4A40A8F603FF}" type="presOf" srcId="{805CBCC6-4DA2-478A-BE55-2B6EA5A3BD8E}" destId="{5D904210-8F9A-45B0-92B7-28AE67ABBC55}" srcOrd="0" destOrd="0" presId="urn:microsoft.com/office/officeart/2005/8/layout/hList7"/>
    <dgm:cxn modelId="{9107D088-9F6F-4A11-A528-C9DD6722B70E}" type="presOf" srcId="{27C935EF-1D93-4E70-907F-7A74D345A045}" destId="{A3132895-84B2-44CB-9AC8-67F734E85834}" srcOrd="0" destOrd="0" presId="urn:microsoft.com/office/officeart/2005/8/layout/hList7"/>
    <dgm:cxn modelId="{6A05D6E7-B37E-45AE-8B4C-F66A31AA69BA}" type="presOf" srcId="{BE80E99A-06BF-4B08-BE1C-B8D50BA3BFE9}" destId="{F0802D41-6CD7-4879-B45B-2A626EC3907D}" srcOrd="0" destOrd="0" presId="urn:microsoft.com/office/officeart/2005/8/layout/hList7"/>
    <dgm:cxn modelId="{0A45F90A-642A-4D38-9B4F-CC1B20AABDF0}" type="presOf" srcId="{27C935EF-1D93-4E70-907F-7A74D345A045}" destId="{4B1D61F5-6DB4-4FD7-934D-B1F8EE3A842B}" srcOrd="1" destOrd="0" presId="urn:microsoft.com/office/officeart/2005/8/layout/hList7"/>
    <dgm:cxn modelId="{D0FDEB0F-1551-42B0-B78A-A60F537EAA16}" type="presOf" srcId="{ADE5642F-8019-4453-AA0F-F1D5B2F3FCE2}" destId="{48754E01-CB17-4C4D-A139-D82CADDFE0C9}" srcOrd="0" destOrd="0" presId="urn:microsoft.com/office/officeart/2005/8/layout/hList7"/>
    <dgm:cxn modelId="{4B39B467-638E-47F7-896A-0797D998B0DC}" type="presOf" srcId="{334DCF7E-4529-45CD-AB1A-B7C2324E3062}" destId="{BCE578E4-7A65-48CC-A5FD-FBCFB453D1A7}" srcOrd="0" destOrd="0" presId="urn:microsoft.com/office/officeart/2005/8/layout/hList7"/>
    <dgm:cxn modelId="{FB683BDE-B11E-49C5-B181-D012B7C3E7BC}" type="presOf" srcId="{68460846-3425-4814-AC22-29512B352963}" destId="{E2BC27F1-29D4-48B6-A737-AAA806A314C7}" srcOrd="0" destOrd="0" presId="urn:microsoft.com/office/officeart/2005/8/layout/hList7"/>
    <dgm:cxn modelId="{4C26D3A4-1FEF-477A-8338-987DE455D37B}" type="presOf" srcId="{68460846-3425-4814-AC22-29512B352963}" destId="{2BEED4DF-C0C8-4A3F-9C2E-05AA2513F8B4}" srcOrd="1" destOrd="0" presId="urn:microsoft.com/office/officeart/2005/8/layout/hList7"/>
    <dgm:cxn modelId="{93A2A3BD-58A2-4CA8-B9C4-6AF582C97A60}" type="presOf" srcId="{ADE5642F-8019-4453-AA0F-F1D5B2F3FCE2}" destId="{7CF0F336-7ABC-49F3-8EB5-F3A6D3D057D9}" srcOrd="1" destOrd="0" presId="urn:microsoft.com/office/officeart/2005/8/layout/hList7"/>
    <dgm:cxn modelId="{DF395850-51FB-4B95-A079-9B05C109F215}" srcId="{BE80E99A-06BF-4B08-BE1C-B8D50BA3BFE9}" destId="{27C935EF-1D93-4E70-907F-7A74D345A045}" srcOrd="1" destOrd="0" parTransId="{67A47467-1FE5-4B47-B9BF-9DD8E70BF506}" sibTransId="{805CBCC6-4DA2-478A-BE55-2B6EA5A3BD8E}"/>
    <dgm:cxn modelId="{A2B819AD-F3F2-4AC2-A03B-45CB9D512445}" srcId="{BE80E99A-06BF-4B08-BE1C-B8D50BA3BFE9}" destId="{ADE5642F-8019-4453-AA0F-F1D5B2F3FCE2}" srcOrd="2" destOrd="0" parTransId="{CC618C16-EACC-4F10-A91D-BCE2EB4C0E93}" sibTransId="{32EAFCC9-4A27-4829-B7EB-E1C743D6F4B5}"/>
    <dgm:cxn modelId="{64DAC741-2457-4960-AE60-8809EE13A5DC}" srcId="{BE80E99A-06BF-4B08-BE1C-B8D50BA3BFE9}" destId="{68460846-3425-4814-AC22-29512B352963}" srcOrd="0" destOrd="0" parTransId="{6E8F72D7-783D-49A7-AB1F-8B8CDCB239B8}" sibTransId="{334DCF7E-4529-45CD-AB1A-B7C2324E3062}"/>
    <dgm:cxn modelId="{06EEAA28-72F5-4A68-AD69-0BA4AA18E5C7}" type="presParOf" srcId="{F0802D41-6CD7-4879-B45B-2A626EC3907D}" destId="{68B45C9E-BD37-484B-83EC-DCAB0A68FBDA}" srcOrd="0" destOrd="0" presId="urn:microsoft.com/office/officeart/2005/8/layout/hList7"/>
    <dgm:cxn modelId="{75023624-3162-41C4-B1A7-B58BD6877ACD}" type="presParOf" srcId="{F0802D41-6CD7-4879-B45B-2A626EC3907D}" destId="{10E13CA2-BBDD-4541-ABBB-8DB6D56BAAE6}" srcOrd="1" destOrd="0" presId="urn:microsoft.com/office/officeart/2005/8/layout/hList7"/>
    <dgm:cxn modelId="{8FA8EB4F-C942-4E66-A52B-566105FAB9FE}" type="presParOf" srcId="{10E13CA2-BBDD-4541-ABBB-8DB6D56BAAE6}" destId="{FAF6EF2C-50B7-444A-B14B-8514D1AA7CF0}" srcOrd="0" destOrd="0" presId="urn:microsoft.com/office/officeart/2005/8/layout/hList7"/>
    <dgm:cxn modelId="{25B569C8-CC34-4822-BD3E-EEB5E8C486AA}" type="presParOf" srcId="{FAF6EF2C-50B7-444A-B14B-8514D1AA7CF0}" destId="{E2BC27F1-29D4-48B6-A737-AAA806A314C7}" srcOrd="0" destOrd="0" presId="urn:microsoft.com/office/officeart/2005/8/layout/hList7"/>
    <dgm:cxn modelId="{90E41F7A-E881-4DF8-8368-6F9523D41F69}" type="presParOf" srcId="{FAF6EF2C-50B7-444A-B14B-8514D1AA7CF0}" destId="{2BEED4DF-C0C8-4A3F-9C2E-05AA2513F8B4}" srcOrd="1" destOrd="0" presId="urn:microsoft.com/office/officeart/2005/8/layout/hList7"/>
    <dgm:cxn modelId="{666960BC-B18E-4DD8-9726-78FD3FE6B8FB}" type="presParOf" srcId="{FAF6EF2C-50B7-444A-B14B-8514D1AA7CF0}" destId="{DE761EC6-67C6-4699-8858-5208BE2FF19F}" srcOrd="2" destOrd="0" presId="urn:microsoft.com/office/officeart/2005/8/layout/hList7"/>
    <dgm:cxn modelId="{E307D72A-DACA-48C2-8755-C01207C06848}" type="presParOf" srcId="{FAF6EF2C-50B7-444A-B14B-8514D1AA7CF0}" destId="{74F23E52-E5F7-4FAE-834A-549E0BD08423}" srcOrd="3" destOrd="0" presId="urn:microsoft.com/office/officeart/2005/8/layout/hList7"/>
    <dgm:cxn modelId="{733E296B-E133-4EE8-925D-D022B8AC34D6}" type="presParOf" srcId="{10E13CA2-BBDD-4541-ABBB-8DB6D56BAAE6}" destId="{BCE578E4-7A65-48CC-A5FD-FBCFB453D1A7}" srcOrd="1" destOrd="0" presId="urn:microsoft.com/office/officeart/2005/8/layout/hList7"/>
    <dgm:cxn modelId="{559A133F-A1AF-417D-8253-DCAB3C9F131E}" type="presParOf" srcId="{10E13CA2-BBDD-4541-ABBB-8DB6D56BAAE6}" destId="{435A4640-EC76-443F-A20F-72EDE613F9B1}" srcOrd="2" destOrd="0" presId="urn:microsoft.com/office/officeart/2005/8/layout/hList7"/>
    <dgm:cxn modelId="{A43B0145-1F1D-470B-8A65-0CCC8DB76B8B}" type="presParOf" srcId="{435A4640-EC76-443F-A20F-72EDE613F9B1}" destId="{A3132895-84B2-44CB-9AC8-67F734E85834}" srcOrd="0" destOrd="0" presId="urn:microsoft.com/office/officeart/2005/8/layout/hList7"/>
    <dgm:cxn modelId="{BF46DC36-80F4-4A95-9B5A-FDF681A82EF9}" type="presParOf" srcId="{435A4640-EC76-443F-A20F-72EDE613F9B1}" destId="{4B1D61F5-6DB4-4FD7-934D-B1F8EE3A842B}" srcOrd="1" destOrd="0" presId="urn:microsoft.com/office/officeart/2005/8/layout/hList7"/>
    <dgm:cxn modelId="{BD28D506-FCEC-4636-917C-9F42D80E3BC6}" type="presParOf" srcId="{435A4640-EC76-443F-A20F-72EDE613F9B1}" destId="{AB84A371-13EE-4546-8121-F5C6BBF94FFB}" srcOrd="2" destOrd="0" presId="urn:microsoft.com/office/officeart/2005/8/layout/hList7"/>
    <dgm:cxn modelId="{D0A7D1FA-52D7-461E-98A0-CA886DD50008}" type="presParOf" srcId="{435A4640-EC76-443F-A20F-72EDE613F9B1}" destId="{1F467492-0576-42B7-B70A-F6A6F76DAA16}" srcOrd="3" destOrd="0" presId="urn:microsoft.com/office/officeart/2005/8/layout/hList7"/>
    <dgm:cxn modelId="{AE489FD6-6D3D-4651-8307-D7D6EE120B2E}" type="presParOf" srcId="{10E13CA2-BBDD-4541-ABBB-8DB6D56BAAE6}" destId="{5D904210-8F9A-45B0-92B7-28AE67ABBC55}" srcOrd="3" destOrd="0" presId="urn:microsoft.com/office/officeart/2005/8/layout/hList7"/>
    <dgm:cxn modelId="{D48B112F-B424-4D97-9E57-8AD83F2F7114}" type="presParOf" srcId="{10E13CA2-BBDD-4541-ABBB-8DB6D56BAAE6}" destId="{93C67694-CA72-47D2-8262-1E1894C66384}" srcOrd="4" destOrd="0" presId="urn:microsoft.com/office/officeart/2005/8/layout/hList7"/>
    <dgm:cxn modelId="{B26AC099-1C64-43D8-90F0-58BD9A3E1472}" type="presParOf" srcId="{93C67694-CA72-47D2-8262-1E1894C66384}" destId="{48754E01-CB17-4C4D-A139-D82CADDFE0C9}" srcOrd="0" destOrd="0" presId="urn:microsoft.com/office/officeart/2005/8/layout/hList7"/>
    <dgm:cxn modelId="{1B043856-DFD5-4530-8DBF-773B2A59BB23}" type="presParOf" srcId="{93C67694-CA72-47D2-8262-1E1894C66384}" destId="{7CF0F336-7ABC-49F3-8EB5-F3A6D3D057D9}" srcOrd="1" destOrd="0" presId="urn:microsoft.com/office/officeart/2005/8/layout/hList7"/>
    <dgm:cxn modelId="{BF0B5C81-C6BE-418B-A0D4-2ED623678F6D}" type="presParOf" srcId="{93C67694-CA72-47D2-8262-1E1894C66384}" destId="{38E1716B-7F13-46F1-9DB0-AD0CC96EC8B8}" srcOrd="2" destOrd="0" presId="urn:microsoft.com/office/officeart/2005/8/layout/hList7"/>
    <dgm:cxn modelId="{67A3DC27-7CAA-49C8-8BB4-C466B25561ED}"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1243" y="0"/>
          <a:ext cx="1935314" cy="3886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Recherche des points d'accès et argument en faveur</a:t>
          </a:r>
        </a:p>
      </dsp:txBody>
      <dsp:txXfrm>
        <a:off x="1243" y="1554480"/>
        <a:ext cx="1935314" cy="1554480"/>
      </dsp:txXfrm>
    </dsp:sp>
    <dsp:sp modelId="{74F23E52-E5F7-4FAE-834A-549E0BD08423}">
      <dsp:nvSpPr>
        <dsp:cNvPr id="0" name=""/>
        <dsp:cNvSpPr/>
      </dsp:nvSpPr>
      <dsp:spPr>
        <a:xfrm>
          <a:off x="321848" y="233172"/>
          <a:ext cx="1294104" cy="129410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886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Intégration des approches écosystémiques d'</a:t>
          </a:r>
          <a:r>
            <a:rPr lang="fr-FR" sz="1000" kern="1200">
              <a:latin typeface="Times New Roman" panose="02020603050405020304" pitchFamily="18" charset="0"/>
              <a:cs typeface="Times New Roman" panose="02020603050405020304" pitchFamily="18" charset="0"/>
            </a:rPr>
            <a:t>adaptation aux changements climatiques </a:t>
          </a:r>
          <a:r>
            <a:rPr lang="en-CA" sz="1000" kern="1200">
              <a:latin typeface="Times New Roman" panose="02020603050405020304" pitchFamily="18" charset="0"/>
              <a:cs typeface="Times New Roman" panose="02020603050405020304" pitchFamily="18" charset="0"/>
            </a:rPr>
            <a:t>et de</a:t>
          </a:r>
          <a:r>
            <a:rPr lang="fr-FR" sz="1000" kern="1200">
              <a:latin typeface="Times New Roman" panose="02020603050405020304" pitchFamily="18" charset="0"/>
              <a:cs typeface="Times New Roman" panose="02020603050405020304" pitchFamily="18" charset="0"/>
            </a:rPr>
            <a:t> réduction des risques de catastrophe naturelle </a:t>
          </a:r>
          <a:r>
            <a:rPr lang="en-CA" sz="1000" kern="1200">
              <a:latin typeface="Times New Roman" panose="02020603050405020304" pitchFamily="18" charset="0"/>
              <a:cs typeface="Times New Roman" panose="02020603050405020304" pitchFamily="18" charset="0"/>
            </a:rPr>
            <a:t>dans les processus politiques et de planification</a:t>
          </a:r>
        </a:p>
      </dsp:txBody>
      <dsp:txXfrm>
        <a:off x="1994617" y="1554480"/>
        <a:ext cx="1935314" cy="1554480"/>
      </dsp:txXfrm>
    </dsp:sp>
    <dsp:sp modelId="{1F467492-0576-42B7-B70A-F6A6F76DAA16}">
      <dsp:nvSpPr>
        <dsp:cNvPr id="0" name=""/>
        <dsp:cNvSpPr/>
      </dsp:nvSpPr>
      <dsp:spPr>
        <a:xfrm>
          <a:off x="2315222" y="233172"/>
          <a:ext cx="1294104" cy="129410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8862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endParaRPr lang="en-CA" sz="1000" kern="1200"/>
        </a:p>
        <a:p>
          <a:pPr lvl="0" algn="ctr" defTabSz="444500">
            <a:lnSpc>
              <a:spcPct val="90000"/>
            </a:lnSpc>
            <a:spcBef>
              <a:spcPct val="0"/>
            </a:spcBef>
            <a:spcAft>
              <a:spcPct val="35000"/>
            </a:spcAft>
          </a:pPr>
          <a:r>
            <a:rPr lang="en-CA" sz="1000" kern="1200">
              <a:latin typeface="Times New Roman" panose="02020603050405020304" pitchFamily="18" charset="0"/>
              <a:cs typeface="Times New Roman" panose="02020603050405020304" pitchFamily="18" charset="0"/>
            </a:rPr>
            <a:t>Renforcer l'application de l'adaptation fondée sur les écosystèmes</a:t>
          </a:r>
          <a:r>
            <a:rPr lang="en-CA" sz="1000" kern="1200"/>
            <a:t> </a:t>
          </a:r>
        </a:p>
      </dsp:txBody>
      <dsp:txXfrm>
        <a:off x="3987991" y="1554480"/>
        <a:ext cx="1935314" cy="1554480"/>
      </dsp:txXfrm>
    </dsp:sp>
    <dsp:sp modelId="{988788B5-B98B-415A-9FDA-788C3B1582B9}">
      <dsp:nvSpPr>
        <dsp:cNvPr id="0" name=""/>
        <dsp:cNvSpPr/>
      </dsp:nvSpPr>
      <dsp:spPr>
        <a:xfrm>
          <a:off x="4308596" y="233172"/>
          <a:ext cx="1294104" cy="1294104"/>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3108960"/>
          <a:ext cx="5450586" cy="582930"/>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1F3F052A3347138D79C9F83A933864"/>
        <w:category>
          <w:name w:val="General"/>
          <w:gallery w:val="placeholder"/>
        </w:category>
        <w:types>
          <w:type w:val="bbPlcHdr"/>
        </w:types>
        <w:behaviors>
          <w:behavior w:val="content"/>
        </w:behaviors>
        <w:guid w:val="{0F772EB1-AF5B-44FE-B69D-A077D7D217DD}"/>
      </w:docPartPr>
      <w:docPartBody>
        <w:p w:rsidR="008D4B30" w:rsidRDefault="00A57CA4">
          <w:r w:rsidRPr="00D65739">
            <w:rPr>
              <w:rStyle w:val="PlaceholderText"/>
            </w:rPr>
            <w:t>[Subject]</w:t>
          </w:r>
        </w:p>
      </w:docPartBody>
    </w:docPart>
    <w:docPart>
      <w:docPartPr>
        <w:name w:val="28C607B7D11C40DEB7D529F7AD1AB886"/>
        <w:category>
          <w:name w:val="General"/>
          <w:gallery w:val="placeholder"/>
        </w:category>
        <w:types>
          <w:type w:val="bbPlcHdr"/>
        </w:types>
        <w:behaviors>
          <w:behavior w:val="content"/>
        </w:behaviors>
        <w:guid w:val="{DE06AADB-32C3-4BC4-AFF1-117F9F77F8E3}"/>
      </w:docPartPr>
      <w:docPartBody>
        <w:p w:rsidR="008D4B30" w:rsidRDefault="00A57CA4">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khbar MT">
    <w:altName w:val="Times New Roman"/>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ngsana New">
    <w:panose1 w:val="02020603050405020304"/>
    <w:charset w:val="DE"/>
    <w:family w:val="roman"/>
    <w:notTrueType/>
    <w:pitch w:val="variable"/>
    <w:sig w:usb0="01000001" w:usb1="00000000" w:usb2="00000000" w:usb3="00000000" w:csb0="00010000" w:csb1="00000000"/>
  </w:font>
  <w:font w:name="Lucida Grande">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Yu Mincho">
    <w:charset w:val="80"/>
    <w:family w:val="roman"/>
    <w:pitch w:val="variable"/>
    <w:sig w:usb0="800002E7" w:usb1="2AC7FCFF" w:usb2="00000012" w:usb3="00000000" w:csb0="0002009F" w:csb1="00000000"/>
  </w:font>
  <w:font w:name="HelveticaNeueLTStd-Lt">
    <w:panose1 w:val="00000000000000000000"/>
    <w:charset w:val="80"/>
    <w:family w:val="swiss"/>
    <w:notTrueType/>
    <w:pitch w:val="default"/>
    <w:sig w:usb0="00000003" w:usb1="08070000" w:usb2="00000010" w:usb3="00000000" w:csb0="0002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CA4"/>
    <w:rsid w:val="00064CEC"/>
    <w:rsid w:val="000F2036"/>
    <w:rsid w:val="001B558D"/>
    <w:rsid w:val="001C03A2"/>
    <w:rsid w:val="002C4B27"/>
    <w:rsid w:val="003B2902"/>
    <w:rsid w:val="003F42B3"/>
    <w:rsid w:val="004C0186"/>
    <w:rsid w:val="005D0466"/>
    <w:rsid w:val="005E10FE"/>
    <w:rsid w:val="005E6D5F"/>
    <w:rsid w:val="006C23AC"/>
    <w:rsid w:val="00767ADD"/>
    <w:rsid w:val="007F0AB1"/>
    <w:rsid w:val="008D4B30"/>
    <w:rsid w:val="009D1912"/>
    <w:rsid w:val="00A57CA4"/>
    <w:rsid w:val="00A91081"/>
    <w:rsid w:val="00C2640F"/>
    <w:rsid w:val="00C71F73"/>
    <w:rsid w:val="00CB1444"/>
    <w:rsid w:val="00DD537C"/>
    <w:rsid w:val="00EA43AF"/>
    <w:rsid w:val="00ED2F8A"/>
    <w:rsid w:val="00FA2174"/>
    <w:rsid w:val="00FA7E7B"/>
    <w:rsid w:val="00FF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67ADD"/>
    <w:rPr>
      <w:color w:val="808080"/>
    </w:rPr>
  </w:style>
  <w:style w:type="paragraph" w:customStyle="1" w:styleId="4CD6CBA458AF499FAB9875BD5CC997FA">
    <w:name w:val="4CD6CBA458AF499FAB9875BD5CC997FA"/>
    <w:rsid w:val="00767ADD"/>
    <w:rPr>
      <w:lang w:val="fr-FR" w:eastAsia="fr-FR"/>
    </w:rPr>
  </w:style>
  <w:style w:type="paragraph" w:customStyle="1" w:styleId="62AB8692113E46CB91BBEB2B6E430DB9">
    <w:name w:val="62AB8692113E46CB91BBEB2B6E430DB9"/>
    <w:rsid w:val="00767ADD"/>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6AC4-0173-4086-BD8C-2B8D09F7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602</TotalTime>
  <Pages>130</Pages>
  <Words>65720</Words>
  <Characters>361466</Characters>
  <Application>Microsoft Office Word</Application>
  <DocSecurity>0</DocSecurity>
  <Lines>3012</Lines>
  <Paragraphs>852</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426334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CBD/SBSTTA/22/12</dc:subject>
  <dc:creator>SCBD</dc:creator>
  <cp:lastModifiedBy>Finn Kinley</cp:lastModifiedBy>
  <cp:revision>78</cp:revision>
  <cp:lastPrinted>2018-07-03T05:21:00Z</cp:lastPrinted>
  <dcterms:created xsi:type="dcterms:W3CDTF">2018-07-07T06:04:00Z</dcterms:created>
  <dcterms:modified xsi:type="dcterms:W3CDTF">2018-09-28T03:48:00Z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*.*.CBD...*..Distr..GÉNÉRALE ..CBD/SBSTTA/22/12.9 juillet 2018..FRANÇAIS.ORIGINAL : ANGLAIS..</vt:lpwstr>
  </property>
</Properties>
</file>