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646D82" w14:paraId="1265985C" w14:textId="77777777" w:rsidTr="00E34F57">
        <w:trPr>
          <w:trHeight w:val="709"/>
        </w:trPr>
        <w:tc>
          <w:tcPr>
            <w:tcW w:w="976" w:type="dxa"/>
            <w:tcBorders>
              <w:bottom w:val="single" w:sz="12" w:space="0" w:color="auto"/>
            </w:tcBorders>
          </w:tcPr>
          <w:p w14:paraId="1629FB1A" w14:textId="77777777" w:rsidR="00207A6E" w:rsidRPr="00646D82" w:rsidRDefault="00207A6E" w:rsidP="00E34F57">
            <w:r w:rsidRPr="00CD1425">
              <w:rPr>
                <w:noProof/>
                <w:lang w:eastAsia="zh-CN"/>
              </w:rPr>
              <w:drawing>
                <wp:inline distT="0" distB="0" distL="0" distR="0" wp14:anchorId="2B385BA0" wp14:editId="2C1FDE6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392E285" w14:textId="77777777" w:rsidR="00207A6E" w:rsidRPr="002A4D34" w:rsidRDefault="00207A6E" w:rsidP="00E34F57">
            <w:r w:rsidRPr="002A4D34">
              <w:rPr>
                <w:noProof/>
                <w:lang w:eastAsia="zh-CN"/>
              </w:rPr>
              <w:drawing>
                <wp:inline distT="0" distB="0" distL="0" distR="0" wp14:anchorId="5DA3974A" wp14:editId="67EFE07A">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508EC80" w14:textId="77777777" w:rsidR="00207A6E" w:rsidRPr="00646D82" w:rsidRDefault="00207A6E" w:rsidP="00E34F57">
            <w:pPr>
              <w:jc w:val="right"/>
              <w:rPr>
                <w:rFonts w:ascii="Arial" w:hAnsi="Arial" w:cs="Arial"/>
                <w:b/>
                <w:sz w:val="32"/>
                <w:szCs w:val="32"/>
              </w:rPr>
            </w:pPr>
            <w:r w:rsidRPr="00646D82">
              <w:rPr>
                <w:rFonts w:ascii="Arial" w:hAnsi="Arial" w:cs="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646D82" w14:paraId="477318FC" w14:textId="77777777" w:rsidTr="009554D5">
        <w:trPr>
          <w:trHeight w:val="1693"/>
        </w:trPr>
        <w:tc>
          <w:tcPr>
            <w:tcW w:w="6227" w:type="dxa"/>
            <w:tcBorders>
              <w:top w:val="nil"/>
              <w:bottom w:val="single" w:sz="36" w:space="0" w:color="000000"/>
            </w:tcBorders>
          </w:tcPr>
          <w:p w14:paraId="5E92BB31" w14:textId="77777777" w:rsidR="00F16F02" w:rsidRPr="00646D82" w:rsidRDefault="00F16F02">
            <w:pPr>
              <w:rPr>
                <w:snapToGrid w:val="0"/>
                <w:kern w:val="22"/>
              </w:rPr>
            </w:pPr>
          </w:p>
          <w:p w14:paraId="3E24225D" w14:textId="77777777" w:rsidR="00F16F02" w:rsidRPr="002A4D34" w:rsidRDefault="00F16F02" w:rsidP="00736BC2">
            <w:pPr>
              <w:rPr>
                <w:snapToGrid w:val="0"/>
                <w:kern w:val="22"/>
              </w:rPr>
            </w:pPr>
            <w:r w:rsidRPr="002A4D34">
              <w:rPr>
                <w:noProof/>
                <w:kern w:val="22"/>
                <w:lang w:eastAsia="zh-CN"/>
              </w:rPr>
              <w:drawing>
                <wp:inline distT="0" distB="0" distL="0" distR="0" wp14:anchorId="7883860D" wp14:editId="68BAA9D7">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14:paraId="0B472247" w14:textId="77777777" w:rsidR="00F16F02" w:rsidRPr="00646D82" w:rsidRDefault="00F16F02">
            <w:pPr>
              <w:rPr>
                <w:rFonts w:ascii="Univers" w:hAnsi="Univers"/>
                <w:snapToGrid w:val="0"/>
                <w:kern w:val="22"/>
                <w:sz w:val="32"/>
              </w:rPr>
            </w:pPr>
          </w:p>
        </w:tc>
        <w:tc>
          <w:tcPr>
            <w:tcW w:w="1144" w:type="dxa"/>
            <w:tcBorders>
              <w:top w:val="nil"/>
              <w:bottom w:val="single" w:sz="36" w:space="0" w:color="000000"/>
            </w:tcBorders>
          </w:tcPr>
          <w:p w14:paraId="42FAC520" w14:textId="77777777" w:rsidR="00F16F02" w:rsidRPr="00646D82" w:rsidRDefault="00F16F02">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29693378" w14:textId="77777777" w:rsidR="00F16F02" w:rsidRPr="00646D82" w:rsidRDefault="00F16F02" w:rsidP="00B271A0">
            <w:pPr>
              <w:ind w:left="63"/>
              <w:rPr>
                <w:snapToGrid w:val="0"/>
                <w:kern w:val="22"/>
                <w:szCs w:val="22"/>
              </w:rPr>
            </w:pPr>
            <w:r w:rsidRPr="00646D82">
              <w:rPr>
                <w:snapToGrid w:val="0"/>
                <w:kern w:val="22"/>
                <w:szCs w:val="22"/>
              </w:rPr>
              <w:t>Distr.</w:t>
            </w:r>
          </w:p>
          <w:p w14:paraId="43E84A13" w14:textId="77777777" w:rsidR="00F16F02" w:rsidRPr="00646D82" w:rsidRDefault="00F16F02" w:rsidP="00B271A0">
            <w:pPr>
              <w:ind w:left="63"/>
              <w:rPr>
                <w:snapToGrid w:val="0"/>
                <w:kern w:val="22"/>
                <w:szCs w:val="22"/>
              </w:rPr>
            </w:pPr>
            <w:r w:rsidRPr="00646D82">
              <w:rPr>
                <w:snapToGrid w:val="0"/>
                <w:kern w:val="22"/>
                <w:szCs w:val="22"/>
              </w:rPr>
              <w:t>GENERAL</w:t>
            </w:r>
          </w:p>
          <w:p w14:paraId="416E9FAE" w14:textId="77777777" w:rsidR="00F16F02" w:rsidRPr="00646D82" w:rsidRDefault="00F16F02" w:rsidP="00B271A0">
            <w:pPr>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4BF0BBD0" w14:textId="77777777" w:rsidR="00F16F02" w:rsidRPr="002A4D34" w:rsidRDefault="00D51069" w:rsidP="00B271A0">
                <w:pPr>
                  <w:ind w:left="63"/>
                  <w:rPr>
                    <w:snapToGrid w:val="0"/>
                    <w:kern w:val="22"/>
                    <w:szCs w:val="22"/>
                  </w:rPr>
                </w:pPr>
                <w:r w:rsidRPr="00646D82">
                  <w:rPr>
                    <w:snapToGrid w:val="0"/>
                    <w:kern w:val="22"/>
                    <w:szCs w:val="22"/>
                  </w:rPr>
                  <w:t>CBD/SB</w:t>
                </w:r>
                <w:r w:rsidR="00843FF1" w:rsidRPr="00646D82">
                  <w:rPr>
                    <w:snapToGrid w:val="0"/>
                    <w:kern w:val="22"/>
                    <w:szCs w:val="22"/>
                  </w:rPr>
                  <w:t>I/</w:t>
                </w:r>
                <w:r w:rsidR="002E0627" w:rsidRPr="00646D82">
                  <w:rPr>
                    <w:snapToGrid w:val="0"/>
                    <w:kern w:val="22"/>
                    <w:szCs w:val="22"/>
                  </w:rPr>
                  <w:t>2/</w:t>
                </w:r>
                <w:r w:rsidR="00773B7A" w:rsidRPr="00646D82">
                  <w:rPr>
                    <w:snapToGrid w:val="0"/>
                    <w:kern w:val="22"/>
                    <w:szCs w:val="22"/>
                  </w:rPr>
                  <w:t>3</w:t>
                </w:r>
              </w:p>
            </w:sdtContent>
          </w:sdt>
          <w:p w14:paraId="6D620016" w14:textId="39E15DEE" w:rsidR="00F16F02" w:rsidRPr="002A4D34" w:rsidRDefault="008E1528" w:rsidP="00B271A0">
            <w:pPr>
              <w:ind w:left="63"/>
              <w:rPr>
                <w:snapToGrid w:val="0"/>
                <w:kern w:val="22"/>
                <w:szCs w:val="22"/>
              </w:rPr>
            </w:pPr>
            <w:r w:rsidRPr="002A4D34">
              <w:rPr>
                <w:snapToGrid w:val="0"/>
                <w:kern w:val="22"/>
                <w:szCs w:val="22"/>
              </w:rPr>
              <w:t>2</w:t>
            </w:r>
            <w:r w:rsidR="00170145" w:rsidRPr="002A4D34">
              <w:rPr>
                <w:snapToGrid w:val="0"/>
                <w:kern w:val="22"/>
                <w:szCs w:val="22"/>
              </w:rPr>
              <w:t>8</w:t>
            </w:r>
            <w:r w:rsidR="00D15589" w:rsidRPr="002A4D34">
              <w:rPr>
                <w:snapToGrid w:val="0"/>
                <w:kern w:val="22"/>
                <w:szCs w:val="22"/>
              </w:rPr>
              <w:t xml:space="preserve"> May 2018</w:t>
            </w:r>
          </w:p>
          <w:p w14:paraId="63AA50EA" w14:textId="77777777" w:rsidR="00F16F02" w:rsidRPr="00646D82" w:rsidRDefault="00F16F02" w:rsidP="00B271A0">
            <w:pPr>
              <w:ind w:left="63"/>
              <w:rPr>
                <w:snapToGrid w:val="0"/>
                <w:kern w:val="22"/>
                <w:szCs w:val="22"/>
              </w:rPr>
            </w:pPr>
          </w:p>
          <w:p w14:paraId="17EF03D7" w14:textId="77777777" w:rsidR="00F16F02" w:rsidRPr="00646D82" w:rsidRDefault="00F16F02" w:rsidP="00B271A0">
            <w:pPr>
              <w:ind w:left="63"/>
              <w:rPr>
                <w:snapToGrid w:val="0"/>
                <w:kern w:val="22"/>
                <w:szCs w:val="22"/>
                <w:u w:val="single"/>
              </w:rPr>
            </w:pPr>
            <w:r w:rsidRPr="00646D82">
              <w:rPr>
                <w:snapToGrid w:val="0"/>
                <w:kern w:val="22"/>
                <w:szCs w:val="22"/>
              </w:rPr>
              <w:t>ORIGINAL:  ENGLISH</w:t>
            </w:r>
          </w:p>
        </w:tc>
      </w:tr>
    </w:tbl>
    <w:bookmarkStart w:id="0" w:name="Meeting"/>
    <w:p w14:paraId="25925922" w14:textId="77777777" w:rsidR="00CA6B87" w:rsidRPr="00646D82" w:rsidRDefault="00B56B1C" w:rsidP="00D51069">
      <w:pPr>
        <w:pStyle w:val="meetingname"/>
        <w:ind w:right="4398"/>
        <w:rPr>
          <w:kern w:val="22"/>
          <w:szCs w:val="22"/>
        </w:rPr>
      </w:pPr>
      <w:sdt>
        <w:sdtPr>
          <w:rPr>
            <w:szCs w:val="22"/>
          </w:rPr>
          <w:alias w:val="Meeting"/>
          <w:tag w:val="Meeting"/>
          <w:id w:val="1412045910"/>
          <w:placeholder>
            <w:docPart w:val="DefaultPlaceholder_1082065158"/>
          </w:placeholder>
          <w:text/>
        </w:sdtPr>
        <w:sdtEndPr/>
        <w:sdtContent>
          <w:r w:rsidR="00D51069" w:rsidRPr="00646D82">
            <w:rPr>
              <w:szCs w:val="22"/>
            </w:rPr>
            <w:t xml:space="preserve">SUBSIDIARY BODY ON </w:t>
          </w:r>
          <w:r w:rsidR="002E0627" w:rsidRPr="00646D82">
            <w:rPr>
              <w:szCs w:val="22"/>
            </w:rPr>
            <w:t>IMPLEMENTATION</w:t>
          </w:r>
        </w:sdtContent>
      </w:sdt>
      <w:bookmarkEnd w:id="0"/>
    </w:p>
    <w:p w14:paraId="7A72422B" w14:textId="77777777" w:rsidR="00D51069" w:rsidRPr="00646D82" w:rsidRDefault="002E0627" w:rsidP="00CA6B87">
      <w:pPr>
        <w:rPr>
          <w:snapToGrid w:val="0"/>
          <w:kern w:val="22"/>
          <w:szCs w:val="22"/>
          <w:lang w:eastAsia="nb-NO"/>
        </w:rPr>
      </w:pPr>
      <w:r w:rsidRPr="00646D82">
        <w:rPr>
          <w:snapToGrid w:val="0"/>
          <w:kern w:val="22"/>
          <w:szCs w:val="22"/>
          <w:lang w:eastAsia="nb-NO"/>
        </w:rPr>
        <w:t>S</w:t>
      </w:r>
      <w:r w:rsidR="00FB3B70" w:rsidRPr="00646D82">
        <w:rPr>
          <w:snapToGrid w:val="0"/>
          <w:kern w:val="22"/>
          <w:szCs w:val="22"/>
          <w:lang w:eastAsia="nb-NO"/>
        </w:rPr>
        <w:t>econd</w:t>
      </w:r>
      <w:r w:rsidR="00D51069" w:rsidRPr="00646D82">
        <w:rPr>
          <w:snapToGrid w:val="0"/>
          <w:kern w:val="22"/>
          <w:szCs w:val="22"/>
          <w:lang w:eastAsia="nb-NO"/>
        </w:rPr>
        <w:t xml:space="preserve"> meeting</w:t>
      </w:r>
    </w:p>
    <w:p w14:paraId="0C615D24" w14:textId="77777777" w:rsidR="00CA6B87" w:rsidRPr="00646D82" w:rsidRDefault="00D51069" w:rsidP="00CA6B87">
      <w:pPr>
        <w:rPr>
          <w:snapToGrid w:val="0"/>
          <w:kern w:val="22"/>
          <w:szCs w:val="22"/>
          <w:lang w:eastAsia="nb-NO"/>
        </w:rPr>
      </w:pPr>
      <w:r w:rsidRPr="00646D82">
        <w:rPr>
          <w:snapToGrid w:val="0"/>
          <w:kern w:val="22"/>
          <w:szCs w:val="22"/>
          <w:lang w:eastAsia="nb-NO"/>
        </w:rPr>
        <w:t>Montreal</w:t>
      </w:r>
      <w:r w:rsidR="00CA6B87" w:rsidRPr="00646D82">
        <w:rPr>
          <w:snapToGrid w:val="0"/>
          <w:kern w:val="22"/>
          <w:szCs w:val="22"/>
          <w:lang w:eastAsia="nb-NO"/>
        </w:rPr>
        <w:t xml:space="preserve">, </w:t>
      </w:r>
      <w:r w:rsidRPr="00646D82">
        <w:rPr>
          <w:snapToGrid w:val="0"/>
          <w:kern w:val="22"/>
          <w:szCs w:val="22"/>
          <w:lang w:eastAsia="nb-NO"/>
        </w:rPr>
        <w:t xml:space="preserve">Canada, </w:t>
      </w:r>
      <w:r w:rsidR="002E0627" w:rsidRPr="00646D82">
        <w:rPr>
          <w:snapToGrid w:val="0"/>
          <w:kern w:val="22"/>
          <w:szCs w:val="22"/>
          <w:lang w:eastAsia="nb-NO"/>
        </w:rPr>
        <w:t>9-13</w:t>
      </w:r>
      <w:r w:rsidR="00D15589" w:rsidRPr="00646D82">
        <w:rPr>
          <w:snapToGrid w:val="0"/>
          <w:kern w:val="22"/>
          <w:szCs w:val="22"/>
          <w:lang w:eastAsia="nb-NO"/>
        </w:rPr>
        <w:t xml:space="preserve"> July 2018</w:t>
      </w:r>
    </w:p>
    <w:p w14:paraId="0E3EE8C0" w14:textId="77777777" w:rsidR="00CA6B87" w:rsidRPr="00646D82" w:rsidRDefault="00D51069" w:rsidP="00CA6B87">
      <w:pPr>
        <w:rPr>
          <w:snapToGrid w:val="0"/>
          <w:kern w:val="22"/>
          <w:szCs w:val="22"/>
          <w:lang w:eastAsia="nb-NO"/>
        </w:rPr>
      </w:pPr>
      <w:r w:rsidRPr="00646D82">
        <w:rPr>
          <w:snapToGrid w:val="0"/>
          <w:kern w:val="22"/>
          <w:szCs w:val="22"/>
          <w:lang w:eastAsia="nb-NO"/>
        </w:rPr>
        <w:t>I</w:t>
      </w:r>
      <w:r w:rsidR="00CA6B87" w:rsidRPr="00646D82">
        <w:rPr>
          <w:snapToGrid w:val="0"/>
          <w:kern w:val="22"/>
          <w:szCs w:val="22"/>
          <w:lang w:eastAsia="nb-NO"/>
        </w:rPr>
        <w:t xml:space="preserve">tem </w:t>
      </w:r>
      <w:r w:rsidR="00CE3C3C" w:rsidRPr="00646D82">
        <w:rPr>
          <w:snapToGrid w:val="0"/>
          <w:kern w:val="22"/>
          <w:szCs w:val="22"/>
          <w:lang w:eastAsia="nb-NO"/>
        </w:rPr>
        <w:t>4</w:t>
      </w:r>
      <w:r w:rsidRPr="00646D82">
        <w:rPr>
          <w:snapToGrid w:val="0"/>
          <w:kern w:val="22"/>
          <w:szCs w:val="22"/>
          <w:lang w:eastAsia="nb-NO"/>
        </w:rPr>
        <w:t xml:space="preserve"> of the provisional agenda</w:t>
      </w:r>
      <w:r w:rsidRPr="00646D82">
        <w:rPr>
          <w:rStyle w:val="FootnoteReference"/>
          <w:snapToGrid w:val="0"/>
          <w:kern w:val="22"/>
          <w:sz w:val="22"/>
          <w:szCs w:val="22"/>
          <w:lang w:eastAsia="nb-NO"/>
        </w:rPr>
        <w:footnoteReference w:customMarkFollows="1" w:id="1"/>
        <w:t>*</w:t>
      </w:r>
    </w:p>
    <w:p w14:paraId="1E73C9D8" w14:textId="77777777" w:rsidR="00CE3C3C" w:rsidRPr="00646D82" w:rsidRDefault="00CE3C3C" w:rsidP="00CA6B87">
      <w:pPr>
        <w:rPr>
          <w:snapToGrid w:val="0"/>
          <w:kern w:val="22"/>
          <w:szCs w:val="22"/>
          <w:lang w:eastAsia="nb-NO"/>
        </w:rPr>
      </w:pPr>
    </w:p>
    <w:p w14:paraId="5B1330DE" w14:textId="55970022" w:rsidR="00406BC6" w:rsidRPr="00646D82" w:rsidRDefault="00B56B1C" w:rsidP="00516C26">
      <w:pPr>
        <w:pStyle w:val="Heading1"/>
        <w:rPr>
          <w:bCs/>
          <w:snapToGrid w:val="0"/>
          <w:szCs w:val="22"/>
        </w:rPr>
      </w:pPr>
      <w:sdt>
        <w:sdtPr>
          <w:rPr>
            <w:rFonts w:ascii="Times New Roman Bold" w:hAnsi="Times New Roman Bold" w:cs="Times New Roman Bold"/>
            <w:bCs/>
            <w:snapToGrid w:val="0"/>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2A4D34" w:rsidRPr="00646D82">
            <w:rPr>
              <w:rFonts w:ascii="Times New Roman Bold" w:hAnsi="Times New Roman Bold" w:cs="Times New Roman Bold"/>
              <w:bCs/>
              <w:snapToGrid w:val="0"/>
              <w:szCs w:val="22"/>
            </w:rPr>
            <w:t xml:space="preserve">Assessment </w:t>
          </w:r>
          <w:r w:rsidR="00F266B3" w:rsidRPr="00646D82">
            <w:rPr>
              <w:rFonts w:ascii="Times New Roman Bold" w:hAnsi="Times New Roman Bold" w:cs="Times New Roman Bold"/>
              <w:bCs/>
              <w:snapToGrid w:val="0"/>
              <w:szCs w:val="22"/>
            </w:rPr>
            <w:t xml:space="preserve">and review of the effectiveness of the </w:t>
          </w:r>
          <w:r w:rsidR="002A4D34" w:rsidRPr="00646D82">
            <w:rPr>
              <w:rFonts w:ascii="Times New Roman Bold" w:hAnsi="Times New Roman Bold" w:cs="Times New Roman Bold"/>
              <w:bCs/>
              <w:snapToGrid w:val="0"/>
              <w:szCs w:val="22"/>
            </w:rPr>
            <w:t>Nagoya Protocol</w:t>
          </w:r>
        </w:sdtContent>
      </w:sdt>
    </w:p>
    <w:p w14:paraId="0A46A6D8" w14:textId="77777777" w:rsidR="00EF44CA" w:rsidRPr="00646D82" w:rsidRDefault="00C85EA4" w:rsidP="00EF44CA">
      <w:pPr>
        <w:pStyle w:val="Heading2"/>
        <w:rPr>
          <w:b w:val="0"/>
          <w:i/>
          <w:szCs w:val="22"/>
        </w:rPr>
      </w:pPr>
      <w:r w:rsidRPr="00646D82">
        <w:rPr>
          <w:b w:val="0"/>
          <w:i/>
          <w:szCs w:val="22"/>
        </w:rPr>
        <w:t>Note by the Executive Secretary</w:t>
      </w:r>
    </w:p>
    <w:p w14:paraId="537B590D" w14:textId="77777777" w:rsidR="00984117" w:rsidRPr="002A4D34" w:rsidRDefault="00984117" w:rsidP="00966F98">
      <w:pPr>
        <w:keepNext/>
        <w:numPr>
          <w:ilvl w:val="0"/>
          <w:numId w:val="4"/>
        </w:numPr>
        <w:pBdr>
          <w:top w:val="nil"/>
          <w:left w:val="nil"/>
          <w:bottom w:val="nil"/>
          <w:right w:val="nil"/>
          <w:between w:val="nil"/>
          <w:bar w:val="nil"/>
        </w:pBdr>
        <w:spacing w:before="240" w:after="120"/>
        <w:ind w:left="0" w:firstLine="0"/>
        <w:jc w:val="center"/>
        <w:outlineLvl w:val="0"/>
        <w:rPr>
          <w:b/>
          <w:bCs/>
          <w:caps/>
          <w:snapToGrid w:val="0"/>
          <w:color w:val="000000"/>
          <w:kern w:val="22"/>
          <w:szCs w:val="22"/>
          <w:u w:color="000000"/>
          <w:bdr w:val="nil"/>
        </w:rPr>
      </w:pPr>
      <w:r w:rsidRPr="002A4D34">
        <w:rPr>
          <w:b/>
          <w:bCs/>
          <w:caps/>
          <w:snapToGrid w:val="0"/>
          <w:color w:val="000000"/>
          <w:kern w:val="22"/>
          <w:szCs w:val="22"/>
          <w:u w:color="000000"/>
          <w:bdr w:val="nil"/>
        </w:rPr>
        <w:t xml:space="preserve">introduction </w:t>
      </w:r>
    </w:p>
    <w:p w14:paraId="3E14247C" w14:textId="77777777" w:rsidR="00F266B3" w:rsidRPr="00646D82" w:rsidRDefault="00F266B3" w:rsidP="00966F98">
      <w:pPr>
        <w:pStyle w:val="Para1"/>
        <w:numPr>
          <w:ilvl w:val="0"/>
          <w:numId w:val="5"/>
        </w:numPr>
        <w:suppressLineNumbers/>
        <w:tabs>
          <w:tab w:val="num" w:pos="720"/>
        </w:tabs>
        <w:suppressAutoHyphens/>
        <w:ind w:left="0" w:firstLine="0"/>
        <w:rPr>
          <w:kern w:val="22"/>
          <w:szCs w:val="22"/>
        </w:rPr>
      </w:pPr>
      <w:r w:rsidRPr="00646D82">
        <w:rPr>
          <w:kern w:val="22"/>
          <w:szCs w:val="22"/>
        </w:rPr>
        <w:t xml:space="preserve">In accordance with Article 31 of the Nagoya Protocol, the Parties to the Protocol at their third </w:t>
      </w:r>
      <w:r w:rsidR="00C745B2" w:rsidRPr="00646D82">
        <w:rPr>
          <w:kern w:val="22"/>
          <w:szCs w:val="22"/>
        </w:rPr>
        <w:t>meeting</w:t>
      </w:r>
      <w:r w:rsidRPr="00646D82">
        <w:rPr>
          <w:kern w:val="22"/>
          <w:szCs w:val="22"/>
        </w:rPr>
        <w:t xml:space="preserve"> will undertake the first assessment and review of the effectiveness of the Protocol.</w:t>
      </w:r>
    </w:p>
    <w:p w14:paraId="5EF982E0" w14:textId="5F80A95B" w:rsidR="00FA136F" w:rsidRPr="00646D82" w:rsidRDefault="00F266B3" w:rsidP="00B14BE9">
      <w:pPr>
        <w:pStyle w:val="Para1"/>
        <w:numPr>
          <w:ilvl w:val="0"/>
          <w:numId w:val="5"/>
        </w:numPr>
        <w:suppressLineNumbers/>
        <w:tabs>
          <w:tab w:val="num" w:pos="720"/>
        </w:tabs>
        <w:suppressAutoHyphens/>
        <w:ind w:left="0" w:firstLine="0"/>
        <w:rPr>
          <w:rFonts w:eastAsia="Calibri"/>
          <w:kern w:val="22"/>
          <w:szCs w:val="22"/>
          <w:u w:color="000000"/>
        </w:rPr>
      </w:pPr>
      <w:r w:rsidRPr="00646D82">
        <w:rPr>
          <w:kern w:val="22"/>
          <w:szCs w:val="22"/>
        </w:rPr>
        <w:t xml:space="preserve">In decision </w:t>
      </w:r>
      <w:hyperlink r:id="rId11" w:history="1">
        <w:r w:rsidRPr="00646D82">
          <w:rPr>
            <w:rStyle w:val="Hyperlink"/>
            <w:kern w:val="22"/>
            <w:szCs w:val="22"/>
          </w:rPr>
          <w:t>NP-2/4</w:t>
        </w:r>
      </w:hyperlink>
      <w:r w:rsidR="00C656E7" w:rsidRPr="00646D82">
        <w:rPr>
          <w:kern w:val="22"/>
          <w:szCs w:val="22"/>
        </w:rPr>
        <w:t xml:space="preserve">, </w:t>
      </w:r>
      <w:r w:rsidRPr="00646D82">
        <w:rPr>
          <w:kern w:val="22"/>
          <w:szCs w:val="22"/>
        </w:rPr>
        <w:t xml:space="preserve">the Conference of the Parties serving as the meeting of the Parties to the Nagoya Protocol decided to conduct the first assessment and review of the Protocol on the basis of </w:t>
      </w:r>
      <w:r w:rsidR="00C656E7" w:rsidRPr="00646D82">
        <w:rPr>
          <w:kern w:val="22"/>
          <w:szCs w:val="22"/>
        </w:rPr>
        <w:t xml:space="preserve">a number of </w:t>
      </w:r>
      <w:r w:rsidRPr="00646D82">
        <w:rPr>
          <w:kern w:val="22"/>
          <w:szCs w:val="22"/>
        </w:rPr>
        <w:t xml:space="preserve">elements </w:t>
      </w:r>
      <w:r w:rsidR="00C656E7" w:rsidRPr="00646D82">
        <w:rPr>
          <w:kern w:val="22"/>
          <w:szCs w:val="22"/>
        </w:rPr>
        <w:t xml:space="preserve">identified </w:t>
      </w:r>
      <w:r w:rsidRPr="00646D82">
        <w:rPr>
          <w:kern w:val="22"/>
          <w:szCs w:val="22"/>
        </w:rPr>
        <w:t xml:space="preserve">in the annex to that decision, </w:t>
      </w:r>
      <w:r w:rsidR="00C656E7" w:rsidRPr="00646D82">
        <w:rPr>
          <w:kern w:val="22"/>
          <w:szCs w:val="22"/>
        </w:rPr>
        <w:t xml:space="preserve">along with sources of information, </w:t>
      </w:r>
      <w:r w:rsidRPr="00646D82">
        <w:rPr>
          <w:kern w:val="22"/>
          <w:szCs w:val="22"/>
        </w:rPr>
        <w:t>including information from the interim national reports and the ABS Clearing-</w:t>
      </w:r>
      <w:r w:rsidR="00C745B2" w:rsidRPr="00646D82">
        <w:rPr>
          <w:kern w:val="22"/>
          <w:szCs w:val="22"/>
        </w:rPr>
        <w:t>H</w:t>
      </w:r>
      <w:r w:rsidRPr="00646D82">
        <w:rPr>
          <w:kern w:val="22"/>
          <w:szCs w:val="22"/>
        </w:rPr>
        <w:t>ouse</w:t>
      </w:r>
      <w:r w:rsidR="00C656E7" w:rsidRPr="00646D82">
        <w:rPr>
          <w:kern w:val="22"/>
          <w:szCs w:val="22"/>
        </w:rPr>
        <w:t xml:space="preserve"> (para</w:t>
      </w:r>
      <w:r w:rsidR="007A38C9" w:rsidRPr="00646D82">
        <w:rPr>
          <w:kern w:val="22"/>
          <w:szCs w:val="22"/>
        </w:rPr>
        <w:t>.</w:t>
      </w:r>
      <w:r w:rsidR="00C656E7" w:rsidRPr="00646D82">
        <w:rPr>
          <w:kern w:val="22"/>
          <w:szCs w:val="22"/>
        </w:rPr>
        <w:t xml:space="preserve"> 1)</w:t>
      </w:r>
      <w:r w:rsidRPr="00646D82">
        <w:rPr>
          <w:kern w:val="22"/>
          <w:szCs w:val="22"/>
        </w:rPr>
        <w:t>.</w:t>
      </w:r>
      <w:r w:rsidR="00FA136F" w:rsidRPr="00646D82">
        <w:rPr>
          <w:kern w:val="22"/>
          <w:szCs w:val="22"/>
        </w:rPr>
        <w:t xml:space="preserve"> </w:t>
      </w:r>
    </w:p>
    <w:p w14:paraId="179458AD" w14:textId="7513A2CA" w:rsidR="00680973" w:rsidRPr="00646D82" w:rsidRDefault="00FA136F" w:rsidP="00966F98">
      <w:pPr>
        <w:pStyle w:val="Para1"/>
        <w:numPr>
          <w:ilvl w:val="0"/>
          <w:numId w:val="5"/>
        </w:numPr>
        <w:suppressLineNumbers/>
        <w:tabs>
          <w:tab w:val="num" w:pos="720"/>
        </w:tabs>
        <w:suppressAutoHyphens/>
        <w:ind w:left="0" w:firstLine="0"/>
        <w:rPr>
          <w:kern w:val="22"/>
          <w:szCs w:val="22"/>
        </w:rPr>
      </w:pPr>
      <w:r w:rsidRPr="00646D82">
        <w:rPr>
          <w:kern w:val="22"/>
          <w:szCs w:val="22"/>
        </w:rPr>
        <w:t xml:space="preserve">In the same decision, the meeting of the Parties </w:t>
      </w:r>
      <w:r w:rsidR="00F266B3" w:rsidRPr="00646D82">
        <w:rPr>
          <w:kern w:val="22"/>
          <w:szCs w:val="22"/>
        </w:rPr>
        <w:t>requested the Compliance Committee to provide inputs to the first assessment and review in order to assist in addressing challenges to the</w:t>
      </w:r>
      <w:r w:rsidR="00680973" w:rsidRPr="00646D82">
        <w:rPr>
          <w:kern w:val="22"/>
          <w:szCs w:val="22"/>
        </w:rPr>
        <w:t xml:space="preserve"> implementation of the Protocol </w:t>
      </w:r>
      <w:r w:rsidR="00B92F9A" w:rsidRPr="00646D82">
        <w:rPr>
          <w:kern w:val="22"/>
          <w:szCs w:val="22"/>
        </w:rPr>
        <w:t>in the form of information and findings on general issues of compliance and recommendations to assist in addressing challenges to the implementation of the Protocol (para</w:t>
      </w:r>
      <w:r w:rsidR="007A38C9" w:rsidRPr="00646D82">
        <w:rPr>
          <w:kern w:val="22"/>
          <w:szCs w:val="22"/>
        </w:rPr>
        <w:t>.</w:t>
      </w:r>
      <w:r w:rsidR="00B92F9A" w:rsidRPr="00646D82">
        <w:rPr>
          <w:kern w:val="22"/>
          <w:szCs w:val="22"/>
        </w:rPr>
        <w:t xml:space="preserve"> 5).</w:t>
      </w:r>
    </w:p>
    <w:p w14:paraId="4F893EC7" w14:textId="2C8E2CBA" w:rsidR="00C656E7" w:rsidRPr="00646D82" w:rsidRDefault="003E57C7" w:rsidP="00B14BE9">
      <w:pPr>
        <w:pStyle w:val="Para1"/>
        <w:numPr>
          <w:ilvl w:val="0"/>
          <w:numId w:val="5"/>
        </w:numPr>
        <w:suppressLineNumbers/>
        <w:tabs>
          <w:tab w:val="num" w:pos="720"/>
        </w:tabs>
        <w:suppressAutoHyphens/>
        <w:ind w:left="0" w:firstLine="0"/>
        <w:rPr>
          <w:kern w:val="22"/>
          <w:szCs w:val="22"/>
        </w:rPr>
      </w:pPr>
      <w:r w:rsidRPr="00646D82">
        <w:rPr>
          <w:kern w:val="22"/>
          <w:szCs w:val="22"/>
        </w:rPr>
        <w:t xml:space="preserve">In addition, it </w:t>
      </w:r>
      <w:r w:rsidR="00F266B3" w:rsidRPr="00646D82">
        <w:rPr>
          <w:kern w:val="22"/>
          <w:szCs w:val="22"/>
        </w:rPr>
        <w:t xml:space="preserve">requested the Executive Secretary to prepare an analysis and synthesis of relevant information </w:t>
      </w:r>
      <w:r w:rsidR="00B92F9A" w:rsidRPr="00646D82">
        <w:rPr>
          <w:kern w:val="22"/>
          <w:szCs w:val="22"/>
        </w:rPr>
        <w:t xml:space="preserve">as the basis </w:t>
      </w:r>
      <w:r w:rsidR="00F266B3" w:rsidRPr="00646D82">
        <w:rPr>
          <w:kern w:val="22"/>
          <w:szCs w:val="22"/>
        </w:rPr>
        <w:t>for the first assessment and review</w:t>
      </w:r>
      <w:r w:rsidR="00680973" w:rsidRPr="00646D82">
        <w:rPr>
          <w:kern w:val="22"/>
          <w:szCs w:val="22"/>
        </w:rPr>
        <w:t xml:space="preserve"> (para</w:t>
      </w:r>
      <w:r w:rsidR="007A38C9" w:rsidRPr="00646D82">
        <w:rPr>
          <w:kern w:val="22"/>
          <w:szCs w:val="22"/>
        </w:rPr>
        <w:t>.</w:t>
      </w:r>
      <w:r w:rsidR="00680973" w:rsidRPr="00646D82">
        <w:rPr>
          <w:kern w:val="22"/>
          <w:szCs w:val="22"/>
        </w:rPr>
        <w:t xml:space="preserve"> 3)</w:t>
      </w:r>
      <w:r w:rsidR="00F266B3" w:rsidRPr="00646D82">
        <w:rPr>
          <w:kern w:val="22"/>
          <w:szCs w:val="22"/>
        </w:rPr>
        <w:t xml:space="preserve"> as well as a framework of indicators as a basis for measuring, in the second assessment and review and thereafter, progress in achieving the objective of the Protocol while taking into account the preparation of and elements included in the first assessment</w:t>
      </w:r>
      <w:r w:rsidR="00680973" w:rsidRPr="00646D82">
        <w:rPr>
          <w:kern w:val="22"/>
          <w:szCs w:val="22"/>
        </w:rPr>
        <w:t xml:space="preserve"> (para</w:t>
      </w:r>
      <w:r w:rsidR="007A38C9" w:rsidRPr="00646D82">
        <w:rPr>
          <w:kern w:val="22"/>
          <w:szCs w:val="22"/>
        </w:rPr>
        <w:t>.</w:t>
      </w:r>
      <w:r w:rsidR="00680973" w:rsidRPr="00646D82">
        <w:rPr>
          <w:kern w:val="22"/>
          <w:szCs w:val="22"/>
        </w:rPr>
        <w:t xml:space="preserve"> 4).</w:t>
      </w:r>
    </w:p>
    <w:p w14:paraId="11199493" w14:textId="26057015" w:rsidR="00C656E7" w:rsidRPr="002A4D34" w:rsidRDefault="00C656E7" w:rsidP="00B14BE9">
      <w:pPr>
        <w:pStyle w:val="Para1"/>
        <w:numPr>
          <w:ilvl w:val="0"/>
          <w:numId w:val="5"/>
        </w:numPr>
        <w:suppressLineNumbers/>
        <w:tabs>
          <w:tab w:val="num" w:pos="720"/>
        </w:tabs>
        <w:suppressAutoHyphens/>
        <w:ind w:left="0" w:firstLine="0"/>
        <w:rPr>
          <w:kern w:val="22"/>
          <w:szCs w:val="22"/>
        </w:rPr>
      </w:pPr>
      <w:r w:rsidRPr="00646D82">
        <w:rPr>
          <w:kern w:val="22"/>
          <w:szCs w:val="22"/>
        </w:rPr>
        <w:t xml:space="preserve">The present document </w:t>
      </w:r>
      <w:r w:rsidR="00FA136F" w:rsidRPr="00646D82">
        <w:rPr>
          <w:kern w:val="22"/>
          <w:szCs w:val="22"/>
        </w:rPr>
        <w:t>responds to these requests. Section II reviews the sources of information used in the assessment and review.  S</w:t>
      </w:r>
      <w:r w:rsidRPr="00646D82">
        <w:rPr>
          <w:kern w:val="22"/>
          <w:szCs w:val="22"/>
        </w:rPr>
        <w:t>ection I</w:t>
      </w:r>
      <w:r w:rsidR="00FA136F" w:rsidRPr="00646D82">
        <w:rPr>
          <w:kern w:val="22"/>
          <w:szCs w:val="22"/>
        </w:rPr>
        <w:t>I</w:t>
      </w:r>
      <w:r w:rsidRPr="00646D82">
        <w:rPr>
          <w:kern w:val="22"/>
          <w:szCs w:val="22"/>
        </w:rPr>
        <w:t xml:space="preserve">I </w:t>
      </w:r>
      <w:r w:rsidR="00FA136F" w:rsidRPr="00646D82">
        <w:rPr>
          <w:kern w:val="22"/>
          <w:szCs w:val="22"/>
        </w:rPr>
        <w:t xml:space="preserve">provides </w:t>
      </w:r>
      <w:r w:rsidRPr="00646D82">
        <w:rPr>
          <w:kern w:val="22"/>
          <w:szCs w:val="22"/>
        </w:rPr>
        <w:t xml:space="preserve">a synthesis of the information </w:t>
      </w:r>
      <w:r w:rsidR="00FA136F" w:rsidRPr="00646D82">
        <w:rPr>
          <w:kern w:val="22"/>
          <w:szCs w:val="22"/>
        </w:rPr>
        <w:t xml:space="preserve">derived from these sources </w:t>
      </w:r>
      <w:r w:rsidRPr="00646D82">
        <w:rPr>
          <w:kern w:val="22"/>
          <w:szCs w:val="22"/>
        </w:rPr>
        <w:t>for each of the elements</w:t>
      </w:r>
      <w:r w:rsidR="00FA136F" w:rsidRPr="00646D82">
        <w:rPr>
          <w:kern w:val="22"/>
          <w:szCs w:val="22"/>
        </w:rPr>
        <w:t xml:space="preserve"> to be included in the first assessment and review of the Protocol as specified in decision NP-2/4 and set </w:t>
      </w:r>
      <w:r w:rsidR="009B6968" w:rsidRPr="00646D82">
        <w:rPr>
          <w:kern w:val="22"/>
          <w:szCs w:val="22"/>
        </w:rPr>
        <w:t>out</w:t>
      </w:r>
      <w:r w:rsidR="00FA136F" w:rsidRPr="00646D82">
        <w:rPr>
          <w:kern w:val="22"/>
          <w:szCs w:val="22"/>
        </w:rPr>
        <w:t xml:space="preserve"> in </w:t>
      </w:r>
      <w:r w:rsidR="00D953E9" w:rsidRPr="00646D82">
        <w:rPr>
          <w:kern w:val="22"/>
          <w:szCs w:val="22"/>
        </w:rPr>
        <w:t>paragraph</w:t>
      </w:r>
      <w:r w:rsidR="00FA136F" w:rsidRPr="00646D82">
        <w:rPr>
          <w:kern w:val="22"/>
          <w:szCs w:val="22"/>
        </w:rPr>
        <w:t xml:space="preserve"> 2 above. </w:t>
      </w:r>
      <w:r w:rsidR="00FA136F" w:rsidRPr="002A4D34">
        <w:rPr>
          <w:kern w:val="22"/>
          <w:szCs w:val="22"/>
        </w:rPr>
        <w:t>This section</w:t>
      </w:r>
      <w:r w:rsidRPr="002A4D34">
        <w:rPr>
          <w:kern w:val="22"/>
          <w:szCs w:val="22"/>
        </w:rPr>
        <w:t xml:space="preserve"> contains:</w:t>
      </w:r>
    </w:p>
    <w:p w14:paraId="1D6582C7" w14:textId="48890531" w:rsidR="00C656E7" w:rsidRPr="00646D82" w:rsidRDefault="00C656E7" w:rsidP="00B14BE9">
      <w:pPr>
        <w:pStyle w:val="Para1"/>
        <w:numPr>
          <w:ilvl w:val="1"/>
          <w:numId w:val="12"/>
        </w:numPr>
        <w:pBdr>
          <w:top w:val="nil"/>
          <w:left w:val="nil"/>
          <w:bottom w:val="nil"/>
          <w:right w:val="nil"/>
          <w:between w:val="nil"/>
          <w:bar w:val="nil"/>
        </w:pBdr>
        <w:spacing w:line="228" w:lineRule="auto"/>
        <w:ind w:left="0" w:firstLine="709"/>
        <w:rPr>
          <w:rFonts w:eastAsia="Calibri"/>
          <w:kern w:val="22"/>
          <w:szCs w:val="22"/>
          <w:u w:color="000000"/>
        </w:rPr>
      </w:pPr>
      <w:r w:rsidRPr="00646D82">
        <w:rPr>
          <w:rFonts w:eastAsia="Calibri"/>
          <w:kern w:val="22"/>
          <w:szCs w:val="22"/>
          <w:u w:color="000000"/>
        </w:rPr>
        <w:t>A summary of the responses and analysis carried out for each of the elements, highlighting information that could serve as reference points to measure progress in future years</w:t>
      </w:r>
      <w:r w:rsidR="00B14BE9" w:rsidRPr="00646D82">
        <w:rPr>
          <w:rFonts w:eastAsia="Calibri"/>
          <w:kern w:val="22"/>
          <w:szCs w:val="22"/>
          <w:u w:color="000000"/>
        </w:rPr>
        <w:t>;</w:t>
      </w:r>
      <w:r w:rsidRPr="00646D82">
        <w:rPr>
          <w:rFonts w:eastAsia="Calibri"/>
          <w:kern w:val="22"/>
          <w:szCs w:val="22"/>
          <w:u w:color="000000"/>
        </w:rPr>
        <w:t xml:space="preserve"> </w:t>
      </w:r>
    </w:p>
    <w:p w14:paraId="5A56C8AF" w14:textId="4B98F23B" w:rsidR="00C656E7" w:rsidRPr="00646D82" w:rsidRDefault="00C656E7" w:rsidP="00B14BE9">
      <w:pPr>
        <w:pStyle w:val="Para1"/>
        <w:numPr>
          <w:ilvl w:val="1"/>
          <w:numId w:val="12"/>
        </w:numPr>
        <w:pBdr>
          <w:top w:val="nil"/>
          <w:left w:val="nil"/>
          <w:bottom w:val="nil"/>
          <w:right w:val="nil"/>
          <w:between w:val="nil"/>
          <w:bar w:val="nil"/>
        </w:pBdr>
        <w:spacing w:line="228" w:lineRule="auto"/>
        <w:ind w:left="0" w:firstLine="709"/>
        <w:rPr>
          <w:rFonts w:eastAsia="Calibri"/>
          <w:kern w:val="22"/>
          <w:szCs w:val="22"/>
          <w:u w:color="000000"/>
        </w:rPr>
      </w:pPr>
      <w:r w:rsidRPr="00646D82">
        <w:rPr>
          <w:rFonts w:eastAsia="Calibri"/>
          <w:kern w:val="22"/>
          <w:szCs w:val="22"/>
          <w:u w:color="000000"/>
        </w:rPr>
        <w:t xml:space="preserve">Findings and recommendations for each element, including the identification of areas where Parties are facing difficulties, to assist the </w:t>
      </w:r>
      <w:r w:rsidR="007A38C9" w:rsidRPr="00646D82">
        <w:rPr>
          <w:rFonts w:eastAsia="Calibri"/>
          <w:kern w:val="22"/>
          <w:szCs w:val="22"/>
          <w:u w:color="000000"/>
        </w:rPr>
        <w:t>Conference of the Parties serving as the meeting of the Parties to the Protocol</w:t>
      </w:r>
      <w:r w:rsidRPr="00646D82">
        <w:rPr>
          <w:rFonts w:eastAsia="Calibri"/>
          <w:kern w:val="22"/>
          <w:szCs w:val="22"/>
          <w:u w:color="000000"/>
        </w:rPr>
        <w:t xml:space="preserve"> to take decisions that will further support the implementation of the Protocol. It </w:t>
      </w:r>
      <w:r w:rsidR="009B6968" w:rsidRPr="00646D82">
        <w:rPr>
          <w:rFonts w:eastAsia="Calibri"/>
          <w:kern w:val="22"/>
          <w:szCs w:val="22"/>
          <w:u w:color="000000"/>
        </w:rPr>
        <w:t xml:space="preserve">also </w:t>
      </w:r>
      <w:r w:rsidRPr="00646D82">
        <w:rPr>
          <w:rFonts w:eastAsia="Calibri"/>
          <w:kern w:val="22"/>
          <w:szCs w:val="22"/>
          <w:u w:color="000000"/>
        </w:rPr>
        <w:t>includes the findings and recommendations of the Compliance Committee on general issues of compliance</w:t>
      </w:r>
      <w:r w:rsidR="00B14BE9" w:rsidRPr="00646D82">
        <w:rPr>
          <w:rFonts w:eastAsia="Calibri"/>
          <w:kern w:val="22"/>
          <w:szCs w:val="22"/>
          <w:u w:color="000000"/>
        </w:rPr>
        <w:t>.</w:t>
      </w:r>
    </w:p>
    <w:p w14:paraId="4E5DCAD9" w14:textId="215009A2" w:rsidR="00C656E7" w:rsidRPr="00646D82" w:rsidRDefault="00C656E7" w:rsidP="00B14BE9">
      <w:pPr>
        <w:pStyle w:val="Para1"/>
        <w:numPr>
          <w:ilvl w:val="0"/>
          <w:numId w:val="5"/>
        </w:numPr>
        <w:suppressLineNumbers/>
        <w:tabs>
          <w:tab w:val="num" w:pos="720"/>
        </w:tabs>
        <w:suppressAutoHyphens/>
        <w:ind w:left="0" w:firstLine="0"/>
        <w:rPr>
          <w:kern w:val="22"/>
          <w:szCs w:val="22"/>
        </w:rPr>
      </w:pPr>
      <w:r w:rsidRPr="00646D82">
        <w:rPr>
          <w:kern w:val="22"/>
          <w:szCs w:val="22"/>
        </w:rPr>
        <w:lastRenderedPageBreak/>
        <w:t>Section I</w:t>
      </w:r>
      <w:r w:rsidR="00FA136F" w:rsidRPr="00646D82">
        <w:rPr>
          <w:kern w:val="22"/>
          <w:szCs w:val="22"/>
        </w:rPr>
        <w:t>V</w:t>
      </w:r>
      <w:r w:rsidRPr="00646D82">
        <w:rPr>
          <w:kern w:val="22"/>
          <w:szCs w:val="22"/>
        </w:rPr>
        <w:t xml:space="preserve"> proposes a </w:t>
      </w:r>
      <w:r w:rsidRPr="00646D82">
        <w:rPr>
          <w:rFonts w:eastAsia="Calibri"/>
          <w:kern w:val="22"/>
          <w:szCs w:val="22"/>
          <w:u w:color="000000"/>
        </w:rPr>
        <w:t xml:space="preserve">draft framework of indicators that takes into account the information collected through </w:t>
      </w:r>
      <w:r w:rsidRPr="00646D82">
        <w:rPr>
          <w:kern w:val="22"/>
          <w:szCs w:val="22"/>
        </w:rPr>
        <w:t>the</w:t>
      </w:r>
      <w:r w:rsidRPr="00646D82">
        <w:rPr>
          <w:rFonts w:eastAsia="Calibri"/>
          <w:kern w:val="22"/>
          <w:szCs w:val="22"/>
          <w:u w:color="000000"/>
        </w:rPr>
        <w:t xml:space="preserve"> first assessment and review and its different elements. </w:t>
      </w:r>
      <w:r w:rsidRPr="00646D82">
        <w:rPr>
          <w:kern w:val="22"/>
          <w:szCs w:val="22"/>
        </w:rPr>
        <w:t xml:space="preserve"> Finally, section V of the note provides draft recommendations and key findings for the consideration of the Subsidiary Body on Implementation.</w:t>
      </w:r>
    </w:p>
    <w:p w14:paraId="226C239A" w14:textId="5B0B2990" w:rsidR="0097115F" w:rsidRPr="00646D82" w:rsidRDefault="00397D20" w:rsidP="00B14BE9">
      <w:pPr>
        <w:pStyle w:val="ListParagraph"/>
        <w:keepNext/>
        <w:numPr>
          <w:ilvl w:val="0"/>
          <w:numId w:val="4"/>
        </w:numPr>
        <w:pBdr>
          <w:top w:val="nil"/>
          <w:left w:val="nil"/>
          <w:bottom w:val="nil"/>
          <w:right w:val="nil"/>
          <w:between w:val="nil"/>
          <w:bar w:val="nil"/>
        </w:pBdr>
        <w:tabs>
          <w:tab w:val="left" w:pos="720"/>
        </w:tabs>
        <w:spacing w:before="120" w:after="120"/>
        <w:jc w:val="center"/>
        <w:outlineLvl w:val="1"/>
        <w:rPr>
          <w:b/>
          <w:kern w:val="22"/>
          <w:szCs w:val="22"/>
        </w:rPr>
      </w:pPr>
      <w:r w:rsidRPr="00646D82">
        <w:rPr>
          <w:b/>
          <w:kern w:val="22"/>
          <w:szCs w:val="22"/>
        </w:rPr>
        <w:t xml:space="preserve">ELEMENTS AND </w:t>
      </w:r>
      <w:r w:rsidR="00FA136F" w:rsidRPr="00646D82">
        <w:rPr>
          <w:b/>
          <w:kern w:val="22"/>
          <w:szCs w:val="22"/>
        </w:rPr>
        <w:t>SOURCES OF INFORMATION</w:t>
      </w:r>
    </w:p>
    <w:p w14:paraId="6365C998" w14:textId="77777777" w:rsidR="00397D20" w:rsidRPr="00646D82" w:rsidRDefault="00397D20" w:rsidP="00397D20">
      <w:pPr>
        <w:pStyle w:val="Para1"/>
        <w:numPr>
          <w:ilvl w:val="0"/>
          <w:numId w:val="5"/>
        </w:numPr>
        <w:suppressLineNumbers/>
        <w:tabs>
          <w:tab w:val="num" w:pos="720"/>
        </w:tabs>
        <w:suppressAutoHyphens/>
        <w:ind w:left="0" w:firstLine="0"/>
        <w:rPr>
          <w:kern w:val="22"/>
          <w:szCs w:val="22"/>
        </w:rPr>
      </w:pPr>
      <w:r w:rsidRPr="00646D82">
        <w:rPr>
          <w:kern w:val="22"/>
          <w:szCs w:val="22"/>
        </w:rPr>
        <w:t>As the first assessment and review comes while the Protocol is still in its early stages of implementation, it may be premature to reach conclusions on effectiveness of the Protocol in achieving its objective (i.e. the fair and equitable sharing of benefits arising from the utilization of genetic resources, thereby contributing to the conservation of biodiversity and the sustainable use of its components).  Therefore, one of the main outcomes of this process is to assess the extent of implementation of the Protocol by Parties, as well as to gather information on reference points to establish a baseline against which progress can be measured in the future.</w:t>
      </w:r>
    </w:p>
    <w:p w14:paraId="45801B9F" w14:textId="7E0A1D95" w:rsidR="00397D20" w:rsidRPr="00646D82" w:rsidRDefault="00397D20" w:rsidP="00397D20">
      <w:pPr>
        <w:pStyle w:val="Para1"/>
        <w:numPr>
          <w:ilvl w:val="0"/>
          <w:numId w:val="5"/>
        </w:numPr>
        <w:suppressLineNumbers/>
        <w:tabs>
          <w:tab w:val="num" w:pos="720"/>
        </w:tabs>
        <w:suppressAutoHyphens/>
        <w:ind w:left="0" w:firstLine="0"/>
        <w:rPr>
          <w:kern w:val="22"/>
          <w:szCs w:val="22"/>
        </w:rPr>
      </w:pPr>
      <w:r w:rsidRPr="00646D82">
        <w:rPr>
          <w:kern w:val="22"/>
          <w:szCs w:val="22"/>
        </w:rPr>
        <w:t xml:space="preserve">In </w:t>
      </w:r>
      <w:r w:rsidR="007A38C9" w:rsidRPr="00646D82">
        <w:rPr>
          <w:kern w:val="22"/>
          <w:szCs w:val="22"/>
        </w:rPr>
        <w:t xml:space="preserve">the </w:t>
      </w:r>
      <w:r w:rsidRPr="00646D82">
        <w:rPr>
          <w:kern w:val="22"/>
          <w:szCs w:val="22"/>
        </w:rPr>
        <w:t xml:space="preserve">light of the above, </w:t>
      </w:r>
      <w:r w:rsidR="007A38C9" w:rsidRPr="00646D82">
        <w:rPr>
          <w:kern w:val="22"/>
          <w:szCs w:val="22"/>
        </w:rPr>
        <w:t>the meeting of the Parties to the Protocol,</w:t>
      </w:r>
      <w:r w:rsidRPr="00646D82">
        <w:rPr>
          <w:kern w:val="22"/>
          <w:szCs w:val="22"/>
        </w:rPr>
        <w:t xml:space="preserve"> in </w:t>
      </w:r>
      <w:r w:rsidR="007A38C9" w:rsidRPr="00646D82">
        <w:rPr>
          <w:kern w:val="22"/>
          <w:szCs w:val="22"/>
        </w:rPr>
        <w:t>the a</w:t>
      </w:r>
      <w:r w:rsidRPr="00646D82">
        <w:rPr>
          <w:kern w:val="22"/>
          <w:szCs w:val="22"/>
        </w:rPr>
        <w:t>nnex to decision NP-2/4 provided guidance on the elements to be included and the sources of information that may form the basis for the first assessment and review of the effectiveness of the Protocol. These are reproduced below for ease of 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855"/>
      </w:tblGrid>
      <w:tr w:rsidR="00397D20" w:rsidRPr="00646D82" w14:paraId="3BF9CA9D" w14:textId="77777777" w:rsidTr="007A38C9">
        <w:trPr>
          <w:cantSplit/>
          <w:tblHeader/>
          <w:jc w:val="center"/>
        </w:trPr>
        <w:tc>
          <w:tcPr>
            <w:tcW w:w="4721" w:type="dxa"/>
            <w:shd w:val="clear" w:color="auto" w:fill="auto"/>
          </w:tcPr>
          <w:p w14:paraId="148C3D21" w14:textId="77777777" w:rsidR="00397D20" w:rsidRPr="00646D82" w:rsidRDefault="00397D20" w:rsidP="007A38C9">
            <w:pPr>
              <w:jc w:val="center"/>
              <w:rPr>
                <w:b/>
                <w:bCs/>
                <w:i/>
                <w:iCs/>
                <w:snapToGrid w:val="0"/>
                <w:kern w:val="22"/>
                <w:szCs w:val="22"/>
              </w:rPr>
            </w:pPr>
            <w:r w:rsidRPr="00646D82">
              <w:rPr>
                <w:b/>
                <w:bCs/>
                <w:i/>
                <w:iCs/>
                <w:snapToGrid w:val="0"/>
                <w:kern w:val="22"/>
                <w:szCs w:val="22"/>
              </w:rPr>
              <w:t>Element</w:t>
            </w:r>
          </w:p>
        </w:tc>
        <w:tc>
          <w:tcPr>
            <w:tcW w:w="4855" w:type="dxa"/>
            <w:shd w:val="clear" w:color="auto" w:fill="auto"/>
          </w:tcPr>
          <w:p w14:paraId="6311C685" w14:textId="77777777" w:rsidR="00397D20" w:rsidRPr="00646D82" w:rsidRDefault="00397D20" w:rsidP="007A38C9">
            <w:pPr>
              <w:jc w:val="center"/>
              <w:rPr>
                <w:b/>
                <w:bCs/>
                <w:i/>
                <w:iCs/>
                <w:snapToGrid w:val="0"/>
                <w:kern w:val="22"/>
                <w:szCs w:val="22"/>
              </w:rPr>
            </w:pPr>
            <w:r w:rsidRPr="00646D82">
              <w:rPr>
                <w:b/>
                <w:bCs/>
                <w:i/>
                <w:iCs/>
                <w:snapToGrid w:val="0"/>
                <w:kern w:val="22"/>
                <w:szCs w:val="22"/>
              </w:rPr>
              <w:t>Source of information</w:t>
            </w:r>
          </w:p>
        </w:tc>
      </w:tr>
      <w:tr w:rsidR="00397D20" w:rsidRPr="00646D82" w14:paraId="5C59DEB1" w14:textId="77777777" w:rsidTr="007A38C9">
        <w:trPr>
          <w:cantSplit/>
          <w:jc w:val="center"/>
        </w:trPr>
        <w:tc>
          <w:tcPr>
            <w:tcW w:w="4721" w:type="dxa"/>
            <w:shd w:val="clear" w:color="auto" w:fill="auto"/>
          </w:tcPr>
          <w:p w14:paraId="78DEAAE5" w14:textId="77777777" w:rsidR="00397D20" w:rsidRPr="00646D82" w:rsidRDefault="00397D20" w:rsidP="007A38C9">
            <w:pPr>
              <w:jc w:val="left"/>
              <w:rPr>
                <w:snapToGrid w:val="0"/>
                <w:kern w:val="22"/>
                <w:szCs w:val="22"/>
                <w:highlight w:val="yellow"/>
              </w:rPr>
            </w:pPr>
            <w:r w:rsidRPr="00646D82">
              <w:rPr>
                <w:snapToGrid w:val="0"/>
                <w:kern w:val="22"/>
                <w:szCs w:val="22"/>
              </w:rPr>
              <w:t>(a) Extent of implementation of the provisions of the Protocol and related obligations of Parties, including assessment of progress by Parties in establishing institutional structures and access and benefit-sharing measures to implement the Protocol</w:t>
            </w:r>
          </w:p>
        </w:tc>
        <w:tc>
          <w:tcPr>
            <w:tcW w:w="4855" w:type="dxa"/>
            <w:shd w:val="clear" w:color="auto" w:fill="auto"/>
          </w:tcPr>
          <w:p w14:paraId="114F066F" w14:textId="77777777" w:rsidR="00397D20" w:rsidRPr="00646D82" w:rsidRDefault="00397D20" w:rsidP="007A38C9">
            <w:pPr>
              <w:jc w:val="left"/>
              <w:rPr>
                <w:snapToGrid w:val="0"/>
                <w:kern w:val="22"/>
                <w:szCs w:val="22"/>
              </w:rPr>
            </w:pPr>
            <w:r w:rsidRPr="00646D82">
              <w:rPr>
                <w:snapToGrid w:val="0"/>
                <w:kern w:val="22"/>
                <w:szCs w:val="22"/>
              </w:rPr>
              <w:t>Interim national reports</w:t>
            </w:r>
          </w:p>
          <w:p w14:paraId="1FB691BD" w14:textId="77777777" w:rsidR="00397D20" w:rsidRPr="00646D82" w:rsidRDefault="00397D20" w:rsidP="007A38C9">
            <w:pPr>
              <w:jc w:val="left"/>
              <w:rPr>
                <w:snapToGrid w:val="0"/>
                <w:kern w:val="22"/>
                <w:szCs w:val="22"/>
              </w:rPr>
            </w:pPr>
            <w:r w:rsidRPr="00646D82">
              <w:rPr>
                <w:snapToGrid w:val="0"/>
                <w:kern w:val="22"/>
                <w:szCs w:val="22"/>
              </w:rPr>
              <w:t>Access and Benefit-sharing Clearing-House</w:t>
            </w:r>
          </w:p>
          <w:p w14:paraId="3A01C917" w14:textId="77777777" w:rsidR="00397D20" w:rsidRPr="00646D82" w:rsidRDefault="00397D20" w:rsidP="007A38C9">
            <w:pPr>
              <w:jc w:val="left"/>
              <w:rPr>
                <w:snapToGrid w:val="0"/>
                <w:kern w:val="22"/>
                <w:szCs w:val="22"/>
              </w:rPr>
            </w:pPr>
            <w:r w:rsidRPr="00646D82">
              <w:rPr>
                <w:snapToGrid w:val="0"/>
                <w:kern w:val="22"/>
                <w:szCs w:val="22"/>
              </w:rPr>
              <w:t>National reports under the Convention</w:t>
            </w:r>
          </w:p>
          <w:p w14:paraId="718C517E" w14:textId="77777777" w:rsidR="00397D20" w:rsidRPr="00646D82" w:rsidRDefault="00397D20" w:rsidP="007A38C9">
            <w:pPr>
              <w:jc w:val="left"/>
              <w:rPr>
                <w:snapToGrid w:val="0"/>
                <w:kern w:val="22"/>
                <w:szCs w:val="22"/>
              </w:rPr>
            </w:pPr>
            <w:r w:rsidRPr="00646D82">
              <w:rPr>
                <w:snapToGrid w:val="0"/>
                <w:kern w:val="22"/>
                <w:szCs w:val="22"/>
              </w:rPr>
              <w:t>National biodiversity strategies and action plans</w:t>
            </w:r>
          </w:p>
          <w:p w14:paraId="2F1F3C52" w14:textId="77777777" w:rsidR="00397D20" w:rsidRPr="00646D82" w:rsidRDefault="00397D20" w:rsidP="007A38C9">
            <w:pPr>
              <w:jc w:val="left"/>
              <w:rPr>
                <w:snapToGrid w:val="0"/>
                <w:kern w:val="22"/>
                <w:szCs w:val="22"/>
              </w:rPr>
            </w:pPr>
            <w:r w:rsidRPr="00646D82">
              <w:rPr>
                <w:snapToGrid w:val="0"/>
                <w:kern w:val="22"/>
                <w:szCs w:val="22"/>
              </w:rPr>
              <w:t>Possible targeted survey of focal points and/or users</w:t>
            </w:r>
          </w:p>
        </w:tc>
      </w:tr>
      <w:tr w:rsidR="00397D20" w:rsidRPr="00646D82" w14:paraId="37CF769E" w14:textId="77777777" w:rsidTr="007A38C9">
        <w:trPr>
          <w:cantSplit/>
          <w:jc w:val="center"/>
        </w:trPr>
        <w:tc>
          <w:tcPr>
            <w:tcW w:w="4721" w:type="dxa"/>
            <w:shd w:val="clear" w:color="auto" w:fill="auto"/>
          </w:tcPr>
          <w:p w14:paraId="7EC12262" w14:textId="77777777" w:rsidR="00397D20" w:rsidRPr="00646D82" w:rsidRDefault="00397D20" w:rsidP="007A38C9">
            <w:pPr>
              <w:jc w:val="left"/>
              <w:rPr>
                <w:snapToGrid w:val="0"/>
                <w:kern w:val="22"/>
                <w:szCs w:val="22"/>
              </w:rPr>
            </w:pPr>
            <w:r w:rsidRPr="00646D82">
              <w:rPr>
                <w:snapToGrid w:val="0"/>
                <w:kern w:val="22"/>
                <w:szCs w:val="22"/>
              </w:rPr>
              <w:t>(b) Establishment of a reference point to measure effectiveness</w:t>
            </w:r>
          </w:p>
        </w:tc>
        <w:tc>
          <w:tcPr>
            <w:tcW w:w="4855" w:type="dxa"/>
            <w:shd w:val="clear" w:color="auto" w:fill="auto"/>
          </w:tcPr>
          <w:p w14:paraId="525113FE" w14:textId="77777777" w:rsidR="00397D20" w:rsidRPr="00646D82" w:rsidRDefault="00397D20" w:rsidP="007A38C9">
            <w:pPr>
              <w:jc w:val="left"/>
              <w:rPr>
                <w:snapToGrid w:val="0"/>
                <w:kern w:val="22"/>
                <w:szCs w:val="22"/>
              </w:rPr>
            </w:pPr>
            <w:r w:rsidRPr="00646D82">
              <w:rPr>
                <w:snapToGrid w:val="0"/>
                <w:kern w:val="22"/>
                <w:szCs w:val="22"/>
              </w:rPr>
              <w:t>Interim national reports (questions 13, 15, 16, 18</w:t>
            </w:r>
            <w:r w:rsidRPr="00646D82">
              <w:rPr>
                <w:i/>
                <w:iCs/>
                <w:snapToGrid w:val="0"/>
                <w:kern w:val="22"/>
                <w:szCs w:val="22"/>
              </w:rPr>
              <w:t xml:space="preserve">, </w:t>
            </w:r>
            <w:r w:rsidRPr="00646D82">
              <w:rPr>
                <w:iCs/>
                <w:snapToGrid w:val="0"/>
                <w:kern w:val="22"/>
                <w:szCs w:val="22"/>
              </w:rPr>
              <w:t xml:space="preserve">24, 35, </w:t>
            </w:r>
            <w:r w:rsidRPr="00646D82">
              <w:rPr>
                <w:snapToGrid w:val="0"/>
                <w:kern w:val="22"/>
                <w:szCs w:val="22"/>
              </w:rPr>
              <w:t>46)</w:t>
            </w:r>
          </w:p>
          <w:p w14:paraId="0B78E3FF" w14:textId="77777777" w:rsidR="00397D20" w:rsidRPr="00646D82" w:rsidRDefault="00397D20" w:rsidP="007A38C9">
            <w:pPr>
              <w:jc w:val="left"/>
              <w:rPr>
                <w:snapToGrid w:val="0"/>
                <w:kern w:val="22"/>
                <w:szCs w:val="22"/>
              </w:rPr>
            </w:pPr>
            <w:r w:rsidRPr="00646D82">
              <w:rPr>
                <w:snapToGrid w:val="0"/>
                <w:kern w:val="22"/>
                <w:szCs w:val="22"/>
              </w:rPr>
              <w:t>Access and Benefit-sharing Clearing-House</w:t>
            </w:r>
          </w:p>
        </w:tc>
      </w:tr>
      <w:tr w:rsidR="00397D20" w:rsidRPr="00646D82" w14:paraId="5D052B00" w14:textId="77777777" w:rsidTr="007A38C9">
        <w:trPr>
          <w:cantSplit/>
          <w:jc w:val="center"/>
        </w:trPr>
        <w:tc>
          <w:tcPr>
            <w:tcW w:w="4721" w:type="dxa"/>
            <w:shd w:val="clear" w:color="auto" w:fill="auto"/>
          </w:tcPr>
          <w:p w14:paraId="2D066218" w14:textId="77777777" w:rsidR="00397D20" w:rsidRPr="00646D82" w:rsidRDefault="00397D20" w:rsidP="007A38C9">
            <w:pPr>
              <w:jc w:val="left"/>
              <w:rPr>
                <w:snapToGrid w:val="0"/>
                <w:kern w:val="22"/>
                <w:szCs w:val="22"/>
              </w:rPr>
            </w:pPr>
            <w:r w:rsidRPr="00646D82">
              <w:rPr>
                <w:snapToGrid w:val="0"/>
                <w:kern w:val="22"/>
                <w:szCs w:val="22"/>
              </w:rPr>
              <w:t>(c) Establishment of a reference point on support available for implementation</w:t>
            </w:r>
          </w:p>
        </w:tc>
        <w:tc>
          <w:tcPr>
            <w:tcW w:w="4855" w:type="dxa"/>
            <w:shd w:val="clear" w:color="auto" w:fill="auto"/>
          </w:tcPr>
          <w:p w14:paraId="68EDEC43" w14:textId="77777777" w:rsidR="00397D20" w:rsidRPr="00646D82" w:rsidRDefault="00397D20" w:rsidP="007A38C9">
            <w:pPr>
              <w:jc w:val="left"/>
              <w:rPr>
                <w:snapToGrid w:val="0"/>
                <w:kern w:val="22"/>
                <w:szCs w:val="22"/>
              </w:rPr>
            </w:pPr>
            <w:r w:rsidRPr="00646D82">
              <w:rPr>
                <w:snapToGrid w:val="0"/>
                <w:kern w:val="22"/>
                <w:szCs w:val="22"/>
              </w:rPr>
              <w:t xml:space="preserve">Interim national reports (questions 56, </w:t>
            </w:r>
            <w:r w:rsidRPr="00646D82">
              <w:rPr>
                <w:iCs/>
                <w:snapToGrid w:val="0"/>
                <w:kern w:val="22"/>
                <w:szCs w:val="22"/>
              </w:rPr>
              <w:t>57, 61, 62, 63</w:t>
            </w:r>
            <w:r w:rsidRPr="00646D82">
              <w:rPr>
                <w:snapToGrid w:val="0"/>
                <w:kern w:val="22"/>
                <w:szCs w:val="22"/>
              </w:rPr>
              <w:t>)</w:t>
            </w:r>
          </w:p>
          <w:p w14:paraId="0A8DB35D" w14:textId="77777777" w:rsidR="00397D20" w:rsidRPr="00646D82" w:rsidRDefault="00397D20" w:rsidP="007A38C9">
            <w:pPr>
              <w:jc w:val="left"/>
              <w:rPr>
                <w:snapToGrid w:val="0"/>
                <w:kern w:val="22"/>
                <w:szCs w:val="22"/>
              </w:rPr>
            </w:pPr>
            <w:r w:rsidRPr="00646D82">
              <w:rPr>
                <w:snapToGrid w:val="0"/>
                <w:kern w:val="22"/>
                <w:szCs w:val="22"/>
              </w:rPr>
              <w:t>Access and Benefit-sharing Clearing-House</w:t>
            </w:r>
          </w:p>
          <w:p w14:paraId="7926B546" w14:textId="77777777" w:rsidR="00397D20" w:rsidRPr="00646D82" w:rsidRDefault="00397D20" w:rsidP="007A38C9">
            <w:pPr>
              <w:jc w:val="left"/>
              <w:rPr>
                <w:snapToGrid w:val="0"/>
                <w:kern w:val="22"/>
                <w:szCs w:val="22"/>
              </w:rPr>
            </w:pPr>
            <w:r w:rsidRPr="00646D82">
              <w:rPr>
                <w:snapToGrid w:val="0"/>
                <w:kern w:val="22"/>
                <w:szCs w:val="22"/>
              </w:rPr>
              <w:t>Information on capacity-building projects and resources</w:t>
            </w:r>
          </w:p>
        </w:tc>
      </w:tr>
      <w:tr w:rsidR="00397D20" w:rsidRPr="00646D82" w14:paraId="05E85989" w14:textId="77777777" w:rsidTr="007A38C9">
        <w:trPr>
          <w:cantSplit/>
          <w:jc w:val="center"/>
        </w:trPr>
        <w:tc>
          <w:tcPr>
            <w:tcW w:w="4721" w:type="dxa"/>
            <w:shd w:val="clear" w:color="auto" w:fill="auto"/>
          </w:tcPr>
          <w:p w14:paraId="2A4F807C" w14:textId="77777777" w:rsidR="00397D20" w:rsidRPr="00646D82" w:rsidRDefault="00397D20" w:rsidP="007A38C9">
            <w:pPr>
              <w:jc w:val="left"/>
              <w:rPr>
                <w:snapToGrid w:val="0"/>
                <w:kern w:val="22"/>
                <w:szCs w:val="22"/>
              </w:rPr>
            </w:pPr>
            <w:r w:rsidRPr="00646D82">
              <w:rPr>
                <w:snapToGrid w:val="0"/>
                <w:kern w:val="22"/>
                <w:szCs w:val="22"/>
              </w:rPr>
              <w:t>(d) Assessment of effectiveness of Article 18 (extent of implementation)</w:t>
            </w:r>
          </w:p>
        </w:tc>
        <w:tc>
          <w:tcPr>
            <w:tcW w:w="4855" w:type="dxa"/>
            <w:shd w:val="clear" w:color="auto" w:fill="auto"/>
          </w:tcPr>
          <w:p w14:paraId="4700D496" w14:textId="77777777" w:rsidR="00397D20" w:rsidRPr="00646D82" w:rsidRDefault="00397D20" w:rsidP="007A38C9">
            <w:pPr>
              <w:jc w:val="left"/>
              <w:rPr>
                <w:snapToGrid w:val="0"/>
                <w:kern w:val="22"/>
                <w:szCs w:val="22"/>
              </w:rPr>
            </w:pPr>
            <w:r w:rsidRPr="00646D82">
              <w:rPr>
                <w:snapToGrid w:val="0"/>
                <w:kern w:val="22"/>
                <w:szCs w:val="22"/>
              </w:rPr>
              <w:t>Interim national reports (questions 31-34)</w:t>
            </w:r>
          </w:p>
        </w:tc>
      </w:tr>
      <w:tr w:rsidR="00397D20" w:rsidRPr="00646D82" w14:paraId="05BC1500" w14:textId="77777777" w:rsidTr="007A38C9">
        <w:trPr>
          <w:cantSplit/>
          <w:jc w:val="center"/>
        </w:trPr>
        <w:tc>
          <w:tcPr>
            <w:tcW w:w="4721" w:type="dxa"/>
            <w:shd w:val="clear" w:color="auto" w:fill="auto"/>
          </w:tcPr>
          <w:p w14:paraId="3DBF847B" w14:textId="77777777" w:rsidR="00397D20" w:rsidRPr="00646D82" w:rsidRDefault="00397D20" w:rsidP="007A38C9">
            <w:pPr>
              <w:jc w:val="left"/>
              <w:rPr>
                <w:snapToGrid w:val="0"/>
                <w:kern w:val="22"/>
                <w:szCs w:val="22"/>
              </w:rPr>
            </w:pPr>
            <w:r w:rsidRPr="00646D82">
              <w:rPr>
                <w:snapToGrid w:val="0"/>
                <w:kern w:val="22"/>
                <w:szCs w:val="22"/>
              </w:rPr>
              <w:t>(e) Assessment of implementation of Article 16 in light of developments in other relevant international organizations, including, inter alia, the World Intellectual Property Organization (WIPO)</w:t>
            </w:r>
          </w:p>
        </w:tc>
        <w:tc>
          <w:tcPr>
            <w:tcW w:w="4855" w:type="dxa"/>
            <w:shd w:val="clear" w:color="auto" w:fill="auto"/>
          </w:tcPr>
          <w:p w14:paraId="774A46DC" w14:textId="77777777" w:rsidR="00397D20" w:rsidRPr="00646D82" w:rsidRDefault="00397D20" w:rsidP="007A38C9">
            <w:pPr>
              <w:jc w:val="left"/>
              <w:rPr>
                <w:snapToGrid w:val="0"/>
                <w:kern w:val="22"/>
                <w:szCs w:val="22"/>
              </w:rPr>
            </w:pPr>
            <w:r w:rsidRPr="00646D82">
              <w:rPr>
                <w:snapToGrid w:val="0"/>
                <w:kern w:val="22"/>
                <w:szCs w:val="22"/>
              </w:rPr>
              <w:t>Interim national reports (question 25)</w:t>
            </w:r>
          </w:p>
          <w:p w14:paraId="778D6080" w14:textId="77777777" w:rsidR="00397D20" w:rsidRPr="00646D82" w:rsidRDefault="00397D20" w:rsidP="007A38C9">
            <w:pPr>
              <w:jc w:val="left"/>
              <w:rPr>
                <w:snapToGrid w:val="0"/>
                <w:kern w:val="22"/>
                <w:szCs w:val="22"/>
              </w:rPr>
            </w:pPr>
            <w:r w:rsidRPr="00646D82">
              <w:rPr>
                <w:snapToGrid w:val="0"/>
                <w:kern w:val="22"/>
                <w:szCs w:val="22"/>
              </w:rPr>
              <w:t>Reports of, inter alia, the WIPO Intergovernmental Committee on Intellectual Property and Genetic Resources, Traditional Knowledge and Folklore</w:t>
            </w:r>
          </w:p>
        </w:tc>
      </w:tr>
      <w:tr w:rsidR="00397D20" w:rsidRPr="00646D82" w14:paraId="41C88D28" w14:textId="77777777" w:rsidTr="007A38C9">
        <w:trPr>
          <w:cantSplit/>
          <w:jc w:val="center"/>
        </w:trPr>
        <w:tc>
          <w:tcPr>
            <w:tcW w:w="4721" w:type="dxa"/>
            <w:shd w:val="clear" w:color="auto" w:fill="auto"/>
          </w:tcPr>
          <w:p w14:paraId="1B7E5647" w14:textId="77777777" w:rsidR="00397D20" w:rsidRPr="00646D82" w:rsidRDefault="00397D20" w:rsidP="007A38C9">
            <w:pPr>
              <w:jc w:val="left"/>
              <w:rPr>
                <w:snapToGrid w:val="0"/>
                <w:kern w:val="22"/>
                <w:szCs w:val="22"/>
              </w:rPr>
            </w:pPr>
            <w:r w:rsidRPr="00646D82">
              <w:rPr>
                <w:snapToGrid w:val="0"/>
                <w:kern w:val="22"/>
                <w:szCs w:val="22"/>
              </w:rPr>
              <w:t>(f) Stock-taking of the use of model contractual clauses, codes of conduct, guidelines, best practices and standards as well as indigenous peoples and local communities’ customary laws, community protocols and procedures</w:t>
            </w:r>
          </w:p>
        </w:tc>
        <w:tc>
          <w:tcPr>
            <w:tcW w:w="4855" w:type="dxa"/>
            <w:shd w:val="clear" w:color="auto" w:fill="auto"/>
          </w:tcPr>
          <w:p w14:paraId="58C09AE3" w14:textId="77777777" w:rsidR="00397D20" w:rsidRPr="00646D82" w:rsidRDefault="00397D20" w:rsidP="007A38C9">
            <w:pPr>
              <w:jc w:val="left"/>
              <w:rPr>
                <w:snapToGrid w:val="0"/>
                <w:kern w:val="22"/>
                <w:szCs w:val="22"/>
              </w:rPr>
            </w:pPr>
            <w:r w:rsidRPr="00646D82">
              <w:rPr>
                <w:snapToGrid w:val="0"/>
                <w:kern w:val="22"/>
                <w:szCs w:val="22"/>
              </w:rPr>
              <w:t>Interim national reports (questions 42 and 51-53)</w:t>
            </w:r>
          </w:p>
          <w:p w14:paraId="7002E009" w14:textId="77777777" w:rsidR="00397D20" w:rsidRPr="00646D82" w:rsidRDefault="00397D20" w:rsidP="007A38C9">
            <w:pPr>
              <w:jc w:val="left"/>
              <w:rPr>
                <w:snapToGrid w:val="0"/>
                <w:kern w:val="22"/>
                <w:szCs w:val="22"/>
              </w:rPr>
            </w:pPr>
            <w:r w:rsidRPr="00646D82">
              <w:rPr>
                <w:snapToGrid w:val="0"/>
                <w:kern w:val="22"/>
                <w:szCs w:val="22"/>
              </w:rPr>
              <w:t>Access and Benefit-sharing Clearing-House</w:t>
            </w:r>
          </w:p>
          <w:p w14:paraId="3959B6DA" w14:textId="77777777" w:rsidR="00397D20" w:rsidRPr="00646D82" w:rsidRDefault="00397D20" w:rsidP="007A38C9">
            <w:pPr>
              <w:jc w:val="left"/>
              <w:rPr>
                <w:snapToGrid w:val="0"/>
                <w:kern w:val="22"/>
                <w:szCs w:val="22"/>
              </w:rPr>
            </w:pPr>
            <w:r w:rsidRPr="00646D82">
              <w:rPr>
                <w:snapToGrid w:val="0"/>
                <w:kern w:val="22"/>
                <w:szCs w:val="22"/>
              </w:rPr>
              <w:t>Possible targeted survey of focal points and/or users</w:t>
            </w:r>
          </w:p>
        </w:tc>
      </w:tr>
      <w:tr w:rsidR="00397D20" w:rsidRPr="00646D82" w14:paraId="18E41707" w14:textId="77777777" w:rsidTr="007A38C9">
        <w:trPr>
          <w:cantSplit/>
          <w:jc w:val="center"/>
        </w:trPr>
        <w:tc>
          <w:tcPr>
            <w:tcW w:w="4721" w:type="dxa"/>
            <w:shd w:val="clear" w:color="auto" w:fill="auto"/>
          </w:tcPr>
          <w:p w14:paraId="45DC07B4" w14:textId="77777777" w:rsidR="00397D20" w:rsidRPr="00646D82" w:rsidRDefault="00397D20" w:rsidP="007A38C9">
            <w:pPr>
              <w:jc w:val="left"/>
              <w:rPr>
                <w:snapToGrid w:val="0"/>
                <w:kern w:val="22"/>
                <w:szCs w:val="22"/>
              </w:rPr>
            </w:pPr>
            <w:r w:rsidRPr="00646D82">
              <w:rPr>
                <w:snapToGrid w:val="0"/>
                <w:kern w:val="22"/>
                <w:szCs w:val="22"/>
              </w:rPr>
              <w:lastRenderedPageBreak/>
              <w:t>(g) Review of implementation and operation of the Access and Benefit-sharing Clearing-House, including number of access and benefit-sharing measures made available; number of countries that have published information on their competent national authorities; number of internationally recognized certificates of compliance that have been constituted and number of checkpoint communiqués published</w:t>
            </w:r>
          </w:p>
        </w:tc>
        <w:tc>
          <w:tcPr>
            <w:tcW w:w="4855" w:type="dxa"/>
            <w:shd w:val="clear" w:color="auto" w:fill="auto"/>
          </w:tcPr>
          <w:p w14:paraId="25206BDE" w14:textId="77777777" w:rsidR="00397D20" w:rsidRPr="00646D82" w:rsidRDefault="00397D20" w:rsidP="007A38C9">
            <w:pPr>
              <w:jc w:val="left"/>
              <w:rPr>
                <w:snapToGrid w:val="0"/>
                <w:kern w:val="22"/>
                <w:szCs w:val="22"/>
              </w:rPr>
            </w:pPr>
            <w:r w:rsidRPr="00646D82">
              <w:rPr>
                <w:snapToGrid w:val="0"/>
                <w:kern w:val="22"/>
                <w:szCs w:val="22"/>
              </w:rPr>
              <w:t>Interim national reports (question 3)</w:t>
            </w:r>
          </w:p>
          <w:p w14:paraId="67D6F791" w14:textId="77777777" w:rsidR="00397D20" w:rsidRPr="00646D82" w:rsidRDefault="00397D20" w:rsidP="007A38C9">
            <w:pPr>
              <w:jc w:val="left"/>
              <w:rPr>
                <w:snapToGrid w:val="0"/>
                <w:kern w:val="22"/>
                <w:szCs w:val="22"/>
              </w:rPr>
            </w:pPr>
            <w:r w:rsidRPr="00646D82">
              <w:rPr>
                <w:snapToGrid w:val="0"/>
                <w:kern w:val="22"/>
                <w:szCs w:val="22"/>
              </w:rPr>
              <w:t>Access and Benefit-sharing Clearing-House, including information on the use of the help function/dialogue box</w:t>
            </w:r>
          </w:p>
          <w:p w14:paraId="3CE4604D" w14:textId="77777777" w:rsidR="00397D20" w:rsidRPr="00646D82" w:rsidRDefault="00397D20" w:rsidP="007A38C9">
            <w:pPr>
              <w:jc w:val="left"/>
              <w:rPr>
                <w:snapToGrid w:val="0"/>
                <w:kern w:val="22"/>
                <w:szCs w:val="22"/>
              </w:rPr>
            </w:pPr>
            <w:r w:rsidRPr="00646D82">
              <w:rPr>
                <w:snapToGrid w:val="0"/>
                <w:kern w:val="22"/>
                <w:szCs w:val="22"/>
              </w:rPr>
              <w:t>Reports of meetings of the informal advisory committee on the Access and Benefit-sharing Clearing-House</w:t>
            </w:r>
          </w:p>
          <w:p w14:paraId="204F2FA9" w14:textId="77777777" w:rsidR="00397D20" w:rsidRPr="00646D82" w:rsidRDefault="00397D20" w:rsidP="007A38C9">
            <w:pPr>
              <w:jc w:val="left"/>
              <w:rPr>
                <w:snapToGrid w:val="0"/>
                <w:kern w:val="22"/>
                <w:szCs w:val="22"/>
              </w:rPr>
            </w:pPr>
            <w:r w:rsidRPr="00646D82">
              <w:rPr>
                <w:snapToGrid w:val="0"/>
                <w:kern w:val="22"/>
                <w:szCs w:val="22"/>
              </w:rPr>
              <w:t>Possible targeted survey of focal points and/or users</w:t>
            </w:r>
          </w:p>
        </w:tc>
      </w:tr>
    </w:tbl>
    <w:p w14:paraId="299E8DB5" w14:textId="651DCC65" w:rsidR="00653BA2" w:rsidRPr="00646D82" w:rsidRDefault="0097115F" w:rsidP="00966F98">
      <w:pPr>
        <w:pStyle w:val="Para1"/>
        <w:numPr>
          <w:ilvl w:val="0"/>
          <w:numId w:val="12"/>
        </w:numPr>
        <w:suppressLineNumbers/>
        <w:suppressAutoHyphens/>
        <w:rPr>
          <w:kern w:val="22"/>
          <w:szCs w:val="22"/>
        </w:rPr>
      </w:pPr>
      <w:r w:rsidRPr="00646D82">
        <w:rPr>
          <w:kern w:val="22"/>
          <w:szCs w:val="22"/>
        </w:rPr>
        <w:t>Interim national reports on the implementation of the Nagoya Protocol and the ABS Clearing</w:t>
      </w:r>
      <w:r w:rsidR="007A38C9" w:rsidRPr="00646D82">
        <w:rPr>
          <w:kern w:val="22"/>
          <w:szCs w:val="22"/>
        </w:rPr>
        <w:noBreakHyphen/>
      </w:r>
      <w:r w:rsidRPr="00646D82">
        <w:rPr>
          <w:kern w:val="22"/>
          <w:szCs w:val="22"/>
        </w:rPr>
        <w:t>House are t</w:t>
      </w:r>
      <w:r w:rsidR="00A71CFD" w:rsidRPr="00646D82">
        <w:rPr>
          <w:kern w:val="22"/>
          <w:szCs w:val="22"/>
        </w:rPr>
        <w:t>he main sources of information for the first assessment and review of the Protocol.</w:t>
      </w:r>
    </w:p>
    <w:p w14:paraId="42AF2C86" w14:textId="02C8448B" w:rsidR="00653BA2" w:rsidRPr="00646D82" w:rsidRDefault="00653BA2" w:rsidP="00966F98">
      <w:pPr>
        <w:pStyle w:val="Para1"/>
        <w:numPr>
          <w:ilvl w:val="0"/>
          <w:numId w:val="12"/>
        </w:numPr>
        <w:suppressLineNumbers/>
        <w:suppressAutoHyphens/>
        <w:rPr>
          <w:kern w:val="22"/>
          <w:szCs w:val="22"/>
        </w:rPr>
      </w:pPr>
      <w:r w:rsidRPr="00646D82">
        <w:rPr>
          <w:kern w:val="22"/>
          <w:szCs w:val="22"/>
        </w:rPr>
        <w:t xml:space="preserve">In decision </w:t>
      </w:r>
      <w:hyperlink r:id="rId12" w:history="1">
        <w:r w:rsidRPr="00646D82">
          <w:rPr>
            <w:rStyle w:val="Hyperlink"/>
            <w:kern w:val="22"/>
            <w:szCs w:val="22"/>
          </w:rPr>
          <w:t>NP-1</w:t>
        </w:r>
        <w:r w:rsidR="003E57C7" w:rsidRPr="00646D82">
          <w:rPr>
            <w:rStyle w:val="Hyperlink"/>
            <w:kern w:val="22"/>
            <w:szCs w:val="22"/>
          </w:rPr>
          <w:t>/3</w:t>
        </w:r>
      </w:hyperlink>
      <w:r w:rsidR="003E57C7" w:rsidRPr="00646D82">
        <w:rPr>
          <w:kern w:val="22"/>
          <w:szCs w:val="22"/>
        </w:rPr>
        <w:t>, the Parties to the Protocol</w:t>
      </w:r>
      <w:r w:rsidRPr="00646D82">
        <w:rPr>
          <w:kern w:val="22"/>
          <w:szCs w:val="22"/>
        </w:rPr>
        <w:t xml:space="preserve"> agreed on the format and guidelines for submission of an interim national report on the implementation of the Nagoya Protocol and requested Parties to the Protocol to submit the report 12 months prior to the third meeting of the Parties to the Protocol. The Parties also welcomed submissions of relevant information by non-Parties. Interim national reports were due to be submitted by 1 November 2017.</w:t>
      </w:r>
    </w:p>
    <w:p w14:paraId="554BED5D" w14:textId="02C1529F" w:rsidR="0097115F" w:rsidRPr="00646D82" w:rsidRDefault="0097115F" w:rsidP="00966F98">
      <w:pPr>
        <w:pStyle w:val="Para1"/>
        <w:numPr>
          <w:ilvl w:val="0"/>
          <w:numId w:val="12"/>
        </w:numPr>
        <w:suppressLineNumbers/>
        <w:suppressAutoHyphens/>
        <w:rPr>
          <w:kern w:val="22"/>
          <w:szCs w:val="22"/>
        </w:rPr>
      </w:pPr>
      <w:r w:rsidRPr="00646D82">
        <w:rPr>
          <w:kern w:val="22"/>
          <w:szCs w:val="22"/>
        </w:rPr>
        <w:t xml:space="preserve">As of </w:t>
      </w:r>
      <w:r w:rsidR="00B47FA8" w:rsidRPr="00646D82">
        <w:rPr>
          <w:kern w:val="22"/>
          <w:szCs w:val="22"/>
        </w:rPr>
        <w:t xml:space="preserve">14 </w:t>
      </w:r>
      <w:r w:rsidR="000646EC" w:rsidRPr="00646D82">
        <w:rPr>
          <w:kern w:val="22"/>
          <w:szCs w:val="22"/>
        </w:rPr>
        <w:t>May 2018</w:t>
      </w:r>
      <w:r w:rsidR="00B47FA8" w:rsidRPr="00646D82">
        <w:rPr>
          <w:kern w:val="22"/>
          <w:szCs w:val="22"/>
        </w:rPr>
        <w:t xml:space="preserve">, </w:t>
      </w:r>
      <w:r w:rsidR="001356AD" w:rsidRPr="00646D82">
        <w:rPr>
          <w:kern w:val="22"/>
          <w:szCs w:val="22"/>
        </w:rPr>
        <w:t xml:space="preserve">105 Parties to </w:t>
      </w:r>
      <w:r w:rsidR="00D953E9" w:rsidRPr="00646D82">
        <w:rPr>
          <w:kern w:val="22"/>
          <w:szCs w:val="22"/>
        </w:rPr>
        <w:t>the Convention</w:t>
      </w:r>
      <w:r w:rsidR="001356AD" w:rsidRPr="00646D82">
        <w:rPr>
          <w:kern w:val="22"/>
          <w:szCs w:val="22"/>
        </w:rPr>
        <w:t xml:space="preserve"> have </w:t>
      </w:r>
      <w:r w:rsidR="00ED6391" w:rsidRPr="00646D82">
        <w:rPr>
          <w:kern w:val="22"/>
          <w:szCs w:val="22"/>
        </w:rPr>
        <w:t>ratified the Protocol</w:t>
      </w:r>
      <w:r w:rsidR="008A452B" w:rsidRPr="00646D82">
        <w:rPr>
          <w:kern w:val="22"/>
          <w:szCs w:val="22"/>
        </w:rPr>
        <w:t>,</w:t>
      </w:r>
      <w:r w:rsidR="00ED6391" w:rsidRPr="00646D82">
        <w:rPr>
          <w:kern w:val="22"/>
          <w:szCs w:val="22"/>
        </w:rPr>
        <w:t xml:space="preserve"> </w:t>
      </w:r>
      <w:r w:rsidR="00B47FA8" w:rsidRPr="00646D82">
        <w:rPr>
          <w:kern w:val="22"/>
          <w:szCs w:val="22"/>
        </w:rPr>
        <w:t>73</w:t>
      </w:r>
      <w:r w:rsidRPr="00646D82">
        <w:rPr>
          <w:kern w:val="22"/>
          <w:szCs w:val="22"/>
        </w:rPr>
        <w:t xml:space="preserve"> interim national reports have been received from Parties and 6 from non-Parties</w:t>
      </w:r>
      <w:r w:rsidR="00ED6391" w:rsidRPr="00646D82">
        <w:rPr>
          <w:kern w:val="22"/>
          <w:szCs w:val="22"/>
        </w:rPr>
        <w:t xml:space="preserve"> to the Protocol</w:t>
      </w:r>
      <w:r w:rsidRPr="00646D82">
        <w:rPr>
          <w:kern w:val="22"/>
          <w:szCs w:val="22"/>
        </w:rPr>
        <w:t>.</w:t>
      </w:r>
      <w:r w:rsidRPr="00646D82">
        <w:rPr>
          <w:szCs w:val="22"/>
        </w:rPr>
        <w:t xml:space="preserve"> </w:t>
      </w:r>
      <w:r w:rsidRPr="00646D82">
        <w:rPr>
          <w:kern w:val="22"/>
          <w:szCs w:val="22"/>
        </w:rPr>
        <w:t xml:space="preserve">All interim national reports received are available on the </w:t>
      </w:r>
      <w:r w:rsidR="007A38C9" w:rsidRPr="00646D82">
        <w:rPr>
          <w:kern w:val="22"/>
          <w:szCs w:val="22"/>
        </w:rPr>
        <w:t>Access and Benefit-sharing (</w:t>
      </w:r>
      <w:r w:rsidRPr="00646D82">
        <w:rPr>
          <w:kern w:val="22"/>
          <w:szCs w:val="22"/>
        </w:rPr>
        <w:t>ABS</w:t>
      </w:r>
      <w:r w:rsidR="007A38C9" w:rsidRPr="00646D82">
        <w:rPr>
          <w:kern w:val="22"/>
          <w:szCs w:val="22"/>
        </w:rPr>
        <w:t>)</w:t>
      </w:r>
      <w:r w:rsidRPr="00646D82">
        <w:rPr>
          <w:kern w:val="22"/>
          <w:szCs w:val="22"/>
        </w:rPr>
        <w:t xml:space="preserve"> Clearing-House at: </w:t>
      </w:r>
      <w:hyperlink r:id="rId13" w:history="1">
        <w:r w:rsidRPr="00646D82">
          <w:rPr>
            <w:rStyle w:val="Hyperlink"/>
            <w:kern w:val="22"/>
            <w:szCs w:val="22"/>
          </w:rPr>
          <w:t>https://absch.cbd.int/reports</w:t>
        </w:r>
      </w:hyperlink>
      <w:r w:rsidR="000646EC" w:rsidRPr="00646D82">
        <w:rPr>
          <w:rStyle w:val="Hyperlink"/>
          <w:kern w:val="22"/>
          <w:szCs w:val="22"/>
        </w:rPr>
        <w:t xml:space="preserve"> </w:t>
      </w:r>
      <w:r w:rsidR="000646EC" w:rsidRPr="00646D82">
        <w:rPr>
          <w:rStyle w:val="FootnoteReference"/>
          <w:kern w:val="22"/>
          <w:sz w:val="22"/>
          <w:szCs w:val="22"/>
        </w:rPr>
        <w:footnoteReference w:id="2"/>
      </w:r>
      <w:r w:rsidRPr="00646D82">
        <w:rPr>
          <w:rStyle w:val="FootnoteReference"/>
          <w:sz w:val="22"/>
          <w:szCs w:val="22"/>
        </w:rPr>
        <w:t>.</w:t>
      </w:r>
      <w:r w:rsidRPr="00646D82">
        <w:rPr>
          <w:rStyle w:val="FootnoteReference"/>
          <w:kern w:val="22"/>
          <w:sz w:val="22"/>
          <w:szCs w:val="22"/>
        </w:rPr>
        <w:t xml:space="preserve"> </w:t>
      </w:r>
    </w:p>
    <w:p w14:paraId="5CDDFD13" w14:textId="12A39254" w:rsidR="0097115F" w:rsidRPr="00646D82" w:rsidRDefault="00052480" w:rsidP="003E57C7">
      <w:pPr>
        <w:pStyle w:val="Para1"/>
        <w:numPr>
          <w:ilvl w:val="0"/>
          <w:numId w:val="12"/>
        </w:numPr>
        <w:suppressLineNumbers/>
        <w:suppressAutoHyphens/>
        <w:rPr>
          <w:kern w:val="22"/>
          <w:szCs w:val="22"/>
        </w:rPr>
      </w:pPr>
      <w:r w:rsidRPr="00646D82">
        <w:rPr>
          <w:kern w:val="22"/>
          <w:szCs w:val="22"/>
        </w:rPr>
        <w:t>In addition,</w:t>
      </w:r>
      <w:r w:rsidR="00224284" w:rsidRPr="00646D82">
        <w:rPr>
          <w:kern w:val="22"/>
          <w:szCs w:val="22"/>
        </w:rPr>
        <w:t xml:space="preserve"> decision NP-2/4</w:t>
      </w:r>
      <w:r w:rsidRPr="00646D82">
        <w:rPr>
          <w:kern w:val="22"/>
          <w:szCs w:val="22"/>
        </w:rPr>
        <w:t xml:space="preserve">, </w:t>
      </w:r>
      <w:r w:rsidR="003E57C7" w:rsidRPr="00646D82">
        <w:rPr>
          <w:kern w:val="22"/>
          <w:szCs w:val="22"/>
        </w:rPr>
        <w:t xml:space="preserve">paragraph 3, </w:t>
      </w:r>
      <w:r w:rsidRPr="00646D82">
        <w:rPr>
          <w:kern w:val="22"/>
          <w:szCs w:val="22"/>
        </w:rPr>
        <w:t>requested the Executive Secretary to, among other things, assess any needs for additional information, including consideration of a targeted survey of access and benefit-sharing national focal points and/or users.</w:t>
      </w:r>
      <w:r w:rsidR="0097115F" w:rsidRPr="00646D82">
        <w:rPr>
          <w:kern w:val="22"/>
          <w:szCs w:val="22"/>
        </w:rPr>
        <w:t xml:space="preserve"> In this regard, a notification</w:t>
      </w:r>
      <w:r w:rsidR="007A38C9" w:rsidRPr="00646D82">
        <w:rPr>
          <w:rStyle w:val="FootnoteReference"/>
          <w:kern w:val="22"/>
          <w:sz w:val="22"/>
          <w:szCs w:val="22"/>
        </w:rPr>
        <w:footnoteReference w:id="3"/>
      </w:r>
      <w:r w:rsidR="00763245" w:rsidRPr="00646D82">
        <w:rPr>
          <w:kern w:val="22"/>
          <w:szCs w:val="22"/>
        </w:rPr>
        <w:t xml:space="preserve"> </w:t>
      </w:r>
      <w:r w:rsidR="0097115F" w:rsidRPr="00646D82">
        <w:rPr>
          <w:kern w:val="22"/>
          <w:szCs w:val="22"/>
        </w:rPr>
        <w:t xml:space="preserve">was sent to </w:t>
      </w:r>
      <w:r w:rsidR="003E57C7" w:rsidRPr="00646D82">
        <w:rPr>
          <w:kern w:val="22"/>
          <w:szCs w:val="22"/>
        </w:rPr>
        <w:t xml:space="preserve">ABS National Focal Points, CBD National Focal Points, indigenous peoples and local communities and relevant stakeholders to </w:t>
      </w:r>
      <w:r w:rsidR="0097115F" w:rsidRPr="00646D82">
        <w:rPr>
          <w:kern w:val="22"/>
          <w:szCs w:val="22"/>
        </w:rPr>
        <w:t>collect information on: (a) the use of model contractual clauses, codes of conduct, guidelines, best practices and/or standards as well as indigenous peoples and local communities’ customary laws, community protocols and procedures; and (b) the implementation and operation of the ABS Clearing-House</w:t>
      </w:r>
      <w:r w:rsidR="00C41BE3" w:rsidRPr="00646D82">
        <w:rPr>
          <w:kern w:val="22"/>
          <w:szCs w:val="22"/>
        </w:rPr>
        <w:t xml:space="preserve"> </w:t>
      </w:r>
      <w:r w:rsidR="00B263F8" w:rsidRPr="00646D82">
        <w:rPr>
          <w:kern w:val="22"/>
          <w:szCs w:val="22"/>
        </w:rPr>
        <w:t xml:space="preserve">through </w:t>
      </w:r>
      <w:r w:rsidR="00C41BE3" w:rsidRPr="00646D82">
        <w:rPr>
          <w:kern w:val="22"/>
          <w:szCs w:val="22"/>
        </w:rPr>
        <w:t xml:space="preserve">an online survey. </w:t>
      </w:r>
      <w:r w:rsidR="00B263F8" w:rsidRPr="00646D82">
        <w:rPr>
          <w:kern w:val="22"/>
          <w:szCs w:val="22"/>
        </w:rPr>
        <w:t>An invitation to complete t</w:t>
      </w:r>
      <w:r w:rsidR="00C41BE3" w:rsidRPr="00646D82">
        <w:rPr>
          <w:kern w:val="22"/>
          <w:szCs w:val="22"/>
        </w:rPr>
        <w:t>he survey was also made available in the ABS Clearing-House website</w:t>
      </w:r>
      <w:r w:rsidR="0097115F" w:rsidRPr="00646D82">
        <w:rPr>
          <w:kern w:val="22"/>
          <w:szCs w:val="22"/>
        </w:rPr>
        <w:t>.</w:t>
      </w:r>
      <w:r w:rsidR="00C41BE3" w:rsidRPr="00646D82">
        <w:rPr>
          <w:rStyle w:val="FootnoteReference"/>
          <w:kern w:val="22"/>
          <w:sz w:val="22"/>
          <w:szCs w:val="22"/>
        </w:rPr>
        <w:footnoteReference w:id="4"/>
      </w:r>
      <w:r w:rsidR="0097115F" w:rsidRPr="00646D82">
        <w:rPr>
          <w:kern w:val="22"/>
          <w:szCs w:val="22"/>
        </w:rPr>
        <w:t xml:space="preserve"> </w:t>
      </w:r>
    </w:p>
    <w:p w14:paraId="4B429825" w14:textId="77777777" w:rsidR="00052480" w:rsidRPr="00646D82" w:rsidRDefault="00C41BE3" w:rsidP="00966F98">
      <w:pPr>
        <w:pStyle w:val="Para1"/>
        <w:numPr>
          <w:ilvl w:val="0"/>
          <w:numId w:val="12"/>
        </w:numPr>
        <w:suppressLineNumbers/>
        <w:suppressAutoHyphens/>
        <w:rPr>
          <w:kern w:val="22"/>
          <w:szCs w:val="22"/>
        </w:rPr>
      </w:pPr>
      <w:r w:rsidRPr="00646D82">
        <w:rPr>
          <w:kern w:val="22"/>
          <w:szCs w:val="22"/>
        </w:rPr>
        <w:t xml:space="preserve">In response to the request </w:t>
      </w:r>
      <w:r w:rsidR="00052480" w:rsidRPr="00646D82">
        <w:rPr>
          <w:kern w:val="22"/>
          <w:szCs w:val="22"/>
        </w:rPr>
        <w:t xml:space="preserve">in </w:t>
      </w:r>
      <w:r w:rsidRPr="00646D82">
        <w:rPr>
          <w:kern w:val="22"/>
          <w:szCs w:val="22"/>
        </w:rPr>
        <w:t>decision</w:t>
      </w:r>
      <w:r w:rsidR="00A71CFD" w:rsidRPr="00646D82">
        <w:rPr>
          <w:kern w:val="22"/>
          <w:szCs w:val="22"/>
        </w:rPr>
        <w:t xml:space="preserve"> NP-2/4</w:t>
      </w:r>
      <w:r w:rsidR="00653BA2" w:rsidRPr="00646D82">
        <w:rPr>
          <w:kern w:val="22"/>
          <w:szCs w:val="22"/>
        </w:rPr>
        <w:t xml:space="preserve">, </w:t>
      </w:r>
      <w:r w:rsidRPr="00646D82">
        <w:rPr>
          <w:kern w:val="22"/>
          <w:szCs w:val="22"/>
        </w:rPr>
        <w:t xml:space="preserve">paragraph 3, </w:t>
      </w:r>
      <w:r w:rsidR="00052480" w:rsidRPr="00646D82">
        <w:rPr>
          <w:kern w:val="22"/>
          <w:szCs w:val="22"/>
        </w:rPr>
        <w:t xml:space="preserve">the Executive Secretary has prepared several documents </w:t>
      </w:r>
      <w:r w:rsidRPr="00646D82">
        <w:rPr>
          <w:kern w:val="22"/>
          <w:szCs w:val="22"/>
        </w:rPr>
        <w:t xml:space="preserve">to support the </w:t>
      </w:r>
      <w:r w:rsidR="00052480" w:rsidRPr="00646D82">
        <w:rPr>
          <w:kern w:val="22"/>
          <w:szCs w:val="22"/>
        </w:rPr>
        <w:t xml:space="preserve">analysis of information </w:t>
      </w:r>
      <w:r w:rsidRPr="00646D82">
        <w:rPr>
          <w:kern w:val="22"/>
          <w:szCs w:val="22"/>
        </w:rPr>
        <w:t>under each element. T</w:t>
      </w:r>
      <w:r w:rsidR="00A71CFD" w:rsidRPr="00646D82">
        <w:rPr>
          <w:kern w:val="22"/>
          <w:szCs w:val="22"/>
        </w:rPr>
        <w:t>hese are described below</w:t>
      </w:r>
      <w:r w:rsidR="00653BA2" w:rsidRPr="00646D82">
        <w:rPr>
          <w:kern w:val="22"/>
          <w:szCs w:val="22"/>
        </w:rPr>
        <w:t>.</w:t>
      </w:r>
      <w:r w:rsidR="00A71CFD" w:rsidRPr="00646D82">
        <w:rPr>
          <w:kern w:val="22"/>
          <w:szCs w:val="22"/>
        </w:rPr>
        <w:t xml:space="preserve"> </w:t>
      </w:r>
    </w:p>
    <w:p w14:paraId="7F71AC93" w14:textId="28D74189" w:rsidR="00E4285F" w:rsidRPr="00646D82" w:rsidRDefault="00C41BE3" w:rsidP="00FA136F">
      <w:pPr>
        <w:pStyle w:val="Para1"/>
        <w:numPr>
          <w:ilvl w:val="0"/>
          <w:numId w:val="12"/>
        </w:numPr>
        <w:suppressLineNumbers/>
        <w:suppressAutoHyphens/>
        <w:rPr>
          <w:kern w:val="22"/>
          <w:szCs w:val="22"/>
        </w:rPr>
      </w:pPr>
      <w:r w:rsidRPr="00646D82">
        <w:rPr>
          <w:kern w:val="22"/>
          <w:szCs w:val="22"/>
        </w:rPr>
        <w:t xml:space="preserve">To address elements (a) (b) (c) (d) and (e), </w:t>
      </w:r>
      <w:r w:rsidR="00052480" w:rsidRPr="00646D82">
        <w:rPr>
          <w:kern w:val="22"/>
          <w:szCs w:val="22"/>
        </w:rPr>
        <w:t xml:space="preserve">an analysis of information </w:t>
      </w:r>
      <w:r w:rsidR="00C17392" w:rsidRPr="00646D82">
        <w:rPr>
          <w:kern w:val="22"/>
          <w:szCs w:val="22"/>
        </w:rPr>
        <w:t xml:space="preserve">contained in </w:t>
      </w:r>
      <w:r w:rsidR="00653BA2" w:rsidRPr="00646D82">
        <w:rPr>
          <w:kern w:val="22"/>
          <w:szCs w:val="22"/>
        </w:rPr>
        <w:t>the interim national report</w:t>
      </w:r>
      <w:r w:rsidR="00B263F8" w:rsidRPr="00646D82">
        <w:rPr>
          <w:kern w:val="22"/>
          <w:szCs w:val="22"/>
        </w:rPr>
        <w:t>s</w:t>
      </w:r>
      <w:r w:rsidR="00052480" w:rsidRPr="00646D82">
        <w:rPr>
          <w:kern w:val="22"/>
          <w:szCs w:val="22"/>
        </w:rPr>
        <w:t xml:space="preserve"> and the </w:t>
      </w:r>
      <w:r w:rsidR="00A71CFD" w:rsidRPr="00646D82">
        <w:rPr>
          <w:kern w:val="22"/>
          <w:szCs w:val="22"/>
        </w:rPr>
        <w:t xml:space="preserve">ABS </w:t>
      </w:r>
      <w:r w:rsidR="00052480" w:rsidRPr="00646D82">
        <w:rPr>
          <w:kern w:val="22"/>
          <w:szCs w:val="22"/>
        </w:rPr>
        <w:t>Clearing-House as of 22 February 2018</w:t>
      </w:r>
      <w:r w:rsidR="008B553A" w:rsidRPr="00646D82">
        <w:rPr>
          <w:kern w:val="22"/>
          <w:szCs w:val="22"/>
        </w:rPr>
        <w:t xml:space="preserve"> is made available </w:t>
      </w:r>
      <w:r w:rsidR="008B553A" w:rsidRPr="00646D82">
        <w:rPr>
          <w:szCs w:val="22"/>
        </w:rPr>
        <w:t>(CBD/</w:t>
      </w:r>
      <w:r w:rsidR="008B553A" w:rsidRPr="00646D82">
        <w:rPr>
          <w:kern w:val="22"/>
          <w:szCs w:val="22"/>
        </w:rPr>
        <w:t>SBI/2/INF/3).</w:t>
      </w:r>
      <w:r w:rsidR="00052480" w:rsidRPr="00646D82">
        <w:rPr>
          <w:rStyle w:val="FootnoteReference"/>
          <w:kern w:val="22"/>
          <w:sz w:val="22"/>
          <w:szCs w:val="22"/>
        </w:rPr>
        <w:footnoteReference w:id="5"/>
      </w:r>
      <w:r w:rsidR="00653BA2" w:rsidRPr="00646D82">
        <w:rPr>
          <w:kern w:val="22"/>
          <w:szCs w:val="22"/>
        </w:rPr>
        <w:t xml:space="preserve"> The</w:t>
      </w:r>
      <w:r w:rsidR="00052480" w:rsidRPr="00646D82">
        <w:rPr>
          <w:kern w:val="22"/>
          <w:szCs w:val="22"/>
        </w:rPr>
        <w:t xml:space="preserve"> </w:t>
      </w:r>
      <w:r w:rsidR="00653BA2" w:rsidRPr="00646D82">
        <w:rPr>
          <w:kern w:val="22"/>
          <w:szCs w:val="22"/>
        </w:rPr>
        <w:t>analysis provides: (a) quantitative information with a view to establish</w:t>
      </w:r>
      <w:r w:rsidR="008B553A" w:rsidRPr="00646D82">
        <w:rPr>
          <w:kern w:val="22"/>
          <w:szCs w:val="22"/>
        </w:rPr>
        <w:t>ing</w:t>
      </w:r>
      <w:r w:rsidR="00653BA2" w:rsidRPr="00646D82">
        <w:rPr>
          <w:kern w:val="22"/>
          <w:szCs w:val="22"/>
        </w:rPr>
        <w:t xml:space="preserve"> reference points for each of the questions</w:t>
      </w:r>
      <w:r w:rsidR="00A71CFD" w:rsidRPr="00646D82">
        <w:rPr>
          <w:kern w:val="22"/>
          <w:szCs w:val="22"/>
        </w:rPr>
        <w:t xml:space="preserve"> of the interim national report;</w:t>
      </w:r>
      <w:r w:rsidR="00653BA2" w:rsidRPr="00646D82">
        <w:rPr>
          <w:kern w:val="22"/>
          <w:szCs w:val="22"/>
        </w:rPr>
        <w:t xml:space="preserve"> and (b) a qualitative analysis</w:t>
      </w:r>
      <w:r w:rsidR="00E4285F" w:rsidRPr="00646D82">
        <w:rPr>
          <w:kern w:val="22"/>
          <w:szCs w:val="22"/>
        </w:rPr>
        <w:t xml:space="preserve"> based on the information provided in the text entries</w:t>
      </w:r>
      <w:r w:rsidR="00FA136F" w:rsidRPr="00646D82">
        <w:rPr>
          <w:kern w:val="22"/>
          <w:szCs w:val="22"/>
        </w:rPr>
        <w:t xml:space="preserve">. </w:t>
      </w:r>
      <w:r w:rsidR="00E4285F" w:rsidRPr="00646D82">
        <w:rPr>
          <w:kern w:val="22"/>
          <w:szCs w:val="22"/>
        </w:rPr>
        <w:t xml:space="preserve">With regard to the quantitative analysis, the document provides disaggregated data of the “yes”/“no” responses provided by Parties and by non-Parties. </w:t>
      </w:r>
      <w:r w:rsidR="00763245" w:rsidRPr="00646D82">
        <w:rPr>
          <w:kern w:val="22"/>
          <w:szCs w:val="22"/>
        </w:rPr>
        <w:t>D</w:t>
      </w:r>
      <w:r w:rsidR="00E4285F" w:rsidRPr="00646D82">
        <w:rPr>
          <w:kern w:val="22"/>
          <w:szCs w:val="22"/>
        </w:rPr>
        <w:t>ocument</w:t>
      </w:r>
      <w:r w:rsidR="00E4285F" w:rsidRPr="00646D82">
        <w:rPr>
          <w:szCs w:val="22"/>
        </w:rPr>
        <w:t xml:space="preserve"> </w:t>
      </w:r>
      <w:r w:rsidR="008B553A" w:rsidRPr="00646D82">
        <w:rPr>
          <w:szCs w:val="22"/>
        </w:rPr>
        <w:t>CBD/</w:t>
      </w:r>
      <w:r w:rsidR="00E4285F" w:rsidRPr="00646D82">
        <w:rPr>
          <w:kern w:val="22"/>
          <w:szCs w:val="22"/>
        </w:rPr>
        <w:t xml:space="preserve">SBI/2/INF/4 provides additional </w:t>
      </w:r>
      <w:r w:rsidR="00763245" w:rsidRPr="00646D82">
        <w:rPr>
          <w:kern w:val="22"/>
          <w:szCs w:val="22"/>
        </w:rPr>
        <w:t xml:space="preserve">statistical details </w:t>
      </w:r>
      <w:r w:rsidR="00763245" w:rsidRPr="00646D82">
        <w:rPr>
          <w:szCs w:val="22"/>
        </w:rPr>
        <w:t>by</w:t>
      </w:r>
      <w:r w:rsidR="00E4285F" w:rsidRPr="00646D82">
        <w:rPr>
          <w:kern w:val="22"/>
          <w:szCs w:val="22"/>
        </w:rPr>
        <w:t xml:space="preserve"> </w:t>
      </w:r>
      <w:r w:rsidR="00763245" w:rsidRPr="00646D82">
        <w:rPr>
          <w:kern w:val="22"/>
          <w:szCs w:val="22"/>
        </w:rPr>
        <w:t>disaggregating information</w:t>
      </w:r>
      <w:r w:rsidR="00E4285F" w:rsidRPr="00646D82">
        <w:rPr>
          <w:kern w:val="22"/>
          <w:szCs w:val="22"/>
        </w:rPr>
        <w:t xml:space="preserve"> by CBD regional groups on the yes/no responses provided by Parties and non-Parties to the questions contained in the interim national report. </w:t>
      </w:r>
    </w:p>
    <w:p w14:paraId="46F6851A" w14:textId="77777777" w:rsidR="00052480" w:rsidRPr="00646D82" w:rsidRDefault="00653BA2" w:rsidP="00966F98">
      <w:pPr>
        <w:pStyle w:val="Para1"/>
        <w:numPr>
          <w:ilvl w:val="0"/>
          <w:numId w:val="12"/>
        </w:numPr>
        <w:suppressLineNumbers/>
        <w:suppressAutoHyphens/>
        <w:rPr>
          <w:kern w:val="22"/>
          <w:szCs w:val="22"/>
        </w:rPr>
      </w:pPr>
      <w:r w:rsidRPr="00646D82">
        <w:rPr>
          <w:kern w:val="22"/>
          <w:szCs w:val="22"/>
        </w:rPr>
        <w:t xml:space="preserve">The qualitative analysis provides an indication of different types of information provided in response to a question. </w:t>
      </w:r>
      <w:r w:rsidR="00052480" w:rsidRPr="00646D82">
        <w:rPr>
          <w:kern w:val="22"/>
          <w:szCs w:val="22"/>
        </w:rPr>
        <w:t xml:space="preserve">The analysis aims to identify the progress in, and constraints to, the </w:t>
      </w:r>
      <w:r w:rsidR="00052480" w:rsidRPr="00646D82">
        <w:rPr>
          <w:kern w:val="22"/>
          <w:szCs w:val="22"/>
        </w:rPr>
        <w:lastRenderedPageBreak/>
        <w:t>implementation of the Protocol at the national level. Given the wealth of information provided, the note also provides examples of approaches taken and activities carried out by countries to implement different aspects of the Protocol.</w:t>
      </w:r>
      <w:r w:rsidR="00E4285F" w:rsidRPr="00646D82">
        <w:rPr>
          <w:kern w:val="22"/>
          <w:szCs w:val="22"/>
        </w:rPr>
        <w:t xml:space="preserve"> </w:t>
      </w:r>
    </w:p>
    <w:p w14:paraId="7A5D2077" w14:textId="6516DEF0" w:rsidR="00C41BE3" w:rsidRPr="00646D82" w:rsidRDefault="00196C69" w:rsidP="00966F98">
      <w:pPr>
        <w:pStyle w:val="Para1"/>
        <w:numPr>
          <w:ilvl w:val="0"/>
          <w:numId w:val="12"/>
        </w:numPr>
        <w:suppressLineNumbers/>
        <w:suppressAutoHyphens/>
        <w:rPr>
          <w:kern w:val="22"/>
          <w:szCs w:val="22"/>
        </w:rPr>
      </w:pPr>
      <w:r w:rsidRPr="00646D82">
        <w:rPr>
          <w:kern w:val="22"/>
          <w:szCs w:val="22"/>
        </w:rPr>
        <w:t>With a view to provid</w:t>
      </w:r>
      <w:r w:rsidR="008B553A" w:rsidRPr="00646D82">
        <w:rPr>
          <w:kern w:val="22"/>
          <w:szCs w:val="22"/>
        </w:rPr>
        <w:t>ing</w:t>
      </w:r>
      <w:r w:rsidRPr="00646D82">
        <w:rPr>
          <w:kern w:val="22"/>
          <w:szCs w:val="22"/>
        </w:rPr>
        <w:t xml:space="preserve"> input to element (a), the Compliance Committee, in accordance with decision NP-2/4, paragraph 5, </w:t>
      </w:r>
      <w:r w:rsidR="00C41BE3" w:rsidRPr="00646D82">
        <w:rPr>
          <w:kern w:val="22"/>
          <w:szCs w:val="22"/>
        </w:rPr>
        <w:t>examine</w:t>
      </w:r>
      <w:r w:rsidRPr="00646D82">
        <w:rPr>
          <w:kern w:val="22"/>
          <w:szCs w:val="22"/>
        </w:rPr>
        <w:t>d</w:t>
      </w:r>
      <w:r w:rsidR="00C41BE3" w:rsidRPr="00646D82">
        <w:rPr>
          <w:kern w:val="22"/>
          <w:szCs w:val="22"/>
        </w:rPr>
        <w:t xml:space="preserve"> general issues of compliance</w:t>
      </w:r>
      <w:r w:rsidRPr="00646D82">
        <w:rPr>
          <w:kern w:val="22"/>
          <w:szCs w:val="22"/>
        </w:rPr>
        <w:t xml:space="preserve"> in relation to </w:t>
      </w:r>
      <w:r w:rsidR="00C41BE3" w:rsidRPr="00646D82">
        <w:rPr>
          <w:kern w:val="22"/>
          <w:szCs w:val="22"/>
        </w:rPr>
        <w:t>progress in the establishment of ABS measures and institutional structures, and the publication of information in the ABS Clearing-House, on the basis of the analysis prepared by the Executive Secretary</w:t>
      </w:r>
      <w:r w:rsidR="007A38C9" w:rsidRPr="00646D82">
        <w:rPr>
          <w:kern w:val="22"/>
          <w:szCs w:val="22"/>
        </w:rPr>
        <w:t>.</w:t>
      </w:r>
      <w:r w:rsidR="00C41BE3" w:rsidRPr="00646D82">
        <w:rPr>
          <w:rStyle w:val="FootnoteReference"/>
          <w:rFonts w:eastAsia="Calibri"/>
          <w:sz w:val="22"/>
          <w:szCs w:val="22"/>
        </w:rPr>
        <w:footnoteReference w:id="6"/>
      </w:r>
      <w:r w:rsidR="00C41BE3" w:rsidRPr="00646D82">
        <w:rPr>
          <w:kern w:val="22"/>
          <w:szCs w:val="22"/>
        </w:rPr>
        <w:t xml:space="preserve">  The Committee provided inputs to the first assessment and review of the Protocol in the form of information and findings on general issues of compliance and recommendations to assist in addressing challenges to the implementation of the Protocol.</w:t>
      </w:r>
      <w:r w:rsidR="00C41BE3" w:rsidRPr="00646D82">
        <w:rPr>
          <w:rStyle w:val="FootnoteReference"/>
          <w:rFonts w:eastAsia="Calibri"/>
          <w:sz w:val="22"/>
          <w:szCs w:val="22"/>
        </w:rPr>
        <w:footnoteReference w:id="7"/>
      </w:r>
      <w:r w:rsidR="00C41BE3" w:rsidRPr="00646D82">
        <w:rPr>
          <w:rStyle w:val="FootnoteReference"/>
          <w:rFonts w:eastAsia="Calibri"/>
          <w:sz w:val="22"/>
          <w:szCs w:val="22"/>
        </w:rPr>
        <w:t xml:space="preserve"> </w:t>
      </w:r>
      <w:r w:rsidR="00C41BE3" w:rsidRPr="00646D82">
        <w:rPr>
          <w:rFonts w:eastAsia="Calibri"/>
          <w:szCs w:val="22"/>
        </w:rPr>
        <w:t xml:space="preserve"> These are reproduced in the present document for consideration by </w:t>
      </w:r>
      <w:r w:rsidR="008B553A" w:rsidRPr="00646D82">
        <w:rPr>
          <w:rFonts w:eastAsia="Calibri"/>
          <w:szCs w:val="22"/>
        </w:rPr>
        <w:t xml:space="preserve">the </w:t>
      </w:r>
      <w:r w:rsidR="00C41BE3" w:rsidRPr="00646D82">
        <w:rPr>
          <w:rFonts w:eastAsia="Calibri"/>
          <w:szCs w:val="22"/>
        </w:rPr>
        <w:t>Subsidiary Body on Implementation.</w:t>
      </w:r>
    </w:p>
    <w:p w14:paraId="61B37641" w14:textId="397388EF" w:rsidR="00763245" w:rsidRPr="00646D82" w:rsidRDefault="00C41BE3" w:rsidP="00966F98">
      <w:pPr>
        <w:pStyle w:val="Para1"/>
        <w:numPr>
          <w:ilvl w:val="0"/>
          <w:numId w:val="12"/>
        </w:numPr>
        <w:suppressLineNumbers/>
        <w:suppressAutoHyphens/>
        <w:rPr>
          <w:kern w:val="22"/>
          <w:szCs w:val="22"/>
        </w:rPr>
      </w:pPr>
      <w:r w:rsidRPr="00646D82">
        <w:rPr>
          <w:kern w:val="22"/>
          <w:szCs w:val="22"/>
        </w:rPr>
        <w:t>To address element (f)</w:t>
      </w:r>
      <w:r w:rsidR="00EA16E0" w:rsidRPr="00646D82">
        <w:rPr>
          <w:kern w:val="22"/>
          <w:szCs w:val="22"/>
        </w:rPr>
        <w:t>,</w:t>
      </w:r>
      <w:r w:rsidRPr="00646D82">
        <w:rPr>
          <w:kern w:val="22"/>
          <w:szCs w:val="22"/>
        </w:rPr>
        <w:t xml:space="preserve"> d</w:t>
      </w:r>
      <w:r w:rsidR="00763245" w:rsidRPr="00646D82">
        <w:rPr>
          <w:kern w:val="22"/>
          <w:szCs w:val="22"/>
        </w:rPr>
        <w:t>ocument</w:t>
      </w:r>
      <w:r w:rsidR="00A71CFD" w:rsidRPr="00646D82">
        <w:rPr>
          <w:szCs w:val="22"/>
        </w:rPr>
        <w:t xml:space="preserve"> </w:t>
      </w:r>
      <w:r w:rsidR="008B553A" w:rsidRPr="00646D82">
        <w:rPr>
          <w:szCs w:val="22"/>
        </w:rPr>
        <w:t>CBD/</w:t>
      </w:r>
      <w:r w:rsidR="00A71CFD" w:rsidRPr="00646D82">
        <w:rPr>
          <w:kern w:val="22"/>
          <w:szCs w:val="22"/>
        </w:rPr>
        <w:t xml:space="preserve">SBI/2/INF/8 </w:t>
      </w:r>
      <w:r w:rsidR="00763245" w:rsidRPr="00646D82">
        <w:rPr>
          <w:kern w:val="22"/>
          <w:szCs w:val="22"/>
        </w:rPr>
        <w:t xml:space="preserve">takes stock of the use of model contractual clauses, codes of conduct, guidelines, best practices and standards as well as indigenous peoples and local communities’ customary laws, community protocols and procedures taking into account information provided in the interim national report, the ABS Clearing-House and information submitted in response to notification referred to in paragraph </w:t>
      </w:r>
      <w:r w:rsidR="008B553A" w:rsidRPr="00646D82">
        <w:rPr>
          <w:kern w:val="22"/>
          <w:szCs w:val="22"/>
        </w:rPr>
        <w:t xml:space="preserve">10 </w:t>
      </w:r>
      <w:r w:rsidR="00763245" w:rsidRPr="00646D82">
        <w:rPr>
          <w:kern w:val="22"/>
          <w:szCs w:val="22"/>
        </w:rPr>
        <w:t>above.</w:t>
      </w:r>
      <w:r w:rsidR="00763245" w:rsidRPr="00646D82">
        <w:rPr>
          <w:rStyle w:val="FootnoteReference"/>
          <w:kern w:val="22"/>
          <w:sz w:val="22"/>
          <w:szCs w:val="22"/>
        </w:rPr>
        <w:footnoteReference w:id="8"/>
      </w:r>
    </w:p>
    <w:p w14:paraId="3CCC93B9" w14:textId="2D6FE733" w:rsidR="0097115F" w:rsidRPr="00646D82" w:rsidRDefault="00C41BE3" w:rsidP="00966F98">
      <w:pPr>
        <w:pStyle w:val="Para1"/>
        <w:numPr>
          <w:ilvl w:val="0"/>
          <w:numId w:val="12"/>
        </w:numPr>
        <w:suppressLineNumbers/>
        <w:suppressAutoHyphens/>
        <w:rPr>
          <w:kern w:val="22"/>
          <w:szCs w:val="22"/>
        </w:rPr>
      </w:pPr>
      <w:r w:rsidRPr="00646D82">
        <w:rPr>
          <w:kern w:val="22"/>
          <w:szCs w:val="22"/>
        </w:rPr>
        <w:t>To address element (g), d</w:t>
      </w:r>
      <w:r w:rsidR="00763245" w:rsidRPr="00646D82">
        <w:rPr>
          <w:kern w:val="22"/>
          <w:szCs w:val="22"/>
        </w:rPr>
        <w:t xml:space="preserve">ocument </w:t>
      </w:r>
      <w:r w:rsidR="00EA16E0" w:rsidRPr="00646D82">
        <w:rPr>
          <w:kern w:val="22"/>
          <w:szCs w:val="22"/>
        </w:rPr>
        <w:t>CBD/</w:t>
      </w:r>
      <w:r w:rsidR="00A71CFD" w:rsidRPr="00646D82">
        <w:rPr>
          <w:kern w:val="22"/>
          <w:szCs w:val="22"/>
        </w:rPr>
        <w:t xml:space="preserve">SBI/2/INF/7 </w:t>
      </w:r>
      <w:r w:rsidR="00763245" w:rsidRPr="00646D82">
        <w:rPr>
          <w:kern w:val="22"/>
          <w:szCs w:val="22"/>
        </w:rPr>
        <w:t>reviews the implementation and operation of the Access and Benefit-sharing Clearing-House on the basis of: (a) Information from interim national report</w:t>
      </w:r>
      <w:r w:rsidR="004E642A" w:rsidRPr="00646D82">
        <w:rPr>
          <w:kern w:val="22"/>
          <w:szCs w:val="22"/>
        </w:rPr>
        <w:t>s</w:t>
      </w:r>
      <w:r w:rsidR="00763245" w:rsidRPr="00646D82">
        <w:rPr>
          <w:kern w:val="22"/>
          <w:szCs w:val="22"/>
        </w:rPr>
        <w:t xml:space="preserve">; (b) the ABS Clearing-House; (c) </w:t>
      </w:r>
      <w:r w:rsidR="00A71CFD" w:rsidRPr="00646D82">
        <w:rPr>
          <w:kern w:val="22"/>
          <w:szCs w:val="22"/>
        </w:rPr>
        <w:t>g</w:t>
      </w:r>
      <w:r w:rsidR="00763245" w:rsidRPr="00646D82">
        <w:rPr>
          <w:kern w:val="22"/>
          <w:szCs w:val="22"/>
        </w:rPr>
        <w:t xml:space="preserve">oogle analytics from the ABS Clearing-House website; (d) </w:t>
      </w:r>
      <w:r w:rsidR="00A71CFD" w:rsidRPr="00646D82">
        <w:rPr>
          <w:kern w:val="22"/>
          <w:szCs w:val="22"/>
        </w:rPr>
        <w:t>r</w:t>
      </w:r>
      <w:r w:rsidR="00763245" w:rsidRPr="00646D82">
        <w:rPr>
          <w:kern w:val="22"/>
          <w:szCs w:val="22"/>
        </w:rPr>
        <w:t xml:space="preserve">eports of the meeting of the informal advisory committee (IAC) to the ABS Clearing-House; (e) </w:t>
      </w:r>
      <w:r w:rsidR="00A71CFD" w:rsidRPr="00646D82">
        <w:rPr>
          <w:kern w:val="22"/>
          <w:szCs w:val="22"/>
        </w:rPr>
        <w:t>a</w:t>
      </w:r>
      <w:r w:rsidR="00763245" w:rsidRPr="00646D82">
        <w:rPr>
          <w:kern w:val="22"/>
          <w:szCs w:val="22"/>
        </w:rPr>
        <w:t xml:space="preserve"> survey targeting ABS national focal points and other users of the</w:t>
      </w:r>
      <w:r w:rsidR="00A71CFD" w:rsidRPr="00646D82">
        <w:rPr>
          <w:kern w:val="22"/>
          <w:szCs w:val="22"/>
        </w:rPr>
        <w:t xml:space="preserve"> ABS Clearing-House; (f) i</w:t>
      </w:r>
      <w:r w:rsidR="00763245" w:rsidRPr="00646D82">
        <w:rPr>
          <w:kern w:val="22"/>
          <w:szCs w:val="22"/>
        </w:rPr>
        <w:t>nformation recorded from th</w:t>
      </w:r>
      <w:r w:rsidR="00A71CFD" w:rsidRPr="00646D82">
        <w:rPr>
          <w:kern w:val="22"/>
          <w:szCs w:val="22"/>
        </w:rPr>
        <w:t>e live chat help desk; and (g) c</w:t>
      </w:r>
      <w:r w:rsidR="00763245" w:rsidRPr="00646D82">
        <w:rPr>
          <w:kern w:val="22"/>
          <w:szCs w:val="22"/>
        </w:rPr>
        <w:t xml:space="preserve">apacity-building </w:t>
      </w:r>
      <w:r w:rsidR="00A71CFD" w:rsidRPr="00646D82">
        <w:rPr>
          <w:kern w:val="22"/>
          <w:szCs w:val="22"/>
        </w:rPr>
        <w:t xml:space="preserve">activities </w:t>
      </w:r>
      <w:r w:rsidR="00763245" w:rsidRPr="00646D82">
        <w:rPr>
          <w:kern w:val="22"/>
          <w:szCs w:val="22"/>
        </w:rPr>
        <w:t>for the ABS Clearing-House.</w:t>
      </w:r>
    </w:p>
    <w:p w14:paraId="0F4C0091" w14:textId="39055D9A" w:rsidR="000B7A29" w:rsidRPr="00646D82" w:rsidRDefault="000B7A29" w:rsidP="00966F98">
      <w:pPr>
        <w:pStyle w:val="Para1"/>
        <w:numPr>
          <w:ilvl w:val="0"/>
          <w:numId w:val="12"/>
        </w:numPr>
        <w:suppressLineNumbers/>
        <w:suppressAutoHyphens/>
        <w:rPr>
          <w:kern w:val="22"/>
          <w:szCs w:val="22"/>
        </w:rPr>
      </w:pPr>
      <w:r w:rsidRPr="00646D82">
        <w:rPr>
          <w:kern w:val="22"/>
          <w:szCs w:val="22"/>
        </w:rPr>
        <w:t>In addition, the following sources of information have been considered:</w:t>
      </w:r>
    </w:p>
    <w:p w14:paraId="71BE84C7" w14:textId="6BD1BCD8" w:rsidR="000B7A29" w:rsidRPr="00646D82" w:rsidRDefault="00196C69" w:rsidP="00966F98">
      <w:pPr>
        <w:pStyle w:val="Para1"/>
        <w:numPr>
          <w:ilvl w:val="1"/>
          <w:numId w:val="12"/>
        </w:numPr>
        <w:pBdr>
          <w:top w:val="nil"/>
          <w:left w:val="nil"/>
          <w:bottom w:val="nil"/>
          <w:right w:val="nil"/>
          <w:between w:val="nil"/>
          <w:bar w:val="nil"/>
        </w:pBdr>
        <w:spacing w:line="228" w:lineRule="auto"/>
        <w:ind w:left="0" w:firstLine="709"/>
        <w:rPr>
          <w:rFonts w:eastAsia="Calibri"/>
          <w:kern w:val="22"/>
          <w:szCs w:val="22"/>
          <w:u w:color="000000"/>
        </w:rPr>
      </w:pPr>
      <w:r w:rsidRPr="00646D82">
        <w:rPr>
          <w:rFonts w:eastAsia="Calibri"/>
          <w:kern w:val="22"/>
          <w:szCs w:val="22"/>
          <w:u w:color="000000"/>
        </w:rPr>
        <w:t>For element (c)</w:t>
      </w:r>
      <w:r w:rsidR="00734B00" w:rsidRPr="00646D82">
        <w:rPr>
          <w:rFonts w:eastAsia="Calibri"/>
          <w:kern w:val="22"/>
          <w:szCs w:val="22"/>
          <w:u w:color="000000"/>
        </w:rPr>
        <w:t>,</w:t>
      </w:r>
      <w:r w:rsidRPr="00646D82">
        <w:rPr>
          <w:rFonts w:eastAsia="Calibri"/>
          <w:kern w:val="22"/>
          <w:szCs w:val="22"/>
          <w:u w:color="000000"/>
        </w:rPr>
        <w:t xml:space="preserve"> d</w:t>
      </w:r>
      <w:r w:rsidR="000B7A29" w:rsidRPr="00646D82">
        <w:rPr>
          <w:rFonts w:eastAsia="Calibri"/>
          <w:kern w:val="22"/>
          <w:szCs w:val="22"/>
          <w:u w:color="000000"/>
        </w:rPr>
        <w:t xml:space="preserve">ocument CBD/ABS/CB-IAC/2018/1/2 on </w:t>
      </w:r>
      <w:r w:rsidR="00AC12D2" w:rsidRPr="00646D82">
        <w:rPr>
          <w:rFonts w:eastAsia="Calibri"/>
          <w:kern w:val="22"/>
          <w:szCs w:val="22"/>
          <w:u w:color="000000"/>
        </w:rPr>
        <w:t>“U</w:t>
      </w:r>
      <w:r w:rsidR="00B263F8" w:rsidRPr="00646D82">
        <w:rPr>
          <w:rFonts w:eastAsia="Calibri"/>
          <w:kern w:val="22"/>
          <w:szCs w:val="22"/>
          <w:u w:color="000000"/>
        </w:rPr>
        <w:t>pdate of</w:t>
      </w:r>
      <w:r w:rsidR="000B7A29" w:rsidRPr="00646D82">
        <w:rPr>
          <w:rFonts w:eastAsia="Calibri"/>
          <w:kern w:val="22"/>
          <w:szCs w:val="22"/>
          <w:u w:color="000000"/>
        </w:rPr>
        <w:t xml:space="preserve"> existing capacity-building and development initiatives and resources supporting the implementation of the Nagoya Protocol on ABS and lessons learned</w:t>
      </w:r>
      <w:r w:rsidR="00AC12D2" w:rsidRPr="00646D82">
        <w:rPr>
          <w:rFonts w:eastAsia="Calibri"/>
          <w:kern w:val="22"/>
          <w:szCs w:val="22"/>
          <w:u w:color="000000"/>
        </w:rPr>
        <w:t>”</w:t>
      </w:r>
      <w:r w:rsidR="000B7A29" w:rsidRPr="00646D82">
        <w:rPr>
          <w:rFonts w:eastAsia="Calibri"/>
          <w:kern w:val="22"/>
          <w:szCs w:val="22"/>
          <w:u w:color="000000"/>
        </w:rPr>
        <w:t xml:space="preserve"> prepared for the third meeting of the Informal Advisory Committee on Capacity- Building for Implementation of the Nagoya Protocol held on Montreal, Canada, from 20</w:t>
      </w:r>
      <w:r w:rsidR="00734B00" w:rsidRPr="00646D82">
        <w:rPr>
          <w:rFonts w:eastAsia="Calibri"/>
          <w:kern w:val="22"/>
          <w:szCs w:val="22"/>
          <w:u w:color="000000"/>
        </w:rPr>
        <w:t xml:space="preserve"> to </w:t>
      </w:r>
      <w:r w:rsidR="000B7A29" w:rsidRPr="00646D82">
        <w:rPr>
          <w:rFonts w:eastAsia="Calibri"/>
          <w:kern w:val="22"/>
          <w:szCs w:val="22"/>
          <w:u w:color="000000"/>
        </w:rPr>
        <w:t>22 March 2018</w:t>
      </w:r>
      <w:r w:rsidR="00AC12D2" w:rsidRPr="00646D82">
        <w:rPr>
          <w:rFonts w:eastAsia="Calibri"/>
          <w:kern w:val="22"/>
          <w:szCs w:val="22"/>
          <w:u w:color="000000"/>
        </w:rPr>
        <w:t>;</w:t>
      </w:r>
    </w:p>
    <w:p w14:paraId="34F8B8C9" w14:textId="77777777" w:rsidR="00AC3D07" w:rsidRPr="00646D82" w:rsidRDefault="00196C69" w:rsidP="00966F98">
      <w:pPr>
        <w:pStyle w:val="Para1"/>
        <w:numPr>
          <w:ilvl w:val="1"/>
          <w:numId w:val="12"/>
        </w:numPr>
        <w:pBdr>
          <w:top w:val="nil"/>
          <w:left w:val="nil"/>
          <w:bottom w:val="nil"/>
          <w:right w:val="nil"/>
          <w:between w:val="nil"/>
          <w:bar w:val="nil"/>
        </w:pBdr>
        <w:spacing w:line="228" w:lineRule="auto"/>
        <w:ind w:left="0" w:firstLine="709"/>
        <w:rPr>
          <w:rFonts w:eastAsia="Calibri"/>
          <w:kern w:val="22"/>
          <w:szCs w:val="22"/>
          <w:u w:color="000000"/>
        </w:rPr>
      </w:pPr>
      <w:r w:rsidRPr="00646D82">
        <w:rPr>
          <w:rFonts w:eastAsia="Calibri"/>
          <w:kern w:val="22"/>
          <w:szCs w:val="22"/>
          <w:u w:color="000000"/>
        </w:rPr>
        <w:t>For element (e), r</w:t>
      </w:r>
      <w:r w:rsidR="00AC12D2" w:rsidRPr="00646D82">
        <w:rPr>
          <w:rFonts w:eastAsia="Calibri"/>
          <w:kern w:val="22"/>
          <w:szCs w:val="22"/>
          <w:u w:color="000000"/>
        </w:rPr>
        <w:t>eports of</w:t>
      </w:r>
      <w:r w:rsidR="000B7A29" w:rsidRPr="00646D82">
        <w:rPr>
          <w:rFonts w:eastAsia="Calibri"/>
          <w:kern w:val="22"/>
          <w:szCs w:val="22"/>
          <w:u w:color="000000"/>
        </w:rPr>
        <w:t xml:space="preserve"> the WIPO Intergovernmental Committee on Intellectual Property and Genetic Resources, Traditional Knowledge and Folklore</w:t>
      </w:r>
      <w:r w:rsidR="00B263F8" w:rsidRPr="00646D82">
        <w:rPr>
          <w:rFonts w:eastAsia="Calibri"/>
          <w:kern w:val="22"/>
          <w:szCs w:val="22"/>
          <w:u w:color="000000"/>
        </w:rPr>
        <w:t>.</w:t>
      </w:r>
    </w:p>
    <w:p w14:paraId="518B3E62" w14:textId="77777777" w:rsidR="004D560E" w:rsidRPr="00646D82" w:rsidRDefault="005D39BB" w:rsidP="00966F98">
      <w:pPr>
        <w:keepNext/>
        <w:numPr>
          <w:ilvl w:val="0"/>
          <w:numId w:val="4"/>
        </w:numPr>
        <w:pBdr>
          <w:top w:val="nil"/>
          <w:left w:val="nil"/>
          <w:bottom w:val="nil"/>
          <w:right w:val="nil"/>
          <w:between w:val="nil"/>
          <w:bar w:val="nil"/>
        </w:pBdr>
        <w:spacing w:before="240" w:after="120"/>
        <w:ind w:left="0" w:firstLine="0"/>
        <w:jc w:val="center"/>
        <w:outlineLvl w:val="0"/>
        <w:rPr>
          <w:b/>
          <w:bCs/>
          <w:caps/>
          <w:snapToGrid w:val="0"/>
          <w:kern w:val="22"/>
          <w:szCs w:val="22"/>
          <w:u w:color="000000"/>
          <w:bdr w:val="nil"/>
        </w:rPr>
      </w:pPr>
      <w:r w:rsidRPr="00646D82">
        <w:rPr>
          <w:b/>
          <w:bCs/>
          <w:caps/>
          <w:snapToGrid w:val="0"/>
          <w:kern w:val="22"/>
          <w:szCs w:val="22"/>
          <w:u w:color="000000"/>
          <w:bdr w:val="nil"/>
        </w:rPr>
        <w:t>analysis of elements included in the first assessment and review</w:t>
      </w:r>
    </w:p>
    <w:p w14:paraId="65E509E5" w14:textId="77777777" w:rsidR="00BD70B4" w:rsidRPr="00646D82" w:rsidRDefault="00BD70B4" w:rsidP="00646D82">
      <w:pPr>
        <w:pStyle w:val="ListParagraph"/>
        <w:keepNext/>
        <w:numPr>
          <w:ilvl w:val="0"/>
          <w:numId w:val="9"/>
        </w:numPr>
        <w:pBdr>
          <w:top w:val="nil"/>
          <w:left w:val="nil"/>
          <w:bottom w:val="nil"/>
          <w:right w:val="nil"/>
          <w:between w:val="nil"/>
          <w:bar w:val="nil"/>
        </w:pBdr>
        <w:tabs>
          <w:tab w:val="left" w:pos="720"/>
        </w:tabs>
        <w:spacing w:before="120" w:after="120"/>
        <w:jc w:val="left"/>
        <w:outlineLvl w:val="1"/>
        <w:rPr>
          <w:b/>
          <w:kern w:val="22"/>
          <w:szCs w:val="22"/>
        </w:rPr>
      </w:pPr>
      <w:r w:rsidRPr="00646D82">
        <w:rPr>
          <w:b/>
          <w:kern w:val="22"/>
          <w:szCs w:val="22"/>
        </w:rPr>
        <w:t>Extent of implementation of the provisions of the Protocol and related obligations of Parties, including assessment of progress by Parties in establishing institutional structures and access and benefit-sharing measures to implement the Protocol</w:t>
      </w:r>
    </w:p>
    <w:p w14:paraId="1EB988C2" w14:textId="77777777" w:rsidR="00CC04E8" w:rsidRPr="00646D82" w:rsidRDefault="002B0D97" w:rsidP="00966F98">
      <w:pPr>
        <w:pStyle w:val="Para1"/>
        <w:numPr>
          <w:ilvl w:val="0"/>
          <w:numId w:val="12"/>
        </w:numPr>
        <w:suppressLineNumbers/>
        <w:suppressAutoHyphens/>
        <w:rPr>
          <w:kern w:val="22"/>
          <w:szCs w:val="22"/>
        </w:rPr>
      </w:pPr>
      <w:r w:rsidRPr="00646D82">
        <w:rPr>
          <w:kern w:val="22"/>
          <w:szCs w:val="22"/>
        </w:rPr>
        <w:t>Element (a) aims to assess the extent of implementation of the provisions of the Protocol and related obligations by Parties.</w:t>
      </w:r>
      <w:r w:rsidR="00CC04E8" w:rsidRPr="00646D82">
        <w:rPr>
          <w:szCs w:val="22"/>
        </w:rPr>
        <w:t xml:space="preserve"> </w:t>
      </w:r>
    </w:p>
    <w:p w14:paraId="464A0EAB" w14:textId="68468A9A" w:rsidR="006623BF" w:rsidRPr="00646D82" w:rsidRDefault="006623BF" w:rsidP="00966F98">
      <w:pPr>
        <w:pStyle w:val="Para1"/>
        <w:numPr>
          <w:ilvl w:val="0"/>
          <w:numId w:val="12"/>
        </w:numPr>
        <w:suppressLineNumbers/>
        <w:suppressAutoHyphens/>
        <w:rPr>
          <w:kern w:val="22"/>
          <w:szCs w:val="22"/>
        </w:rPr>
      </w:pPr>
      <w:r w:rsidRPr="00646D82">
        <w:rPr>
          <w:kern w:val="22"/>
          <w:szCs w:val="22"/>
        </w:rPr>
        <w:t>In order to make the Protocol operational, Parties need, as first step, to put</w:t>
      </w:r>
      <w:r w:rsidR="00ED6391" w:rsidRPr="00646D82">
        <w:rPr>
          <w:kern w:val="22"/>
          <w:szCs w:val="22"/>
        </w:rPr>
        <w:t xml:space="preserve"> in </w:t>
      </w:r>
      <w:r w:rsidR="00FB1439" w:rsidRPr="00646D82">
        <w:rPr>
          <w:kern w:val="22"/>
          <w:szCs w:val="22"/>
        </w:rPr>
        <w:t>place the</w:t>
      </w:r>
      <w:r w:rsidRPr="00646D82">
        <w:rPr>
          <w:kern w:val="22"/>
          <w:szCs w:val="22"/>
        </w:rPr>
        <w:t xml:space="preserve"> necessary access and benefit-sharing measures </w:t>
      </w:r>
      <w:r w:rsidR="00AE6BD1" w:rsidRPr="00646D82">
        <w:rPr>
          <w:kern w:val="22"/>
          <w:szCs w:val="22"/>
        </w:rPr>
        <w:t>(</w:t>
      </w:r>
      <w:r w:rsidR="00ED6391" w:rsidRPr="00646D82">
        <w:rPr>
          <w:kern w:val="22"/>
          <w:szCs w:val="22"/>
        </w:rPr>
        <w:t>for</w:t>
      </w:r>
      <w:r w:rsidRPr="00646D82">
        <w:rPr>
          <w:kern w:val="22"/>
          <w:szCs w:val="22"/>
        </w:rPr>
        <w:t xml:space="preserve"> access, benefit-sharing and compliance</w:t>
      </w:r>
      <w:r w:rsidR="00AE6BD1" w:rsidRPr="00646D82">
        <w:rPr>
          <w:kern w:val="22"/>
          <w:szCs w:val="22"/>
        </w:rPr>
        <w:t>)</w:t>
      </w:r>
      <w:r w:rsidRPr="00646D82">
        <w:rPr>
          <w:kern w:val="22"/>
          <w:szCs w:val="22"/>
        </w:rPr>
        <w:t>, and to establish institutional arrangements to implement them (i.e. a national focal point, one or more competent national authorities and one or more checkpoints). The publication of mandatory information in the ABS Clearing</w:t>
      </w:r>
      <w:r w:rsidR="00734B00" w:rsidRPr="00646D82">
        <w:rPr>
          <w:kern w:val="22"/>
          <w:szCs w:val="22"/>
        </w:rPr>
        <w:noBreakHyphen/>
      </w:r>
      <w:r w:rsidRPr="00646D82">
        <w:rPr>
          <w:kern w:val="22"/>
          <w:szCs w:val="22"/>
        </w:rPr>
        <w:t>House (including information on the permits or their equivalent issued at the time of access) is also essential for the implementation of the Protocol.</w:t>
      </w:r>
    </w:p>
    <w:p w14:paraId="22219D00" w14:textId="77777777" w:rsidR="009C32DD" w:rsidRPr="00646D82" w:rsidRDefault="006623BF" w:rsidP="00966F98">
      <w:pPr>
        <w:pStyle w:val="Para1"/>
        <w:numPr>
          <w:ilvl w:val="0"/>
          <w:numId w:val="12"/>
        </w:numPr>
        <w:suppressLineNumbers/>
        <w:suppressAutoHyphens/>
        <w:rPr>
          <w:kern w:val="22"/>
          <w:szCs w:val="22"/>
        </w:rPr>
      </w:pPr>
      <w:r w:rsidRPr="00646D82">
        <w:rPr>
          <w:kern w:val="22"/>
          <w:szCs w:val="22"/>
        </w:rPr>
        <w:t xml:space="preserve">Promoting compliance with these core elements is key for the operationalization of the Protocol, and, therefore, </w:t>
      </w:r>
      <w:r w:rsidR="00704F10" w:rsidRPr="00646D82">
        <w:rPr>
          <w:kern w:val="22"/>
          <w:szCs w:val="22"/>
        </w:rPr>
        <w:t xml:space="preserve">as requested in decision NP-2/4, paragraph 5, </w:t>
      </w:r>
      <w:r w:rsidRPr="00646D82">
        <w:rPr>
          <w:kern w:val="22"/>
          <w:szCs w:val="22"/>
        </w:rPr>
        <w:t xml:space="preserve">these elements were examined by the </w:t>
      </w:r>
      <w:r w:rsidR="00147965" w:rsidRPr="00646D82">
        <w:rPr>
          <w:kern w:val="22"/>
          <w:szCs w:val="22"/>
        </w:rPr>
        <w:t xml:space="preserve">Compliance </w:t>
      </w:r>
      <w:r w:rsidRPr="00646D82">
        <w:rPr>
          <w:kern w:val="22"/>
          <w:szCs w:val="22"/>
        </w:rPr>
        <w:t xml:space="preserve">Committee as possible general issues of compliance. As part of the progress in establishing ABS measures, the Committee looked at issues related to access, benefit-sharing, compliance (Articles 15, 16, 17 and 18 of the Protocol), special considerations, and provisions related to indigenous peoples and local communities. </w:t>
      </w:r>
      <w:r w:rsidR="00EC3661" w:rsidRPr="00646D82">
        <w:rPr>
          <w:kern w:val="22"/>
          <w:szCs w:val="22"/>
        </w:rPr>
        <w:t xml:space="preserve"> </w:t>
      </w:r>
      <w:r w:rsidR="0026216B" w:rsidRPr="00646D82">
        <w:rPr>
          <w:kern w:val="22"/>
          <w:szCs w:val="22"/>
        </w:rPr>
        <w:t xml:space="preserve">The Committee examined progress in these areas, considered challenges and difficulties identified and agreed on findings and recommendations on general issues of compliance as an input to the assessment and review of the effectiveness of the Protocol. </w:t>
      </w:r>
    </w:p>
    <w:p w14:paraId="13DD2C00" w14:textId="75401194" w:rsidR="00147965" w:rsidRPr="00646D82" w:rsidRDefault="00A21E87">
      <w:pPr>
        <w:pStyle w:val="Para1"/>
        <w:numPr>
          <w:ilvl w:val="0"/>
          <w:numId w:val="12"/>
        </w:numPr>
        <w:suppressLineNumbers/>
        <w:suppressAutoHyphens/>
        <w:rPr>
          <w:kern w:val="22"/>
          <w:szCs w:val="22"/>
        </w:rPr>
      </w:pPr>
      <w:r w:rsidRPr="00646D82">
        <w:rPr>
          <w:kern w:val="22"/>
          <w:szCs w:val="22"/>
        </w:rPr>
        <w:t>Given</w:t>
      </w:r>
      <w:r w:rsidR="00147965" w:rsidRPr="00646D82">
        <w:rPr>
          <w:kern w:val="22"/>
          <w:szCs w:val="22"/>
        </w:rPr>
        <w:t xml:space="preserve"> </w:t>
      </w:r>
      <w:r w:rsidR="00844B81" w:rsidRPr="00646D82">
        <w:rPr>
          <w:kern w:val="22"/>
          <w:szCs w:val="22"/>
        </w:rPr>
        <w:t xml:space="preserve">the extensive amount of information </w:t>
      </w:r>
      <w:r w:rsidR="00147965" w:rsidRPr="00646D82">
        <w:rPr>
          <w:kern w:val="22"/>
          <w:szCs w:val="22"/>
        </w:rPr>
        <w:t xml:space="preserve">available on the extent of implementation of </w:t>
      </w:r>
      <w:r w:rsidR="00EC3661" w:rsidRPr="00646D82">
        <w:rPr>
          <w:kern w:val="22"/>
          <w:szCs w:val="22"/>
        </w:rPr>
        <w:t xml:space="preserve">all </w:t>
      </w:r>
      <w:r w:rsidR="00844B81" w:rsidRPr="00646D82">
        <w:rPr>
          <w:kern w:val="22"/>
          <w:szCs w:val="22"/>
        </w:rPr>
        <w:t xml:space="preserve">provisions </w:t>
      </w:r>
      <w:r w:rsidR="00EC3661" w:rsidRPr="00646D82">
        <w:rPr>
          <w:kern w:val="22"/>
          <w:szCs w:val="22"/>
        </w:rPr>
        <w:t xml:space="preserve">under the Protocol, </w:t>
      </w:r>
      <w:r w:rsidR="00704F10" w:rsidRPr="00646D82">
        <w:rPr>
          <w:kern w:val="22"/>
          <w:szCs w:val="22"/>
        </w:rPr>
        <w:t xml:space="preserve">subsection 1 provides a summary of </w:t>
      </w:r>
      <w:r w:rsidR="00EC3661" w:rsidRPr="00646D82">
        <w:rPr>
          <w:kern w:val="22"/>
          <w:szCs w:val="22"/>
        </w:rPr>
        <w:t xml:space="preserve">information </w:t>
      </w:r>
      <w:r w:rsidR="00147965" w:rsidRPr="00646D82">
        <w:rPr>
          <w:kern w:val="22"/>
          <w:szCs w:val="22"/>
        </w:rPr>
        <w:t xml:space="preserve">on </w:t>
      </w:r>
      <w:r w:rsidR="009C32DD" w:rsidRPr="00646D82">
        <w:rPr>
          <w:kern w:val="22"/>
          <w:szCs w:val="22"/>
        </w:rPr>
        <w:t>some of the provisions of the Protocol which are key to ass</w:t>
      </w:r>
      <w:r w:rsidR="00704F10" w:rsidRPr="00646D82">
        <w:rPr>
          <w:kern w:val="22"/>
          <w:szCs w:val="22"/>
        </w:rPr>
        <w:t>ess progress i</w:t>
      </w:r>
      <w:r w:rsidR="009C32DD" w:rsidRPr="00646D82">
        <w:rPr>
          <w:kern w:val="22"/>
          <w:szCs w:val="22"/>
        </w:rPr>
        <w:t xml:space="preserve">n implementation. </w:t>
      </w:r>
      <w:r w:rsidR="00EC3661" w:rsidRPr="00646D82">
        <w:rPr>
          <w:kern w:val="22"/>
          <w:szCs w:val="22"/>
        </w:rPr>
        <w:t xml:space="preserve"> Subsection 2 includes the findings and recommendations of the Compliance Committee</w:t>
      </w:r>
      <w:r w:rsidR="00704F10" w:rsidRPr="00646D82">
        <w:rPr>
          <w:kern w:val="22"/>
          <w:szCs w:val="22"/>
        </w:rPr>
        <w:t xml:space="preserve">, and </w:t>
      </w:r>
      <w:r w:rsidR="00EC3661" w:rsidRPr="00646D82">
        <w:rPr>
          <w:kern w:val="22"/>
          <w:szCs w:val="22"/>
        </w:rPr>
        <w:t xml:space="preserve">subsection 3 below </w:t>
      </w:r>
      <w:r w:rsidRPr="00646D82">
        <w:rPr>
          <w:kern w:val="22"/>
          <w:szCs w:val="22"/>
        </w:rPr>
        <w:t xml:space="preserve">addresses </w:t>
      </w:r>
      <w:r w:rsidR="00EC3661" w:rsidRPr="00646D82">
        <w:rPr>
          <w:kern w:val="22"/>
          <w:szCs w:val="22"/>
        </w:rPr>
        <w:t>additional findings and recommendations.</w:t>
      </w:r>
      <w:r w:rsidR="00147965" w:rsidRPr="00646D82">
        <w:rPr>
          <w:kern w:val="22"/>
          <w:szCs w:val="22"/>
        </w:rPr>
        <w:t xml:space="preserve"> </w:t>
      </w:r>
    </w:p>
    <w:p w14:paraId="26EDBEC3" w14:textId="3A830506" w:rsidR="00095DA4" w:rsidRPr="00646D82" w:rsidRDefault="0026216B" w:rsidP="00646D82">
      <w:pPr>
        <w:pStyle w:val="ListParagraph"/>
        <w:keepNext/>
        <w:numPr>
          <w:ilvl w:val="0"/>
          <w:numId w:val="10"/>
        </w:numPr>
        <w:suppressLineNumbers/>
        <w:tabs>
          <w:tab w:val="left" w:pos="360"/>
        </w:tabs>
        <w:suppressAutoHyphens/>
        <w:kinsoku w:val="0"/>
        <w:overflowPunct w:val="0"/>
        <w:autoSpaceDE w:val="0"/>
        <w:autoSpaceDN w:val="0"/>
        <w:spacing w:before="120" w:after="120"/>
        <w:jc w:val="center"/>
        <w:rPr>
          <w:rFonts w:eastAsia="Calibri"/>
          <w:i/>
          <w:noProof/>
          <w:snapToGrid w:val="0"/>
          <w:color w:val="000000"/>
          <w:kern w:val="22"/>
          <w:szCs w:val="22"/>
          <w:u w:color="000000"/>
        </w:rPr>
      </w:pPr>
      <w:r w:rsidRPr="00646D82">
        <w:rPr>
          <w:rFonts w:eastAsia="Calibri"/>
          <w:i/>
          <w:noProof/>
          <w:snapToGrid w:val="0"/>
          <w:color w:val="000000"/>
          <w:kern w:val="22"/>
          <w:szCs w:val="22"/>
          <w:u w:color="000000"/>
        </w:rPr>
        <w:t xml:space="preserve">Summary of the </w:t>
      </w:r>
      <w:r w:rsidR="00A62394" w:rsidRPr="00646D82">
        <w:rPr>
          <w:rFonts w:eastAsia="Calibri"/>
          <w:i/>
          <w:noProof/>
          <w:snapToGrid w:val="0"/>
          <w:color w:val="000000"/>
          <w:kern w:val="22"/>
          <w:szCs w:val="22"/>
          <w:u w:color="000000"/>
        </w:rPr>
        <w:t xml:space="preserve">analysis </w:t>
      </w:r>
      <w:r w:rsidR="00C9512B" w:rsidRPr="00646D82">
        <w:rPr>
          <w:rFonts w:eastAsia="Calibri"/>
          <w:i/>
          <w:noProof/>
          <w:snapToGrid w:val="0"/>
          <w:color w:val="000000"/>
          <w:kern w:val="22"/>
          <w:szCs w:val="22"/>
          <w:u w:color="000000"/>
        </w:rPr>
        <w:t>and reference points</w:t>
      </w:r>
      <w:r w:rsidR="00C9512B" w:rsidRPr="002A4D34">
        <w:rPr>
          <w:rStyle w:val="FootnoteReference"/>
          <w:kern w:val="22"/>
          <w:sz w:val="22"/>
          <w:szCs w:val="22"/>
        </w:rPr>
        <w:footnoteReference w:id="9"/>
      </w:r>
    </w:p>
    <w:p w14:paraId="4279796A" w14:textId="31028BA2" w:rsidR="003E2306" w:rsidRPr="00646D82" w:rsidRDefault="003E2306" w:rsidP="00A62394">
      <w:pPr>
        <w:pStyle w:val="Para1"/>
        <w:numPr>
          <w:ilvl w:val="0"/>
          <w:numId w:val="12"/>
        </w:numPr>
        <w:suppressLineNumbers/>
        <w:suppressAutoHyphens/>
        <w:rPr>
          <w:kern w:val="22"/>
          <w:szCs w:val="22"/>
        </w:rPr>
      </w:pPr>
      <w:r w:rsidRPr="002A4D34">
        <w:rPr>
          <w:kern w:val="22"/>
          <w:szCs w:val="22"/>
        </w:rPr>
        <w:t>The following provides a summary of the outcomes of the analysis</w:t>
      </w:r>
      <w:r w:rsidRPr="00AF3C60">
        <w:rPr>
          <w:kern w:val="22"/>
          <w:szCs w:val="22"/>
        </w:rPr>
        <w:t xml:space="preserve"> of different sources of information</w:t>
      </w:r>
      <w:r w:rsidRPr="00646D82">
        <w:rPr>
          <w:kern w:val="22"/>
          <w:szCs w:val="22"/>
        </w:rPr>
        <w:t xml:space="preserve"> for the establishment of ABS measures, institutional arrangements and publication of national information on the ABS Clearing-House. The information provided could serve as reference points.</w:t>
      </w:r>
    </w:p>
    <w:tbl>
      <w:tblPr>
        <w:tblStyle w:val="TableGrid"/>
        <w:tblW w:w="0" w:type="auto"/>
        <w:tblLook w:val="04A0" w:firstRow="1" w:lastRow="0" w:firstColumn="1" w:lastColumn="0" w:noHBand="0" w:noVBand="1"/>
      </w:tblPr>
      <w:tblGrid>
        <w:gridCol w:w="2448"/>
        <w:gridCol w:w="7128"/>
      </w:tblGrid>
      <w:tr w:rsidR="00250652" w:rsidRPr="00646D82" w14:paraId="4446E259" w14:textId="77777777" w:rsidTr="00A62394">
        <w:tc>
          <w:tcPr>
            <w:tcW w:w="2448" w:type="dxa"/>
          </w:tcPr>
          <w:p w14:paraId="09BC129D" w14:textId="77777777" w:rsidR="00250652" w:rsidRPr="00646D82" w:rsidRDefault="00250652" w:rsidP="00E13667">
            <w:pPr>
              <w:pStyle w:val="Para1"/>
              <w:suppressLineNumbers/>
              <w:suppressAutoHyphens/>
              <w:rPr>
                <w:rFonts w:ascii="Times New Roman" w:hAnsi="Times New Roman" w:cs="Times New Roman"/>
                <w:b/>
                <w:kern w:val="22"/>
                <w:szCs w:val="22"/>
              </w:rPr>
            </w:pPr>
            <w:r w:rsidRPr="00646D82">
              <w:rPr>
                <w:rFonts w:ascii="Times New Roman" w:hAnsi="Times New Roman" w:cs="Times New Roman"/>
                <w:b/>
                <w:kern w:val="22"/>
                <w:szCs w:val="22"/>
              </w:rPr>
              <w:t>Articles of the Protocol</w:t>
            </w:r>
          </w:p>
        </w:tc>
        <w:tc>
          <w:tcPr>
            <w:tcW w:w="7128" w:type="dxa"/>
          </w:tcPr>
          <w:p w14:paraId="0F22C75D" w14:textId="105E26EF" w:rsidR="00250652" w:rsidRPr="00646D82" w:rsidRDefault="00B43FC0">
            <w:pPr>
              <w:pStyle w:val="Para1"/>
              <w:suppressLineNumbers/>
              <w:suppressAutoHyphens/>
              <w:rPr>
                <w:rFonts w:ascii="Times New Roman" w:hAnsi="Times New Roman" w:cs="Times New Roman"/>
                <w:b/>
                <w:kern w:val="22"/>
                <w:szCs w:val="22"/>
              </w:rPr>
            </w:pPr>
            <w:r w:rsidRPr="00646D82">
              <w:rPr>
                <w:rFonts w:ascii="Times New Roman" w:hAnsi="Times New Roman" w:cs="Times New Roman"/>
                <w:b/>
                <w:kern w:val="22"/>
                <w:szCs w:val="22"/>
              </w:rPr>
              <w:t>Current s</w:t>
            </w:r>
            <w:r w:rsidR="00ED6391" w:rsidRPr="00646D82">
              <w:rPr>
                <w:rFonts w:ascii="Times New Roman" w:hAnsi="Times New Roman" w:cs="Times New Roman"/>
                <w:b/>
                <w:kern w:val="22"/>
                <w:szCs w:val="22"/>
              </w:rPr>
              <w:t xml:space="preserve">tatus and </w:t>
            </w:r>
            <w:r w:rsidR="00D953E9" w:rsidRPr="00646D82">
              <w:rPr>
                <w:rFonts w:ascii="Times New Roman" w:hAnsi="Times New Roman" w:cs="Times New Roman"/>
                <w:b/>
                <w:kern w:val="22"/>
                <w:szCs w:val="22"/>
              </w:rPr>
              <w:t>r</w:t>
            </w:r>
            <w:r w:rsidR="00461FD0" w:rsidRPr="00646D82">
              <w:rPr>
                <w:rFonts w:ascii="Times New Roman" w:hAnsi="Times New Roman" w:cs="Times New Roman"/>
                <w:b/>
                <w:kern w:val="22"/>
                <w:szCs w:val="22"/>
              </w:rPr>
              <w:t>eference points</w:t>
            </w:r>
          </w:p>
        </w:tc>
      </w:tr>
      <w:tr w:rsidR="00250652" w:rsidRPr="00646D82" w14:paraId="0E876AD2" w14:textId="77777777" w:rsidTr="00A62394">
        <w:tc>
          <w:tcPr>
            <w:tcW w:w="2448" w:type="dxa"/>
          </w:tcPr>
          <w:p w14:paraId="6E664692" w14:textId="77777777" w:rsidR="00250652" w:rsidRPr="00646D82" w:rsidRDefault="00250652" w:rsidP="00646D82">
            <w:pPr>
              <w:pStyle w:val="Para1"/>
              <w:suppressLineNumbers/>
              <w:suppressAutoHyphens/>
              <w:jc w:val="left"/>
              <w:rPr>
                <w:rFonts w:ascii="Times New Roman" w:hAnsi="Times New Roman" w:cs="Times New Roman"/>
                <w:kern w:val="22"/>
                <w:szCs w:val="22"/>
              </w:rPr>
            </w:pPr>
            <w:r w:rsidRPr="00646D82">
              <w:rPr>
                <w:rFonts w:ascii="Times New Roman" w:hAnsi="Times New Roman" w:cs="Times New Roman"/>
                <w:kern w:val="22"/>
                <w:szCs w:val="22"/>
              </w:rPr>
              <w:t>Legislative, administrative or policy measures on ABS</w:t>
            </w:r>
          </w:p>
        </w:tc>
        <w:tc>
          <w:tcPr>
            <w:tcW w:w="7128" w:type="dxa"/>
          </w:tcPr>
          <w:p w14:paraId="64AE51DD" w14:textId="64B4B7DE" w:rsidR="00250652" w:rsidRPr="00646D82" w:rsidRDefault="00250652" w:rsidP="00FB1439">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 xml:space="preserve">75 Parties (71%) have some ABS measures in place  </w:t>
            </w:r>
          </w:p>
        </w:tc>
      </w:tr>
      <w:tr w:rsidR="00250652" w:rsidRPr="00646D82" w14:paraId="075A5A6A" w14:textId="77777777" w:rsidTr="00A62394">
        <w:tc>
          <w:tcPr>
            <w:tcW w:w="2448" w:type="dxa"/>
          </w:tcPr>
          <w:p w14:paraId="7C19C477" w14:textId="77777777" w:rsidR="00250652" w:rsidRPr="00646D82" w:rsidRDefault="00250652" w:rsidP="00646D82">
            <w:pPr>
              <w:pStyle w:val="Para1"/>
              <w:suppressLineNumbers/>
              <w:suppressAutoHyphens/>
              <w:jc w:val="left"/>
              <w:rPr>
                <w:rFonts w:ascii="Times New Roman" w:hAnsi="Times New Roman" w:cs="Times New Roman"/>
                <w:kern w:val="22"/>
                <w:szCs w:val="22"/>
              </w:rPr>
            </w:pPr>
            <w:r w:rsidRPr="00646D82">
              <w:rPr>
                <w:rFonts w:ascii="Times New Roman" w:hAnsi="Times New Roman" w:cs="Times New Roman"/>
                <w:kern w:val="22"/>
                <w:szCs w:val="22"/>
              </w:rPr>
              <w:t>Institutional arrangements (Article 13 and 17)</w:t>
            </w:r>
          </w:p>
        </w:tc>
        <w:tc>
          <w:tcPr>
            <w:tcW w:w="7128" w:type="dxa"/>
          </w:tcPr>
          <w:p w14:paraId="039302B1" w14:textId="35EF6097" w:rsidR="00250652" w:rsidRPr="00646D82" w:rsidRDefault="00250652" w:rsidP="00250652">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103 Parties (98%) have established a national focal point on ABS</w:t>
            </w:r>
          </w:p>
          <w:p w14:paraId="39DB04B6" w14:textId="3B594411" w:rsidR="00250652" w:rsidRPr="00646D82" w:rsidRDefault="00250652" w:rsidP="00250652">
            <w:pPr>
              <w:pStyle w:val="Para1"/>
              <w:suppressLineNumbers/>
              <w:suppressAutoHyphens/>
              <w:rPr>
                <w:rFonts w:ascii="Times New Roman" w:hAnsi="Times New Roman" w:cs="Times New Roman"/>
                <w:snapToGrid/>
                <w:kern w:val="22"/>
                <w:szCs w:val="22"/>
              </w:rPr>
            </w:pPr>
            <w:r w:rsidRPr="00646D82">
              <w:rPr>
                <w:rFonts w:ascii="Times New Roman" w:hAnsi="Times New Roman" w:cs="Times New Roman"/>
                <w:kern w:val="22"/>
                <w:szCs w:val="22"/>
              </w:rPr>
              <w:t>57 Parties (54%) have established one or more competent national authorities</w:t>
            </w:r>
          </w:p>
          <w:p w14:paraId="22508DBD" w14:textId="42BA0262" w:rsidR="00250652" w:rsidRPr="00646D82" w:rsidRDefault="00250652" w:rsidP="00FB1439">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29 Parties (27%) had designated one or more checkpoints</w:t>
            </w:r>
          </w:p>
        </w:tc>
      </w:tr>
      <w:tr w:rsidR="00250652" w:rsidRPr="00646D82" w14:paraId="1AFB2997" w14:textId="77777777" w:rsidTr="00A62394">
        <w:tc>
          <w:tcPr>
            <w:tcW w:w="2448" w:type="dxa"/>
          </w:tcPr>
          <w:p w14:paraId="304B4450" w14:textId="6A951764" w:rsidR="00250652" w:rsidRPr="00646D82" w:rsidRDefault="00250652" w:rsidP="00646D82">
            <w:pPr>
              <w:pStyle w:val="Para1"/>
              <w:suppressLineNumbers/>
              <w:suppressAutoHyphens/>
              <w:jc w:val="left"/>
              <w:rPr>
                <w:rFonts w:ascii="Times New Roman" w:hAnsi="Times New Roman" w:cs="Times New Roman"/>
                <w:kern w:val="22"/>
                <w:szCs w:val="22"/>
              </w:rPr>
            </w:pPr>
            <w:r w:rsidRPr="00646D82">
              <w:rPr>
                <w:rFonts w:ascii="Times New Roman" w:hAnsi="Times New Roman" w:cs="Times New Roman"/>
                <w:kern w:val="22"/>
                <w:szCs w:val="22"/>
              </w:rPr>
              <w:t>Publication of national information on the ABS Clearing-House (Article 14)</w:t>
            </w:r>
            <w:r w:rsidRPr="00646D82">
              <w:rPr>
                <w:rStyle w:val="FootnoteReference"/>
                <w:rFonts w:ascii="Times New Roman" w:hAnsi="Times New Roman" w:cs="Times New Roman"/>
                <w:kern w:val="22"/>
                <w:sz w:val="22"/>
                <w:szCs w:val="22"/>
              </w:rPr>
              <w:footnoteReference w:id="10"/>
            </w:r>
            <w:r w:rsidRPr="00646D82">
              <w:rPr>
                <w:rFonts w:ascii="Times New Roman" w:hAnsi="Times New Roman" w:cs="Times New Roman"/>
                <w:kern w:val="22"/>
                <w:szCs w:val="22"/>
              </w:rPr>
              <w:t xml:space="preserve"> </w:t>
            </w:r>
            <w:r w:rsidRPr="00646D82">
              <w:rPr>
                <w:rFonts w:ascii="Times New Roman" w:hAnsi="Times New Roman" w:cs="Times New Roman"/>
                <w:szCs w:val="22"/>
              </w:rPr>
              <w:t xml:space="preserve"> </w:t>
            </w:r>
          </w:p>
        </w:tc>
        <w:tc>
          <w:tcPr>
            <w:tcW w:w="7128" w:type="dxa"/>
          </w:tcPr>
          <w:p w14:paraId="5288868E" w14:textId="74AF41A6" w:rsidR="00250652" w:rsidRPr="00646D82" w:rsidRDefault="00250652" w:rsidP="00250652">
            <w:pPr>
              <w:pStyle w:val="Para1"/>
              <w:suppressLineNumbers/>
              <w:suppressAutoHyphens/>
              <w:rPr>
                <w:rFonts w:ascii="Times New Roman" w:hAnsi="Times New Roman" w:cs="Times New Roman"/>
                <w:szCs w:val="22"/>
              </w:rPr>
            </w:pPr>
            <w:r w:rsidRPr="00646D82">
              <w:rPr>
                <w:rFonts w:ascii="Times New Roman" w:hAnsi="Times New Roman" w:cs="Times New Roman"/>
                <w:szCs w:val="22"/>
              </w:rPr>
              <w:t xml:space="preserve">54 </w:t>
            </w:r>
            <w:r w:rsidRPr="00646D82">
              <w:rPr>
                <w:rFonts w:ascii="Times New Roman" w:hAnsi="Times New Roman" w:cs="Times New Roman"/>
                <w:kern w:val="22"/>
                <w:szCs w:val="22"/>
              </w:rPr>
              <w:t>Parties</w:t>
            </w:r>
            <w:r w:rsidRPr="00646D82">
              <w:rPr>
                <w:rFonts w:ascii="Times New Roman" w:hAnsi="Times New Roman" w:cs="Times New Roman"/>
                <w:szCs w:val="22"/>
              </w:rPr>
              <w:t xml:space="preserve"> (51%) have made the information available to the ABS Clearing-House (</w:t>
            </w:r>
            <w:r w:rsidR="002A26C8" w:rsidRPr="00646D82">
              <w:rPr>
                <w:rFonts w:ascii="Times New Roman" w:hAnsi="Times New Roman" w:cs="Times New Roman"/>
                <w:szCs w:val="22"/>
              </w:rPr>
              <w:t>c</w:t>
            </w:r>
            <w:r w:rsidR="00ED6391" w:rsidRPr="00646D82">
              <w:rPr>
                <w:rFonts w:ascii="Times New Roman" w:hAnsi="Times New Roman" w:cs="Times New Roman"/>
                <w:szCs w:val="22"/>
              </w:rPr>
              <w:t xml:space="preserve">ompetent </w:t>
            </w:r>
            <w:r w:rsidR="00FB1439" w:rsidRPr="00646D82">
              <w:rPr>
                <w:rFonts w:ascii="Times New Roman" w:hAnsi="Times New Roman" w:cs="Times New Roman"/>
                <w:szCs w:val="22"/>
              </w:rPr>
              <w:t>national</w:t>
            </w:r>
            <w:r w:rsidR="00ED6391" w:rsidRPr="00646D82">
              <w:rPr>
                <w:rFonts w:ascii="Times New Roman" w:hAnsi="Times New Roman" w:cs="Times New Roman"/>
                <w:szCs w:val="22"/>
              </w:rPr>
              <w:t xml:space="preserve"> authorities</w:t>
            </w:r>
            <w:r w:rsidRPr="00646D82">
              <w:rPr>
                <w:rFonts w:ascii="Times New Roman" w:hAnsi="Times New Roman" w:cs="Times New Roman"/>
                <w:szCs w:val="22"/>
              </w:rPr>
              <w:t xml:space="preserve">, checkpoints, ABS measures) </w:t>
            </w:r>
          </w:p>
          <w:p w14:paraId="5A9ED917" w14:textId="765542E0" w:rsidR="00250652" w:rsidRPr="00646D82" w:rsidRDefault="00250652" w:rsidP="002A26C8">
            <w:pPr>
              <w:pStyle w:val="Para1"/>
              <w:suppressLineNumbers/>
              <w:suppressAutoHyphens/>
              <w:rPr>
                <w:rFonts w:ascii="Times New Roman" w:hAnsi="Times New Roman" w:cs="Times New Roman"/>
                <w:kern w:val="22"/>
                <w:szCs w:val="22"/>
              </w:rPr>
            </w:pPr>
            <w:r w:rsidRPr="00646D82">
              <w:rPr>
                <w:rFonts w:ascii="Times New Roman" w:hAnsi="Times New Roman" w:cs="Times New Roman"/>
                <w:szCs w:val="22"/>
              </w:rPr>
              <w:t>46 Parties (44%) have information (</w:t>
            </w:r>
            <w:r w:rsidR="002A26C8" w:rsidRPr="00646D82">
              <w:rPr>
                <w:rFonts w:ascii="Times New Roman" w:hAnsi="Times New Roman" w:cs="Times New Roman"/>
                <w:szCs w:val="22"/>
              </w:rPr>
              <w:t xml:space="preserve">competent national authorities, </w:t>
            </w:r>
            <w:r w:rsidRPr="00646D82">
              <w:rPr>
                <w:rFonts w:ascii="Times New Roman" w:hAnsi="Times New Roman" w:cs="Times New Roman"/>
                <w:szCs w:val="22"/>
              </w:rPr>
              <w:t>checkpoints, ABS measures, permits) t</w:t>
            </w:r>
            <w:r w:rsidRPr="00646D82">
              <w:rPr>
                <w:rFonts w:ascii="Times New Roman" w:eastAsia="SimSun" w:hAnsi="Times New Roman" w:cs="Times New Roman"/>
                <w:kern w:val="22"/>
                <w:szCs w:val="22"/>
              </w:rPr>
              <w:t>hat have not yet been made available to the ABS Clearing-House</w:t>
            </w:r>
            <w:r w:rsidRPr="00646D82">
              <w:rPr>
                <w:rStyle w:val="FootnoteReference"/>
                <w:rFonts w:ascii="Times New Roman" w:eastAsia="SimSun" w:hAnsi="Times New Roman" w:cs="Times New Roman"/>
                <w:kern w:val="22"/>
                <w:sz w:val="22"/>
                <w:szCs w:val="22"/>
              </w:rPr>
              <w:footnoteReference w:id="11"/>
            </w:r>
            <w:r w:rsidRPr="00646D82">
              <w:rPr>
                <w:rFonts w:ascii="Times New Roman" w:eastAsia="SimSun" w:hAnsi="Times New Roman" w:cs="Times New Roman"/>
                <w:kern w:val="22"/>
                <w:szCs w:val="22"/>
              </w:rPr>
              <w:t>.</w:t>
            </w:r>
          </w:p>
        </w:tc>
      </w:tr>
    </w:tbl>
    <w:p w14:paraId="30773E5A" w14:textId="77777777" w:rsidR="00250652" w:rsidRPr="002A4D34" w:rsidRDefault="00250652" w:rsidP="00A62394">
      <w:pPr>
        <w:pStyle w:val="Para1"/>
        <w:suppressLineNumbers/>
        <w:suppressAutoHyphens/>
        <w:rPr>
          <w:kern w:val="22"/>
          <w:szCs w:val="22"/>
        </w:rPr>
      </w:pPr>
    </w:p>
    <w:p w14:paraId="349D084A" w14:textId="45473CDE" w:rsidR="00EB64F0" w:rsidRPr="00646D82" w:rsidRDefault="00250652">
      <w:pPr>
        <w:pStyle w:val="Para1"/>
        <w:numPr>
          <w:ilvl w:val="0"/>
          <w:numId w:val="12"/>
        </w:numPr>
        <w:suppressLineNumbers/>
        <w:suppressAutoHyphens/>
        <w:rPr>
          <w:kern w:val="22"/>
          <w:szCs w:val="22"/>
        </w:rPr>
      </w:pPr>
      <w:r w:rsidRPr="002A4D34">
        <w:rPr>
          <w:kern w:val="22"/>
          <w:szCs w:val="22"/>
        </w:rPr>
        <w:t xml:space="preserve">With respect to the </w:t>
      </w:r>
      <w:r w:rsidRPr="00AF3C60">
        <w:rPr>
          <w:kern w:val="22"/>
          <w:szCs w:val="22"/>
        </w:rPr>
        <w:t>legislative, administrative or policy measures on ABS</w:t>
      </w:r>
      <w:r w:rsidRPr="00646D82">
        <w:rPr>
          <w:kern w:val="22"/>
          <w:szCs w:val="22"/>
        </w:rPr>
        <w:t xml:space="preserve">, the </w:t>
      </w:r>
      <w:r w:rsidR="00EB64F0" w:rsidRPr="00646D82">
        <w:rPr>
          <w:kern w:val="22"/>
          <w:szCs w:val="22"/>
        </w:rPr>
        <w:t xml:space="preserve">measures reported vary in the degree of specificity and comprehensiveness and many were adopted prior to the adoption of the Nagoya Protocol. Some Parties reported having general legislation which relates to ABS (for example, general environmental legislation, or measures dealing with animal husbandry, forests), while others have adopted specific ABS measures to implement the Protocol. </w:t>
      </w:r>
    </w:p>
    <w:p w14:paraId="0753BFD9" w14:textId="58F6FD4B" w:rsidR="00AD6BDA" w:rsidRPr="002A4D34" w:rsidRDefault="00EB64F0" w:rsidP="00966F98">
      <w:pPr>
        <w:pStyle w:val="Para1"/>
        <w:numPr>
          <w:ilvl w:val="0"/>
          <w:numId w:val="12"/>
        </w:numPr>
        <w:suppressLineNumbers/>
        <w:suppressAutoHyphens/>
        <w:rPr>
          <w:kern w:val="22"/>
          <w:szCs w:val="22"/>
        </w:rPr>
      </w:pPr>
      <w:r w:rsidRPr="00646D82">
        <w:rPr>
          <w:kern w:val="22"/>
          <w:szCs w:val="22"/>
        </w:rPr>
        <w:t>Of the 75 Parties</w:t>
      </w:r>
      <w:r w:rsidR="001865DA" w:rsidRPr="00646D82">
        <w:rPr>
          <w:kern w:val="22"/>
          <w:szCs w:val="22"/>
        </w:rPr>
        <w:t xml:space="preserve"> that have ABS measures in place</w:t>
      </w:r>
      <w:r w:rsidRPr="00646D82">
        <w:rPr>
          <w:kern w:val="22"/>
          <w:szCs w:val="22"/>
        </w:rPr>
        <w:t>, 44 indicated that they are currently revising existing or developing new ABS measures to implement the Protocol, and 10 Parties are planning to develop additional ABS measures. Based in information available, it is unclear how many Parties have adopted all measures necessary to implement the Protocol.</w:t>
      </w:r>
      <w:r w:rsidR="00AD6BDA" w:rsidRPr="00646D82">
        <w:rPr>
          <w:rFonts w:eastAsia="Calibri"/>
          <w:color w:val="000000"/>
          <w:kern w:val="22"/>
          <w:szCs w:val="22"/>
          <w:u w:color="000000"/>
        </w:rPr>
        <w:t xml:space="preserve"> </w:t>
      </w:r>
    </w:p>
    <w:p w14:paraId="32F3ADD1" w14:textId="77777777" w:rsidR="00513E51" w:rsidRPr="00646D82" w:rsidRDefault="00B13CD8" w:rsidP="00966F98">
      <w:pPr>
        <w:pStyle w:val="Para1"/>
        <w:numPr>
          <w:ilvl w:val="0"/>
          <w:numId w:val="12"/>
        </w:numPr>
        <w:suppressLineNumbers/>
        <w:suppressAutoHyphens/>
        <w:rPr>
          <w:kern w:val="22"/>
          <w:szCs w:val="22"/>
        </w:rPr>
      </w:pPr>
      <w:r w:rsidRPr="00646D82">
        <w:rPr>
          <w:kern w:val="22"/>
          <w:szCs w:val="22"/>
        </w:rPr>
        <w:t>A number of provisions of the Protocol require Parties to adopt legislative, administrative or policy measures on ABS. The format of the interim national report endeavours to collect information on the progress Parties are making towards fulfilment of these obligations through a number of questions on access, benefit-sharing, compliance with domestic legislation or regulatory requirements on ABS, monitoring the utilization of genetic resources, and compliance with mutually agreed terms,</w:t>
      </w:r>
      <w:r w:rsidR="00355799" w:rsidRPr="00646D82">
        <w:rPr>
          <w:kern w:val="22"/>
          <w:szCs w:val="22"/>
        </w:rPr>
        <w:t xml:space="preserve"> special considerations,</w:t>
      </w:r>
      <w:r w:rsidRPr="00646D82">
        <w:rPr>
          <w:kern w:val="22"/>
          <w:szCs w:val="22"/>
        </w:rPr>
        <w:t xml:space="preserve"> as well as the questions on the provisions related to indigenous peoples and local communities. </w:t>
      </w:r>
    </w:p>
    <w:p w14:paraId="01A3FBE6" w14:textId="027673D8" w:rsidR="005C0797" w:rsidRPr="00646D82" w:rsidRDefault="00B13CD8" w:rsidP="00B14BE9">
      <w:pPr>
        <w:pStyle w:val="ListParagraph"/>
        <w:numPr>
          <w:ilvl w:val="0"/>
          <w:numId w:val="12"/>
        </w:numPr>
        <w:rPr>
          <w:rStyle w:val="FootnoteReference"/>
          <w:snapToGrid w:val="0"/>
          <w:kern w:val="22"/>
          <w:sz w:val="22"/>
          <w:szCs w:val="22"/>
        </w:rPr>
      </w:pPr>
      <w:r w:rsidRPr="00646D82">
        <w:rPr>
          <w:kern w:val="22"/>
          <w:szCs w:val="22"/>
        </w:rPr>
        <w:t>The following table provides a summary of the responses provided by Parties in the interim national report to some key obligations under those areas</w:t>
      </w:r>
      <w:r w:rsidR="005C0797" w:rsidRPr="00646D82">
        <w:rPr>
          <w:kern w:val="22"/>
          <w:szCs w:val="22"/>
        </w:rPr>
        <w:t>.</w:t>
      </w:r>
      <w:r w:rsidR="00F60BFC" w:rsidRPr="00646D82">
        <w:rPr>
          <w:rStyle w:val="FootnoteReference"/>
          <w:kern w:val="22"/>
          <w:sz w:val="22"/>
          <w:szCs w:val="22"/>
        </w:rPr>
        <w:footnoteReference w:id="12"/>
      </w:r>
      <w:r w:rsidR="00F60BFC" w:rsidRPr="00646D82">
        <w:rPr>
          <w:kern w:val="22"/>
          <w:szCs w:val="22"/>
        </w:rPr>
        <w:t xml:space="preserve"> </w:t>
      </w:r>
      <w:r w:rsidR="005C0797" w:rsidRPr="00646D82">
        <w:rPr>
          <w:kern w:val="22"/>
          <w:szCs w:val="22"/>
        </w:rPr>
        <w:t xml:space="preserve"> </w:t>
      </w:r>
      <w:r w:rsidRPr="00646D82">
        <w:rPr>
          <w:kern w:val="22"/>
          <w:szCs w:val="22"/>
        </w:rPr>
        <w:t xml:space="preserve"> </w:t>
      </w:r>
      <w:r w:rsidR="003E2306" w:rsidRPr="00646D82">
        <w:rPr>
          <w:snapToGrid w:val="0"/>
          <w:kern w:val="22"/>
          <w:szCs w:val="22"/>
        </w:rPr>
        <w:t>The information provided could serve as reference points.</w:t>
      </w:r>
      <w:r w:rsidR="003E2306" w:rsidRPr="00646D82">
        <w:rPr>
          <w:rStyle w:val="FootnoteReference"/>
          <w:kern w:val="22"/>
          <w:sz w:val="22"/>
          <w:szCs w:val="22"/>
        </w:rPr>
        <w:t xml:space="preserve"> </w:t>
      </w:r>
      <w:r w:rsidR="003E2306" w:rsidRPr="00646D82">
        <w:rPr>
          <w:rStyle w:val="FootnoteReference"/>
          <w:kern w:val="22"/>
          <w:sz w:val="22"/>
          <w:szCs w:val="22"/>
        </w:rPr>
        <w:footnoteReference w:id="13"/>
      </w:r>
    </w:p>
    <w:p w14:paraId="62E665B0" w14:textId="77777777" w:rsidR="00B14BE9" w:rsidRPr="00646D82" w:rsidRDefault="00B14BE9" w:rsidP="00B14BE9">
      <w:pPr>
        <w:pStyle w:val="ListParagraph"/>
        <w:ind w:left="0"/>
        <w:rPr>
          <w:snapToGrid w:val="0"/>
          <w:kern w:val="22"/>
          <w:szCs w:val="22"/>
        </w:rPr>
      </w:pPr>
    </w:p>
    <w:tbl>
      <w:tblPr>
        <w:tblStyle w:val="TableGrid"/>
        <w:tblW w:w="0" w:type="auto"/>
        <w:jc w:val="center"/>
        <w:tblLook w:val="04A0" w:firstRow="1" w:lastRow="0" w:firstColumn="1" w:lastColumn="0" w:noHBand="0" w:noVBand="1"/>
      </w:tblPr>
      <w:tblGrid>
        <w:gridCol w:w="2268"/>
        <w:gridCol w:w="7308"/>
      </w:tblGrid>
      <w:tr w:rsidR="005C0797" w:rsidRPr="00646D82" w14:paraId="684D5A88" w14:textId="77777777" w:rsidTr="005704ED">
        <w:trPr>
          <w:tblHeader/>
          <w:jc w:val="center"/>
        </w:trPr>
        <w:tc>
          <w:tcPr>
            <w:tcW w:w="2268" w:type="dxa"/>
          </w:tcPr>
          <w:p w14:paraId="0B035E3B" w14:textId="77777777" w:rsidR="005C0797" w:rsidRPr="00646D82" w:rsidRDefault="005C0797" w:rsidP="005704ED">
            <w:pPr>
              <w:pStyle w:val="Para1"/>
              <w:suppressLineNumbers/>
              <w:suppressAutoHyphens/>
              <w:jc w:val="center"/>
              <w:rPr>
                <w:rFonts w:ascii="Times New Roman" w:hAnsi="Times New Roman" w:cs="Times New Roman"/>
                <w:b/>
                <w:kern w:val="22"/>
                <w:szCs w:val="22"/>
              </w:rPr>
            </w:pPr>
            <w:r w:rsidRPr="00646D82">
              <w:rPr>
                <w:rFonts w:ascii="Times New Roman" w:hAnsi="Times New Roman" w:cs="Times New Roman"/>
                <w:b/>
                <w:kern w:val="22"/>
                <w:szCs w:val="22"/>
              </w:rPr>
              <w:t>Articles of the Protocol</w:t>
            </w:r>
          </w:p>
        </w:tc>
        <w:tc>
          <w:tcPr>
            <w:tcW w:w="7308" w:type="dxa"/>
          </w:tcPr>
          <w:p w14:paraId="1B42AF57" w14:textId="4AA98E6A" w:rsidR="005C0797" w:rsidRPr="00646D82" w:rsidRDefault="00B43FC0" w:rsidP="005704ED">
            <w:pPr>
              <w:pStyle w:val="Para1"/>
              <w:suppressLineNumbers/>
              <w:suppressAutoHyphens/>
              <w:jc w:val="center"/>
              <w:rPr>
                <w:rFonts w:ascii="Times New Roman" w:hAnsi="Times New Roman" w:cs="Times New Roman"/>
                <w:b/>
                <w:kern w:val="22"/>
                <w:szCs w:val="22"/>
              </w:rPr>
            </w:pPr>
            <w:r w:rsidRPr="00646D82">
              <w:rPr>
                <w:rFonts w:ascii="Times New Roman" w:hAnsi="Times New Roman" w:cs="Times New Roman"/>
                <w:b/>
                <w:kern w:val="22"/>
                <w:szCs w:val="22"/>
              </w:rPr>
              <w:t>Current status and r</w:t>
            </w:r>
            <w:r w:rsidR="00461FD0" w:rsidRPr="00646D82">
              <w:rPr>
                <w:rFonts w:ascii="Times New Roman" w:hAnsi="Times New Roman" w:cs="Times New Roman"/>
                <w:b/>
                <w:kern w:val="22"/>
                <w:szCs w:val="22"/>
              </w:rPr>
              <w:t>eference points</w:t>
            </w:r>
          </w:p>
        </w:tc>
      </w:tr>
      <w:tr w:rsidR="00513E51" w:rsidRPr="00646D82" w14:paraId="2917D1CB" w14:textId="77777777" w:rsidTr="005704ED">
        <w:trPr>
          <w:jc w:val="center"/>
        </w:trPr>
        <w:tc>
          <w:tcPr>
            <w:tcW w:w="2268" w:type="dxa"/>
          </w:tcPr>
          <w:p w14:paraId="7A970542" w14:textId="65C94FF2" w:rsidR="00513E51" w:rsidRPr="00646D82" w:rsidRDefault="00513E51" w:rsidP="00B43FC0">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Access</w:t>
            </w:r>
            <w:r w:rsidR="005C0797" w:rsidRPr="00646D82">
              <w:rPr>
                <w:rFonts w:ascii="Times New Roman" w:hAnsi="Times New Roman" w:cs="Times New Roman"/>
                <w:kern w:val="22"/>
                <w:szCs w:val="22"/>
              </w:rPr>
              <w:t xml:space="preserve"> (Article 6)</w:t>
            </w:r>
          </w:p>
        </w:tc>
        <w:tc>
          <w:tcPr>
            <w:tcW w:w="7308" w:type="dxa"/>
          </w:tcPr>
          <w:p w14:paraId="4FA3785C" w14:textId="770CF624" w:rsidR="00731574" w:rsidRPr="00646D82" w:rsidRDefault="00731574" w:rsidP="00731574">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28 Parties have rules and procedures for requiring and establishing MAT as provided in Article 6.3 (g). This represents 76% of Parties requiring prior informed consent for access to genetic resources</w:t>
            </w:r>
            <w:r w:rsidR="00ED6391" w:rsidRPr="00646D82">
              <w:rPr>
                <w:rFonts w:ascii="Times New Roman" w:hAnsi="Times New Roman" w:cs="Times New Roman"/>
                <w:kern w:val="22"/>
                <w:szCs w:val="22"/>
              </w:rPr>
              <w:t xml:space="preserve"> (</w:t>
            </w:r>
            <w:r w:rsidR="00C11959" w:rsidRPr="00646D82">
              <w:rPr>
                <w:rFonts w:ascii="Times New Roman" w:hAnsi="Times New Roman" w:cs="Times New Roman"/>
                <w:kern w:val="22"/>
                <w:szCs w:val="22"/>
              </w:rPr>
              <w:t>Q</w:t>
            </w:r>
            <w:r w:rsidR="002B1522" w:rsidRPr="00646D82">
              <w:rPr>
                <w:rFonts w:ascii="Times New Roman" w:hAnsi="Times New Roman" w:cs="Times New Roman"/>
                <w:kern w:val="22"/>
                <w:szCs w:val="22"/>
              </w:rPr>
              <w:t>.</w:t>
            </w:r>
            <w:r w:rsidR="00ED6391" w:rsidRPr="00646D82">
              <w:rPr>
                <w:rFonts w:ascii="Times New Roman" w:hAnsi="Times New Roman" w:cs="Times New Roman"/>
                <w:kern w:val="22"/>
                <w:szCs w:val="22"/>
              </w:rPr>
              <w:t xml:space="preserve"> 17).</w:t>
            </w:r>
          </w:p>
          <w:p w14:paraId="4D4D49DF" w14:textId="73DD2FC5" w:rsidR="00355799" w:rsidRPr="00646D82" w:rsidRDefault="002B1522" w:rsidP="002B1522">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 xml:space="preserve">19 </w:t>
            </w:r>
            <w:r w:rsidR="00F60BFC" w:rsidRPr="00646D82">
              <w:rPr>
                <w:rFonts w:ascii="Times New Roman" w:hAnsi="Times New Roman" w:cs="Times New Roman"/>
                <w:kern w:val="22"/>
                <w:szCs w:val="22"/>
              </w:rPr>
              <w:t>Parties have</w:t>
            </w:r>
            <w:r w:rsidR="00355799" w:rsidRPr="00646D82">
              <w:rPr>
                <w:rFonts w:ascii="Times New Roman" w:hAnsi="Times New Roman" w:cs="Times New Roman"/>
                <w:kern w:val="22"/>
                <w:szCs w:val="22"/>
              </w:rPr>
              <w:t xml:space="preserve"> issued permits or their equivalents</w:t>
            </w:r>
            <w:r w:rsidR="00ED6391" w:rsidRPr="00646D82">
              <w:rPr>
                <w:rFonts w:ascii="Times New Roman" w:hAnsi="Times New Roman" w:cs="Times New Roman"/>
                <w:kern w:val="22"/>
                <w:szCs w:val="22"/>
              </w:rPr>
              <w:t xml:space="preserve"> (</w:t>
            </w:r>
            <w:r w:rsidR="00C11959" w:rsidRPr="00646D82">
              <w:rPr>
                <w:rFonts w:ascii="Times New Roman" w:hAnsi="Times New Roman" w:cs="Times New Roman"/>
                <w:kern w:val="22"/>
                <w:szCs w:val="22"/>
              </w:rPr>
              <w:t>Q</w:t>
            </w:r>
            <w:r w:rsidRPr="00646D82">
              <w:rPr>
                <w:rFonts w:ascii="Times New Roman" w:hAnsi="Times New Roman" w:cs="Times New Roman"/>
                <w:kern w:val="22"/>
                <w:szCs w:val="22"/>
              </w:rPr>
              <w:t>.</w:t>
            </w:r>
            <w:r w:rsidR="00ED6391" w:rsidRPr="00646D82">
              <w:rPr>
                <w:rFonts w:ascii="Times New Roman" w:hAnsi="Times New Roman" w:cs="Times New Roman"/>
                <w:kern w:val="22"/>
                <w:szCs w:val="22"/>
              </w:rPr>
              <w:t xml:space="preserve"> 7, 8 and 16</w:t>
            </w:r>
            <w:r w:rsidRPr="00646D82">
              <w:rPr>
                <w:rFonts w:ascii="Times New Roman" w:hAnsi="Times New Roman" w:cs="Times New Roman"/>
                <w:kern w:val="22"/>
                <w:szCs w:val="22"/>
              </w:rPr>
              <w:t>)</w:t>
            </w:r>
          </w:p>
        </w:tc>
      </w:tr>
      <w:tr w:rsidR="00513E51" w:rsidRPr="00646D82" w14:paraId="67219FE8" w14:textId="77777777" w:rsidTr="005704ED">
        <w:trPr>
          <w:jc w:val="center"/>
        </w:trPr>
        <w:tc>
          <w:tcPr>
            <w:tcW w:w="2268" w:type="dxa"/>
          </w:tcPr>
          <w:p w14:paraId="11D83429" w14:textId="77777777" w:rsidR="00513E51" w:rsidRPr="00646D82" w:rsidRDefault="005C0797" w:rsidP="00513E51">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Fair and equitable b</w:t>
            </w:r>
            <w:r w:rsidR="00513E51" w:rsidRPr="00646D82">
              <w:rPr>
                <w:rFonts w:ascii="Times New Roman" w:hAnsi="Times New Roman" w:cs="Times New Roman"/>
                <w:kern w:val="22"/>
                <w:szCs w:val="22"/>
              </w:rPr>
              <w:t>enefit-sharing</w:t>
            </w:r>
            <w:r w:rsidR="005450E6" w:rsidRPr="00646D82">
              <w:rPr>
                <w:rFonts w:ascii="Times New Roman" w:hAnsi="Times New Roman" w:cs="Times New Roman"/>
                <w:kern w:val="22"/>
                <w:szCs w:val="22"/>
              </w:rPr>
              <w:t xml:space="preserve"> (Article 5)</w:t>
            </w:r>
          </w:p>
        </w:tc>
        <w:tc>
          <w:tcPr>
            <w:tcW w:w="7308" w:type="dxa"/>
          </w:tcPr>
          <w:p w14:paraId="2E55D373" w14:textId="077E9314" w:rsidR="00513E51" w:rsidRPr="00646D82" w:rsidRDefault="00731574" w:rsidP="00513E51">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46 Parties (44%) have legislative, administrative or policy measures to implement Article 5.1 (genetic resources)</w:t>
            </w:r>
            <w:r w:rsidR="00FB1439" w:rsidRPr="00646D82">
              <w:rPr>
                <w:rFonts w:ascii="Times New Roman" w:hAnsi="Times New Roman" w:cs="Times New Roman"/>
                <w:kern w:val="22"/>
                <w:szCs w:val="22"/>
              </w:rPr>
              <w:t xml:space="preserve"> (Q</w:t>
            </w:r>
            <w:r w:rsidR="002B1522" w:rsidRPr="00646D82">
              <w:rPr>
                <w:rFonts w:ascii="Times New Roman" w:hAnsi="Times New Roman" w:cs="Times New Roman"/>
                <w:kern w:val="22"/>
                <w:szCs w:val="22"/>
              </w:rPr>
              <w:t>.</w:t>
            </w:r>
            <w:r w:rsidR="00FB1439" w:rsidRPr="00646D82">
              <w:rPr>
                <w:rFonts w:ascii="Times New Roman" w:hAnsi="Times New Roman" w:cs="Times New Roman"/>
                <w:kern w:val="22"/>
                <w:szCs w:val="22"/>
              </w:rPr>
              <w:t xml:space="preserve"> 20)</w:t>
            </w:r>
          </w:p>
          <w:p w14:paraId="2D9DB25A" w14:textId="1DDD1925" w:rsidR="00731574" w:rsidRPr="00646D82" w:rsidRDefault="00731574" w:rsidP="00513E51">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42 Parties (40%) have legislative, administrative or policy measures to implement Article 5.2 (genetic resources held by IPLCs)</w:t>
            </w:r>
            <w:r w:rsidR="00FB1439" w:rsidRPr="00646D82">
              <w:rPr>
                <w:rFonts w:ascii="Times New Roman" w:hAnsi="Times New Roman" w:cs="Times New Roman"/>
                <w:kern w:val="22"/>
                <w:szCs w:val="22"/>
              </w:rPr>
              <w:t xml:space="preserve"> (Q</w:t>
            </w:r>
            <w:r w:rsidR="002B1522" w:rsidRPr="00646D82">
              <w:rPr>
                <w:rFonts w:ascii="Times New Roman" w:hAnsi="Times New Roman" w:cs="Times New Roman"/>
                <w:kern w:val="22"/>
                <w:szCs w:val="22"/>
              </w:rPr>
              <w:t>.</w:t>
            </w:r>
            <w:r w:rsidR="00FB1439" w:rsidRPr="00646D82">
              <w:rPr>
                <w:rFonts w:ascii="Times New Roman" w:hAnsi="Times New Roman" w:cs="Times New Roman"/>
                <w:kern w:val="22"/>
                <w:szCs w:val="22"/>
              </w:rPr>
              <w:t xml:space="preserve"> 21)</w:t>
            </w:r>
          </w:p>
          <w:p w14:paraId="15CFFCCA" w14:textId="461A60BB" w:rsidR="00731574" w:rsidRPr="00646D82" w:rsidRDefault="00731574" w:rsidP="00513E51">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41 Parties (39%) have legislative, administrative or policy measures to implement Article 5.5 (traditional knowledge associated with genetic resources)</w:t>
            </w:r>
            <w:r w:rsidR="00FB1439" w:rsidRPr="00646D82">
              <w:rPr>
                <w:rFonts w:ascii="Times New Roman" w:hAnsi="Times New Roman" w:cs="Times New Roman"/>
                <w:kern w:val="22"/>
                <w:szCs w:val="22"/>
              </w:rPr>
              <w:t xml:space="preserve"> (Q</w:t>
            </w:r>
            <w:r w:rsidR="002A26C8" w:rsidRPr="00646D82">
              <w:rPr>
                <w:rFonts w:ascii="Times New Roman" w:hAnsi="Times New Roman" w:cs="Times New Roman"/>
                <w:kern w:val="22"/>
                <w:szCs w:val="22"/>
              </w:rPr>
              <w:t>.</w:t>
            </w:r>
            <w:r w:rsidR="00FB1439" w:rsidRPr="00646D82">
              <w:rPr>
                <w:rFonts w:ascii="Times New Roman" w:hAnsi="Times New Roman" w:cs="Times New Roman"/>
                <w:kern w:val="22"/>
                <w:szCs w:val="22"/>
              </w:rPr>
              <w:t xml:space="preserve"> 22)</w:t>
            </w:r>
          </w:p>
        </w:tc>
      </w:tr>
      <w:tr w:rsidR="00513E51" w:rsidRPr="00646D82" w14:paraId="306B2071" w14:textId="77777777" w:rsidTr="005704ED">
        <w:trPr>
          <w:jc w:val="center"/>
        </w:trPr>
        <w:tc>
          <w:tcPr>
            <w:tcW w:w="2268" w:type="dxa"/>
          </w:tcPr>
          <w:p w14:paraId="36B4BDC6" w14:textId="77777777" w:rsidR="00513E51" w:rsidRPr="00646D82" w:rsidRDefault="00513E51" w:rsidP="00513E51">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Monitoring the utilization of genetic resources</w:t>
            </w:r>
            <w:r w:rsidR="005C0797" w:rsidRPr="00646D82">
              <w:rPr>
                <w:rFonts w:ascii="Times New Roman" w:hAnsi="Times New Roman" w:cs="Times New Roman"/>
                <w:kern w:val="22"/>
                <w:szCs w:val="22"/>
              </w:rPr>
              <w:t xml:space="preserve"> (Article 17)</w:t>
            </w:r>
          </w:p>
        </w:tc>
        <w:tc>
          <w:tcPr>
            <w:tcW w:w="7308" w:type="dxa"/>
          </w:tcPr>
          <w:p w14:paraId="4EE12ED8" w14:textId="7CFDB9ED" w:rsidR="00355799" w:rsidRPr="00646D82" w:rsidRDefault="00355799" w:rsidP="00355799">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41 Parties (39%) require users of genetic resources to provide the information identified in Article 17.1 (a)(</w:t>
            </w:r>
            <w:proofErr w:type="spellStart"/>
            <w:r w:rsidRPr="00646D82">
              <w:rPr>
                <w:rFonts w:ascii="Times New Roman" w:hAnsi="Times New Roman" w:cs="Times New Roman"/>
                <w:kern w:val="22"/>
                <w:szCs w:val="22"/>
              </w:rPr>
              <w:t>i</w:t>
            </w:r>
            <w:proofErr w:type="spellEnd"/>
            <w:r w:rsidRPr="00646D82">
              <w:rPr>
                <w:rFonts w:ascii="Times New Roman" w:hAnsi="Times New Roman" w:cs="Times New Roman"/>
                <w:kern w:val="22"/>
                <w:szCs w:val="22"/>
              </w:rPr>
              <w:t xml:space="preserve">), as appropriate, at a designated checkpoint </w:t>
            </w:r>
            <w:r w:rsidR="00FB1439" w:rsidRPr="00646D82">
              <w:rPr>
                <w:rFonts w:ascii="Times New Roman" w:hAnsi="Times New Roman" w:cs="Times New Roman"/>
                <w:kern w:val="22"/>
                <w:szCs w:val="22"/>
              </w:rPr>
              <w:t>(Q</w:t>
            </w:r>
            <w:r w:rsidR="002A26C8" w:rsidRPr="00646D82">
              <w:rPr>
                <w:rFonts w:ascii="Times New Roman" w:hAnsi="Times New Roman" w:cs="Times New Roman"/>
                <w:kern w:val="22"/>
                <w:szCs w:val="22"/>
              </w:rPr>
              <w:t>.</w:t>
            </w:r>
            <w:r w:rsidR="00FB1439" w:rsidRPr="00646D82">
              <w:rPr>
                <w:rFonts w:ascii="Times New Roman" w:hAnsi="Times New Roman" w:cs="Times New Roman"/>
                <w:kern w:val="22"/>
                <w:szCs w:val="22"/>
              </w:rPr>
              <w:t xml:space="preserve"> 26)</w:t>
            </w:r>
          </w:p>
          <w:p w14:paraId="2FCEED1C" w14:textId="2CD2AAB1" w:rsidR="00513E51" w:rsidRPr="00646D82" w:rsidRDefault="00355799" w:rsidP="00C17392">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9 Parties (9%) provide the information collected or received at a designated checkpoint to relevant national authorities, to the Party providing prior informed consent and to the ABS Clearing-House</w:t>
            </w:r>
            <w:r w:rsidR="00FB1439" w:rsidRPr="00646D82">
              <w:rPr>
                <w:rFonts w:ascii="Times New Roman" w:hAnsi="Times New Roman" w:cs="Times New Roman"/>
                <w:kern w:val="22"/>
                <w:szCs w:val="22"/>
              </w:rPr>
              <w:t xml:space="preserve"> (Q. 27)</w:t>
            </w:r>
            <w:r w:rsidRPr="00646D82">
              <w:rPr>
                <w:rFonts w:ascii="Times New Roman" w:hAnsi="Times New Roman" w:cs="Times New Roman"/>
                <w:kern w:val="22"/>
                <w:szCs w:val="22"/>
              </w:rPr>
              <w:tab/>
            </w:r>
          </w:p>
        </w:tc>
      </w:tr>
      <w:tr w:rsidR="00513E51" w:rsidRPr="00646D82" w14:paraId="3448DC6F" w14:textId="77777777" w:rsidTr="005704ED">
        <w:trPr>
          <w:jc w:val="center"/>
        </w:trPr>
        <w:tc>
          <w:tcPr>
            <w:tcW w:w="2268" w:type="dxa"/>
          </w:tcPr>
          <w:p w14:paraId="7CE9EF57" w14:textId="77777777" w:rsidR="00513E51" w:rsidRPr="00646D82" w:rsidRDefault="00513E51" w:rsidP="00513E51">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Provisions related to indigenous peoples and local communities</w:t>
            </w:r>
            <w:r w:rsidR="005C0797" w:rsidRPr="00646D82">
              <w:rPr>
                <w:rFonts w:ascii="Times New Roman" w:hAnsi="Times New Roman" w:cs="Times New Roman"/>
                <w:kern w:val="22"/>
                <w:szCs w:val="22"/>
              </w:rPr>
              <w:t xml:space="preserve"> (Article 6, 7 and 12)</w:t>
            </w:r>
          </w:p>
        </w:tc>
        <w:tc>
          <w:tcPr>
            <w:tcW w:w="7308" w:type="dxa"/>
          </w:tcPr>
          <w:p w14:paraId="358FD1A5" w14:textId="28EB09DD" w:rsidR="00355799" w:rsidRPr="00646D82" w:rsidRDefault="00355799" w:rsidP="00355799">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23 Parties have measures in place with the aim of ensuring the PIC or approval and involvement of IPLCs as provided in Article 6.2. This represents 47% of the Parties where IPLCs have the established rights to grant access to genetic resources</w:t>
            </w:r>
            <w:r w:rsidR="00FB1439" w:rsidRPr="00646D82">
              <w:rPr>
                <w:rFonts w:ascii="Times New Roman" w:hAnsi="Times New Roman" w:cs="Times New Roman"/>
                <w:kern w:val="22"/>
                <w:szCs w:val="22"/>
              </w:rPr>
              <w:t xml:space="preserve"> (Q 38)</w:t>
            </w:r>
            <w:r w:rsidR="002A26C8" w:rsidRPr="00646D82">
              <w:rPr>
                <w:rFonts w:ascii="Times New Roman" w:hAnsi="Times New Roman" w:cs="Times New Roman"/>
                <w:kern w:val="22"/>
                <w:szCs w:val="22"/>
              </w:rPr>
              <w:t>.</w:t>
            </w:r>
          </w:p>
          <w:p w14:paraId="696A764A" w14:textId="2A64EA91" w:rsidR="00513E51" w:rsidRPr="00646D82" w:rsidRDefault="00355799" w:rsidP="00513E51">
            <w:pPr>
              <w:pStyle w:val="Para1"/>
              <w:suppressLineNumbers/>
              <w:suppressAutoHyphens/>
              <w:rPr>
                <w:rFonts w:ascii="Times New Roman" w:eastAsia="Times New Roman" w:hAnsi="Times New Roman" w:cs="Times New Roman"/>
                <w:kern w:val="22"/>
                <w:szCs w:val="22"/>
              </w:rPr>
            </w:pPr>
            <w:r w:rsidRPr="00646D82">
              <w:rPr>
                <w:rFonts w:ascii="Times New Roman" w:hAnsi="Times New Roman" w:cs="Times New Roman"/>
                <w:kern w:val="22"/>
                <w:szCs w:val="22"/>
              </w:rPr>
              <w:t xml:space="preserve"> 21 Parties have taken measures with the aim of ensuring that traditional knowledge associated with genetic resources that is held by IPLCs have been accessed with the PIC or approval and involvement of these IPLCs and that MAT have been established as provided in Article 7. This represents 43% of Parties with indigenous peoples and local communities in their country</w:t>
            </w:r>
            <w:r w:rsidR="00FB1439" w:rsidRPr="00646D82">
              <w:rPr>
                <w:rFonts w:ascii="Times New Roman" w:hAnsi="Times New Roman" w:cs="Times New Roman"/>
                <w:kern w:val="22"/>
                <w:szCs w:val="22"/>
              </w:rPr>
              <w:t xml:space="preserve"> (Q</w:t>
            </w:r>
            <w:r w:rsidR="002A26C8" w:rsidRPr="00646D82">
              <w:rPr>
                <w:rFonts w:ascii="Times New Roman" w:hAnsi="Times New Roman" w:cs="Times New Roman"/>
                <w:kern w:val="22"/>
                <w:szCs w:val="22"/>
              </w:rPr>
              <w:t>.</w:t>
            </w:r>
            <w:r w:rsidR="00FB1439" w:rsidRPr="00646D82">
              <w:rPr>
                <w:rFonts w:ascii="Times New Roman" w:hAnsi="Times New Roman" w:cs="Times New Roman"/>
                <w:kern w:val="22"/>
                <w:szCs w:val="22"/>
              </w:rPr>
              <w:t xml:space="preserve"> 39)</w:t>
            </w:r>
            <w:r w:rsidR="002A26C8" w:rsidRPr="00646D82">
              <w:rPr>
                <w:rFonts w:ascii="Times New Roman" w:hAnsi="Times New Roman" w:cs="Times New Roman"/>
                <w:kern w:val="22"/>
                <w:szCs w:val="22"/>
              </w:rPr>
              <w:t>.</w:t>
            </w:r>
          </w:p>
        </w:tc>
      </w:tr>
    </w:tbl>
    <w:p w14:paraId="27222252" w14:textId="1C830309" w:rsidR="00665523" w:rsidRPr="00646D82" w:rsidRDefault="00665523" w:rsidP="00A62394">
      <w:pPr>
        <w:pStyle w:val="Para1"/>
        <w:suppressLineNumbers/>
        <w:suppressAutoHyphens/>
        <w:rPr>
          <w:kern w:val="22"/>
          <w:szCs w:val="22"/>
        </w:rPr>
      </w:pPr>
    </w:p>
    <w:p w14:paraId="638B7742" w14:textId="3FF37D91" w:rsidR="00095DA4" w:rsidRPr="00646D82" w:rsidRDefault="00095DA4" w:rsidP="008E4A3A">
      <w:pPr>
        <w:pStyle w:val="Para1"/>
        <w:numPr>
          <w:ilvl w:val="0"/>
          <w:numId w:val="12"/>
        </w:numPr>
        <w:suppressLineNumbers/>
        <w:suppressAutoHyphens/>
        <w:rPr>
          <w:rFonts w:eastAsia="Calibri"/>
          <w:noProof/>
          <w:color w:val="000000"/>
          <w:kern w:val="22"/>
          <w:szCs w:val="22"/>
          <w:u w:color="000000"/>
        </w:rPr>
      </w:pPr>
      <w:r w:rsidRPr="00646D82">
        <w:rPr>
          <w:rFonts w:eastAsia="Calibri"/>
          <w:i/>
          <w:noProof/>
          <w:color w:val="000000"/>
          <w:kern w:val="22"/>
          <w:szCs w:val="22"/>
          <w:u w:color="000000"/>
        </w:rPr>
        <w:t xml:space="preserve">Other provisions of the Protocol </w:t>
      </w:r>
      <w:r w:rsidR="00A9618D" w:rsidRPr="00646D82">
        <w:rPr>
          <w:rFonts w:eastAsia="Calibri"/>
          <w:noProof/>
          <w:color w:val="000000"/>
          <w:kern w:val="22"/>
          <w:szCs w:val="22"/>
          <w:u w:color="000000"/>
        </w:rPr>
        <w:t xml:space="preserve">The following provides a brief summary of the type of information provided in the interim national report in relation to Article 9, 11, 21, 22 and 23 of the Protocol. </w:t>
      </w:r>
      <w:r w:rsidR="00EC3661" w:rsidRPr="00646D82">
        <w:rPr>
          <w:rFonts w:eastAsia="Calibri"/>
          <w:noProof/>
          <w:color w:val="000000"/>
          <w:kern w:val="22"/>
          <w:szCs w:val="22"/>
          <w:u w:color="000000"/>
        </w:rPr>
        <w:t xml:space="preserve">These provisions are </w:t>
      </w:r>
      <w:r w:rsidR="00362637" w:rsidRPr="00646D82">
        <w:rPr>
          <w:rFonts w:eastAsia="Calibri"/>
          <w:noProof/>
          <w:color w:val="000000"/>
          <w:kern w:val="22"/>
          <w:szCs w:val="22"/>
          <w:u w:color="000000"/>
        </w:rPr>
        <w:t>not covere</w:t>
      </w:r>
      <w:r w:rsidR="00EC3661" w:rsidRPr="00646D82">
        <w:rPr>
          <w:rFonts w:eastAsia="Calibri"/>
          <w:noProof/>
          <w:color w:val="000000"/>
          <w:kern w:val="22"/>
          <w:szCs w:val="22"/>
          <w:u w:color="000000"/>
        </w:rPr>
        <w:t>d by any element and were not examined by the Compliance Committee.</w:t>
      </w:r>
      <w:r w:rsidR="00C11959" w:rsidRPr="00646D82">
        <w:rPr>
          <w:kern w:val="22"/>
          <w:szCs w:val="22"/>
        </w:rPr>
        <w:t xml:space="preserve"> Other specific provisions of the Protocol are addressed under elements (b) (d) and (e) in subsequent sections.</w:t>
      </w:r>
    </w:p>
    <w:p w14:paraId="786B0626" w14:textId="1546E696" w:rsidR="00844B81" w:rsidRPr="00646D82" w:rsidRDefault="00A9618D" w:rsidP="008E4A3A">
      <w:pPr>
        <w:pStyle w:val="Para1"/>
        <w:numPr>
          <w:ilvl w:val="0"/>
          <w:numId w:val="12"/>
        </w:numPr>
        <w:suppressLineNumbers/>
        <w:suppressAutoHyphens/>
        <w:rPr>
          <w:kern w:val="22"/>
          <w:szCs w:val="22"/>
        </w:rPr>
      </w:pPr>
      <w:r w:rsidRPr="00646D82">
        <w:rPr>
          <w:kern w:val="22"/>
          <w:szCs w:val="22"/>
        </w:rPr>
        <w:t>Most Parties encourage users and providers to direct benefits arising from the utilization of genetic resources towards the conservation of biological diversity and sustainable use of its components according to Article 9</w:t>
      </w:r>
      <w:r w:rsidR="00844B81" w:rsidRPr="00646D82">
        <w:rPr>
          <w:kern w:val="22"/>
          <w:szCs w:val="22"/>
        </w:rPr>
        <w:t xml:space="preserve"> (question 45). </w:t>
      </w:r>
    </w:p>
    <w:p w14:paraId="3CD7E494" w14:textId="553CEBFC" w:rsidR="00A9618D" w:rsidRPr="00646D82" w:rsidRDefault="00844B81" w:rsidP="008E4A3A">
      <w:pPr>
        <w:pStyle w:val="Para1"/>
        <w:numPr>
          <w:ilvl w:val="0"/>
          <w:numId w:val="12"/>
        </w:numPr>
        <w:suppressLineNumbers/>
        <w:suppressAutoHyphens/>
        <w:rPr>
          <w:rFonts w:eastAsia="Calibri"/>
          <w:noProof/>
          <w:color w:val="000000"/>
          <w:kern w:val="22"/>
          <w:szCs w:val="22"/>
          <w:u w:color="000000"/>
        </w:rPr>
      </w:pPr>
      <w:r w:rsidRPr="00646D82">
        <w:rPr>
          <w:kern w:val="22"/>
          <w:szCs w:val="22"/>
        </w:rPr>
        <w:t xml:space="preserve">In relation to transboundary cooperation (Article 11), some countries indicated that no cases had yet been identified of access to genetic resources or associated traditional knowledge located in the territory of more than one country, and that there was a need to gain more experience on this issue. Some countries reported that if the cases arise they </w:t>
      </w:r>
      <w:r w:rsidR="00825DE5" w:rsidRPr="00646D82">
        <w:rPr>
          <w:kern w:val="22"/>
          <w:szCs w:val="22"/>
        </w:rPr>
        <w:t>endeavour</w:t>
      </w:r>
      <w:r w:rsidRPr="00646D82">
        <w:rPr>
          <w:kern w:val="22"/>
          <w:szCs w:val="22"/>
        </w:rPr>
        <w:t xml:space="preserve"> to cooperate, and some stated t</w:t>
      </w:r>
      <w:r w:rsidR="001A082A" w:rsidRPr="00646D82">
        <w:rPr>
          <w:kern w:val="22"/>
          <w:szCs w:val="22"/>
        </w:rPr>
        <w:t>hat the situation will be dealt with</w:t>
      </w:r>
      <w:r w:rsidRPr="00646D82">
        <w:rPr>
          <w:kern w:val="22"/>
          <w:szCs w:val="22"/>
        </w:rPr>
        <w:t xml:space="preserve"> on a case-by-case basis.</w:t>
      </w:r>
      <w:r w:rsidRPr="00646D82">
        <w:rPr>
          <w:rFonts w:eastAsia="Calibri"/>
          <w:noProof/>
          <w:color w:val="000000"/>
          <w:kern w:val="22"/>
          <w:szCs w:val="22"/>
          <w:u w:color="000000"/>
        </w:rPr>
        <w:t xml:space="preserve"> Some countries provided information on other cooperation initiatives, organi</w:t>
      </w:r>
      <w:r w:rsidR="00825DE5" w:rsidRPr="00646D82">
        <w:rPr>
          <w:rFonts w:eastAsia="Calibri"/>
          <w:noProof/>
          <w:color w:val="000000"/>
          <w:kern w:val="22"/>
          <w:szCs w:val="22"/>
          <w:u w:color="000000"/>
        </w:rPr>
        <w:t>z</w:t>
      </w:r>
      <w:r w:rsidRPr="00646D82">
        <w:rPr>
          <w:rFonts w:eastAsia="Calibri"/>
          <w:noProof/>
          <w:color w:val="000000"/>
          <w:kern w:val="22"/>
          <w:szCs w:val="22"/>
          <w:u w:color="000000"/>
        </w:rPr>
        <w:t xml:space="preserve">ations, and instruments they are part of, noting </w:t>
      </w:r>
      <w:r w:rsidRPr="00646D82">
        <w:rPr>
          <w:rFonts w:eastAsia="Calibri"/>
          <w:noProof/>
          <w:color w:val="000000"/>
          <w:kern w:val="22"/>
          <w:szCs w:val="22"/>
        </w:rPr>
        <w:t>that the experience acquired</w:t>
      </w:r>
      <w:r w:rsidRPr="00646D82">
        <w:rPr>
          <w:rFonts w:eastAsia="Calibri"/>
          <w:noProof/>
          <w:color w:val="000000"/>
          <w:kern w:val="22"/>
          <w:szCs w:val="22"/>
          <w:u w:color="000000"/>
        </w:rPr>
        <w:t xml:space="preserve"> through these initiatives could be useful for transboundary cooperation in the context of the Nagoya Protocol (questions 4</w:t>
      </w:r>
      <w:r w:rsidR="001865DA" w:rsidRPr="00646D82">
        <w:rPr>
          <w:rFonts w:eastAsia="Calibri"/>
          <w:noProof/>
          <w:color w:val="000000"/>
          <w:kern w:val="22"/>
          <w:szCs w:val="22"/>
          <w:u w:color="000000"/>
        </w:rPr>
        <w:t>8</w:t>
      </w:r>
      <w:r w:rsidRPr="00646D82">
        <w:rPr>
          <w:rFonts w:eastAsia="Calibri"/>
          <w:noProof/>
          <w:color w:val="000000"/>
          <w:kern w:val="22"/>
          <w:szCs w:val="22"/>
          <w:u w:color="000000"/>
        </w:rPr>
        <w:t xml:space="preserve"> to </w:t>
      </w:r>
      <w:r w:rsidR="001865DA" w:rsidRPr="00646D82">
        <w:rPr>
          <w:rFonts w:eastAsia="Calibri"/>
          <w:noProof/>
          <w:color w:val="000000"/>
          <w:kern w:val="22"/>
          <w:szCs w:val="22"/>
          <w:u w:color="000000"/>
        </w:rPr>
        <w:t>50</w:t>
      </w:r>
      <w:r w:rsidRPr="00646D82">
        <w:rPr>
          <w:rFonts w:eastAsia="Calibri"/>
          <w:noProof/>
          <w:color w:val="000000"/>
          <w:kern w:val="22"/>
          <w:szCs w:val="22"/>
          <w:u w:color="000000"/>
        </w:rPr>
        <w:t>)</w:t>
      </w:r>
      <w:r w:rsidR="00825DE5" w:rsidRPr="00646D82">
        <w:rPr>
          <w:rFonts w:eastAsia="Calibri"/>
          <w:noProof/>
          <w:color w:val="000000"/>
          <w:kern w:val="22"/>
          <w:szCs w:val="22"/>
          <w:u w:color="000000"/>
        </w:rPr>
        <w:t>.</w:t>
      </w:r>
    </w:p>
    <w:p w14:paraId="4168D682" w14:textId="3C7EE3DC" w:rsidR="00095DA4" w:rsidRPr="00646D82" w:rsidRDefault="00095DA4" w:rsidP="008E4A3A">
      <w:pPr>
        <w:pStyle w:val="Para1"/>
        <w:numPr>
          <w:ilvl w:val="0"/>
          <w:numId w:val="12"/>
        </w:numPr>
        <w:suppressLineNumbers/>
        <w:suppressAutoHyphens/>
        <w:rPr>
          <w:rFonts w:eastAsia="Calibri"/>
          <w:noProof/>
          <w:color w:val="000000"/>
          <w:kern w:val="22"/>
          <w:szCs w:val="22"/>
          <w:u w:color="000000"/>
        </w:rPr>
      </w:pPr>
      <w:r w:rsidRPr="00646D82">
        <w:rPr>
          <w:rFonts w:eastAsia="Calibri"/>
          <w:noProof/>
          <w:color w:val="000000"/>
          <w:kern w:val="22"/>
          <w:szCs w:val="22"/>
          <w:u w:color="000000"/>
        </w:rPr>
        <w:t>Parties reported on a number of activities to implement Article 21</w:t>
      </w:r>
      <w:r w:rsidR="00844B81" w:rsidRPr="00646D82">
        <w:rPr>
          <w:rFonts w:eastAsia="Calibri"/>
          <w:noProof/>
          <w:color w:val="000000"/>
          <w:kern w:val="22"/>
          <w:szCs w:val="22"/>
          <w:u w:color="000000"/>
        </w:rPr>
        <w:t xml:space="preserve"> (awareness-raising)</w:t>
      </w:r>
      <w:r w:rsidRPr="00646D82">
        <w:rPr>
          <w:rFonts w:eastAsia="Calibri"/>
          <w:noProof/>
          <w:color w:val="000000"/>
          <w:kern w:val="22"/>
          <w:szCs w:val="22"/>
          <w:u w:color="000000"/>
        </w:rPr>
        <w:t xml:space="preserve"> and Article</w:t>
      </w:r>
      <w:r w:rsidR="00825DE5" w:rsidRPr="00646D82">
        <w:rPr>
          <w:rFonts w:eastAsia="Calibri"/>
          <w:noProof/>
          <w:color w:val="000000"/>
          <w:kern w:val="22"/>
          <w:szCs w:val="22"/>
          <w:u w:color="000000"/>
        </w:rPr>
        <w:t> </w:t>
      </w:r>
      <w:r w:rsidRPr="00646D82">
        <w:rPr>
          <w:rFonts w:eastAsia="Calibri"/>
          <w:noProof/>
          <w:color w:val="000000"/>
          <w:kern w:val="22"/>
          <w:szCs w:val="22"/>
          <w:u w:color="000000"/>
        </w:rPr>
        <w:t>22</w:t>
      </w:r>
      <w:r w:rsidR="00844B81" w:rsidRPr="00646D82">
        <w:rPr>
          <w:rFonts w:eastAsia="Calibri"/>
          <w:noProof/>
          <w:color w:val="000000"/>
          <w:kern w:val="22"/>
          <w:szCs w:val="22"/>
          <w:u w:color="000000"/>
        </w:rPr>
        <w:t xml:space="preserve"> (capacity-building)</w:t>
      </w:r>
      <w:r w:rsidRPr="00646D82">
        <w:rPr>
          <w:rFonts w:eastAsia="Calibri"/>
          <w:noProof/>
          <w:color w:val="000000"/>
          <w:kern w:val="22"/>
          <w:szCs w:val="22"/>
          <w:u w:color="000000"/>
        </w:rPr>
        <w:t>, the organi</w:t>
      </w:r>
      <w:r w:rsidR="002B45AA" w:rsidRPr="00646D82">
        <w:rPr>
          <w:rFonts w:eastAsia="Calibri"/>
          <w:noProof/>
          <w:color w:val="000000"/>
          <w:kern w:val="22"/>
          <w:szCs w:val="22"/>
          <w:u w:color="000000"/>
        </w:rPr>
        <w:t>z</w:t>
      </w:r>
      <w:r w:rsidRPr="00646D82">
        <w:rPr>
          <w:rFonts w:eastAsia="Calibri"/>
          <w:noProof/>
          <w:color w:val="000000"/>
          <w:kern w:val="22"/>
          <w:szCs w:val="22"/>
          <w:u w:color="000000"/>
        </w:rPr>
        <w:t xml:space="preserve">ation of workshops and </w:t>
      </w:r>
      <w:r w:rsidR="00704F10" w:rsidRPr="00646D82">
        <w:rPr>
          <w:rFonts w:eastAsia="Calibri"/>
          <w:noProof/>
          <w:color w:val="000000"/>
          <w:kern w:val="22"/>
          <w:szCs w:val="22"/>
          <w:u w:color="000000"/>
        </w:rPr>
        <w:t>meetings</w:t>
      </w:r>
      <w:r w:rsidR="000211B5" w:rsidRPr="00646D82">
        <w:rPr>
          <w:rFonts w:eastAsia="Calibri"/>
          <w:noProof/>
          <w:color w:val="000000"/>
          <w:kern w:val="22"/>
          <w:szCs w:val="22"/>
          <w:u w:color="000000"/>
        </w:rPr>
        <w:t xml:space="preserve"> being</w:t>
      </w:r>
      <w:r w:rsidRPr="00646D82">
        <w:rPr>
          <w:rFonts w:eastAsia="Calibri"/>
          <w:noProof/>
          <w:color w:val="000000"/>
          <w:kern w:val="22"/>
          <w:szCs w:val="22"/>
          <w:u w:color="000000"/>
        </w:rPr>
        <w:t xml:space="preserve"> the most common activity organised both to raise awareness and build capacity about the Protocol. Some reported having developed programmes or strategies to </w:t>
      </w:r>
      <w:r w:rsidR="000211B5" w:rsidRPr="00646D82">
        <w:rPr>
          <w:rFonts w:eastAsia="Calibri"/>
          <w:noProof/>
          <w:color w:val="000000"/>
          <w:kern w:val="22"/>
          <w:szCs w:val="22"/>
          <w:u w:color="000000"/>
        </w:rPr>
        <w:t>implement these artic</w:t>
      </w:r>
      <w:r w:rsidRPr="00646D82">
        <w:rPr>
          <w:rFonts w:eastAsia="Calibri"/>
          <w:noProof/>
          <w:color w:val="000000"/>
          <w:kern w:val="22"/>
          <w:szCs w:val="22"/>
          <w:u w:color="000000"/>
        </w:rPr>
        <w:t xml:space="preserve">les. The majority of countries recognized that they require more capacity to implement the Protocol. The need to raise awareness </w:t>
      </w:r>
      <w:r w:rsidR="00704F10" w:rsidRPr="00646D82">
        <w:rPr>
          <w:rFonts w:eastAsia="Calibri"/>
          <w:noProof/>
          <w:color w:val="000000"/>
          <w:kern w:val="22"/>
          <w:szCs w:val="22"/>
          <w:u w:color="000000"/>
        </w:rPr>
        <w:t xml:space="preserve">about </w:t>
      </w:r>
      <w:r w:rsidRPr="00646D82">
        <w:rPr>
          <w:rFonts w:eastAsia="Calibri"/>
          <w:noProof/>
          <w:color w:val="000000"/>
          <w:kern w:val="22"/>
          <w:szCs w:val="22"/>
          <w:u w:color="000000"/>
        </w:rPr>
        <w:t>the Protocol and ABS was also noted by many.</w:t>
      </w:r>
    </w:p>
    <w:p w14:paraId="6DFA23C6" w14:textId="6AF84443" w:rsidR="00095DA4" w:rsidRPr="00646D82" w:rsidRDefault="00095DA4" w:rsidP="008E4A3A">
      <w:pPr>
        <w:pStyle w:val="Para1"/>
        <w:numPr>
          <w:ilvl w:val="0"/>
          <w:numId w:val="12"/>
        </w:numPr>
        <w:suppressLineNumbers/>
        <w:suppressAutoHyphens/>
        <w:rPr>
          <w:rFonts w:eastAsia="Calibri"/>
          <w:noProof/>
          <w:color w:val="000000"/>
          <w:kern w:val="22"/>
          <w:szCs w:val="22"/>
          <w:u w:color="000000"/>
        </w:rPr>
      </w:pPr>
      <w:r w:rsidRPr="00646D82">
        <w:rPr>
          <w:rFonts w:eastAsia="Calibri"/>
          <w:noProof/>
          <w:color w:val="000000"/>
          <w:kern w:val="22"/>
          <w:szCs w:val="22"/>
          <w:u w:color="000000"/>
        </w:rPr>
        <w:t xml:space="preserve">Some countries specified that further capacity was needed to achieve the following goals: (a) provide information to the ABS Clearing-House; (b) mobilize financial resources; (c) communicate ABS issues; (d) identify checkpoints and monitor the utilization of genetic resources; (d) negotiate mutually agreed terms and understand the value of genetic resources; and (e) add value to their own genetic resources. The need to enhance the capacity of relevant stakeholders in relation to ABS </w:t>
      </w:r>
      <w:r w:rsidR="00844B81" w:rsidRPr="00646D82">
        <w:rPr>
          <w:rFonts w:eastAsia="Calibri"/>
          <w:noProof/>
          <w:color w:val="000000"/>
          <w:kern w:val="22"/>
          <w:szCs w:val="22"/>
          <w:u w:color="000000"/>
        </w:rPr>
        <w:t>and of IPLCs was also emphasize</w:t>
      </w:r>
      <w:r w:rsidR="00704F10" w:rsidRPr="00646D82">
        <w:rPr>
          <w:rFonts w:eastAsia="Calibri"/>
          <w:noProof/>
          <w:color w:val="000000"/>
          <w:kern w:val="22"/>
          <w:szCs w:val="22"/>
          <w:u w:color="000000"/>
        </w:rPr>
        <w:t>d</w:t>
      </w:r>
      <w:r w:rsidR="00844B81" w:rsidRPr="00646D82">
        <w:rPr>
          <w:rFonts w:eastAsia="Calibri"/>
          <w:noProof/>
          <w:color w:val="000000"/>
          <w:kern w:val="22"/>
          <w:szCs w:val="22"/>
          <w:u w:color="000000"/>
        </w:rPr>
        <w:t xml:space="preserve"> (question 54-58)</w:t>
      </w:r>
      <w:r w:rsidRPr="00646D82">
        <w:rPr>
          <w:rFonts w:eastAsia="Calibri"/>
          <w:noProof/>
          <w:color w:val="000000"/>
          <w:kern w:val="22"/>
          <w:szCs w:val="22"/>
          <w:u w:color="000000"/>
        </w:rPr>
        <w:t xml:space="preserve">. </w:t>
      </w:r>
    </w:p>
    <w:p w14:paraId="6D464FE9" w14:textId="515FBA45" w:rsidR="0026216B" w:rsidRPr="00646D82" w:rsidRDefault="00095DA4" w:rsidP="00646D82">
      <w:pPr>
        <w:pStyle w:val="Para1"/>
        <w:numPr>
          <w:ilvl w:val="0"/>
          <w:numId w:val="12"/>
        </w:numPr>
        <w:suppressLineNumbers/>
        <w:suppressAutoHyphens/>
        <w:rPr>
          <w:b/>
          <w:kern w:val="22"/>
          <w:szCs w:val="22"/>
        </w:rPr>
      </w:pPr>
      <w:r w:rsidRPr="00646D82">
        <w:rPr>
          <w:rFonts w:eastAsia="Calibri"/>
          <w:noProof/>
          <w:color w:val="000000"/>
          <w:kern w:val="22"/>
          <w:szCs w:val="22"/>
          <w:u w:color="000000"/>
        </w:rPr>
        <w:t xml:space="preserve">The type of information provided </w:t>
      </w:r>
      <w:r w:rsidR="00844B81" w:rsidRPr="00646D82">
        <w:rPr>
          <w:rFonts w:eastAsia="Calibri"/>
          <w:noProof/>
          <w:color w:val="000000"/>
          <w:kern w:val="22"/>
          <w:szCs w:val="22"/>
          <w:u w:color="000000"/>
        </w:rPr>
        <w:t xml:space="preserve">with </w:t>
      </w:r>
      <w:r w:rsidR="00C11959" w:rsidRPr="00646D82">
        <w:rPr>
          <w:rFonts w:eastAsia="Calibri"/>
          <w:noProof/>
          <w:color w:val="000000"/>
          <w:kern w:val="22"/>
          <w:szCs w:val="22"/>
          <w:u w:color="000000"/>
        </w:rPr>
        <w:t xml:space="preserve">respect to </w:t>
      </w:r>
      <w:r w:rsidR="001865DA" w:rsidRPr="00646D82">
        <w:rPr>
          <w:rFonts w:eastAsia="Calibri"/>
          <w:noProof/>
          <w:color w:val="000000"/>
          <w:kern w:val="22"/>
          <w:szCs w:val="22"/>
          <w:u w:color="000000"/>
        </w:rPr>
        <w:t>A</w:t>
      </w:r>
      <w:r w:rsidR="00844B81" w:rsidRPr="00646D82">
        <w:rPr>
          <w:rFonts w:eastAsia="Calibri"/>
          <w:noProof/>
          <w:color w:val="000000"/>
          <w:kern w:val="22"/>
          <w:szCs w:val="22"/>
          <w:u w:color="000000"/>
        </w:rPr>
        <w:t xml:space="preserve">rticle 23 on technology transfer, collaboration and cooperation </w:t>
      </w:r>
      <w:r w:rsidR="00C11959" w:rsidRPr="00646D82">
        <w:rPr>
          <w:rFonts w:eastAsia="Calibri"/>
          <w:noProof/>
          <w:color w:val="000000"/>
          <w:kern w:val="22"/>
          <w:szCs w:val="22"/>
          <w:u w:color="000000"/>
        </w:rPr>
        <w:t xml:space="preserve">(in reponse to question 59) </w:t>
      </w:r>
      <w:r w:rsidRPr="00646D82">
        <w:rPr>
          <w:rFonts w:eastAsia="Calibri"/>
          <w:noProof/>
          <w:color w:val="000000"/>
          <w:kern w:val="22"/>
          <w:szCs w:val="22"/>
          <w:u w:color="000000"/>
        </w:rPr>
        <w:t xml:space="preserve">varied from country to country. Some countries reported on research projects or instances of collaboration and cooperation between research centres or universities in technical and scientific research. Several countries  provided information on national programmes or institutions dealing with scientific research and development programmes or shared information on their on-going research projects.  </w:t>
      </w:r>
      <w:r w:rsidR="000211B5" w:rsidRPr="00646D82">
        <w:rPr>
          <w:rFonts w:eastAsia="Calibri"/>
          <w:noProof/>
          <w:color w:val="000000"/>
          <w:kern w:val="22"/>
          <w:szCs w:val="22"/>
          <w:u w:color="000000"/>
        </w:rPr>
        <w:t>S</w:t>
      </w:r>
      <w:r w:rsidRPr="00646D82">
        <w:rPr>
          <w:rFonts w:eastAsia="Calibri"/>
          <w:noProof/>
          <w:color w:val="000000"/>
          <w:kern w:val="22"/>
          <w:szCs w:val="22"/>
          <w:u w:color="000000"/>
        </w:rPr>
        <w:t>ome other countries provided information on their funding to research and development programmes or on their contributions to ABS capacity projects or initiatives.</w:t>
      </w:r>
    </w:p>
    <w:p w14:paraId="3D74A005" w14:textId="08AE92FB" w:rsidR="00704F10" w:rsidRPr="00646D82" w:rsidRDefault="00F60BFC" w:rsidP="00646D82">
      <w:pPr>
        <w:pStyle w:val="ListParagraph"/>
        <w:keepNext/>
        <w:numPr>
          <w:ilvl w:val="0"/>
          <w:numId w:val="10"/>
        </w:numPr>
        <w:suppressLineNumbers/>
        <w:tabs>
          <w:tab w:val="left" w:pos="360"/>
        </w:tabs>
        <w:suppressAutoHyphens/>
        <w:kinsoku w:val="0"/>
        <w:overflowPunct w:val="0"/>
        <w:autoSpaceDE w:val="0"/>
        <w:autoSpaceDN w:val="0"/>
        <w:spacing w:before="120" w:after="120"/>
        <w:ind w:left="0" w:firstLine="0"/>
        <w:jc w:val="center"/>
        <w:rPr>
          <w:rFonts w:eastAsia="Calibri"/>
          <w:i/>
          <w:noProof/>
          <w:snapToGrid w:val="0"/>
          <w:color w:val="000000"/>
          <w:kern w:val="22"/>
          <w:szCs w:val="22"/>
          <w:u w:color="000000"/>
        </w:rPr>
      </w:pPr>
      <w:r w:rsidRPr="00646D82">
        <w:rPr>
          <w:rFonts w:eastAsia="Calibri"/>
          <w:i/>
          <w:noProof/>
          <w:snapToGrid w:val="0"/>
          <w:color w:val="000000"/>
          <w:kern w:val="22"/>
          <w:szCs w:val="22"/>
          <w:u w:color="000000"/>
        </w:rPr>
        <w:t>F</w:t>
      </w:r>
      <w:r w:rsidR="00F05C7A" w:rsidRPr="00646D82">
        <w:rPr>
          <w:rFonts w:eastAsia="Calibri"/>
          <w:i/>
          <w:noProof/>
          <w:snapToGrid w:val="0"/>
          <w:color w:val="000000"/>
          <w:kern w:val="22"/>
          <w:szCs w:val="22"/>
          <w:u w:color="000000"/>
        </w:rPr>
        <w:t>indings and recommendations</w:t>
      </w:r>
    </w:p>
    <w:p w14:paraId="3E2BBBC1" w14:textId="77777777" w:rsidR="00704F10" w:rsidRPr="002A4D34" w:rsidRDefault="00704F10" w:rsidP="00704F10">
      <w:pPr>
        <w:pStyle w:val="ListParagraph"/>
        <w:keepNext/>
        <w:suppressLineNumbers/>
        <w:tabs>
          <w:tab w:val="left" w:pos="360"/>
        </w:tabs>
        <w:suppressAutoHyphens/>
        <w:kinsoku w:val="0"/>
        <w:overflowPunct w:val="0"/>
        <w:autoSpaceDE w:val="0"/>
        <w:autoSpaceDN w:val="0"/>
        <w:spacing w:before="120" w:after="120"/>
        <w:ind w:left="900"/>
        <w:rPr>
          <w:rFonts w:eastAsia="Calibri"/>
          <w:b/>
          <w:i/>
          <w:noProof/>
          <w:snapToGrid w:val="0"/>
          <w:color w:val="000000"/>
          <w:kern w:val="22"/>
          <w:szCs w:val="22"/>
          <w:u w:color="000000"/>
        </w:rPr>
      </w:pPr>
    </w:p>
    <w:p w14:paraId="2ECEB015" w14:textId="77777777" w:rsidR="00F05C7A" w:rsidRPr="00646D82" w:rsidRDefault="00F05C7A" w:rsidP="00704F10">
      <w:pPr>
        <w:pStyle w:val="ListParagraph"/>
        <w:keepNext/>
        <w:numPr>
          <w:ilvl w:val="1"/>
          <w:numId w:val="12"/>
        </w:numPr>
        <w:suppressLineNumbers/>
        <w:tabs>
          <w:tab w:val="left" w:pos="90"/>
          <w:tab w:val="left" w:pos="360"/>
        </w:tabs>
        <w:suppressAutoHyphens/>
        <w:kinsoku w:val="0"/>
        <w:overflowPunct w:val="0"/>
        <w:autoSpaceDE w:val="0"/>
        <w:autoSpaceDN w:val="0"/>
        <w:spacing w:before="120" w:after="120"/>
        <w:ind w:left="180" w:firstLine="0"/>
        <w:rPr>
          <w:rFonts w:eastAsia="Calibri"/>
          <w:i/>
          <w:noProof/>
          <w:snapToGrid w:val="0"/>
          <w:color w:val="000000"/>
          <w:kern w:val="22"/>
          <w:szCs w:val="22"/>
          <w:u w:color="000000"/>
        </w:rPr>
      </w:pPr>
      <w:r w:rsidRPr="00646D82">
        <w:rPr>
          <w:rFonts w:eastAsia="Calibri"/>
          <w:i/>
          <w:noProof/>
          <w:snapToGrid w:val="0"/>
          <w:color w:val="000000"/>
          <w:kern w:val="22"/>
          <w:szCs w:val="22"/>
          <w:u w:color="000000"/>
        </w:rPr>
        <w:t xml:space="preserve"> </w:t>
      </w:r>
      <w:r w:rsidR="00704F10" w:rsidRPr="00646D82">
        <w:rPr>
          <w:rFonts w:eastAsia="Calibri"/>
          <w:i/>
          <w:noProof/>
          <w:snapToGrid w:val="0"/>
          <w:color w:val="000000"/>
          <w:kern w:val="22"/>
          <w:szCs w:val="22"/>
          <w:u w:color="000000"/>
        </w:rPr>
        <w:t xml:space="preserve">Finding and recommendations of the </w:t>
      </w:r>
      <w:r w:rsidRPr="00646D82">
        <w:rPr>
          <w:rFonts w:eastAsia="Calibri"/>
          <w:i/>
          <w:noProof/>
          <w:snapToGrid w:val="0"/>
          <w:color w:val="000000"/>
          <w:kern w:val="22"/>
          <w:szCs w:val="22"/>
          <w:u w:color="000000"/>
        </w:rPr>
        <w:t>Compliance Committee on general issues of compliance</w:t>
      </w:r>
      <w:r w:rsidR="00A21E87" w:rsidRPr="00646D82">
        <w:rPr>
          <w:rStyle w:val="FootnoteReference"/>
          <w:rFonts w:eastAsia="Calibri"/>
          <w:i/>
          <w:noProof/>
          <w:snapToGrid w:val="0"/>
          <w:color w:val="000000"/>
          <w:kern w:val="22"/>
          <w:sz w:val="22"/>
          <w:szCs w:val="22"/>
          <w:u w:color="000000"/>
        </w:rPr>
        <w:footnoteReference w:id="14"/>
      </w:r>
      <w:r w:rsidRPr="00646D82">
        <w:rPr>
          <w:rFonts w:eastAsia="Calibri"/>
          <w:i/>
          <w:noProof/>
          <w:snapToGrid w:val="0"/>
          <w:color w:val="000000"/>
          <w:kern w:val="22"/>
          <w:szCs w:val="22"/>
          <w:u w:color="000000"/>
        </w:rPr>
        <w:t xml:space="preserve"> </w:t>
      </w:r>
    </w:p>
    <w:p w14:paraId="4A45EEB8" w14:textId="77777777" w:rsidR="00F05C7A" w:rsidRPr="00646D82" w:rsidRDefault="00F05C7A" w:rsidP="008E4A3A">
      <w:pPr>
        <w:pStyle w:val="Para1"/>
        <w:numPr>
          <w:ilvl w:val="0"/>
          <w:numId w:val="12"/>
        </w:numPr>
        <w:suppressLineNumbers/>
        <w:suppressAutoHyphens/>
        <w:rPr>
          <w:kern w:val="22"/>
          <w:szCs w:val="22"/>
        </w:rPr>
      </w:pPr>
      <w:r w:rsidRPr="00646D82">
        <w:rPr>
          <w:kern w:val="22"/>
          <w:szCs w:val="22"/>
        </w:rPr>
        <w:t>The Nagoya Protocol is a new instrument, especially for those that have recently ratified it. In order to make the Protocol operational, Parties need to establish access and benefit-sharing legislative, administrative and policy measures and institutional arrangements and many Parties are still in the process of establishing these measures and institutions. For many Parties, this process is time-consuming and challenging.</w:t>
      </w:r>
    </w:p>
    <w:p w14:paraId="77E3E18E" w14:textId="77777777" w:rsidR="00F05C7A" w:rsidRPr="00646D82" w:rsidRDefault="00F05C7A" w:rsidP="008E4A3A">
      <w:pPr>
        <w:pStyle w:val="Para1"/>
        <w:numPr>
          <w:ilvl w:val="0"/>
          <w:numId w:val="12"/>
        </w:numPr>
        <w:suppressLineNumbers/>
        <w:suppressAutoHyphens/>
        <w:rPr>
          <w:kern w:val="22"/>
          <w:szCs w:val="22"/>
        </w:rPr>
      </w:pPr>
      <w:r w:rsidRPr="00646D82">
        <w:rPr>
          <w:kern w:val="22"/>
          <w:szCs w:val="22"/>
        </w:rPr>
        <w:t xml:space="preserve">Progress in establishing institutional arrangements, such as competent national authorities and checkpoints, is closely related to progress in adopting ABS measures. Some measures adopted prior to the Nagoya Protocol included the designation of competent national authorities. However, the designation of checkpoints is a new requirement created by the Protocol and still needs to be addressed by many Parties. </w:t>
      </w:r>
    </w:p>
    <w:p w14:paraId="7C51072F" w14:textId="77777777" w:rsidR="00F05C7A" w:rsidRPr="00646D82" w:rsidRDefault="00F05C7A" w:rsidP="008E4A3A">
      <w:pPr>
        <w:pStyle w:val="Para1"/>
        <w:numPr>
          <w:ilvl w:val="0"/>
          <w:numId w:val="12"/>
        </w:numPr>
        <w:suppressLineNumbers/>
        <w:suppressAutoHyphens/>
        <w:rPr>
          <w:kern w:val="22"/>
          <w:szCs w:val="22"/>
        </w:rPr>
      </w:pPr>
      <w:r w:rsidRPr="00646D82">
        <w:rPr>
          <w:kern w:val="22"/>
          <w:szCs w:val="22"/>
        </w:rPr>
        <w:t xml:space="preserve">Although the publication of mandatory information in the ABS Clearing-House is essential for the implementation of the Protocol, a number of Parties have not yet published on the ABS Clearing-House all available national information in accordance with Article 14 of the Nagoya Protocol. </w:t>
      </w:r>
    </w:p>
    <w:p w14:paraId="4B8D86FE" w14:textId="6079D38A" w:rsidR="00F05C7A" w:rsidRPr="00646D82" w:rsidRDefault="00F05C7A" w:rsidP="008E4A3A">
      <w:pPr>
        <w:pStyle w:val="Para1"/>
        <w:numPr>
          <w:ilvl w:val="0"/>
          <w:numId w:val="12"/>
        </w:numPr>
        <w:suppressLineNumbers/>
        <w:suppressAutoHyphens/>
        <w:rPr>
          <w:kern w:val="22"/>
          <w:szCs w:val="22"/>
        </w:rPr>
      </w:pPr>
      <w:r w:rsidRPr="00646D82">
        <w:rPr>
          <w:kern w:val="22"/>
          <w:szCs w:val="22"/>
        </w:rPr>
        <w:t xml:space="preserve">Considering its cross-cutting nature, the implementation of the Protocol requires the participation of indigenous peoples and local communities and relevant stakeholders (e.g. different business sectors and the scientific community) as well as coordination among different institutions and ministries (e.g. science and education, agriculture, trade, intellectual property). To assist in addressing this challenge, appropriate mechanisms could be established to facilitate coordination and participation, and awareness-raising and capacity-building may be required. </w:t>
      </w:r>
    </w:p>
    <w:p w14:paraId="0F808DED" w14:textId="77777777" w:rsidR="00F05C7A" w:rsidRPr="00646D82" w:rsidRDefault="00F05C7A" w:rsidP="008E4A3A">
      <w:pPr>
        <w:pStyle w:val="Para1"/>
        <w:numPr>
          <w:ilvl w:val="0"/>
          <w:numId w:val="12"/>
        </w:numPr>
        <w:suppressLineNumbers/>
        <w:suppressAutoHyphens/>
        <w:rPr>
          <w:kern w:val="22"/>
          <w:szCs w:val="22"/>
        </w:rPr>
      </w:pPr>
      <w:r w:rsidRPr="00646D82">
        <w:rPr>
          <w:kern w:val="22"/>
          <w:szCs w:val="22"/>
        </w:rPr>
        <w:t>Other key challenges include developing ABS measures that support benefit-sharing while creating legal certainty, avoiding unnecessary complexity, delays and increased burdens and costs on users and</w:t>
      </w:r>
      <w:r w:rsidRPr="00646D82" w:rsidDel="00560BF1">
        <w:rPr>
          <w:kern w:val="22"/>
          <w:szCs w:val="22"/>
        </w:rPr>
        <w:t xml:space="preserve"> </w:t>
      </w:r>
      <w:r w:rsidRPr="00646D82">
        <w:rPr>
          <w:kern w:val="22"/>
          <w:szCs w:val="22"/>
        </w:rPr>
        <w:t>limited human resources working on ABS and the Nagoya Protocol in many Parties.</w:t>
      </w:r>
    </w:p>
    <w:p w14:paraId="51D173CB" w14:textId="34270D90" w:rsidR="00F05C7A" w:rsidRPr="00646D82" w:rsidRDefault="00F05C7A" w:rsidP="008E4A3A">
      <w:pPr>
        <w:pStyle w:val="Para1"/>
        <w:numPr>
          <w:ilvl w:val="0"/>
          <w:numId w:val="12"/>
        </w:numPr>
        <w:suppressLineNumbers/>
        <w:suppressAutoHyphens/>
        <w:rPr>
          <w:kern w:val="22"/>
          <w:szCs w:val="22"/>
        </w:rPr>
      </w:pPr>
      <w:r w:rsidRPr="00646D82">
        <w:rPr>
          <w:kern w:val="22"/>
          <w:szCs w:val="22"/>
        </w:rPr>
        <w:t xml:space="preserve">In </w:t>
      </w:r>
      <w:r w:rsidR="007A6596" w:rsidRPr="00646D82">
        <w:rPr>
          <w:kern w:val="22"/>
          <w:szCs w:val="22"/>
        </w:rPr>
        <w:t xml:space="preserve">the </w:t>
      </w:r>
      <w:r w:rsidRPr="00646D82">
        <w:rPr>
          <w:kern w:val="22"/>
          <w:szCs w:val="22"/>
        </w:rPr>
        <w:t>light of these challenges, the development of interim measures could be considered as a first step. The needs of users of genetic resources and associated traditional knowledge from different sectors should also be taken into account in developing ABS measures. Regional approaches may also be useful to support harmonized implementation of the Protocol.</w:t>
      </w:r>
      <w:r w:rsidRPr="00646D82">
        <w:rPr>
          <w:rStyle w:val="FootnoteReference"/>
          <w:rFonts w:eastAsia="Calibri"/>
          <w:noProof/>
          <w:color w:val="000000"/>
          <w:sz w:val="22"/>
          <w:szCs w:val="22"/>
          <w:u w:color="000000"/>
        </w:rPr>
        <w:footnoteReference w:id="15"/>
      </w:r>
    </w:p>
    <w:p w14:paraId="6B542383" w14:textId="77777777" w:rsidR="00F05C7A" w:rsidRPr="00646D82" w:rsidRDefault="00F05C7A" w:rsidP="008E4A3A">
      <w:pPr>
        <w:pStyle w:val="Para1"/>
        <w:numPr>
          <w:ilvl w:val="0"/>
          <w:numId w:val="12"/>
        </w:numPr>
        <w:suppressLineNumbers/>
        <w:suppressAutoHyphens/>
        <w:rPr>
          <w:kern w:val="22"/>
          <w:szCs w:val="22"/>
        </w:rPr>
      </w:pPr>
      <w:r w:rsidRPr="00646D82">
        <w:rPr>
          <w:kern w:val="22"/>
          <w:szCs w:val="22"/>
        </w:rPr>
        <w:t xml:space="preserve">Implementing some of the new elements of the Protocol, namely the provisions on compliance, monitoring the utilization of genetic resources, including the designation of checkpoints, and the obligations related to indigenous peoples and local communities, presents a particular challenge. </w:t>
      </w:r>
    </w:p>
    <w:p w14:paraId="15E34098" w14:textId="77777777" w:rsidR="00F05C7A" w:rsidRPr="00646D82" w:rsidRDefault="00F05C7A" w:rsidP="008E4A3A">
      <w:pPr>
        <w:pStyle w:val="Para1"/>
        <w:numPr>
          <w:ilvl w:val="0"/>
          <w:numId w:val="12"/>
        </w:numPr>
        <w:suppressLineNumbers/>
        <w:suppressAutoHyphens/>
        <w:rPr>
          <w:kern w:val="22"/>
          <w:szCs w:val="22"/>
        </w:rPr>
      </w:pPr>
      <w:r w:rsidRPr="00646D82">
        <w:rPr>
          <w:kern w:val="22"/>
          <w:szCs w:val="22"/>
        </w:rPr>
        <w:t>The Nagoya Protocol does not distinguish between countries that are users and countries that are providers of genetic resources and obligations in the Protocol apply to all Parties, including provisions related to compliance with domestic legislation or regulatory requirements according to Articles 15 and 16.</w:t>
      </w:r>
    </w:p>
    <w:p w14:paraId="4A31BF31" w14:textId="16C323D1" w:rsidR="00F05C7A" w:rsidRPr="00646D82" w:rsidRDefault="00F05C7A" w:rsidP="008E4A3A">
      <w:pPr>
        <w:pStyle w:val="Para1"/>
        <w:numPr>
          <w:ilvl w:val="0"/>
          <w:numId w:val="12"/>
        </w:numPr>
        <w:suppressLineNumbers/>
        <w:suppressAutoHyphens/>
        <w:rPr>
          <w:kern w:val="22"/>
          <w:szCs w:val="22"/>
        </w:rPr>
      </w:pPr>
      <w:r w:rsidRPr="00646D82">
        <w:rPr>
          <w:kern w:val="22"/>
          <w:szCs w:val="22"/>
        </w:rPr>
        <w:t xml:space="preserve">With respect to checkpoints, there is a need for Parties to better understand their functions and options for their designation in </w:t>
      </w:r>
      <w:r w:rsidR="00AA2D65" w:rsidRPr="00646D82">
        <w:rPr>
          <w:kern w:val="22"/>
          <w:szCs w:val="22"/>
        </w:rPr>
        <w:t xml:space="preserve">the </w:t>
      </w:r>
      <w:r w:rsidRPr="00646D82">
        <w:rPr>
          <w:kern w:val="22"/>
          <w:szCs w:val="22"/>
        </w:rPr>
        <w:t xml:space="preserve">light of </w:t>
      </w:r>
      <w:r w:rsidR="00A825F0" w:rsidRPr="00646D82">
        <w:rPr>
          <w:kern w:val="22"/>
          <w:szCs w:val="22"/>
        </w:rPr>
        <w:t xml:space="preserve">their </w:t>
      </w:r>
      <w:r w:rsidRPr="00646D82">
        <w:rPr>
          <w:kern w:val="22"/>
          <w:szCs w:val="22"/>
        </w:rPr>
        <w:t xml:space="preserve">national context.  There is also a need to build the capacity of checkpoints to enable them to carry out their functions. </w:t>
      </w:r>
    </w:p>
    <w:p w14:paraId="71808893" w14:textId="54160E86" w:rsidR="00F05C7A" w:rsidRPr="00646D82" w:rsidRDefault="00F05C7A" w:rsidP="008E4A3A">
      <w:pPr>
        <w:pStyle w:val="Para1"/>
        <w:numPr>
          <w:ilvl w:val="0"/>
          <w:numId w:val="12"/>
        </w:numPr>
        <w:suppressLineNumbers/>
        <w:suppressAutoHyphens/>
        <w:rPr>
          <w:kern w:val="22"/>
          <w:szCs w:val="22"/>
        </w:rPr>
      </w:pPr>
      <w:r w:rsidRPr="00646D82">
        <w:rPr>
          <w:kern w:val="22"/>
          <w:szCs w:val="22"/>
        </w:rPr>
        <w:t xml:space="preserve">The provisions of Article 18 on compliance with mutually agreed terms are often implemented at the national level through existing laws (e.g. contractual law, private international law, domestic measures related to access to justice) rather than through specific ABS measures. A mechanism to support national coordination, as mentioned in paragraph </w:t>
      </w:r>
      <w:r w:rsidR="002A26C8" w:rsidRPr="00646D82">
        <w:rPr>
          <w:kern w:val="22"/>
          <w:szCs w:val="22"/>
        </w:rPr>
        <w:t>36</w:t>
      </w:r>
      <w:r w:rsidRPr="00646D82">
        <w:rPr>
          <w:kern w:val="22"/>
          <w:szCs w:val="22"/>
        </w:rPr>
        <w:t xml:space="preserve"> above, could assist in drawing from the expertise of other institutions dealing with these issues. </w:t>
      </w:r>
    </w:p>
    <w:p w14:paraId="6B045E12" w14:textId="77777777" w:rsidR="00F05C7A" w:rsidRPr="00646D82" w:rsidRDefault="00F05C7A" w:rsidP="008E4A3A">
      <w:pPr>
        <w:pStyle w:val="Para1"/>
        <w:numPr>
          <w:ilvl w:val="0"/>
          <w:numId w:val="12"/>
        </w:numPr>
        <w:suppressLineNumbers/>
        <w:suppressAutoHyphens/>
        <w:rPr>
          <w:kern w:val="22"/>
          <w:szCs w:val="22"/>
        </w:rPr>
      </w:pPr>
      <w:r w:rsidRPr="00646D82">
        <w:rPr>
          <w:kern w:val="22"/>
          <w:szCs w:val="22"/>
        </w:rPr>
        <w:t>With respect to indigenous peoples and local communities, challenges include: determining how the concept of “indigenous peoples and local communities” applies at the national level; clarifying the rights of IPLCs over genetic resources and/or traditional knowledge associated with genetic resources; identifying the different groups of indigenous peoples and local communities; understanding the way they are organized; and linking traditional knowledge with the holder/s of such knowledge. In order to address these challenges, the following could be considered:</w:t>
      </w:r>
    </w:p>
    <w:p w14:paraId="2199BD52" w14:textId="3CB5333E" w:rsidR="00F05C7A" w:rsidRPr="00646D82" w:rsidRDefault="00F05C7A" w:rsidP="00966F98">
      <w:pPr>
        <w:pStyle w:val="Para1"/>
        <w:numPr>
          <w:ilvl w:val="1"/>
          <w:numId w:val="14"/>
        </w:numPr>
        <w:pBdr>
          <w:top w:val="nil"/>
          <w:left w:val="nil"/>
          <w:bottom w:val="nil"/>
          <w:right w:val="nil"/>
          <w:between w:val="nil"/>
          <w:bar w:val="nil"/>
        </w:pBdr>
        <w:spacing w:line="228" w:lineRule="auto"/>
        <w:ind w:left="0" w:firstLine="709"/>
        <w:rPr>
          <w:rFonts w:eastAsia="Calibri"/>
          <w:kern w:val="22"/>
          <w:szCs w:val="22"/>
          <w:u w:color="000000"/>
        </w:rPr>
      </w:pPr>
      <w:r w:rsidRPr="00646D82">
        <w:rPr>
          <w:rFonts w:eastAsia="Calibri"/>
          <w:kern w:val="22"/>
          <w:szCs w:val="22"/>
          <w:u w:color="000000"/>
        </w:rPr>
        <w:t>Building the capacity of Parties to support the implementation of the provisions of the Protocol related to indigenous peoples and local communities as well as the capacity of IPLCs with respect to ABS issues</w:t>
      </w:r>
      <w:r w:rsidR="00AA2D65" w:rsidRPr="00646D82">
        <w:rPr>
          <w:rFonts w:eastAsia="Calibri"/>
          <w:kern w:val="22"/>
          <w:szCs w:val="22"/>
          <w:u w:color="000000"/>
        </w:rPr>
        <w:t>;</w:t>
      </w:r>
      <w:r w:rsidRPr="00646D82">
        <w:rPr>
          <w:rFonts w:eastAsia="Calibri"/>
          <w:kern w:val="22"/>
          <w:szCs w:val="22"/>
          <w:u w:color="000000"/>
        </w:rPr>
        <w:t xml:space="preserve"> </w:t>
      </w:r>
    </w:p>
    <w:p w14:paraId="2200B21B" w14:textId="31A28A06" w:rsidR="00F05C7A" w:rsidRPr="00646D82" w:rsidRDefault="00F05C7A" w:rsidP="00966F98">
      <w:pPr>
        <w:pStyle w:val="Para1"/>
        <w:numPr>
          <w:ilvl w:val="1"/>
          <w:numId w:val="14"/>
        </w:numPr>
        <w:pBdr>
          <w:top w:val="nil"/>
          <w:left w:val="nil"/>
          <w:bottom w:val="nil"/>
          <w:right w:val="nil"/>
          <w:between w:val="nil"/>
          <w:bar w:val="nil"/>
        </w:pBdr>
        <w:spacing w:line="228" w:lineRule="auto"/>
        <w:ind w:left="0" w:firstLine="709"/>
        <w:rPr>
          <w:rFonts w:eastAsia="Calibri"/>
          <w:kern w:val="22"/>
          <w:szCs w:val="22"/>
          <w:u w:color="000000"/>
        </w:rPr>
      </w:pPr>
      <w:r w:rsidRPr="00646D82">
        <w:rPr>
          <w:rFonts w:eastAsia="Calibri"/>
          <w:kern w:val="22"/>
          <w:szCs w:val="22"/>
          <w:u w:color="000000"/>
        </w:rPr>
        <w:t xml:space="preserve">Relevant work of the Ad Hoc Open-ended Working Group on Article 8(j) and </w:t>
      </w:r>
      <w:r w:rsidR="00AA2D65" w:rsidRPr="00646D82">
        <w:rPr>
          <w:rFonts w:eastAsia="Calibri"/>
          <w:kern w:val="22"/>
          <w:szCs w:val="22"/>
          <w:u w:color="000000"/>
        </w:rPr>
        <w:t>R</w:t>
      </w:r>
      <w:r w:rsidRPr="00646D82">
        <w:rPr>
          <w:rFonts w:eastAsia="Calibri"/>
          <w:kern w:val="22"/>
          <w:szCs w:val="22"/>
          <w:u w:color="000000"/>
        </w:rPr>
        <w:t xml:space="preserve">elated </w:t>
      </w:r>
      <w:r w:rsidR="00AA2D65" w:rsidRPr="00646D82">
        <w:rPr>
          <w:rFonts w:eastAsia="Calibri"/>
          <w:kern w:val="22"/>
          <w:szCs w:val="22"/>
          <w:u w:color="000000"/>
        </w:rPr>
        <w:t>P</w:t>
      </w:r>
      <w:r w:rsidRPr="00646D82">
        <w:rPr>
          <w:rFonts w:eastAsia="Calibri"/>
          <w:kern w:val="22"/>
          <w:szCs w:val="22"/>
          <w:u w:color="000000"/>
        </w:rPr>
        <w:t>rovisions on the concept of IPLCs</w:t>
      </w:r>
      <w:r w:rsidR="00AA2D65" w:rsidRPr="00646D82">
        <w:rPr>
          <w:rFonts w:eastAsia="Calibri"/>
          <w:kern w:val="22"/>
          <w:szCs w:val="22"/>
          <w:u w:color="000000"/>
        </w:rPr>
        <w:t>;</w:t>
      </w:r>
      <w:r w:rsidRPr="00646D82">
        <w:rPr>
          <w:rStyle w:val="FootnoteReference"/>
          <w:rFonts w:eastAsia="Calibri"/>
          <w:noProof/>
          <w:color w:val="000000"/>
          <w:sz w:val="22"/>
          <w:szCs w:val="22"/>
        </w:rPr>
        <w:footnoteReference w:id="16"/>
      </w:r>
    </w:p>
    <w:p w14:paraId="0FBD7BF2" w14:textId="77777777" w:rsidR="00F05C7A" w:rsidRPr="00646D82" w:rsidRDefault="00F05C7A" w:rsidP="00966F98">
      <w:pPr>
        <w:pStyle w:val="Para1"/>
        <w:numPr>
          <w:ilvl w:val="1"/>
          <w:numId w:val="14"/>
        </w:numPr>
        <w:pBdr>
          <w:top w:val="nil"/>
          <w:left w:val="nil"/>
          <w:bottom w:val="nil"/>
          <w:right w:val="nil"/>
          <w:between w:val="nil"/>
          <w:bar w:val="nil"/>
        </w:pBdr>
        <w:spacing w:line="228" w:lineRule="auto"/>
        <w:ind w:left="0" w:firstLine="709"/>
        <w:rPr>
          <w:rFonts w:eastAsia="Calibri"/>
          <w:kern w:val="22"/>
          <w:szCs w:val="22"/>
          <w:u w:color="000000"/>
        </w:rPr>
      </w:pPr>
      <w:r w:rsidRPr="00646D82">
        <w:rPr>
          <w:rFonts w:eastAsia="Calibri"/>
          <w:kern w:val="22"/>
          <w:szCs w:val="22"/>
          <w:u w:color="000000"/>
        </w:rPr>
        <w:t>National mechanisms for the participation of IPLCs in the implementation of the provisions of the Protocol related to IPLCs taking into account national circumstances;</w:t>
      </w:r>
    </w:p>
    <w:p w14:paraId="7348A6FD" w14:textId="77777777" w:rsidR="00F05C7A" w:rsidRPr="00646D82" w:rsidRDefault="00F05C7A" w:rsidP="00966F98">
      <w:pPr>
        <w:pStyle w:val="Para1"/>
        <w:numPr>
          <w:ilvl w:val="1"/>
          <w:numId w:val="14"/>
        </w:numPr>
        <w:pBdr>
          <w:top w:val="nil"/>
          <w:left w:val="nil"/>
          <w:bottom w:val="nil"/>
          <w:right w:val="nil"/>
          <w:between w:val="nil"/>
          <w:bar w:val="nil"/>
        </w:pBdr>
        <w:spacing w:line="228" w:lineRule="auto"/>
        <w:ind w:left="0" w:firstLine="709"/>
        <w:rPr>
          <w:rFonts w:eastAsia="Calibri"/>
          <w:kern w:val="22"/>
          <w:szCs w:val="22"/>
          <w:u w:color="000000"/>
        </w:rPr>
      </w:pPr>
      <w:r w:rsidRPr="00646D82">
        <w:rPr>
          <w:rFonts w:eastAsia="Calibri"/>
          <w:kern w:val="22"/>
          <w:szCs w:val="22"/>
          <w:u w:color="000000"/>
        </w:rPr>
        <w:t>Support for coordination and institution building within and among IPLCs to address ABS issues including through the development of community protocols;</w:t>
      </w:r>
    </w:p>
    <w:p w14:paraId="453B1AF7" w14:textId="4395CB04" w:rsidR="003E68EE" w:rsidRPr="00646D82" w:rsidRDefault="003E68EE" w:rsidP="003E68EE">
      <w:pPr>
        <w:pStyle w:val="Para1"/>
        <w:numPr>
          <w:ilvl w:val="1"/>
          <w:numId w:val="14"/>
        </w:numPr>
        <w:pBdr>
          <w:top w:val="nil"/>
          <w:left w:val="nil"/>
          <w:bottom w:val="nil"/>
          <w:right w:val="nil"/>
          <w:between w:val="nil"/>
          <w:bar w:val="nil"/>
        </w:pBdr>
        <w:spacing w:line="228" w:lineRule="auto"/>
        <w:ind w:left="0" w:firstLine="709"/>
        <w:rPr>
          <w:rFonts w:eastAsia="Calibri"/>
          <w:kern w:val="22"/>
          <w:szCs w:val="22"/>
          <w:u w:color="000000"/>
        </w:rPr>
      </w:pPr>
      <w:r w:rsidRPr="00646D82">
        <w:rPr>
          <w:rFonts w:eastAsia="Calibri"/>
          <w:kern w:val="22"/>
          <w:szCs w:val="22"/>
          <w:u w:color="000000"/>
        </w:rPr>
        <w:t>Capacity-building to support IPLCs to develop minimum requirements for mutually agreed terms and model contractual clauses for benefit-sharing arising from the utilization of traditional knowledge associated with genetic resources</w:t>
      </w:r>
      <w:r w:rsidR="00AA2D65" w:rsidRPr="00646D82">
        <w:rPr>
          <w:rFonts w:eastAsia="Calibri"/>
          <w:kern w:val="22"/>
          <w:szCs w:val="22"/>
          <w:u w:color="000000"/>
        </w:rPr>
        <w:t>;</w:t>
      </w:r>
    </w:p>
    <w:p w14:paraId="078654AB" w14:textId="77777777" w:rsidR="00F05C7A" w:rsidRPr="00646D82" w:rsidRDefault="00F05C7A" w:rsidP="00966F98">
      <w:pPr>
        <w:pStyle w:val="Para1"/>
        <w:numPr>
          <w:ilvl w:val="1"/>
          <w:numId w:val="14"/>
        </w:numPr>
        <w:pBdr>
          <w:top w:val="nil"/>
          <w:left w:val="nil"/>
          <w:bottom w:val="nil"/>
          <w:right w:val="nil"/>
          <w:between w:val="nil"/>
          <w:bar w:val="nil"/>
        </w:pBdr>
        <w:spacing w:line="228" w:lineRule="auto"/>
        <w:ind w:left="0" w:firstLine="709"/>
        <w:rPr>
          <w:rFonts w:eastAsia="Calibri"/>
          <w:kern w:val="22"/>
          <w:szCs w:val="22"/>
          <w:u w:color="000000"/>
        </w:rPr>
      </w:pPr>
      <w:r w:rsidRPr="00646D82">
        <w:rPr>
          <w:rFonts w:eastAsia="Calibri"/>
          <w:kern w:val="22"/>
          <w:szCs w:val="22"/>
          <w:u w:color="000000"/>
        </w:rPr>
        <w:t>Capacity-building to support IPLCs to develop minimum requirements for mutually agreed terms and model contractual clauses for benefit-sharing arising from the utilization of genetic resources associated with genetic resources.</w:t>
      </w:r>
    </w:p>
    <w:p w14:paraId="476ADCEB" w14:textId="77777777" w:rsidR="00F05C7A" w:rsidRPr="00646D82" w:rsidRDefault="00F05C7A" w:rsidP="008E4A3A">
      <w:pPr>
        <w:pStyle w:val="Para1"/>
        <w:numPr>
          <w:ilvl w:val="0"/>
          <w:numId w:val="12"/>
        </w:numPr>
        <w:suppressLineNumbers/>
        <w:suppressAutoHyphens/>
        <w:rPr>
          <w:kern w:val="22"/>
          <w:szCs w:val="22"/>
        </w:rPr>
      </w:pPr>
      <w:r w:rsidRPr="00646D82">
        <w:rPr>
          <w:kern w:val="22"/>
          <w:szCs w:val="22"/>
        </w:rPr>
        <w:t>Parties have different approaches to prior informed consent, mutually agreed terms and the issuance of permits. It is important for Parties to make clea</w:t>
      </w:r>
      <w:r w:rsidR="00A825F0" w:rsidRPr="00646D82">
        <w:rPr>
          <w:kern w:val="22"/>
          <w:szCs w:val="22"/>
        </w:rPr>
        <w:t>r information available i</w:t>
      </w:r>
      <w:r w:rsidRPr="00646D82">
        <w:rPr>
          <w:kern w:val="22"/>
          <w:szCs w:val="22"/>
        </w:rPr>
        <w:t>n the ABS Clearing-House on the procedures to follow to access genetic resources and associated traditional knowledge.</w:t>
      </w:r>
    </w:p>
    <w:p w14:paraId="69A9F112" w14:textId="649A3330" w:rsidR="00F05C7A" w:rsidRPr="00646D82" w:rsidRDefault="00F05C7A" w:rsidP="008E4A3A">
      <w:pPr>
        <w:pStyle w:val="Para1"/>
        <w:numPr>
          <w:ilvl w:val="0"/>
          <w:numId w:val="12"/>
        </w:numPr>
        <w:suppressLineNumbers/>
        <w:suppressAutoHyphens/>
        <w:rPr>
          <w:kern w:val="22"/>
          <w:szCs w:val="22"/>
        </w:rPr>
      </w:pPr>
      <w:r w:rsidRPr="00646D82">
        <w:rPr>
          <w:kern w:val="22"/>
          <w:szCs w:val="22"/>
        </w:rPr>
        <w:t>In addition, in the development and implementation of ABS legislation or regulatory requirements it is important that Parties take into account special considerations in accordance with Article 8 of the Protocol. Relevant work undertaken under FAO</w:t>
      </w:r>
      <w:r w:rsidR="00AA2D65" w:rsidRPr="00646D82">
        <w:rPr>
          <w:kern w:val="22"/>
          <w:szCs w:val="22"/>
        </w:rPr>
        <w:t>,</w:t>
      </w:r>
      <w:r w:rsidRPr="00646D82">
        <w:rPr>
          <w:rStyle w:val="FootnoteReference"/>
          <w:rFonts w:eastAsia="Calibri"/>
          <w:noProof/>
          <w:color w:val="000000"/>
          <w:sz w:val="22"/>
          <w:szCs w:val="22"/>
          <w:u w:color="000000"/>
        </w:rPr>
        <w:footnoteReference w:id="17"/>
      </w:r>
      <w:r w:rsidRPr="00646D82">
        <w:rPr>
          <w:rStyle w:val="FootnoteReference"/>
          <w:rFonts w:eastAsia="Calibri"/>
          <w:noProof/>
          <w:color w:val="000000"/>
          <w:sz w:val="22"/>
          <w:szCs w:val="22"/>
          <w:u w:color="000000"/>
        </w:rPr>
        <w:t>,</w:t>
      </w:r>
      <w:r w:rsidRPr="00646D82">
        <w:rPr>
          <w:kern w:val="22"/>
          <w:szCs w:val="22"/>
        </w:rPr>
        <w:t xml:space="preserve"> WHO and other organi</w:t>
      </w:r>
      <w:r w:rsidR="00AA2D65" w:rsidRPr="00646D82">
        <w:rPr>
          <w:kern w:val="22"/>
          <w:szCs w:val="22"/>
        </w:rPr>
        <w:t>z</w:t>
      </w:r>
      <w:r w:rsidRPr="00646D82">
        <w:rPr>
          <w:kern w:val="22"/>
          <w:szCs w:val="22"/>
        </w:rPr>
        <w:t>ations may be useful in this regard.</w:t>
      </w:r>
    </w:p>
    <w:p w14:paraId="3792273E" w14:textId="77777777" w:rsidR="00F05C7A" w:rsidRPr="00646D82" w:rsidRDefault="00F05C7A" w:rsidP="008E4A3A">
      <w:pPr>
        <w:pStyle w:val="Para1"/>
        <w:numPr>
          <w:ilvl w:val="0"/>
          <w:numId w:val="12"/>
        </w:numPr>
        <w:suppressLineNumbers/>
        <w:suppressAutoHyphens/>
        <w:rPr>
          <w:kern w:val="22"/>
          <w:szCs w:val="22"/>
        </w:rPr>
      </w:pPr>
      <w:r w:rsidRPr="00646D82">
        <w:rPr>
          <w:kern w:val="22"/>
          <w:szCs w:val="22"/>
        </w:rPr>
        <w:t>Although a number of capacity-building and development initiatives are currently supporting ratification and implementation of the Nagoya Protocol, many Parties still lack the necessary capacity and financial resources to make the Protocol operational. Capacity-building and development support therefore continue to be essential in order to make progress in the implementation of the Protocol, in particular for developing country Parties and Parties with economies in transition.</w:t>
      </w:r>
    </w:p>
    <w:p w14:paraId="7CF837FB" w14:textId="1208E567" w:rsidR="00F05C7A" w:rsidRPr="00646D82" w:rsidRDefault="00F05C7A" w:rsidP="008E4A3A">
      <w:pPr>
        <w:pStyle w:val="Para1"/>
        <w:numPr>
          <w:ilvl w:val="0"/>
          <w:numId w:val="12"/>
        </w:numPr>
        <w:suppressLineNumbers/>
        <w:suppressAutoHyphens/>
        <w:rPr>
          <w:kern w:val="22"/>
          <w:szCs w:val="22"/>
        </w:rPr>
      </w:pPr>
      <w:r w:rsidRPr="00646D82">
        <w:rPr>
          <w:kern w:val="22"/>
          <w:szCs w:val="22"/>
        </w:rPr>
        <w:t>Further funding should be provided to the SCBD-IDLO capacity-building programme and other capacity-building initiatives to support the establishment of national legal frameworks</w:t>
      </w:r>
      <w:r w:rsidR="00AA2D65" w:rsidRPr="00646D82">
        <w:rPr>
          <w:kern w:val="22"/>
          <w:szCs w:val="22"/>
        </w:rPr>
        <w:t>.</w:t>
      </w:r>
    </w:p>
    <w:p w14:paraId="59889CCE" w14:textId="77777777" w:rsidR="00F05C7A" w:rsidRPr="00646D82" w:rsidRDefault="00F05C7A" w:rsidP="008E4A3A">
      <w:pPr>
        <w:pStyle w:val="Para1"/>
        <w:numPr>
          <w:ilvl w:val="0"/>
          <w:numId w:val="12"/>
        </w:numPr>
        <w:suppressLineNumbers/>
        <w:suppressAutoHyphens/>
        <w:rPr>
          <w:kern w:val="22"/>
          <w:szCs w:val="22"/>
        </w:rPr>
      </w:pPr>
      <w:r w:rsidRPr="00646D82">
        <w:rPr>
          <w:kern w:val="22"/>
          <w:szCs w:val="22"/>
        </w:rPr>
        <w:t>Capacity-building could also support harmonized implementation of the Protocol among countries that share the same genetic resources or traditional knowledge associated with genetic resources.</w:t>
      </w:r>
    </w:p>
    <w:p w14:paraId="68F47827" w14:textId="77777777" w:rsidR="0085450B" w:rsidRPr="00646D82" w:rsidRDefault="00F05C7A" w:rsidP="00704F10">
      <w:pPr>
        <w:pStyle w:val="Para1"/>
        <w:numPr>
          <w:ilvl w:val="0"/>
          <w:numId w:val="12"/>
        </w:numPr>
        <w:suppressLineNumbers/>
        <w:suppressAutoHyphens/>
        <w:rPr>
          <w:kern w:val="22"/>
          <w:szCs w:val="22"/>
        </w:rPr>
      </w:pPr>
      <w:r w:rsidRPr="00646D82">
        <w:rPr>
          <w:kern w:val="22"/>
          <w:szCs w:val="22"/>
        </w:rPr>
        <w:t>The wealth of information and experiences available in the national reports and in the ABS Clearing-House, as well as the exchange of experiences, may be useful to Parties in the establishment of institutional structures and the development of ABS measures. This information could also be taken into account in capacity-building projects. In addition, the use of existing tools and resources (e.g. guidelines, capacity-building materials) to support implementation could be encouraged.</w:t>
      </w:r>
    </w:p>
    <w:p w14:paraId="41B2CFB3" w14:textId="0F7D7958" w:rsidR="00704F10" w:rsidRPr="00646D82" w:rsidRDefault="00F60BFC" w:rsidP="00704F10">
      <w:pPr>
        <w:pStyle w:val="Para1"/>
        <w:suppressLineNumbers/>
        <w:suppressAutoHyphens/>
        <w:rPr>
          <w:rFonts w:eastAsia="Calibri"/>
          <w:i/>
          <w:noProof/>
          <w:color w:val="000000"/>
          <w:kern w:val="22"/>
          <w:szCs w:val="22"/>
          <w:u w:color="000000"/>
        </w:rPr>
      </w:pPr>
      <w:r w:rsidRPr="00646D82" w:rsidDel="00F60BFC">
        <w:rPr>
          <w:rFonts w:eastAsia="Calibri"/>
          <w:i/>
          <w:noProof/>
          <w:color w:val="000000"/>
          <w:kern w:val="22"/>
          <w:szCs w:val="22"/>
          <w:u w:color="000000"/>
        </w:rPr>
        <w:t xml:space="preserve"> </w:t>
      </w:r>
      <w:r w:rsidR="00704F10" w:rsidRPr="00646D82">
        <w:rPr>
          <w:rFonts w:eastAsia="Calibri"/>
          <w:i/>
          <w:noProof/>
          <w:color w:val="000000"/>
          <w:kern w:val="22"/>
          <w:szCs w:val="22"/>
          <w:u w:color="000000"/>
        </w:rPr>
        <w:t>(</w:t>
      </w:r>
      <w:r w:rsidRPr="00646D82">
        <w:rPr>
          <w:rFonts w:eastAsia="Calibri"/>
          <w:i/>
          <w:noProof/>
          <w:color w:val="000000"/>
          <w:kern w:val="22"/>
          <w:szCs w:val="22"/>
          <w:u w:color="000000"/>
        </w:rPr>
        <w:t>b</w:t>
      </w:r>
      <w:r w:rsidR="00704F10" w:rsidRPr="00646D82">
        <w:rPr>
          <w:rFonts w:eastAsia="Calibri"/>
          <w:i/>
          <w:noProof/>
          <w:color w:val="000000"/>
          <w:kern w:val="22"/>
          <w:szCs w:val="22"/>
          <w:u w:color="000000"/>
        </w:rPr>
        <w:t>) Additional findings and recommendations</w:t>
      </w:r>
    </w:p>
    <w:p w14:paraId="63FE28D6" w14:textId="0AAAB75F" w:rsidR="000211B5" w:rsidRPr="00646D82" w:rsidRDefault="000211B5" w:rsidP="00646D82">
      <w:pPr>
        <w:pStyle w:val="Para1"/>
        <w:numPr>
          <w:ilvl w:val="0"/>
          <w:numId w:val="12"/>
        </w:numPr>
        <w:suppressLineNumbers/>
        <w:suppressAutoHyphens/>
        <w:rPr>
          <w:rFonts w:eastAsia="Calibri"/>
          <w:noProof/>
          <w:color w:val="000000"/>
          <w:kern w:val="22"/>
          <w:szCs w:val="22"/>
          <w:u w:color="000000"/>
        </w:rPr>
      </w:pPr>
      <w:r w:rsidRPr="00646D82">
        <w:rPr>
          <w:rFonts w:eastAsia="Calibri"/>
          <w:noProof/>
          <w:color w:val="000000"/>
          <w:kern w:val="22"/>
          <w:szCs w:val="22"/>
          <w:u w:color="000000"/>
        </w:rPr>
        <w:t>The importance of sharing information and experience i</w:t>
      </w:r>
      <w:r w:rsidR="00EC3661" w:rsidRPr="00646D82">
        <w:rPr>
          <w:rFonts w:eastAsia="Calibri"/>
          <w:noProof/>
          <w:color w:val="000000"/>
          <w:kern w:val="22"/>
          <w:szCs w:val="22"/>
          <w:u w:color="000000"/>
        </w:rPr>
        <w:t>n relation to transboundary cooperation (A</w:t>
      </w:r>
      <w:r w:rsidR="00844B81" w:rsidRPr="00646D82">
        <w:rPr>
          <w:rFonts w:eastAsia="Calibri"/>
          <w:noProof/>
          <w:color w:val="000000"/>
          <w:kern w:val="22"/>
          <w:szCs w:val="22"/>
          <w:u w:color="000000"/>
        </w:rPr>
        <w:t>rticle 11</w:t>
      </w:r>
      <w:r w:rsidR="00EC3661" w:rsidRPr="00646D82">
        <w:rPr>
          <w:rFonts w:eastAsia="Calibri"/>
          <w:noProof/>
          <w:color w:val="000000"/>
          <w:kern w:val="22"/>
          <w:szCs w:val="22"/>
          <w:u w:color="000000"/>
        </w:rPr>
        <w:t>)</w:t>
      </w:r>
      <w:r w:rsidR="00844B81" w:rsidRPr="00646D82">
        <w:rPr>
          <w:rFonts w:eastAsia="Calibri"/>
          <w:noProof/>
          <w:color w:val="000000"/>
          <w:kern w:val="22"/>
          <w:szCs w:val="22"/>
          <w:u w:color="000000"/>
        </w:rPr>
        <w:t xml:space="preserve"> </w:t>
      </w:r>
      <w:r w:rsidRPr="00646D82">
        <w:rPr>
          <w:rFonts w:eastAsia="Calibri"/>
          <w:noProof/>
          <w:color w:val="000000"/>
          <w:kern w:val="22"/>
          <w:szCs w:val="22"/>
          <w:u w:color="000000"/>
        </w:rPr>
        <w:t xml:space="preserve">was highlighted. In particular, experiences acquired in other subregional and bilateral projects could be </w:t>
      </w:r>
      <w:r w:rsidR="008C2D3B" w:rsidRPr="00646D82">
        <w:rPr>
          <w:rFonts w:eastAsia="Calibri"/>
          <w:noProof/>
          <w:color w:val="000000"/>
          <w:kern w:val="22"/>
          <w:szCs w:val="22"/>
          <w:u w:color="000000"/>
        </w:rPr>
        <w:t xml:space="preserve">relevant </w:t>
      </w:r>
      <w:r w:rsidRPr="00646D82">
        <w:rPr>
          <w:rFonts w:eastAsia="Calibri"/>
          <w:noProof/>
          <w:color w:val="000000"/>
          <w:kern w:val="22"/>
          <w:szCs w:val="22"/>
          <w:u w:color="000000"/>
        </w:rPr>
        <w:t xml:space="preserve">to assist in the implementation of this article. </w:t>
      </w:r>
      <w:r w:rsidR="00844B81" w:rsidRPr="00646D82">
        <w:rPr>
          <w:rFonts w:eastAsia="Calibri"/>
          <w:noProof/>
          <w:color w:val="000000"/>
          <w:kern w:val="22"/>
          <w:szCs w:val="22"/>
          <w:u w:color="000000"/>
        </w:rPr>
        <w:t xml:space="preserve">Regional structures or projects were identified by some </w:t>
      </w:r>
      <w:r w:rsidRPr="00646D82">
        <w:rPr>
          <w:rFonts w:eastAsia="Calibri"/>
          <w:noProof/>
          <w:color w:val="000000"/>
          <w:kern w:val="22"/>
          <w:szCs w:val="22"/>
          <w:u w:color="000000"/>
        </w:rPr>
        <w:t>as a way to address this issue, while noting t</w:t>
      </w:r>
      <w:r w:rsidR="00844B81" w:rsidRPr="00646D82">
        <w:rPr>
          <w:rFonts w:eastAsia="Calibri"/>
          <w:noProof/>
          <w:color w:val="000000"/>
          <w:kern w:val="22"/>
          <w:szCs w:val="22"/>
          <w:u w:color="000000"/>
        </w:rPr>
        <w:t xml:space="preserve">hat reinforcement of the capacity of regional structures </w:t>
      </w:r>
      <w:r w:rsidRPr="00646D82">
        <w:rPr>
          <w:rFonts w:eastAsia="Calibri"/>
          <w:noProof/>
          <w:color w:val="000000"/>
          <w:kern w:val="22"/>
          <w:szCs w:val="22"/>
          <w:u w:color="000000"/>
        </w:rPr>
        <w:t xml:space="preserve">to play that role </w:t>
      </w:r>
      <w:r w:rsidR="00844B81" w:rsidRPr="00646D82">
        <w:rPr>
          <w:rFonts w:eastAsia="Calibri"/>
          <w:noProof/>
          <w:color w:val="000000"/>
          <w:kern w:val="22"/>
          <w:szCs w:val="22"/>
          <w:u w:color="000000"/>
        </w:rPr>
        <w:t xml:space="preserve">would be needed. </w:t>
      </w:r>
    </w:p>
    <w:p w14:paraId="2871954D" w14:textId="77777777" w:rsidR="00D73D19" w:rsidRPr="00646D82" w:rsidRDefault="00EC525B" w:rsidP="00966F98">
      <w:pPr>
        <w:pStyle w:val="ListParagraph"/>
        <w:keepNext/>
        <w:numPr>
          <w:ilvl w:val="0"/>
          <w:numId w:val="9"/>
        </w:numPr>
        <w:pBdr>
          <w:top w:val="nil"/>
          <w:left w:val="nil"/>
          <w:bottom w:val="nil"/>
          <w:right w:val="nil"/>
          <w:between w:val="nil"/>
          <w:bar w:val="nil"/>
        </w:pBdr>
        <w:tabs>
          <w:tab w:val="left" w:pos="720"/>
        </w:tabs>
        <w:spacing w:before="120" w:after="120"/>
        <w:jc w:val="center"/>
        <w:outlineLvl w:val="1"/>
        <w:rPr>
          <w:b/>
          <w:bCs/>
          <w:caps/>
          <w:snapToGrid w:val="0"/>
          <w:color w:val="000000"/>
          <w:kern w:val="22"/>
          <w:szCs w:val="22"/>
          <w:u w:color="000000"/>
          <w:bdr w:val="nil"/>
        </w:rPr>
      </w:pPr>
      <w:r w:rsidRPr="00646D82">
        <w:rPr>
          <w:b/>
          <w:kern w:val="22"/>
          <w:szCs w:val="22"/>
        </w:rPr>
        <w:t>Establishment of a reference point to measure effectiveness</w:t>
      </w:r>
    </w:p>
    <w:p w14:paraId="2879729B" w14:textId="52495F73" w:rsidR="00494A8B" w:rsidRPr="00646D82" w:rsidRDefault="00F414CD" w:rsidP="008E4A3A">
      <w:pPr>
        <w:pStyle w:val="Para1"/>
        <w:numPr>
          <w:ilvl w:val="0"/>
          <w:numId w:val="12"/>
        </w:numPr>
        <w:suppressLineNumbers/>
        <w:suppressAutoHyphens/>
        <w:rPr>
          <w:kern w:val="22"/>
          <w:szCs w:val="22"/>
        </w:rPr>
      </w:pPr>
      <w:r w:rsidRPr="00646D82">
        <w:rPr>
          <w:kern w:val="22"/>
          <w:szCs w:val="22"/>
        </w:rPr>
        <w:t>Element (b) aims to assess the extent to which the Protocol is achieving its objective, i.e. the fair and equitable sharing of benefits arising from t</w:t>
      </w:r>
      <w:r w:rsidR="0031269A" w:rsidRPr="00646D82">
        <w:rPr>
          <w:kern w:val="22"/>
          <w:szCs w:val="22"/>
        </w:rPr>
        <w:t>he</w:t>
      </w:r>
      <w:r w:rsidRPr="00646D82">
        <w:rPr>
          <w:kern w:val="22"/>
          <w:szCs w:val="22"/>
        </w:rPr>
        <w:t xml:space="preserve"> utilization</w:t>
      </w:r>
      <w:r w:rsidR="0031269A" w:rsidRPr="00646D82">
        <w:rPr>
          <w:kern w:val="22"/>
          <w:szCs w:val="22"/>
        </w:rPr>
        <w:t xml:space="preserve"> of genetic resources</w:t>
      </w:r>
      <w:r w:rsidRPr="00646D82">
        <w:rPr>
          <w:kern w:val="22"/>
          <w:szCs w:val="22"/>
        </w:rPr>
        <w:t>, thereby contributing to the conservation of biodiversity and the sustainable use of its components</w:t>
      </w:r>
      <w:r w:rsidR="00494A8B" w:rsidRPr="00646D82">
        <w:rPr>
          <w:kern w:val="22"/>
          <w:szCs w:val="22"/>
        </w:rPr>
        <w:t>.</w:t>
      </w:r>
    </w:p>
    <w:p w14:paraId="4EA4E0C1" w14:textId="316F0E60" w:rsidR="00647120" w:rsidRPr="00646D82" w:rsidRDefault="00647120" w:rsidP="00646D82">
      <w:pPr>
        <w:pStyle w:val="Para1"/>
        <w:keepNext/>
        <w:numPr>
          <w:ilvl w:val="0"/>
          <w:numId w:val="13"/>
        </w:numPr>
        <w:suppressLineNumbers/>
        <w:tabs>
          <w:tab w:val="left" w:pos="360"/>
        </w:tabs>
        <w:suppressAutoHyphens/>
        <w:kinsoku w:val="0"/>
        <w:overflowPunct w:val="0"/>
        <w:autoSpaceDE w:val="0"/>
        <w:autoSpaceDN w:val="0"/>
        <w:ind w:left="0" w:firstLine="0"/>
        <w:jc w:val="center"/>
        <w:rPr>
          <w:rFonts w:eastAsia="Calibri"/>
          <w:i/>
          <w:noProof/>
          <w:color w:val="000000"/>
          <w:kern w:val="22"/>
          <w:szCs w:val="22"/>
          <w:u w:color="000000"/>
        </w:rPr>
      </w:pPr>
      <w:r w:rsidRPr="00646D82">
        <w:rPr>
          <w:rFonts w:eastAsia="Calibri"/>
          <w:i/>
          <w:noProof/>
          <w:color w:val="000000"/>
          <w:kern w:val="22"/>
          <w:szCs w:val="22"/>
          <w:u w:color="000000"/>
        </w:rPr>
        <w:t xml:space="preserve">Summary of the </w:t>
      </w:r>
      <w:r w:rsidR="00A62394" w:rsidRPr="00646D82">
        <w:rPr>
          <w:rFonts w:eastAsia="Calibri"/>
          <w:i/>
          <w:noProof/>
          <w:color w:val="000000"/>
          <w:kern w:val="22"/>
          <w:szCs w:val="22"/>
          <w:u w:color="000000"/>
        </w:rPr>
        <w:t xml:space="preserve">analysis </w:t>
      </w:r>
      <w:r w:rsidR="00C9512B" w:rsidRPr="00646D82">
        <w:rPr>
          <w:rFonts w:eastAsia="Calibri"/>
          <w:i/>
          <w:noProof/>
          <w:color w:val="000000"/>
          <w:kern w:val="22"/>
          <w:szCs w:val="22"/>
          <w:u w:color="000000"/>
        </w:rPr>
        <w:t>and reference points</w:t>
      </w:r>
      <w:r w:rsidR="00C9512B" w:rsidRPr="00646D82">
        <w:rPr>
          <w:rStyle w:val="FootnoteReference"/>
          <w:rFonts w:eastAsia="Calibri"/>
          <w:i/>
          <w:noProof/>
          <w:color w:val="000000"/>
          <w:kern w:val="22"/>
          <w:sz w:val="22"/>
          <w:szCs w:val="22"/>
          <w:u w:color="000000"/>
        </w:rPr>
        <w:footnoteReference w:id="18"/>
      </w:r>
    </w:p>
    <w:p w14:paraId="0567E37D" w14:textId="63DF917F" w:rsidR="003E2306" w:rsidRPr="00646D82" w:rsidRDefault="003E2306" w:rsidP="00170145">
      <w:pPr>
        <w:pStyle w:val="Para1"/>
        <w:numPr>
          <w:ilvl w:val="0"/>
          <w:numId w:val="12"/>
        </w:numPr>
        <w:suppressLineNumbers/>
        <w:suppressAutoHyphens/>
        <w:rPr>
          <w:kern w:val="22"/>
          <w:szCs w:val="22"/>
        </w:rPr>
      </w:pPr>
      <w:r w:rsidRPr="002A4D34">
        <w:rPr>
          <w:kern w:val="22"/>
          <w:szCs w:val="22"/>
        </w:rPr>
        <w:t xml:space="preserve">The following provides a summary </w:t>
      </w:r>
      <w:r w:rsidRPr="00AF3C60">
        <w:rPr>
          <w:kern w:val="22"/>
          <w:szCs w:val="22"/>
        </w:rPr>
        <w:t>of the responses provided by Parties in the interim national report</w:t>
      </w:r>
      <w:r w:rsidRPr="00646D82">
        <w:rPr>
          <w:kern w:val="22"/>
          <w:szCs w:val="22"/>
        </w:rPr>
        <w:t xml:space="preserve"> to the questions identified in </w:t>
      </w:r>
      <w:r w:rsidR="00AA2D65" w:rsidRPr="00646D82">
        <w:rPr>
          <w:kern w:val="22"/>
          <w:szCs w:val="22"/>
        </w:rPr>
        <w:t>the a</w:t>
      </w:r>
      <w:r w:rsidRPr="00646D82">
        <w:rPr>
          <w:kern w:val="22"/>
          <w:szCs w:val="22"/>
        </w:rPr>
        <w:t>nnex to decision NP-2/4. The information provided could serve as reference points.</w:t>
      </w:r>
    </w:p>
    <w:tbl>
      <w:tblPr>
        <w:tblStyle w:val="TableGrid"/>
        <w:tblW w:w="9812" w:type="dxa"/>
        <w:jc w:val="center"/>
        <w:tblLook w:val="04A0" w:firstRow="1" w:lastRow="0" w:firstColumn="1" w:lastColumn="0" w:noHBand="0" w:noVBand="1"/>
      </w:tblPr>
      <w:tblGrid>
        <w:gridCol w:w="2504"/>
        <w:gridCol w:w="7308"/>
      </w:tblGrid>
      <w:tr w:rsidR="00250652" w:rsidRPr="00646D82" w14:paraId="6FB3274D" w14:textId="77777777" w:rsidTr="00D93FC9">
        <w:trPr>
          <w:cantSplit/>
          <w:tblHeader/>
          <w:jc w:val="center"/>
        </w:trPr>
        <w:tc>
          <w:tcPr>
            <w:tcW w:w="2504" w:type="dxa"/>
          </w:tcPr>
          <w:p w14:paraId="264F3264" w14:textId="77777777" w:rsidR="00250652" w:rsidRPr="00646D82" w:rsidRDefault="00250652" w:rsidP="00646D82">
            <w:pPr>
              <w:pStyle w:val="Para1"/>
              <w:keepNext/>
              <w:suppressLineNumbers/>
              <w:suppressAutoHyphens/>
              <w:jc w:val="center"/>
              <w:rPr>
                <w:rFonts w:ascii="Times New Roman" w:hAnsi="Times New Roman" w:cs="Times New Roman"/>
                <w:b/>
                <w:kern w:val="22"/>
                <w:szCs w:val="22"/>
              </w:rPr>
            </w:pPr>
            <w:r w:rsidRPr="00646D82">
              <w:rPr>
                <w:rFonts w:ascii="Times New Roman" w:hAnsi="Times New Roman" w:cs="Times New Roman"/>
                <w:b/>
                <w:kern w:val="22"/>
                <w:szCs w:val="22"/>
              </w:rPr>
              <w:t>Articles of the Protocol</w:t>
            </w:r>
          </w:p>
        </w:tc>
        <w:tc>
          <w:tcPr>
            <w:tcW w:w="7308" w:type="dxa"/>
          </w:tcPr>
          <w:p w14:paraId="474CFDD8" w14:textId="7C87849B" w:rsidR="00250652" w:rsidRPr="00646D82" w:rsidRDefault="00C11959" w:rsidP="00646D82">
            <w:pPr>
              <w:pStyle w:val="Para1"/>
              <w:keepNext/>
              <w:suppressLineNumbers/>
              <w:suppressAutoHyphens/>
              <w:jc w:val="center"/>
              <w:rPr>
                <w:rFonts w:ascii="Times New Roman" w:hAnsi="Times New Roman" w:cs="Times New Roman"/>
                <w:b/>
                <w:kern w:val="22"/>
                <w:szCs w:val="22"/>
              </w:rPr>
            </w:pPr>
            <w:r w:rsidRPr="00646D82">
              <w:rPr>
                <w:rFonts w:ascii="Times New Roman" w:hAnsi="Times New Roman" w:cs="Times New Roman"/>
                <w:b/>
                <w:kern w:val="22"/>
                <w:szCs w:val="22"/>
              </w:rPr>
              <w:t xml:space="preserve">Current status and </w:t>
            </w:r>
            <w:r w:rsidR="009D7741" w:rsidRPr="00646D82">
              <w:rPr>
                <w:rFonts w:ascii="Times New Roman" w:hAnsi="Times New Roman" w:cs="Times New Roman"/>
                <w:b/>
                <w:kern w:val="22"/>
                <w:szCs w:val="22"/>
              </w:rPr>
              <w:t>r</w:t>
            </w:r>
            <w:r w:rsidR="00461FD0" w:rsidRPr="00646D82">
              <w:rPr>
                <w:rFonts w:ascii="Times New Roman" w:hAnsi="Times New Roman" w:cs="Times New Roman"/>
                <w:b/>
                <w:kern w:val="22"/>
                <w:szCs w:val="22"/>
              </w:rPr>
              <w:t>eference points</w:t>
            </w:r>
          </w:p>
        </w:tc>
      </w:tr>
      <w:tr w:rsidR="00A21E87" w:rsidRPr="00646D82" w14:paraId="652A340E" w14:textId="77777777" w:rsidTr="00646D82">
        <w:trPr>
          <w:cantSplit/>
          <w:jc w:val="center"/>
        </w:trPr>
        <w:tc>
          <w:tcPr>
            <w:tcW w:w="2504" w:type="dxa"/>
          </w:tcPr>
          <w:p w14:paraId="46F79B06" w14:textId="77777777" w:rsidR="00A21E87" w:rsidRPr="00646D82" w:rsidRDefault="007D74A2" w:rsidP="00A62394">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Access (Article 6)</w:t>
            </w:r>
          </w:p>
        </w:tc>
        <w:tc>
          <w:tcPr>
            <w:tcW w:w="7308" w:type="dxa"/>
          </w:tcPr>
          <w:p w14:paraId="24031E4E" w14:textId="5CFA4BA9" w:rsidR="007D74A2" w:rsidRPr="00646D82" w:rsidRDefault="00A21E87" w:rsidP="00A62394">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27 Parties provide information on how to apply for prior informed consent as provided in Article 6.3(c). This represents 73% of the Parties that require prior informed consent for access to genetic resources</w:t>
            </w:r>
            <w:r w:rsidR="00C11959" w:rsidRPr="00646D82">
              <w:rPr>
                <w:rFonts w:ascii="Times New Roman" w:hAnsi="Times New Roman" w:cs="Times New Roman"/>
                <w:kern w:val="22"/>
                <w:szCs w:val="22"/>
              </w:rPr>
              <w:t xml:space="preserve"> (Q. 13)</w:t>
            </w:r>
          </w:p>
          <w:p w14:paraId="26AE6A1C" w14:textId="0935850A" w:rsidR="007D74A2" w:rsidRPr="00646D82" w:rsidRDefault="007D74A2" w:rsidP="00A62394">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 xml:space="preserve">32 Parties provide for the issuance at the time of access of a permit or its equivalent as provided in Article 6.3 (e). This represents the 86% of Parties requiring prior informed consent. </w:t>
            </w:r>
            <w:r w:rsidR="009D7741" w:rsidRPr="00646D82">
              <w:rPr>
                <w:rFonts w:ascii="Times New Roman" w:hAnsi="Times New Roman" w:cs="Times New Roman"/>
                <w:kern w:val="22"/>
                <w:szCs w:val="22"/>
              </w:rPr>
              <w:t xml:space="preserve"> (Q. 15)</w:t>
            </w:r>
          </w:p>
          <w:p w14:paraId="0C296A80" w14:textId="037DBDCC" w:rsidR="00A21E87" w:rsidRPr="00646D82" w:rsidRDefault="007D74A2" w:rsidP="00A62394">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12 Parties (11% of all Parties) have published internationally recognised certificates of compliance (IRCC) in the ABS Clearing-House</w:t>
            </w:r>
            <w:r w:rsidR="0041617F" w:rsidRPr="00646D82">
              <w:rPr>
                <w:rFonts w:ascii="Times New Roman" w:hAnsi="Times New Roman" w:cs="Times New Roman"/>
                <w:kern w:val="22"/>
                <w:szCs w:val="22"/>
              </w:rPr>
              <w:t>.</w:t>
            </w:r>
            <w:r w:rsidR="009D7741" w:rsidRPr="00646D82">
              <w:rPr>
                <w:rFonts w:ascii="Times New Roman" w:hAnsi="Times New Roman" w:cs="Times New Roman"/>
                <w:kern w:val="22"/>
                <w:szCs w:val="22"/>
              </w:rPr>
              <w:t xml:space="preserve"> (Q. 16) </w:t>
            </w:r>
          </w:p>
          <w:p w14:paraId="2BE75810" w14:textId="09E6EBE4" w:rsidR="007D74A2" w:rsidRPr="00646D82" w:rsidRDefault="001865DA" w:rsidP="00A62394">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Information on benefits received was n</w:t>
            </w:r>
            <w:r w:rsidR="007D74A2" w:rsidRPr="00646D82">
              <w:rPr>
                <w:rFonts w:ascii="Times New Roman" w:hAnsi="Times New Roman" w:cs="Times New Roman"/>
                <w:kern w:val="22"/>
                <w:szCs w:val="22"/>
              </w:rPr>
              <w:t>ot conclusive</w:t>
            </w:r>
            <w:r w:rsidR="009D7741" w:rsidRPr="00646D82">
              <w:rPr>
                <w:rFonts w:ascii="Times New Roman" w:hAnsi="Times New Roman" w:cs="Times New Roman"/>
                <w:kern w:val="22"/>
                <w:szCs w:val="22"/>
              </w:rPr>
              <w:t xml:space="preserve"> (Q.18)</w:t>
            </w:r>
          </w:p>
        </w:tc>
      </w:tr>
      <w:tr w:rsidR="00A21E87" w:rsidRPr="00646D82" w14:paraId="5FD0C021" w14:textId="77777777" w:rsidTr="00646D82">
        <w:trPr>
          <w:cantSplit/>
          <w:jc w:val="center"/>
        </w:trPr>
        <w:tc>
          <w:tcPr>
            <w:tcW w:w="2504" w:type="dxa"/>
          </w:tcPr>
          <w:p w14:paraId="1F1BD98D" w14:textId="12DDA35C" w:rsidR="00A21E87" w:rsidRPr="00646D82" w:rsidRDefault="007D74A2" w:rsidP="00646D82">
            <w:pPr>
              <w:pStyle w:val="Para1"/>
              <w:suppressLineNumbers/>
              <w:suppressAutoHyphens/>
              <w:jc w:val="left"/>
              <w:rPr>
                <w:rFonts w:ascii="Times New Roman" w:hAnsi="Times New Roman" w:cs="Times New Roman"/>
                <w:kern w:val="22"/>
                <w:szCs w:val="22"/>
              </w:rPr>
            </w:pPr>
            <w:r w:rsidRPr="00646D82">
              <w:rPr>
                <w:rFonts w:ascii="Times New Roman" w:hAnsi="Times New Roman" w:cs="Times New Roman"/>
                <w:kern w:val="22"/>
                <w:szCs w:val="22"/>
              </w:rPr>
              <w:t>Compliance with</w:t>
            </w:r>
            <w:r w:rsidRPr="00646D82">
              <w:rPr>
                <w:rFonts w:ascii="Times New Roman" w:hAnsi="Times New Roman" w:cs="Times New Roman"/>
                <w:szCs w:val="22"/>
              </w:rPr>
              <w:t xml:space="preserve"> </w:t>
            </w:r>
            <w:r w:rsidRPr="00646D82">
              <w:rPr>
                <w:rFonts w:ascii="Times New Roman" w:hAnsi="Times New Roman" w:cs="Times New Roman"/>
                <w:kern w:val="22"/>
                <w:szCs w:val="22"/>
              </w:rPr>
              <w:t>domestic legislation or regulatory requirements on ABS (Article 15)</w:t>
            </w:r>
          </w:p>
        </w:tc>
        <w:tc>
          <w:tcPr>
            <w:tcW w:w="7308" w:type="dxa"/>
          </w:tcPr>
          <w:p w14:paraId="0A75AF3F" w14:textId="7AF446D1" w:rsidR="00A21E87" w:rsidRPr="00646D82" w:rsidRDefault="00A21E87" w:rsidP="00A21E87">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36 Parties (34% of all Parties) have taken appropriate, effective and proportionate legislative, administrative or policy measures to implement Article 15.1.</w:t>
            </w:r>
            <w:r w:rsidR="009D7741" w:rsidRPr="00646D82">
              <w:rPr>
                <w:rFonts w:ascii="Times New Roman" w:hAnsi="Times New Roman" w:cs="Times New Roman"/>
                <w:kern w:val="22"/>
                <w:szCs w:val="22"/>
              </w:rPr>
              <w:t xml:space="preserve"> (Q. 24)</w:t>
            </w:r>
          </w:p>
        </w:tc>
      </w:tr>
      <w:tr w:rsidR="00A21E87" w:rsidRPr="00646D82" w14:paraId="3BFD5266" w14:textId="77777777" w:rsidTr="00646D82">
        <w:trPr>
          <w:cantSplit/>
          <w:jc w:val="center"/>
        </w:trPr>
        <w:tc>
          <w:tcPr>
            <w:tcW w:w="2504" w:type="dxa"/>
          </w:tcPr>
          <w:p w14:paraId="66678D53" w14:textId="77777777" w:rsidR="00A21E87" w:rsidRPr="00646D82" w:rsidRDefault="007D74A2" w:rsidP="00646D82">
            <w:pPr>
              <w:pStyle w:val="Para1"/>
              <w:suppressLineNumbers/>
              <w:suppressAutoHyphens/>
              <w:jc w:val="left"/>
              <w:rPr>
                <w:rFonts w:ascii="Times New Roman" w:hAnsi="Times New Roman" w:cs="Times New Roman"/>
                <w:kern w:val="22"/>
                <w:szCs w:val="22"/>
              </w:rPr>
            </w:pPr>
            <w:r w:rsidRPr="00646D82">
              <w:rPr>
                <w:rFonts w:ascii="Times New Roman" w:hAnsi="Times New Roman" w:cs="Times New Roman"/>
                <w:kern w:val="22"/>
                <w:szCs w:val="22"/>
              </w:rPr>
              <w:t>Special considerations (Article 8)</w:t>
            </w:r>
          </w:p>
        </w:tc>
        <w:tc>
          <w:tcPr>
            <w:tcW w:w="7308" w:type="dxa"/>
          </w:tcPr>
          <w:p w14:paraId="2DA5931A" w14:textId="084DBA96" w:rsidR="00A21E87" w:rsidRPr="00646D82" w:rsidRDefault="00A21E87" w:rsidP="00A21E87">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48 Parties (46%) created conditions to promote and encourage research which contributes to the conservation and sustainable use of biodiversity as provided in Article 8(a)</w:t>
            </w:r>
            <w:r w:rsidR="009D7741" w:rsidRPr="00646D82">
              <w:rPr>
                <w:rFonts w:ascii="Times New Roman" w:hAnsi="Times New Roman" w:cs="Times New Roman"/>
                <w:kern w:val="22"/>
                <w:szCs w:val="22"/>
              </w:rPr>
              <w:t xml:space="preserve"> (Q.35.1)</w:t>
            </w:r>
          </w:p>
          <w:p w14:paraId="44092024" w14:textId="28FBCD4F" w:rsidR="00A21E87" w:rsidRPr="00646D82" w:rsidRDefault="00A21E87" w:rsidP="00A21E87">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39 Parties (37%) paid due regard to cases of present or imminent emergencies that threaten or damage human, animal or plant health as provided in Article 8(b)</w:t>
            </w:r>
            <w:r w:rsidR="009D7741" w:rsidRPr="00646D82">
              <w:rPr>
                <w:rFonts w:ascii="Times New Roman" w:hAnsi="Times New Roman" w:cs="Times New Roman"/>
                <w:kern w:val="22"/>
                <w:szCs w:val="22"/>
              </w:rPr>
              <w:t xml:space="preserve"> (Q.35.2)</w:t>
            </w:r>
          </w:p>
          <w:p w14:paraId="2D22DACC" w14:textId="5F0007BE" w:rsidR="00A21E87" w:rsidRPr="00646D82" w:rsidRDefault="00A21E87" w:rsidP="00A21E87">
            <w:pPr>
              <w:pStyle w:val="Para1"/>
              <w:suppressLineNumbers/>
              <w:suppressAutoHyphens/>
              <w:rPr>
                <w:rFonts w:ascii="Times New Roman" w:hAnsi="Times New Roman" w:cs="Times New Roman"/>
                <w:szCs w:val="22"/>
              </w:rPr>
            </w:pPr>
            <w:r w:rsidRPr="00646D82">
              <w:rPr>
                <w:rFonts w:ascii="Times New Roman" w:hAnsi="Times New Roman" w:cs="Times New Roman"/>
                <w:kern w:val="22"/>
                <w:szCs w:val="22"/>
              </w:rPr>
              <w:t xml:space="preserve"> 26 Parties (25%) have taken into consideration the need for expeditious access to genetic resources and expeditious fair and equitable sharing of benefits arising from the use of such genetic resources as provided in Article 8(b).</w:t>
            </w:r>
            <w:r w:rsidRPr="00646D82">
              <w:rPr>
                <w:rFonts w:ascii="Times New Roman" w:hAnsi="Times New Roman" w:cs="Times New Roman"/>
                <w:szCs w:val="22"/>
              </w:rPr>
              <w:t xml:space="preserve"> </w:t>
            </w:r>
            <w:r w:rsidR="009D7741" w:rsidRPr="00646D82">
              <w:rPr>
                <w:rFonts w:ascii="Times New Roman" w:hAnsi="Times New Roman" w:cs="Times New Roman"/>
                <w:szCs w:val="22"/>
              </w:rPr>
              <w:t xml:space="preserve"> (Q.35.3)</w:t>
            </w:r>
          </w:p>
          <w:p w14:paraId="2D309628" w14:textId="1F35FF22" w:rsidR="00A21E87" w:rsidRPr="00646D82" w:rsidRDefault="00A21E87" w:rsidP="00A21E87">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48 Parties (46%) have taken into consideration the importance of genetic resources for food and agriculture and their special role for food security as provided in Article 8 (c).</w:t>
            </w:r>
            <w:r w:rsidR="009D7741" w:rsidRPr="00646D82">
              <w:rPr>
                <w:rFonts w:ascii="Times New Roman" w:hAnsi="Times New Roman" w:cs="Times New Roman"/>
                <w:kern w:val="22"/>
                <w:szCs w:val="22"/>
              </w:rPr>
              <w:t xml:space="preserve"> (Q.35.4)</w:t>
            </w:r>
          </w:p>
        </w:tc>
      </w:tr>
      <w:tr w:rsidR="007D74A2" w:rsidRPr="00646D82" w14:paraId="631A88B5" w14:textId="77777777" w:rsidTr="00646D82">
        <w:trPr>
          <w:cantSplit/>
          <w:jc w:val="center"/>
        </w:trPr>
        <w:tc>
          <w:tcPr>
            <w:tcW w:w="2504" w:type="dxa"/>
          </w:tcPr>
          <w:p w14:paraId="004EF30B" w14:textId="77777777" w:rsidR="007D74A2" w:rsidRPr="00646D82" w:rsidRDefault="007D74A2" w:rsidP="00646D82">
            <w:pPr>
              <w:pStyle w:val="Para1"/>
              <w:suppressLineNumbers/>
              <w:suppressAutoHyphens/>
              <w:jc w:val="left"/>
              <w:rPr>
                <w:rFonts w:ascii="Times New Roman" w:hAnsi="Times New Roman" w:cs="Times New Roman"/>
                <w:kern w:val="22"/>
                <w:szCs w:val="22"/>
              </w:rPr>
            </w:pPr>
            <w:r w:rsidRPr="00646D82">
              <w:rPr>
                <w:rFonts w:ascii="Times New Roman" w:hAnsi="Times New Roman" w:cs="Times New Roman"/>
                <w:kern w:val="22"/>
                <w:szCs w:val="22"/>
              </w:rPr>
              <w:t>Contribution to conservation and sustainable use (Article 9)</w:t>
            </w:r>
          </w:p>
        </w:tc>
        <w:tc>
          <w:tcPr>
            <w:tcW w:w="7308" w:type="dxa"/>
          </w:tcPr>
          <w:p w14:paraId="6FCE9442" w14:textId="75897F89" w:rsidR="007D74A2" w:rsidRPr="00646D82" w:rsidRDefault="001865DA" w:rsidP="00A62394">
            <w:pPr>
              <w:pStyle w:val="Para1"/>
              <w:suppressLineNumbers/>
              <w:suppressAutoHyphens/>
              <w:rPr>
                <w:rFonts w:ascii="Times New Roman" w:hAnsi="Times New Roman" w:cs="Times New Roman"/>
                <w:kern w:val="22"/>
                <w:szCs w:val="22"/>
              </w:rPr>
            </w:pPr>
            <w:r w:rsidRPr="00646D82">
              <w:rPr>
                <w:rFonts w:ascii="Times New Roman" w:hAnsi="Times New Roman" w:cs="Times New Roman"/>
                <w:kern w:val="22"/>
                <w:szCs w:val="22"/>
              </w:rPr>
              <w:t>Information received was not conclusive</w:t>
            </w:r>
            <w:r w:rsidR="009D7741" w:rsidRPr="00646D82">
              <w:rPr>
                <w:rFonts w:ascii="Times New Roman" w:hAnsi="Times New Roman" w:cs="Times New Roman"/>
                <w:kern w:val="22"/>
                <w:szCs w:val="22"/>
              </w:rPr>
              <w:t xml:space="preserve"> (Q.46)</w:t>
            </w:r>
          </w:p>
        </w:tc>
      </w:tr>
    </w:tbl>
    <w:p w14:paraId="0BFB832A" w14:textId="77777777" w:rsidR="007D74A2" w:rsidRPr="002A4D34" w:rsidRDefault="007D74A2" w:rsidP="00A62394">
      <w:pPr>
        <w:pStyle w:val="Para1"/>
        <w:suppressLineNumbers/>
        <w:suppressAutoHyphens/>
        <w:rPr>
          <w:kern w:val="22"/>
          <w:szCs w:val="22"/>
        </w:rPr>
      </w:pPr>
    </w:p>
    <w:p w14:paraId="4EF35549" w14:textId="3A011AF4" w:rsidR="0082694C" w:rsidRPr="00646D82" w:rsidRDefault="009D7741">
      <w:pPr>
        <w:pStyle w:val="Para1"/>
        <w:numPr>
          <w:ilvl w:val="0"/>
          <w:numId w:val="12"/>
        </w:numPr>
        <w:suppressLineNumbers/>
        <w:suppressAutoHyphens/>
        <w:rPr>
          <w:kern w:val="22"/>
          <w:szCs w:val="22"/>
        </w:rPr>
      </w:pPr>
      <w:r w:rsidRPr="00646D82">
        <w:rPr>
          <w:kern w:val="22"/>
          <w:szCs w:val="22"/>
        </w:rPr>
        <w:t>S</w:t>
      </w:r>
      <w:r w:rsidR="005E0ABF" w:rsidRPr="00646D82">
        <w:rPr>
          <w:kern w:val="22"/>
          <w:szCs w:val="22"/>
        </w:rPr>
        <w:t>ome Parties provided information and details on the monetary benefits received from the utilization of genetic resources and associated traditional knowledge, as well as examples of non-monetary benefits</w:t>
      </w:r>
      <w:r w:rsidR="00C11959" w:rsidRPr="00646D82">
        <w:rPr>
          <w:kern w:val="22"/>
          <w:szCs w:val="22"/>
        </w:rPr>
        <w:t xml:space="preserve"> (in response to question 18)</w:t>
      </w:r>
      <w:r w:rsidR="005E0ABF" w:rsidRPr="00646D82">
        <w:rPr>
          <w:kern w:val="22"/>
          <w:szCs w:val="22"/>
        </w:rPr>
        <w:t>. However, a</w:t>
      </w:r>
      <w:r w:rsidR="00FD1409" w:rsidRPr="00646D82">
        <w:rPr>
          <w:kern w:val="22"/>
          <w:szCs w:val="22"/>
        </w:rPr>
        <w:t>n analysis of responses to</w:t>
      </w:r>
      <w:r w:rsidR="001865DA" w:rsidRPr="00646D82">
        <w:rPr>
          <w:kern w:val="22"/>
          <w:szCs w:val="22"/>
        </w:rPr>
        <w:t xml:space="preserve"> this</w:t>
      </w:r>
      <w:r w:rsidR="00FD1409" w:rsidRPr="00646D82">
        <w:rPr>
          <w:kern w:val="22"/>
          <w:szCs w:val="22"/>
        </w:rPr>
        <w:t xml:space="preserve"> question</w:t>
      </w:r>
      <w:r w:rsidR="00FD1409" w:rsidRPr="00646D82">
        <w:rPr>
          <w:rStyle w:val="FootnoteReference"/>
          <w:kern w:val="22"/>
          <w:sz w:val="22"/>
          <w:szCs w:val="22"/>
        </w:rPr>
        <w:footnoteReference w:id="19"/>
      </w:r>
      <w:r w:rsidR="00FD1409" w:rsidRPr="00646D82">
        <w:rPr>
          <w:kern w:val="22"/>
          <w:szCs w:val="22"/>
        </w:rPr>
        <w:t xml:space="preserve"> reveals that </w:t>
      </w:r>
      <w:r w:rsidR="005E0ABF" w:rsidRPr="00646D82">
        <w:rPr>
          <w:kern w:val="22"/>
          <w:szCs w:val="22"/>
        </w:rPr>
        <w:t xml:space="preserve">Parties </w:t>
      </w:r>
      <w:r w:rsidR="00FD1409" w:rsidRPr="00646D82">
        <w:rPr>
          <w:kern w:val="22"/>
          <w:szCs w:val="22"/>
        </w:rPr>
        <w:t>provided inconsi</w:t>
      </w:r>
      <w:r w:rsidR="00647C04" w:rsidRPr="00646D82">
        <w:rPr>
          <w:kern w:val="22"/>
          <w:szCs w:val="22"/>
        </w:rPr>
        <w:t xml:space="preserve">stent answers, and </w:t>
      </w:r>
      <w:r w:rsidR="00FD1409" w:rsidRPr="00646D82">
        <w:rPr>
          <w:kern w:val="22"/>
          <w:szCs w:val="22"/>
        </w:rPr>
        <w:t xml:space="preserve">therefore it is difficult to differentiate between Parties that reported on </w:t>
      </w:r>
      <w:r w:rsidR="00647C04" w:rsidRPr="00646D82">
        <w:rPr>
          <w:kern w:val="22"/>
          <w:szCs w:val="22"/>
        </w:rPr>
        <w:t xml:space="preserve">having received </w:t>
      </w:r>
      <w:r w:rsidR="00FD1409" w:rsidRPr="00646D82">
        <w:rPr>
          <w:kern w:val="22"/>
          <w:szCs w:val="22"/>
        </w:rPr>
        <w:t xml:space="preserve">benefits and </w:t>
      </w:r>
      <w:r w:rsidR="00647C04" w:rsidRPr="00646D82">
        <w:rPr>
          <w:kern w:val="22"/>
          <w:szCs w:val="22"/>
        </w:rPr>
        <w:t xml:space="preserve">Parties </w:t>
      </w:r>
      <w:r w:rsidR="00FD1409" w:rsidRPr="00646D82">
        <w:rPr>
          <w:kern w:val="22"/>
          <w:szCs w:val="22"/>
        </w:rPr>
        <w:t>that indicated that benefit-sharing is required or desirable. As a consequence, the resulting information may not be a good re</w:t>
      </w:r>
      <w:r w:rsidR="0031269A" w:rsidRPr="00646D82">
        <w:rPr>
          <w:kern w:val="22"/>
          <w:szCs w:val="22"/>
        </w:rPr>
        <w:t>ference point on</w:t>
      </w:r>
      <w:r w:rsidR="00FD1409" w:rsidRPr="00646D82">
        <w:rPr>
          <w:kern w:val="22"/>
          <w:szCs w:val="22"/>
        </w:rPr>
        <w:t xml:space="preserve"> the number of Parties that received benefits since entry into force of the Protocol from the utilization of genetic resource and/or traditional knowledge associated with genetic resources.</w:t>
      </w:r>
    </w:p>
    <w:p w14:paraId="681BB46C" w14:textId="3341A74D" w:rsidR="000F2988" w:rsidRPr="00646D82" w:rsidRDefault="00A825F0" w:rsidP="008E4A3A">
      <w:pPr>
        <w:pStyle w:val="Para1"/>
        <w:numPr>
          <w:ilvl w:val="0"/>
          <w:numId w:val="12"/>
        </w:numPr>
        <w:suppressLineNumbers/>
        <w:suppressAutoHyphens/>
        <w:rPr>
          <w:szCs w:val="22"/>
          <w:u w:color="000000"/>
        </w:rPr>
      </w:pPr>
      <w:r w:rsidRPr="00646D82">
        <w:rPr>
          <w:szCs w:val="22"/>
          <w:u w:color="000000"/>
        </w:rPr>
        <w:t xml:space="preserve">59 </w:t>
      </w:r>
      <w:r w:rsidR="000F2988" w:rsidRPr="00646D82">
        <w:rPr>
          <w:szCs w:val="22"/>
          <w:u w:color="000000"/>
        </w:rPr>
        <w:t>Parties provided information on how the implementation of the Nagoya Protocol contributed to conservation and sustainable use of biodiversity in their country</w:t>
      </w:r>
      <w:r w:rsidR="00C11959" w:rsidRPr="00646D82">
        <w:rPr>
          <w:szCs w:val="22"/>
          <w:u w:color="000000"/>
        </w:rPr>
        <w:t xml:space="preserve"> </w:t>
      </w:r>
      <w:r w:rsidR="00C11959" w:rsidRPr="00646D82">
        <w:rPr>
          <w:kern w:val="22"/>
          <w:szCs w:val="22"/>
        </w:rPr>
        <w:t>(question 46).</w:t>
      </w:r>
      <w:r w:rsidR="000F2988" w:rsidRPr="00646D82">
        <w:rPr>
          <w:szCs w:val="22"/>
          <w:u w:color="000000"/>
        </w:rPr>
        <w:t xml:space="preserve">  Out of these Parties, </w:t>
      </w:r>
      <w:r w:rsidR="00AA2D65" w:rsidRPr="00646D82">
        <w:rPr>
          <w:szCs w:val="22"/>
          <w:u w:color="000000"/>
        </w:rPr>
        <w:t xml:space="preserve">20 </w:t>
      </w:r>
      <w:r w:rsidR="000F2988" w:rsidRPr="00646D82">
        <w:rPr>
          <w:szCs w:val="22"/>
          <w:u w:color="000000"/>
        </w:rPr>
        <w:t>considered that it was premature to answer this question as implementation of the Nagoya P</w:t>
      </w:r>
      <w:r w:rsidR="00084F3C">
        <w:rPr>
          <w:szCs w:val="22"/>
          <w:u w:color="000000"/>
        </w:rPr>
        <w:t>rotocol was at an early stage.</w:t>
      </w:r>
    </w:p>
    <w:p w14:paraId="09E58A73" w14:textId="77777777" w:rsidR="000F2988" w:rsidRPr="00646D82" w:rsidRDefault="000F2988" w:rsidP="008E4A3A">
      <w:pPr>
        <w:pStyle w:val="Para1"/>
        <w:numPr>
          <w:ilvl w:val="0"/>
          <w:numId w:val="12"/>
        </w:numPr>
        <w:suppressLineNumbers/>
        <w:suppressAutoHyphens/>
        <w:rPr>
          <w:szCs w:val="22"/>
          <w:u w:color="000000"/>
        </w:rPr>
      </w:pPr>
      <w:r w:rsidRPr="00646D82">
        <w:rPr>
          <w:szCs w:val="22"/>
          <w:u w:color="000000"/>
        </w:rPr>
        <w:t xml:space="preserve">The most common benefit reported </w:t>
      </w:r>
      <w:r w:rsidR="00A825F0" w:rsidRPr="00646D82">
        <w:rPr>
          <w:szCs w:val="22"/>
          <w:u w:color="000000"/>
        </w:rPr>
        <w:t xml:space="preserve">was </w:t>
      </w:r>
      <w:r w:rsidR="0031269A" w:rsidRPr="00646D82">
        <w:rPr>
          <w:szCs w:val="22"/>
          <w:u w:color="000000"/>
        </w:rPr>
        <w:t xml:space="preserve">greater </w:t>
      </w:r>
      <w:r w:rsidRPr="00646D82">
        <w:rPr>
          <w:szCs w:val="22"/>
          <w:u w:color="000000"/>
        </w:rPr>
        <w:t>awareness of the value of conservation and sustainable use of biodiversity and ecosystem services. Examples of other contributions highlighted by countries are the following:</w:t>
      </w:r>
    </w:p>
    <w:p w14:paraId="45FD10E1" w14:textId="77777777" w:rsidR="000F2988" w:rsidRPr="00646D82" w:rsidRDefault="000F2988" w:rsidP="00966F98">
      <w:pPr>
        <w:numPr>
          <w:ilvl w:val="1"/>
          <w:numId w:val="7"/>
        </w:numPr>
        <w:pBdr>
          <w:top w:val="nil"/>
          <w:left w:val="nil"/>
          <w:bottom w:val="nil"/>
          <w:right w:val="nil"/>
          <w:between w:val="nil"/>
          <w:bar w:val="nil"/>
        </w:pBdr>
        <w:spacing w:before="120" w:after="120" w:line="228" w:lineRule="auto"/>
        <w:jc w:val="left"/>
        <w:rPr>
          <w:rFonts w:eastAsia="Calibri"/>
          <w:snapToGrid w:val="0"/>
          <w:kern w:val="22"/>
          <w:szCs w:val="22"/>
          <w:u w:color="000000"/>
        </w:rPr>
      </w:pPr>
      <w:r w:rsidRPr="00646D82">
        <w:rPr>
          <w:rFonts w:eastAsia="Calibri"/>
          <w:snapToGrid w:val="0"/>
          <w:kern w:val="22"/>
          <w:szCs w:val="22"/>
          <w:u w:color="000000"/>
        </w:rPr>
        <w:t>Managers of natural resources or authorities are more aware of the potential advantages of the Nagoya Protocol and are developing conservation practices;</w:t>
      </w:r>
      <w:r w:rsidRPr="00646D82">
        <w:rPr>
          <w:rFonts w:eastAsia="Arial Unicode MS"/>
          <w:snapToGrid w:val="0"/>
          <w:szCs w:val="22"/>
          <w:u w:color="000000"/>
          <w:vertAlign w:val="superscript"/>
        </w:rPr>
        <w:t xml:space="preserve"> </w:t>
      </w:r>
    </w:p>
    <w:p w14:paraId="187D5CEF" w14:textId="77777777" w:rsidR="000F2988" w:rsidRPr="00646D82" w:rsidRDefault="000F2988" w:rsidP="00966F98">
      <w:pPr>
        <w:numPr>
          <w:ilvl w:val="1"/>
          <w:numId w:val="7"/>
        </w:numPr>
        <w:pBdr>
          <w:top w:val="nil"/>
          <w:left w:val="nil"/>
          <w:bottom w:val="nil"/>
          <w:right w:val="nil"/>
          <w:between w:val="nil"/>
          <w:bar w:val="nil"/>
        </w:pBdr>
        <w:spacing w:before="120" w:after="120" w:line="228" w:lineRule="auto"/>
        <w:jc w:val="left"/>
        <w:rPr>
          <w:rFonts w:eastAsia="Calibri"/>
          <w:snapToGrid w:val="0"/>
          <w:kern w:val="22"/>
          <w:szCs w:val="22"/>
          <w:u w:color="000000"/>
        </w:rPr>
      </w:pPr>
      <w:r w:rsidRPr="00646D82">
        <w:rPr>
          <w:rFonts w:eastAsia="Calibri"/>
          <w:snapToGrid w:val="0"/>
          <w:kern w:val="22"/>
          <w:szCs w:val="22"/>
          <w:u w:color="000000"/>
        </w:rPr>
        <w:t>Implementing the Nagoya Protocol helped improving the knowledge about species, including through the development of databases or inventories and their population, and supports the valorisation of genetic resources and special conservation approaches;</w:t>
      </w:r>
    </w:p>
    <w:p w14:paraId="1C630475" w14:textId="77777777" w:rsidR="000F2988" w:rsidRPr="00646D82" w:rsidRDefault="000F2988" w:rsidP="00966F98">
      <w:pPr>
        <w:numPr>
          <w:ilvl w:val="1"/>
          <w:numId w:val="7"/>
        </w:numPr>
        <w:pBdr>
          <w:top w:val="nil"/>
          <w:left w:val="nil"/>
          <w:bottom w:val="nil"/>
          <w:right w:val="nil"/>
          <w:between w:val="nil"/>
          <w:bar w:val="nil"/>
        </w:pBdr>
        <w:spacing w:before="120" w:after="120" w:line="228" w:lineRule="auto"/>
        <w:jc w:val="left"/>
        <w:rPr>
          <w:rFonts w:eastAsia="Calibri"/>
          <w:snapToGrid w:val="0"/>
          <w:kern w:val="22"/>
          <w:szCs w:val="22"/>
          <w:u w:color="000000"/>
        </w:rPr>
      </w:pPr>
      <w:r w:rsidRPr="00646D82">
        <w:rPr>
          <w:snapToGrid w:val="0"/>
          <w:szCs w:val="22"/>
          <w:u w:color="000000"/>
        </w:rPr>
        <w:t>Increased involvement of communities in conservation and sustainable use;</w:t>
      </w:r>
    </w:p>
    <w:p w14:paraId="1DAEC8DC" w14:textId="77777777" w:rsidR="000F2988" w:rsidRPr="00646D82" w:rsidRDefault="000F2988" w:rsidP="00966F98">
      <w:pPr>
        <w:numPr>
          <w:ilvl w:val="1"/>
          <w:numId w:val="7"/>
        </w:numPr>
        <w:pBdr>
          <w:top w:val="nil"/>
          <w:left w:val="nil"/>
          <w:bottom w:val="nil"/>
          <w:right w:val="nil"/>
          <w:between w:val="nil"/>
          <w:bar w:val="nil"/>
        </w:pBdr>
        <w:spacing w:before="120" w:after="120" w:line="228" w:lineRule="auto"/>
        <w:jc w:val="left"/>
        <w:rPr>
          <w:rFonts w:eastAsia="Calibri"/>
          <w:snapToGrid w:val="0"/>
          <w:kern w:val="22"/>
          <w:szCs w:val="22"/>
          <w:u w:color="000000"/>
        </w:rPr>
      </w:pPr>
      <w:r w:rsidRPr="00646D82">
        <w:rPr>
          <w:rFonts w:eastAsia="Calibri"/>
          <w:snapToGrid w:val="0"/>
          <w:kern w:val="22"/>
          <w:szCs w:val="22"/>
          <w:u w:color="000000"/>
        </w:rPr>
        <w:t>Increased compliance by users of genetic resources;</w:t>
      </w:r>
    </w:p>
    <w:p w14:paraId="555C56EB" w14:textId="77777777" w:rsidR="000F2988" w:rsidRPr="00646D82" w:rsidRDefault="000F2988" w:rsidP="00966F98">
      <w:pPr>
        <w:numPr>
          <w:ilvl w:val="1"/>
          <w:numId w:val="7"/>
        </w:numPr>
        <w:pBdr>
          <w:top w:val="nil"/>
          <w:left w:val="nil"/>
          <w:bottom w:val="nil"/>
          <w:right w:val="nil"/>
          <w:between w:val="nil"/>
          <w:bar w:val="nil"/>
        </w:pBdr>
        <w:spacing w:before="120" w:after="120" w:line="228" w:lineRule="auto"/>
        <w:jc w:val="left"/>
        <w:rPr>
          <w:rFonts w:eastAsia="Calibri"/>
          <w:snapToGrid w:val="0"/>
          <w:kern w:val="22"/>
          <w:szCs w:val="22"/>
          <w:u w:color="000000"/>
        </w:rPr>
      </w:pPr>
      <w:r w:rsidRPr="00646D82">
        <w:rPr>
          <w:rFonts w:eastAsia="Calibri"/>
          <w:snapToGrid w:val="0"/>
          <w:kern w:val="22"/>
          <w:szCs w:val="22"/>
          <w:u w:color="000000"/>
        </w:rPr>
        <w:t>Recognition of research and development as a key to the country’s valorisation of genetic resources;</w:t>
      </w:r>
    </w:p>
    <w:p w14:paraId="527F5BA6" w14:textId="77777777" w:rsidR="000F2988" w:rsidRPr="00646D82" w:rsidRDefault="000F2988" w:rsidP="00966F98">
      <w:pPr>
        <w:numPr>
          <w:ilvl w:val="1"/>
          <w:numId w:val="7"/>
        </w:numPr>
        <w:pBdr>
          <w:top w:val="nil"/>
          <w:left w:val="nil"/>
          <w:bottom w:val="nil"/>
          <w:right w:val="nil"/>
          <w:between w:val="nil"/>
          <w:bar w:val="nil"/>
        </w:pBdr>
        <w:spacing w:before="120" w:after="120" w:line="228" w:lineRule="auto"/>
        <w:jc w:val="left"/>
        <w:rPr>
          <w:rFonts w:eastAsia="Calibri"/>
          <w:snapToGrid w:val="0"/>
          <w:kern w:val="22"/>
          <w:szCs w:val="22"/>
          <w:u w:color="000000"/>
        </w:rPr>
      </w:pPr>
      <w:r w:rsidRPr="00646D82">
        <w:rPr>
          <w:rFonts w:eastAsia="Calibri"/>
          <w:kern w:val="22"/>
          <w:szCs w:val="22"/>
          <w:u w:color="000000"/>
        </w:rPr>
        <w:t>Implementing the Protocol played a key role in factoring elements of biodiversity conservation and use in government development agenda including in 2030 vision.</w:t>
      </w:r>
    </w:p>
    <w:p w14:paraId="7AEBC6D1" w14:textId="1E2F49D5" w:rsidR="0082694C" w:rsidRPr="00646D82" w:rsidRDefault="00C11959" w:rsidP="008E4A3A">
      <w:pPr>
        <w:pStyle w:val="Para1"/>
        <w:numPr>
          <w:ilvl w:val="0"/>
          <w:numId w:val="12"/>
        </w:numPr>
        <w:suppressLineNumbers/>
        <w:suppressAutoHyphens/>
        <w:rPr>
          <w:kern w:val="22"/>
          <w:szCs w:val="22"/>
        </w:rPr>
      </w:pPr>
      <w:r w:rsidRPr="00646D82">
        <w:rPr>
          <w:szCs w:val="22"/>
          <w:u w:color="000000"/>
        </w:rPr>
        <w:t xml:space="preserve">The question on </w:t>
      </w:r>
      <w:r w:rsidRPr="00646D82">
        <w:rPr>
          <w:kern w:val="22"/>
          <w:szCs w:val="22"/>
        </w:rPr>
        <w:t>how the implementation of the Nagoya Protocol has contributed to conservation and sustainable use of biodiversity in the country</w:t>
      </w:r>
      <w:r w:rsidR="009D7741" w:rsidRPr="00646D82">
        <w:rPr>
          <w:kern w:val="22"/>
          <w:szCs w:val="22"/>
        </w:rPr>
        <w:t xml:space="preserve"> </w:t>
      </w:r>
      <w:r w:rsidRPr="00646D82">
        <w:rPr>
          <w:szCs w:val="22"/>
          <w:u w:color="000000"/>
        </w:rPr>
        <w:t>(</w:t>
      </w:r>
      <w:r w:rsidR="009D7741" w:rsidRPr="00646D82">
        <w:rPr>
          <w:szCs w:val="22"/>
          <w:u w:color="000000"/>
        </w:rPr>
        <w:t>q</w:t>
      </w:r>
      <w:r w:rsidR="000F2988" w:rsidRPr="00646D82">
        <w:rPr>
          <w:szCs w:val="22"/>
          <w:u w:color="000000"/>
        </w:rPr>
        <w:t>uestion 46</w:t>
      </w:r>
      <w:r w:rsidRPr="00646D82">
        <w:rPr>
          <w:szCs w:val="22"/>
          <w:u w:color="000000"/>
        </w:rPr>
        <w:t xml:space="preserve">) </w:t>
      </w:r>
      <w:r w:rsidR="000F2988" w:rsidRPr="00646D82">
        <w:rPr>
          <w:szCs w:val="22"/>
          <w:u w:color="000000"/>
        </w:rPr>
        <w:t xml:space="preserve">was voluntary </w:t>
      </w:r>
      <w:r w:rsidR="00647C04" w:rsidRPr="00646D82">
        <w:rPr>
          <w:szCs w:val="22"/>
          <w:u w:color="000000"/>
        </w:rPr>
        <w:t xml:space="preserve">and </w:t>
      </w:r>
      <w:r w:rsidR="000F2988" w:rsidRPr="00646D82">
        <w:rPr>
          <w:szCs w:val="22"/>
          <w:u w:color="000000"/>
        </w:rPr>
        <w:t xml:space="preserve">its formulation did not allow </w:t>
      </w:r>
      <w:r w:rsidR="0031269A" w:rsidRPr="00646D82">
        <w:rPr>
          <w:szCs w:val="22"/>
          <w:u w:color="000000"/>
        </w:rPr>
        <w:t>gathering</w:t>
      </w:r>
      <w:r w:rsidR="000F2988" w:rsidRPr="00646D82">
        <w:rPr>
          <w:szCs w:val="22"/>
          <w:u w:color="000000"/>
        </w:rPr>
        <w:t xml:space="preserve"> quantitative information that could </w:t>
      </w:r>
      <w:r w:rsidR="0031269A" w:rsidRPr="00646D82">
        <w:rPr>
          <w:szCs w:val="22"/>
          <w:u w:color="000000"/>
        </w:rPr>
        <w:t xml:space="preserve">easily </w:t>
      </w:r>
      <w:r w:rsidR="000F2988" w:rsidRPr="00646D82">
        <w:rPr>
          <w:szCs w:val="22"/>
          <w:u w:color="000000"/>
        </w:rPr>
        <w:t xml:space="preserve">be used as a reference point to measure </w:t>
      </w:r>
      <w:r w:rsidR="00756AA7" w:rsidRPr="00646D82">
        <w:rPr>
          <w:szCs w:val="22"/>
          <w:u w:color="000000"/>
        </w:rPr>
        <w:t xml:space="preserve">the </w:t>
      </w:r>
      <w:r w:rsidR="000F2988" w:rsidRPr="00646D82">
        <w:rPr>
          <w:szCs w:val="22"/>
          <w:u w:color="000000"/>
        </w:rPr>
        <w:t>effectiveness of the Protocol in the future.</w:t>
      </w:r>
    </w:p>
    <w:p w14:paraId="5F1DB6C2" w14:textId="71AEE36C" w:rsidR="001865DA" w:rsidRPr="00646D82" w:rsidRDefault="00F60BFC" w:rsidP="00646D82">
      <w:pPr>
        <w:pStyle w:val="ListParagraph"/>
        <w:keepNext/>
        <w:numPr>
          <w:ilvl w:val="0"/>
          <w:numId w:val="13"/>
        </w:numPr>
        <w:suppressLineNumbers/>
        <w:tabs>
          <w:tab w:val="left" w:pos="360"/>
        </w:tabs>
        <w:suppressAutoHyphens/>
        <w:kinsoku w:val="0"/>
        <w:overflowPunct w:val="0"/>
        <w:autoSpaceDE w:val="0"/>
        <w:autoSpaceDN w:val="0"/>
        <w:spacing w:before="120" w:after="120"/>
        <w:ind w:left="0" w:firstLine="0"/>
        <w:contextualSpacing w:val="0"/>
        <w:jc w:val="center"/>
        <w:rPr>
          <w:rFonts w:eastAsia="Calibri"/>
          <w:b/>
          <w:i/>
          <w:noProof/>
          <w:snapToGrid w:val="0"/>
          <w:color w:val="000000"/>
          <w:kern w:val="22"/>
          <w:szCs w:val="22"/>
          <w:u w:color="000000"/>
        </w:rPr>
      </w:pPr>
      <w:r w:rsidRPr="00646D82">
        <w:rPr>
          <w:rFonts w:eastAsia="Calibri"/>
          <w:i/>
          <w:noProof/>
          <w:snapToGrid w:val="0"/>
          <w:color w:val="000000"/>
          <w:kern w:val="22"/>
          <w:szCs w:val="22"/>
          <w:u w:color="000000"/>
        </w:rPr>
        <w:t>F</w:t>
      </w:r>
      <w:r w:rsidR="000F2988" w:rsidRPr="00646D82">
        <w:rPr>
          <w:rFonts w:eastAsia="Calibri"/>
          <w:i/>
          <w:noProof/>
          <w:snapToGrid w:val="0"/>
          <w:color w:val="000000"/>
          <w:kern w:val="22"/>
          <w:szCs w:val="22"/>
          <w:u w:color="000000"/>
        </w:rPr>
        <w:t>indings</w:t>
      </w:r>
    </w:p>
    <w:p w14:paraId="635A6ABB" w14:textId="5D578DA2" w:rsidR="002140C4" w:rsidRPr="00646D82" w:rsidRDefault="00362637" w:rsidP="00646D82">
      <w:pPr>
        <w:pStyle w:val="ListParagraph"/>
        <w:numPr>
          <w:ilvl w:val="0"/>
          <w:numId w:val="12"/>
        </w:numPr>
        <w:spacing w:before="120" w:after="120"/>
        <w:rPr>
          <w:b/>
          <w:color w:val="FF0000"/>
          <w:kern w:val="22"/>
          <w:szCs w:val="22"/>
        </w:rPr>
      </w:pPr>
      <w:r w:rsidRPr="002A4D34">
        <w:rPr>
          <w:kern w:val="22"/>
          <w:szCs w:val="22"/>
        </w:rPr>
        <w:t xml:space="preserve">Some </w:t>
      </w:r>
      <w:r w:rsidRPr="00AF3C60">
        <w:rPr>
          <w:kern w:val="22"/>
          <w:szCs w:val="22"/>
        </w:rPr>
        <w:t>Parties reported on having received benefits from the utilization of genetic resources and associated traditional knowledge and some provided information on how the implementation of the Nagoya Protocol contributed to conservation and sustainable use o</w:t>
      </w:r>
      <w:r w:rsidR="00EC24FD" w:rsidRPr="00646D82">
        <w:rPr>
          <w:kern w:val="22"/>
          <w:szCs w:val="22"/>
        </w:rPr>
        <w:t xml:space="preserve">f biodiversity in their country. </w:t>
      </w:r>
      <w:r w:rsidRPr="00646D82">
        <w:rPr>
          <w:kern w:val="22"/>
          <w:szCs w:val="22"/>
        </w:rPr>
        <w:t xml:space="preserve">In particular, the most common contribution reported is an increase of awareness of the value of conservation and sustainable use of biodiversity and ecosystem services. Examples of other contributions highlighted by countries are included in paragraph </w:t>
      </w:r>
      <w:r w:rsidR="00B14BE9" w:rsidRPr="00646D82">
        <w:rPr>
          <w:kern w:val="22"/>
          <w:szCs w:val="22"/>
        </w:rPr>
        <w:t>55 above</w:t>
      </w:r>
      <w:r w:rsidRPr="00646D82">
        <w:rPr>
          <w:kern w:val="22"/>
          <w:szCs w:val="22"/>
        </w:rPr>
        <w:t xml:space="preserve">. </w:t>
      </w:r>
      <w:r w:rsidR="00F1743D" w:rsidRPr="00646D82">
        <w:rPr>
          <w:kern w:val="22"/>
          <w:szCs w:val="22"/>
        </w:rPr>
        <w:t xml:space="preserve">Nevertheless, </w:t>
      </w:r>
      <w:r w:rsidR="00F1743D" w:rsidRPr="00646D82">
        <w:rPr>
          <w:snapToGrid w:val="0"/>
          <w:kern w:val="22"/>
          <w:szCs w:val="22"/>
        </w:rPr>
        <w:t xml:space="preserve">many considered that it was premature to answer this question as implementation of the Nagoya Protocol was at an early stage. </w:t>
      </w:r>
    </w:p>
    <w:p w14:paraId="1EBD691E" w14:textId="77777777" w:rsidR="00EE3A14" w:rsidRPr="00646D82" w:rsidRDefault="00EC525B" w:rsidP="00966F98">
      <w:pPr>
        <w:pStyle w:val="ListParagraph"/>
        <w:keepNext/>
        <w:numPr>
          <w:ilvl w:val="0"/>
          <w:numId w:val="9"/>
        </w:numPr>
        <w:pBdr>
          <w:top w:val="nil"/>
          <w:left w:val="nil"/>
          <w:bottom w:val="nil"/>
          <w:right w:val="nil"/>
          <w:between w:val="nil"/>
          <w:bar w:val="nil"/>
        </w:pBdr>
        <w:tabs>
          <w:tab w:val="left" w:pos="720"/>
        </w:tabs>
        <w:spacing w:before="120" w:after="120"/>
        <w:jc w:val="center"/>
        <w:outlineLvl w:val="1"/>
        <w:rPr>
          <w:b/>
          <w:kern w:val="22"/>
          <w:szCs w:val="22"/>
        </w:rPr>
      </w:pPr>
      <w:r w:rsidRPr="002A4D34">
        <w:rPr>
          <w:b/>
          <w:kern w:val="22"/>
          <w:szCs w:val="22"/>
        </w:rPr>
        <w:t xml:space="preserve">Establishment of a reference point on support available </w:t>
      </w:r>
      <w:r w:rsidRPr="00AF3C60">
        <w:rPr>
          <w:b/>
          <w:kern w:val="22"/>
          <w:szCs w:val="22"/>
        </w:rPr>
        <w:t>for</w:t>
      </w:r>
      <w:r w:rsidRPr="00646D82">
        <w:rPr>
          <w:b/>
          <w:kern w:val="22"/>
          <w:szCs w:val="22"/>
        </w:rPr>
        <w:t xml:space="preserve"> implementation</w:t>
      </w:r>
    </w:p>
    <w:p w14:paraId="63766DED" w14:textId="77777777" w:rsidR="00925184" w:rsidRPr="00646D82" w:rsidRDefault="00BF6802" w:rsidP="008E4A3A">
      <w:pPr>
        <w:pStyle w:val="Para1"/>
        <w:numPr>
          <w:ilvl w:val="0"/>
          <w:numId w:val="12"/>
        </w:numPr>
        <w:suppressLineNumbers/>
        <w:suppressAutoHyphens/>
        <w:rPr>
          <w:szCs w:val="22"/>
          <w:u w:color="000000"/>
        </w:rPr>
      </w:pPr>
      <w:r w:rsidRPr="00646D82">
        <w:rPr>
          <w:szCs w:val="22"/>
          <w:u w:color="000000"/>
        </w:rPr>
        <w:t>Element (c) aims to assess t</w:t>
      </w:r>
      <w:r w:rsidR="00925184" w:rsidRPr="00646D82">
        <w:rPr>
          <w:szCs w:val="22"/>
          <w:u w:color="000000"/>
        </w:rPr>
        <w:t>he extent to which support is available for implementation of the Protocol</w:t>
      </w:r>
      <w:r w:rsidR="00EF448B" w:rsidRPr="00646D82">
        <w:rPr>
          <w:szCs w:val="22"/>
          <w:u w:color="000000"/>
        </w:rPr>
        <w:t>, including capacity-building</w:t>
      </w:r>
      <w:r w:rsidR="00A825F0" w:rsidRPr="00646D82">
        <w:rPr>
          <w:szCs w:val="22"/>
          <w:u w:color="000000"/>
        </w:rPr>
        <w:t>,</w:t>
      </w:r>
      <w:r w:rsidR="00EF448B" w:rsidRPr="00646D82">
        <w:rPr>
          <w:szCs w:val="22"/>
          <w:u w:color="000000"/>
        </w:rPr>
        <w:t xml:space="preserve"> financial support as well human resources.</w:t>
      </w:r>
    </w:p>
    <w:p w14:paraId="05AB8858" w14:textId="5F308917" w:rsidR="00BF6802" w:rsidRPr="00646D82" w:rsidRDefault="00BF6802" w:rsidP="00646D82">
      <w:pPr>
        <w:pStyle w:val="ListParagraph"/>
        <w:keepNext/>
        <w:numPr>
          <w:ilvl w:val="0"/>
          <w:numId w:val="15"/>
        </w:numPr>
        <w:suppressLineNumbers/>
        <w:tabs>
          <w:tab w:val="left" w:pos="360"/>
        </w:tabs>
        <w:suppressAutoHyphens/>
        <w:kinsoku w:val="0"/>
        <w:overflowPunct w:val="0"/>
        <w:autoSpaceDE w:val="0"/>
        <w:autoSpaceDN w:val="0"/>
        <w:spacing w:before="120" w:after="120"/>
        <w:ind w:left="0" w:firstLine="16"/>
        <w:jc w:val="center"/>
        <w:rPr>
          <w:rFonts w:eastAsia="Calibri"/>
          <w:i/>
          <w:noProof/>
          <w:snapToGrid w:val="0"/>
          <w:color w:val="000000"/>
          <w:kern w:val="22"/>
          <w:szCs w:val="22"/>
          <w:u w:color="000000"/>
        </w:rPr>
      </w:pPr>
      <w:r w:rsidRPr="00646D82">
        <w:rPr>
          <w:rFonts w:eastAsia="Calibri"/>
          <w:i/>
          <w:noProof/>
          <w:snapToGrid w:val="0"/>
          <w:color w:val="000000"/>
          <w:kern w:val="22"/>
          <w:szCs w:val="22"/>
          <w:u w:color="000000"/>
        </w:rPr>
        <w:t xml:space="preserve">Summary of the </w:t>
      </w:r>
      <w:r w:rsidR="00A62394" w:rsidRPr="00646D82">
        <w:rPr>
          <w:rFonts w:eastAsia="Calibri"/>
          <w:i/>
          <w:noProof/>
          <w:snapToGrid w:val="0"/>
          <w:color w:val="000000"/>
          <w:kern w:val="22"/>
          <w:szCs w:val="22"/>
          <w:u w:color="000000"/>
        </w:rPr>
        <w:t xml:space="preserve">analysis </w:t>
      </w:r>
      <w:r w:rsidR="00C9512B" w:rsidRPr="00646D82">
        <w:rPr>
          <w:rFonts w:eastAsia="Calibri"/>
          <w:i/>
          <w:noProof/>
          <w:snapToGrid w:val="0"/>
          <w:color w:val="000000"/>
          <w:kern w:val="22"/>
          <w:szCs w:val="22"/>
          <w:u w:color="000000"/>
        </w:rPr>
        <w:t>and reference points</w:t>
      </w:r>
      <w:r w:rsidR="00C9512B" w:rsidRPr="00646D82">
        <w:rPr>
          <w:rFonts w:eastAsia="Calibri"/>
          <w:i/>
          <w:noProof/>
          <w:snapToGrid w:val="0"/>
          <w:color w:val="000000"/>
          <w:kern w:val="22"/>
          <w:szCs w:val="22"/>
          <w:vertAlign w:val="superscript"/>
        </w:rPr>
        <w:footnoteReference w:id="20"/>
      </w:r>
    </w:p>
    <w:p w14:paraId="0BCA1C75" w14:textId="5BDEE5C8" w:rsidR="003E2306" w:rsidRPr="00646D82" w:rsidRDefault="003E2306" w:rsidP="00170145">
      <w:pPr>
        <w:pStyle w:val="Para1"/>
        <w:numPr>
          <w:ilvl w:val="0"/>
          <w:numId w:val="12"/>
        </w:numPr>
        <w:suppressLineNumbers/>
        <w:suppressAutoHyphens/>
        <w:rPr>
          <w:kern w:val="22"/>
          <w:szCs w:val="22"/>
        </w:rPr>
      </w:pPr>
      <w:r w:rsidRPr="002A4D34">
        <w:rPr>
          <w:kern w:val="22"/>
          <w:szCs w:val="22"/>
        </w:rPr>
        <w:t xml:space="preserve">The following provides a summary </w:t>
      </w:r>
      <w:r w:rsidRPr="00AF3C60">
        <w:rPr>
          <w:kern w:val="22"/>
          <w:szCs w:val="22"/>
        </w:rPr>
        <w:t>of the responses provided by Parties in the interim national report</w:t>
      </w:r>
      <w:r w:rsidRPr="00646D82">
        <w:rPr>
          <w:kern w:val="22"/>
          <w:szCs w:val="22"/>
        </w:rPr>
        <w:t xml:space="preserve"> and information on capacity-building initiatives and resources. The information provided could serve as reference points.</w:t>
      </w:r>
    </w:p>
    <w:tbl>
      <w:tblPr>
        <w:tblStyle w:val="TableGrid"/>
        <w:tblW w:w="0" w:type="auto"/>
        <w:jc w:val="center"/>
        <w:tblLook w:val="04A0" w:firstRow="1" w:lastRow="0" w:firstColumn="1" w:lastColumn="0" w:noHBand="0" w:noVBand="1"/>
      </w:tblPr>
      <w:tblGrid>
        <w:gridCol w:w="2088"/>
        <w:gridCol w:w="7488"/>
      </w:tblGrid>
      <w:tr w:rsidR="00250652" w:rsidRPr="00646D82" w14:paraId="3D9203B8" w14:textId="77777777" w:rsidTr="00646D82">
        <w:trPr>
          <w:cantSplit/>
          <w:jc w:val="center"/>
        </w:trPr>
        <w:tc>
          <w:tcPr>
            <w:tcW w:w="2088" w:type="dxa"/>
          </w:tcPr>
          <w:p w14:paraId="209A3D83" w14:textId="77777777" w:rsidR="00250652" w:rsidRPr="00646D82" w:rsidRDefault="00250652" w:rsidP="00646D82">
            <w:pPr>
              <w:pStyle w:val="Para1"/>
              <w:keepNext/>
              <w:suppressLineNumbers/>
              <w:suppressAutoHyphens/>
              <w:jc w:val="center"/>
              <w:rPr>
                <w:rFonts w:ascii="Times New Roman" w:hAnsi="Times New Roman" w:cs="Times New Roman"/>
                <w:b/>
                <w:kern w:val="22"/>
                <w:szCs w:val="22"/>
              </w:rPr>
            </w:pPr>
            <w:r w:rsidRPr="00646D82">
              <w:rPr>
                <w:rFonts w:ascii="Times New Roman" w:hAnsi="Times New Roman" w:cs="Times New Roman"/>
                <w:b/>
                <w:kern w:val="22"/>
                <w:szCs w:val="22"/>
              </w:rPr>
              <w:t>Articles of the Protocol</w:t>
            </w:r>
          </w:p>
        </w:tc>
        <w:tc>
          <w:tcPr>
            <w:tcW w:w="7488" w:type="dxa"/>
          </w:tcPr>
          <w:p w14:paraId="58367E24" w14:textId="2C4CA0B3" w:rsidR="00250652" w:rsidRPr="00646D82" w:rsidRDefault="009D7741" w:rsidP="00646D82">
            <w:pPr>
              <w:pStyle w:val="Para1"/>
              <w:keepNext/>
              <w:suppressLineNumbers/>
              <w:suppressAutoHyphens/>
              <w:jc w:val="center"/>
              <w:rPr>
                <w:rFonts w:ascii="Times New Roman" w:hAnsi="Times New Roman" w:cs="Times New Roman"/>
                <w:b/>
                <w:kern w:val="22"/>
                <w:szCs w:val="22"/>
              </w:rPr>
            </w:pPr>
            <w:r w:rsidRPr="00646D82">
              <w:rPr>
                <w:rFonts w:ascii="Times New Roman" w:hAnsi="Times New Roman" w:cs="Times New Roman"/>
                <w:b/>
                <w:kern w:val="22"/>
                <w:szCs w:val="22"/>
              </w:rPr>
              <w:t>Current status and r</w:t>
            </w:r>
            <w:r w:rsidR="00461FD0" w:rsidRPr="00646D82">
              <w:rPr>
                <w:rFonts w:ascii="Times New Roman" w:hAnsi="Times New Roman" w:cs="Times New Roman"/>
                <w:b/>
                <w:kern w:val="22"/>
                <w:szCs w:val="22"/>
              </w:rPr>
              <w:t>eference points</w:t>
            </w:r>
          </w:p>
        </w:tc>
      </w:tr>
      <w:tr w:rsidR="007D74A2" w:rsidRPr="00646D82" w14:paraId="73E25097" w14:textId="77777777" w:rsidTr="00646D82">
        <w:trPr>
          <w:cantSplit/>
          <w:jc w:val="center"/>
        </w:trPr>
        <w:tc>
          <w:tcPr>
            <w:tcW w:w="2088" w:type="dxa"/>
          </w:tcPr>
          <w:p w14:paraId="25A57F1D" w14:textId="77777777" w:rsidR="007D74A2" w:rsidRPr="00646D82" w:rsidRDefault="007D74A2" w:rsidP="00A62394">
            <w:pPr>
              <w:pStyle w:val="Para1"/>
              <w:suppressLineNumbers/>
              <w:suppressAutoHyphens/>
              <w:rPr>
                <w:rFonts w:ascii="Times New Roman" w:hAnsi="Times New Roman" w:cs="Times New Roman"/>
                <w:szCs w:val="22"/>
                <w:u w:color="000000"/>
              </w:rPr>
            </w:pPr>
            <w:r w:rsidRPr="00646D82">
              <w:rPr>
                <w:rFonts w:ascii="Times New Roman" w:hAnsi="Times New Roman" w:cs="Times New Roman"/>
                <w:szCs w:val="22"/>
                <w:u w:color="000000"/>
              </w:rPr>
              <w:t>Capacity-building (Article 22)</w:t>
            </w:r>
          </w:p>
        </w:tc>
        <w:tc>
          <w:tcPr>
            <w:tcW w:w="7488" w:type="dxa"/>
          </w:tcPr>
          <w:p w14:paraId="590A4A22" w14:textId="12BA5CBE" w:rsidR="007D74A2" w:rsidRPr="00646D82" w:rsidRDefault="007D74A2" w:rsidP="00A62394">
            <w:pPr>
              <w:pStyle w:val="Para1"/>
              <w:suppressLineNumbers/>
              <w:suppressAutoHyphens/>
              <w:rPr>
                <w:rFonts w:ascii="Times New Roman" w:hAnsi="Times New Roman" w:cs="Times New Roman"/>
                <w:szCs w:val="22"/>
                <w:u w:color="000000"/>
              </w:rPr>
            </w:pPr>
            <w:r w:rsidRPr="00646D82">
              <w:rPr>
                <w:rFonts w:ascii="Times New Roman" w:hAnsi="Times New Roman" w:cs="Times New Roman"/>
                <w:szCs w:val="22"/>
                <w:u w:color="000000"/>
              </w:rPr>
              <w:t>45 Parties (43%) received external support for building and developing capacity for the implementation of the Nagoya Protocol since entry into force of the Protocol</w:t>
            </w:r>
            <w:r w:rsidR="00C11959" w:rsidRPr="00646D82">
              <w:rPr>
                <w:rFonts w:ascii="Times New Roman" w:hAnsi="Times New Roman" w:cs="Times New Roman"/>
                <w:szCs w:val="22"/>
                <w:u w:color="000000"/>
              </w:rPr>
              <w:t xml:space="preserve"> (Q</w:t>
            </w:r>
            <w:r w:rsidR="002B1522" w:rsidRPr="00646D82">
              <w:rPr>
                <w:rFonts w:ascii="Times New Roman" w:hAnsi="Times New Roman" w:cs="Times New Roman"/>
                <w:szCs w:val="22"/>
                <w:u w:color="000000"/>
              </w:rPr>
              <w:t>.</w:t>
            </w:r>
            <w:r w:rsidR="00C11959" w:rsidRPr="00646D82">
              <w:rPr>
                <w:rFonts w:ascii="Times New Roman" w:hAnsi="Times New Roman" w:cs="Times New Roman"/>
                <w:szCs w:val="22"/>
                <w:u w:color="000000"/>
              </w:rPr>
              <w:t xml:space="preserve"> 56):</w:t>
            </w:r>
          </w:p>
          <w:p w14:paraId="7ACAE8F1" w14:textId="0522E96F" w:rsidR="007D74A2" w:rsidRPr="00646D82" w:rsidRDefault="007D74A2" w:rsidP="00A62394">
            <w:pPr>
              <w:pStyle w:val="Para1"/>
              <w:suppressLineNumbers/>
              <w:suppressAutoHyphens/>
              <w:rPr>
                <w:rFonts w:ascii="Times New Roman" w:hAnsi="Times New Roman" w:cs="Times New Roman"/>
                <w:szCs w:val="22"/>
                <w:u w:color="000000"/>
              </w:rPr>
            </w:pPr>
            <w:r w:rsidRPr="00646D82">
              <w:rPr>
                <w:rFonts w:ascii="Times New Roman" w:hAnsi="Times New Roman" w:cs="Times New Roman"/>
                <w:szCs w:val="22"/>
                <w:u w:color="000000"/>
              </w:rPr>
              <w:t>27 Parties (26%) provided external support for building and developing capacity for the implementation of the Nagoya Protocol since entry into force of the Protocol</w:t>
            </w:r>
            <w:r w:rsidR="009D7741" w:rsidRPr="00646D82">
              <w:rPr>
                <w:rFonts w:ascii="Times New Roman" w:hAnsi="Times New Roman" w:cs="Times New Roman"/>
                <w:szCs w:val="22"/>
                <w:u w:color="000000"/>
              </w:rPr>
              <w:t xml:space="preserve"> (Q.</w:t>
            </w:r>
            <w:r w:rsidR="002B1522" w:rsidRPr="00646D82">
              <w:rPr>
                <w:rFonts w:ascii="Times New Roman" w:hAnsi="Times New Roman" w:cs="Times New Roman"/>
                <w:szCs w:val="22"/>
                <w:u w:color="000000"/>
              </w:rPr>
              <w:t xml:space="preserve"> </w:t>
            </w:r>
            <w:r w:rsidR="009D7741" w:rsidRPr="00646D82">
              <w:rPr>
                <w:rFonts w:ascii="Times New Roman" w:hAnsi="Times New Roman" w:cs="Times New Roman"/>
                <w:szCs w:val="22"/>
                <w:u w:color="000000"/>
              </w:rPr>
              <w:t>57)</w:t>
            </w:r>
          </w:p>
          <w:p w14:paraId="555769A6" w14:textId="3EF9D729" w:rsidR="00B962EB" w:rsidRPr="00646D82" w:rsidRDefault="00B962EB" w:rsidP="00A62394">
            <w:pPr>
              <w:pStyle w:val="Para1"/>
              <w:suppressLineNumbers/>
              <w:suppressAutoHyphens/>
              <w:rPr>
                <w:rFonts w:ascii="Times New Roman" w:hAnsi="Times New Roman" w:cs="Times New Roman"/>
                <w:kern w:val="22"/>
                <w:szCs w:val="22"/>
                <w:lang w:eastAsia="ko-KR"/>
              </w:rPr>
            </w:pPr>
            <w:r w:rsidRPr="00646D82">
              <w:rPr>
                <w:rFonts w:ascii="Times New Roman" w:hAnsi="Times New Roman" w:cs="Times New Roman"/>
                <w:bCs/>
                <w:kern w:val="22"/>
                <w:szCs w:val="22"/>
                <w:lang w:eastAsia="ko-KR"/>
              </w:rPr>
              <w:t xml:space="preserve">Capacity-building initiatives: </w:t>
            </w:r>
            <w:r w:rsidRPr="00646D82">
              <w:rPr>
                <w:rFonts w:ascii="Times New Roman" w:hAnsi="Times New Roman" w:cs="Times New Roman"/>
                <w:snapToGrid/>
                <w:kern w:val="22"/>
                <w:szCs w:val="22"/>
                <w:lang w:eastAsia="ko-KR"/>
              </w:rPr>
              <w:t>90</w:t>
            </w:r>
            <w:r w:rsidRPr="00646D82">
              <w:rPr>
                <w:rFonts w:ascii="Times New Roman" w:hAnsi="Times New Roman" w:cs="Times New Roman"/>
                <w:kern w:val="22"/>
                <w:szCs w:val="22"/>
                <w:lang w:eastAsia="ko-KR"/>
              </w:rPr>
              <w:t xml:space="preserve"> capacity-building and development initiatives have been completed or initiated </w:t>
            </w:r>
            <w:r w:rsidRPr="00646D82">
              <w:rPr>
                <w:rFonts w:ascii="Times New Roman" w:eastAsia="Calibri" w:hAnsi="Times New Roman" w:cs="Times New Roman"/>
                <w:kern w:val="22"/>
                <w:szCs w:val="22"/>
                <w:u w:color="000000"/>
              </w:rPr>
              <w:t>after</w:t>
            </w:r>
            <w:r w:rsidRPr="00646D82">
              <w:rPr>
                <w:rFonts w:ascii="Times New Roman" w:hAnsi="Times New Roman" w:cs="Times New Roman"/>
                <w:kern w:val="22"/>
                <w:szCs w:val="22"/>
                <w:lang w:eastAsia="ko-KR"/>
              </w:rPr>
              <w:t xml:space="preserve"> the adoption of the Nagoya Protocol in 2010 and are providing, or have provided, direct support for country level activities contributing to the ratification and implementation of the Nagoya Protocol.</w:t>
            </w:r>
            <w:r w:rsidRPr="00646D82">
              <w:rPr>
                <w:rFonts w:ascii="Times New Roman" w:hAnsi="Times New Roman" w:cs="Times New Roman"/>
                <w:snapToGrid/>
                <w:kern w:val="22"/>
                <w:szCs w:val="22"/>
                <w:lang w:eastAsia="ko-KR"/>
              </w:rPr>
              <w:t xml:space="preserve"> 57 have been made available through the ABS Clearing-House.</w:t>
            </w:r>
            <w:r w:rsidRPr="00646D82">
              <w:rPr>
                <w:rStyle w:val="FootnoteReference"/>
                <w:rFonts w:ascii="Times New Roman" w:hAnsi="Times New Roman" w:cs="Times New Roman"/>
                <w:snapToGrid/>
                <w:kern w:val="22"/>
                <w:sz w:val="22"/>
                <w:szCs w:val="22"/>
                <w:lang w:eastAsia="ko-KR"/>
              </w:rPr>
              <w:footnoteReference w:id="21"/>
            </w:r>
            <w:r w:rsidRPr="00646D82">
              <w:rPr>
                <w:rFonts w:ascii="Times New Roman" w:hAnsi="Times New Roman" w:cs="Times New Roman"/>
                <w:kern w:val="22"/>
                <w:szCs w:val="22"/>
                <w:lang w:eastAsia="ko-KR"/>
              </w:rPr>
              <w:t xml:space="preserve"> </w:t>
            </w:r>
          </w:p>
          <w:p w14:paraId="157CE823" w14:textId="77777777" w:rsidR="00B962EB" w:rsidRPr="00646D82" w:rsidRDefault="00B962EB" w:rsidP="00A62394">
            <w:pPr>
              <w:pStyle w:val="Para1"/>
              <w:suppressLineNumbers/>
              <w:suppressAutoHyphens/>
              <w:rPr>
                <w:rFonts w:ascii="Times New Roman" w:hAnsi="Times New Roman" w:cs="Times New Roman"/>
                <w:szCs w:val="22"/>
                <w:u w:color="000000"/>
              </w:rPr>
            </w:pPr>
            <w:r w:rsidRPr="00646D82">
              <w:rPr>
                <w:rFonts w:ascii="Times New Roman" w:hAnsi="Times New Roman" w:cs="Times New Roman"/>
                <w:kern w:val="22"/>
                <w:szCs w:val="22"/>
                <w:lang w:eastAsia="ko-KR"/>
              </w:rPr>
              <w:t>Capacity-building resources: 84 resources, materials or tools related to capacity-building and awareness-raising on access and benefit-sharing have been developed.  34 of these resources are available in the ABS Clearing-House.</w:t>
            </w:r>
            <w:r w:rsidRPr="00646D82">
              <w:rPr>
                <w:rStyle w:val="FootnoteReference"/>
                <w:rFonts w:ascii="Times New Roman" w:hAnsi="Times New Roman" w:cs="Times New Roman"/>
                <w:kern w:val="22"/>
                <w:sz w:val="22"/>
                <w:szCs w:val="22"/>
                <w:lang w:eastAsia="ko-KR"/>
              </w:rPr>
              <w:footnoteReference w:id="22"/>
            </w:r>
          </w:p>
        </w:tc>
      </w:tr>
      <w:tr w:rsidR="007D74A2" w:rsidRPr="00646D82" w14:paraId="59925C99" w14:textId="77777777" w:rsidTr="00646D82">
        <w:trPr>
          <w:cantSplit/>
          <w:jc w:val="center"/>
        </w:trPr>
        <w:tc>
          <w:tcPr>
            <w:tcW w:w="2088" w:type="dxa"/>
          </w:tcPr>
          <w:p w14:paraId="4C3AB4CE" w14:textId="77777777" w:rsidR="007D74A2" w:rsidRPr="00646D82" w:rsidRDefault="00B962EB" w:rsidP="00646D82">
            <w:pPr>
              <w:pStyle w:val="Para1"/>
              <w:suppressLineNumbers/>
              <w:suppressAutoHyphens/>
              <w:jc w:val="left"/>
              <w:rPr>
                <w:rFonts w:ascii="Times New Roman" w:hAnsi="Times New Roman" w:cs="Times New Roman"/>
                <w:szCs w:val="22"/>
                <w:u w:color="000000"/>
              </w:rPr>
            </w:pPr>
            <w:r w:rsidRPr="00646D82">
              <w:rPr>
                <w:rFonts w:ascii="Times New Roman" w:hAnsi="Times New Roman" w:cs="Times New Roman"/>
                <w:szCs w:val="22"/>
                <w:u w:color="000000"/>
              </w:rPr>
              <w:t>Optional additional information</w:t>
            </w:r>
          </w:p>
        </w:tc>
        <w:tc>
          <w:tcPr>
            <w:tcW w:w="7488" w:type="dxa"/>
          </w:tcPr>
          <w:p w14:paraId="033717BC" w14:textId="2761F0E9" w:rsidR="00B962EB" w:rsidRPr="00646D82" w:rsidRDefault="00B962EB" w:rsidP="00A62394">
            <w:pPr>
              <w:pStyle w:val="Para1"/>
              <w:suppressLineNumbers/>
              <w:suppressAutoHyphens/>
              <w:rPr>
                <w:rFonts w:ascii="Times New Roman" w:hAnsi="Times New Roman" w:cs="Times New Roman"/>
                <w:szCs w:val="22"/>
                <w:u w:color="000000"/>
              </w:rPr>
            </w:pPr>
            <w:r w:rsidRPr="00646D82">
              <w:rPr>
                <w:rFonts w:ascii="Times New Roman" w:hAnsi="Times New Roman" w:cs="Times New Roman"/>
                <w:szCs w:val="22"/>
                <w:u w:color="000000"/>
              </w:rPr>
              <w:t>24 Parties (23%) established a mechanism for budgetary allocations of funds for the implementation of the Nagoya Protocol</w:t>
            </w:r>
            <w:r w:rsidR="009D7741" w:rsidRPr="00646D82">
              <w:rPr>
                <w:rFonts w:ascii="Times New Roman" w:hAnsi="Times New Roman" w:cs="Times New Roman"/>
                <w:szCs w:val="22"/>
                <w:u w:color="000000"/>
              </w:rPr>
              <w:t xml:space="preserve"> (Q.61)</w:t>
            </w:r>
            <w:r w:rsidRPr="00646D82">
              <w:rPr>
                <w:rFonts w:ascii="Times New Roman" w:hAnsi="Times New Roman" w:cs="Times New Roman"/>
                <w:szCs w:val="22"/>
                <w:u w:color="000000"/>
              </w:rPr>
              <w:t>.</w:t>
            </w:r>
          </w:p>
          <w:p w14:paraId="7396330D" w14:textId="7363ED36" w:rsidR="00B962EB" w:rsidRPr="00646D82" w:rsidRDefault="00B962EB" w:rsidP="00A62394">
            <w:pPr>
              <w:pStyle w:val="Para1"/>
              <w:suppressLineNumbers/>
              <w:suppressAutoHyphens/>
              <w:rPr>
                <w:rFonts w:ascii="Times New Roman" w:hAnsi="Times New Roman" w:cs="Times New Roman"/>
                <w:szCs w:val="22"/>
                <w:u w:color="000000"/>
              </w:rPr>
            </w:pPr>
            <w:r w:rsidRPr="00646D82">
              <w:rPr>
                <w:rFonts w:ascii="Times New Roman" w:hAnsi="Times New Roman" w:cs="Times New Roman"/>
                <w:szCs w:val="22"/>
                <w:u w:color="000000"/>
              </w:rPr>
              <w:t>13 Parties (12%) made financial resources available to other Parties and 35 Parties (32%) received financial resources from other Parties or financial institutions for the purposes of implementation of the Protocol as provided in Article 25</w:t>
            </w:r>
            <w:r w:rsidR="00C91ACF" w:rsidRPr="00646D82">
              <w:rPr>
                <w:rFonts w:ascii="Times New Roman" w:hAnsi="Times New Roman" w:cs="Times New Roman"/>
                <w:szCs w:val="22"/>
                <w:u w:color="000000"/>
              </w:rPr>
              <w:t xml:space="preserve"> (Q. 62)</w:t>
            </w:r>
            <w:r w:rsidRPr="00646D82">
              <w:rPr>
                <w:rFonts w:ascii="Times New Roman" w:hAnsi="Times New Roman" w:cs="Times New Roman"/>
                <w:szCs w:val="22"/>
                <w:u w:color="000000"/>
              </w:rPr>
              <w:t>.</w:t>
            </w:r>
          </w:p>
          <w:p w14:paraId="64317CEC" w14:textId="5B903743" w:rsidR="007D74A2" w:rsidRPr="00646D82" w:rsidRDefault="00D15BAE" w:rsidP="00A62394">
            <w:pPr>
              <w:pStyle w:val="Para1"/>
              <w:suppressLineNumbers/>
              <w:suppressAutoHyphens/>
              <w:rPr>
                <w:rFonts w:ascii="Times New Roman" w:hAnsi="Times New Roman" w:cs="Times New Roman"/>
                <w:szCs w:val="22"/>
                <w:u w:color="000000"/>
              </w:rPr>
            </w:pPr>
            <w:r w:rsidRPr="00646D82">
              <w:rPr>
                <w:rFonts w:ascii="Times New Roman" w:hAnsi="Times New Roman" w:cs="Times New Roman"/>
                <w:szCs w:val="22"/>
                <w:u w:color="000000"/>
              </w:rPr>
              <w:t xml:space="preserve">Information on having specific staff working on the Nagoya Protocol was not </w:t>
            </w:r>
            <w:r w:rsidR="00B962EB" w:rsidRPr="00646D82">
              <w:rPr>
                <w:rFonts w:ascii="Times New Roman" w:hAnsi="Times New Roman" w:cs="Times New Roman"/>
                <w:szCs w:val="22"/>
                <w:u w:color="000000"/>
              </w:rPr>
              <w:t xml:space="preserve">conclusive </w:t>
            </w:r>
            <w:r w:rsidR="00C91ACF" w:rsidRPr="00646D82">
              <w:rPr>
                <w:rFonts w:ascii="Times New Roman" w:hAnsi="Times New Roman" w:cs="Times New Roman"/>
                <w:szCs w:val="22"/>
                <w:u w:color="000000"/>
              </w:rPr>
              <w:t>(Q. 63)</w:t>
            </w:r>
          </w:p>
        </w:tc>
      </w:tr>
    </w:tbl>
    <w:p w14:paraId="5EF744E1" w14:textId="77777777" w:rsidR="00B962EB" w:rsidRPr="00646D82" w:rsidRDefault="00B962EB" w:rsidP="00A62394">
      <w:pPr>
        <w:pStyle w:val="Para1"/>
        <w:suppressLineNumbers/>
        <w:suppressAutoHyphens/>
        <w:rPr>
          <w:szCs w:val="22"/>
          <w:u w:color="000000"/>
        </w:rPr>
      </w:pPr>
    </w:p>
    <w:p w14:paraId="1674C531" w14:textId="555B6C01" w:rsidR="00E9317D" w:rsidRPr="00646D82" w:rsidRDefault="00B962EB" w:rsidP="009B1156">
      <w:pPr>
        <w:pStyle w:val="Para1"/>
        <w:numPr>
          <w:ilvl w:val="0"/>
          <w:numId w:val="12"/>
        </w:numPr>
        <w:suppressLineNumbers/>
        <w:suppressAutoHyphens/>
        <w:rPr>
          <w:szCs w:val="22"/>
          <w:u w:color="000000"/>
        </w:rPr>
      </w:pPr>
      <w:r w:rsidRPr="00646D82">
        <w:rPr>
          <w:szCs w:val="22"/>
          <w:u w:color="000000"/>
        </w:rPr>
        <w:t xml:space="preserve">With respect to question 63, </w:t>
      </w:r>
      <w:r w:rsidR="008F4C76" w:rsidRPr="00646D82">
        <w:rPr>
          <w:szCs w:val="22"/>
          <w:u w:color="000000"/>
        </w:rPr>
        <w:t xml:space="preserve">56 Parties (86%) </w:t>
      </w:r>
      <w:r w:rsidR="00243779" w:rsidRPr="00646D82">
        <w:rPr>
          <w:szCs w:val="22"/>
          <w:u w:color="000000"/>
        </w:rPr>
        <w:t xml:space="preserve">indicated that they </w:t>
      </w:r>
      <w:r w:rsidR="008F4C76" w:rsidRPr="00646D82">
        <w:rPr>
          <w:szCs w:val="22"/>
          <w:u w:color="000000"/>
        </w:rPr>
        <w:t xml:space="preserve">have specific staff working to administer functions directly related to the implementation of the Nagoya Protocol.  However, many Parties mentioned that they have limited human resources working on Nagoya Protocol implementation, and that those working on the Nagoya Protocol are either temporary or have other responsibilities with which they must share their time. </w:t>
      </w:r>
      <w:r w:rsidR="009B1156" w:rsidRPr="00646D82">
        <w:rPr>
          <w:szCs w:val="22"/>
          <w:u w:color="000000"/>
        </w:rPr>
        <w:t xml:space="preserve">The formulation of the question may need to be revised to better measure the availability of whether sufficient human resources are available to implement the Protocol. </w:t>
      </w:r>
    </w:p>
    <w:p w14:paraId="405A1C59" w14:textId="02E1732C" w:rsidR="008F4C76" w:rsidRPr="00646D82" w:rsidRDefault="008F4C76">
      <w:pPr>
        <w:pStyle w:val="Para1"/>
        <w:numPr>
          <w:ilvl w:val="0"/>
          <w:numId w:val="12"/>
        </w:numPr>
        <w:suppressLineNumbers/>
        <w:suppressAutoHyphens/>
        <w:rPr>
          <w:szCs w:val="22"/>
          <w:u w:color="000000"/>
        </w:rPr>
      </w:pPr>
      <w:r w:rsidRPr="00646D82">
        <w:rPr>
          <w:szCs w:val="22"/>
          <w:u w:color="000000"/>
        </w:rPr>
        <w:t xml:space="preserve">With regard to </w:t>
      </w:r>
      <w:r w:rsidRPr="00646D82">
        <w:rPr>
          <w:rFonts w:eastAsia="Calibri"/>
          <w:kern w:val="22"/>
          <w:szCs w:val="22"/>
          <w:u w:color="000000"/>
        </w:rPr>
        <w:t xml:space="preserve">information on capacity-building initiatives and resources, </w:t>
      </w:r>
      <w:r w:rsidRPr="00646D82">
        <w:rPr>
          <w:szCs w:val="22"/>
          <w:u w:color="000000"/>
        </w:rPr>
        <w:t>s</w:t>
      </w:r>
      <w:r w:rsidRPr="00646D82">
        <w:rPr>
          <w:rFonts w:eastAsia="Calibri"/>
          <w:kern w:val="22"/>
          <w:szCs w:val="22"/>
          <w:u w:color="000000"/>
        </w:rPr>
        <w:t xml:space="preserve">ince the adoption of the Nagoya </w:t>
      </w:r>
      <w:r w:rsidRPr="00646D82">
        <w:rPr>
          <w:kern w:val="22"/>
          <w:szCs w:val="22"/>
          <w:lang w:eastAsia="ko-KR"/>
        </w:rPr>
        <w:t>Protocol</w:t>
      </w:r>
      <w:r w:rsidRPr="00646D82">
        <w:rPr>
          <w:rFonts w:eastAsia="Calibri"/>
          <w:kern w:val="22"/>
          <w:szCs w:val="22"/>
          <w:u w:color="000000"/>
        </w:rPr>
        <w:t xml:space="preserve">, </w:t>
      </w:r>
      <w:r w:rsidR="00EF448B" w:rsidRPr="00646D82">
        <w:rPr>
          <w:rFonts w:eastAsia="Calibri"/>
          <w:kern w:val="22"/>
          <w:szCs w:val="22"/>
          <w:u w:color="000000"/>
        </w:rPr>
        <w:t xml:space="preserve">a number of </w:t>
      </w:r>
      <w:r w:rsidRPr="00646D82">
        <w:rPr>
          <w:rFonts w:eastAsia="Calibri"/>
          <w:kern w:val="22"/>
          <w:szCs w:val="22"/>
          <w:u w:color="000000"/>
        </w:rPr>
        <w:t xml:space="preserve">capacity-building and development initiatives have been implemented to support its ratification and implementation. </w:t>
      </w:r>
    </w:p>
    <w:p w14:paraId="5BFE623D" w14:textId="77777777" w:rsidR="008F4C76" w:rsidRPr="00646D82" w:rsidRDefault="008F4C76" w:rsidP="008E4A3A">
      <w:pPr>
        <w:pStyle w:val="Para1"/>
        <w:numPr>
          <w:ilvl w:val="0"/>
          <w:numId w:val="12"/>
        </w:numPr>
        <w:suppressLineNumbers/>
        <w:suppressAutoHyphens/>
        <w:rPr>
          <w:rFonts w:eastAsia="Calibri"/>
          <w:kern w:val="22"/>
          <w:szCs w:val="22"/>
          <w:u w:color="000000"/>
        </w:rPr>
      </w:pPr>
      <w:r w:rsidRPr="00646D82">
        <w:rPr>
          <w:kern w:val="22"/>
          <w:szCs w:val="22"/>
          <w:lang w:eastAsia="ko-KR"/>
        </w:rPr>
        <w:t xml:space="preserve">Of the 90 capacity-building and developing initiatives providing direct support to specific </w:t>
      </w:r>
      <w:r w:rsidRPr="00646D82">
        <w:rPr>
          <w:rFonts w:eastAsia="Calibri"/>
          <w:kern w:val="22"/>
          <w:szCs w:val="22"/>
          <w:u w:color="000000"/>
        </w:rPr>
        <w:t>countries</w:t>
      </w:r>
      <w:r w:rsidRPr="002A4D34">
        <w:rPr>
          <w:kern w:val="22"/>
          <w:szCs w:val="22"/>
          <w:lang w:eastAsia="ko-KR"/>
        </w:rPr>
        <w:t>, 75 (83</w:t>
      </w:r>
      <w:r w:rsidRPr="00AF3C60">
        <w:rPr>
          <w:kern w:val="22"/>
          <w:szCs w:val="22"/>
          <w:lang w:eastAsia="ko-KR"/>
        </w:rPr>
        <w:t>%) are national projects, 13 (</w:t>
      </w:r>
      <w:r w:rsidRPr="00646D82">
        <w:rPr>
          <w:kern w:val="22"/>
          <w:szCs w:val="22"/>
          <w:lang w:eastAsia="ko-KR"/>
        </w:rPr>
        <w:t xml:space="preserve">14%) are regional or </w:t>
      </w:r>
      <w:proofErr w:type="spellStart"/>
      <w:r w:rsidRPr="00646D82">
        <w:rPr>
          <w:kern w:val="22"/>
          <w:szCs w:val="22"/>
          <w:lang w:eastAsia="ko-KR"/>
        </w:rPr>
        <w:t>subregional</w:t>
      </w:r>
      <w:proofErr w:type="spellEnd"/>
      <w:r w:rsidRPr="00646D82">
        <w:rPr>
          <w:kern w:val="22"/>
          <w:szCs w:val="22"/>
          <w:lang w:eastAsia="ko-KR"/>
        </w:rPr>
        <w:t xml:space="preserve"> projects and 2 (2%) are global.</w:t>
      </w:r>
    </w:p>
    <w:p w14:paraId="490BAB2E" w14:textId="5075107C" w:rsidR="008F4C76" w:rsidRPr="00646D82" w:rsidRDefault="008F4C76" w:rsidP="008E4A3A">
      <w:pPr>
        <w:pStyle w:val="Para1"/>
        <w:numPr>
          <w:ilvl w:val="0"/>
          <w:numId w:val="12"/>
        </w:numPr>
        <w:suppressLineNumbers/>
        <w:suppressAutoHyphens/>
        <w:rPr>
          <w:rFonts w:eastAsia="Calibri"/>
          <w:kern w:val="22"/>
          <w:szCs w:val="22"/>
          <w:u w:color="000000"/>
        </w:rPr>
      </w:pPr>
      <w:r w:rsidRPr="002A4D34">
        <w:rPr>
          <w:rFonts w:eastAsia="Calibri"/>
          <w:kern w:val="22"/>
          <w:szCs w:val="22"/>
          <w:u w:color="000000"/>
        </w:rPr>
        <w:t xml:space="preserve">Regarding the level of funding for the initiatives, information is available on the core funding for 74 out of </w:t>
      </w:r>
      <w:r w:rsidRPr="00646D82">
        <w:rPr>
          <w:rFonts w:eastAsia="Calibri"/>
          <w:kern w:val="22"/>
          <w:szCs w:val="22"/>
          <w:u w:color="000000"/>
        </w:rPr>
        <w:t>the</w:t>
      </w:r>
      <w:r w:rsidRPr="002A4D34">
        <w:rPr>
          <w:rFonts w:eastAsia="Calibri"/>
          <w:kern w:val="22"/>
          <w:szCs w:val="22"/>
          <w:u w:color="000000"/>
        </w:rPr>
        <w:t xml:space="preserve"> 77 national projects. Of these, 26 projects (35%) are small-sized with fundi</w:t>
      </w:r>
      <w:r w:rsidRPr="00AF3C60">
        <w:rPr>
          <w:rFonts w:eastAsia="Calibri"/>
          <w:kern w:val="22"/>
          <w:szCs w:val="22"/>
          <w:u w:color="000000"/>
        </w:rPr>
        <w:t>ng of less than US$ 500,000; 24 projects (32%) are medium sized, with funding between US$ 500,000 and US$ 2,000,000; and 24 projects (32%) are full sized, with funding of over US$ 2,000,000</w:t>
      </w:r>
      <w:r w:rsidR="00BC5CFA" w:rsidRPr="00646D82">
        <w:rPr>
          <w:rFonts w:eastAsia="Calibri"/>
          <w:kern w:val="22"/>
          <w:szCs w:val="22"/>
          <w:u w:color="000000"/>
        </w:rPr>
        <w:t>.</w:t>
      </w:r>
    </w:p>
    <w:p w14:paraId="6D90C8E2" w14:textId="45CA9EBA" w:rsidR="00EF4C20" w:rsidRPr="00646D82" w:rsidRDefault="00C9512B" w:rsidP="00646D82">
      <w:pPr>
        <w:pStyle w:val="ListParagraph"/>
        <w:keepNext/>
        <w:numPr>
          <w:ilvl w:val="0"/>
          <w:numId w:val="15"/>
        </w:numPr>
        <w:suppressLineNumbers/>
        <w:tabs>
          <w:tab w:val="left" w:pos="360"/>
        </w:tabs>
        <w:suppressAutoHyphens/>
        <w:kinsoku w:val="0"/>
        <w:overflowPunct w:val="0"/>
        <w:autoSpaceDE w:val="0"/>
        <w:autoSpaceDN w:val="0"/>
        <w:spacing w:before="120" w:after="120"/>
        <w:ind w:left="0" w:firstLine="16"/>
        <w:jc w:val="center"/>
        <w:rPr>
          <w:rFonts w:eastAsia="Calibri"/>
          <w:i/>
          <w:noProof/>
          <w:snapToGrid w:val="0"/>
          <w:kern w:val="22"/>
          <w:szCs w:val="22"/>
          <w:u w:color="000000"/>
        </w:rPr>
      </w:pPr>
      <w:r w:rsidRPr="00646D82">
        <w:rPr>
          <w:rFonts w:eastAsia="Calibri"/>
          <w:i/>
          <w:noProof/>
          <w:snapToGrid w:val="0"/>
          <w:kern w:val="22"/>
          <w:szCs w:val="22"/>
          <w:u w:color="000000"/>
        </w:rPr>
        <w:t>F</w:t>
      </w:r>
      <w:r w:rsidR="00EF448B" w:rsidRPr="00646D82">
        <w:rPr>
          <w:rFonts w:eastAsia="Calibri"/>
          <w:i/>
          <w:noProof/>
          <w:snapToGrid w:val="0"/>
          <w:kern w:val="22"/>
          <w:szCs w:val="22"/>
          <w:u w:color="000000"/>
        </w:rPr>
        <w:t>indings and recommendations</w:t>
      </w:r>
    </w:p>
    <w:p w14:paraId="6F3DDDC6" w14:textId="77777777" w:rsidR="00D15BAE" w:rsidRPr="00646D82" w:rsidRDefault="00C03DCB" w:rsidP="00D15BAE">
      <w:pPr>
        <w:pStyle w:val="Para1"/>
        <w:numPr>
          <w:ilvl w:val="0"/>
          <w:numId w:val="12"/>
        </w:numPr>
        <w:suppressLineNumbers/>
        <w:suppressAutoHyphens/>
        <w:rPr>
          <w:i/>
          <w:kern w:val="22"/>
          <w:szCs w:val="22"/>
          <w:lang w:eastAsia="ko-KR"/>
        </w:rPr>
      </w:pPr>
      <w:r w:rsidRPr="002A4D34">
        <w:rPr>
          <w:kern w:val="22"/>
          <w:szCs w:val="22"/>
          <w:lang w:eastAsia="ko-KR"/>
        </w:rPr>
        <w:t>The Compliance Committee noted that although a number of capacity-building and development initiatives are currently supporting ratification and implementation of the Nagoya Protocol, many Parties still lack the necessary capacity and financial resources t</w:t>
      </w:r>
      <w:r w:rsidRPr="00646D82">
        <w:rPr>
          <w:kern w:val="22"/>
          <w:szCs w:val="22"/>
          <w:lang w:eastAsia="ko-KR"/>
        </w:rPr>
        <w:t>o make the Protocol operational. Capacity-building and development support therefore continue to be essential in order to make progress in the implementation of the Protocol, in particular for developing country Parties and Parties with economies in transition.</w:t>
      </w:r>
      <w:r w:rsidR="005029B4" w:rsidRPr="00646D82">
        <w:rPr>
          <w:kern w:val="22"/>
          <w:szCs w:val="22"/>
          <w:lang w:eastAsia="ko-KR"/>
        </w:rPr>
        <w:t xml:space="preserve"> </w:t>
      </w:r>
    </w:p>
    <w:p w14:paraId="463507C9" w14:textId="1E0C0101" w:rsidR="00E01B4B" w:rsidRPr="00646D82" w:rsidRDefault="00D15BAE" w:rsidP="00A62394">
      <w:pPr>
        <w:pStyle w:val="Para1"/>
        <w:numPr>
          <w:ilvl w:val="0"/>
          <w:numId w:val="12"/>
        </w:numPr>
        <w:suppressLineNumbers/>
        <w:suppressAutoHyphens/>
        <w:rPr>
          <w:i/>
          <w:kern w:val="22"/>
          <w:szCs w:val="22"/>
          <w:lang w:eastAsia="ko-KR"/>
        </w:rPr>
      </w:pPr>
      <w:r w:rsidRPr="00646D82">
        <w:rPr>
          <w:kern w:val="22"/>
          <w:szCs w:val="22"/>
          <w:lang w:eastAsia="ko-KR"/>
        </w:rPr>
        <w:t xml:space="preserve">A number of capacity-building initiatives and resources have not yet been published in the ABS Clearing-House. </w:t>
      </w:r>
      <w:r w:rsidRPr="00646D82">
        <w:rPr>
          <w:i/>
          <w:kern w:val="22"/>
          <w:szCs w:val="22"/>
          <w:lang w:eastAsia="ko-KR"/>
        </w:rPr>
        <w:t xml:space="preserve"> </w:t>
      </w:r>
      <w:r w:rsidRPr="00646D82">
        <w:rPr>
          <w:kern w:val="22"/>
          <w:szCs w:val="22"/>
          <w:lang w:eastAsia="ko-KR"/>
        </w:rPr>
        <w:t>Making this information available in the ABS Clearing-House can help to facilitate coordination and the sharing of information and avoid duplication of efforts in capacity-building; therefore countries and relevant organi</w:t>
      </w:r>
      <w:r w:rsidR="00AA2D65" w:rsidRPr="00646D82">
        <w:rPr>
          <w:kern w:val="22"/>
          <w:szCs w:val="22"/>
          <w:lang w:eastAsia="ko-KR"/>
        </w:rPr>
        <w:t>z</w:t>
      </w:r>
      <w:r w:rsidRPr="00646D82">
        <w:rPr>
          <w:kern w:val="22"/>
          <w:szCs w:val="22"/>
          <w:lang w:eastAsia="ko-KR"/>
        </w:rPr>
        <w:t>ations could be invited to publish this information.</w:t>
      </w:r>
    </w:p>
    <w:p w14:paraId="7B7891B8" w14:textId="77777777" w:rsidR="005029B4" w:rsidRPr="00646D82" w:rsidRDefault="005029B4" w:rsidP="008E4A3A">
      <w:pPr>
        <w:pStyle w:val="Para1"/>
        <w:numPr>
          <w:ilvl w:val="0"/>
          <w:numId w:val="12"/>
        </w:numPr>
        <w:suppressLineNumbers/>
        <w:suppressAutoHyphens/>
        <w:rPr>
          <w:kern w:val="22"/>
          <w:szCs w:val="22"/>
          <w:lang w:eastAsia="ko-KR"/>
        </w:rPr>
      </w:pPr>
      <w:r w:rsidRPr="00646D82">
        <w:rPr>
          <w:kern w:val="22"/>
          <w:szCs w:val="22"/>
          <w:lang w:eastAsia="ko-KR"/>
        </w:rPr>
        <w:t xml:space="preserve">The Committee further noted </w:t>
      </w:r>
      <w:r w:rsidR="00E01B4B" w:rsidRPr="00646D82">
        <w:rPr>
          <w:kern w:val="22"/>
          <w:szCs w:val="22"/>
          <w:lang w:eastAsia="ko-KR"/>
        </w:rPr>
        <w:t>that t</w:t>
      </w:r>
      <w:r w:rsidRPr="00646D82">
        <w:rPr>
          <w:kern w:val="22"/>
          <w:szCs w:val="22"/>
          <w:lang w:eastAsia="ko-KR"/>
        </w:rPr>
        <w:t>he wealth of information and experiences available in the national reports and in the ABS Clearing-House, as well as the exchange of experiences, may be useful to Parties in the establishment of institutional structures and the development of ABS measures. This information could also be taken into account in capacity-building projects. In addition, the use of existing tools and resources (e.g. guidelines, capacity-building materials) to support implementation could be encouraged.</w:t>
      </w:r>
      <w:r w:rsidR="00E01B4B" w:rsidRPr="00646D82">
        <w:rPr>
          <w:rStyle w:val="FootnoteReference"/>
          <w:kern w:val="22"/>
          <w:sz w:val="22"/>
          <w:szCs w:val="22"/>
          <w:lang w:eastAsia="ko-KR"/>
        </w:rPr>
        <w:t xml:space="preserve"> </w:t>
      </w:r>
      <w:r w:rsidR="00E01B4B" w:rsidRPr="00646D82">
        <w:rPr>
          <w:rStyle w:val="FootnoteReference"/>
          <w:kern w:val="22"/>
          <w:sz w:val="22"/>
          <w:szCs w:val="22"/>
          <w:lang w:eastAsia="ko-KR"/>
        </w:rPr>
        <w:footnoteReference w:id="23"/>
      </w:r>
    </w:p>
    <w:p w14:paraId="5B7B28AB" w14:textId="77777777" w:rsidR="00EC525B" w:rsidRPr="00646D82" w:rsidRDefault="00EC525B" w:rsidP="00966F98">
      <w:pPr>
        <w:pStyle w:val="ListParagraph"/>
        <w:keepNext/>
        <w:numPr>
          <w:ilvl w:val="0"/>
          <w:numId w:val="9"/>
        </w:numPr>
        <w:pBdr>
          <w:top w:val="nil"/>
          <w:left w:val="nil"/>
          <w:bottom w:val="nil"/>
          <w:right w:val="nil"/>
          <w:between w:val="nil"/>
          <w:bar w:val="nil"/>
        </w:pBdr>
        <w:tabs>
          <w:tab w:val="left" w:pos="720"/>
        </w:tabs>
        <w:spacing w:before="120" w:after="120"/>
        <w:jc w:val="center"/>
        <w:outlineLvl w:val="1"/>
        <w:rPr>
          <w:b/>
          <w:kern w:val="22"/>
          <w:szCs w:val="22"/>
        </w:rPr>
      </w:pPr>
      <w:r w:rsidRPr="00646D82">
        <w:rPr>
          <w:b/>
          <w:kern w:val="22"/>
          <w:szCs w:val="22"/>
        </w:rPr>
        <w:t>Assessment of effectiveness of Article 18 (extent of implementation)</w:t>
      </w:r>
    </w:p>
    <w:p w14:paraId="1ED40675" w14:textId="77777777" w:rsidR="009A5C61" w:rsidRPr="00646D82" w:rsidRDefault="009A5C61" w:rsidP="008E4A3A">
      <w:pPr>
        <w:pStyle w:val="Para1"/>
        <w:numPr>
          <w:ilvl w:val="0"/>
          <w:numId w:val="12"/>
        </w:numPr>
        <w:suppressLineNumbers/>
        <w:suppressAutoHyphens/>
        <w:rPr>
          <w:kern w:val="22"/>
          <w:szCs w:val="22"/>
        </w:rPr>
      </w:pPr>
      <w:r w:rsidRPr="00646D82">
        <w:rPr>
          <w:kern w:val="22"/>
          <w:szCs w:val="22"/>
          <w:lang w:eastAsia="ko-KR"/>
        </w:rPr>
        <w:t>Article</w:t>
      </w:r>
      <w:r w:rsidRPr="00646D82">
        <w:rPr>
          <w:kern w:val="22"/>
          <w:szCs w:val="22"/>
        </w:rPr>
        <w:t xml:space="preserve"> 18 of the Nagoya Protocol covers compliance with mutually agreed terms.  Paragraph 4 of the article provides that: “the effectiveness of this article shall be reviewed by the Conference of the Parties serving as the meeting of the Parties to this Protocol in accordance with Article 31 of this Protocol.”</w:t>
      </w:r>
      <w:r w:rsidR="00F24DC7" w:rsidRPr="00646D82">
        <w:rPr>
          <w:kern w:val="22"/>
          <w:szCs w:val="22"/>
        </w:rPr>
        <w:t xml:space="preserve"> </w:t>
      </w:r>
    </w:p>
    <w:p w14:paraId="47088448" w14:textId="0CE3E001" w:rsidR="009A5C61" w:rsidRPr="00646D82" w:rsidRDefault="00F24DC7" w:rsidP="008E4A3A">
      <w:pPr>
        <w:pStyle w:val="Para1"/>
        <w:numPr>
          <w:ilvl w:val="0"/>
          <w:numId w:val="12"/>
        </w:numPr>
        <w:suppressLineNumbers/>
        <w:suppressAutoHyphens/>
        <w:rPr>
          <w:kern w:val="22"/>
          <w:szCs w:val="22"/>
        </w:rPr>
      </w:pPr>
      <w:r w:rsidRPr="00646D82">
        <w:rPr>
          <w:kern w:val="22"/>
          <w:szCs w:val="22"/>
          <w:lang w:eastAsia="ko-KR"/>
        </w:rPr>
        <w:t>The C</w:t>
      </w:r>
      <w:r w:rsidR="00AA2D65" w:rsidRPr="00646D82">
        <w:rPr>
          <w:kern w:val="22"/>
          <w:szCs w:val="22"/>
          <w:lang w:eastAsia="ko-KR"/>
        </w:rPr>
        <w:t>onference of the Parties serving as the meeting of the Parties to the Protocol</w:t>
      </w:r>
      <w:r w:rsidR="00BE4A79" w:rsidRPr="00646D82">
        <w:rPr>
          <w:kern w:val="22"/>
          <w:szCs w:val="22"/>
          <w:lang w:eastAsia="ko-KR"/>
        </w:rPr>
        <w:t xml:space="preserve">, </w:t>
      </w:r>
      <w:r w:rsidRPr="00646D82">
        <w:rPr>
          <w:kern w:val="22"/>
          <w:szCs w:val="22"/>
          <w:lang w:eastAsia="ko-KR"/>
        </w:rPr>
        <w:t xml:space="preserve">in </w:t>
      </w:r>
      <w:r w:rsidR="00AA2D65" w:rsidRPr="00646D82">
        <w:rPr>
          <w:kern w:val="22"/>
          <w:szCs w:val="22"/>
          <w:lang w:eastAsia="ko-KR"/>
        </w:rPr>
        <w:t>the a</w:t>
      </w:r>
      <w:r w:rsidR="002869B1" w:rsidRPr="00646D82">
        <w:rPr>
          <w:kern w:val="22"/>
          <w:szCs w:val="22"/>
          <w:lang w:eastAsia="ko-KR"/>
        </w:rPr>
        <w:t>nnex</w:t>
      </w:r>
      <w:r w:rsidR="002869B1" w:rsidRPr="00646D82">
        <w:rPr>
          <w:kern w:val="22"/>
          <w:szCs w:val="22"/>
        </w:rPr>
        <w:t xml:space="preserve"> to decision NP-2/4</w:t>
      </w:r>
      <w:r w:rsidR="00BE4A79" w:rsidRPr="00646D82">
        <w:rPr>
          <w:kern w:val="22"/>
          <w:szCs w:val="22"/>
        </w:rPr>
        <w:t>,</w:t>
      </w:r>
      <w:r w:rsidRPr="00646D82">
        <w:rPr>
          <w:kern w:val="22"/>
          <w:szCs w:val="22"/>
        </w:rPr>
        <w:t xml:space="preserve"> decided to assess the extent to which this article was implemented by Parties</w:t>
      </w:r>
      <w:r w:rsidR="00C9512B" w:rsidRPr="00646D82">
        <w:rPr>
          <w:kern w:val="22"/>
          <w:szCs w:val="22"/>
        </w:rPr>
        <w:t>.</w:t>
      </w:r>
    </w:p>
    <w:p w14:paraId="2CC78677" w14:textId="64082FC3" w:rsidR="009A5C61" w:rsidRPr="00646D82" w:rsidRDefault="009A5C61" w:rsidP="00646D82">
      <w:pPr>
        <w:pStyle w:val="ListParagraph"/>
        <w:keepNext/>
        <w:numPr>
          <w:ilvl w:val="0"/>
          <w:numId w:val="16"/>
        </w:numPr>
        <w:suppressLineNumbers/>
        <w:tabs>
          <w:tab w:val="left" w:pos="360"/>
        </w:tabs>
        <w:suppressAutoHyphens/>
        <w:kinsoku w:val="0"/>
        <w:overflowPunct w:val="0"/>
        <w:autoSpaceDE w:val="0"/>
        <w:autoSpaceDN w:val="0"/>
        <w:spacing w:before="120" w:after="120"/>
        <w:ind w:left="0" w:firstLine="16"/>
        <w:jc w:val="center"/>
        <w:rPr>
          <w:rFonts w:eastAsia="Calibri"/>
          <w:i/>
          <w:noProof/>
          <w:snapToGrid w:val="0"/>
          <w:color w:val="000000"/>
          <w:kern w:val="22"/>
          <w:szCs w:val="22"/>
          <w:u w:color="000000"/>
        </w:rPr>
      </w:pPr>
      <w:r w:rsidRPr="00646D82">
        <w:rPr>
          <w:rFonts w:eastAsia="Calibri"/>
          <w:i/>
          <w:noProof/>
          <w:snapToGrid w:val="0"/>
          <w:color w:val="000000"/>
          <w:kern w:val="22"/>
          <w:szCs w:val="22"/>
          <w:u w:color="000000"/>
        </w:rPr>
        <w:t xml:space="preserve">Summary of the </w:t>
      </w:r>
      <w:r w:rsidR="00A62394" w:rsidRPr="00646D82">
        <w:rPr>
          <w:rFonts w:eastAsia="Calibri"/>
          <w:i/>
          <w:noProof/>
          <w:snapToGrid w:val="0"/>
          <w:color w:val="000000"/>
          <w:kern w:val="22"/>
          <w:szCs w:val="22"/>
          <w:u w:color="000000"/>
        </w:rPr>
        <w:t xml:space="preserve">analysis </w:t>
      </w:r>
      <w:r w:rsidR="00C9512B" w:rsidRPr="00646D82">
        <w:rPr>
          <w:rFonts w:eastAsia="Calibri"/>
          <w:i/>
          <w:noProof/>
          <w:snapToGrid w:val="0"/>
          <w:color w:val="000000"/>
          <w:kern w:val="22"/>
          <w:szCs w:val="22"/>
          <w:u w:color="000000"/>
        </w:rPr>
        <w:t>and reference points</w:t>
      </w:r>
      <w:r w:rsidR="00C9512B" w:rsidRPr="002A4D34">
        <w:rPr>
          <w:rStyle w:val="FootnoteReference"/>
          <w:kern w:val="22"/>
          <w:sz w:val="22"/>
          <w:szCs w:val="22"/>
        </w:rPr>
        <w:footnoteReference w:id="24"/>
      </w:r>
    </w:p>
    <w:p w14:paraId="6B8D1B32" w14:textId="1D1540F6" w:rsidR="003E2306" w:rsidRPr="00646D82" w:rsidRDefault="003E2306" w:rsidP="00A62394">
      <w:pPr>
        <w:pStyle w:val="Para1"/>
        <w:numPr>
          <w:ilvl w:val="0"/>
          <w:numId w:val="12"/>
        </w:numPr>
        <w:suppressLineNumbers/>
        <w:suppressAutoHyphens/>
        <w:rPr>
          <w:rFonts w:eastAsia="Calibri"/>
          <w:noProof/>
          <w:color w:val="000000"/>
          <w:kern w:val="22"/>
          <w:szCs w:val="22"/>
          <w:u w:color="000000"/>
        </w:rPr>
      </w:pPr>
      <w:r w:rsidRPr="002A4D34">
        <w:rPr>
          <w:rFonts w:eastAsia="Calibri"/>
          <w:noProof/>
          <w:color w:val="000000"/>
          <w:kern w:val="22"/>
          <w:szCs w:val="22"/>
          <w:u w:color="000000"/>
        </w:rPr>
        <w:t xml:space="preserve">The following provides a summary of the responses provided by Parties in the interim national </w:t>
      </w:r>
      <w:r w:rsidRPr="00AF3C60">
        <w:rPr>
          <w:kern w:val="22"/>
          <w:szCs w:val="22"/>
          <w:lang w:eastAsia="ko-KR"/>
        </w:rPr>
        <w:t>report</w:t>
      </w:r>
      <w:r w:rsidRPr="00646D82">
        <w:rPr>
          <w:rFonts w:eastAsia="Calibri"/>
          <w:noProof/>
          <w:color w:val="000000"/>
          <w:kern w:val="22"/>
          <w:szCs w:val="22"/>
          <w:u w:color="000000"/>
        </w:rPr>
        <w:t xml:space="preserve"> to the questions identified in </w:t>
      </w:r>
      <w:r w:rsidR="00F6509A" w:rsidRPr="00646D82">
        <w:rPr>
          <w:rFonts w:eastAsia="Calibri"/>
          <w:noProof/>
          <w:color w:val="000000"/>
          <w:kern w:val="22"/>
          <w:szCs w:val="22"/>
          <w:u w:color="000000"/>
        </w:rPr>
        <w:t>the a</w:t>
      </w:r>
      <w:r w:rsidRPr="00646D82">
        <w:rPr>
          <w:rFonts w:eastAsia="Calibri"/>
          <w:noProof/>
          <w:color w:val="000000"/>
          <w:kern w:val="22"/>
          <w:szCs w:val="22"/>
          <w:u w:color="000000"/>
        </w:rPr>
        <w:t>nnex to decision NP-2/4. The information provided could serve as reference points.</w:t>
      </w:r>
    </w:p>
    <w:tbl>
      <w:tblPr>
        <w:tblStyle w:val="TableGrid"/>
        <w:tblW w:w="0" w:type="auto"/>
        <w:jc w:val="center"/>
        <w:tblLook w:val="04A0" w:firstRow="1" w:lastRow="0" w:firstColumn="1" w:lastColumn="0" w:noHBand="0" w:noVBand="1"/>
      </w:tblPr>
      <w:tblGrid>
        <w:gridCol w:w="2718"/>
        <w:gridCol w:w="6858"/>
      </w:tblGrid>
      <w:tr w:rsidR="00250652" w:rsidRPr="00646D82" w14:paraId="5C3E1C35" w14:textId="77777777" w:rsidTr="007C547B">
        <w:trPr>
          <w:tblHeader/>
          <w:jc w:val="center"/>
        </w:trPr>
        <w:tc>
          <w:tcPr>
            <w:tcW w:w="2718" w:type="dxa"/>
          </w:tcPr>
          <w:p w14:paraId="7D7E4191" w14:textId="77777777" w:rsidR="00250652" w:rsidRPr="00646D82" w:rsidRDefault="00250652" w:rsidP="00646D82">
            <w:pPr>
              <w:pStyle w:val="Para1"/>
              <w:suppressLineNumbers/>
              <w:suppressAutoHyphens/>
              <w:jc w:val="center"/>
              <w:rPr>
                <w:rFonts w:ascii="Times New Roman" w:hAnsi="Times New Roman" w:cs="Times New Roman"/>
                <w:b/>
                <w:kern w:val="22"/>
                <w:szCs w:val="22"/>
              </w:rPr>
            </w:pPr>
            <w:r w:rsidRPr="00646D82">
              <w:rPr>
                <w:rFonts w:ascii="Times New Roman" w:hAnsi="Times New Roman" w:cs="Times New Roman"/>
                <w:b/>
                <w:kern w:val="22"/>
                <w:szCs w:val="22"/>
              </w:rPr>
              <w:t>Articles of the Protocol</w:t>
            </w:r>
          </w:p>
        </w:tc>
        <w:tc>
          <w:tcPr>
            <w:tcW w:w="6858" w:type="dxa"/>
          </w:tcPr>
          <w:p w14:paraId="6FA65CAC" w14:textId="46A4EEEA" w:rsidR="00250652" w:rsidRPr="00646D82" w:rsidRDefault="00AC15A9" w:rsidP="00646D82">
            <w:pPr>
              <w:pStyle w:val="Para1"/>
              <w:suppressLineNumbers/>
              <w:suppressAutoHyphens/>
              <w:jc w:val="center"/>
              <w:rPr>
                <w:rFonts w:ascii="Times New Roman" w:hAnsi="Times New Roman" w:cs="Times New Roman"/>
                <w:b/>
                <w:kern w:val="22"/>
                <w:szCs w:val="22"/>
              </w:rPr>
            </w:pPr>
            <w:r w:rsidRPr="00646D82">
              <w:rPr>
                <w:rFonts w:ascii="Times New Roman" w:hAnsi="Times New Roman" w:cs="Times New Roman"/>
                <w:b/>
                <w:kern w:val="22"/>
                <w:szCs w:val="22"/>
              </w:rPr>
              <w:t xml:space="preserve">Current status and </w:t>
            </w:r>
            <w:r w:rsidR="00C91ACF" w:rsidRPr="00646D82">
              <w:rPr>
                <w:rFonts w:ascii="Times New Roman" w:hAnsi="Times New Roman" w:cs="Times New Roman"/>
                <w:b/>
                <w:kern w:val="22"/>
                <w:szCs w:val="22"/>
              </w:rPr>
              <w:t>r</w:t>
            </w:r>
            <w:r w:rsidR="00461FD0" w:rsidRPr="00646D82">
              <w:rPr>
                <w:rFonts w:ascii="Times New Roman" w:hAnsi="Times New Roman" w:cs="Times New Roman"/>
                <w:b/>
                <w:kern w:val="22"/>
                <w:szCs w:val="22"/>
              </w:rPr>
              <w:t>eference points</w:t>
            </w:r>
          </w:p>
        </w:tc>
      </w:tr>
      <w:tr w:rsidR="00B962EB" w:rsidRPr="00646D82" w14:paraId="42949161" w14:textId="77777777" w:rsidTr="00646D82">
        <w:trPr>
          <w:jc w:val="center"/>
        </w:trPr>
        <w:tc>
          <w:tcPr>
            <w:tcW w:w="2718" w:type="dxa"/>
          </w:tcPr>
          <w:p w14:paraId="55CD027B" w14:textId="77777777" w:rsidR="00B962EB" w:rsidRPr="00646D82" w:rsidRDefault="00B962EB" w:rsidP="00646D82">
            <w:pPr>
              <w:pStyle w:val="Para1"/>
              <w:suppressLineNumbers/>
              <w:suppressAutoHyphens/>
              <w:jc w:val="left"/>
              <w:rPr>
                <w:rFonts w:ascii="Times New Roman" w:eastAsia="Calibri" w:hAnsi="Times New Roman" w:cs="Times New Roman"/>
                <w:kern w:val="22"/>
                <w:szCs w:val="22"/>
                <w:u w:color="000000"/>
              </w:rPr>
            </w:pPr>
            <w:r w:rsidRPr="00646D82">
              <w:rPr>
                <w:rFonts w:ascii="Times New Roman" w:eastAsia="Calibri" w:hAnsi="Times New Roman" w:cs="Times New Roman"/>
                <w:kern w:val="22"/>
                <w:szCs w:val="22"/>
                <w:u w:color="000000"/>
              </w:rPr>
              <w:t>Compliance with mutually agreed terms (Article 18)</w:t>
            </w:r>
          </w:p>
        </w:tc>
        <w:tc>
          <w:tcPr>
            <w:tcW w:w="6858" w:type="dxa"/>
          </w:tcPr>
          <w:p w14:paraId="34E511BC" w14:textId="406E5E3A" w:rsidR="00B962EB" w:rsidRPr="00646D82" w:rsidRDefault="00B962EB" w:rsidP="00A62394">
            <w:pPr>
              <w:pStyle w:val="Para1"/>
              <w:suppressLineNumbers/>
              <w:suppressAutoHyphens/>
              <w:rPr>
                <w:rFonts w:ascii="Times New Roman" w:eastAsia="Calibri" w:hAnsi="Times New Roman" w:cs="Times New Roman"/>
                <w:kern w:val="22"/>
                <w:szCs w:val="22"/>
                <w:u w:color="000000"/>
              </w:rPr>
            </w:pPr>
            <w:r w:rsidRPr="00646D82">
              <w:rPr>
                <w:rFonts w:ascii="Times New Roman" w:eastAsia="Calibri" w:hAnsi="Times New Roman" w:cs="Times New Roman"/>
                <w:kern w:val="22"/>
                <w:szCs w:val="22"/>
                <w:u w:color="000000"/>
              </w:rPr>
              <w:t xml:space="preserve">36 Parties (34%) encourage the inclusion of provisions in mutually agreed terms to cover dispute resolution as provide in Article 18.1. </w:t>
            </w:r>
            <w:r w:rsidR="00AC15A9" w:rsidRPr="00646D82">
              <w:rPr>
                <w:rFonts w:ascii="Times New Roman" w:eastAsia="Calibri" w:hAnsi="Times New Roman" w:cs="Times New Roman"/>
                <w:kern w:val="22"/>
                <w:szCs w:val="22"/>
                <w:u w:color="000000"/>
              </w:rPr>
              <w:t>(Q. 31)</w:t>
            </w:r>
          </w:p>
          <w:p w14:paraId="52E62619" w14:textId="55455214" w:rsidR="00B962EB" w:rsidRPr="00646D82" w:rsidRDefault="00B962EB" w:rsidP="00A62394">
            <w:pPr>
              <w:pStyle w:val="Para1"/>
              <w:suppressLineNumbers/>
              <w:suppressAutoHyphens/>
              <w:rPr>
                <w:rFonts w:ascii="Times New Roman" w:eastAsia="Calibri" w:hAnsi="Times New Roman" w:cs="Times New Roman"/>
                <w:kern w:val="22"/>
                <w:szCs w:val="22"/>
                <w:u w:color="000000"/>
              </w:rPr>
            </w:pPr>
            <w:r w:rsidRPr="00646D82">
              <w:rPr>
                <w:rFonts w:ascii="Times New Roman" w:eastAsia="Calibri" w:hAnsi="Times New Roman" w:cs="Times New Roman"/>
                <w:kern w:val="22"/>
                <w:szCs w:val="22"/>
                <w:u w:color="000000"/>
              </w:rPr>
              <w:t>51 Parties (49%) ensure that opportunity to seek recourse available under the legal systems in cases of disputes arising from MAT as provided in Article 18.2</w:t>
            </w:r>
            <w:r w:rsidR="00C91ACF" w:rsidRPr="00646D82">
              <w:rPr>
                <w:rFonts w:ascii="Times New Roman" w:eastAsia="Calibri" w:hAnsi="Times New Roman" w:cs="Times New Roman"/>
                <w:kern w:val="22"/>
                <w:szCs w:val="22"/>
                <w:u w:color="000000"/>
              </w:rPr>
              <w:t xml:space="preserve"> (Q. 32)</w:t>
            </w:r>
          </w:p>
          <w:p w14:paraId="2B2D6932" w14:textId="192DD42D" w:rsidR="00D15BAE" w:rsidRPr="00646D82" w:rsidRDefault="00B962EB" w:rsidP="00A62394">
            <w:pPr>
              <w:pStyle w:val="Para1"/>
              <w:suppressLineNumbers/>
              <w:suppressAutoHyphens/>
              <w:rPr>
                <w:rFonts w:ascii="Times New Roman" w:eastAsia="Calibri" w:hAnsi="Times New Roman" w:cs="Times New Roman"/>
                <w:kern w:val="22"/>
                <w:szCs w:val="22"/>
                <w:u w:color="000000"/>
              </w:rPr>
            </w:pPr>
            <w:r w:rsidRPr="00646D82">
              <w:rPr>
                <w:rFonts w:ascii="Times New Roman" w:eastAsia="Calibri" w:hAnsi="Times New Roman" w:cs="Times New Roman"/>
                <w:kern w:val="22"/>
                <w:szCs w:val="22"/>
                <w:u w:color="000000"/>
              </w:rPr>
              <w:t xml:space="preserve">47 Parties (45%) have taken measures </w:t>
            </w:r>
            <w:r w:rsidR="00D15BAE" w:rsidRPr="00646D82">
              <w:rPr>
                <w:rFonts w:ascii="Times New Roman" w:eastAsia="Calibri" w:hAnsi="Times New Roman" w:cs="Times New Roman"/>
                <w:kern w:val="22"/>
                <w:szCs w:val="22"/>
                <w:u w:color="000000"/>
              </w:rPr>
              <w:t xml:space="preserve">regarding access to justice </w:t>
            </w:r>
            <w:r w:rsidR="00C91ACF" w:rsidRPr="00646D82">
              <w:rPr>
                <w:rFonts w:ascii="Times New Roman" w:eastAsia="Calibri" w:hAnsi="Times New Roman" w:cs="Times New Roman"/>
                <w:kern w:val="22"/>
                <w:szCs w:val="22"/>
                <w:u w:color="000000"/>
              </w:rPr>
              <w:t>(Q. 33.1)</w:t>
            </w:r>
          </w:p>
          <w:p w14:paraId="62506DE3" w14:textId="1D3C71E7" w:rsidR="00B962EB" w:rsidRPr="00646D82" w:rsidRDefault="00B962EB" w:rsidP="00A62394">
            <w:pPr>
              <w:pStyle w:val="Para1"/>
              <w:suppressLineNumbers/>
              <w:suppressAutoHyphens/>
              <w:rPr>
                <w:rFonts w:ascii="Times New Roman" w:eastAsia="Calibri" w:hAnsi="Times New Roman" w:cs="Times New Roman"/>
                <w:kern w:val="22"/>
                <w:szCs w:val="22"/>
                <w:u w:color="000000"/>
              </w:rPr>
            </w:pPr>
            <w:r w:rsidRPr="00646D82">
              <w:rPr>
                <w:rFonts w:ascii="Times New Roman" w:eastAsia="Calibri" w:hAnsi="Times New Roman" w:cs="Times New Roman"/>
                <w:kern w:val="22"/>
                <w:szCs w:val="22"/>
                <w:u w:color="000000"/>
              </w:rPr>
              <w:t>38 Parties (36%) regarding utilization of mechanisms regarding mutual recognition and enforcement of foreign judgements and arbitral award</w:t>
            </w:r>
            <w:r w:rsidR="00C91ACF" w:rsidRPr="00646D82">
              <w:rPr>
                <w:rFonts w:ascii="Times New Roman" w:eastAsia="Calibri" w:hAnsi="Times New Roman" w:cs="Times New Roman"/>
                <w:kern w:val="22"/>
                <w:szCs w:val="22"/>
                <w:u w:color="000000"/>
              </w:rPr>
              <w:t>s (Q. 33.2)</w:t>
            </w:r>
          </w:p>
        </w:tc>
      </w:tr>
    </w:tbl>
    <w:p w14:paraId="1AEEDBCA" w14:textId="77777777" w:rsidR="007F5887" w:rsidRPr="00646D82" w:rsidRDefault="007F5887" w:rsidP="008E4A3A">
      <w:pPr>
        <w:pStyle w:val="Para1"/>
        <w:numPr>
          <w:ilvl w:val="0"/>
          <w:numId w:val="12"/>
        </w:numPr>
        <w:suppressLineNumbers/>
        <w:suppressAutoHyphens/>
        <w:rPr>
          <w:rFonts w:eastAsia="Calibri"/>
          <w:b/>
          <w:i/>
          <w:kern w:val="22"/>
          <w:szCs w:val="22"/>
          <w:u w:color="000000"/>
        </w:rPr>
      </w:pPr>
      <w:r w:rsidRPr="002A4D34">
        <w:rPr>
          <w:rFonts w:eastAsia="Calibri"/>
          <w:kern w:val="22"/>
          <w:szCs w:val="22"/>
          <w:u w:color="000000"/>
        </w:rPr>
        <w:t xml:space="preserve">Question </w:t>
      </w:r>
      <w:r w:rsidR="00AD5D5A" w:rsidRPr="00AF3C60">
        <w:rPr>
          <w:rFonts w:eastAsia="Calibri"/>
          <w:kern w:val="22"/>
          <w:szCs w:val="22"/>
          <w:u w:color="000000"/>
        </w:rPr>
        <w:t>34</w:t>
      </w:r>
      <w:r w:rsidR="000D2776" w:rsidRPr="00646D82">
        <w:rPr>
          <w:szCs w:val="22"/>
        </w:rPr>
        <w:t xml:space="preserve"> of the interim national report invites countries to provide additional information, including a summary of the main difficulties and challenges. </w:t>
      </w:r>
      <w:r w:rsidRPr="00646D82">
        <w:rPr>
          <w:rFonts w:eastAsia="Calibri"/>
          <w:kern w:val="22"/>
          <w:szCs w:val="22"/>
          <w:u w:color="000000"/>
        </w:rPr>
        <w:t xml:space="preserve">Twenty-six </w:t>
      </w:r>
      <w:r w:rsidR="00511645" w:rsidRPr="00646D82">
        <w:rPr>
          <w:rFonts w:eastAsia="Calibri"/>
          <w:kern w:val="22"/>
          <w:szCs w:val="22"/>
          <w:u w:color="000000"/>
        </w:rPr>
        <w:t>Parties provided additional information, including challenges and difficulties</w:t>
      </w:r>
      <w:r w:rsidR="000A19B3" w:rsidRPr="00646D82">
        <w:rPr>
          <w:rFonts w:eastAsia="Calibri"/>
          <w:kern w:val="22"/>
          <w:szCs w:val="22"/>
          <w:u w:color="000000"/>
        </w:rPr>
        <w:t>.</w:t>
      </w:r>
      <w:r w:rsidR="000A19B3" w:rsidRPr="00646D82">
        <w:rPr>
          <w:rFonts w:eastAsia="Calibri"/>
          <w:b/>
          <w:i/>
          <w:kern w:val="22"/>
          <w:szCs w:val="22"/>
          <w:u w:color="000000"/>
        </w:rPr>
        <w:t xml:space="preserve"> </w:t>
      </w:r>
      <w:r w:rsidRPr="00646D82">
        <w:rPr>
          <w:rFonts w:eastAsia="Calibri"/>
          <w:kern w:val="22"/>
          <w:szCs w:val="22"/>
          <w:u w:color="000000"/>
        </w:rPr>
        <w:t xml:space="preserve">Some of the difficulties identified in relation to implementation of Article 18 of the Protocol are the following: </w:t>
      </w:r>
    </w:p>
    <w:p w14:paraId="5872A3A8" w14:textId="77777777" w:rsidR="007F5887" w:rsidRPr="00646D82" w:rsidRDefault="007F5887" w:rsidP="00966F98">
      <w:pPr>
        <w:numPr>
          <w:ilvl w:val="0"/>
          <w:numId w:val="8"/>
        </w:numPr>
        <w:pBdr>
          <w:top w:val="nil"/>
          <w:left w:val="nil"/>
          <w:bottom w:val="nil"/>
          <w:right w:val="nil"/>
          <w:between w:val="nil"/>
          <w:bar w:val="nil"/>
        </w:pBdr>
        <w:spacing w:before="120" w:after="120" w:line="228" w:lineRule="auto"/>
        <w:ind w:left="0" w:firstLine="709"/>
        <w:rPr>
          <w:rFonts w:eastAsia="Calibri"/>
          <w:snapToGrid w:val="0"/>
          <w:kern w:val="22"/>
          <w:szCs w:val="22"/>
          <w:u w:color="000000"/>
        </w:rPr>
      </w:pPr>
      <w:r w:rsidRPr="00646D82">
        <w:rPr>
          <w:rFonts w:eastAsia="Calibri"/>
          <w:snapToGrid w:val="0"/>
          <w:kern w:val="22"/>
          <w:szCs w:val="22"/>
          <w:u w:color="000000"/>
        </w:rPr>
        <w:t>The need to build capacity on the negotiation of MAT, dispute resolution and access to justice in other countries;</w:t>
      </w:r>
    </w:p>
    <w:p w14:paraId="40FD449D" w14:textId="77777777" w:rsidR="007F5887" w:rsidRPr="00646D82" w:rsidRDefault="007F5887" w:rsidP="00966F98">
      <w:pPr>
        <w:numPr>
          <w:ilvl w:val="0"/>
          <w:numId w:val="8"/>
        </w:numPr>
        <w:pBdr>
          <w:top w:val="nil"/>
          <w:left w:val="nil"/>
          <w:bottom w:val="nil"/>
          <w:right w:val="nil"/>
          <w:between w:val="nil"/>
          <w:bar w:val="nil"/>
        </w:pBdr>
        <w:spacing w:before="120" w:after="120" w:line="228" w:lineRule="auto"/>
        <w:ind w:left="0" w:firstLine="709"/>
        <w:rPr>
          <w:rFonts w:eastAsia="Calibri"/>
          <w:snapToGrid w:val="0"/>
          <w:kern w:val="22"/>
          <w:szCs w:val="22"/>
          <w:u w:color="000000"/>
        </w:rPr>
      </w:pPr>
      <w:r w:rsidRPr="00646D82">
        <w:rPr>
          <w:rFonts w:eastAsia="Calibri"/>
          <w:snapToGrid w:val="0"/>
          <w:kern w:val="22"/>
          <w:szCs w:val="22"/>
          <w:u w:color="000000"/>
        </w:rPr>
        <w:t>High legal fees for access to justice;</w:t>
      </w:r>
    </w:p>
    <w:p w14:paraId="4F3E1A0B" w14:textId="77777777" w:rsidR="007F5887" w:rsidRPr="00646D82" w:rsidRDefault="007F5887" w:rsidP="00966F98">
      <w:pPr>
        <w:numPr>
          <w:ilvl w:val="0"/>
          <w:numId w:val="8"/>
        </w:numPr>
        <w:pBdr>
          <w:top w:val="nil"/>
          <w:left w:val="nil"/>
          <w:bottom w:val="nil"/>
          <w:right w:val="nil"/>
          <w:between w:val="nil"/>
          <w:bar w:val="nil"/>
        </w:pBdr>
        <w:spacing w:before="120" w:after="120" w:line="228" w:lineRule="auto"/>
        <w:ind w:left="0" w:firstLine="709"/>
        <w:rPr>
          <w:rFonts w:eastAsia="Calibri"/>
          <w:snapToGrid w:val="0"/>
          <w:kern w:val="22"/>
          <w:szCs w:val="22"/>
          <w:u w:color="000000"/>
        </w:rPr>
      </w:pPr>
      <w:r w:rsidRPr="00646D82">
        <w:rPr>
          <w:rFonts w:eastAsia="Calibri"/>
          <w:snapToGrid w:val="0"/>
          <w:kern w:val="22"/>
          <w:szCs w:val="22"/>
          <w:u w:color="000000"/>
        </w:rPr>
        <w:t>Inadequate legal personnel in matters related to compliance and enforcement; and</w:t>
      </w:r>
    </w:p>
    <w:p w14:paraId="1C79FE20" w14:textId="77777777" w:rsidR="007F5887" w:rsidRPr="00646D82" w:rsidRDefault="007F5887" w:rsidP="00966F98">
      <w:pPr>
        <w:numPr>
          <w:ilvl w:val="0"/>
          <w:numId w:val="8"/>
        </w:numPr>
        <w:pBdr>
          <w:top w:val="nil"/>
          <w:left w:val="nil"/>
          <w:bottom w:val="nil"/>
          <w:right w:val="nil"/>
          <w:between w:val="nil"/>
          <w:bar w:val="nil"/>
        </w:pBdr>
        <w:spacing w:before="120" w:after="120" w:line="228" w:lineRule="auto"/>
        <w:ind w:left="0" w:firstLine="709"/>
        <w:rPr>
          <w:rFonts w:eastAsia="Calibri"/>
          <w:snapToGrid w:val="0"/>
          <w:kern w:val="22"/>
          <w:szCs w:val="22"/>
          <w:u w:color="000000"/>
        </w:rPr>
      </w:pPr>
      <w:r w:rsidRPr="00646D82">
        <w:rPr>
          <w:rFonts w:eastAsia="Calibri"/>
          <w:snapToGrid w:val="0"/>
          <w:kern w:val="22"/>
          <w:szCs w:val="22"/>
          <w:u w:color="000000"/>
        </w:rPr>
        <w:t>The need to build the capacity of judges to deal with ABS matters.</w:t>
      </w:r>
    </w:p>
    <w:p w14:paraId="0F16DB35" w14:textId="764E180F" w:rsidR="00EC5C6F" w:rsidRPr="00646D82" w:rsidRDefault="007F5887" w:rsidP="00CA474C">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 xml:space="preserve">It was noted that the disparity </w:t>
      </w:r>
      <w:r w:rsidR="00CA474C" w:rsidRPr="00646D82">
        <w:rPr>
          <w:rFonts w:eastAsia="Calibri"/>
          <w:kern w:val="22"/>
          <w:szCs w:val="22"/>
          <w:u w:color="000000"/>
        </w:rPr>
        <w:t xml:space="preserve">in </w:t>
      </w:r>
      <w:r w:rsidRPr="00646D82">
        <w:rPr>
          <w:rFonts w:eastAsia="Calibri"/>
          <w:kern w:val="22"/>
          <w:szCs w:val="22"/>
          <w:u w:color="000000"/>
        </w:rPr>
        <w:t>national l</w:t>
      </w:r>
      <w:r w:rsidR="00A825F0" w:rsidRPr="00646D82">
        <w:rPr>
          <w:rFonts w:eastAsia="Calibri"/>
          <w:kern w:val="22"/>
          <w:szCs w:val="22"/>
          <w:u w:color="000000"/>
        </w:rPr>
        <w:t xml:space="preserve">egislation renders difficult the recognition of </w:t>
      </w:r>
      <w:r w:rsidRPr="00646D82">
        <w:rPr>
          <w:rFonts w:eastAsia="Calibri"/>
          <w:kern w:val="22"/>
          <w:szCs w:val="22"/>
          <w:u w:color="000000"/>
        </w:rPr>
        <w:t>foreign judgements and arbitral awards. One country noted that no cases had arisen yet where recognition of foreign judgements was required. Another country acknowledged that they had not included clauses on dispute resolution in all contracts signed.</w:t>
      </w:r>
    </w:p>
    <w:p w14:paraId="7AE441F6" w14:textId="77777777" w:rsidR="00C9512B" w:rsidRPr="00646D82" w:rsidRDefault="00EC5C6F" w:rsidP="00C9512B">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Other issues mentioned include: (a) Emerging issues of digital sequence information and synthetic biology; (b) limited monitoring of the utilization of genetic resources in foreign jurisdictions; and (c) challenges related to ensuring compliance of non-Parties.</w:t>
      </w:r>
      <w:r w:rsidR="00C9512B" w:rsidRPr="00646D82">
        <w:rPr>
          <w:rFonts w:eastAsia="Calibri"/>
          <w:kern w:val="22"/>
          <w:szCs w:val="22"/>
          <w:u w:color="000000"/>
        </w:rPr>
        <w:t xml:space="preserve"> </w:t>
      </w:r>
    </w:p>
    <w:p w14:paraId="5ED0DCC7" w14:textId="55716011" w:rsidR="00F24DC7" w:rsidRPr="00646D82" w:rsidRDefault="00C9512B" w:rsidP="00646D82">
      <w:pPr>
        <w:pStyle w:val="ListParagraph"/>
        <w:keepNext/>
        <w:numPr>
          <w:ilvl w:val="0"/>
          <w:numId w:val="16"/>
        </w:numPr>
        <w:suppressLineNumbers/>
        <w:tabs>
          <w:tab w:val="left" w:pos="360"/>
        </w:tabs>
        <w:suppressAutoHyphens/>
        <w:kinsoku w:val="0"/>
        <w:overflowPunct w:val="0"/>
        <w:autoSpaceDE w:val="0"/>
        <w:autoSpaceDN w:val="0"/>
        <w:spacing w:before="120" w:after="120"/>
        <w:ind w:left="0" w:firstLine="16"/>
        <w:jc w:val="center"/>
        <w:rPr>
          <w:rFonts w:eastAsia="Calibri"/>
          <w:i/>
          <w:noProof/>
          <w:snapToGrid w:val="0"/>
          <w:kern w:val="22"/>
          <w:szCs w:val="22"/>
          <w:u w:color="000000"/>
        </w:rPr>
      </w:pPr>
      <w:r w:rsidRPr="00646D82">
        <w:rPr>
          <w:rFonts w:eastAsia="Calibri"/>
          <w:i/>
          <w:noProof/>
          <w:snapToGrid w:val="0"/>
          <w:kern w:val="22"/>
          <w:szCs w:val="22"/>
          <w:u w:color="000000"/>
        </w:rPr>
        <w:t>F</w:t>
      </w:r>
      <w:r w:rsidR="00F24DC7" w:rsidRPr="00646D82">
        <w:rPr>
          <w:rFonts w:eastAsia="Calibri"/>
          <w:i/>
          <w:noProof/>
          <w:snapToGrid w:val="0"/>
          <w:kern w:val="22"/>
          <w:szCs w:val="22"/>
          <w:u w:color="000000"/>
        </w:rPr>
        <w:t>indings and recommendations</w:t>
      </w:r>
    </w:p>
    <w:p w14:paraId="53B1A2DA" w14:textId="59D3ED46" w:rsidR="008F41CA" w:rsidRPr="00646D82" w:rsidRDefault="00F43BBB" w:rsidP="008E4A3A">
      <w:pPr>
        <w:pStyle w:val="Para1"/>
        <w:numPr>
          <w:ilvl w:val="0"/>
          <w:numId w:val="12"/>
        </w:numPr>
        <w:suppressLineNumbers/>
        <w:suppressAutoHyphens/>
        <w:rPr>
          <w:rFonts w:eastAsia="Calibri"/>
          <w:kern w:val="22"/>
          <w:szCs w:val="22"/>
          <w:u w:color="000000"/>
        </w:rPr>
      </w:pPr>
      <w:r w:rsidRPr="002A4D34">
        <w:rPr>
          <w:rFonts w:eastAsia="Calibri"/>
          <w:kern w:val="22"/>
          <w:szCs w:val="22"/>
          <w:u w:color="000000"/>
        </w:rPr>
        <w:t>As noted by the Compliance Committee, the provisions of Article 18 on compliance with mutually agreed terms are often implemented at the national level through existing laws (e.g. contractual law, private international law,</w:t>
      </w:r>
      <w:r w:rsidRPr="00646D82">
        <w:rPr>
          <w:rFonts w:eastAsia="Calibri"/>
          <w:kern w:val="22"/>
          <w:szCs w:val="22"/>
          <w:u w:color="000000"/>
        </w:rPr>
        <w:t xml:space="preserve"> domestic measures related to access to justice) rather than through specific ABS measures.</w:t>
      </w:r>
      <w:r w:rsidRPr="00646D82">
        <w:rPr>
          <w:rStyle w:val="FootnoteReference"/>
          <w:rFonts w:eastAsia="Calibri"/>
          <w:kern w:val="22"/>
          <w:sz w:val="22"/>
          <w:szCs w:val="22"/>
          <w:u w:color="000000"/>
        </w:rPr>
        <w:footnoteReference w:id="25"/>
      </w:r>
    </w:p>
    <w:p w14:paraId="60C17822" w14:textId="77777777" w:rsidR="00F43BBB" w:rsidRPr="00646D82" w:rsidRDefault="007152FD" w:rsidP="008E4A3A">
      <w:pPr>
        <w:pStyle w:val="Para1"/>
        <w:numPr>
          <w:ilvl w:val="0"/>
          <w:numId w:val="12"/>
        </w:numPr>
        <w:suppressLineNumbers/>
        <w:suppressAutoHyphens/>
        <w:rPr>
          <w:rFonts w:eastAsia="Calibri"/>
          <w:kern w:val="22"/>
          <w:szCs w:val="22"/>
          <w:u w:color="000000"/>
        </w:rPr>
      </w:pPr>
      <w:r w:rsidRPr="00646D82">
        <w:rPr>
          <w:szCs w:val="22"/>
        </w:rPr>
        <w:t xml:space="preserve">When one party of a contract resides in a foreign country, the contractual relationship </w:t>
      </w:r>
      <w:r w:rsidR="00946CB8" w:rsidRPr="00646D82">
        <w:rPr>
          <w:szCs w:val="22"/>
        </w:rPr>
        <w:t>fall</w:t>
      </w:r>
      <w:r w:rsidR="00010107" w:rsidRPr="00646D82">
        <w:rPr>
          <w:szCs w:val="22"/>
        </w:rPr>
        <w:t>s</w:t>
      </w:r>
      <w:r w:rsidR="00946CB8" w:rsidRPr="00646D82">
        <w:rPr>
          <w:szCs w:val="22"/>
        </w:rPr>
        <w:t xml:space="preserve"> in the domain of private international law. Private international law seeks to regulate, first, which jurisdiction applies to a dispute; second, which law applies to the dispute; and third, whether and how eventual decisions or judgments are recognized and may be enforced in another jurisdiction. Each State has its own national rules on these matters, but some of these may have been harmonized through international agreements, guidelines, and model laws.</w:t>
      </w:r>
      <w:r w:rsidR="008F41CA" w:rsidRPr="00646D82">
        <w:rPr>
          <w:rFonts w:eastAsia="Calibri"/>
          <w:kern w:val="22"/>
          <w:szCs w:val="22"/>
          <w:u w:color="000000"/>
        </w:rPr>
        <w:t xml:space="preserve"> </w:t>
      </w:r>
    </w:p>
    <w:p w14:paraId="792AA29D" w14:textId="77777777" w:rsidR="00010107" w:rsidRPr="00646D82" w:rsidRDefault="004A0DE4" w:rsidP="008E4A3A">
      <w:pPr>
        <w:pStyle w:val="Para1"/>
        <w:numPr>
          <w:ilvl w:val="0"/>
          <w:numId w:val="12"/>
        </w:numPr>
        <w:suppressLineNumbers/>
        <w:suppressAutoHyphens/>
        <w:rPr>
          <w:rFonts w:eastAsia="Calibri"/>
          <w:kern w:val="22"/>
          <w:szCs w:val="22"/>
          <w:u w:color="000000"/>
        </w:rPr>
      </w:pPr>
      <w:r w:rsidRPr="00646D82">
        <w:rPr>
          <w:szCs w:val="22"/>
        </w:rPr>
        <w:t xml:space="preserve">Those developing ABS measures and/or implementing the Protocol may not be aware of all applicable legislation dealing with </w:t>
      </w:r>
      <w:r w:rsidR="00371358" w:rsidRPr="00646D82">
        <w:rPr>
          <w:szCs w:val="22"/>
        </w:rPr>
        <w:t>contractual law, private international law, domestic measures related to access to justice</w:t>
      </w:r>
      <w:r w:rsidRPr="00646D82">
        <w:rPr>
          <w:szCs w:val="22"/>
        </w:rPr>
        <w:t xml:space="preserve">. </w:t>
      </w:r>
      <w:r w:rsidR="00371358" w:rsidRPr="00646D82">
        <w:rPr>
          <w:szCs w:val="22"/>
        </w:rPr>
        <w:t xml:space="preserve">The Compliance Committee recommended that </w:t>
      </w:r>
      <w:r w:rsidR="00371358" w:rsidRPr="00646D82">
        <w:rPr>
          <w:rFonts w:eastAsia="Calibri"/>
          <w:kern w:val="22"/>
          <w:szCs w:val="22"/>
          <w:u w:color="000000"/>
        </w:rPr>
        <w:t>a mechanism to support national coordination could assist in drawing from the expertise of other institutions dealing with these issues.</w:t>
      </w:r>
    </w:p>
    <w:p w14:paraId="73AD614F" w14:textId="77777777" w:rsidR="007B353C" w:rsidRPr="00646D82" w:rsidRDefault="00EC5C6F" w:rsidP="00DE69EA">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 xml:space="preserve"> </w:t>
      </w:r>
      <w:r w:rsidR="008F41CA" w:rsidRPr="00646D82">
        <w:rPr>
          <w:rFonts w:eastAsia="Calibri"/>
          <w:kern w:val="22"/>
          <w:szCs w:val="22"/>
          <w:u w:color="000000"/>
        </w:rPr>
        <w:t>S</w:t>
      </w:r>
      <w:r w:rsidR="000331D5" w:rsidRPr="00646D82">
        <w:rPr>
          <w:rFonts w:eastAsia="Calibri"/>
          <w:kern w:val="22"/>
          <w:szCs w:val="22"/>
          <w:u w:color="000000"/>
        </w:rPr>
        <w:t>ome Parties shared information on provisions contained in relevant ABS measures</w:t>
      </w:r>
      <w:r w:rsidR="008F41CA" w:rsidRPr="00646D82">
        <w:rPr>
          <w:rFonts w:eastAsia="Calibri"/>
          <w:kern w:val="22"/>
          <w:szCs w:val="22"/>
          <w:u w:color="000000"/>
        </w:rPr>
        <w:t xml:space="preserve"> that</w:t>
      </w:r>
      <w:r w:rsidR="000331D5" w:rsidRPr="00646D82">
        <w:rPr>
          <w:rFonts w:eastAsia="Calibri"/>
          <w:kern w:val="22"/>
          <w:szCs w:val="22"/>
          <w:u w:color="000000"/>
        </w:rPr>
        <w:t xml:space="preserve"> support the</w:t>
      </w:r>
      <w:r w:rsidR="00A825F0" w:rsidRPr="00646D82">
        <w:rPr>
          <w:rFonts w:eastAsia="Calibri"/>
          <w:kern w:val="22"/>
          <w:szCs w:val="22"/>
          <w:u w:color="000000"/>
        </w:rPr>
        <w:t xml:space="preserve"> implementation of Article 18</w:t>
      </w:r>
      <w:r w:rsidR="00E23F18" w:rsidRPr="00646D82">
        <w:rPr>
          <w:rFonts w:eastAsia="Calibri"/>
          <w:kern w:val="22"/>
          <w:szCs w:val="22"/>
          <w:u w:color="000000"/>
        </w:rPr>
        <w:t>.</w:t>
      </w:r>
      <w:r w:rsidR="007152FD" w:rsidRPr="00646D82">
        <w:rPr>
          <w:rFonts w:eastAsia="Calibri"/>
          <w:kern w:val="22"/>
          <w:szCs w:val="22"/>
          <w:u w:color="000000"/>
        </w:rPr>
        <w:t xml:space="preserve"> Information contained in the interim national report, as well as the exchange of experiences may be useful for Parties to understand </w:t>
      </w:r>
      <w:r w:rsidR="00DE69EA" w:rsidRPr="00646D82">
        <w:rPr>
          <w:rFonts w:eastAsia="Calibri"/>
          <w:kern w:val="22"/>
          <w:szCs w:val="22"/>
          <w:u w:color="000000"/>
        </w:rPr>
        <w:t>to understand how the implementation of Article 18 can be supported.</w:t>
      </w:r>
    </w:p>
    <w:p w14:paraId="5D7B12B4" w14:textId="4F4AACEA" w:rsidR="00730077" w:rsidRPr="00646D82" w:rsidRDefault="00E3333C" w:rsidP="00646D82">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In their reports, Parties did not provide information that would allow assessing the effectiveness of Article 18. With a view to enabl</w:t>
      </w:r>
      <w:r w:rsidR="00FE3A4E" w:rsidRPr="00646D82">
        <w:rPr>
          <w:rFonts w:eastAsia="Calibri"/>
          <w:kern w:val="22"/>
          <w:szCs w:val="22"/>
          <w:u w:color="000000"/>
        </w:rPr>
        <w:t>ing</w:t>
      </w:r>
      <w:r w:rsidRPr="00646D82">
        <w:rPr>
          <w:rFonts w:eastAsia="Calibri"/>
          <w:kern w:val="22"/>
          <w:szCs w:val="22"/>
          <w:u w:color="000000"/>
        </w:rPr>
        <w:t xml:space="preserve"> the </w:t>
      </w:r>
      <w:r w:rsidR="002B45AA" w:rsidRPr="00646D82">
        <w:rPr>
          <w:rFonts w:eastAsia="Calibri"/>
          <w:kern w:val="22"/>
          <w:szCs w:val="22"/>
          <w:u w:color="000000"/>
        </w:rPr>
        <w:t>meeting</w:t>
      </w:r>
      <w:r w:rsidR="00FE3A4E" w:rsidRPr="00646D82">
        <w:rPr>
          <w:rFonts w:eastAsia="Calibri"/>
          <w:kern w:val="22"/>
          <w:szCs w:val="22"/>
          <w:u w:color="000000"/>
        </w:rPr>
        <w:t xml:space="preserve"> of the Parties to the Protocol</w:t>
      </w:r>
      <w:r w:rsidRPr="00646D82">
        <w:rPr>
          <w:rFonts w:eastAsia="Calibri"/>
          <w:kern w:val="22"/>
          <w:szCs w:val="22"/>
          <w:u w:color="000000"/>
        </w:rPr>
        <w:t xml:space="preserve"> to assess the effectiveness of this Article in the future, information on experiences and challenges in cases of disputes arising from mutually agreed terms could be gathered and a future review of the reporting format could take into account the need to collect this information.</w:t>
      </w:r>
    </w:p>
    <w:p w14:paraId="558958BC" w14:textId="7ED870BC" w:rsidR="00BA587A" w:rsidRPr="00646D82" w:rsidRDefault="00EC525B" w:rsidP="00646D82">
      <w:pPr>
        <w:pStyle w:val="ListParagraph"/>
        <w:keepNext/>
        <w:numPr>
          <w:ilvl w:val="0"/>
          <w:numId w:val="9"/>
        </w:numPr>
        <w:pBdr>
          <w:top w:val="nil"/>
          <w:left w:val="nil"/>
          <w:bottom w:val="nil"/>
          <w:right w:val="nil"/>
          <w:between w:val="nil"/>
          <w:bar w:val="nil"/>
        </w:pBdr>
        <w:tabs>
          <w:tab w:val="left" w:pos="720"/>
        </w:tabs>
        <w:spacing w:before="120" w:after="120"/>
        <w:jc w:val="left"/>
        <w:outlineLvl w:val="1"/>
        <w:rPr>
          <w:b/>
          <w:kern w:val="22"/>
          <w:szCs w:val="22"/>
        </w:rPr>
      </w:pPr>
      <w:r w:rsidRPr="00646D82">
        <w:rPr>
          <w:b/>
          <w:kern w:val="22"/>
          <w:szCs w:val="22"/>
        </w:rPr>
        <w:t xml:space="preserve">Assessment of implementation of Article 16 in </w:t>
      </w:r>
      <w:r w:rsidR="00FE3A4E" w:rsidRPr="00646D82">
        <w:rPr>
          <w:b/>
          <w:kern w:val="22"/>
          <w:szCs w:val="22"/>
        </w:rPr>
        <w:t xml:space="preserve">the </w:t>
      </w:r>
      <w:r w:rsidRPr="00646D82">
        <w:rPr>
          <w:b/>
          <w:kern w:val="22"/>
          <w:szCs w:val="22"/>
        </w:rPr>
        <w:t>light of developments in other relevant international organizations, including, inter alia, the World Intellectual Property Organization</w:t>
      </w:r>
    </w:p>
    <w:p w14:paraId="111DF9DE" w14:textId="79D0EE8B" w:rsidR="00995957" w:rsidRPr="00646D82" w:rsidRDefault="00995957" w:rsidP="008E4A3A">
      <w:pPr>
        <w:pStyle w:val="Para1"/>
        <w:numPr>
          <w:ilvl w:val="0"/>
          <w:numId w:val="12"/>
        </w:numPr>
        <w:suppressLineNumbers/>
        <w:suppressAutoHyphens/>
        <w:rPr>
          <w:rFonts w:eastAsia="Calibri"/>
          <w:kern w:val="22"/>
          <w:szCs w:val="22"/>
          <w:u w:color="000000"/>
        </w:rPr>
      </w:pPr>
      <w:r w:rsidRPr="00646D82">
        <w:rPr>
          <w:szCs w:val="22"/>
        </w:rPr>
        <w:t xml:space="preserve">The Nagoya Protocol was adopted by the Conference of the Parties to the Convention in its decision X/1. In paragraph 6 of this decision, the Conference of the Parties decided that “the first review under Article 31 of the Protocol shall assess the implementation of Article 16 in </w:t>
      </w:r>
      <w:r w:rsidR="00FE3A4E" w:rsidRPr="00646D82">
        <w:rPr>
          <w:szCs w:val="22"/>
        </w:rPr>
        <w:t xml:space="preserve">the </w:t>
      </w:r>
      <w:r w:rsidRPr="00646D82">
        <w:rPr>
          <w:szCs w:val="22"/>
        </w:rPr>
        <w:t>light of developments in other relevant international organizations, including, inter alia, the World Intellectual Property Organization</w:t>
      </w:r>
      <w:r w:rsidR="00FE3A4E" w:rsidRPr="00646D82">
        <w:rPr>
          <w:szCs w:val="22"/>
        </w:rPr>
        <w:t xml:space="preserve"> (WIPO)</w:t>
      </w:r>
      <w:r w:rsidRPr="00646D82">
        <w:rPr>
          <w:szCs w:val="22"/>
        </w:rPr>
        <w:t>, provided that they do not run counter to the objectives of the Convention and the Protocol.”</w:t>
      </w:r>
    </w:p>
    <w:p w14:paraId="46077DC2" w14:textId="06E11BD3" w:rsidR="00C9512B" w:rsidRPr="00646D82" w:rsidRDefault="00995957" w:rsidP="001F04D0">
      <w:pPr>
        <w:pStyle w:val="Para1"/>
        <w:numPr>
          <w:ilvl w:val="0"/>
          <w:numId w:val="12"/>
        </w:numPr>
        <w:suppressLineNumbers/>
        <w:suppressAutoHyphens/>
        <w:rPr>
          <w:rFonts w:eastAsia="Calibri"/>
          <w:kern w:val="22"/>
          <w:szCs w:val="22"/>
          <w:u w:color="000000"/>
        </w:rPr>
      </w:pPr>
      <w:r w:rsidRPr="00646D82">
        <w:rPr>
          <w:szCs w:val="22"/>
        </w:rPr>
        <w:t xml:space="preserve">The </w:t>
      </w:r>
      <w:r w:rsidR="002B45AA" w:rsidRPr="00646D82">
        <w:rPr>
          <w:szCs w:val="22"/>
        </w:rPr>
        <w:t>meeting</w:t>
      </w:r>
      <w:r w:rsidR="00FE3A4E" w:rsidRPr="00646D82">
        <w:rPr>
          <w:szCs w:val="22"/>
        </w:rPr>
        <w:t xml:space="preserve"> of the Parties to the Protocol</w:t>
      </w:r>
      <w:r w:rsidR="00BE4A79" w:rsidRPr="00646D82">
        <w:rPr>
          <w:szCs w:val="22"/>
        </w:rPr>
        <w:t>,</w:t>
      </w:r>
      <w:r w:rsidRPr="00646D82">
        <w:rPr>
          <w:szCs w:val="22"/>
        </w:rPr>
        <w:t xml:space="preserve"> in </w:t>
      </w:r>
      <w:r w:rsidR="00FE3A4E" w:rsidRPr="00646D82">
        <w:rPr>
          <w:rFonts w:eastAsia="Calibri"/>
          <w:kern w:val="22"/>
          <w:szCs w:val="22"/>
          <w:u w:color="000000"/>
        </w:rPr>
        <w:t>the a</w:t>
      </w:r>
      <w:r w:rsidR="00BA587A" w:rsidRPr="00646D82">
        <w:rPr>
          <w:rFonts w:eastAsia="Calibri"/>
          <w:kern w:val="22"/>
          <w:szCs w:val="22"/>
          <w:u w:color="000000"/>
        </w:rPr>
        <w:t>nnex to decision NP-2/</w:t>
      </w:r>
      <w:r w:rsidRPr="00646D82">
        <w:rPr>
          <w:rFonts w:eastAsia="Calibri"/>
          <w:kern w:val="22"/>
          <w:szCs w:val="22"/>
          <w:u w:color="000000"/>
        </w:rPr>
        <w:t>4</w:t>
      </w:r>
      <w:r w:rsidR="00BE4A79" w:rsidRPr="00646D82">
        <w:rPr>
          <w:rFonts w:eastAsia="Calibri"/>
          <w:kern w:val="22"/>
          <w:szCs w:val="22"/>
          <w:u w:color="000000"/>
        </w:rPr>
        <w:t>,</w:t>
      </w:r>
      <w:r w:rsidRPr="00646D82">
        <w:rPr>
          <w:rFonts w:eastAsia="Calibri"/>
          <w:kern w:val="22"/>
          <w:szCs w:val="22"/>
          <w:u w:color="000000"/>
        </w:rPr>
        <w:t xml:space="preserve"> decided to assess this element</w:t>
      </w:r>
      <w:r w:rsidR="00C9512B" w:rsidRPr="00646D82">
        <w:rPr>
          <w:rFonts w:eastAsia="Calibri"/>
          <w:kern w:val="22"/>
          <w:szCs w:val="22"/>
          <w:u w:color="000000"/>
        </w:rPr>
        <w:t>.</w:t>
      </w:r>
    </w:p>
    <w:p w14:paraId="4F20EA3D" w14:textId="64C2FC62" w:rsidR="005A2D87" w:rsidRPr="00646D82" w:rsidRDefault="00C151FA" w:rsidP="00646D82">
      <w:pPr>
        <w:pStyle w:val="ListParagraph"/>
        <w:keepNext/>
        <w:suppressLineNumbers/>
        <w:tabs>
          <w:tab w:val="left" w:pos="360"/>
        </w:tabs>
        <w:suppressAutoHyphens/>
        <w:kinsoku w:val="0"/>
        <w:overflowPunct w:val="0"/>
        <w:autoSpaceDE w:val="0"/>
        <w:autoSpaceDN w:val="0"/>
        <w:spacing w:before="120" w:after="120"/>
        <w:ind w:left="0"/>
        <w:jc w:val="center"/>
        <w:rPr>
          <w:rFonts w:eastAsia="Calibri"/>
          <w:i/>
          <w:noProof/>
          <w:snapToGrid w:val="0"/>
          <w:color w:val="000000"/>
          <w:kern w:val="22"/>
          <w:szCs w:val="22"/>
          <w:u w:color="000000"/>
        </w:rPr>
      </w:pPr>
      <w:r w:rsidRPr="00646D82">
        <w:rPr>
          <w:rFonts w:eastAsia="Calibri"/>
          <w:i/>
          <w:noProof/>
          <w:color w:val="000000"/>
          <w:kern w:val="22"/>
          <w:szCs w:val="22"/>
          <w:u w:color="000000"/>
        </w:rPr>
        <w:t>1.</w:t>
      </w:r>
      <w:r w:rsidR="00FE3A4E" w:rsidRPr="002A4D34">
        <w:rPr>
          <w:rFonts w:eastAsia="Calibri"/>
          <w:i/>
          <w:noProof/>
          <w:color w:val="000000"/>
          <w:kern w:val="22"/>
          <w:szCs w:val="22"/>
          <w:u w:color="000000"/>
        </w:rPr>
        <w:tab/>
      </w:r>
      <w:r w:rsidR="005A2D87" w:rsidRPr="00646D82">
        <w:rPr>
          <w:rFonts w:eastAsia="Calibri"/>
          <w:i/>
          <w:noProof/>
          <w:snapToGrid w:val="0"/>
          <w:color w:val="000000"/>
          <w:kern w:val="22"/>
          <w:szCs w:val="22"/>
          <w:u w:color="000000"/>
        </w:rPr>
        <w:t xml:space="preserve">Summary of the </w:t>
      </w:r>
      <w:r w:rsidR="00A62394" w:rsidRPr="00646D82">
        <w:rPr>
          <w:rFonts w:eastAsia="Calibri"/>
          <w:i/>
          <w:noProof/>
          <w:snapToGrid w:val="0"/>
          <w:color w:val="000000"/>
          <w:kern w:val="22"/>
          <w:szCs w:val="22"/>
          <w:u w:color="000000"/>
        </w:rPr>
        <w:t xml:space="preserve">analysis </w:t>
      </w:r>
      <w:r w:rsidRPr="00646D82">
        <w:rPr>
          <w:rFonts w:eastAsia="Calibri"/>
          <w:i/>
          <w:noProof/>
          <w:snapToGrid w:val="0"/>
          <w:color w:val="000000"/>
          <w:kern w:val="22"/>
          <w:szCs w:val="22"/>
          <w:u w:color="000000"/>
        </w:rPr>
        <w:t>and reference point</w:t>
      </w:r>
      <w:r w:rsidR="00815D76" w:rsidRPr="00646D82">
        <w:rPr>
          <w:rFonts w:eastAsia="Calibri"/>
          <w:i/>
          <w:noProof/>
          <w:snapToGrid w:val="0"/>
          <w:color w:val="000000"/>
          <w:kern w:val="22"/>
          <w:szCs w:val="22"/>
          <w:u w:color="000000"/>
        </w:rPr>
        <w:t>s</w:t>
      </w:r>
      <w:r w:rsidRPr="00646D82">
        <w:rPr>
          <w:kern w:val="22"/>
          <w:szCs w:val="22"/>
          <w:vertAlign w:val="superscript"/>
        </w:rPr>
        <w:footnoteReference w:id="26"/>
      </w:r>
    </w:p>
    <w:p w14:paraId="02212195" w14:textId="04F5209C" w:rsidR="003E2306" w:rsidRPr="00646D82" w:rsidRDefault="003E2306" w:rsidP="008A78C9">
      <w:pPr>
        <w:pStyle w:val="Para1"/>
        <w:numPr>
          <w:ilvl w:val="0"/>
          <w:numId w:val="12"/>
        </w:numPr>
        <w:suppressLineNumbers/>
        <w:suppressAutoHyphens/>
        <w:rPr>
          <w:kern w:val="22"/>
          <w:szCs w:val="22"/>
        </w:rPr>
      </w:pPr>
      <w:r w:rsidRPr="002A4D34">
        <w:rPr>
          <w:kern w:val="22"/>
          <w:szCs w:val="22"/>
        </w:rPr>
        <w:t xml:space="preserve">The following provides a summary </w:t>
      </w:r>
      <w:r w:rsidRPr="00AF3C60">
        <w:rPr>
          <w:kern w:val="22"/>
          <w:szCs w:val="22"/>
        </w:rPr>
        <w:t xml:space="preserve">of the responses provided by Parties in the </w:t>
      </w:r>
      <w:r w:rsidRPr="00646D82">
        <w:rPr>
          <w:kern w:val="22"/>
          <w:szCs w:val="22"/>
        </w:rPr>
        <w:t xml:space="preserve">interim national report to the question identified in </w:t>
      </w:r>
      <w:r w:rsidR="00FE3A4E" w:rsidRPr="00646D82">
        <w:rPr>
          <w:kern w:val="22"/>
          <w:szCs w:val="22"/>
        </w:rPr>
        <w:t>the a</w:t>
      </w:r>
      <w:r w:rsidRPr="00646D82">
        <w:rPr>
          <w:kern w:val="22"/>
          <w:szCs w:val="22"/>
        </w:rPr>
        <w:t>nnex to decision NP-2/4. The information provided could serve as reference point.</w:t>
      </w:r>
    </w:p>
    <w:tbl>
      <w:tblPr>
        <w:tblStyle w:val="TableGrid"/>
        <w:tblW w:w="0" w:type="auto"/>
        <w:jc w:val="center"/>
        <w:tblLook w:val="04A0" w:firstRow="1" w:lastRow="0" w:firstColumn="1" w:lastColumn="0" w:noHBand="0" w:noVBand="1"/>
      </w:tblPr>
      <w:tblGrid>
        <w:gridCol w:w="2898"/>
        <w:gridCol w:w="6678"/>
      </w:tblGrid>
      <w:tr w:rsidR="00460815" w:rsidRPr="00646D82" w14:paraId="55622671" w14:textId="77777777" w:rsidTr="00646D82">
        <w:trPr>
          <w:jc w:val="center"/>
        </w:trPr>
        <w:tc>
          <w:tcPr>
            <w:tcW w:w="2898" w:type="dxa"/>
          </w:tcPr>
          <w:p w14:paraId="3CC709E4" w14:textId="77777777" w:rsidR="00460815" w:rsidRPr="00646D82" w:rsidRDefault="00460815" w:rsidP="00646D82">
            <w:pPr>
              <w:pStyle w:val="Para1"/>
              <w:suppressLineNumbers/>
              <w:suppressAutoHyphens/>
              <w:jc w:val="center"/>
              <w:rPr>
                <w:rFonts w:ascii="Times New Roman" w:hAnsi="Times New Roman" w:cs="Times New Roman"/>
                <w:b/>
                <w:kern w:val="22"/>
                <w:szCs w:val="22"/>
              </w:rPr>
            </w:pPr>
            <w:r w:rsidRPr="00646D82">
              <w:rPr>
                <w:rFonts w:ascii="Times New Roman" w:hAnsi="Times New Roman" w:cs="Times New Roman"/>
                <w:b/>
                <w:kern w:val="22"/>
                <w:szCs w:val="22"/>
              </w:rPr>
              <w:t>Articles of the Protocol</w:t>
            </w:r>
          </w:p>
        </w:tc>
        <w:tc>
          <w:tcPr>
            <w:tcW w:w="6678" w:type="dxa"/>
          </w:tcPr>
          <w:p w14:paraId="3AD3409A" w14:textId="32EA59F9" w:rsidR="00460815" w:rsidRPr="00646D82" w:rsidRDefault="00C91ACF" w:rsidP="00646D82">
            <w:pPr>
              <w:pStyle w:val="Para1"/>
              <w:suppressLineNumbers/>
              <w:suppressAutoHyphens/>
              <w:jc w:val="center"/>
              <w:rPr>
                <w:rFonts w:ascii="Times New Roman" w:hAnsi="Times New Roman" w:cs="Times New Roman"/>
                <w:b/>
                <w:kern w:val="22"/>
                <w:szCs w:val="22"/>
              </w:rPr>
            </w:pPr>
            <w:r w:rsidRPr="00646D82">
              <w:rPr>
                <w:rFonts w:ascii="Times New Roman" w:hAnsi="Times New Roman" w:cs="Times New Roman"/>
                <w:b/>
                <w:kern w:val="22"/>
                <w:szCs w:val="22"/>
              </w:rPr>
              <w:t>Current status and r</w:t>
            </w:r>
            <w:r w:rsidR="00461FD0" w:rsidRPr="00646D82">
              <w:rPr>
                <w:rFonts w:ascii="Times New Roman" w:hAnsi="Times New Roman" w:cs="Times New Roman"/>
                <w:b/>
                <w:kern w:val="22"/>
                <w:szCs w:val="22"/>
              </w:rPr>
              <w:t>eference points</w:t>
            </w:r>
          </w:p>
        </w:tc>
      </w:tr>
      <w:tr w:rsidR="00460815" w:rsidRPr="00646D82" w14:paraId="1A5174A8" w14:textId="77777777" w:rsidTr="00646D82">
        <w:trPr>
          <w:jc w:val="center"/>
        </w:trPr>
        <w:tc>
          <w:tcPr>
            <w:tcW w:w="2898" w:type="dxa"/>
          </w:tcPr>
          <w:p w14:paraId="3169965E" w14:textId="77777777" w:rsidR="00460815" w:rsidRPr="00646D82" w:rsidRDefault="00460815" w:rsidP="00646D82">
            <w:pPr>
              <w:pStyle w:val="Para1"/>
              <w:suppressLineNumbers/>
              <w:suppressAutoHyphens/>
              <w:jc w:val="left"/>
              <w:rPr>
                <w:rFonts w:ascii="Times New Roman" w:hAnsi="Times New Roman" w:cs="Times New Roman"/>
                <w:b/>
                <w:kern w:val="22"/>
                <w:szCs w:val="22"/>
              </w:rPr>
            </w:pPr>
            <w:r w:rsidRPr="00646D82">
              <w:rPr>
                <w:rFonts w:ascii="Times New Roman" w:hAnsi="Times New Roman" w:cs="Times New Roman"/>
                <w:kern w:val="22"/>
                <w:szCs w:val="22"/>
              </w:rPr>
              <w:t>Compliance with</w:t>
            </w:r>
            <w:r w:rsidRPr="00646D82">
              <w:rPr>
                <w:rFonts w:ascii="Times New Roman" w:hAnsi="Times New Roman" w:cs="Times New Roman"/>
                <w:szCs w:val="22"/>
              </w:rPr>
              <w:t xml:space="preserve"> </w:t>
            </w:r>
            <w:r w:rsidRPr="00646D82">
              <w:rPr>
                <w:rFonts w:ascii="Times New Roman" w:hAnsi="Times New Roman" w:cs="Times New Roman"/>
                <w:kern w:val="22"/>
                <w:szCs w:val="22"/>
              </w:rPr>
              <w:t xml:space="preserve">domestic legislation or regulatory requirements on ABS for traditional knowledge associated with </w:t>
            </w:r>
            <w:r w:rsidR="00815D76" w:rsidRPr="00646D82">
              <w:rPr>
                <w:rFonts w:ascii="Times New Roman" w:hAnsi="Times New Roman" w:cs="Times New Roman"/>
                <w:kern w:val="22"/>
                <w:szCs w:val="22"/>
              </w:rPr>
              <w:t xml:space="preserve">genetic resources </w:t>
            </w:r>
            <w:r w:rsidRPr="00646D82">
              <w:rPr>
                <w:rFonts w:ascii="Times New Roman" w:hAnsi="Times New Roman" w:cs="Times New Roman"/>
                <w:kern w:val="22"/>
                <w:szCs w:val="22"/>
              </w:rPr>
              <w:t>(Article 16)</w:t>
            </w:r>
          </w:p>
        </w:tc>
        <w:tc>
          <w:tcPr>
            <w:tcW w:w="6678" w:type="dxa"/>
          </w:tcPr>
          <w:p w14:paraId="3ABA5B68" w14:textId="638A81FE" w:rsidR="00460815" w:rsidRPr="00646D82" w:rsidRDefault="00460815" w:rsidP="00A62394">
            <w:pPr>
              <w:pStyle w:val="Para1"/>
              <w:suppressLineNumbers/>
              <w:suppressAutoHyphens/>
              <w:rPr>
                <w:rFonts w:ascii="Times New Roman" w:hAnsi="Times New Roman" w:cs="Times New Roman"/>
                <w:b/>
                <w:kern w:val="22"/>
                <w:szCs w:val="22"/>
              </w:rPr>
            </w:pPr>
            <w:r w:rsidRPr="00646D82">
              <w:rPr>
                <w:rFonts w:ascii="Times New Roman" w:eastAsia="Calibri" w:hAnsi="Times New Roman" w:cs="Times New Roman"/>
                <w:kern w:val="22"/>
                <w:szCs w:val="22"/>
                <w:u w:color="000000"/>
              </w:rPr>
              <w:t xml:space="preserve">33 Parties (31%) have taken appropriate, effective and proportionate legislative, administrative or policy to implement Article 16.1 </w:t>
            </w:r>
            <w:r w:rsidR="00C91ACF" w:rsidRPr="00646D82">
              <w:rPr>
                <w:rFonts w:ascii="Times New Roman" w:eastAsia="Calibri" w:hAnsi="Times New Roman" w:cs="Times New Roman"/>
                <w:kern w:val="22"/>
                <w:szCs w:val="22"/>
                <w:u w:color="000000"/>
              </w:rPr>
              <w:t>(Q.25)</w:t>
            </w:r>
          </w:p>
        </w:tc>
      </w:tr>
    </w:tbl>
    <w:p w14:paraId="3D83C753" w14:textId="53A9D3A0" w:rsidR="00E3333C" w:rsidRPr="00646D82" w:rsidRDefault="00BC22E1" w:rsidP="00B14BE9">
      <w:pPr>
        <w:pStyle w:val="Para1"/>
        <w:numPr>
          <w:ilvl w:val="0"/>
          <w:numId w:val="12"/>
        </w:numPr>
        <w:suppressLineNumbers/>
        <w:suppressAutoHyphens/>
        <w:rPr>
          <w:rFonts w:eastAsia="Calibri"/>
          <w:kern w:val="22"/>
          <w:szCs w:val="22"/>
          <w:u w:color="000000"/>
        </w:rPr>
      </w:pPr>
      <w:r w:rsidRPr="002A4D34">
        <w:rPr>
          <w:rFonts w:eastAsia="Calibri"/>
          <w:kern w:val="22"/>
          <w:szCs w:val="22"/>
          <w:u w:color="000000"/>
        </w:rPr>
        <w:t>Very few countries provided additional information or details in their reports about measures taken to implement Article 16 of the Protocol</w:t>
      </w:r>
      <w:r w:rsidRPr="00646D82">
        <w:rPr>
          <w:rFonts w:eastAsia="Calibri"/>
          <w:kern w:val="22"/>
          <w:szCs w:val="22"/>
          <w:u w:color="000000"/>
        </w:rPr>
        <w:t>.</w:t>
      </w:r>
    </w:p>
    <w:p w14:paraId="73585741" w14:textId="6B02BE0E" w:rsidR="00604C96" w:rsidRPr="00646D82" w:rsidRDefault="00960D7A" w:rsidP="00646D82">
      <w:pPr>
        <w:pStyle w:val="ListParagraph"/>
        <w:keepNext/>
        <w:suppressLineNumbers/>
        <w:tabs>
          <w:tab w:val="left" w:pos="360"/>
        </w:tabs>
        <w:suppressAutoHyphens/>
        <w:kinsoku w:val="0"/>
        <w:overflowPunct w:val="0"/>
        <w:autoSpaceDE w:val="0"/>
        <w:autoSpaceDN w:val="0"/>
        <w:spacing w:before="120" w:after="120"/>
        <w:ind w:left="1701" w:hanging="850"/>
        <w:jc w:val="left"/>
        <w:rPr>
          <w:rFonts w:eastAsia="Calibri"/>
          <w:i/>
          <w:noProof/>
          <w:snapToGrid w:val="0"/>
          <w:color w:val="000000"/>
          <w:kern w:val="22"/>
          <w:szCs w:val="22"/>
          <w:u w:color="000000"/>
        </w:rPr>
      </w:pPr>
      <w:r w:rsidRPr="00646D82">
        <w:rPr>
          <w:rFonts w:eastAsia="Calibri"/>
          <w:i/>
          <w:noProof/>
          <w:snapToGrid w:val="0"/>
          <w:color w:val="000000"/>
          <w:kern w:val="22"/>
          <w:szCs w:val="22"/>
          <w:u w:color="000000"/>
        </w:rPr>
        <w:t>2</w:t>
      </w:r>
      <w:r w:rsidR="00604C96" w:rsidRPr="00646D82">
        <w:rPr>
          <w:rFonts w:eastAsia="Calibri"/>
          <w:i/>
          <w:noProof/>
          <w:snapToGrid w:val="0"/>
          <w:color w:val="000000"/>
          <w:kern w:val="22"/>
          <w:szCs w:val="22"/>
          <w:u w:color="000000"/>
        </w:rPr>
        <w:t xml:space="preserve">. </w:t>
      </w:r>
      <w:r w:rsidR="00FE3A4E" w:rsidRPr="002A4D34">
        <w:rPr>
          <w:rFonts w:eastAsia="Calibri"/>
          <w:i/>
          <w:noProof/>
          <w:snapToGrid w:val="0"/>
          <w:color w:val="000000"/>
          <w:kern w:val="22"/>
          <w:szCs w:val="22"/>
          <w:u w:color="000000"/>
        </w:rPr>
        <w:tab/>
      </w:r>
      <w:r w:rsidR="00604C96" w:rsidRPr="00646D82">
        <w:rPr>
          <w:rFonts w:eastAsia="Calibri"/>
          <w:i/>
          <w:noProof/>
          <w:snapToGrid w:val="0"/>
          <w:color w:val="000000"/>
          <w:kern w:val="22"/>
          <w:szCs w:val="22"/>
          <w:u w:color="000000"/>
        </w:rPr>
        <w:t>Developments under the World Intellectual Property Organi</w:t>
      </w:r>
      <w:r w:rsidR="002B45AA" w:rsidRPr="002A4D34">
        <w:rPr>
          <w:rFonts w:eastAsia="Calibri"/>
          <w:i/>
          <w:noProof/>
          <w:snapToGrid w:val="0"/>
          <w:color w:val="000000"/>
          <w:kern w:val="22"/>
          <w:szCs w:val="22"/>
          <w:u w:color="000000"/>
        </w:rPr>
        <w:t>z</w:t>
      </w:r>
      <w:r w:rsidR="00604C96" w:rsidRPr="00646D82">
        <w:rPr>
          <w:rFonts w:eastAsia="Calibri"/>
          <w:i/>
          <w:noProof/>
          <w:snapToGrid w:val="0"/>
          <w:color w:val="000000"/>
          <w:kern w:val="22"/>
          <w:szCs w:val="22"/>
          <w:u w:color="000000"/>
        </w:rPr>
        <w:t>ation Intergovernmental Committee on Intellectual Property and Genetic Resources, Traditional Knowledge and Folklore</w:t>
      </w:r>
    </w:p>
    <w:p w14:paraId="1F1841BD" w14:textId="41DF0D2A" w:rsidR="004B57CE" w:rsidRPr="00646D82" w:rsidRDefault="004B57CE" w:rsidP="008A78C9">
      <w:pPr>
        <w:pStyle w:val="Para1"/>
        <w:numPr>
          <w:ilvl w:val="0"/>
          <w:numId w:val="12"/>
        </w:numPr>
        <w:suppressLineNumbers/>
        <w:suppressAutoHyphens/>
        <w:rPr>
          <w:rFonts w:eastAsia="Calibri"/>
          <w:kern w:val="22"/>
          <w:szCs w:val="22"/>
          <w:u w:color="000000"/>
        </w:rPr>
      </w:pPr>
      <w:r w:rsidRPr="00646D82">
        <w:rPr>
          <w:kern w:val="22"/>
          <w:szCs w:val="22"/>
        </w:rPr>
        <w:t xml:space="preserve">The WIPO Intergovernmental Committee on Intellectual Property and Genetic Resources, Traditional Knowledge and Folklore (IGC) was established in 2000 and aims, since 2009, to reach an agreement on one or more international legal instruments to ensure the protection of genetic resources, </w:t>
      </w:r>
      <w:r w:rsidRPr="00646D82">
        <w:rPr>
          <w:rFonts w:eastAsia="Calibri"/>
          <w:kern w:val="22"/>
          <w:szCs w:val="22"/>
          <w:u w:color="000000"/>
        </w:rPr>
        <w:t>traditional</w:t>
      </w:r>
      <w:r w:rsidRPr="00646D82">
        <w:rPr>
          <w:kern w:val="22"/>
          <w:szCs w:val="22"/>
        </w:rPr>
        <w:t xml:space="preserve"> knowledge and traditional cultural expressions.  The last WIPO General Assembly, held from 2 </w:t>
      </w:r>
      <w:r w:rsidRPr="00646D82">
        <w:rPr>
          <w:rFonts w:eastAsia="Calibri"/>
          <w:kern w:val="22"/>
          <w:szCs w:val="22"/>
          <w:u w:color="000000"/>
        </w:rPr>
        <w:t>to 11 October 2017, agreed on the renewal of the mandate of the IGC for the 2018-2019 biennium</w:t>
      </w:r>
      <w:r w:rsidRPr="00646D82">
        <w:rPr>
          <w:rStyle w:val="FootnoteReference"/>
          <w:snapToGrid/>
          <w:sz w:val="22"/>
          <w:szCs w:val="22"/>
        </w:rPr>
        <w:footnoteReference w:id="27"/>
      </w:r>
      <w:r w:rsidRPr="00646D82">
        <w:rPr>
          <w:rFonts w:eastAsia="Calibri"/>
          <w:kern w:val="22"/>
          <w:szCs w:val="22"/>
          <w:u w:color="000000"/>
        </w:rPr>
        <w:t>, as well as on the work plan for the IGC</w:t>
      </w:r>
      <w:r w:rsidR="00C23076">
        <w:rPr>
          <w:rFonts w:eastAsia="Calibri"/>
          <w:kern w:val="22"/>
          <w:szCs w:val="22"/>
          <w:u w:color="000000"/>
        </w:rPr>
        <w:t>.</w:t>
      </w:r>
      <w:r w:rsidRPr="00646D82">
        <w:rPr>
          <w:rStyle w:val="FootnoteReference"/>
          <w:snapToGrid/>
          <w:sz w:val="22"/>
          <w:szCs w:val="22"/>
        </w:rPr>
        <w:footnoteReference w:id="28"/>
      </w:r>
      <w:r w:rsidRPr="00646D82">
        <w:rPr>
          <w:rFonts w:eastAsia="Calibri"/>
          <w:kern w:val="22"/>
          <w:szCs w:val="22"/>
          <w:u w:color="000000"/>
        </w:rPr>
        <w:t xml:space="preserve"> According to the mandate agreed upon, the IGC will continue to expedite its work, with the objective of reaching an agreement on an international legal instrument(s) relating to intellectual property which will ensure the balanced and effective protection of genetic resources, traditional knowledge and traditional cultural expressions.</w:t>
      </w:r>
    </w:p>
    <w:p w14:paraId="009EC382" w14:textId="77777777" w:rsidR="004B57CE" w:rsidRPr="00646D82" w:rsidRDefault="004B57CE"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The work of the IGC will build on the existing work carried out by the Committee, including text-based negotiations, with a primary focus on narrowing existing gaps and reaching a common understanding on core issues, including definitions, beneficiaries, subject matter, objectives, scope of protection, and what traditional knowledge and traditional cultural expressions subject matter is entitled to protection at an international level, including consideration of exceptions and limitations and the relationship with the public domain.</w:t>
      </w:r>
    </w:p>
    <w:p w14:paraId="65BF0F84" w14:textId="77777777" w:rsidR="004B57CE" w:rsidRPr="00646D82" w:rsidRDefault="004B57CE"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The Committee will use all WIPO working documents as well as any other contributions of member states, such as conducting/updating studies covering, inter alia, examples of national experiences, including domestic legislation, impact assessments, databases, and examples of protectable subject matter and subject matter that is not intended to be protected; and outputs of any expert group(s) established by the Committee.</w:t>
      </w:r>
    </w:p>
    <w:p w14:paraId="6DC32B1F" w14:textId="335A3986" w:rsidR="004B57CE" w:rsidRPr="00646D82" w:rsidRDefault="004B57CE" w:rsidP="00476E3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The Secretariat of WIPO was requeste</w:t>
      </w:r>
      <w:r w:rsidR="00A825F0" w:rsidRPr="00646D82">
        <w:rPr>
          <w:rFonts w:eastAsia="Calibri"/>
          <w:kern w:val="22"/>
          <w:szCs w:val="22"/>
          <w:u w:color="000000"/>
        </w:rPr>
        <w:t>d to update the 2008 gap analysi</w:t>
      </w:r>
      <w:r w:rsidRPr="00646D82">
        <w:rPr>
          <w:rFonts w:eastAsia="Calibri"/>
          <w:kern w:val="22"/>
          <w:szCs w:val="22"/>
          <w:u w:color="000000"/>
        </w:rPr>
        <w:t>s on the existing protection regimes related to traditional knowledge and traditional cultural expressions. The Secretariat was also requested to produce a report(s) compiling and updating studies, proposals and other materials relating to tools and activities on databases and on existing disclosure regimes relating to genetic resources and associated traditional knowledge, with a view to identify</w:t>
      </w:r>
      <w:r w:rsidR="009A387F" w:rsidRPr="00646D82">
        <w:rPr>
          <w:rFonts w:eastAsia="Calibri"/>
          <w:kern w:val="22"/>
          <w:szCs w:val="22"/>
          <w:u w:color="000000"/>
        </w:rPr>
        <w:t>ing</w:t>
      </w:r>
      <w:r w:rsidRPr="00646D82">
        <w:rPr>
          <w:rFonts w:eastAsia="Calibri"/>
          <w:kern w:val="22"/>
          <w:szCs w:val="22"/>
          <w:u w:color="000000"/>
        </w:rPr>
        <w:t xml:space="preserve"> any gaps. Consequently, the WIPO Secretariat prepared a Report on the Compilation of Materials on Databases Relating to Genetic Resources and Associated Traditional Knowledge (document WIPO/GRTKF/IC/36/5) and a Report on the Compilation of Materials on Disclosure Regimes Relating to Genetic Resources and Associated Traditional Knowledge (WIPO/GRTKF/IC/36/6)</w:t>
      </w:r>
      <w:r w:rsidR="00476E39" w:rsidRPr="00646D82">
        <w:rPr>
          <w:rFonts w:eastAsia="Calibri"/>
          <w:kern w:val="22"/>
          <w:szCs w:val="22"/>
          <w:u w:color="000000"/>
        </w:rPr>
        <w:t>.</w:t>
      </w:r>
      <w:r w:rsidRPr="00646D82">
        <w:rPr>
          <w:rStyle w:val="FootnoteReference"/>
          <w:snapToGrid/>
          <w:sz w:val="22"/>
          <w:szCs w:val="22"/>
        </w:rPr>
        <w:footnoteReference w:id="29"/>
      </w:r>
    </w:p>
    <w:p w14:paraId="735A2657" w14:textId="77777777" w:rsidR="004B57CE" w:rsidRPr="00646D82" w:rsidRDefault="004B57CE"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 xml:space="preserve">The General Assembly in 2019 will take stock of progress made, and based on the maturity of the texts, including levels of agreement on objectives, scope and nature of the instrument(s), decide on whether to convene a diplomatic conference and/or continue negotiations. </w:t>
      </w:r>
    </w:p>
    <w:p w14:paraId="647DCEF7" w14:textId="275D937C" w:rsidR="004B57CE" w:rsidRPr="00646D82" w:rsidRDefault="00525C5A"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The latest draft articles on traditional knowledge</w:t>
      </w:r>
      <w:r w:rsidR="004B57CE" w:rsidRPr="00646D82">
        <w:rPr>
          <w:rFonts w:eastAsia="Calibri"/>
          <w:kern w:val="22"/>
          <w:szCs w:val="22"/>
          <w:u w:color="000000"/>
        </w:rPr>
        <w:t>, “The Protection of Traditional Knowledge:  Draft Articles”</w:t>
      </w:r>
      <w:r w:rsidR="00476E39" w:rsidRPr="00646D82">
        <w:rPr>
          <w:rFonts w:eastAsia="Calibri"/>
          <w:kern w:val="22"/>
          <w:szCs w:val="22"/>
          <w:u w:color="000000"/>
        </w:rPr>
        <w:t>,</w:t>
      </w:r>
      <w:r w:rsidR="004B57CE" w:rsidRPr="00646D82">
        <w:rPr>
          <w:rStyle w:val="FootnoteReference"/>
          <w:snapToGrid/>
          <w:sz w:val="22"/>
          <w:szCs w:val="22"/>
        </w:rPr>
        <w:footnoteReference w:id="30"/>
      </w:r>
      <w:r w:rsidR="004B57CE" w:rsidRPr="00646D82">
        <w:rPr>
          <w:rFonts w:eastAsia="Calibri"/>
          <w:kern w:val="22"/>
          <w:szCs w:val="22"/>
          <w:u w:color="000000"/>
        </w:rPr>
        <w:t xml:space="preserve"> were drafted during IGC 32, and submitted to IGC 34 and to the 2017 WIPO General Assembly.  These draft articles include provisions on core issues, such as the definition of misappropriation, beneficiaries, subject matter, objectives, and what </w:t>
      </w:r>
      <w:r w:rsidRPr="00646D82">
        <w:rPr>
          <w:rFonts w:eastAsia="Calibri"/>
          <w:kern w:val="22"/>
          <w:szCs w:val="22"/>
          <w:u w:color="000000"/>
        </w:rPr>
        <w:t xml:space="preserve">traditional knowledge </w:t>
      </w:r>
      <w:r w:rsidR="004B57CE" w:rsidRPr="00646D82">
        <w:rPr>
          <w:rFonts w:eastAsia="Calibri"/>
          <w:kern w:val="22"/>
          <w:szCs w:val="22"/>
          <w:u w:color="000000"/>
        </w:rPr>
        <w:t>subject matter is entitled to protection at an international level, including consideration of exceptions and limitations and the relationship with the public domain.</w:t>
      </w:r>
    </w:p>
    <w:p w14:paraId="4979C135" w14:textId="77777777" w:rsidR="004B57CE" w:rsidRPr="00646D82" w:rsidRDefault="004B57CE"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In addition to the text-based negotiations, the WIPO Secretariat has prepared and made available a number of tools to provide technical guidance to countries, such as:</w:t>
      </w:r>
    </w:p>
    <w:p w14:paraId="5EF5E22C" w14:textId="4BEFD2AA" w:rsidR="00EC31A7" w:rsidRPr="00646D82" w:rsidRDefault="00EC31A7" w:rsidP="00966F98">
      <w:pPr>
        <w:numPr>
          <w:ilvl w:val="0"/>
          <w:numId w:val="24"/>
        </w:numPr>
        <w:pBdr>
          <w:top w:val="nil"/>
          <w:left w:val="nil"/>
          <w:bottom w:val="nil"/>
          <w:right w:val="nil"/>
          <w:between w:val="nil"/>
          <w:bar w:val="nil"/>
        </w:pBdr>
        <w:spacing w:before="120" w:after="120" w:line="228" w:lineRule="auto"/>
        <w:ind w:left="0" w:firstLine="709"/>
        <w:rPr>
          <w:szCs w:val="22"/>
          <w:vertAlign w:val="superscript"/>
        </w:rPr>
      </w:pPr>
      <w:r w:rsidRPr="00646D82">
        <w:rPr>
          <w:rFonts w:eastAsia="Calibri"/>
          <w:snapToGrid w:val="0"/>
          <w:kern w:val="22"/>
          <w:szCs w:val="22"/>
          <w:u w:color="000000"/>
        </w:rPr>
        <w:t>A document containing a list and brief technical explanation of various forms in which traditional knowledge may be f</w:t>
      </w:r>
      <w:r w:rsidR="0008646A" w:rsidRPr="00646D82">
        <w:rPr>
          <w:rFonts w:eastAsia="Calibri"/>
          <w:snapToGrid w:val="0"/>
          <w:kern w:val="22"/>
          <w:szCs w:val="22"/>
          <w:u w:color="000000"/>
        </w:rPr>
        <w:t>ound</w:t>
      </w:r>
      <w:r w:rsidR="004B57CE" w:rsidRPr="00646D82">
        <w:rPr>
          <w:rFonts w:eastAsia="Calibri"/>
          <w:snapToGrid w:val="0"/>
          <w:kern w:val="22"/>
          <w:szCs w:val="22"/>
          <w:u w:color="000000"/>
        </w:rPr>
        <w:t>;</w:t>
      </w:r>
      <w:r w:rsidR="0008646A" w:rsidRPr="00646D82">
        <w:rPr>
          <w:rStyle w:val="FootnoteReference"/>
          <w:kern w:val="22"/>
          <w:sz w:val="22"/>
          <w:szCs w:val="22"/>
        </w:rPr>
        <w:footnoteReference w:id="31"/>
      </w:r>
    </w:p>
    <w:p w14:paraId="19F29C9C" w14:textId="4A719CB3" w:rsidR="0008646A" w:rsidRPr="002A4D34" w:rsidRDefault="00EC31A7" w:rsidP="00646D82">
      <w:pPr>
        <w:numPr>
          <w:ilvl w:val="0"/>
          <w:numId w:val="24"/>
        </w:numPr>
        <w:pBdr>
          <w:top w:val="nil"/>
          <w:left w:val="nil"/>
          <w:bottom w:val="nil"/>
          <w:right w:val="nil"/>
          <w:between w:val="nil"/>
          <w:bar w:val="nil"/>
        </w:pBdr>
        <w:spacing w:before="120" w:after="120" w:line="228" w:lineRule="auto"/>
        <w:ind w:left="0" w:firstLine="709"/>
        <w:rPr>
          <w:rFonts w:eastAsia="Calibri"/>
          <w:snapToGrid w:val="0"/>
          <w:kern w:val="22"/>
          <w:szCs w:val="22"/>
          <w:u w:color="000000"/>
        </w:rPr>
      </w:pPr>
      <w:r w:rsidRPr="00646D82">
        <w:rPr>
          <w:rFonts w:eastAsia="Calibri"/>
          <w:snapToGrid w:val="0"/>
          <w:kern w:val="22"/>
          <w:szCs w:val="22"/>
          <w:u w:color="000000"/>
        </w:rPr>
        <w:t>A non-exhaustive list of online databases and registries of traditional knowledge and genetic resources that are maintained and managed by WIPO member states and other organizations</w:t>
      </w:r>
      <w:r w:rsidR="00EB3ED7" w:rsidRPr="00646D82">
        <w:rPr>
          <w:rFonts w:eastAsia="Calibri"/>
          <w:snapToGrid w:val="0"/>
          <w:kern w:val="22"/>
          <w:szCs w:val="22"/>
          <w:u w:color="000000"/>
        </w:rPr>
        <w:t>;</w:t>
      </w:r>
      <w:r w:rsidRPr="00646D82">
        <w:rPr>
          <w:rFonts w:eastAsia="Calibri"/>
          <w:snapToGrid w:val="0"/>
          <w:szCs w:val="22"/>
          <w:u w:color="000000"/>
          <w:vertAlign w:val="superscript"/>
        </w:rPr>
        <w:footnoteReference w:id="32"/>
      </w:r>
    </w:p>
    <w:p w14:paraId="0B6ED25C" w14:textId="039549CF" w:rsidR="00EC31A7" w:rsidRPr="00646D82" w:rsidRDefault="00EC31A7" w:rsidP="00646D82">
      <w:pPr>
        <w:numPr>
          <w:ilvl w:val="0"/>
          <w:numId w:val="24"/>
        </w:numPr>
        <w:pBdr>
          <w:top w:val="nil"/>
          <w:left w:val="nil"/>
          <w:bottom w:val="nil"/>
          <w:right w:val="nil"/>
          <w:between w:val="nil"/>
          <w:bar w:val="nil"/>
        </w:pBdr>
        <w:spacing w:before="120" w:after="120" w:line="228" w:lineRule="auto"/>
        <w:ind w:left="0" w:firstLine="709"/>
        <w:rPr>
          <w:rFonts w:eastAsia="Calibri"/>
          <w:snapToGrid w:val="0"/>
          <w:kern w:val="22"/>
          <w:szCs w:val="22"/>
          <w:u w:color="000000"/>
        </w:rPr>
      </w:pPr>
      <w:r w:rsidRPr="00646D82">
        <w:rPr>
          <w:rFonts w:eastAsia="Calibri"/>
          <w:snapToGrid w:val="0"/>
          <w:kern w:val="22"/>
          <w:szCs w:val="22"/>
          <w:u w:color="000000"/>
        </w:rPr>
        <w:t>A toolkit to provide practical assistance to traditional knowledge holders on documenting traditional knowledge containing easy-to-use checklists and other resources to help ensure that anyone considering a documentation project can address those issues effectively.</w:t>
      </w:r>
      <w:r w:rsidRPr="00646D82">
        <w:rPr>
          <w:rStyle w:val="FootnoteReference"/>
          <w:kern w:val="22"/>
          <w:sz w:val="22"/>
          <w:szCs w:val="22"/>
        </w:rPr>
        <w:footnoteReference w:id="33"/>
      </w:r>
    </w:p>
    <w:p w14:paraId="3588C40D" w14:textId="1952E9A6" w:rsidR="00604C96" w:rsidRPr="00646D82" w:rsidRDefault="00250652" w:rsidP="00646D82">
      <w:pPr>
        <w:pStyle w:val="ListParagraph"/>
        <w:keepNext/>
        <w:suppressLineNumbers/>
        <w:tabs>
          <w:tab w:val="left" w:pos="360"/>
        </w:tabs>
        <w:suppressAutoHyphens/>
        <w:kinsoku w:val="0"/>
        <w:overflowPunct w:val="0"/>
        <w:autoSpaceDE w:val="0"/>
        <w:autoSpaceDN w:val="0"/>
        <w:spacing w:before="120" w:after="120"/>
        <w:ind w:left="0"/>
        <w:jc w:val="center"/>
        <w:rPr>
          <w:rFonts w:eastAsia="Calibri"/>
          <w:i/>
          <w:noProof/>
          <w:snapToGrid w:val="0"/>
          <w:color w:val="000000"/>
          <w:kern w:val="22"/>
          <w:szCs w:val="22"/>
          <w:u w:color="000000"/>
        </w:rPr>
      </w:pPr>
      <w:r w:rsidRPr="00646D82">
        <w:rPr>
          <w:rFonts w:eastAsia="Calibri"/>
          <w:i/>
          <w:noProof/>
          <w:snapToGrid w:val="0"/>
          <w:color w:val="000000"/>
          <w:kern w:val="22"/>
          <w:szCs w:val="22"/>
          <w:u w:color="000000"/>
        </w:rPr>
        <w:t>3</w:t>
      </w:r>
      <w:r w:rsidR="00604C96" w:rsidRPr="00646D82">
        <w:rPr>
          <w:rFonts w:eastAsia="Calibri"/>
          <w:i/>
          <w:noProof/>
          <w:snapToGrid w:val="0"/>
          <w:color w:val="000000"/>
          <w:kern w:val="22"/>
          <w:szCs w:val="22"/>
          <w:u w:color="000000"/>
        </w:rPr>
        <w:t xml:space="preserve">. </w:t>
      </w:r>
      <w:r w:rsidR="00EB3ED7" w:rsidRPr="002A4D34">
        <w:rPr>
          <w:rFonts w:eastAsia="Calibri"/>
          <w:i/>
          <w:noProof/>
          <w:snapToGrid w:val="0"/>
          <w:color w:val="000000"/>
          <w:kern w:val="22"/>
          <w:szCs w:val="22"/>
          <w:u w:color="000000"/>
        </w:rPr>
        <w:tab/>
      </w:r>
      <w:r w:rsidR="00C151FA" w:rsidRPr="00646D82">
        <w:rPr>
          <w:rFonts w:eastAsia="Calibri"/>
          <w:i/>
          <w:noProof/>
          <w:snapToGrid w:val="0"/>
          <w:kern w:val="22"/>
          <w:szCs w:val="22"/>
          <w:u w:color="000000"/>
        </w:rPr>
        <w:t>F</w:t>
      </w:r>
      <w:r w:rsidR="00604C96" w:rsidRPr="00646D82">
        <w:rPr>
          <w:rFonts w:eastAsia="Calibri"/>
          <w:i/>
          <w:noProof/>
          <w:snapToGrid w:val="0"/>
          <w:kern w:val="22"/>
          <w:szCs w:val="22"/>
          <w:u w:color="000000"/>
        </w:rPr>
        <w:t>indings and recommendations</w:t>
      </w:r>
    </w:p>
    <w:p w14:paraId="5E36CD9D" w14:textId="770C1527" w:rsidR="005F4550" w:rsidRPr="00646D82" w:rsidRDefault="00604C96" w:rsidP="008A78C9">
      <w:pPr>
        <w:pStyle w:val="Para1"/>
        <w:numPr>
          <w:ilvl w:val="0"/>
          <w:numId w:val="12"/>
        </w:numPr>
        <w:suppressLineNumbers/>
        <w:suppressAutoHyphens/>
        <w:rPr>
          <w:rFonts w:eastAsia="Calibri"/>
          <w:kern w:val="22"/>
          <w:szCs w:val="22"/>
          <w:u w:color="000000"/>
        </w:rPr>
      </w:pPr>
      <w:r w:rsidRPr="002A4D34">
        <w:rPr>
          <w:rFonts w:eastAsia="Calibri"/>
          <w:kern w:val="22"/>
          <w:szCs w:val="22"/>
          <w:u w:color="000000"/>
        </w:rPr>
        <w:t>V</w:t>
      </w:r>
      <w:r w:rsidR="000D2776" w:rsidRPr="00AF3C60">
        <w:rPr>
          <w:rFonts w:eastAsia="Calibri"/>
          <w:kern w:val="22"/>
          <w:szCs w:val="22"/>
          <w:u w:color="000000"/>
        </w:rPr>
        <w:t>ery few countries provided additional information</w:t>
      </w:r>
      <w:r w:rsidRPr="00646D82">
        <w:rPr>
          <w:rFonts w:eastAsia="Calibri"/>
          <w:kern w:val="22"/>
          <w:szCs w:val="22"/>
          <w:u w:color="000000"/>
        </w:rPr>
        <w:t xml:space="preserve"> or details in their reports about measures taken to implement Article 16 of the Protocol</w:t>
      </w:r>
      <w:r w:rsidR="00DC4FC0" w:rsidRPr="00646D82">
        <w:rPr>
          <w:rFonts w:eastAsia="Calibri"/>
          <w:kern w:val="22"/>
          <w:szCs w:val="22"/>
          <w:u w:color="000000"/>
        </w:rPr>
        <w:t>.</w:t>
      </w:r>
      <w:r w:rsidR="000D2776" w:rsidRPr="00646D82">
        <w:rPr>
          <w:rFonts w:eastAsia="Calibri"/>
          <w:kern w:val="22"/>
          <w:szCs w:val="22"/>
          <w:u w:color="000000"/>
        </w:rPr>
        <w:t xml:space="preserve"> </w:t>
      </w:r>
      <w:r w:rsidR="00DC4FC0" w:rsidRPr="00646D82">
        <w:rPr>
          <w:rFonts w:eastAsia="Calibri"/>
          <w:kern w:val="22"/>
          <w:szCs w:val="22"/>
          <w:u w:color="000000"/>
        </w:rPr>
        <w:t xml:space="preserve"> </w:t>
      </w:r>
      <w:r w:rsidR="0023756D" w:rsidRPr="00646D82">
        <w:rPr>
          <w:rFonts w:eastAsia="Calibri"/>
          <w:kern w:val="22"/>
          <w:szCs w:val="22"/>
          <w:u w:color="000000"/>
        </w:rPr>
        <w:t>As noted by the Compliance Committee in their findings and recommendations</w:t>
      </w:r>
      <w:r w:rsidR="00C14D42" w:rsidRPr="00646D82">
        <w:rPr>
          <w:rFonts w:eastAsia="Calibri"/>
          <w:kern w:val="22"/>
          <w:szCs w:val="22"/>
          <w:u w:color="000000"/>
        </w:rPr>
        <w:t xml:space="preserve">, </w:t>
      </w:r>
      <w:r w:rsidR="009D7377" w:rsidRPr="00646D82">
        <w:rPr>
          <w:rFonts w:eastAsia="Calibri"/>
          <w:kern w:val="22"/>
          <w:szCs w:val="22"/>
          <w:u w:color="000000"/>
        </w:rPr>
        <w:t>many Parties are still in the process of establishing ABS me</w:t>
      </w:r>
      <w:r w:rsidR="00A825F0" w:rsidRPr="00646D82">
        <w:rPr>
          <w:rFonts w:eastAsia="Calibri"/>
          <w:kern w:val="22"/>
          <w:szCs w:val="22"/>
          <w:u w:color="000000"/>
        </w:rPr>
        <w:t>asures and institutional</w:t>
      </w:r>
      <w:r w:rsidR="009D7377" w:rsidRPr="00646D82">
        <w:rPr>
          <w:rFonts w:eastAsia="Calibri"/>
          <w:kern w:val="22"/>
          <w:szCs w:val="22"/>
          <w:u w:color="000000"/>
        </w:rPr>
        <w:t xml:space="preserve"> arrangements to implement the Protocol</w:t>
      </w:r>
      <w:r w:rsidR="00864362" w:rsidRPr="00646D82">
        <w:rPr>
          <w:rFonts w:eastAsia="Calibri"/>
          <w:kern w:val="22"/>
          <w:szCs w:val="22"/>
          <w:u w:color="000000"/>
        </w:rPr>
        <w:t>. The Committee identified</w:t>
      </w:r>
      <w:r w:rsidR="00DC4FC0" w:rsidRPr="00646D82">
        <w:rPr>
          <w:rFonts w:eastAsia="Calibri"/>
          <w:kern w:val="22"/>
          <w:szCs w:val="22"/>
          <w:u w:color="000000"/>
        </w:rPr>
        <w:t xml:space="preserve"> </w:t>
      </w:r>
      <w:r w:rsidR="00864362" w:rsidRPr="00646D82">
        <w:rPr>
          <w:rFonts w:eastAsia="Calibri"/>
          <w:kern w:val="22"/>
          <w:szCs w:val="22"/>
          <w:u w:color="000000"/>
        </w:rPr>
        <w:t xml:space="preserve">implementing </w:t>
      </w:r>
      <w:r w:rsidR="0023756D" w:rsidRPr="00646D82">
        <w:rPr>
          <w:rFonts w:eastAsia="Calibri"/>
          <w:kern w:val="22"/>
          <w:szCs w:val="22"/>
          <w:u w:color="000000"/>
        </w:rPr>
        <w:t>some of the new elements of the Protocol</w:t>
      </w:r>
      <w:r w:rsidR="00DC4FC0" w:rsidRPr="00646D82">
        <w:rPr>
          <w:rFonts w:eastAsia="Calibri"/>
          <w:kern w:val="22"/>
          <w:szCs w:val="22"/>
          <w:u w:color="000000"/>
        </w:rPr>
        <w:t xml:space="preserve"> as particularly challenging. This</w:t>
      </w:r>
      <w:r w:rsidR="0023756D" w:rsidRPr="00646D82">
        <w:rPr>
          <w:rFonts w:eastAsia="Calibri"/>
          <w:kern w:val="22"/>
          <w:szCs w:val="22"/>
          <w:u w:color="000000"/>
        </w:rPr>
        <w:t xml:space="preserve"> </w:t>
      </w:r>
      <w:r w:rsidR="00DC4FC0" w:rsidRPr="00646D82">
        <w:rPr>
          <w:rFonts w:eastAsia="Calibri"/>
          <w:kern w:val="22"/>
          <w:szCs w:val="22"/>
          <w:u w:color="000000"/>
        </w:rPr>
        <w:t>included implementation of the</w:t>
      </w:r>
      <w:r w:rsidR="0023756D" w:rsidRPr="00646D82">
        <w:rPr>
          <w:rFonts w:eastAsia="Calibri"/>
          <w:kern w:val="22"/>
          <w:szCs w:val="22"/>
          <w:u w:color="000000"/>
        </w:rPr>
        <w:t xml:space="preserve"> pr</w:t>
      </w:r>
      <w:r w:rsidR="00864362" w:rsidRPr="00646D82">
        <w:rPr>
          <w:rFonts w:eastAsia="Calibri"/>
          <w:kern w:val="22"/>
          <w:szCs w:val="22"/>
          <w:u w:color="000000"/>
        </w:rPr>
        <w:t>ovisions on compliance</w:t>
      </w:r>
      <w:r w:rsidR="0023756D" w:rsidRPr="00646D82">
        <w:rPr>
          <w:rFonts w:eastAsia="Calibri"/>
          <w:kern w:val="22"/>
          <w:szCs w:val="22"/>
          <w:u w:color="000000"/>
        </w:rPr>
        <w:t xml:space="preserve"> and the obligations related to indigenou</w:t>
      </w:r>
      <w:r w:rsidR="00864362" w:rsidRPr="00646D82">
        <w:rPr>
          <w:rFonts w:eastAsia="Calibri"/>
          <w:kern w:val="22"/>
          <w:szCs w:val="22"/>
          <w:u w:color="000000"/>
        </w:rPr>
        <w:t>s peoples and local communities</w:t>
      </w:r>
      <w:r w:rsidR="0023756D" w:rsidRPr="00646D82">
        <w:rPr>
          <w:rFonts w:eastAsia="Calibri"/>
          <w:kern w:val="22"/>
          <w:szCs w:val="22"/>
          <w:u w:color="000000"/>
        </w:rPr>
        <w:t>.</w:t>
      </w:r>
      <w:r w:rsidR="002C0C00" w:rsidRPr="00646D82">
        <w:rPr>
          <w:rStyle w:val="FootnoteReference"/>
          <w:rFonts w:eastAsia="Calibri"/>
          <w:kern w:val="22"/>
          <w:sz w:val="22"/>
          <w:szCs w:val="22"/>
          <w:u w:color="000000"/>
        </w:rPr>
        <w:footnoteReference w:id="34"/>
      </w:r>
    </w:p>
    <w:p w14:paraId="777AE662" w14:textId="5DCB042E" w:rsidR="0008646A" w:rsidRPr="00646D82" w:rsidRDefault="0008646A"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 xml:space="preserve">With respect to indigenous peoples and local communities a number of challenges were </w:t>
      </w:r>
      <w:r w:rsidR="007F5A0D" w:rsidRPr="00646D82">
        <w:rPr>
          <w:rFonts w:eastAsia="Calibri"/>
          <w:kern w:val="22"/>
          <w:szCs w:val="22"/>
          <w:u w:color="000000"/>
        </w:rPr>
        <w:t xml:space="preserve">also </w:t>
      </w:r>
      <w:r w:rsidRPr="00646D82">
        <w:rPr>
          <w:rFonts w:eastAsia="Calibri"/>
          <w:kern w:val="22"/>
          <w:szCs w:val="22"/>
          <w:u w:color="000000"/>
        </w:rPr>
        <w:t>identified by the Committee as well as some recommendations to address these challenges</w:t>
      </w:r>
      <w:r w:rsidR="005F4550" w:rsidRPr="00646D82">
        <w:rPr>
          <w:rFonts w:eastAsia="Calibri"/>
          <w:kern w:val="22"/>
          <w:szCs w:val="22"/>
          <w:u w:color="000000"/>
        </w:rPr>
        <w:t xml:space="preserve">, including the </w:t>
      </w:r>
      <w:r w:rsidR="0014537E" w:rsidRPr="00646D82">
        <w:rPr>
          <w:rFonts w:eastAsia="Calibri"/>
          <w:kern w:val="22"/>
          <w:szCs w:val="22"/>
          <w:u w:color="000000"/>
        </w:rPr>
        <w:t>need to build the capacity of Parties to support the implementation of the provisions of the Protocol related to indigenous peoples and local communities as well as the capacity of IPLCs with respect to ABS issues</w:t>
      </w:r>
      <w:r w:rsidR="00EB3ED7" w:rsidRPr="00646D82">
        <w:rPr>
          <w:rFonts w:eastAsia="Calibri"/>
          <w:kern w:val="22"/>
          <w:szCs w:val="22"/>
          <w:u w:color="000000"/>
        </w:rPr>
        <w:t>.</w:t>
      </w:r>
      <w:r w:rsidR="005F4550" w:rsidRPr="00646D82">
        <w:rPr>
          <w:rStyle w:val="FootnoteReference"/>
          <w:rFonts w:eastAsia="Calibri"/>
          <w:kern w:val="22"/>
          <w:sz w:val="22"/>
          <w:szCs w:val="22"/>
          <w:u w:color="000000"/>
        </w:rPr>
        <w:footnoteReference w:id="35"/>
      </w:r>
    </w:p>
    <w:p w14:paraId="40E54273" w14:textId="4A7A14D9" w:rsidR="0025681E" w:rsidRPr="00646D82" w:rsidRDefault="0008646A"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 xml:space="preserve">The work </w:t>
      </w:r>
      <w:r w:rsidR="0014537E" w:rsidRPr="00646D82">
        <w:rPr>
          <w:rFonts w:eastAsia="Calibri"/>
          <w:kern w:val="22"/>
          <w:szCs w:val="22"/>
          <w:u w:color="000000"/>
        </w:rPr>
        <w:t xml:space="preserve">on one or more international legal instrument(s) relating to intellectual property </w:t>
      </w:r>
      <w:r w:rsidR="00DC4FC0" w:rsidRPr="00646D82">
        <w:rPr>
          <w:rFonts w:eastAsia="Calibri"/>
          <w:kern w:val="22"/>
          <w:szCs w:val="22"/>
          <w:u w:color="000000"/>
        </w:rPr>
        <w:t xml:space="preserve">with a view to </w:t>
      </w:r>
      <w:r w:rsidR="0014537E" w:rsidRPr="00646D82">
        <w:rPr>
          <w:rFonts w:eastAsia="Calibri"/>
          <w:kern w:val="22"/>
          <w:szCs w:val="22"/>
          <w:u w:color="000000"/>
        </w:rPr>
        <w:t>ensur</w:t>
      </w:r>
      <w:r w:rsidR="009A387F" w:rsidRPr="00646D82">
        <w:rPr>
          <w:rFonts w:eastAsia="Calibri"/>
          <w:kern w:val="22"/>
          <w:szCs w:val="22"/>
          <w:u w:color="000000"/>
        </w:rPr>
        <w:t>ing</w:t>
      </w:r>
      <w:r w:rsidR="0014537E" w:rsidRPr="00646D82">
        <w:rPr>
          <w:rFonts w:eastAsia="Calibri"/>
          <w:kern w:val="22"/>
          <w:szCs w:val="22"/>
          <w:u w:color="000000"/>
        </w:rPr>
        <w:t xml:space="preserve"> the balanced and effective protection of genetic resources, traditional knowledge and traditional cultural expressio</w:t>
      </w:r>
      <w:r w:rsidR="00A825F0" w:rsidRPr="00646D82">
        <w:rPr>
          <w:rFonts w:eastAsia="Calibri"/>
          <w:kern w:val="22"/>
          <w:szCs w:val="22"/>
          <w:u w:color="000000"/>
        </w:rPr>
        <w:t>ns under WIPO is still on</w:t>
      </w:r>
      <w:r w:rsidR="00525C5A" w:rsidRPr="00646D82">
        <w:rPr>
          <w:rFonts w:eastAsia="Calibri"/>
          <w:kern w:val="22"/>
          <w:szCs w:val="22"/>
          <w:u w:color="000000"/>
        </w:rPr>
        <w:t>going, and it is</w:t>
      </w:r>
      <w:r w:rsidR="00A825F0" w:rsidRPr="00646D82">
        <w:rPr>
          <w:rFonts w:eastAsia="Calibri"/>
          <w:kern w:val="22"/>
          <w:szCs w:val="22"/>
          <w:u w:color="000000"/>
        </w:rPr>
        <w:t xml:space="preserve"> therefore</w:t>
      </w:r>
      <w:r w:rsidR="00525C5A" w:rsidRPr="00646D82">
        <w:rPr>
          <w:rFonts w:eastAsia="Calibri"/>
          <w:kern w:val="22"/>
          <w:szCs w:val="22"/>
          <w:u w:color="000000"/>
        </w:rPr>
        <w:t xml:space="preserve"> </w:t>
      </w:r>
      <w:r w:rsidR="0029374A" w:rsidRPr="00646D82">
        <w:rPr>
          <w:rFonts w:eastAsia="Calibri"/>
          <w:kern w:val="22"/>
          <w:szCs w:val="22"/>
          <w:u w:color="000000"/>
        </w:rPr>
        <w:t xml:space="preserve">premature </w:t>
      </w:r>
      <w:r w:rsidR="00525C5A" w:rsidRPr="00646D82">
        <w:rPr>
          <w:rFonts w:eastAsia="Calibri"/>
          <w:kern w:val="22"/>
          <w:szCs w:val="22"/>
          <w:u w:color="000000"/>
        </w:rPr>
        <w:t>to assess how the outcomes of this process could contribute to implementation of the Nagoya Protocol.</w:t>
      </w:r>
    </w:p>
    <w:p w14:paraId="36331191" w14:textId="3BEEA0C5" w:rsidR="007F5A0D" w:rsidRPr="00646D82" w:rsidRDefault="00DC4FC0"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 xml:space="preserve"> </w:t>
      </w:r>
      <w:r w:rsidR="0014537E" w:rsidRPr="00646D82">
        <w:rPr>
          <w:rFonts w:eastAsia="Calibri"/>
          <w:kern w:val="22"/>
          <w:szCs w:val="22"/>
          <w:u w:color="000000"/>
        </w:rPr>
        <w:t>However</w:t>
      </w:r>
      <w:r w:rsidR="007F5A0D" w:rsidRPr="00646D82">
        <w:rPr>
          <w:rFonts w:eastAsia="Calibri"/>
          <w:kern w:val="22"/>
          <w:szCs w:val="22"/>
          <w:u w:color="000000"/>
        </w:rPr>
        <w:t>, there</w:t>
      </w:r>
      <w:r w:rsidR="0014537E" w:rsidRPr="00646D82">
        <w:rPr>
          <w:rFonts w:eastAsia="Calibri"/>
          <w:kern w:val="22"/>
          <w:szCs w:val="22"/>
          <w:u w:color="000000"/>
        </w:rPr>
        <w:t xml:space="preserve"> are a number of</w:t>
      </w:r>
      <w:r w:rsidR="005F4550" w:rsidRPr="00646D82">
        <w:rPr>
          <w:rFonts w:eastAsia="Calibri"/>
          <w:kern w:val="22"/>
          <w:szCs w:val="22"/>
          <w:u w:color="000000"/>
        </w:rPr>
        <w:t xml:space="preserve"> existing</w:t>
      </w:r>
      <w:r w:rsidR="0014537E" w:rsidRPr="00646D82">
        <w:rPr>
          <w:rFonts w:eastAsia="Calibri"/>
          <w:kern w:val="22"/>
          <w:szCs w:val="22"/>
          <w:u w:color="000000"/>
        </w:rPr>
        <w:t xml:space="preserve"> tools and resources that could be used by Parties in advancing the implementation of Article 16 of the Nagoya Protocol, including those developed by WIPO and mentioned in paragraph </w:t>
      </w:r>
      <w:r w:rsidR="008A78C9" w:rsidRPr="00646D82">
        <w:rPr>
          <w:rFonts w:eastAsia="Calibri"/>
          <w:kern w:val="22"/>
          <w:szCs w:val="22"/>
          <w:u w:color="000000"/>
        </w:rPr>
        <w:t>94</w:t>
      </w:r>
      <w:r w:rsidR="0014537E" w:rsidRPr="00646D82">
        <w:rPr>
          <w:rFonts w:eastAsia="Calibri"/>
          <w:kern w:val="22"/>
          <w:szCs w:val="22"/>
          <w:u w:color="000000"/>
        </w:rPr>
        <w:t xml:space="preserve"> above, </w:t>
      </w:r>
      <w:r w:rsidR="007F5A0D" w:rsidRPr="00646D82">
        <w:rPr>
          <w:rFonts w:eastAsia="Calibri"/>
          <w:kern w:val="22"/>
          <w:szCs w:val="22"/>
          <w:u w:color="000000"/>
        </w:rPr>
        <w:t xml:space="preserve">the CBD </w:t>
      </w:r>
      <w:proofErr w:type="spellStart"/>
      <w:r w:rsidR="007F5A0D" w:rsidRPr="00646D82">
        <w:rPr>
          <w:rFonts w:eastAsia="Calibri"/>
          <w:kern w:val="22"/>
          <w:szCs w:val="22"/>
          <w:u w:color="000000"/>
        </w:rPr>
        <w:t>Mo’otz</w:t>
      </w:r>
      <w:proofErr w:type="spellEnd"/>
      <w:r w:rsidR="007F5A0D" w:rsidRPr="00646D82">
        <w:rPr>
          <w:rFonts w:eastAsia="Calibri"/>
          <w:kern w:val="22"/>
          <w:szCs w:val="22"/>
          <w:u w:color="000000"/>
        </w:rPr>
        <w:t xml:space="preserve"> </w:t>
      </w:r>
      <w:proofErr w:type="spellStart"/>
      <w:r w:rsidR="007F5A0D" w:rsidRPr="00646D82">
        <w:rPr>
          <w:rFonts w:eastAsia="Calibri"/>
          <w:kern w:val="22"/>
          <w:szCs w:val="22"/>
          <w:u w:color="000000"/>
        </w:rPr>
        <w:t>Kuxtal</w:t>
      </w:r>
      <w:proofErr w:type="spellEnd"/>
      <w:r w:rsidR="007F5A0D" w:rsidRPr="00646D82">
        <w:rPr>
          <w:rFonts w:eastAsia="Calibri"/>
          <w:kern w:val="22"/>
          <w:szCs w:val="22"/>
          <w:u w:color="000000"/>
        </w:rPr>
        <w:t xml:space="preserve"> voluntary guidelines</w:t>
      </w:r>
      <w:r w:rsidR="00D26238" w:rsidRPr="00646D82">
        <w:rPr>
          <w:rFonts w:eastAsia="Calibri"/>
          <w:kern w:val="22"/>
          <w:szCs w:val="22"/>
          <w:u w:color="000000"/>
        </w:rPr>
        <w:t>.</w:t>
      </w:r>
      <w:r w:rsidR="007F5A0D" w:rsidRPr="00646D82">
        <w:rPr>
          <w:rStyle w:val="FootnoteReference"/>
          <w:rFonts w:eastAsia="Calibri"/>
          <w:kern w:val="22"/>
          <w:sz w:val="22"/>
          <w:szCs w:val="22"/>
          <w:u w:color="000000"/>
        </w:rPr>
        <w:footnoteReference w:id="36"/>
      </w:r>
    </w:p>
    <w:p w14:paraId="6035AEB5" w14:textId="77777777" w:rsidR="00EC525B" w:rsidRPr="00646D82" w:rsidRDefault="00EC525B" w:rsidP="00646D82">
      <w:pPr>
        <w:pStyle w:val="ListParagraph"/>
        <w:keepNext/>
        <w:numPr>
          <w:ilvl w:val="0"/>
          <w:numId w:val="9"/>
        </w:numPr>
        <w:pBdr>
          <w:top w:val="nil"/>
          <w:left w:val="nil"/>
          <w:bottom w:val="nil"/>
          <w:right w:val="nil"/>
          <w:between w:val="nil"/>
          <w:bar w:val="nil"/>
        </w:pBdr>
        <w:tabs>
          <w:tab w:val="left" w:pos="720"/>
        </w:tabs>
        <w:spacing w:before="120" w:after="120"/>
        <w:jc w:val="left"/>
        <w:outlineLvl w:val="1"/>
        <w:rPr>
          <w:b/>
          <w:kern w:val="22"/>
          <w:szCs w:val="22"/>
        </w:rPr>
      </w:pPr>
      <w:r w:rsidRPr="00646D82">
        <w:rPr>
          <w:b/>
          <w:kern w:val="22"/>
          <w:szCs w:val="22"/>
        </w:rPr>
        <w:t>Stock-taking of the use of model contractual clauses, codes of conduct, guidelines, best practices and standards as well as indigenous peoples and local communities’ customary laws, community protocols and procedures</w:t>
      </w:r>
    </w:p>
    <w:p w14:paraId="067C3717" w14:textId="77777777" w:rsidR="00BE4A79" w:rsidRPr="00646D82" w:rsidRDefault="00BE4A79"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 xml:space="preserve">In decision NP-1/5, the Conference of the Parties serving as the meeting of the Parties decided to take stock of the use of model contractual clauses, codes of conduct, guidelines, best practices and standards as well as indigenous and local communities’ customary laws, community protocols and procedures, in accordance with Articles 12, 19 and 20, four years following the entry into force of the Protocol and in conjunction with the first assessment and review of the Protocol (para. 3). </w:t>
      </w:r>
    </w:p>
    <w:p w14:paraId="665A1EF5" w14:textId="5ED1620C" w:rsidR="00A71B22" w:rsidRPr="00646D82" w:rsidRDefault="00BE4A79"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 xml:space="preserve">The </w:t>
      </w:r>
      <w:r w:rsidR="00EB3ED7" w:rsidRPr="00646D82">
        <w:rPr>
          <w:rFonts w:eastAsia="Calibri"/>
          <w:kern w:val="22"/>
          <w:szCs w:val="22"/>
          <w:u w:color="000000"/>
        </w:rPr>
        <w:t>meeting of the Parties to the Protocol</w:t>
      </w:r>
      <w:r w:rsidRPr="00646D82">
        <w:rPr>
          <w:rFonts w:eastAsia="Calibri"/>
          <w:kern w:val="22"/>
          <w:szCs w:val="22"/>
          <w:u w:color="000000"/>
        </w:rPr>
        <w:t xml:space="preserve">, in </w:t>
      </w:r>
      <w:r w:rsidR="00EB3ED7" w:rsidRPr="00646D82">
        <w:rPr>
          <w:rFonts w:eastAsia="Calibri"/>
          <w:kern w:val="22"/>
          <w:szCs w:val="22"/>
          <w:u w:color="000000"/>
        </w:rPr>
        <w:t>the a</w:t>
      </w:r>
      <w:r w:rsidRPr="00646D82">
        <w:rPr>
          <w:rFonts w:eastAsia="Calibri"/>
          <w:kern w:val="22"/>
          <w:szCs w:val="22"/>
          <w:u w:color="000000"/>
        </w:rPr>
        <w:t>nnex to decision NP-2/4, decided to assess this element</w:t>
      </w:r>
      <w:r w:rsidR="00C151FA" w:rsidRPr="00646D82">
        <w:rPr>
          <w:rFonts w:eastAsia="Calibri"/>
          <w:kern w:val="22"/>
          <w:szCs w:val="22"/>
          <w:u w:color="000000"/>
        </w:rPr>
        <w:t>.</w:t>
      </w:r>
    </w:p>
    <w:p w14:paraId="2A628049" w14:textId="096CB512" w:rsidR="00BE4A79" w:rsidRPr="00646D82" w:rsidRDefault="00BE4A79" w:rsidP="00646D82">
      <w:pPr>
        <w:pStyle w:val="ListParagraph"/>
        <w:keepNext/>
        <w:numPr>
          <w:ilvl w:val="0"/>
          <w:numId w:val="19"/>
        </w:numPr>
        <w:suppressLineNumbers/>
        <w:tabs>
          <w:tab w:val="left" w:pos="360"/>
        </w:tabs>
        <w:suppressAutoHyphens/>
        <w:kinsoku w:val="0"/>
        <w:overflowPunct w:val="0"/>
        <w:autoSpaceDE w:val="0"/>
        <w:autoSpaceDN w:val="0"/>
        <w:spacing w:before="120" w:after="120"/>
        <w:jc w:val="center"/>
        <w:rPr>
          <w:rFonts w:eastAsia="Calibri"/>
          <w:i/>
          <w:noProof/>
          <w:snapToGrid w:val="0"/>
          <w:color w:val="000000"/>
          <w:kern w:val="22"/>
          <w:szCs w:val="22"/>
          <w:u w:color="000000"/>
        </w:rPr>
      </w:pPr>
      <w:r w:rsidRPr="00646D82">
        <w:rPr>
          <w:rFonts w:eastAsia="Calibri"/>
          <w:i/>
          <w:noProof/>
          <w:snapToGrid w:val="0"/>
          <w:color w:val="000000"/>
          <w:kern w:val="22"/>
          <w:szCs w:val="22"/>
          <w:u w:color="000000"/>
        </w:rPr>
        <w:t xml:space="preserve">Summary of the </w:t>
      </w:r>
      <w:r w:rsidR="00A62394" w:rsidRPr="00646D82">
        <w:rPr>
          <w:rFonts w:eastAsia="Calibri"/>
          <w:i/>
          <w:noProof/>
          <w:snapToGrid w:val="0"/>
          <w:color w:val="000000"/>
          <w:kern w:val="22"/>
          <w:szCs w:val="22"/>
          <w:u w:color="000000"/>
        </w:rPr>
        <w:t xml:space="preserve">analysis </w:t>
      </w:r>
      <w:r w:rsidR="00C151FA" w:rsidRPr="00646D82">
        <w:rPr>
          <w:rFonts w:eastAsia="Calibri"/>
          <w:i/>
          <w:noProof/>
          <w:snapToGrid w:val="0"/>
          <w:color w:val="000000"/>
          <w:kern w:val="22"/>
          <w:szCs w:val="22"/>
          <w:u w:color="000000"/>
        </w:rPr>
        <w:t>and reference points</w:t>
      </w:r>
      <w:r w:rsidR="00C151FA" w:rsidRPr="00646D82">
        <w:rPr>
          <w:rStyle w:val="FootnoteReference"/>
          <w:rFonts w:eastAsia="Calibri"/>
          <w:i/>
          <w:noProof/>
          <w:snapToGrid w:val="0"/>
          <w:color w:val="000000"/>
          <w:kern w:val="22"/>
          <w:sz w:val="22"/>
          <w:szCs w:val="22"/>
          <w:u w:color="000000"/>
        </w:rPr>
        <w:footnoteReference w:id="37"/>
      </w:r>
    </w:p>
    <w:p w14:paraId="03828423" w14:textId="77777777" w:rsidR="00E3333C" w:rsidRPr="002A4D34" w:rsidRDefault="00E3333C" w:rsidP="00A62394">
      <w:pPr>
        <w:pStyle w:val="ListParagraph"/>
        <w:keepNext/>
        <w:suppressLineNumbers/>
        <w:tabs>
          <w:tab w:val="left" w:pos="360"/>
        </w:tabs>
        <w:suppressAutoHyphens/>
        <w:kinsoku w:val="0"/>
        <w:overflowPunct w:val="0"/>
        <w:autoSpaceDE w:val="0"/>
        <w:autoSpaceDN w:val="0"/>
        <w:spacing w:before="120" w:after="120"/>
        <w:ind w:left="1260"/>
        <w:rPr>
          <w:rFonts w:eastAsia="Calibri"/>
          <w:b/>
          <w:i/>
          <w:noProof/>
          <w:snapToGrid w:val="0"/>
          <w:color w:val="000000"/>
          <w:kern w:val="22"/>
          <w:szCs w:val="22"/>
          <w:u w:color="000000"/>
        </w:rPr>
      </w:pPr>
    </w:p>
    <w:p w14:paraId="4A0C51AB" w14:textId="30BD600D" w:rsidR="003E2306" w:rsidRPr="00646D82" w:rsidRDefault="001C7B88" w:rsidP="008A78C9">
      <w:pPr>
        <w:pStyle w:val="ListParagraph"/>
        <w:numPr>
          <w:ilvl w:val="0"/>
          <w:numId w:val="12"/>
        </w:numPr>
        <w:rPr>
          <w:rFonts w:eastAsia="Calibri"/>
          <w:snapToGrid w:val="0"/>
          <w:kern w:val="22"/>
          <w:szCs w:val="22"/>
          <w:u w:color="000000"/>
        </w:rPr>
      </w:pPr>
      <w:r w:rsidRPr="00646D82">
        <w:rPr>
          <w:rFonts w:eastAsia="Calibri"/>
          <w:kern w:val="22"/>
          <w:szCs w:val="22"/>
          <w:u w:color="000000"/>
        </w:rPr>
        <w:t>Information provided focused on the development of these tools rather than on the</w:t>
      </w:r>
      <w:r w:rsidR="00D00515" w:rsidRPr="00646D82">
        <w:rPr>
          <w:rFonts w:eastAsia="Calibri"/>
          <w:kern w:val="22"/>
          <w:szCs w:val="22"/>
          <w:u w:color="000000"/>
        </w:rPr>
        <w:t>ir</w:t>
      </w:r>
      <w:r w:rsidRPr="00646D82">
        <w:rPr>
          <w:rFonts w:eastAsia="Calibri"/>
          <w:kern w:val="22"/>
          <w:szCs w:val="22"/>
          <w:u w:color="000000"/>
        </w:rPr>
        <w:t xml:space="preserve"> use. Therefore</w:t>
      </w:r>
      <w:r w:rsidR="00EB3ED7" w:rsidRPr="00646D82">
        <w:rPr>
          <w:rFonts w:eastAsia="Calibri"/>
          <w:kern w:val="22"/>
          <w:szCs w:val="22"/>
          <w:u w:color="000000"/>
        </w:rPr>
        <w:t>,</w:t>
      </w:r>
      <w:r w:rsidRPr="00646D82">
        <w:rPr>
          <w:rFonts w:eastAsia="Calibri"/>
          <w:kern w:val="22"/>
          <w:szCs w:val="22"/>
          <w:u w:color="000000"/>
        </w:rPr>
        <w:t xml:space="preserve"> the following summary provides information on the number of tools developed</w:t>
      </w:r>
      <w:r w:rsidR="00B01CB7" w:rsidRPr="00646D82">
        <w:rPr>
          <w:rFonts w:eastAsia="Calibri"/>
          <w:kern w:val="22"/>
          <w:szCs w:val="22"/>
          <w:u w:color="000000"/>
        </w:rPr>
        <w:t xml:space="preserve">, according to </w:t>
      </w:r>
      <w:r w:rsidR="003E2306" w:rsidRPr="00646D82">
        <w:rPr>
          <w:rFonts w:eastAsia="Calibri"/>
          <w:kern w:val="22"/>
          <w:szCs w:val="22"/>
          <w:u w:color="000000"/>
        </w:rPr>
        <w:t xml:space="preserve">the analysis of different sources of </w:t>
      </w:r>
      <w:r w:rsidR="00B01CB7" w:rsidRPr="00646D82">
        <w:rPr>
          <w:rFonts w:eastAsia="Calibri"/>
          <w:kern w:val="22"/>
          <w:szCs w:val="22"/>
          <w:u w:color="000000"/>
        </w:rPr>
        <w:t>information</w:t>
      </w:r>
      <w:r w:rsidRPr="00646D82">
        <w:rPr>
          <w:rFonts w:eastAsia="Calibri"/>
          <w:kern w:val="22"/>
          <w:szCs w:val="22"/>
          <w:u w:color="000000"/>
        </w:rPr>
        <w:t>.</w:t>
      </w:r>
      <w:r w:rsidR="003E2306" w:rsidRPr="00646D82">
        <w:rPr>
          <w:szCs w:val="22"/>
        </w:rPr>
        <w:t xml:space="preserve"> </w:t>
      </w:r>
      <w:r w:rsidR="003E2306" w:rsidRPr="00646D82">
        <w:rPr>
          <w:rFonts w:eastAsia="Calibri"/>
          <w:snapToGrid w:val="0"/>
          <w:kern w:val="22"/>
          <w:szCs w:val="22"/>
          <w:u w:color="000000"/>
        </w:rPr>
        <w:t>The information provided could serve as reference points.</w:t>
      </w:r>
    </w:p>
    <w:p w14:paraId="78B172B0" w14:textId="089EEF7F" w:rsidR="00B962EB" w:rsidRPr="00646D82" w:rsidRDefault="00B962EB" w:rsidP="00A62394">
      <w:pPr>
        <w:pStyle w:val="Para1"/>
        <w:suppressLineNumbers/>
        <w:suppressAutoHyphens/>
        <w:rPr>
          <w:rFonts w:eastAsia="Calibri"/>
          <w:kern w:val="22"/>
          <w:szCs w:val="22"/>
          <w:u w:color="000000"/>
        </w:rPr>
      </w:pPr>
    </w:p>
    <w:tbl>
      <w:tblPr>
        <w:tblStyle w:val="TableGrid"/>
        <w:tblW w:w="0" w:type="auto"/>
        <w:jc w:val="center"/>
        <w:tblLook w:val="04A0" w:firstRow="1" w:lastRow="0" w:firstColumn="1" w:lastColumn="0" w:noHBand="0" w:noVBand="1"/>
      </w:tblPr>
      <w:tblGrid>
        <w:gridCol w:w="2718"/>
        <w:gridCol w:w="6858"/>
      </w:tblGrid>
      <w:tr w:rsidR="00B01CB7" w:rsidRPr="00646D82" w14:paraId="2AF548EE" w14:textId="77777777" w:rsidTr="00337864">
        <w:trPr>
          <w:tblHeader/>
          <w:jc w:val="center"/>
        </w:trPr>
        <w:tc>
          <w:tcPr>
            <w:tcW w:w="2718" w:type="dxa"/>
          </w:tcPr>
          <w:p w14:paraId="4A89C75E" w14:textId="77777777" w:rsidR="00B01CB7" w:rsidRPr="00646D82" w:rsidRDefault="00B01CB7" w:rsidP="00646D82">
            <w:pPr>
              <w:pStyle w:val="Para1"/>
              <w:suppressLineNumbers/>
              <w:suppressAutoHyphens/>
              <w:jc w:val="center"/>
              <w:rPr>
                <w:rFonts w:ascii="Times New Roman" w:hAnsi="Times New Roman" w:cs="Times New Roman"/>
                <w:b/>
                <w:kern w:val="22"/>
                <w:szCs w:val="22"/>
              </w:rPr>
            </w:pPr>
            <w:r w:rsidRPr="00646D82">
              <w:rPr>
                <w:rFonts w:ascii="Times New Roman" w:hAnsi="Times New Roman" w:cs="Times New Roman"/>
                <w:b/>
                <w:kern w:val="22"/>
                <w:szCs w:val="22"/>
              </w:rPr>
              <w:t>Articles of the Protocol</w:t>
            </w:r>
          </w:p>
        </w:tc>
        <w:tc>
          <w:tcPr>
            <w:tcW w:w="6858" w:type="dxa"/>
          </w:tcPr>
          <w:p w14:paraId="22B23DB0" w14:textId="35287F9C" w:rsidR="00B01CB7" w:rsidRPr="00646D82" w:rsidRDefault="002B1522" w:rsidP="00646D82">
            <w:pPr>
              <w:pStyle w:val="Para1"/>
              <w:suppressLineNumbers/>
              <w:suppressAutoHyphens/>
              <w:jc w:val="center"/>
              <w:rPr>
                <w:rFonts w:ascii="Times New Roman" w:hAnsi="Times New Roman" w:cs="Times New Roman"/>
                <w:b/>
                <w:kern w:val="22"/>
                <w:szCs w:val="22"/>
              </w:rPr>
            </w:pPr>
            <w:r w:rsidRPr="00646D82">
              <w:rPr>
                <w:rFonts w:ascii="Times New Roman" w:hAnsi="Times New Roman" w:cs="Times New Roman"/>
                <w:b/>
                <w:kern w:val="22"/>
                <w:szCs w:val="22"/>
              </w:rPr>
              <w:t>Current status and r</w:t>
            </w:r>
            <w:r w:rsidR="00461FD0" w:rsidRPr="00646D82">
              <w:rPr>
                <w:rFonts w:ascii="Times New Roman" w:hAnsi="Times New Roman" w:cs="Times New Roman"/>
                <w:b/>
                <w:kern w:val="22"/>
                <w:szCs w:val="22"/>
              </w:rPr>
              <w:t>eference points</w:t>
            </w:r>
          </w:p>
        </w:tc>
      </w:tr>
      <w:tr w:rsidR="00B01CB7" w:rsidRPr="00646D82" w14:paraId="6305C5DB" w14:textId="77777777" w:rsidTr="00646D82">
        <w:trPr>
          <w:jc w:val="center"/>
        </w:trPr>
        <w:tc>
          <w:tcPr>
            <w:tcW w:w="2718" w:type="dxa"/>
          </w:tcPr>
          <w:p w14:paraId="1EFB8A96" w14:textId="6DB45F62" w:rsidR="00B01CB7" w:rsidRPr="00646D82" w:rsidRDefault="00B01CB7" w:rsidP="00646D82">
            <w:pPr>
              <w:pStyle w:val="Para1"/>
              <w:suppressLineNumbers/>
              <w:suppressAutoHyphens/>
              <w:jc w:val="left"/>
              <w:rPr>
                <w:rFonts w:ascii="Times New Roman" w:hAnsi="Times New Roman" w:cs="Times New Roman"/>
                <w:b/>
                <w:kern w:val="22"/>
                <w:szCs w:val="22"/>
              </w:rPr>
            </w:pPr>
            <w:r w:rsidRPr="00646D82">
              <w:rPr>
                <w:rFonts w:ascii="Times New Roman" w:eastAsia="Calibri" w:hAnsi="Times New Roman" w:cs="Times New Roman"/>
                <w:kern w:val="22"/>
                <w:szCs w:val="22"/>
                <w:u w:color="000000"/>
              </w:rPr>
              <w:t>Model contractual clauses (Article 19)</w:t>
            </w:r>
            <w:r w:rsidR="00460815" w:rsidRPr="00646D82">
              <w:rPr>
                <w:rStyle w:val="FootnoteReference"/>
                <w:rFonts w:ascii="Times New Roman" w:eastAsia="Calibri" w:hAnsi="Times New Roman" w:cs="Times New Roman"/>
                <w:kern w:val="22"/>
                <w:sz w:val="22"/>
                <w:szCs w:val="22"/>
                <w:u w:color="000000"/>
              </w:rPr>
              <w:t xml:space="preserve"> </w:t>
            </w:r>
          </w:p>
        </w:tc>
        <w:tc>
          <w:tcPr>
            <w:tcW w:w="6858" w:type="dxa"/>
          </w:tcPr>
          <w:p w14:paraId="330051D8" w14:textId="77777777" w:rsidR="00460815" w:rsidRPr="00646D82" w:rsidRDefault="00B01CB7">
            <w:pPr>
              <w:pStyle w:val="Para1"/>
              <w:suppressLineNumbers/>
              <w:suppressAutoHyphens/>
              <w:rPr>
                <w:rFonts w:ascii="Times New Roman" w:eastAsia="Calibri" w:hAnsi="Times New Roman" w:cs="Times New Roman"/>
                <w:kern w:val="22"/>
                <w:szCs w:val="22"/>
                <w:u w:color="000000"/>
              </w:rPr>
            </w:pPr>
            <w:r w:rsidRPr="00646D82">
              <w:rPr>
                <w:rFonts w:ascii="Times New Roman" w:eastAsia="Calibri" w:hAnsi="Times New Roman" w:cs="Times New Roman"/>
                <w:kern w:val="22"/>
                <w:szCs w:val="22"/>
                <w:u w:color="000000"/>
              </w:rPr>
              <w:t xml:space="preserve">29 model clauses have been developed </w:t>
            </w:r>
          </w:p>
          <w:p w14:paraId="2E508B89" w14:textId="3236E385" w:rsidR="00B01CB7" w:rsidRPr="00646D82" w:rsidRDefault="00B01CB7">
            <w:pPr>
              <w:pStyle w:val="Para1"/>
              <w:suppressLineNumbers/>
              <w:suppressAutoHyphens/>
              <w:rPr>
                <w:rFonts w:ascii="Times New Roman" w:hAnsi="Times New Roman" w:cs="Times New Roman"/>
                <w:b/>
                <w:kern w:val="22"/>
                <w:szCs w:val="22"/>
              </w:rPr>
            </w:pPr>
            <w:r w:rsidRPr="00646D82">
              <w:rPr>
                <w:rFonts w:ascii="Times New Roman" w:eastAsia="Calibri" w:hAnsi="Times New Roman" w:cs="Times New Roman"/>
                <w:kern w:val="22"/>
                <w:szCs w:val="22"/>
                <w:u w:color="000000"/>
              </w:rPr>
              <w:t>17 (59%) have been made available to the ABS Clearing-House.</w:t>
            </w:r>
          </w:p>
        </w:tc>
      </w:tr>
      <w:tr w:rsidR="00B01CB7" w:rsidRPr="00646D82" w14:paraId="18B31B54" w14:textId="77777777" w:rsidTr="00646D82">
        <w:trPr>
          <w:jc w:val="center"/>
        </w:trPr>
        <w:tc>
          <w:tcPr>
            <w:tcW w:w="2718" w:type="dxa"/>
          </w:tcPr>
          <w:p w14:paraId="6F846083" w14:textId="3BBC1907" w:rsidR="00B01CB7" w:rsidRPr="00646D82" w:rsidRDefault="00B01CB7" w:rsidP="00646D82">
            <w:pPr>
              <w:pStyle w:val="Para1"/>
              <w:suppressLineNumbers/>
              <w:suppressAutoHyphens/>
              <w:jc w:val="left"/>
              <w:rPr>
                <w:rFonts w:ascii="Times New Roman" w:eastAsia="Calibri" w:hAnsi="Times New Roman" w:cs="Times New Roman"/>
                <w:kern w:val="22"/>
                <w:szCs w:val="22"/>
                <w:u w:color="000000"/>
              </w:rPr>
            </w:pPr>
            <w:r w:rsidRPr="00646D82">
              <w:rPr>
                <w:rFonts w:ascii="Times New Roman" w:eastAsia="Calibri" w:hAnsi="Times New Roman" w:cs="Times New Roman"/>
                <w:kern w:val="22"/>
                <w:szCs w:val="22"/>
                <w:u w:color="000000"/>
              </w:rPr>
              <w:t>Codes of conduct, guidelines, best practices and standards (Article 20)</w:t>
            </w:r>
            <w:r w:rsidR="00460815" w:rsidRPr="00646D82">
              <w:rPr>
                <w:rStyle w:val="FootnoteReference"/>
                <w:rFonts w:ascii="Times New Roman" w:eastAsia="Calibri" w:hAnsi="Times New Roman" w:cs="Times New Roman"/>
                <w:kern w:val="22"/>
                <w:sz w:val="22"/>
                <w:szCs w:val="22"/>
                <w:u w:color="000000"/>
              </w:rPr>
              <w:t xml:space="preserve"> </w:t>
            </w:r>
          </w:p>
        </w:tc>
        <w:tc>
          <w:tcPr>
            <w:tcW w:w="6858" w:type="dxa"/>
          </w:tcPr>
          <w:p w14:paraId="44776864" w14:textId="77777777" w:rsidR="00460815" w:rsidRPr="00646D82" w:rsidRDefault="00B01CB7" w:rsidP="00E13667">
            <w:pPr>
              <w:pStyle w:val="Para1"/>
              <w:suppressLineNumbers/>
              <w:suppressAutoHyphens/>
              <w:rPr>
                <w:rFonts w:ascii="Times New Roman" w:eastAsia="Calibri" w:hAnsi="Times New Roman" w:cs="Times New Roman"/>
                <w:kern w:val="22"/>
                <w:szCs w:val="22"/>
                <w:u w:color="000000"/>
              </w:rPr>
            </w:pPr>
            <w:r w:rsidRPr="00646D82">
              <w:rPr>
                <w:rFonts w:ascii="Times New Roman" w:eastAsia="Calibri" w:hAnsi="Times New Roman" w:cs="Times New Roman"/>
                <w:kern w:val="22"/>
                <w:szCs w:val="22"/>
                <w:u w:color="000000"/>
              </w:rPr>
              <w:t>33 codes of conduct, guidelines, best practices or standard have been developed.</w:t>
            </w:r>
          </w:p>
          <w:p w14:paraId="33ECA643" w14:textId="7DF4D42B" w:rsidR="00B01CB7" w:rsidRPr="00646D82" w:rsidRDefault="00B01CB7">
            <w:pPr>
              <w:pStyle w:val="Para1"/>
              <w:suppressLineNumbers/>
              <w:suppressAutoHyphens/>
              <w:rPr>
                <w:rFonts w:ascii="Times New Roman" w:eastAsia="Calibri" w:hAnsi="Times New Roman" w:cs="Times New Roman"/>
                <w:kern w:val="22"/>
                <w:szCs w:val="22"/>
                <w:u w:color="000000"/>
              </w:rPr>
            </w:pPr>
            <w:r w:rsidRPr="00646D82">
              <w:rPr>
                <w:rFonts w:ascii="Times New Roman" w:eastAsia="Calibri" w:hAnsi="Times New Roman" w:cs="Times New Roman"/>
                <w:kern w:val="22"/>
                <w:szCs w:val="22"/>
                <w:u w:color="000000"/>
              </w:rPr>
              <w:t>25 (75%) have been made available to the ABS Clearing-House.</w:t>
            </w:r>
            <w:r w:rsidRPr="00646D82">
              <w:rPr>
                <w:rStyle w:val="FootnoteReference"/>
                <w:rFonts w:ascii="Times New Roman" w:eastAsia="Calibri" w:hAnsi="Times New Roman" w:cs="Times New Roman"/>
                <w:kern w:val="22"/>
                <w:sz w:val="22"/>
                <w:szCs w:val="22"/>
                <w:u w:color="000000"/>
              </w:rPr>
              <w:t xml:space="preserve"> </w:t>
            </w:r>
          </w:p>
        </w:tc>
      </w:tr>
      <w:tr w:rsidR="00B01CB7" w:rsidRPr="00646D82" w14:paraId="66DF98A7" w14:textId="77777777" w:rsidTr="00646D82">
        <w:trPr>
          <w:jc w:val="center"/>
        </w:trPr>
        <w:tc>
          <w:tcPr>
            <w:tcW w:w="2718" w:type="dxa"/>
          </w:tcPr>
          <w:p w14:paraId="2A2C27D4" w14:textId="3A190712" w:rsidR="00B01CB7" w:rsidRPr="00646D82" w:rsidRDefault="00B01CB7" w:rsidP="00646D82">
            <w:pPr>
              <w:pStyle w:val="Para1"/>
              <w:suppressLineNumbers/>
              <w:suppressAutoHyphens/>
              <w:jc w:val="left"/>
              <w:rPr>
                <w:rFonts w:ascii="Times New Roman" w:eastAsia="Calibri" w:hAnsi="Times New Roman" w:cs="Times New Roman"/>
                <w:kern w:val="22"/>
                <w:szCs w:val="22"/>
                <w:u w:color="000000"/>
              </w:rPr>
            </w:pPr>
            <w:r w:rsidRPr="00646D82">
              <w:rPr>
                <w:rFonts w:ascii="Times New Roman" w:eastAsia="Calibri" w:hAnsi="Times New Roman" w:cs="Times New Roman"/>
                <w:kern w:val="22"/>
                <w:szCs w:val="22"/>
                <w:u w:color="000000"/>
              </w:rPr>
              <w:t>Indigenous peoples and local communities’ customary laws, community protocols and procedures</w:t>
            </w:r>
            <w:r w:rsidR="00460815" w:rsidRPr="00646D82">
              <w:rPr>
                <w:rFonts w:ascii="Times New Roman" w:eastAsia="Calibri" w:hAnsi="Times New Roman" w:cs="Times New Roman"/>
                <w:snapToGrid/>
                <w:kern w:val="22"/>
                <w:szCs w:val="22"/>
                <w:u w:val="single" w:color="000000"/>
              </w:rPr>
              <w:t xml:space="preserve"> </w:t>
            </w:r>
          </w:p>
        </w:tc>
        <w:tc>
          <w:tcPr>
            <w:tcW w:w="6858" w:type="dxa"/>
          </w:tcPr>
          <w:p w14:paraId="7B00C056" w14:textId="1F439359" w:rsidR="00B01CB7" w:rsidRPr="00646D82" w:rsidRDefault="00E3333C" w:rsidP="00A62394">
            <w:pPr>
              <w:pStyle w:val="Para1"/>
              <w:suppressLineNumbers/>
              <w:suppressAutoHyphens/>
              <w:rPr>
                <w:rFonts w:ascii="Times New Roman" w:eastAsia="Calibri" w:hAnsi="Times New Roman" w:cs="Times New Roman"/>
                <w:kern w:val="22"/>
                <w:szCs w:val="22"/>
                <w:u w:color="000000"/>
              </w:rPr>
            </w:pPr>
            <w:r w:rsidRPr="00646D82">
              <w:rPr>
                <w:rFonts w:ascii="Times New Roman" w:eastAsia="Calibri" w:hAnsi="Times New Roman" w:cs="Times New Roman"/>
                <w:kern w:val="22"/>
                <w:szCs w:val="22"/>
                <w:u w:color="000000"/>
              </w:rPr>
              <w:t>Information on number of community protocols develop was n</w:t>
            </w:r>
            <w:r w:rsidR="00B01CB7" w:rsidRPr="00646D82">
              <w:rPr>
                <w:rFonts w:ascii="Times New Roman" w:eastAsia="Calibri" w:hAnsi="Times New Roman" w:cs="Times New Roman"/>
                <w:kern w:val="22"/>
                <w:szCs w:val="22"/>
                <w:u w:color="000000"/>
              </w:rPr>
              <w:t xml:space="preserve">ot conclusive </w:t>
            </w:r>
          </w:p>
        </w:tc>
      </w:tr>
    </w:tbl>
    <w:p w14:paraId="2AF030C9" w14:textId="77777777" w:rsidR="00B01CB7" w:rsidRPr="002A4D34" w:rsidRDefault="00B01CB7" w:rsidP="00A62394">
      <w:pPr>
        <w:pStyle w:val="Para1"/>
        <w:suppressLineNumbers/>
        <w:suppressAutoHyphens/>
        <w:rPr>
          <w:rFonts w:eastAsia="Calibri"/>
          <w:kern w:val="22"/>
          <w:szCs w:val="22"/>
          <w:u w:color="000000"/>
        </w:rPr>
      </w:pPr>
    </w:p>
    <w:p w14:paraId="5B8C5AFF" w14:textId="2A6B3A20" w:rsidR="00D70588" w:rsidRPr="00646D82" w:rsidRDefault="00B01CB7"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In addition,</w:t>
      </w:r>
      <w:r w:rsidR="00D70588" w:rsidRPr="00646D82">
        <w:rPr>
          <w:rFonts w:eastAsia="Calibri"/>
          <w:kern w:val="22"/>
          <w:szCs w:val="22"/>
          <w:u w:color="000000"/>
        </w:rPr>
        <w:t xml:space="preserve"> 7 </w:t>
      </w:r>
      <w:r w:rsidRPr="00646D82">
        <w:rPr>
          <w:rFonts w:eastAsia="Calibri"/>
          <w:kern w:val="22"/>
          <w:szCs w:val="22"/>
          <w:u w:color="000000"/>
        </w:rPr>
        <w:t xml:space="preserve">model contractual clauses </w:t>
      </w:r>
      <w:r w:rsidR="00D70588" w:rsidRPr="00646D82">
        <w:rPr>
          <w:rFonts w:eastAsia="Calibri"/>
          <w:kern w:val="22"/>
          <w:szCs w:val="22"/>
          <w:u w:color="000000"/>
        </w:rPr>
        <w:t xml:space="preserve">are under development. Out of the existing 29 model clauses, 14 were developed by Parties, 1 by a non-Party, 2 by regional groups, and 12 by organizations. </w:t>
      </w:r>
    </w:p>
    <w:p w14:paraId="328BC985" w14:textId="41D355D0" w:rsidR="00D70588" w:rsidRPr="00646D82" w:rsidRDefault="00B01CB7" w:rsidP="008A78C9">
      <w:pPr>
        <w:pStyle w:val="Para1"/>
        <w:numPr>
          <w:ilvl w:val="0"/>
          <w:numId w:val="12"/>
        </w:numPr>
        <w:suppressLineNumbers/>
        <w:suppressAutoHyphens/>
        <w:rPr>
          <w:rFonts w:eastAsia="Calibri"/>
          <w:kern w:val="22"/>
          <w:szCs w:val="22"/>
          <w:u w:color="000000"/>
        </w:rPr>
      </w:pPr>
      <w:r w:rsidRPr="00646D82">
        <w:rPr>
          <w:szCs w:val="22"/>
        </w:rPr>
        <w:t xml:space="preserve">With regard to </w:t>
      </w:r>
      <w:r w:rsidR="0041617F" w:rsidRPr="00646D82">
        <w:rPr>
          <w:szCs w:val="22"/>
        </w:rPr>
        <w:t>codes of conduct, guidelines, best practices and standards</w:t>
      </w:r>
      <w:r w:rsidRPr="00646D82">
        <w:rPr>
          <w:szCs w:val="22"/>
        </w:rPr>
        <w:t xml:space="preserve">, </w:t>
      </w:r>
      <w:r w:rsidR="00D70588" w:rsidRPr="00646D82">
        <w:rPr>
          <w:rFonts w:eastAsia="Calibri"/>
          <w:kern w:val="22"/>
          <w:szCs w:val="22"/>
          <w:u w:color="000000"/>
        </w:rPr>
        <w:t xml:space="preserve">other 7 </w:t>
      </w:r>
      <w:r w:rsidR="0041617F" w:rsidRPr="00646D82">
        <w:rPr>
          <w:szCs w:val="22"/>
        </w:rPr>
        <w:t>Article 20 tools</w:t>
      </w:r>
      <w:r w:rsidR="0041617F" w:rsidRPr="00646D82">
        <w:rPr>
          <w:rFonts w:eastAsia="Calibri"/>
          <w:kern w:val="22"/>
          <w:szCs w:val="22"/>
          <w:u w:color="000000"/>
        </w:rPr>
        <w:t xml:space="preserve"> </w:t>
      </w:r>
      <w:r w:rsidR="00D70588" w:rsidRPr="00646D82">
        <w:rPr>
          <w:rFonts w:eastAsia="Calibri"/>
          <w:kern w:val="22"/>
          <w:szCs w:val="22"/>
          <w:u w:color="000000"/>
        </w:rPr>
        <w:t>are under development. Out the existing 33</w:t>
      </w:r>
      <w:r w:rsidRPr="00646D82">
        <w:rPr>
          <w:rFonts w:eastAsia="Calibri"/>
          <w:kern w:val="22"/>
          <w:szCs w:val="22"/>
          <w:u w:color="000000"/>
        </w:rPr>
        <w:t xml:space="preserve"> tools</w:t>
      </w:r>
      <w:r w:rsidR="00D70588" w:rsidRPr="00646D82">
        <w:rPr>
          <w:rFonts w:eastAsia="Calibri"/>
          <w:kern w:val="22"/>
          <w:szCs w:val="22"/>
          <w:u w:color="000000"/>
        </w:rPr>
        <w:t>, 7 have been developed by Parties, 4 by regional groups and 22 by organi</w:t>
      </w:r>
      <w:r w:rsidR="00EB3ED7" w:rsidRPr="00646D82">
        <w:rPr>
          <w:rFonts w:eastAsia="Calibri"/>
          <w:kern w:val="22"/>
          <w:szCs w:val="22"/>
          <w:u w:color="000000"/>
        </w:rPr>
        <w:t>z</w:t>
      </w:r>
      <w:r w:rsidR="00D70588" w:rsidRPr="00646D82">
        <w:rPr>
          <w:rFonts w:eastAsia="Calibri"/>
          <w:kern w:val="22"/>
          <w:szCs w:val="22"/>
          <w:u w:color="000000"/>
        </w:rPr>
        <w:t xml:space="preserve">ations. </w:t>
      </w:r>
    </w:p>
    <w:p w14:paraId="37BEC7D6" w14:textId="638FD996" w:rsidR="00C151FA" w:rsidRPr="00646D82" w:rsidRDefault="00C27A54"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 xml:space="preserve">According to information available, </w:t>
      </w:r>
      <w:r w:rsidR="00374FB7" w:rsidRPr="00646D82">
        <w:rPr>
          <w:rFonts w:eastAsia="Calibri"/>
          <w:kern w:val="22"/>
          <w:szCs w:val="22"/>
          <w:u w:color="000000"/>
        </w:rPr>
        <w:t xml:space="preserve">7 </w:t>
      </w:r>
      <w:r w:rsidRPr="00646D82">
        <w:rPr>
          <w:rFonts w:eastAsia="Calibri"/>
          <w:kern w:val="22"/>
          <w:szCs w:val="22"/>
          <w:u w:color="000000"/>
        </w:rPr>
        <w:t xml:space="preserve">community protocols have been developed and 6 Parties have </w:t>
      </w:r>
      <w:r w:rsidR="00515EBE" w:rsidRPr="00646D82">
        <w:rPr>
          <w:rFonts w:eastAsia="Calibri"/>
          <w:kern w:val="22"/>
          <w:szCs w:val="22"/>
          <w:u w:color="000000"/>
        </w:rPr>
        <w:t xml:space="preserve">indicated </w:t>
      </w:r>
      <w:r w:rsidRPr="00646D82">
        <w:rPr>
          <w:rFonts w:eastAsia="Calibri"/>
          <w:kern w:val="22"/>
          <w:szCs w:val="22"/>
          <w:u w:color="000000"/>
        </w:rPr>
        <w:t>that one or more community protocols have been developed in their country, but for which there is no further information provided.</w:t>
      </w:r>
      <w:r w:rsidR="00374FB7" w:rsidRPr="00646D82">
        <w:rPr>
          <w:rFonts w:eastAsia="Calibri"/>
          <w:kern w:val="22"/>
          <w:szCs w:val="22"/>
          <w:u w:color="000000"/>
        </w:rPr>
        <w:t xml:space="preserve"> In addition, 3</w:t>
      </w:r>
      <w:r w:rsidRPr="00646D82">
        <w:rPr>
          <w:rFonts w:eastAsia="Calibri"/>
          <w:kern w:val="22"/>
          <w:szCs w:val="22"/>
          <w:u w:color="000000"/>
        </w:rPr>
        <w:t xml:space="preserve"> community protocols are under development and 7 Parties reported that they are working on the development of one or more community protocols.</w:t>
      </w:r>
      <w:r w:rsidR="00FA4970" w:rsidRPr="00646D82">
        <w:rPr>
          <w:rFonts w:eastAsia="Calibri"/>
          <w:snapToGrid/>
          <w:kern w:val="22"/>
          <w:szCs w:val="22"/>
        </w:rPr>
        <w:t xml:space="preserve"> </w:t>
      </w:r>
      <w:r w:rsidR="00FA4970" w:rsidRPr="002A4D34">
        <w:rPr>
          <w:rFonts w:eastAsia="Calibri"/>
          <w:kern w:val="22"/>
          <w:szCs w:val="22"/>
          <w:u w:color="000000"/>
        </w:rPr>
        <w:t>Three</w:t>
      </w:r>
      <w:r w:rsidR="00DC2CD2" w:rsidRPr="00AF3C60">
        <w:rPr>
          <w:rFonts w:eastAsia="Calibri"/>
          <w:kern w:val="22"/>
          <w:szCs w:val="22"/>
          <w:u w:color="000000"/>
        </w:rPr>
        <w:t xml:space="preserve"> of these protocols have been made available to the ABS Clearing-House.</w:t>
      </w:r>
    </w:p>
    <w:p w14:paraId="2D053263" w14:textId="209B4535" w:rsidR="00D70588" w:rsidRPr="002A4D34" w:rsidRDefault="00C151FA"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It is unclear how many community protocols addressing ABS have been developed. Very few have been made available in the ABS Clearing-House, and countries did not provide many details in their interim national reports. As a consequence, available information may not be sufficient to establish a reference point.</w:t>
      </w:r>
    </w:p>
    <w:p w14:paraId="3B6ACB0B" w14:textId="0C909B95" w:rsidR="00DE0518" w:rsidRPr="00646D82" w:rsidRDefault="00C151FA" w:rsidP="00646D82">
      <w:pPr>
        <w:pStyle w:val="ListParagraph"/>
        <w:keepNext/>
        <w:numPr>
          <w:ilvl w:val="0"/>
          <w:numId w:val="19"/>
        </w:numPr>
        <w:suppressLineNumbers/>
        <w:tabs>
          <w:tab w:val="left" w:pos="360"/>
        </w:tabs>
        <w:suppressAutoHyphens/>
        <w:kinsoku w:val="0"/>
        <w:overflowPunct w:val="0"/>
        <w:autoSpaceDE w:val="0"/>
        <w:autoSpaceDN w:val="0"/>
        <w:spacing w:before="120" w:after="120"/>
        <w:jc w:val="center"/>
        <w:rPr>
          <w:rFonts w:eastAsia="Calibri"/>
          <w:i/>
          <w:noProof/>
          <w:snapToGrid w:val="0"/>
          <w:color w:val="000000"/>
          <w:kern w:val="22"/>
          <w:szCs w:val="22"/>
          <w:u w:color="000000"/>
        </w:rPr>
      </w:pPr>
      <w:r w:rsidRPr="00646D82">
        <w:rPr>
          <w:rFonts w:eastAsia="Calibri"/>
          <w:i/>
          <w:noProof/>
          <w:snapToGrid w:val="0"/>
          <w:color w:val="000000"/>
          <w:kern w:val="22"/>
          <w:szCs w:val="22"/>
          <w:u w:color="000000"/>
        </w:rPr>
        <w:t>F</w:t>
      </w:r>
      <w:r w:rsidR="00984C95" w:rsidRPr="00646D82">
        <w:rPr>
          <w:rFonts w:eastAsia="Calibri"/>
          <w:i/>
          <w:noProof/>
          <w:snapToGrid w:val="0"/>
          <w:color w:val="000000"/>
          <w:kern w:val="22"/>
          <w:szCs w:val="22"/>
          <w:u w:color="000000"/>
        </w:rPr>
        <w:t>indings and recommendations</w:t>
      </w:r>
    </w:p>
    <w:p w14:paraId="0A092929" w14:textId="3AE8A0F0" w:rsidR="00DE0518" w:rsidRPr="00646D82" w:rsidRDefault="00E032A3" w:rsidP="008A78C9">
      <w:pPr>
        <w:pStyle w:val="Para1"/>
        <w:numPr>
          <w:ilvl w:val="0"/>
          <w:numId w:val="12"/>
        </w:numPr>
        <w:suppressLineNumbers/>
        <w:suppressAutoHyphens/>
        <w:rPr>
          <w:rFonts w:eastAsia="Calibri"/>
          <w:kern w:val="22"/>
          <w:szCs w:val="22"/>
          <w:u w:color="000000"/>
        </w:rPr>
      </w:pPr>
      <w:r w:rsidRPr="00646D82">
        <w:rPr>
          <w:szCs w:val="22"/>
        </w:rPr>
        <w:t xml:space="preserve">A wide range of model contractual clauses, codes of conduct, guidelines, best practices and standards have been developed both by </w:t>
      </w:r>
      <w:r w:rsidR="00EB3ED7" w:rsidRPr="00646D82">
        <w:rPr>
          <w:szCs w:val="22"/>
        </w:rPr>
        <w:t>G</w:t>
      </w:r>
      <w:r w:rsidRPr="00646D82">
        <w:rPr>
          <w:szCs w:val="22"/>
        </w:rPr>
        <w:t>overnments and organizations</w:t>
      </w:r>
      <w:r w:rsidRPr="00646D82">
        <w:rPr>
          <w:rFonts w:eastAsia="Calibri"/>
          <w:kern w:val="22"/>
          <w:szCs w:val="22"/>
          <w:u w:color="000000"/>
        </w:rPr>
        <w:t>.</w:t>
      </w:r>
    </w:p>
    <w:p w14:paraId="1C7CB4AE" w14:textId="1B7E153B" w:rsidR="000801CF" w:rsidRPr="00646D82" w:rsidRDefault="00A13AF2"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 xml:space="preserve">Around half of the </w:t>
      </w:r>
      <w:r w:rsidR="001C5B84" w:rsidRPr="00646D82">
        <w:rPr>
          <w:rFonts w:eastAsia="Calibri"/>
          <w:kern w:val="22"/>
          <w:szCs w:val="22"/>
          <w:u w:color="000000"/>
        </w:rPr>
        <w:t>model contractual clauses</w:t>
      </w:r>
      <w:r w:rsidRPr="00646D82">
        <w:rPr>
          <w:rFonts w:eastAsia="Calibri"/>
          <w:kern w:val="22"/>
          <w:szCs w:val="22"/>
          <w:u w:color="000000"/>
        </w:rPr>
        <w:t xml:space="preserve"> and 20% of the Article 20 tools</w:t>
      </w:r>
      <w:r w:rsidR="001C5B84" w:rsidRPr="00646D82">
        <w:rPr>
          <w:rFonts w:eastAsia="Calibri"/>
          <w:kern w:val="22"/>
          <w:szCs w:val="22"/>
          <w:u w:color="000000"/>
        </w:rPr>
        <w:t xml:space="preserve"> have been developed by </w:t>
      </w:r>
      <w:r w:rsidR="009A387F" w:rsidRPr="00646D82">
        <w:rPr>
          <w:rFonts w:eastAsia="Calibri"/>
          <w:kern w:val="22"/>
          <w:szCs w:val="22"/>
          <w:u w:color="000000"/>
        </w:rPr>
        <w:t>G</w:t>
      </w:r>
      <w:r w:rsidR="001C5B84" w:rsidRPr="00646D82">
        <w:rPr>
          <w:rFonts w:eastAsia="Calibri"/>
          <w:kern w:val="22"/>
          <w:szCs w:val="22"/>
          <w:u w:color="000000"/>
        </w:rPr>
        <w:t>overnments and regional organi</w:t>
      </w:r>
      <w:r w:rsidR="00EB3ED7" w:rsidRPr="00646D82">
        <w:rPr>
          <w:rFonts w:eastAsia="Calibri"/>
          <w:kern w:val="22"/>
          <w:szCs w:val="22"/>
          <w:u w:color="000000"/>
        </w:rPr>
        <w:t>z</w:t>
      </w:r>
      <w:r w:rsidR="001C5B84" w:rsidRPr="00646D82">
        <w:rPr>
          <w:rFonts w:eastAsia="Calibri"/>
          <w:kern w:val="22"/>
          <w:szCs w:val="22"/>
          <w:u w:color="000000"/>
        </w:rPr>
        <w:t xml:space="preserve">ations to support implementation of national or regional ABS frameworks. </w:t>
      </w:r>
      <w:r w:rsidR="000801CF" w:rsidRPr="00646D82">
        <w:rPr>
          <w:rFonts w:eastAsia="Calibri"/>
          <w:kern w:val="22"/>
          <w:szCs w:val="22"/>
          <w:u w:color="000000"/>
        </w:rPr>
        <w:t xml:space="preserve">Tools developed to support the implementation of ABS national frameworks should be made available as part of the country profiles in the ABS Clearing-House. In this regard, work is underway to develop a separate common format to submit model contractual clauses developed by Parties as part of their framework as a national record in the ABS Clearing-House. </w:t>
      </w:r>
    </w:p>
    <w:p w14:paraId="772C462F" w14:textId="4953EB24" w:rsidR="00DE0518" w:rsidRPr="00646D82" w:rsidRDefault="00E032A3" w:rsidP="008A78C9">
      <w:pPr>
        <w:pStyle w:val="Para1"/>
        <w:numPr>
          <w:ilvl w:val="0"/>
          <w:numId w:val="12"/>
        </w:numPr>
        <w:suppressLineNumbers/>
        <w:suppressAutoHyphens/>
        <w:rPr>
          <w:rFonts w:eastAsia="Calibri"/>
          <w:kern w:val="22"/>
          <w:szCs w:val="22"/>
          <w:u w:color="000000"/>
        </w:rPr>
      </w:pPr>
      <w:r w:rsidRPr="00646D82">
        <w:rPr>
          <w:szCs w:val="22"/>
        </w:rPr>
        <w:t>User organi</w:t>
      </w:r>
      <w:r w:rsidR="00EB3ED7" w:rsidRPr="00646D82">
        <w:rPr>
          <w:szCs w:val="22"/>
        </w:rPr>
        <w:t>z</w:t>
      </w:r>
      <w:r w:rsidRPr="00646D82">
        <w:rPr>
          <w:szCs w:val="22"/>
        </w:rPr>
        <w:t>ations and networks play an important role in addressing the needs of their members by developing tools that can bring clarity on how ABS can be incorporated in their practice and assisting their member organi</w:t>
      </w:r>
      <w:r w:rsidR="002B45AA" w:rsidRPr="00646D82">
        <w:rPr>
          <w:szCs w:val="22"/>
        </w:rPr>
        <w:t>z</w:t>
      </w:r>
      <w:r w:rsidRPr="00646D82">
        <w:rPr>
          <w:szCs w:val="22"/>
        </w:rPr>
        <w:t xml:space="preserve">ations to comply with ABS requirements. </w:t>
      </w:r>
      <w:r w:rsidR="000801CF" w:rsidRPr="00646D82">
        <w:rPr>
          <w:rFonts w:eastAsia="Calibri"/>
          <w:kern w:val="22"/>
          <w:szCs w:val="22"/>
          <w:u w:color="000000"/>
        </w:rPr>
        <w:t>Many organi</w:t>
      </w:r>
      <w:r w:rsidR="00EB3ED7" w:rsidRPr="00646D82">
        <w:rPr>
          <w:rFonts w:eastAsia="Calibri"/>
          <w:kern w:val="22"/>
          <w:szCs w:val="22"/>
          <w:u w:color="000000"/>
        </w:rPr>
        <w:t>z</w:t>
      </w:r>
      <w:r w:rsidR="000801CF" w:rsidRPr="00646D82">
        <w:rPr>
          <w:rFonts w:eastAsia="Calibri"/>
          <w:kern w:val="22"/>
          <w:szCs w:val="22"/>
          <w:u w:color="000000"/>
        </w:rPr>
        <w:t>ations have developed material transfer agreements (MTA) incorporating ABS requirements to transfer and exchange genetic resources.</w:t>
      </w:r>
    </w:p>
    <w:p w14:paraId="788D6425" w14:textId="3370AAA8" w:rsidR="006133B9" w:rsidRPr="00646D82" w:rsidRDefault="00E032A3"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However, s</w:t>
      </w:r>
      <w:r w:rsidR="000954D2" w:rsidRPr="00646D82">
        <w:rPr>
          <w:rFonts w:eastAsia="Calibri"/>
          <w:kern w:val="22"/>
          <w:szCs w:val="22"/>
          <w:u w:color="000000"/>
        </w:rPr>
        <w:t>everal organi</w:t>
      </w:r>
      <w:r w:rsidR="00EB3ED7" w:rsidRPr="00646D82">
        <w:rPr>
          <w:rFonts w:eastAsia="Calibri"/>
          <w:kern w:val="22"/>
          <w:szCs w:val="22"/>
          <w:u w:color="000000"/>
        </w:rPr>
        <w:t>z</w:t>
      </w:r>
      <w:r w:rsidR="000954D2" w:rsidRPr="00646D82">
        <w:rPr>
          <w:rFonts w:eastAsia="Calibri"/>
          <w:kern w:val="22"/>
          <w:szCs w:val="22"/>
          <w:u w:color="000000"/>
        </w:rPr>
        <w:t>ations raised concern</w:t>
      </w:r>
      <w:r w:rsidR="00526668" w:rsidRPr="00646D82">
        <w:rPr>
          <w:rFonts w:eastAsia="Calibri"/>
          <w:kern w:val="22"/>
          <w:szCs w:val="22"/>
          <w:u w:color="000000"/>
        </w:rPr>
        <w:t>s that</w:t>
      </w:r>
      <w:r w:rsidR="000954D2" w:rsidRPr="00646D82">
        <w:rPr>
          <w:rFonts w:eastAsia="Calibri"/>
          <w:kern w:val="22"/>
          <w:szCs w:val="22"/>
          <w:u w:color="000000"/>
        </w:rPr>
        <w:t xml:space="preserve"> for users </w:t>
      </w:r>
      <w:r w:rsidR="00526668" w:rsidRPr="00646D82">
        <w:rPr>
          <w:rFonts w:eastAsia="Calibri"/>
          <w:kern w:val="22"/>
          <w:szCs w:val="22"/>
          <w:u w:color="000000"/>
        </w:rPr>
        <w:t xml:space="preserve">to </w:t>
      </w:r>
      <w:r w:rsidR="000954D2" w:rsidRPr="00646D82">
        <w:rPr>
          <w:rFonts w:eastAsia="Calibri"/>
          <w:kern w:val="22"/>
          <w:szCs w:val="22"/>
          <w:u w:color="000000"/>
        </w:rPr>
        <w:t xml:space="preserve">comply with ABS requirements they need clear information on the procedures to follow to obtain </w:t>
      </w:r>
      <w:r w:rsidR="00526668" w:rsidRPr="00646D82">
        <w:rPr>
          <w:rFonts w:eastAsia="Calibri"/>
          <w:kern w:val="22"/>
          <w:szCs w:val="22"/>
          <w:u w:color="000000"/>
        </w:rPr>
        <w:t xml:space="preserve">PIC and MAT at national level. </w:t>
      </w:r>
      <w:r w:rsidR="006133B9" w:rsidRPr="00646D82">
        <w:rPr>
          <w:rFonts w:eastAsia="Calibri"/>
          <w:kern w:val="22"/>
          <w:szCs w:val="22"/>
          <w:u w:color="000000"/>
        </w:rPr>
        <w:t>Providing such information through the common format under development for ABS procedures could help to address these concerns.</w:t>
      </w:r>
    </w:p>
    <w:p w14:paraId="6347CF02" w14:textId="044FBC10" w:rsidR="000801CF" w:rsidRPr="00646D82" w:rsidRDefault="000801CF"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Sharing Article 19 and 20 tools through the ABS Clearing-House help</w:t>
      </w:r>
      <w:r w:rsidR="00E3333C" w:rsidRPr="00646D82">
        <w:rPr>
          <w:rFonts w:eastAsia="Calibri"/>
          <w:kern w:val="22"/>
          <w:szCs w:val="22"/>
          <w:u w:color="000000"/>
        </w:rPr>
        <w:t>s</w:t>
      </w:r>
      <w:r w:rsidRPr="00646D82">
        <w:rPr>
          <w:rFonts w:eastAsia="Calibri"/>
          <w:kern w:val="22"/>
          <w:szCs w:val="22"/>
          <w:u w:color="000000"/>
        </w:rPr>
        <w:t xml:space="preserve"> other organi</w:t>
      </w:r>
      <w:r w:rsidR="00EB3ED7" w:rsidRPr="00646D82">
        <w:rPr>
          <w:rFonts w:eastAsia="Calibri"/>
          <w:kern w:val="22"/>
          <w:szCs w:val="22"/>
          <w:u w:color="000000"/>
        </w:rPr>
        <w:t>z</w:t>
      </w:r>
      <w:r w:rsidRPr="00646D82">
        <w:rPr>
          <w:rFonts w:eastAsia="Calibri"/>
          <w:kern w:val="22"/>
          <w:szCs w:val="22"/>
          <w:u w:color="000000"/>
        </w:rPr>
        <w:t>ations to develop similar documents adapted to their circumstances as well as providing guidance to users of genetic resources and associated traditional knowledge that may not be aware of those tools and that want to adopt best practices for their own work.</w:t>
      </w:r>
    </w:p>
    <w:p w14:paraId="151AEF0F" w14:textId="01EE5ACD" w:rsidR="00E3333C" w:rsidRPr="00646D82" w:rsidRDefault="00DE0518"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 xml:space="preserve">As noted by the Compliance Committee, implementing the provisions related to IPLCs is one of the main challenges identified by Parties. Community protocols on ABS can help to address some of the challenges identified in paragraph </w:t>
      </w:r>
      <w:r w:rsidR="008A78C9" w:rsidRPr="00646D82">
        <w:rPr>
          <w:rFonts w:eastAsia="Calibri"/>
          <w:kern w:val="22"/>
          <w:szCs w:val="22"/>
          <w:u w:color="000000"/>
        </w:rPr>
        <w:t>4</w:t>
      </w:r>
      <w:r w:rsidR="00541331" w:rsidRPr="00646D82">
        <w:rPr>
          <w:rFonts w:eastAsia="Calibri"/>
          <w:kern w:val="22"/>
          <w:szCs w:val="22"/>
          <w:u w:color="000000"/>
        </w:rPr>
        <w:t>6</w:t>
      </w:r>
      <w:r w:rsidRPr="00646D82">
        <w:rPr>
          <w:rFonts w:eastAsia="Calibri"/>
          <w:kern w:val="22"/>
          <w:szCs w:val="22"/>
          <w:u w:color="000000"/>
        </w:rPr>
        <w:t xml:space="preserve"> above. </w:t>
      </w:r>
    </w:p>
    <w:p w14:paraId="4D6E0291" w14:textId="107DCD4A" w:rsidR="00DE0518" w:rsidRPr="00646D82" w:rsidRDefault="00E3333C"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Community protocols</w:t>
      </w:r>
      <w:r w:rsidR="00DE69EA" w:rsidRPr="00646D82">
        <w:rPr>
          <w:rFonts w:eastAsia="Calibri"/>
          <w:kern w:val="22"/>
          <w:szCs w:val="22"/>
          <w:u w:color="000000"/>
        </w:rPr>
        <w:t xml:space="preserve"> </w:t>
      </w:r>
      <w:r w:rsidR="00DE0518" w:rsidRPr="00646D82">
        <w:rPr>
          <w:rFonts w:eastAsia="Calibri"/>
          <w:kern w:val="22"/>
          <w:szCs w:val="22"/>
          <w:u w:color="000000"/>
        </w:rPr>
        <w:t xml:space="preserve">can help the IPLCs that develop them to articulate their values, practices and aspirations. They can also help </w:t>
      </w:r>
      <w:r w:rsidR="00EB3ED7" w:rsidRPr="00646D82">
        <w:rPr>
          <w:rFonts w:eastAsia="Calibri"/>
          <w:kern w:val="22"/>
          <w:szCs w:val="22"/>
          <w:u w:color="000000"/>
        </w:rPr>
        <w:t>G</w:t>
      </w:r>
      <w:r w:rsidR="00DE0518" w:rsidRPr="00646D82">
        <w:rPr>
          <w:rFonts w:eastAsia="Calibri"/>
          <w:kern w:val="22"/>
          <w:szCs w:val="22"/>
          <w:u w:color="000000"/>
        </w:rPr>
        <w:t>overnments to implement the IPLCs related provisions of the Protocol, and they provide clarity and certainty to users on how to have access to genetic resources and/or associated traditional knowledge held by IPLCs.</w:t>
      </w:r>
    </w:p>
    <w:p w14:paraId="10655EB4" w14:textId="77777777" w:rsidR="00AE4DA0" w:rsidRPr="00646D82" w:rsidRDefault="00DE0518"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 xml:space="preserve">Community protocols are being developed and used in a variety of contexts, including but not limited to ABS. Some deal with </w:t>
      </w:r>
      <w:proofErr w:type="spellStart"/>
      <w:r w:rsidRPr="00646D82">
        <w:rPr>
          <w:rFonts w:eastAsia="Calibri"/>
          <w:kern w:val="22"/>
          <w:szCs w:val="22"/>
          <w:u w:color="000000"/>
        </w:rPr>
        <w:t>biotrade</w:t>
      </w:r>
      <w:proofErr w:type="spellEnd"/>
      <w:r w:rsidRPr="00646D82">
        <w:rPr>
          <w:rFonts w:eastAsia="Calibri"/>
          <w:kern w:val="22"/>
          <w:szCs w:val="22"/>
          <w:u w:color="000000"/>
        </w:rPr>
        <w:t xml:space="preserve"> or land issues and include some ABS elements as part of a b</w:t>
      </w:r>
      <w:r w:rsidR="00362637" w:rsidRPr="00646D82">
        <w:rPr>
          <w:rFonts w:eastAsia="Calibri"/>
          <w:kern w:val="22"/>
          <w:szCs w:val="22"/>
          <w:u w:color="000000"/>
        </w:rPr>
        <w:t>roader</w:t>
      </w:r>
      <w:r w:rsidRPr="00646D82">
        <w:rPr>
          <w:rFonts w:eastAsia="Calibri"/>
          <w:kern w:val="22"/>
          <w:szCs w:val="22"/>
          <w:u w:color="000000"/>
        </w:rPr>
        <w:t xml:space="preserve"> context. </w:t>
      </w:r>
      <w:r w:rsidR="00AE4DA0" w:rsidRPr="00646D82">
        <w:rPr>
          <w:rFonts w:eastAsia="Calibri"/>
          <w:kern w:val="22"/>
          <w:szCs w:val="22"/>
          <w:u w:color="000000"/>
        </w:rPr>
        <w:t xml:space="preserve">Incorporating ABS elements in existing community protocols dealing with resource or land management or </w:t>
      </w:r>
      <w:proofErr w:type="spellStart"/>
      <w:r w:rsidR="00AE4DA0" w:rsidRPr="00646D82">
        <w:rPr>
          <w:rFonts w:eastAsia="Calibri"/>
          <w:kern w:val="22"/>
          <w:szCs w:val="22"/>
          <w:u w:color="000000"/>
        </w:rPr>
        <w:t>biotrade</w:t>
      </w:r>
      <w:proofErr w:type="spellEnd"/>
      <w:r w:rsidR="00AE4DA0" w:rsidRPr="00646D82">
        <w:rPr>
          <w:rFonts w:eastAsia="Calibri"/>
          <w:kern w:val="22"/>
          <w:szCs w:val="22"/>
          <w:u w:color="000000"/>
        </w:rPr>
        <w:t xml:space="preserve"> may facilitate the process.</w:t>
      </w:r>
    </w:p>
    <w:p w14:paraId="1BEED3B1" w14:textId="453940A9" w:rsidR="00DE0518" w:rsidRPr="00646D82" w:rsidRDefault="00DE0518"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Supporting IPLCs to develop community protocols is essential, as well as doing so in way that ensures that the outcomes represent community values, practices and aspirations.</w:t>
      </w:r>
    </w:p>
    <w:p w14:paraId="7CAE8FF9" w14:textId="407276C0" w:rsidR="00647F03" w:rsidRPr="00646D82" w:rsidRDefault="00E55E4B" w:rsidP="00646D82">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 xml:space="preserve">Sharing information on the community protocols developed through the ABS Clearing-House helps potential users to understand how to access traditional knowledge associated with genetic resources within a community. It can also help other IPLCs to develop their own community protocol. </w:t>
      </w:r>
      <w:r w:rsidR="00373E86" w:rsidRPr="00646D82">
        <w:rPr>
          <w:rFonts w:eastAsia="Calibri"/>
          <w:kern w:val="22"/>
          <w:szCs w:val="22"/>
          <w:u w:color="000000"/>
        </w:rPr>
        <w:t>Sharing e</w:t>
      </w:r>
      <w:r w:rsidR="00750811" w:rsidRPr="00646D82">
        <w:rPr>
          <w:rFonts w:eastAsia="Calibri"/>
          <w:kern w:val="22"/>
          <w:szCs w:val="22"/>
          <w:u w:color="000000"/>
        </w:rPr>
        <w:t>xisting experiences and lessons learned from the development and implementation of community protocols and procedures could be useful for those working on the development of protocols or that are planning to do so.</w:t>
      </w:r>
      <w:r w:rsidR="00750811" w:rsidRPr="00646D82">
        <w:rPr>
          <w:rStyle w:val="FootnoteReference"/>
          <w:rFonts w:eastAsia="Calibri"/>
          <w:kern w:val="22"/>
          <w:sz w:val="22"/>
          <w:szCs w:val="22"/>
          <w:u w:color="000000"/>
        </w:rPr>
        <w:footnoteReference w:id="38"/>
      </w:r>
    </w:p>
    <w:p w14:paraId="4FD63C2A" w14:textId="77777777" w:rsidR="00EC525B" w:rsidRPr="00646D82" w:rsidRDefault="00EC525B" w:rsidP="00646D82">
      <w:pPr>
        <w:pStyle w:val="ListParagraph"/>
        <w:keepNext/>
        <w:numPr>
          <w:ilvl w:val="0"/>
          <w:numId w:val="9"/>
        </w:numPr>
        <w:pBdr>
          <w:top w:val="nil"/>
          <w:left w:val="nil"/>
          <w:bottom w:val="nil"/>
          <w:right w:val="nil"/>
          <w:between w:val="nil"/>
          <w:bar w:val="nil"/>
        </w:pBdr>
        <w:tabs>
          <w:tab w:val="left" w:pos="720"/>
        </w:tabs>
        <w:spacing w:before="120" w:after="120"/>
        <w:jc w:val="left"/>
        <w:outlineLvl w:val="1"/>
        <w:rPr>
          <w:b/>
          <w:kern w:val="22"/>
          <w:szCs w:val="22"/>
        </w:rPr>
      </w:pPr>
      <w:r w:rsidRPr="00646D82">
        <w:rPr>
          <w:b/>
          <w:kern w:val="22"/>
          <w:szCs w:val="22"/>
        </w:rPr>
        <w:t>Review of implementation and operation of the Access and Benefit-sharing Clearing-House, including number of access and benefit-sharing measures made available; number of countries that have published information on their competent national authorities; number of internationally recognized certificates of compliance that have been constituted and number of checkpoint communiqués published</w:t>
      </w:r>
    </w:p>
    <w:p w14:paraId="68CF0912" w14:textId="0242780C" w:rsidR="00977585" w:rsidRPr="00646D82" w:rsidRDefault="00977585" w:rsidP="008A78C9">
      <w:pPr>
        <w:pStyle w:val="Para1"/>
        <w:numPr>
          <w:ilvl w:val="0"/>
          <w:numId w:val="12"/>
        </w:numPr>
        <w:suppressLineNumbers/>
        <w:suppressAutoHyphens/>
        <w:rPr>
          <w:rFonts w:eastAsia="Calibri"/>
          <w:kern w:val="22"/>
          <w:szCs w:val="22"/>
          <w:u w:color="000000"/>
        </w:rPr>
      </w:pPr>
      <w:r w:rsidRPr="00646D82">
        <w:rPr>
          <w:rFonts w:eastAsia="Calibri"/>
          <w:kern w:val="22"/>
          <w:szCs w:val="22"/>
          <w:u w:color="000000"/>
        </w:rPr>
        <w:t>At its second meeting, the Conference of the Parties serving as the meeting of the Parties decided</w:t>
      </w:r>
      <w:r w:rsidRPr="00646D82">
        <w:rPr>
          <w:rFonts w:eastAsia="Calibri"/>
          <w:kern w:val="22"/>
          <w:szCs w:val="22"/>
          <w:u w:color="000000"/>
        </w:rPr>
        <w:tab/>
        <w:t xml:space="preserve"> to review the implementation and operation of the ABS Clearing-House as part of the assessment and review process to evaluate the effectiveness of the Protocol established by Article 31 of the Protocol (NP-2/2, p</w:t>
      </w:r>
      <w:r w:rsidR="004D1933" w:rsidRPr="00646D82">
        <w:rPr>
          <w:rFonts w:eastAsia="Calibri"/>
          <w:kern w:val="22"/>
          <w:szCs w:val="22"/>
          <w:u w:color="000000"/>
        </w:rPr>
        <w:t>ara</w:t>
      </w:r>
      <w:r w:rsidR="00EB3ED7" w:rsidRPr="00646D82">
        <w:rPr>
          <w:rFonts w:eastAsia="Calibri"/>
          <w:kern w:val="22"/>
          <w:szCs w:val="22"/>
          <w:u w:color="000000"/>
        </w:rPr>
        <w:t>.</w:t>
      </w:r>
      <w:r w:rsidR="004D1933" w:rsidRPr="00646D82">
        <w:rPr>
          <w:rFonts w:eastAsia="Calibri"/>
          <w:kern w:val="22"/>
          <w:szCs w:val="22"/>
          <w:u w:color="000000"/>
        </w:rPr>
        <w:t xml:space="preserve"> 9</w:t>
      </w:r>
      <w:r w:rsidR="0069606B" w:rsidRPr="00646D82">
        <w:rPr>
          <w:rFonts w:eastAsia="Calibri"/>
          <w:kern w:val="22"/>
          <w:szCs w:val="22"/>
          <w:u w:color="000000"/>
        </w:rPr>
        <w:t>)</w:t>
      </w:r>
      <w:r w:rsidR="004D1933" w:rsidRPr="00646D82">
        <w:rPr>
          <w:rFonts w:eastAsia="Calibri"/>
          <w:kern w:val="22"/>
          <w:szCs w:val="22"/>
          <w:u w:color="000000"/>
        </w:rPr>
        <w:t>.</w:t>
      </w:r>
      <w:r w:rsidRPr="00646D82">
        <w:rPr>
          <w:rFonts w:eastAsia="Calibri"/>
          <w:kern w:val="22"/>
          <w:szCs w:val="22"/>
          <w:u w:color="000000"/>
        </w:rPr>
        <w:t xml:space="preserve"> </w:t>
      </w:r>
    </w:p>
    <w:p w14:paraId="1192B9FA" w14:textId="77777777" w:rsidR="000873DC" w:rsidRPr="00646D82" w:rsidRDefault="006A77BF" w:rsidP="008A78C9">
      <w:pPr>
        <w:pStyle w:val="Para1"/>
        <w:numPr>
          <w:ilvl w:val="0"/>
          <w:numId w:val="12"/>
        </w:numPr>
        <w:suppressLineNumbers/>
        <w:suppressAutoHyphens/>
        <w:rPr>
          <w:rFonts w:eastAsia="Calibri"/>
          <w:szCs w:val="22"/>
        </w:rPr>
      </w:pPr>
      <w:r w:rsidRPr="00646D82">
        <w:rPr>
          <w:rFonts w:eastAsia="Calibri"/>
          <w:kern w:val="22"/>
          <w:szCs w:val="22"/>
          <w:u w:color="000000"/>
        </w:rPr>
        <w:t>Information on</w:t>
      </w:r>
      <w:r w:rsidR="00DC4FC0" w:rsidRPr="00646D82">
        <w:rPr>
          <w:rFonts w:eastAsia="Calibri"/>
          <w:kern w:val="22"/>
          <w:szCs w:val="22"/>
          <w:u w:color="000000"/>
        </w:rPr>
        <w:t xml:space="preserve"> the implementation</w:t>
      </w:r>
      <w:r w:rsidRPr="00646D82">
        <w:rPr>
          <w:rFonts w:eastAsia="Calibri"/>
          <w:kern w:val="22"/>
          <w:szCs w:val="22"/>
          <w:u w:color="000000"/>
        </w:rPr>
        <w:t xml:space="preserve"> by Parties </w:t>
      </w:r>
      <w:r w:rsidR="00DC4FC0" w:rsidRPr="00646D82">
        <w:rPr>
          <w:rFonts w:eastAsia="Calibri"/>
          <w:kern w:val="22"/>
          <w:szCs w:val="22"/>
          <w:u w:color="000000"/>
        </w:rPr>
        <w:t xml:space="preserve">of their obligation </w:t>
      </w:r>
      <w:r w:rsidRPr="00646D82">
        <w:rPr>
          <w:rFonts w:eastAsia="Calibri"/>
          <w:kern w:val="22"/>
          <w:szCs w:val="22"/>
          <w:u w:color="000000"/>
        </w:rPr>
        <w:t>to make information available to the ABS Clearing-House is considered under element (a) above.</w:t>
      </w:r>
      <w:r w:rsidR="004D1933" w:rsidRPr="00646D82">
        <w:rPr>
          <w:rFonts w:eastAsia="Calibri"/>
          <w:kern w:val="22"/>
          <w:szCs w:val="22"/>
          <w:u w:color="000000"/>
        </w:rPr>
        <w:t xml:space="preserve"> </w:t>
      </w:r>
      <w:r w:rsidR="001354A8" w:rsidRPr="00646D82">
        <w:rPr>
          <w:rFonts w:eastAsia="Calibri"/>
          <w:kern w:val="22"/>
          <w:szCs w:val="22"/>
          <w:u w:color="000000"/>
        </w:rPr>
        <w:t>The following provides a summary of key</w:t>
      </w:r>
      <w:r w:rsidR="00883A7C" w:rsidRPr="00646D82">
        <w:rPr>
          <w:rFonts w:eastAsia="Calibri"/>
          <w:kern w:val="22"/>
          <w:szCs w:val="22"/>
          <w:u w:color="000000"/>
        </w:rPr>
        <w:t xml:space="preserve"> findings and recommendations</w:t>
      </w:r>
      <w:r w:rsidRPr="00646D82">
        <w:rPr>
          <w:rFonts w:eastAsia="Calibri"/>
          <w:kern w:val="22"/>
          <w:szCs w:val="22"/>
          <w:u w:color="000000"/>
        </w:rPr>
        <w:t xml:space="preserve"> in relation to assessing </w:t>
      </w:r>
      <w:r w:rsidR="004D1933" w:rsidRPr="00646D82">
        <w:rPr>
          <w:rFonts w:eastAsia="Calibri"/>
          <w:kern w:val="22"/>
          <w:szCs w:val="22"/>
          <w:u w:color="000000"/>
        </w:rPr>
        <w:t xml:space="preserve">the extent to which </w:t>
      </w:r>
      <w:r w:rsidRPr="00646D82">
        <w:rPr>
          <w:rFonts w:eastAsia="Calibri"/>
          <w:kern w:val="22"/>
          <w:szCs w:val="22"/>
          <w:u w:color="000000"/>
        </w:rPr>
        <w:t xml:space="preserve">the implementation and operation of the ABS Clearing-House meet the needs of </w:t>
      </w:r>
      <w:r w:rsidR="00DC4FC0" w:rsidRPr="00646D82">
        <w:rPr>
          <w:rFonts w:eastAsia="Calibri"/>
          <w:kern w:val="22"/>
          <w:szCs w:val="22"/>
          <w:u w:color="000000"/>
        </w:rPr>
        <w:t xml:space="preserve">Parties, non-Parties, indigenous peoples and local communities and relevant stakeholders </w:t>
      </w:r>
      <w:r w:rsidRPr="00646D82">
        <w:rPr>
          <w:rFonts w:eastAsia="Calibri"/>
          <w:kern w:val="22"/>
          <w:szCs w:val="22"/>
          <w:u w:color="000000"/>
        </w:rPr>
        <w:t>in its role to support the implementation of the Protocol.</w:t>
      </w:r>
      <w:r w:rsidR="004D1933" w:rsidRPr="00646D82">
        <w:rPr>
          <w:rFonts w:eastAsia="Calibri"/>
          <w:kern w:val="22"/>
          <w:szCs w:val="22"/>
          <w:u w:color="000000"/>
        </w:rPr>
        <w:t xml:space="preserve"> It is for that reason that </w:t>
      </w:r>
      <w:r w:rsidR="00193075" w:rsidRPr="00646D82">
        <w:rPr>
          <w:rFonts w:eastAsia="Calibri"/>
          <w:kern w:val="22"/>
          <w:szCs w:val="22"/>
          <w:u w:color="000000"/>
        </w:rPr>
        <w:t>information on non-Parties is also provided</w:t>
      </w:r>
      <w:r w:rsidR="004D1933" w:rsidRPr="00646D82">
        <w:rPr>
          <w:rFonts w:eastAsia="Calibri"/>
          <w:kern w:val="22"/>
          <w:szCs w:val="22"/>
          <w:u w:color="000000"/>
        </w:rPr>
        <w:t xml:space="preserve"> for this element</w:t>
      </w:r>
      <w:r w:rsidR="00193075" w:rsidRPr="00646D82">
        <w:rPr>
          <w:rFonts w:eastAsia="Calibri"/>
          <w:kern w:val="22"/>
          <w:szCs w:val="22"/>
          <w:u w:color="000000"/>
        </w:rPr>
        <w:t>.</w:t>
      </w:r>
    </w:p>
    <w:p w14:paraId="44F56930" w14:textId="6EA19525" w:rsidR="007E6A2C" w:rsidRPr="00646D82" w:rsidRDefault="00150D47" w:rsidP="00966F98">
      <w:pPr>
        <w:pStyle w:val="Para1"/>
        <w:numPr>
          <w:ilvl w:val="6"/>
          <w:numId w:val="20"/>
        </w:numPr>
        <w:suppressLineNumbers/>
        <w:suppressAutoHyphens/>
        <w:rPr>
          <w:rFonts w:eastAsia="Calibri"/>
          <w:i/>
          <w:szCs w:val="22"/>
        </w:rPr>
      </w:pPr>
      <w:r w:rsidRPr="00646D82">
        <w:rPr>
          <w:rFonts w:eastAsia="Calibri"/>
          <w:i/>
          <w:kern w:val="22"/>
          <w:szCs w:val="22"/>
          <w:u w:color="000000"/>
        </w:rPr>
        <w:t xml:space="preserve">Summary of the </w:t>
      </w:r>
      <w:r w:rsidR="00A62394" w:rsidRPr="00646D82">
        <w:rPr>
          <w:rFonts w:eastAsia="Calibri"/>
          <w:i/>
          <w:kern w:val="22"/>
          <w:szCs w:val="22"/>
          <w:u w:color="000000"/>
        </w:rPr>
        <w:t xml:space="preserve">analysis </w:t>
      </w:r>
      <w:r w:rsidR="00C151FA" w:rsidRPr="00646D82">
        <w:rPr>
          <w:rFonts w:eastAsia="Calibri"/>
          <w:i/>
          <w:kern w:val="22"/>
          <w:szCs w:val="22"/>
          <w:u w:color="000000"/>
        </w:rPr>
        <w:t>and reference points</w:t>
      </w:r>
      <w:r w:rsidR="00C151FA" w:rsidRPr="00646D82">
        <w:rPr>
          <w:rStyle w:val="FootnoteReference"/>
          <w:rFonts w:eastAsia="Calibri"/>
          <w:i/>
          <w:kern w:val="22"/>
          <w:sz w:val="22"/>
          <w:szCs w:val="22"/>
          <w:u w:color="000000"/>
        </w:rPr>
        <w:footnoteReference w:id="39"/>
      </w:r>
    </w:p>
    <w:p w14:paraId="15D12737" w14:textId="12069070" w:rsidR="0052183C" w:rsidRPr="00646D82" w:rsidRDefault="0052183C" w:rsidP="008A78C9">
      <w:pPr>
        <w:pStyle w:val="ListParagraph"/>
        <w:numPr>
          <w:ilvl w:val="0"/>
          <w:numId w:val="12"/>
        </w:numPr>
        <w:rPr>
          <w:snapToGrid w:val="0"/>
          <w:kern w:val="22"/>
          <w:szCs w:val="22"/>
          <w:u w:color="000000"/>
        </w:rPr>
      </w:pPr>
      <w:r w:rsidRPr="00646D82">
        <w:rPr>
          <w:i/>
          <w:kern w:val="22"/>
          <w:szCs w:val="22"/>
          <w:u w:color="000000"/>
        </w:rPr>
        <w:t>Ease of use and functionality</w:t>
      </w:r>
      <w:r w:rsidRPr="00646D82">
        <w:rPr>
          <w:kern w:val="22"/>
          <w:szCs w:val="22"/>
          <w:u w:color="000000"/>
        </w:rPr>
        <w:t xml:space="preserve">: 53% of respondents of the targeted survey strongly agree or agree that the ABS Clearing-House is user friendly and easy to use. Less than 15% of users reported they did not find the ABS Clearing-House user-friendly or easy to use. </w:t>
      </w:r>
      <w:r w:rsidRPr="00646D82">
        <w:rPr>
          <w:snapToGrid w:val="0"/>
          <w:kern w:val="22"/>
          <w:szCs w:val="22"/>
          <w:u w:color="000000"/>
        </w:rPr>
        <w:t xml:space="preserve">However, the most common reasons for this dissatisfaction were not related to the design of the website but because the information the user was looking for was not available (e.g. clear access procedures) or other issues related to slow loading times. </w:t>
      </w:r>
      <w:r w:rsidR="00892AC0" w:rsidRPr="00646D82">
        <w:rPr>
          <w:snapToGrid w:val="0"/>
          <w:kern w:val="22"/>
          <w:szCs w:val="22"/>
          <w:u w:color="000000"/>
        </w:rPr>
        <w:t xml:space="preserve">Even though </w:t>
      </w:r>
      <w:r w:rsidR="00892AC0" w:rsidRPr="00646D82">
        <w:rPr>
          <w:kern w:val="22"/>
          <w:szCs w:val="22"/>
          <w:u w:color="000000"/>
        </w:rPr>
        <w:t>t</w:t>
      </w:r>
      <w:r w:rsidRPr="00646D82">
        <w:rPr>
          <w:kern w:val="22"/>
          <w:szCs w:val="22"/>
          <w:u w:color="000000"/>
        </w:rPr>
        <w:t>he average loading speed has been decreasing, there are still a number of countries suffering from below average website loading speeds</w:t>
      </w:r>
      <w:r w:rsidR="00892AC0" w:rsidRPr="00646D82">
        <w:rPr>
          <w:kern w:val="22"/>
          <w:szCs w:val="22"/>
          <w:u w:color="000000"/>
        </w:rPr>
        <w:t>.</w:t>
      </w:r>
    </w:p>
    <w:p w14:paraId="3068D2DA" w14:textId="7878CF0A" w:rsidR="00DE69EA" w:rsidRPr="00646D82" w:rsidRDefault="00DE3898" w:rsidP="00365C57">
      <w:pPr>
        <w:pStyle w:val="Para1"/>
        <w:numPr>
          <w:ilvl w:val="0"/>
          <w:numId w:val="12"/>
        </w:numPr>
        <w:suppressLineNumbers/>
        <w:suppressAutoHyphens/>
        <w:rPr>
          <w:szCs w:val="22"/>
        </w:rPr>
      </w:pPr>
      <w:r w:rsidRPr="00646D82">
        <w:rPr>
          <w:i/>
          <w:kern w:val="22"/>
          <w:szCs w:val="22"/>
          <w:u w:color="000000"/>
        </w:rPr>
        <w:t>Visitors</w:t>
      </w:r>
      <w:r w:rsidRPr="00646D82">
        <w:rPr>
          <w:i/>
          <w:szCs w:val="22"/>
        </w:rPr>
        <w:t>:</w:t>
      </w:r>
      <w:r w:rsidRPr="00646D82">
        <w:rPr>
          <w:szCs w:val="22"/>
        </w:rPr>
        <w:t xml:space="preserve"> </w:t>
      </w:r>
      <w:r w:rsidR="00DE69EA" w:rsidRPr="00646D82">
        <w:rPr>
          <w:szCs w:val="22"/>
        </w:rPr>
        <w:t>The number of visitors last year was of 18,709 visitors</w:t>
      </w:r>
      <w:r w:rsidR="00365C57" w:rsidRPr="00646D82">
        <w:rPr>
          <w:szCs w:val="22"/>
        </w:rPr>
        <w:t>.</w:t>
      </w:r>
      <w:r w:rsidR="00DE69EA" w:rsidRPr="00646D82">
        <w:rPr>
          <w:rStyle w:val="FootnoteReference"/>
          <w:sz w:val="22"/>
          <w:szCs w:val="22"/>
        </w:rPr>
        <w:footnoteReference w:id="40"/>
      </w:r>
      <w:r w:rsidR="0052183C" w:rsidRPr="00646D82">
        <w:rPr>
          <w:szCs w:val="22"/>
        </w:rPr>
        <w:t xml:space="preserve"> This represents an increase</w:t>
      </w:r>
      <w:r w:rsidR="00DE69EA" w:rsidRPr="00646D82">
        <w:rPr>
          <w:szCs w:val="22"/>
        </w:rPr>
        <w:t xml:space="preserve"> </w:t>
      </w:r>
      <w:r w:rsidR="0052183C" w:rsidRPr="00646D82">
        <w:rPr>
          <w:szCs w:val="22"/>
        </w:rPr>
        <w:t xml:space="preserve">of </w:t>
      </w:r>
      <w:r w:rsidR="00DE69EA" w:rsidRPr="00646D82">
        <w:rPr>
          <w:szCs w:val="22"/>
        </w:rPr>
        <w:t>83% since entry into force</w:t>
      </w:r>
      <w:r w:rsidR="00E3333C" w:rsidRPr="00646D82">
        <w:rPr>
          <w:szCs w:val="22"/>
        </w:rPr>
        <w:t xml:space="preserve"> of the Protocol</w:t>
      </w:r>
      <w:r w:rsidR="00DE69EA" w:rsidRPr="00646D82">
        <w:rPr>
          <w:szCs w:val="22"/>
        </w:rPr>
        <w:t>. Geographically, the top 10 countries, representing 62% of all visitors in the last year, are as foll</w:t>
      </w:r>
      <w:r w:rsidR="0052183C" w:rsidRPr="00646D82">
        <w:rPr>
          <w:szCs w:val="22"/>
        </w:rPr>
        <w:t>ows: Japan, Germany, France, United States of America</w:t>
      </w:r>
      <w:r w:rsidR="00DE69EA" w:rsidRPr="00646D82">
        <w:rPr>
          <w:szCs w:val="22"/>
        </w:rPr>
        <w:t>, U</w:t>
      </w:r>
      <w:r w:rsidR="0052183C" w:rsidRPr="00646D82">
        <w:rPr>
          <w:szCs w:val="22"/>
        </w:rPr>
        <w:t xml:space="preserve">nited Kingdom </w:t>
      </w:r>
      <w:r w:rsidR="00365C57" w:rsidRPr="00646D82">
        <w:rPr>
          <w:szCs w:val="22"/>
        </w:rPr>
        <w:t xml:space="preserve">of Great Britain </w:t>
      </w:r>
      <w:r w:rsidR="0052183C" w:rsidRPr="00646D82">
        <w:rPr>
          <w:szCs w:val="22"/>
        </w:rPr>
        <w:t xml:space="preserve">and Northern Ireland, </w:t>
      </w:r>
      <w:r w:rsidR="00365C57" w:rsidRPr="00646D82">
        <w:rPr>
          <w:szCs w:val="22"/>
        </w:rPr>
        <w:t xml:space="preserve">Republic of </w:t>
      </w:r>
      <w:r w:rsidR="00DE69EA" w:rsidRPr="00646D82">
        <w:rPr>
          <w:szCs w:val="22"/>
        </w:rPr>
        <w:t xml:space="preserve">Korea, Belgium, Canada, India, </w:t>
      </w:r>
      <w:r w:rsidR="0052183C" w:rsidRPr="00646D82">
        <w:rPr>
          <w:szCs w:val="22"/>
        </w:rPr>
        <w:t>and Switzerland</w:t>
      </w:r>
      <w:r w:rsidR="00DE69EA" w:rsidRPr="00646D82">
        <w:rPr>
          <w:szCs w:val="22"/>
        </w:rPr>
        <w:t xml:space="preserve">. By continent, most visitors originated from Europe (45%) followed by Asia (25%), </w:t>
      </w:r>
      <w:r w:rsidR="00365C57" w:rsidRPr="00646D82">
        <w:rPr>
          <w:szCs w:val="22"/>
        </w:rPr>
        <w:t xml:space="preserve">the </w:t>
      </w:r>
      <w:r w:rsidR="00DE69EA" w:rsidRPr="00646D82">
        <w:rPr>
          <w:szCs w:val="22"/>
        </w:rPr>
        <w:t>Americas (23%), Africa (5%) and Oceania (2%).</w:t>
      </w:r>
    </w:p>
    <w:p w14:paraId="406DBC74" w14:textId="4DABA31A" w:rsidR="00DE3898" w:rsidRPr="00646D82" w:rsidRDefault="00DE3898" w:rsidP="008A78C9">
      <w:pPr>
        <w:pStyle w:val="Para1"/>
        <w:numPr>
          <w:ilvl w:val="0"/>
          <w:numId w:val="12"/>
        </w:numPr>
        <w:suppressLineNumbers/>
        <w:suppressAutoHyphens/>
        <w:rPr>
          <w:szCs w:val="22"/>
        </w:rPr>
      </w:pPr>
      <w:r w:rsidRPr="00646D82">
        <w:rPr>
          <w:szCs w:val="22"/>
        </w:rPr>
        <w:t xml:space="preserve">The live chat, the targeted survey and google analytics indicate </w:t>
      </w:r>
      <w:r w:rsidR="00ED22B7" w:rsidRPr="00646D82">
        <w:rPr>
          <w:szCs w:val="22"/>
        </w:rPr>
        <w:t xml:space="preserve">that </w:t>
      </w:r>
      <w:r w:rsidRPr="00646D82">
        <w:rPr>
          <w:szCs w:val="22"/>
        </w:rPr>
        <w:t>at least 50% of u</w:t>
      </w:r>
      <w:r w:rsidR="00ED22B7" w:rsidRPr="00646D82">
        <w:rPr>
          <w:szCs w:val="22"/>
        </w:rPr>
        <w:t>sers of the ABS Clearing-House</w:t>
      </w:r>
      <w:r w:rsidRPr="00646D82">
        <w:rPr>
          <w:szCs w:val="22"/>
        </w:rPr>
        <w:t xml:space="preserve"> are users of genetic resources or </w:t>
      </w:r>
      <w:r w:rsidR="0052183C" w:rsidRPr="00646D82">
        <w:rPr>
          <w:szCs w:val="22"/>
        </w:rPr>
        <w:t xml:space="preserve">associated </w:t>
      </w:r>
      <w:r w:rsidRPr="00646D82">
        <w:rPr>
          <w:szCs w:val="22"/>
        </w:rPr>
        <w:t xml:space="preserve">traditional knowledge. However, to date most development and user testing of the website has prioritized </w:t>
      </w:r>
      <w:r w:rsidR="0052183C" w:rsidRPr="00646D82">
        <w:rPr>
          <w:szCs w:val="22"/>
        </w:rPr>
        <w:t xml:space="preserve">government </w:t>
      </w:r>
      <w:r w:rsidRPr="00646D82">
        <w:rPr>
          <w:szCs w:val="22"/>
        </w:rPr>
        <w:t>users.</w:t>
      </w:r>
    </w:p>
    <w:p w14:paraId="4CE37E04" w14:textId="3A95F7BB" w:rsidR="0053592C" w:rsidRPr="00646D82" w:rsidRDefault="00DE3898" w:rsidP="008A78C9">
      <w:pPr>
        <w:pStyle w:val="Para1"/>
        <w:numPr>
          <w:ilvl w:val="0"/>
          <w:numId w:val="12"/>
        </w:numPr>
        <w:suppressLineNumbers/>
        <w:suppressAutoHyphens/>
        <w:rPr>
          <w:szCs w:val="22"/>
        </w:rPr>
      </w:pPr>
      <w:r w:rsidRPr="00646D82">
        <w:rPr>
          <w:i/>
          <w:kern w:val="22"/>
          <w:szCs w:val="22"/>
          <w:u w:color="000000"/>
        </w:rPr>
        <w:t xml:space="preserve">Languages: </w:t>
      </w:r>
      <w:r w:rsidR="001D5C0D" w:rsidRPr="00646D82">
        <w:rPr>
          <w:szCs w:val="22"/>
        </w:rPr>
        <w:t xml:space="preserve">40% of respondents to the </w:t>
      </w:r>
      <w:r w:rsidR="0052183C" w:rsidRPr="00646D82">
        <w:rPr>
          <w:szCs w:val="22"/>
        </w:rPr>
        <w:t xml:space="preserve">targeted </w:t>
      </w:r>
      <w:r w:rsidR="001D5C0D" w:rsidRPr="00646D82">
        <w:rPr>
          <w:szCs w:val="22"/>
        </w:rPr>
        <w:t xml:space="preserve">survey answered that translation of the ABS Clearing-House is preventing them from publishing information. </w:t>
      </w:r>
      <w:r w:rsidRPr="00646D82">
        <w:rPr>
          <w:szCs w:val="22"/>
        </w:rPr>
        <w:t xml:space="preserve">Translation of all the submission forms </w:t>
      </w:r>
      <w:r w:rsidRPr="00646D82">
        <w:rPr>
          <w:kern w:val="22"/>
          <w:szCs w:val="22"/>
          <w:u w:color="000000"/>
        </w:rPr>
        <w:t xml:space="preserve">of the ABS Clearing-House </w:t>
      </w:r>
      <w:r w:rsidRPr="00646D82">
        <w:rPr>
          <w:szCs w:val="22"/>
        </w:rPr>
        <w:t>has been completed, and all remaining elements will be sent for translation in the coming months</w:t>
      </w:r>
      <w:r w:rsidR="00A3614D" w:rsidRPr="00646D82">
        <w:rPr>
          <w:szCs w:val="22"/>
        </w:rPr>
        <w:t xml:space="preserve"> and will be finali</w:t>
      </w:r>
      <w:r w:rsidR="00A546DC" w:rsidRPr="00646D82">
        <w:rPr>
          <w:szCs w:val="22"/>
        </w:rPr>
        <w:t>z</w:t>
      </w:r>
      <w:r w:rsidR="00A3614D" w:rsidRPr="00646D82">
        <w:rPr>
          <w:szCs w:val="22"/>
        </w:rPr>
        <w:t>ed by the end of the year</w:t>
      </w:r>
      <w:r w:rsidRPr="00646D82">
        <w:rPr>
          <w:szCs w:val="22"/>
        </w:rPr>
        <w:t>.</w:t>
      </w:r>
    </w:p>
    <w:p w14:paraId="408E9C7D" w14:textId="77458F20" w:rsidR="003E402F" w:rsidRPr="00646D82" w:rsidRDefault="00DE3898" w:rsidP="008A78C9">
      <w:pPr>
        <w:pStyle w:val="Para1"/>
        <w:numPr>
          <w:ilvl w:val="0"/>
          <w:numId w:val="12"/>
        </w:numPr>
        <w:suppressLineNumbers/>
        <w:suppressAutoHyphens/>
        <w:rPr>
          <w:szCs w:val="22"/>
        </w:rPr>
      </w:pPr>
      <w:r w:rsidRPr="00646D82">
        <w:rPr>
          <w:i/>
          <w:szCs w:val="22"/>
        </w:rPr>
        <w:t xml:space="preserve">Availability of information: </w:t>
      </w:r>
      <w:r w:rsidR="003E402F" w:rsidRPr="00646D82">
        <w:rPr>
          <w:szCs w:val="22"/>
        </w:rPr>
        <w:t>The following table</w:t>
      </w:r>
      <w:r w:rsidR="00ED22B7" w:rsidRPr="00646D82">
        <w:rPr>
          <w:szCs w:val="22"/>
        </w:rPr>
        <w:t>s provide</w:t>
      </w:r>
      <w:r w:rsidR="003E402F" w:rsidRPr="00646D82">
        <w:rPr>
          <w:szCs w:val="22"/>
        </w:rPr>
        <w:t xml:space="preserve"> a summary of </w:t>
      </w:r>
      <w:r w:rsidR="00ED22B7" w:rsidRPr="00646D82">
        <w:rPr>
          <w:szCs w:val="22"/>
        </w:rPr>
        <w:t xml:space="preserve">the number of national and reference records </w:t>
      </w:r>
      <w:r w:rsidR="003E402F" w:rsidRPr="00646D82">
        <w:rPr>
          <w:szCs w:val="22"/>
        </w:rPr>
        <w:t>published in the ABS Clearing-House as of 22 February 2018.</w:t>
      </w:r>
      <w:r w:rsidR="003E2306" w:rsidRPr="00646D82">
        <w:rPr>
          <w:szCs w:val="22"/>
        </w:rPr>
        <w:t xml:space="preserve"> The information provided could serve as reference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2321"/>
        <w:gridCol w:w="2492"/>
      </w:tblGrid>
      <w:tr w:rsidR="00F15611" w:rsidRPr="00646D82" w14:paraId="46DEAE2B" w14:textId="77777777" w:rsidTr="00A62394">
        <w:trPr>
          <w:cantSplit/>
          <w:trHeight w:val="269"/>
          <w:jc w:val="center"/>
        </w:trPr>
        <w:tc>
          <w:tcPr>
            <w:tcW w:w="3411" w:type="dxa"/>
            <w:vMerge w:val="restart"/>
            <w:tcBorders>
              <w:top w:val="single" w:sz="4" w:space="0" w:color="auto"/>
              <w:left w:val="single" w:sz="4" w:space="0" w:color="auto"/>
              <w:right w:val="single" w:sz="4" w:space="0" w:color="auto"/>
            </w:tcBorders>
          </w:tcPr>
          <w:p w14:paraId="3A165089" w14:textId="77777777" w:rsidR="00F15611" w:rsidRPr="00646D82" w:rsidRDefault="00F15611" w:rsidP="003E402F">
            <w:pPr>
              <w:keepNext/>
              <w:keepLines/>
              <w:jc w:val="center"/>
              <w:rPr>
                <w:rFonts w:eastAsia="Arial Unicode MS"/>
                <w:b/>
                <w:bCs/>
                <w:iCs/>
                <w:snapToGrid w:val="0"/>
                <w:color w:val="000000"/>
                <w:kern w:val="22"/>
                <w:szCs w:val="22"/>
                <w:u w:color="000000"/>
              </w:rPr>
            </w:pPr>
          </w:p>
          <w:p w14:paraId="051C6B8B" w14:textId="77777777" w:rsidR="006C7B92" w:rsidRPr="00646D82" w:rsidRDefault="006C7B92" w:rsidP="003E402F">
            <w:pPr>
              <w:keepNext/>
              <w:keepLines/>
              <w:jc w:val="center"/>
              <w:rPr>
                <w:rFonts w:eastAsia="Arial Unicode MS"/>
                <w:b/>
                <w:bCs/>
                <w:iCs/>
                <w:snapToGrid w:val="0"/>
                <w:color w:val="000000"/>
                <w:kern w:val="22"/>
                <w:szCs w:val="22"/>
                <w:u w:color="000000"/>
              </w:rPr>
            </w:pPr>
            <w:r w:rsidRPr="00646D82">
              <w:rPr>
                <w:rFonts w:eastAsia="Arial Unicode MS"/>
                <w:b/>
                <w:bCs/>
                <w:iCs/>
                <w:snapToGrid w:val="0"/>
                <w:color w:val="000000"/>
                <w:kern w:val="22"/>
                <w:szCs w:val="22"/>
                <w:u w:color="000000"/>
              </w:rPr>
              <w:t>National records</w:t>
            </w:r>
          </w:p>
          <w:p w14:paraId="2E5669D2" w14:textId="77777777" w:rsidR="00F15611" w:rsidRPr="00646D82" w:rsidRDefault="00F15611" w:rsidP="003E402F">
            <w:pPr>
              <w:keepNext/>
              <w:keepLines/>
              <w:jc w:val="center"/>
              <w:rPr>
                <w:rFonts w:eastAsia="Arial Unicode MS"/>
                <w:b/>
                <w:bCs/>
                <w:iCs/>
                <w:snapToGrid w:val="0"/>
                <w:color w:val="000000"/>
                <w:kern w:val="22"/>
                <w:szCs w:val="22"/>
                <w:u w:color="000000"/>
              </w:rPr>
            </w:pPr>
            <w:r w:rsidRPr="00646D82">
              <w:rPr>
                <w:rFonts w:eastAsia="Arial Unicode MS"/>
                <w:b/>
                <w:bCs/>
                <w:iCs/>
                <w:snapToGrid w:val="0"/>
                <w:color w:val="000000"/>
                <w:kern w:val="22"/>
                <w:szCs w:val="22"/>
                <w:u w:color="000000"/>
              </w:rPr>
              <w:t>Type of information</w:t>
            </w:r>
          </w:p>
          <w:p w14:paraId="44266B37" w14:textId="4290C486" w:rsidR="00F15611" w:rsidRPr="00646D82" w:rsidRDefault="00F15611" w:rsidP="003E402F">
            <w:pPr>
              <w:keepNext/>
              <w:keepLines/>
              <w:jc w:val="center"/>
              <w:rPr>
                <w:rFonts w:eastAsia="Arial Unicode MS"/>
                <w:b/>
                <w:bCs/>
                <w:iCs/>
                <w:snapToGrid w:val="0"/>
                <w:color w:val="000000"/>
                <w:kern w:val="22"/>
                <w:szCs w:val="22"/>
                <w:u w:color="000000"/>
              </w:rPr>
            </w:pPr>
          </w:p>
        </w:tc>
        <w:tc>
          <w:tcPr>
            <w:tcW w:w="4813" w:type="dxa"/>
            <w:gridSpan w:val="2"/>
            <w:tcBorders>
              <w:top w:val="single" w:sz="4" w:space="0" w:color="auto"/>
              <w:left w:val="single" w:sz="4" w:space="0" w:color="auto"/>
              <w:bottom w:val="single" w:sz="4" w:space="0" w:color="auto"/>
              <w:right w:val="single" w:sz="4" w:space="0" w:color="auto"/>
            </w:tcBorders>
          </w:tcPr>
          <w:p w14:paraId="10EBF33A" w14:textId="77777777" w:rsidR="00F15611" w:rsidRPr="00646D82" w:rsidRDefault="00F15611" w:rsidP="003E402F">
            <w:pPr>
              <w:keepNext/>
              <w:keepLines/>
              <w:jc w:val="center"/>
              <w:rPr>
                <w:rFonts w:eastAsia="Arial Unicode MS"/>
                <w:b/>
                <w:bCs/>
                <w:iCs/>
                <w:snapToGrid w:val="0"/>
                <w:color w:val="000000"/>
                <w:kern w:val="22"/>
                <w:szCs w:val="22"/>
                <w:u w:color="000000"/>
              </w:rPr>
            </w:pPr>
            <w:r w:rsidRPr="00646D82">
              <w:rPr>
                <w:rFonts w:eastAsia="Arial Unicode MS"/>
                <w:b/>
                <w:bCs/>
                <w:iCs/>
                <w:snapToGrid w:val="0"/>
                <w:color w:val="000000"/>
                <w:kern w:val="22"/>
                <w:szCs w:val="22"/>
                <w:u w:color="000000"/>
              </w:rPr>
              <w:t>Reference points</w:t>
            </w:r>
          </w:p>
        </w:tc>
      </w:tr>
      <w:tr w:rsidR="00F15611" w:rsidRPr="00646D82" w14:paraId="52A121E9" w14:textId="77777777" w:rsidTr="00A62394">
        <w:trPr>
          <w:cantSplit/>
          <w:trHeight w:val="560"/>
          <w:jc w:val="center"/>
        </w:trPr>
        <w:tc>
          <w:tcPr>
            <w:tcW w:w="3411" w:type="dxa"/>
            <w:vMerge/>
            <w:tcBorders>
              <w:left w:val="single" w:sz="4" w:space="0" w:color="auto"/>
              <w:bottom w:val="single" w:sz="4" w:space="0" w:color="auto"/>
              <w:right w:val="single" w:sz="4" w:space="0" w:color="auto"/>
            </w:tcBorders>
            <w:hideMark/>
          </w:tcPr>
          <w:p w14:paraId="67CC8701" w14:textId="77777777" w:rsidR="00F15611" w:rsidRPr="00646D82" w:rsidRDefault="00F15611" w:rsidP="003E402F">
            <w:pPr>
              <w:keepNext/>
              <w:keepLines/>
              <w:jc w:val="center"/>
              <w:rPr>
                <w:rFonts w:eastAsia="Arial Unicode MS"/>
                <w:bCs/>
                <w:i/>
                <w:iCs/>
                <w:snapToGrid w:val="0"/>
                <w:color w:val="000000"/>
                <w:kern w:val="22"/>
                <w:szCs w:val="22"/>
                <w:u w:color="000000"/>
              </w:rPr>
            </w:pPr>
          </w:p>
        </w:tc>
        <w:tc>
          <w:tcPr>
            <w:tcW w:w="2321" w:type="dxa"/>
            <w:tcBorders>
              <w:top w:val="single" w:sz="4" w:space="0" w:color="auto"/>
              <w:left w:val="single" w:sz="4" w:space="0" w:color="auto"/>
              <w:bottom w:val="single" w:sz="4" w:space="0" w:color="auto"/>
              <w:right w:val="single" w:sz="4" w:space="0" w:color="auto"/>
            </w:tcBorders>
            <w:hideMark/>
          </w:tcPr>
          <w:p w14:paraId="2C6413F8" w14:textId="77777777" w:rsidR="00F15611" w:rsidRPr="00646D82" w:rsidRDefault="00F15611" w:rsidP="003E402F">
            <w:pPr>
              <w:keepNext/>
              <w:keepLines/>
              <w:jc w:val="center"/>
              <w:rPr>
                <w:rFonts w:eastAsia="Arial Unicode MS"/>
                <w:bCs/>
                <w:i/>
                <w:iCs/>
                <w:snapToGrid w:val="0"/>
                <w:color w:val="000000"/>
                <w:kern w:val="22"/>
                <w:szCs w:val="22"/>
                <w:u w:color="000000"/>
              </w:rPr>
            </w:pPr>
            <w:r w:rsidRPr="00646D82">
              <w:rPr>
                <w:rFonts w:eastAsia="Arial Unicode MS"/>
                <w:bCs/>
                <w:i/>
                <w:iCs/>
                <w:snapToGrid w:val="0"/>
                <w:color w:val="000000"/>
                <w:kern w:val="22"/>
                <w:szCs w:val="22"/>
                <w:u w:color="000000"/>
              </w:rPr>
              <w:t>Number of Parties that published records</w:t>
            </w:r>
          </w:p>
        </w:tc>
        <w:tc>
          <w:tcPr>
            <w:tcW w:w="2492" w:type="dxa"/>
            <w:tcBorders>
              <w:top w:val="single" w:sz="4" w:space="0" w:color="auto"/>
              <w:left w:val="single" w:sz="4" w:space="0" w:color="auto"/>
              <w:bottom w:val="single" w:sz="4" w:space="0" w:color="auto"/>
              <w:right w:val="single" w:sz="4" w:space="0" w:color="auto"/>
            </w:tcBorders>
            <w:hideMark/>
          </w:tcPr>
          <w:p w14:paraId="165EEC6F" w14:textId="77777777" w:rsidR="00F15611" w:rsidRPr="00646D82" w:rsidRDefault="00F15611" w:rsidP="003E402F">
            <w:pPr>
              <w:keepNext/>
              <w:keepLines/>
              <w:jc w:val="center"/>
              <w:rPr>
                <w:rFonts w:eastAsia="Arial Unicode MS"/>
                <w:bCs/>
                <w:i/>
                <w:iCs/>
                <w:snapToGrid w:val="0"/>
                <w:color w:val="000000"/>
                <w:kern w:val="22"/>
                <w:szCs w:val="22"/>
                <w:u w:color="000000"/>
              </w:rPr>
            </w:pPr>
            <w:r w:rsidRPr="00646D82">
              <w:rPr>
                <w:rFonts w:eastAsia="Arial Unicode MS"/>
                <w:bCs/>
                <w:i/>
                <w:iCs/>
                <w:snapToGrid w:val="0"/>
                <w:color w:val="000000"/>
                <w:kern w:val="22"/>
                <w:szCs w:val="22"/>
                <w:u w:color="000000"/>
              </w:rPr>
              <w:t>Number of non-Parties that published records</w:t>
            </w:r>
          </w:p>
        </w:tc>
      </w:tr>
      <w:tr w:rsidR="00F15611" w:rsidRPr="00646D82" w14:paraId="45A5ECE2" w14:textId="77777777" w:rsidTr="00A62394">
        <w:trPr>
          <w:cantSplit/>
          <w:jc w:val="center"/>
        </w:trPr>
        <w:tc>
          <w:tcPr>
            <w:tcW w:w="3411" w:type="dxa"/>
            <w:tcBorders>
              <w:top w:val="single" w:sz="4" w:space="0" w:color="auto"/>
              <w:left w:val="single" w:sz="4" w:space="0" w:color="auto"/>
              <w:bottom w:val="single" w:sz="4" w:space="0" w:color="auto"/>
              <w:right w:val="single" w:sz="4" w:space="0" w:color="auto"/>
            </w:tcBorders>
            <w:hideMark/>
          </w:tcPr>
          <w:p w14:paraId="19C42CAD" w14:textId="77777777" w:rsidR="00F15611" w:rsidRPr="00646D82" w:rsidRDefault="00F15611" w:rsidP="003E402F">
            <w:pPr>
              <w:keepNext/>
              <w:keepLines/>
              <w:rPr>
                <w:rFonts w:eastAsia="Arial Unicode MS"/>
                <w:b/>
                <w:bCs/>
                <w:snapToGrid w:val="0"/>
                <w:color w:val="000000"/>
                <w:kern w:val="22"/>
                <w:szCs w:val="22"/>
                <w:u w:color="000000"/>
              </w:rPr>
            </w:pPr>
            <w:r w:rsidRPr="00646D82">
              <w:rPr>
                <w:rFonts w:eastAsia="Arial Unicode MS"/>
                <w:snapToGrid w:val="0"/>
                <w:color w:val="000000"/>
                <w:kern w:val="22"/>
                <w:szCs w:val="22"/>
                <w:u w:color="000000"/>
              </w:rPr>
              <w:t>Competent national authorities</w:t>
            </w:r>
          </w:p>
        </w:tc>
        <w:tc>
          <w:tcPr>
            <w:tcW w:w="2321" w:type="dxa"/>
            <w:tcBorders>
              <w:top w:val="single" w:sz="4" w:space="0" w:color="auto"/>
              <w:left w:val="single" w:sz="4" w:space="0" w:color="auto"/>
              <w:bottom w:val="single" w:sz="4" w:space="0" w:color="auto"/>
              <w:right w:val="single" w:sz="4" w:space="0" w:color="auto"/>
            </w:tcBorders>
            <w:vAlign w:val="bottom"/>
            <w:hideMark/>
          </w:tcPr>
          <w:p w14:paraId="15F2B67A" w14:textId="77777777" w:rsidR="00F15611" w:rsidRPr="00646D82" w:rsidRDefault="00F15611" w:rsidP="003E402F">
            <w:pPr>
              <w:keepNext/>
              <w:keepLines/>
              <w:jc w:val="center"/>
              <w:rPr>
                <w:rFonts w:eastAsia="Arial Unicode MS"/>
                <w:snapToGrid w:val="0"/>
                <w:color w:val="000000"/>
                <w:kern w:val="22"/>
                <w:szCs w:val="22"/>
                <w:u w:color="000000"/>
              </w:rPr>
            </w:pPr>
            <w:r w:rsidRPr="00646D82">
              <w:rPr>
                <w:rFonts w:eastAsia="Arial Unicode MS"/>
                <w:snapToGrid w:val="0"/>
                <w:color w:val="000000"/>
                <w:kern w:val="22"/>
                <w:szCs w:val="22"/>
                <w:u w:color="000000"/>
              </w:rPr>
              <w:t>45</w:t>
            </w:r>
          </w:p>
        </w:tc>
        <w:tc>
          <w:tcPr>
            <w:tcW w:w="2492" w:type="dxa"/>
            <w:tcBorders>
              <w:top w:val="single" w:sz="4" w:space="0" w:color="auto"/>
              <w:left w:val="single" w:sz="4" w:space="0" w:color="auto"/>
              <w:bottom w:val="single" w:sz="4" w:space="0" w:color="auto"/>
              <w:right w:val="single" w:sz="4" w:space="0" w:color="auto"/>
            </w:tcBorders>
            <w:vAlign w:val="bottom"/>
            <w:hideMark/>
          </w:tcPr>
          <w:p w14:paraId="1B4F20B1" w14:textId="77777777" w:rsidR="00F15611" w:rsidRPr="00646D82" w:rsidRDefault="00F15611" w:rsidP="003E402F">
            <w:pPr>
              <w:keepNext/>
              <w:keepLines/>
              <w:jc w:val="center"/>
              <w:rPr>
                <w:rFonts w:eastAsia="Arial Unicode MS"/>
                <w:snapToGrid w:val="0"/>
                <w:color w:val="000000"/>
                <w:kern w:val="22"/>
                <w:szCs w:val="22"/>
                <w:u w:color="000000"/>
              </w:rPr>
            </w:pPr>
            <w:r w:rsidRPr="00646D82">
              <w:rPr>
                <w:rFonts w:eastAsia="Arial Unicode MS"/>
                <w:snapToGrid w:val="0"/>
                <w:color w:val="000000"/>
                <w:kern w:val="22"/>
                <w:szCs w:val="22"/>
                <w:u w:color="000000"/>
              </w:rPr>
              <w:t>7</w:t>
            </w:r>
          </w:p>
        </w:tc>
      </w:tr>
      <w:tr w:rsidR="00F15611" w:rsidRPr="00646D82" w14:paraId="15F0B242" w14:textId="77777777" w:rsidTr="00A62394">
        <w:trPr>
          <w:cantSplit/>
          <w:jc w:val="center"/>
        </w:trPr>
        <w:tc>
          <w:tcPr>
            <w:tcW w:w="3411" w:type="dxa"/>
            <w:tcBorders>
              <w:top w:val="single" w:sz="4" w:space="0" w:color="auto"/>
              <w:left w:val="single" w:sz="4" w:space="0" w:color="auto"/>
              <w:bottom w:val="single" w:sz="4" w:space="0" w:color="auto"/>
              <w:right w:val="single" w:sz="4" w:space="0" w:color="auto"/>
            </w:tcBorders>
            <w:hideMark/>
          </w:tcPr>
          <w:p w14:paraId="097D77FE" w14:textId="77777777" w:rsidR="00F15611" w:rsidRPr="00646D82" w:rsidRDefault="00F15611" w:rsidP="003E402F">
            <w:pPr>
              <w:keepNext/>
              <w:keepLines/>
              <w:rPr>
                <w:rFonts w:eastAsia="Arial Unicode MS"/>
                <w:b/>
                <w:bCs/>
                <w:snapToGrid w:val="0"/>
                <w:color w:val="000000"/>
                <w:kern w:val="22"/>
                <w:szCs w:val="22"/>
                <w:u w:color="000000"/>
              </w:rPr>
            </w:pPr>
            <w:r w:rsidRPr="00646D82">
              <w:rPr>
                <w:rFonts w:eastAsia="Arial Unicode MS"/>
                <w:snapToGrid w:val="0"/>
                <w:color w:val="000000"/>
                <w:kern w:val="22"/>
                <w:szCs w:val="22"/>
                <w:u w:color="000000"/>
              </w:rPr>
              <w:t>ABS measures</w:t>
            </w:r>
          </w:p>
        </w:tc>
        <w:tc>
          <w:tcPr>
            <w:tcW w:w="2321" w:type="dxa"/>
            <w:tcBorders>
              <w:top w:val="single" w:sz="4" w:space="0" w:color="auto"/>
              <w:left w:val="single" w:sz="4" w:space="0" w:color="auto"/>
              <w:bottom w:val="single" w:sz="4" w:space="0" w:color="auto"/>
              <w:right w:val="single" w:sz="4" w:space="0" w:color="auto"/>
            </w:tcBorders>
            <w:vAlign w:val="bottom"/>
            <w:hideMark/>
          </w:tcPr>
          <w:p w14:paraId="2D70EF3E" w14:textId="77777777" w:rsidR="00F15611" w:rsidRPr="00646D82" w:rsidRDefault="00F15611" w:rsidP="003E402F">
            <w:pPr>
              <w:keepNext/>
              <w:keepLines/>
              <w:jc w:val="center"/>
              <w:rPr>
                <w:rFonts w:eastAsia="Arial Unicode MS"/>
                <w:snapToGrid w:val="0"/>
                <w:color w:val="000000"/>
                <w:kern w:val="22"/>
                <w:szCs w:val="22"/>
                <w:u w:color="000000"/>
              </w:rPr>
            </w:pPr>
            <w:r w:rsidRPr="00646D82">
              <w:rPr>
                <w:rFonts w:eastAsia="Arial Unicode MS"/>
                <w:snapToGrid w:val="0"/>
                <w:color w:val="000000"/>
                <w:kern w:val="22"/>
                <w:szCs w:val="22"/>
                <w:u w:color="000000"/>
              </w:rPr>
              <w:t>45</w:t>
            </w:r>
          </w:p>
        </w:tc>
        <w:tc>
          <w:tcPr>
            <w:tcW w:w="2492" w:type="dxa"/>
            <w:tcBorders>
              <w:top w:val="single" w:sz="4" w:space="0" w:color="auto"/>
              <w:left w:val="single" w:sz="4" w:space="0" w:color="auto"/>
              <w:bottom w:val="single" w:sz="4" w:space="0" w:color="auto"/>
              <w:right w:val="single" w:sz="4" w:space="0" w:color="auto"/>
            </w:tcBorders>
            <w:vAlign w:val="bottom"/>
            <w:hideMark/>
          </w:tcPr>
          <w:p w14:paraId="6096D831" w14:textId="77777777" w:rsidR="00F15611" w:rsidRPr="00646D82" w:rsidRDefault="00F15611" w:rsidP="003E402F">
            <w:pPr>
              <w:keepNext/>
              <w:keepLines/>
              <w:jc w:val="center"/>
              <w:rPr>
                <w:rFonts w:eastAsia="Arial Unicode MS"/>
                <w:snapToGrid w:val="0"/>
                <w:color w:val="000000"/>
                <w:kern w:val="22"/>
                <w:szCs w:val="22"/>
                <w:u w:color="000000"/>
              </w:rPr>
            </w:pPr>
            <w:r w:rsidRPr="00646D82">
              <w:rPr>
                <w:rFonts w:eastAsia="Arial Unicode MS"/>
                <w:snapToGrid w:val="0"/>
                <w:color w:val="000000"/>
                <w:kern w:val="22"/>
                <w:szCs w:val="22"/>
                <w:u w:color="000000"/>
              </w:rPr>
              <w:t>5</w:t>
            </w:r>
          </w:p>
        </w:tc>
      </w:tr>
      <w:tr w:rsidR="00F15611" w:rsidRPr="00646D82" w14:paraId="3ED08906" w14:textId="77777777" w:rsidTr="00A62394">
        <w:trPr>
          <w:cantSplit/>
          <w:jc w:val="center"/>
        </w:trPr>
        <w:tc>
          <w:tcPr>
            <w:tcW w:w="3411" w:type="dxa"/>
            <w:tcBorders>
              <w:top w:val="single" w:sz="4" w:space="0" w:color="auto"/>
              <w:left w:val="single" w:sz="4" w:space="0" w:color="auto"/>
              <w:bottom w:val="single" w:sz="4" w:space="0" w:color="auto"/>
              <w:right w:val="single" w:sz="4" w:space="0" w:color="auto"/>
            </w:tcBorders>
            <w:hideMark/>
          </w:tcPr>
          <w:p w14:paraId="4DF35B61" w14:textId="77777777" w:rsidR="00F15611" w:rsidRPr="00646D82" w:rsidRDefault="00F15611" w:rsidP="003E402F">
            <w:pPr>
              <w:keepNext/>
              <w:keepLines/>
              <w:rPr>
                <w:rFonts w:eastAsia="Arial Unicode MS"/>
                <w:b/>
                <w:bCs/>
                <w:snapToGrid w:val="0"/>
                <w:color w:val="000000"/>
                <w:kern w:val="22"/>
                <w:szCs w:val="22"/>
                <w:u w:color="000000"/>
              </w:rPr>
            </w:pPr>
            <w:r w:rsidRPr="00646D82">
              <w:rPr>
                <w:rFonts w:eastAsia="Arial Unicode MS"/>
                <w:snapToGrid w:val="0"/>
                <w:color w:val="000000"/>
                <w:kern w:val="22"/>
                <w:szCs w:val="22"/>
                <w:u w:color="000000"/>
              </w:rPr>
              <w:t>Checkpoints</w:t>
            </w:r>
          </w:p>
        </w:tc>
        <w:tc>
          <w:tcPr>
            <w:tcW w:w="2321" w:type="dxa"/>
            <w:tcBorders>
              <w:top w:val="single" w:sz="4" w:space="0" w:color="auto"/>
              <w:left w:val="single" w:sz="4" w:space="0" w:color="auto"/>
              <w:bottom w:val="single" w:sz="4" w:space="0" w:color="auto"/>
              <w:right w:val="single" w:sz="4" w:space="0" w:color="auto"/>
            </w:tcBorders>
            <w:vAlign w:val="bottom"/>
            <w:hideMark/>
          </w:tcPr>
          <w:p w14:paraId="0C056412" w14:textId="77777777" w:rsidR="00F15611" w:rsidRPr="00646D82" w:rsidRDefault="00F15611" w:rsidP="003E402F">
            <w:pPr>
              <w:keepNext/>
              <w:keepLines/>
              <w:jc w:val="center"/>
              <w:rPr>
                <w:rFonts w:eastAsia="Arial Unicode MS"/>
                <w:snapToGrid w:val="0"/>
                <w:color w:val="000000"/>
                <w:kern w:val="22"/>
                <w:szCs w:val="22"/>
                <w:u w:color="000000"/>
              </w:rPr>
            </w:pPr>
            <w:r w:rsidRPr="00646D82">
              <w:rPr>
                <w:rFonts w:eastAsia="Arial Unicode MS"/>
                <w:snapToGrid w:val="0"/>
                <w:color w:val="000000"/>
                <w:kern w:val="22"/>
                <w:szCs w:val="22"/>
                <w:u w:color="000000"/>
              </w:rPr>
              <w:t>20</w:t>
            </w:r>
          </w:p>
        </w:tc>
        <w:tc>
          <w:tcPr>
            <w:tcW w:w="2492" w:type="dxa"/>
            <w:tcBorders>
              <w:top w:val="single" w:sz="4" w:space="0" w:color="auto"/>
              <w:left w:val="single" w:sz="4" w:space="0" w:color="auto"/>
              <w:bottom w:val="single" w:sz="4" w:space="0" w:color="auto"/>
              <w:right w:val="single" w:sz="4" w:space="0" w:color="auto"/>
            </w:tcBorders>
            <w:vAlign w:val="bottom"/>
            <w:hideMark/>
          </w:tcPr>
          <w:p w14:paraId="45DCB31F" w14:textId="77777777" w:rsidR="00F15611" w:rsidRPr="00646D82" w:rsidRDefault="00F15611" w:rsidP="003E402F">
            <w:pPr>
              <w:keepNext/>
              <w:keepLines/>
              <w:jc w:val="center"/>
              <w:rPr>
                <w:rFonts w:eastAsia="Arial Unicode MS"/>
                <w:snapToGrid w:val="0"/>
                <w:color w:val="000000"/>
                <w:kern w:val="22"/>
                <w:szCs w:val="22"/>
                <w:u w:color="000000"/>
              </w:rPr>
            </w:pPr>
            <w:r w:rsidRPr="00646D82">
              <w:rPr>
                <w:rFonts w:eastAsia="Arial Unicode MS"/>
                <w:snapToGrid w:val="0"/>
                <w:color w:val="000000"/>
                <w:kern w:val="22"/>
                <w:szCs w:val="22"/>
                <w:u w:color="000000"/>
              </w:rPr>
              <w:t>1</w:t>
            </w:r>
          </w:p>
        </w:tc>
      </w:tr>
      <w:tr w:rsidR="00F15611" w:rsidRPr="00646D82" w14:paraId="11470F65" w14:textId="77777777" w:rsidTr="00A62394">
        <w:trPr>
          <w:cantSplit/>
          <w:jc w:val="center"/>
        </w:trPr>
        <w:tc>
          <w:tcPr>
            <w:tcW w:w="3411" w:type="dxa"/>
            <w:tcBorders>
              <w:top w:val="single" w:sz="4" w:space="0" w:color="auto"/>
              <w:left w:val="single" w:sz="4" w:space="0" w:color="auto"/>
              <w:bottom w:val="single" w:sz="4" w:space="0" w:color="auto"/>
              <w:right w:val="single" w:sz="4" w:space="0" w:color="auto"/>
            </w:tcBorders>
            <w:hideMark/>
          </w:tcPr>
          <w:p w14:paraId="61258012" w14:textId="77777777" w:rsidR="00F15611" w:rsidRPr="00646D82" w:rsidRDefault="00F15611" w:rsidP="003E402F">
            <w:pPr>
              <w:keepNext/>
              <w:keepLines/>
              <w:jc w:val="left"/>
              <w:rPr>
                <w:rFonts w:eastAsia="Arial Unicode MS"/>
                <w:b/>
                <w:bCs/>
                <w:snapToGrid w:val="0"/>
                <w:color w:val="000000"/>
                <w:kern w:val="22"/>
                <w:szCs w:val="22"/>
                <w:u w:color="000000"/>
              </w:rPr>
            </w:pPr>
            <w:r w:rsidRPr="00646D82">
              <w:rPr>
                <w:rFonts w:eastAsia="Arial Unicode MS"/>
                <w:snapToGrid w:val="0"/>
                <w:color w:val="000000"/>
                <w:kern w:val="22"/>
                <w:szCs w:val="22"/>
                <w:u w:color="000000"/>
              </w:rPr>
              <w:t>Permits or their equivalent constituting an internationally recognized certificate of compliance</w:t>
            </w:r>
          </w:p>
        </w:tc>
        <w:tc>
          <w:tcPr>
            <w:tcW w:w="2321" w:type="dxa"/>
            <w:tcBorders>
              <w:top w:val="single" w:sz="4" w:space="0" w:color="auto"/>
              <w:left w:val="single" w:sz="4" w:space="0" w:color="auto"/>
              <w:bottom w:val="single" w:sz="4" w:space="0" w:color="auto"/>
              <w:right w:val="single" w:sz="4" w:space="0" w:color="auto"/>
            </w:tcBorders>
            <w:vAlign w:val="bottom"/>
            <w:hideMark/>
          </w:tcPr>
          <w:p w14:paraId="76AF2B05" w14:textId="77777777" w:rsidR="00F15611" w:rsidRPr="00646D82" w:rsidRDefault="00F15611" w:rsidP="003E402F">
            <w:pPr>
              <w:keepNext/>
              <w:keepLines/>
              <w:jc w:val="center"/>
              <w:rPr>
                <w:rFonts w:eastAsia="Arial Unicode MS"/>
                <w:snapToGrid w:val="0"/>
                <w:color w:val="000000"/>
                <w:kern w:val="22"/>
                <w:szCs w:val="22"/>
                <w:u w:color="000000"/>
              </w:rPr>
            </w:pPr>
            <w:r w:rsidRPr="00646D82">
              <w:rPr>
                <w:rFonts w:eastAsia="Arial Unicode MS"/>
                <w:snapToGrid w:val="0"/>
                <w:color w:val="000000"/>
                <w:kern w:val="22"/>
                <w:szCs w:val="22"/>
                <w:u w:color="000000"/>
              </w:rPr>
              <w:t>12</w:t>
            </w:r>
          </w:p>
        </w:tc>
        <w:tc>
          <w:tcPr>
            <w:tcW w:w="2492" w:type="dxa"/>
            <w:tcBorders>
              <w:top w:val="single" w:sz="4" w:space="0" w:color="auto"/>
              <w:left w:val="single" w:sz="4" w:space="0" w:color="auto"/>
              <w:bottom w:val="single" w:sz="4" w:space="0" w:color="auto"/>
              <w:right w:val="single" w:sz="4" w:space="0" w:color="auto"/>
            </w:tcBorders>
            <w:vAlign w:val="bottom"/>
            <w:hideMark/>
          </w:tcPr>
          <w:p w14:paraId="39126204" w14:textId="77777777" w:rsidR="00F15611" w:rsidRPr="00646D82" w:rsidRDefault="00F15611" w:rsidP="003E402F">
            <w:pPr>
              <w:keepNext/>
              <w:keepLines/>
              <w:jc w:val="center"/>
              <w:rPr>
                <w:rFonts w:eastAsia="Arial Unicode MS"/>
                <w:snapToGrid w:val="0"/>
                <w:color w:val="000000"/>
                <w:kern w:val="22"/>
                <w:szCs w:val="22"/>
                <w:u w:color="000000"/>
              </w:rPr>
            </w:pPr>
            <w:r w:rsidRPr="00646D82">
              <w:rPr>
                <w:rFonts w:eastAsia="Arial Unicode MS"/>
                <w:snapToGrid w:val="0"/>
                <w:color w:val="000000"/>
                <w:kern w:val="22"/>
                <w:szCs w:val="22"/>
                <w:u w:color="000000"/>
              </w:rPr>
              <w:t>0</w:t>
            </w:r>
          </w:p>
        </w:tc>
      </w:tr>
      <w:tr w:rsidR="00F15611" w:rsidRPr="00646D82" w14:paraId="6229C421" w14:textId="77777777" w:rsidTr="00A62394">
        <w:trPr>
          <w:cantSplit/>
          <w:jc w:val="center"/>
        </w:trPr>
        <w:tc>
          <w:tcPr>
            <w:tcW w:w="3411" w:type="dxa"/>
            <w:tcBorders>
              <w:top w:val="single" w:sz="4" w:space="0" w:color="auto"/>
              <w:left w:val="single" w:sz="4" w:space="0" w:color="auto"/>
              <w:bottom w:val="single" w:sz="4" w:space="0" w:color="auto"/>
              <w:right w:val="single" w:sz="4" w:space="0" w:color="auto"/>
            </w:tcBorders>
            <w:hideMark/>
          </w:tcPr>
          <w:p w14:paraId="6E26444B" w14:textId="77777777" w:rsidR="00F15611" w:rsidRPr="00646D82" w:rsidRDefault="00F15611" w:rsidP="003E402F">
            <w:pPr>
              <w:keepNext/>
              <w:keepLines/>
              <w:rPr>
                <w:rFonts w:eastAsia="Arial Unicode MS"/>
                <w:snapToGrid w:val="0"/>
                <w:color w:val="000000"/>
                <w:kern w:val="22"/>
                <w:szCs w:val="22"/>
                <w:u w:color="000000"/>
              </w:rPr>
            </w:pPr>
            <w:r w:rsidRPr="00646D82">
              <w:rPr>
                <w:rFonts w:eastAsia="Arial Unicode MS"/>
                <w:snapToGrid w:val="0"/>
                <w:color w:val="000000"/>
                <w:kern w:val="22"/>
                <w:szCs w:val="22"/>
                <w:u w:color="000000"/>
              </w:rPr>
              <w:t>Checkpoint communiqués</w:t>
            </w:r>
          </w:p>
        </w:tc>
        <w:tc>
          <w:tcPr>
            <w:tcW w:w="2321" w:type="dxa"/>
            <w:tcBorders>
              <w:top w:val="single" w:sz="4" w:space="0" w:color="auto"/>
              <w:left w:val="single" w:sz="4" w:space="0" w:color="auto"/>
              <w:bottom w:val="single" w:sz="4" w:space="0" w:color="auto"/>
              <w:right w:val="single" w:sz="4" w:space="0" w:color="auto"/>
            </w:tcBorders>
            <w:vAlign w:val="bottom"/>
            <w:hideMark/>
          </w:tcPr>
          <w:p w14:paraId="4D16F0B3" w14:textId="77777777" w:rsidR="00F15611" w:rsidRPr="00646D82" w:rsidRDefault="00F15611" w:rsidP="003E402F">
            <w:pPr>
              <w:keepNext/>
              <w:keepLines/>
              <w:jc w:val="center"/>
              <w:rPr>
                <w:rFonts w:eastAsia="Arial Unicode MS"/>
                <w:snapToGrid w:val="0"/>
                <w:color w:val="000000"/>
                <w:kern w:val="22"/>
                <w:szCs w:val="22"/>
                <w:u w:color="000000"/>
              </w:rPr>
            </w:pPr>
            <w:r w:rsidRPr="00646D82">
              <w:rPr>
                <w:rFonts w:eastAsia="Arial Unicode MS"/>
                <w:snapToGrid w:val="0"/>
                <w:color w:val="000000"/>
                <w:kern w:val="22"/>
                <w:szCs w:val="22"/>
                <w:u w:color="000000"/>
              </w:rPr>
              <w:t>0</w:t>
            </w:r>
          </w:p>
        </w:tc>
        <w:tc>
          <w:tcPr>
            <w:tcW w:w="2492" w:type="dxa"/>
            <w:tcBorders>
              <w:top w:val="single" w:sz="4" w:space="0" w:color="auto"/>
              <w:left w:val="single" w:sz="4" w:space="0" w:color="auto"/>
              <w:bottom w:val="single" w:sz="4" w:space="0" w:color="auto"/>
              <w:right w:val="single" w:sz="4" w:space="0" w:color="auto"/>
            </w:tcBorders>
            <w:vAlign w:val="bottom"/>
            <w:hideMark/>
          </w:tcPr>
          <w:p w14:paraId="041CDBD2" w14:textId="77777777" w:rsidR="00F15611" w:rsidRPr="00646D82" w:rsidRDefault="00F15611" w:rsidP="003E402F">
            <w:pPr>
              <w:keepNext/>
              <w:keepLines/>
              <w:jc w:val="center"/>
              <w:rPr>
                <w:rFonts w:eastAsia="Arial Unicode MS"/>
                <w:snapToGrid w:val="0"/>
                <w:color w:val="000000"/>
                <w:kern w:val="22"/>
                <w:szCs w:val="22"/>
                <w:u w:color="000000"/>
              </w:rPr>
            </w:pPr>
            <w:r w:rsidRPr="00646D82">
              <w:rPr>
                <w:rFonts w:eastAsia="Arial Unicode MS"/>
                <w:snapToGrid w:val="0"/>
                <w:color w:val="000000"/>
                <w:kern w:val="22"/>
                <w:szCs w:val="22"/>
                <w:u w:color="000000"/>
              </w:rPr>
              <w:t>0</w:t>
            </w:r>
          </w:p>
        </w:tc>
      </w:tr>
    </w:tbl>
    <w:p w14:paraId="3C189919" w14:textId="46D012EF" w:rsidR="00ED22B7" w:rsidRPr="00646D82" w:rsidRDefault="00ED22B7" w:rsidP="00A62394">
      <w:pPr>
        <w:spacing w:before="120" w:after="120"/>
        <w:rPr>
          <w:b/>
          <w:szCs w:val="22"/>
        </w:rPr>
      </w:pPr>
    </w:p>
    <w:tbl>
      <w:tblPr>
        <w:tblStyle w:val="TableGrid"/>
        <w:tblW w:w="0" w:type="auto"/>
        <w:tblInd w:w="720" w:type="dxa"/>
        <w:tblLook w:val="04A0" w:firstRow="1" w:lastRow="0" w:firstColumn="1" w:lastColumn="0" w:noHBand="0" w:noVBand="1"/>
      </w:tblPr>
      <w:tblGrid>
        <w:gridCol w:w="4455"/>
        <w:gridCol w:w="3393"/>
      </w:tblGrid>
      <w:tr w:rsidR="00F15611" w:rsidRPr="00646D82" w14:paraId="0133F91A" w14:textId="77777777" w:rsidTr="00A62394">
        <w:trPr>
          <w:trHeight w:val="305"/>
        </w:trPr>
        <w:tc>
          <w:tcPr>
            <w:tcW w:w="4455" w:type="dxa"/>
            <w:vMerge w:val="restart"/>
          </w:tcPr>
          <w:p w14:paraId="16B62AED" w14:textId="77777777" w:rsidR="00F15611" w:rsidRPr="00646D82" w:rsidRDefault="006C7B92" w:rsidP="00ED22B7">
            <w:pPr>
              <w:pStyle w:val="ListParagraph"/>
              <w:spacing w:before="120" w:after="120"/>
              <w:ind w:left="0"/>
              <w:jc w:val="center"/>
              <w:rPr>
                <w:rFonts w:ascii="Times New Roman" w:hAnsi="Times New Roman" w:cs="Times New Roman"/>
                <w:b/>
                <w:snapToGrid w:val="0"/>
                <w:kern w:val="22"/>
                <w:szCs w:val="22"/>
              </w:rPr>
            </w:pPr>
            <w:r w:rsidRPr="00646D82">
              <w:rPr>
                <w:rFonts w:ascii="Times New Roman" w:hAnsi="Times New Roman" w:cs="Times New Roman"/>
                <w:b/>
                <w:snapToGrid w:val="0"/>
                <w:kern w:val="22"/>
                <w:szCs w:val="22"/>
              </w:rPr>
              <w:t>Reference records</w:t>
            </w:r>
          </w:p>
          <w:p w14:paraId="65998D94" w14:textId="77777777" w:rsidR="00F15611" w:rsidRPr="00646D82" w:rsidRDefault="00F15611" w:rsidP="00ED22B7">
            <w:pPr>
              <w:pStyle w:val="ListParagraph"/>
              <w:spacing w:before="120" w:after="120"/>
              <w:ind w:left="0"/>
              <w:jc w:val="center"/>
              <w:rPr>
                <w:rFonts w:ascii="Times New Roman" w:hAnsi="Times New Roman" w:cs="Times New Roman"/>
                <w:b/>
                <w:snapToGrid w:val="0"/>
                <w:kern w:val="22"/>
                <w:szCs w:val="22"/>
              </w:rPr>
            </w:pPr>
            <w:r w:rsidRPr="00646D82">
              <w:rPr>
                <w:rFonts w:ascii="Times New Roman" w:hAnsi="Times New Roman" w:cs="Times New Roman"/>
                <w:b/>
                <w:snapToGrid w:val="0"/>
                <w:kern w:val="22"/>
                <w:szCs w:val="22"/>
              </w:rPr>
              <w:t>Type of information</w:t>
            </w:r>
          </w:p>
        </w:tc>
        <w:tc>
          <w:tcPr>
            <w:tcW w:w="3393" w:type="dxa"/>
          </w:tcPr>
          <w:p w14:paraId="4ED94B8B" w14:textId="377334E4" w:rsidR="00F15611" w:rsidRPr="00646D82" w:rsidRDefault="00F15611" w:rsidP="00ED22B7">
            <w:pPr>
              <w:pStyle w:val="ListParagraph"/>
              <w:spacing w:before="120" w:after="120"/>
              <w:ind w:left="0"/>
              <w:jc w:val="center"/>
              <w:rPr>
                <w:rFonts w:ascii="Times New Roman" w:hAnsi="Times New Roman" w:cs="Times New Roman"/>
                <w:b/>
                <w:snapToGrid w:val="0"/>
                <w:kern w:val="22"/>
                <w:szCs w:val="22"/>
              </w:rPr>
            </w:pPr>
            <w:r w:rsidRPr="00646D82">
              <w:rPr>
                <w:rFonts w:ascii="Times New Roman" w:hAnsi="Times New Roman" w:cs="Times New Roman"/>
                <w:b/>
                <w:snapToGrid w:val="0"/>
                <w:kern w:val="22"/>
                <w:szCs w:val="22"/>
              </w:rPr>
              <w:t>Reference points</w:t>
            </w:r>
          </w:p>
        </w:tc>
      </w:tr>
      <w:tr w:rsidR="00F15611" w:rsidRPr="00646D82" w14:paraId="194B4995" w14:textId="77777777" w:rsidTr="00ED22B7">
        <w:tc>
          <w:tcPr>
            <w:tcW w:w="4455" w:type="dxa"/>
            <w:vMerge/>
          </w:tcPr>
          <w:p w14:paraId="41E8199C" w14:textId="77777777" w:rsidR="00F15611" w:rsidRPr="00646D82" w:rsidRDefault="00F15611" w:rsidP="00ED22B7">
            <w:pPr>
              <w:pStyle w:val="ListParagraph"/>
              <w:spacing w:before="120" w:after="120"/>
              <w:ind w:left="0"/>
              <w:jc w:val="center"/>
              <w:rPr>
                <w:rFonts w:ascii="Times New Roman" w:hAnsi="Times New Roman" w:cs="Times New Roman"/>
                <w:i/>
                <w:snapToGrid w:val="0"/>
                <w:kern w:val="22"/>
                <w:szCs w:val="22"/>
              </w:rPr>
            </w:pPr>
          </w:p>
        </w:tc>
        <w:tc>
          <w:tcPr>
            <w:tcW w:w="3393" w:type="dxa"/>
          </w:tcPr>
          <w:p w14:paraId="002B543D" w14:textId="77777777" w:rsidR="00F15611" w:rsidRPr="00646D82" w:rsidRDefault="00F15611" w:rsidP="00ED22B7">
            <w:pPr>
              <w:pStyle w:val="ListParagraph"/>
              <w:spacing w:before="120" w:after="120"/>
              <w:ind w:left="0"/>
              <w:jc w:val="center"/>
              <w:rPr>
                <w:rFonts w:ascii="Times New Roman" w:hAnsi="Times New Roman" w:cs="Times New Roman"/>
                <w:i/>
                <w:snapToGrid w:val="0"/>
                <w:kern w:val="22"/>
                <w:szCs w:val="22"/>
              </w:rPr>
            </w:pPr>
            <w:r w:rsidRPr="00646D82">
              <w:rPr>
                <w:rFonts w:ascii="Times New Roman" w:hAnsi="Times New Roman" w:cs="Times New Roman"/>
                <w:i/>
                <w:snapToGrid w:val="0"/>
                <w:kern w:val="22"/>
                <w:szCs w:val="22"/>
              </w:rPr>
              <w:t>Number of records published</w:t>
            </w:r>
          </w:p>
        </w:tc>
      </w:tr>
      <w:tr w:rsidR="00ED22B7" w:rsidRPr="00646D82" w14:paraId="46E60C36" w14:textId="77777777" w:rsidTr="00ED22B7">
        <w:tc>
          <w:tcPr>
            <w:tcW w:w="4455" w:type="dxa"/>
          </w:tcPr>
          <w:p w14:paraId="78528D0D" w14:textId="77777777" w:rsidR="00ED22B7" w:rsidRPr="00646D82" w:rsidRDefault="00ED22B7" w:rsidP="00A62394">
            <w:pPr>
              <w:pStyle w:val="ListParagraph"/>
              <w:ind w:left="0"/>
              <w:jc w:val="left"/>
              <w:rPr>
                <w:rFonts w:ascii="Times New Roman" w:eastAsia="SimSun" w:hAnsi="Times New Roman" w:cs="Times New Roman"/>
                <w:b/>
                <w:kern w:val="22"/>
                <w:szCs w:val="22"/>
              </w:rPr>
            </w:pPr>
            <w:r w:rsidRPr="00646D82">
              <w:rPr>
                <w:rFonts w:ascii="Times New Roman" w:hAnsi="Times New Roman" w:cs="Times New Roman"/>
                <w:snapToGrid w:val="0"/>
                <w:kern w:val="22"/>
                <w:szCs w:val="22"/>
              </w:rPr>
              <w:t>Virtual Library Record (includes Reference material, literature and capacity-building resources)</w:t>
            </w:r>
          </w:p>
        </w:tc>
        <w:tc>
          <w:tcPr>
            <w:tcW w:w="3393" w:type="dxa"/>
          </w:tcPr>
          <w:p w14:paraId="11FA3593" w14:textId="77777777" w:rsidR="00ED22B7" w:rsidRPr="00646D82" w:rsidRDefault="00ED22B7" w:rsidP="00A62394">
            <w:pPr>
              <w:pStyle w:val="ListParagraph"/>
              <w:ind w:left="0"/>
              <w:jc w:val="center"/>
              <w:rPr>
                <w:rFonts w:ascii="Times New Roman" w:eastAsia="SimSun" w:hAnsi="Times New Roman" w:cs="Times New Roman"/>
                <w:b/>
                <w:kern w:val="22"/>
                <w:szCs w:val="22"/>
              </w:rPr>
            </w:pPr>
            <w:r w:rsidRPr="00646D82">
              <w:rPr>
                <w:rFonts w:ascii="Times New Roman" w:hAnsi="Times New Roman" w:cs="Times New Roman"/>
                <w:snapToGrid w:val="0"/>
                <w:kern w:val="22"/>
                <w:szCs w:val="22"/>
              </w:rPr>
              <w:t>134</w:t>
            </w:r>
          </w:p>
        </w:tc>
      </w:tr>
      <w:tr w:rsidR="00ED22B7" w:rsidRPr="00646D82" w14:paraId="5AE23B33" w14:textId="77777777" w:rsidTr="00ED22B7">
        <w:tc>
          <w:tcPr>
            <w:tcW w:w="4455" w:type="dxa"/>
          </w:tcPr>
          <w:p w14:paraId="026F5C39" w14:textId="77777777" w:rsidR="00ED22B7" w:rsidRPr="00646D82" w:rsidRDefault="00ED22B7" w:rsidP="00A62394">
            <w:pPr>
              <w:pStyle w:val="ListParagraph"/>
              <w:ind w:left="0"/>
              <w:jc w:val="left"/>
              <w:rPr>
                <w:rFonts w:ascii="Times New Roman" w:eastAsia="SimSun" w:hAnsi="Times New Roman" w:cs="Times New Roman"/>
                <w:b/>
                <w:kern w:val="22"/>
                <w:szCs w:val="22"/>
              </w:rPr>
            </w:pPr>
            <w:r w:rsidRPr="00646D82">
              <w:rPr>
                <w:rFonts w:ascii="Times New Roman" w:hAnsi="Times New Roman" w:cs="Times New Roman"/>
                <w:snapToGrid w:val="0"/>
                <w:kern w:val="22"/>
                <w:szCs w:val="22"/>
              </w:rPr>
              <w:t>Capacity-building Initiatives</w:t>
            </w:r>
          </w:p>
        </w:tc>
        <w:tc>
          <w:tcPr>
            <w:tcW w:w="3393" w:type="dxa"/>
          </w:tcPr>
          <w:p w14:paraId="053199B4" w14:textId="77777777" w:rsidR="00ED22B7" w:rsidRPr="00646D82" w:rsidRDefault="00ED22B7" w:rsidP="00A62394">
            <w:pPr>
              <w:pStyle w:val="ListParagraph"/>
              <w:ind w:left="0"/>
              <w:jc w:val="center"/>
              <w:rPr>
                <w:rFonts w:ascii="Times New Roman" w:eastAsia="SimSun" w:hAnsi="Times New Roman" w:cs="Times New Roman"/>
                <w:b/>
                <w:kern w:val="22"/>
                <w:szCs w:val="22"/>
              </w:rPr>
            </w:pPr>
            <w:r w:rsidRPr="00646D82">
              <w:rPr>
                <w:rFonts w:ascii="Times New Roman" w:hAnsi="Times New Roman" w:cs="Times New Roman"/>
                <w:snapToGrid w:val="0"/>
                <w:kern w:val="22"/>
                <w:szCs w:val="22"/>
              </w:rPr>
              <w:t>74</w:t>
            </w:r>
          </w:p>
        </w:tc>
      </w:tr>
      <w:tr w:rsidR="00ED22B7" w:rsidRPr="00646D82" w14:paraId="1D272E23" w14:textId="77777777" w:rsidTr="00ED22B7">
        <w:tc>
          <w:tcPr>
            <w:tcW w:w="4455" w:type="dxa"/>
          </w:tcPr>
          <w:p w14:paraId="3405F5D3" w14:textId="77777777" w:rsidR="00ED22B7" w:rsidRPr="00646D82" w:rsidRDefault="00ED22B7" w:rsidP="00A62394">
            <w:pPr>
              <w:pStyle w:val="ListParagraph"/>
              <w:ind w:left="0"/>
              <w:jc w:val="left"/>
              <w:rPr>
                <w:rFonts w:ascii="Times New Roman" w:eastAsia="SimSun" w:hAnsi="Times New Roman" w:cs="Times New Roman"/>
                <w:b/>
                <w:kern w:val="22"/>
                <w:szCs w:val="22"/>
              </w:rPr>
            </w:pPr>
            <w:r w:rsidRPr="00646D82">
              <w:rPr>
                <w:rFonts w:ascii="Times New Roman" w:hAnsi="Times New Roman" w:cs="Times New Roman"/>
                <w:snapToGrid w:val="0"/>
                <w:kern w:val="22"/>
                <w:szCs w:val="22"/>
              </w:rPr>
              <w:t>Model Contractual Clauses, Codes of Conduct, Guidelines, Best Practices and/or Standards</w:t>
            </w:r>
          </w:p>
        </w:tc>
        <w:tc>
          <w:tcPr>
            <w:tcW w:w="3393" w:type="dxa"/>
          </w:tcPr>
          <w:p w14:paraId="63B47631" w14:textId="77777777" w:rsidR="00ED22B7" w:rsidRPr="00646D82" w:rsidRDefault="00ED22B7" w:rsidP="00A62394">
            <w:pPr>
              <w:pStyle w:val="ListParagraph"/>
              <w:ind w:left="0"/>
              <w:jc w:val="center"/>
              <w:rPr>
                <w:rFonts w:ascii="Times New Roman" w:eastAsia="SimSun" w:hAnsi="Times New Roman" w:cs="Times New Roman"/>
                <w:b/>
                <w:kern w:val="22"/>
                <w:szCs w:val="22"/>
              </w:rPr>
            </w:pPr>
            <w:r w:rsidRPr="00646D82">
              <w:rPr>
                <w:rFonts w:ascii="Times New Roman" w:hAnsi="Times New Roman" w:cs="Times New Roman"/>
                <w:snapToGrid w:val="0"/>
                <w:kern w:val="22"/>
                <w:szCs w:val="22"/>
              </w:rPr>
              <w:t>28</w:t>
            </w:r>
          </w:p>
        </w:tc>
      </w:tr>
      <w:tr w:rsidR="00ED22B7" w:rsidRPr="00646D82" w14:paraId="3EA82C55" w14:textId="77777777" w:rsidTr="00ED22B7">
        <w:tc>
          <w:tcPr>
            <w:tcW w:w="4455" w:type="dxa"/>
          </w:tcPr>
          <w:p w14:paraId="0321C39E" w14:textId="77777777" w:rsidR="00ED22B7" w:rsidRPr="00646D82" w:rsidRDefault="00ED22B7" w:rsidP="00A62394">
            <w:pPr>
              <w:pStyle w:val="ListParagraph"/>
              <w:ind w:left="0"/>
              <w:jc w:val="left"/>
              <w:rPr>
                <w:rFonts w:ascii="Times New Roman" w:hAnsi="Times New Roman" w:cs="Times New Roman"/>
                <w:snapToGrid w:val="0"/>
                <w:kern w:val="22"/>
                <w:szCs w:val="22"/>
              </w:rPr>
            </w:pPr>
            <w:r w:rsidRPr="00646D82">
              <w:rPr>
                <w:rFonts w:ascii="Times New Roman" w:hAnsi="Times New Roman" w:cs="Times New Roman"/>
                <w:snapToGrid w:val="0"/>
                <w:kern w:val="22"/>
                <w:szCs w:val="22"/>
              </w:rPr>
              <w:t>Community protocols and procedures and customary laws</w:t>
            </w:r>
          </w:p>
        </w:tc>
        <w:tc>
          <w:tcPr>
            <w:tcW w:w="3393" w:type="dxa"/>
          </w:tcPr>
          <w:p w14:paraId="415A4224" w14:textId="77777777" w:rsidR="00ED22B7" w:rsidRPr="00646D82" w:rsidRDefault="00ED22B7" w:rsidP="00A62394">
            <w:pPr>
              <w:pStyle w:val="ListParagraph"/>
              <w:ind w:left="0"/>
              <w:jc w:val="center"/>
              <w:rPr>
                <w:rFonts w:ascii="Times New Roman" w:eastAsia="SimSun" w:hAnsi="Times New Roman" w:cs="Times New Roman"/>
                <w:b/>
                <w:kern w:val="22"/>
                <w:szCs w:val="22"/>
              </w:rPr>
            </w:pPr>
            <w:r w:rsidRPr="00646D82">
              <w:rPr>
                <w:rFonts w:ascii="Times New Roman" w:hAnsi="Times New Roman" w:cs="Times New Roman"/>
                <w:snapToGrid w:val="0"/>
                <w:kern w:val="22"/>
                <w:szCs w:val="22"/>
              </w:rPr>
              <w:t>3</w:t>
            </w:r>
          </w:p>
        </w:tc>
      </w:tr>
    </w:tbl>
    <w:p w14:paraId="54B98DC6" w14:textId="77777777" w:rsidR="00ED22B7" w:rsidRPr="00646D82" w:rsidRDefault="00ED22B7" w:rsidP="00ED22B7">
      <w:pPr>
        <w:pStyle w:val="Para1"/>
        <w:suppressLineNumbers/>
        <w:suppressAutoHyphens/>
        <w:rPr>
          <w:i/>
          <w:szCs w:val="22"/>
        </w:rPr>
      </w:pPr>
    </w:p>
    <w:p w14:paraId="6D80B70C" w14:textId="264D8917" w:rsidR="00DE3898" w:rsidRPr="00646D82" w:rsidRDefault="00DE3898" w:rsidP="008A78C9">
      <w:pPr>
        <w:pStyle w:val="Para1"/>
        <w:numPr>
          <w:ilvl w:val="0"/>
          <w:numId w:val="12"/>
        </w:numPr>
        <w:suppressLineNumbers/>
        <w:suppressAutoHyphens/>
        <w:rPr>
          <w:i/>
          <w:szCs w:val="22"/>
        </w:rPr>
      </w:pPr>
      <w:r w:rsidRPr="00646D82">
        <w:rPr>
          <w:szCs w:val="22"/>
        </w:rPr>
        <w:t xml:space="preserve">As demonstrated </w:t>
      </w:r>
      <w:r w:rsidR="003E402F" w:rsidRPr="00646D82">
        <w:rPr>
          <w:szCs w:val="22"/>
        </w:rPr>
        <w:t xml:space="preserve">under element (a), and (f) above, </w:t>
      </w:r>
      <w:r w:rsidRPr="00646D82">
        <w:rPr>
          <w:szCs w:val="22"/>
        </w:rPr>
        <w:t>Parties, relevant stakeholders, indigenous peoples and local communities, and relevant organi</w:t>
      </w:r>
      <w:r w:rsidR="002B45AA" w:rsidRPr="00646D82">
        <w:rPr>
          <w:szCs w:val="22"/>
        </w:rPr>
        <w:t>z</w:t>
      </w:r>
      <w:r w:rsidRPr="00646D82">
        <w:rPr>
          <w:szCs w:val="22"/>
        </w:rPr>
        <w:t>ations have relevant information still to be published a</w:t>
      </w:r>
      <w:r w:rsidR="003E402F" w:rsidRPr="00646D82">
        <w:rPr>
          <w:szCs w:val="22"/>
        </w:rPr>
        <w:t>s national or reference records</w:t>
      </w:r>
      <w:r w:rsidR="008A20E8" w:rsidRPr="00646D82">
        <w:rPr>
          <w:szCs w:val="22"/>
        </w:rPr>
        <w:t>.</w:t>
      </w:r>
    </w:p>
    <w:p w14:paraId="7DFB4A8E" w14:textId="77777777" w:rsidR="003607F3" w:rsidRPr="00646D82" w:rsidRDefault="003607F3" w:rsidP="008A78C9">
      <w:pPr>
        <w:pStyle w:val="Para1"/>
        <w:numPr>
          <w:ilvl w:val="0"/>
          <w:numId w:val="12"/>
        </w:numPr>
        <w:suppressLineNumbers/>
        <w:suppressAutoHyphens/>
        <w:rPr>
          <w:szCs w:val="22"/>
        </w:rPr>
      </w:pPr>
      <w:r w:rsidRPr="00646D82">
        <w:rPr>
          <w:szCs w:val="22"/>
        </w:rPr>
        <w:t>According to feedback received, users of genetic resources or associated traditional knowledge would like more certainty that the information</w:t>
      </w:r>
      <w:r w:rsidR="0052183C" w:rsidRPr="00646D82">
        <w:rPr>
          <w:szCs w:val="22"/>
        </w:rPr>
        <w:t xml:space="preserve"> available on the ABS Clearing-House</w:t>
      </w:r>
      <w:r w:rsidRPr="00646D82">
        <w:rPr>
          <w:szCs w:val="22"/>
        </w:rPr>
        <w:t>, in particular the national information, is complete and up-to-date. On the other hand, many Parties in their reports have indicated that they are in the process of establishing or updating their institutional structures and ABS measures, and therefore, have yet to publish the mandatory information on the ABS Clearing-House.</w:t>
      </w:r>
    </w:p>
    <w:p w14:paraId="2C682BE3" w14:textId="77777777" w:rsidR="00A3614D" w:rsidRPr="00646D82" w:rsidRDefault="00A3614D" w:rsidP="00A3614D">
      <w:pPr>
        <w:pStyle w:val="Para1"/>
        <w:numPr>
          <w:ilvl w:val="0"/>
          <w:numId w:val="21"/>
        </w:numPr>
        <w:suppressLineNumbers/>
        <w:suppressAutoHyphens/>
        <w:ind w:left="0" w:firstLine="0"/>
        <w:rPr>
          <w:szCs w:val="22"/>
        </w:rPr>
      </w:pPr>
      <w:r w:rsidRPr="00646D82">
        <w:rPr>
          <w:i/>
          <w:kern w:val="22"/>
          <w:szCs w:val="22"/>
          <w:u w:color="000000"/>
        </w:rPr>
        <w:t xml:space="preserve">Capacity-building and awareness-raising for the use of the ABS Clearing-House: </w:t>
      </w:r>
      <w:r w:rsidRPr="00646D82">
        <w:rPr>
          <w:kern w:val="22"/>
          <w:szCs w:val="22"/>
          <w:u w:color="000000"/>
        </w:rPr>
        <w:t xml:space="preserve">As part of the outreach and engagement campaign the Secretariat has organised 34 remote trainings and 10 face-to-face trainings since </w:t>
      </w:r>
      <w:r w:rsidRPr="00646D82">
        <w:rPr>
          <w:szCs w:val="22"/>
        </w:rPr>
        <w:t>August</w:t>
      </w:r>
      <w:r w:rsidRPr="00646D82">
        <w:rPr>
          <w:kern w:val="22"/>
          <w:szCs w:val="22"/>
          <w:u w:color="000000"/>
        </w:rPr>
        <w:t xml:space="preserve"> 2014 to date. It has also developed a number of materials, including an e-learning course and several step-by-step guides. The outreach, via phone and emails, is tailored to the specific needs of countries and carried out in a consistent and proactive manner.</w:t>
      </w:r>
    </w:p>
    <w:p w14:paraId="33687882" w14:textId="07910E20" w:rsidR="00A3614D" w:rsidRPr="00646D82" w:rsidRDefault="00A3614D" w:rsidP="00A3614D">
      <w:pPr>
        <w:pStyle w:val="Para1"/>
        <w:numPr>
          <w:ilvl w:val="0"/>
          <w:numId w:val="21"/>
        </w:numPr>
        <w:suppressLineNumbers/>
        <w:suppressAutoHyphens/>
        <w:ind w:left="0" w:firstLine="0"/>
        <w:rPr>
          <w:szCs w:val="22"/>
        </w:rPr>
      </w:pPr>
      <w:r w:rsidRPr="00646D82">
        <w:rPr>
          <w:szCs w:val="22"/>
        </w:rPr>
        <w:t>The number of expert users of the ABS Clearing-House is growing, as demonstrated by the targeted survey which found that 30% of respondents considered themselves expert users of the website. However, 60% of respondents to the survey reported that they require additional technical assistance to use the ABS Clearing-House.</w:t>
      </w:r>
    </w:p>
    <w:p w14:paraId="49E3F349" w14:textId="62D7A223" w:rsidR="00A3614D" w:rsidRPr="00646D82" w:rsidRDefault="00A3614D" w:rsidP="00A3614D">
      <w:pPr>
        <w:pStyle w:val="Para1"/>
        <w:numPr>
          <w:ilvl w:val="0"/>
          <w:numId w:val="21"/>
        </w:numPr>
        <w:suppressLineNumbers/>
        <w:suppressAutoHyphens/>
        <w:ind w:left="0" w:firstLine="0"/>
        <w:rPr>
          <w:szCs w:val="22"/>
        </w:rPr>
      </w:pPr>
      <w:r w:rsidRPr="00646D82">
        <w:rPr>
          <w:szCs w:val="22"/>
        </w:rPr>
        <w:t>The live chat service installed on the ABS Clearing-House website for immediate support has received much positive feedback from the users of this service. Over the period of one year the help desk engaged in 2</w:t>
      </w:r>
      <w:r w:rsidR="005E30EC" w:rsidRPr="00646D82">
        <w:rPr>
          <w:szCs w:val="22"/>
        </w:rPr>
        <w:t>35</w:t>
      </w:r>
      <w:r w:rsidRPr="00646D82">
        <w:rPr>
          <w:szCs w:val="22"/>
        </w:rPr>
        <w:t xml:space="preserve"> online conversations</w:t>
      </w:r>
      <w:r w:rsidR="00A546DC" w:rsidRPr="00646D82">
        <w:rPr>
          <w:szCs w:val="22"/>
        </w:rPr>
        <w:t>.</w:t>
      </w:r>
      <w:r w:rsidRPr="00646D82">
        <w:rPr>
          <w:rStyle w:val="FootnoteReference"/>
          <w:sz w:val="22"/>
          <w:szCs w:val="22"/>
        </w:rPr>
        <w:footnoteReference w:id="41"/>
      </w:r>
      <w:r w:rsidRPr="00646D82">
        <w:rPr>
          <w:szCs w:val="22"/>
        </w:rPr>
        <w:t xml:space="preserve"> Almost 60% of all questions received were related to the broader practical implementation of the Protocol rather than technical support to use the ABS clearing-house. Many of these conversations were related to clarifying ABS measures, in particular, access to genetic resources and associated traditional knowledge especially for those countries where information on the ABS Clearing-House is limited or ABS national focal points are unresponsive.</w:t>
      </w:r>
    </w:p>
    <w:p w14:paraId="48F90C1D" w14:textId="0574019E" w:rsidR="00C151FA" w:rsidRPr="00646D82" w:rsidRDefault="00F208C6" w:rsidP="008A78C9">
      <w:pPr>
        <w:pStyle w:val="ListParagraph"/>
        <w:numPr>
          <w:ilvl w:val="0"/>
          <w:numId w:val="12"/>
        </w:numPr>
        <w:rPr>
          <w:snapToGrid w:val="0"/>
          <w:szCs w:val="22"/>
        </w:rPr>
      </w:pPr>
      <w:r w:rsidRPr="00646D82">
        <w:rPr>
          <w:i/>
          <w:kern w:val="22"/>
          <w:szCs w:val="22"/>
          <w:u w:color="000000"/>
        </w:rPr>
        <w:t>The Informal</w:t>
      </w:r>
      <w:r w:rsidR="00DE3898" w:rsidRPr="00646D82">
        <w:rPr>
          <w:i/>
          <w:szCs w:val="22"/>
        </w:rPr>
        <w:t xml:space="preserve"> Advisory Committee</w:t>
      </w:r>
      <w:r w:rsidR="00E3333C" w:rsidRPr="00646D82">
        <w:rPr>
          <w:i/>
          <w:szCs w:val="22"/>
        </w:rPr>
        <w:t xml:space="preserve"> (IAC)</w:t>
      </w:r>
      <w:r w:rsidRPr="00646D82">
        <w:rPr>
          <w:i/>
          <w:szCs w:val="22"/>
        </w:rPr>
        <w:t xml:space="preserve"> to the ABS Clearing-House</w:t>
      </w:r>
      <w:r w:rsidR="00DE3898" w:rsidRPr="00646D82">
        <w:rPr>
          <w:i/>
          <w:szCs w:val="22"/>
        </w:rPr>
        <w:t xml:space="preserve">. </w:t>
      </w:r>
      <w:r w:rsidR="00DE3898" w:rsidRPr="00646D82">
        <w:rPr>
          <w:szCs w:val="22"/>
        </w:rPr>
        <w:t xml:space="preserve">The </w:t>
      </w:r>
      <w:r w:rsidR="00E3333C" w:rsidRPr="00646D82">
        <w:rPr>
          <w:szCs w:val="22"/>
        </w:rPr>
        <w:t xml:space="preserve">IAC </w:t>
      </w:r>
      <w:r w:rsidR="00DE3898" w:rsidRPr="00646D82">
        <w:rPr>
          <w:szCs w:val="22"/>
        </w:rPr>
        <w:t xml:space="preserve">has been instrumental in the development and improvement of the ABS Clearing-House. The three IAC meetings have been productive </w:t>
      </w:r>
      <w:r w:rsidR="00E3333C" w:rsidRPr="00646D82">
        <w:rPr>
          <w:szCs w:val="22"/>
        </w:rPr>
        <w:t xml:space="preserve">in providing technical guidance </w:t>
      </w:r>
      <w:r w:rsidR="00DE3898" w:rsidRPr="00646D82">
        <w:rPr>
          <w:szCs w:val="22"/>
        </w:rPr>
        <w:t>as well as in setting priorities for the developm</w:t>
      </w:r>
      <w:r w:rsidR="007A1A44" w:rsidRPr="00646D82">
        <w:rPr>
          <w:szCs w:val="22"/>
        </w:rPr>
        <w:t>ent of the ABS Clearing-House</w:t>
      </w:r>
      <w:r w:rsidR="00DE3898" w:rsidRPr="00646D82">
        <w:rPr>
          <w:szCs w:val="22"/>
        </w:rPr>
        <w:t>.</w:t>
      </w:r>
    </w:p>
    <w:p w14:paraId="1B9725C4" w14:textId="4E6EC943" w:rsidR="00626FF1" w:rsidRPr="00646D82" w:rsidRDefault="00C151FA" w:rsidP="00A62394">
      <w:pPr>
        <w:pStyle w:val="Para1"/>
        <w:numPr>
          <w:ilvl w:val="0"/>
          <w:numId w:val="21"/>
        </w:numPr>
        <w:suppressLineNumbers/>
        <w:suppressAutoHyphens/>
        <w:ind w:left="0" w:firstLine="0"/>
        <w:rPr>
          <w:i/>
          <w:szCs w:val="22"/>
        </w:rPr>
      </w:pPr>
      <w:r w:rsidRPr="00646D82">
        <w:rPr>
          <w:i/>
          <w:szCs w:val="22"/>
        </w:rPr>
        <w:t>Reference points</w:t>
      </w:r>
      <w:r w:rsidRPr="00646D82">
        <w:rPr>
          <w:szCs w:val="22"/>
        </w:rPr>
        <w:t xml:space="preserve">: The sources </w:t>
      </w:r>
      <w:r w:rsidR="00E3333C" w:rsidRPr="00646D82">
        <w:rPr>
          <w:szCs w:val="22"/>
        </w:rPr>
        <w:t xml:space="preserve">analysed </w:t>
      </w:r>
      <w:r w:rsidRPr="00646D82">
        <w:rPr>
          <w:szCs w:val="22"/>
        </w:rPr>
        <w:t>provide very useful information and feedback to further develop and improve the ABS Clearing-House</w:t>
      </w:r>
      <w:r w:rsidR="00E3333C" w:rsidRPr="00646D82">
        <w:rPr>
          <w:szCs w:val="22"/>
        </w:rPr>
        <w:t xml:space="preserve"> and</w:t>
      </w:r>
      <w:r w:rsidRPr="00646D82">
        <w:rPr>
          <w:szCs w:val="22"/>
        </w:rPr>
        <w:t xml:space="preserve"> </w:t>
      </w:r>
      <w:r w:rsidR="00E3333C" w:rsidRPr="00646D82">
        <w:rPr>
          <w:szCs w:val="22"/>
        </w:rPr>
        <w:t>i</w:t>
      </w:r>
      <w:r w:rsidRPr="00646D82">
        <w:rPr>
          <w:szCs w:val="22"/>
        </w:rPr>
        <w:t>t could be useful to include the information provided in future reports on progress on the ABS Clearing-House prepared by the Executive Secretary. However, in the context of assessment and review a limited set of reference points and indicators are proposed to measure future progress on the following areas (a) publication by Parties of national records (segregated by type of record); (b) publication of reference records (segregated by type); and (c) number of visitors; and (f</w:t>
      </w:r>
      <w:r w:rsidR="00E472BE" w:rsidRPr="00646D82">
        <w:rPr>
          <w:szCs w:val="22"/>
        </w:rPr>
        <w:t>) number</w:t>
      </w:r>
      <w:r w:rsidR="00F15611" w:rsidRPr="00646D82">
        <w:rPr>
          <w:szCs w:val="22"/>
        </w:rPr>
        <w:t xml:space="preserve"> of non-Parties that have published national information (ABS measures, CNAs or checkpoints) in the ABS Clearing-House.</w:t>
      </w:r>
    </w:p>
    <w:p w14:paraId="10908435" w14:textId="310C14A3" w:rsidR="00150D47" w:rsidRPr="00646D82" w:rsidRDefault="00C151FA" w:rsidP="00646D82">
      <w:pPr>
        <w:pStyle w:val="Para1"/>
        <w:numPr>
          <w:ilvl w:val="6"/>
          <w:numId w:val="20"/>
        </w:numPr>
        <w:suppressLineNumbers/>
        <w:tabs>
          <w:tab w:val="clear" w:pos="2520"/>
        </w:tabs>
        <w:suppressAutoHyphens/>
        <w:ind w:left="0" w:firstLine="0"/>
        <w:jc w:val="center"/>
        <w:rPr>
          <w:rFonts w:eastAsia="Calibri"/>
          <w:i/>
          <w:kern w:val="22"/>
          <w:szCs w:val="22"/>
          <w:u w:color="000000"/>
        </w:rPr>
      </w:pPr>
      <w:r w:rsidRPr="00646D82">
        <w:rPr>
          <w:rFonts w:eastAsia="Calibri"/>
          <w:i/>
          <w:kern w:val="22"/>
          <w:szCs w:val="22"/>
          <w:u w:color="000000"/>
        </w:rPr>
        <w:t>F</w:t>
      </w:r>
      <w:r w:rsidR="003E402F" w:rsidRPr="00646D82">
        <w:rPr>
          <w:rFonts w:eastAsia="Calibri"/>
          <w:i/>
          <w:kern w:val="22"/>
          <w:szCs w:val="22"/>
          <w:u w:color="000000"/>
        </w:rPr>
        <w:t>indings and recommendations</w:t>
      </w:r>
    </w:p>
    <w:p w14:paraId="31424BBA" w14:textId="3780783F" w:rsidR="00A3614D" w:rsidRPr="00646D82" w:rsidRDefault="00F95C7D" w:rsidP="008A78C9">
      <w:pPr>
        <w:pStyle w:val="Para1"/>
        <w:numPr>
          <w:ilvl w:val="0"/>
          <w:numId w:val="12"/>
        </w:numPr>
        <w:suppressLineNumbers/>
        <w:suppressAutoHyphens/>
        <w:rPr>
          <w:szCs w:val="22"/>
        </w:rPr>
      </w:pPr>
      <w:r w:rsidRPr="00646D82">
        <w:rPr>
          <w:i/>
          <w:szCs w:val="22"/>
        </w:rPr>
        <w:t>Ease of use and functionality</w:t>
      </w:r>
      <w:r w:rsidR="00F013D1" w:rsidRPr="00646D82">
        <w:rPr>
          <w:i/>
          <w:szCs w:val="22"/>
        </w:rPr>
        <w:t>:</w:t>
      </w:r>
      <w:r w:rsidR="00F013D1" w:rsidRPr="00646D82">
        <w:rPr>
          <w:szCs w:val="22"/>
        </w:rPr>
        <w:t xml:space="preserve"> </w:t>
      </w:r>
      <w:r w:rsidR="001D5C0D" w:rsidRPr="00646D82">
        <w:rPr>
          <w:szCs w:val="22"/>
        </w:rPr>
        <w:t xml:space="preserve">The most appreciated features from the ABS Clearing-House are the website map, the country profiles, search and help pages, and live chat. These features </w:t>
      </w:r>
      <w:r w:rsidR="00A62394" w:rsidRPr="00646D82">
        <w:rPr>
          <w:szCs w:val="22"/>
        </w:rPr>
        <w:t xml:space="preserve">should </w:t>
      </w:r>
      <w:r w:rsidR="001D5C0D" w:rsidRPr="00646D82">
        <w:rPr>
          <w:szCs w:val="22"/>
        </w:rPr>
        <w:t>be prioritized for optimization and refined to best meet the needs of users of the ABS Clearing-House.</w:t>
      </w:r>
    </w:p>
    <w:p w14:paraId="1670B557" w14:textId="0B2BF865" w:rsidR="00F37DD3" w:rsidRPr="00646D82" w:rsidRDefault="00F013D1" w:rsidP="008A78C9">
      <w:pPr>
        <w:pStyle w:val="Para1"/>
        <w:numPr>
          <w:ilvl w:val="0"/>
          <w:numId w:val="12"/>
        </w:numPr>
        <w:suppressLineNumbers/>
        <w:suppressAutoHyphens/>
        <w:rPr>
          <w:szCs w:val="22"/>
        </w:rPr>
      </w:pPr>
      <w:r w:rsidRPr="00646D82">
        <w:rPr>
          <w:i/>
          <w:szCs w:val="22"/>
        </w:rPr>
        <w:t>Visitors:</w:t>
      </w:r>
      <w:r w:rsidRPr="00646D82">
        <w:rPr>
          <w:szCs w:val="22"/>
        </w:rPr>
        <w:t xml:space="preserve"> </w:t>
      </w:r>
      <w:r w:rsidR="003E402F" w:rsidRPr="00646D82">
        <w:rPr>
          <w:szCs w:val="22"/>
        </w:rPr>
        <w:t>Approximately half of the users of the ABS Clearing-House are use</w:t>
      </w:r>
      <w:r w:rsidR="00F37DD3" w:rsidRPr="00646D82">
        <w:rPr>
          <w:szCs w:val="22"/>
        </w:rPr>
        <w:t>r</w:t>
      </w:r>
      <w:r w:rsidR="003E402F" w:rsidRPr="00646D82">
        <w:rPr>
          <w:szCs w:val="22"/>
        </w:rPr>
        <w:t xml:space="preserve">s of genetic resources or associated traditional knowledge. </w:t>
      </w:r>
      <w:r w:rsidR="00F37DD3" w:rsidRPr="00646D82">
        <w:rPr>
          <w:szCs w:val="22"/>
        </w:rPr>
        <w:t>A</w:t>
      </w:r>
      <w:r w:rsidR="007A1A44" w:rsidRPr="00646D82">
        <w:rPr>
          <w:szCs w:val="22"/>
        </w:rPr>
        <w:t xml:space="preserve"> number of useful suggestions have been already provided from users of genetic resources in response to the targeted survey and these have been taken into account regarding the future development of the ABS Clearing-House</w:t>
      </w:r>
      <w:r w:rsidR="00F37DD3" w:rsidRPr="00646D82">
        <w:rPr>
          <w:szCs w:val="22"/>
        </w:rPr>
        <w:t>.</w:t>
      </w:r>
    </w:p>
    <w:p w14:paraId="7CE9796F" w14:textId="30E4E122" w:rsidR="007213BB" w:rsidRPr="00646D82" w:rsidRDefault="007213BB" w:rsidP="008A78C9">
      <w:pPr>
        <w:pStyle w:val="Para1"/>
        <w:numPr>
          <w:ilvl w:val="0"/>
          <w:numId w:val="12"/>
        </w:numPr>
        <w:suppressLineNumbers/>
        <w:suppressAutoHyphens/>
        <w:rPr>
          <w:szCs w:val="22"/>
        </w:rPr>
      </w:pPr>
      <w:r w:rsidRPr="00646D82">
        <w:rPr>
          <w:szCs w:val="22"/>
        </w:rPr>
        <w:t xml:space="preserve">Relevant stakeholders in particular the business </w:t>
      </w:r>
      <w:r w:rsidR="00A563EB" w:rsidRPr="00646D82">
        <w:rPr>
          <w:szCs w:val="22"/>
        </w:rPr>
        <w:t>and scientific communities</w:t>
      </w:r>
      <w:r w:rsidRPr="00646D82">
        <w:rPr>
          <w:szCs w:val="22"/>
        </w:rPr>
        <w:t>, could benefit from more outreach and awareness-raising both as users of genetic resources and as potential contributors of relevant information (e.g</w:t>
      </w:r>
      <w:r w:rsidR="004B1313" w:rsidRPr="00646D82">
        <w:rPr>
          <w:szCs w:val="22"/>
        </w:rPr>
        <w:t>.</w:t>
      </w:r>
      <w:r w:rsidRPr="00646D82">
        <w:rPr>
          <w:szCs w:val="22"/>
        </w:rPr>
        <w:t xml:space="preserve"> model clauses, codes of conduct, awareness-raising materials). The implementation of the ABS Clearing-House could also benefit from a greater understanding of their needs in terms of functionality and design of the ABS Clearing-House.</w:t>
      </w:r>
    </w:p>
    <w:p w14:paraId="23E48552" w14:textId="73F11CF2" w:rsidR="007213BB" w:rsidRPr="00646D82" w:rsidRDefault="007213BB" w:rsidP="008A78C9">
      <w:pPr>
        <w:pStyle w:val="Para1"/>
        <w:numPr>
          <w:ilvl w:val="0"/>
          <w:numId w:val="12"/>
        </w:numPr>
        <w:suppressLineNumbers/>
        <w:suppressAutoHyphens/>
        <w:rPr>
          <w:szCs w:val="22"/>
        </w:rPr>
      </w:pPr>
      <w:r w:rsidRPr="00646D82">
        <w:rPr>
          <w:szCs w:val="22"/>
        </w:rPr>
        <w:t xml:space="preserve">A possibility could be to enlarge the membership of the IAC to the ABS Clearing-House </w:t>
      </w:r>
      <w:r w:rsidR="00A563EB" w:rsidRPr="00646D82">
        <w:rPr>
          <w:szCs w:val="22"/>
        </w:rPr>
        <w:t>to allow for observers and i</w:t>
      </w:r>
      <w:r w:rsidRPr="00646D82">
        <w:rPr>
          <w:szCs w:val="22"/>
        </w:rPr>
        <w:t>nclu</w:t>
      </w:r>
      <w:r w:rsidR="00A563EB" w:rsidRPr="00646D82">
        <w:rPr>
          <w:szCs w:val="22"/>
        </w:rPr>
        <w:t>de</w:t>
      </w:r>
      <w:r w:rsidRPr="00646D82">
        <w:rPr>
          <w:szCs w:val="22"/>
        </w:rPr>
        <w:t xml:space="preserve"> other </w:t>
      </w:r>
      <w:r w:rsidR="00B47FA8" w:rsidRPr="00646D82">
        <w:rPr>
          <w:szCs w:val="22"/>
        </w:rPr>
        <w:t xml:space="preserve">users of the </w:t>
      </w:r>
      <w:r w:rsidRPr="00646D82">
        <w:rPr>
          <w:szCs w:val="22"/>
        </w:rPr>
        <w:t xml:space="preserve">ABS Clearing-House, such as, users of genetic resource and </w:t>
      </w:r>
      <w:r w:rsidR="00B47FA8" w:rsidRPr="00646D82">
        <w:rPr>
          <w:szCs w:val="22"/>
        </w:rPr>
        <w:t>associated traditional knowledge</w:t>
      </w:r>
      <w:r w:rsidR="00E3333C" w:rsidRPr="00646D82">
        <w:rPr>
          <w:szCs w:val="22"/>
        </w:rPr>
        <w:t>,</w:t>
      </w:r>
      <w:r w:rsidR="00B47FA8" w:rsidRPr="00646D82">
        <w:rPr>
          <w:szCs w:val="22"/>
        </w:rPr>
        <w:t xml:space="preserve"> can bring new perspectives and feedback about the ABS Clearing-House.</w:t>
      </w:r>
      <w:r w:rsidRPr="00646D82">
        <w:rPr>
          <w:szCs w:val="22"/>
        </w:rPr>
        <w:t xml:space="preserve"> </w:t>
      </w:r>
    </w:p>
    <w:p w14:paraId="10DB6725" w14:textId="77777777" w:rsidR="00A563EB" w:rsidRPr="00646D82" w:rsidRDefault="00F013D1" w:rsidP="008A78C9">
      <w:pPr>
        <w:pStyle w:val="ListParagraph"/>
        <w:numPr>
          <w:ilvl w:val="0"/>
          <w:numId w:val="12"/>
        </w:numPr>
        <w:rPr>
          <w:snapToGrid w:val="0"/>
          <w:szCs w:val="22"/>
        </w:rPr>
      </w:pPr>
      <w:r w:rsidRPr="00646D82">
        <w:rPr>
          <w:i/>
          <w:szCs w:val="22"/>
        </w:rPr>
        <w:t>Languages:</w:t>
      </w:r>
      <w:r w:rsidRPr="00646D82">
        <w:rPr>
          <w:szCs w:val="22"/>
        </w:rPr>
        <w:t xml:space="preserve"> </w:t>
      </w:r>
      <w:r w:rsidR="00A563EB" w:rsidRPr="00646D82">
        <w:rPr>
          <w:snapToGrid w:val="0"/>
          <w:szCs w:val="22"/>
        </w:rPr>
        <w:t>The urgent translation of the website, as well as, related capacity-building material in all six United National languages is a high priority. Countries also may wish to provide courtesy translations for national information published.</w:t>
      </w:r>
    </w:p>
    <w:p w14:paraId="4C10AD70" w14:textId="3849F729" w:rsidR="00B12F1E" w:rsidRPr="00646D82" w:rsidRDefault="00F013D1" w:rsidP="008A78C9">
      <w:pPr>
        <w:pStyle w:val="Para1"/>
        <w:numPr>
          <w:ilvl w:val="0"/>
          <w:numId w:val="12"/>
        </w:numPr>
        <w:suppressLineNumbers/>
        <w:suppressAutoHyphens/>
        <w:rPr>
          <w:szCs w:val="22"/>
        </w:rPr>
      </w:pPr>
      <w:r w:rsidRPr="00646D82">
        <w:rPr>
          <w:i/>
          <w:szCs w:val="22"/>
        </w:rPr>
        <w:t>Availability of information</w:t>
      </w:r>
      <w:r w:rsidRPr="00646D82">
        <w:rPr>
          <w:szCs w:val="22"/>
        </w:rPr>
        <w:t xml:space="preserve">: </w:t>
      </w:r>
      <w:r w:rsidR="00A546DC" w:rsidRPr="00646D82">
        <w:rPr>
          <w:szCs w:val="22"/>
        </w:rPr>
        <w:t>T</w:t>
      </w:r>
      <w:r w:rsidR="00FE6103" w:rsidRPr="00646D82">
        <w:rPr>
          <w:szCs w:val="22"/>
        </w:rPr>
        <w:t xml:space="preserve">he feedback received and the questions transmitted to the Secretariat through the live chat and other means highlight the fact that users of genetic resources are consulting the ABS Clearing-House to find </w:t>
      </w:r>
      <w:r w:rsidR="00B12F1E" w:rsidRPr="00646D82">
        <w:rPr>
          <w:szCs w:val="22"/>
        </w:rPr>
        <w:t>national information</w:t>
      </w:r>
      <w:r w:rsidR="00FE6103" w:rsidRPr="00646D82">
        <w:rPr>
          <w:szCs w:val="22"/>
        </w:rPr>
        <w:t>, and that there is an important need to provide information on national ABS requirements and procedures.</w:t>
      </w:r>
    </w:p>
    <w:p w14:paraId="36DA87F7" w14:textId="3ABB5F73" w:rsidR="00A563EB" w:rsidRPr="00646D82" w:rsidRDefault="00A563EB" w:rsidP="008A78C9">
      <w:pPr>
        <w:pStyle w:val="Para1"/>
        <w:numPr>
          <w:ilvl w:val="0"/>
          <w:numId w:val="12"/>
        </w:numPr>
        <w:suppressLineNumbers/>
        <w:suppressAutoHyphens/>
        <w:rPr>
          <w:szCs w:val="22"/>
        </w:rPr>
      </w:pPr>
      <w:r w:rsidRPr="00646D82">
        <w:rPr>
          <w:szCs w:val="22"/>
        </w:rPr>
        <w:t>The ABS Clearing-House should be able to provide users with simple and easy to understand guidance on the necessary steps to apply for access to genetic resources and associated traditional knowledge. Work is currently underway by the Secretariat, with the technical guidance of the</w:t>
      </w:r>
      <w:r w:rsidR="00E3333C" w:rsidRPr="00646D82">
        <w:rPr>
          <w:szCs w:val="22"/>
        </w:rPr>
        <w:t xml:space="preserve"> IAC</w:t>
      </w:r>
      <w:r w:rsidRPr="00646D82">
        <w:rPr>
          <w:szCs w:val="22"/>
        </w:rPr>
        <w:t xml:space="preserve">, to develop a dedicated common format on ABS procedures that will better capture the information required and increase visibility of this information. Once the format is completed, countries should be encouraged to provide this information as well as the other missing national information, as soon as possible.  </w:t>
      </w:r>
    </w:p>
    <w:p w14:paraId="789EE63E" w14:textId="089BAA9A" w:rsidR="00AF72E2" w:rsidRPr="00646D82" w:rsidRDefault="00A563EB" w:rsidP="008A78C9">
      <w:pPr>
        <w:pStyle w:val="Para1"/>
        <w:numPr>
          <w:ilvl w:val="0"/>
          <w:numId w:val="12"/>
        </w:numPr>
        <w:suppressLineNumbers/>
        <w:suppressAutoHyphens/>
        <w:rPr>
          <w:szCs w:val="22"/>
        </w:rPr>
      </w:pPr>
      <w:r w:rsidRPr="00646D82">
        <w:rPr>
          <w:i/>
          <w:szCs w:val="22"/>
        </w:rPr>
        <w:t>Capacity-building and awareness-raising for the use of the ABS Clearing-House</w:t>
      </w:r>
      <w:r w:rsidRPr="00646D82">
        <w:rPr>
          <w:szCs w:val="22"/>
        </w:rPr>
        <w:t xml:space="preserve">: The live chat service installed on the ABS Clearing-House website for immediate support has received positive feedback from users of this service. However, the majority of questions users are asking are related to implementation of the Protocol rather than technical support for the use of the clearing-house. This may need to be taken into consideration in the future operation and administration of the help desk and live chat feature.  </w:t>
      </w:r>
    </w:p>
    <w:p w14:paraId="02F3DEB9" w14:textId="77777777" w:rsidR="00F56089" w:rsidRPr="00646D82" w:rsidRDefault="00F56089" w:rsidP="008A78C9">
      <w:pPr>
        <w:pStyle w:val="Para1"/>
        <w:numPr>
          <w:ilvl w:val="0"/>
          <w:numId w:val="12"/>
        </w:numPr>
        <w:suppressLineNumbers/>
        <w:suppressAutoHyphens/>
        <w:rPr>
          <w:szCs w:val="22"/>
        </w:rPr>
      </w:pPr>
      <w:r w:rsidRPr="00646D82">
        <w:rPr>
          <w:szCs w:val="22"/>
        </w:rPr>
        <w:t xml:space="preserve">Technical assistance </w:t>
      </w:r>
      <w:r w:rsidR="00AF72E2" w:rsidRPr="00646D82">
        <w:rPr>
          <w:szCs w:val="22"/>
        </w:rPr>
        <w:t>for use of the ABS Clearing-House</w:t>
      </w:r>
      <w:r w:rsidR="00A563EB" w:rsidRPr="00646D82">
        <w:rPr>
          <w:szCs w:val="22"/>
        </w:rPr>
        <w:t xml:space="preserve"> is</w:t>
      </w:r>
      <w:r w:rsidR="00AF72E2" w:rsidRPr="00646D82">
        <w:rPr>
          <w:szCs w:val="22"/>
        </w:rPr>
        <w:t xml:space="preserve"> </w:t>
      </w:r>
      <w:r w:rsidRPr="00646D82">
        <w:rPr>
          <w:szCs w:val="22"/>
        </w:rPr>
        <w:t xml:space="preserve">still required, </w:t>
      </w:r>
      <w:r w:rsidR="00AF72E2" w:rsidRPr="00646D82">
        <w:rPr>
          <w:szCs w:val="22"/>
        </w:rPr>
        <w:t>i</w:t>
      </w:r>
      <w:r w:rsidRPr="00646D82">
        <w:rPr>
          <w:szCs w:val="22"/>
        </w:rPr>
        <w:t>n particular more capacity-building opportunities are needed:</w:t>
      </w:r>
    </w:p>
    <w:p w14:paraId="60B41EF8" w14:textId="77777777" w:rsidR="00F56089" w:rsidRPr="00646D82" w:rsidRDefault="00F56089" w:rsidP="00966F98">
      <w:pPr>
        <w:numPr>
          <w:ilvl w:val="0"/>
          <w:numId w:val="23"/>
        </w:numPr>
        <w:pBdr>
          <w:top w:val="nil"/>
          <w:left w:val="nil"/>
          <w:bottom w:val="nil"/>
          <w:right w:val="nil"/>
          <w:between w:val="nil"/>
          <w:bar w:val="nil"/>
        </w:pBdr>
        <w:spacing w:before="120" w:after="120" w:line="228" w:lineRule="auto"/>
        <w:ind w:left="0" w:firstLine="709"/>
        <w:rPr>
          <w:rFonts w:eastAsia="Calibri"/>
          <w:kern w:val="22"/>
          <w:szCs w:val="22"/>
          <w:u w:color="000000"/>
        </w:rPr>
      </w:pPr>
      <w:r w:rsidRPr="00646D82">
        <w:rPr>
          <w:rFonts w:eastAsia="Calibri"/>
          <w:kern w:val="22"/>
          <w:szCs w:val="22"/>
          <w:u w:color="000000"/>
        </w:rPr>
        <w:t>To provide training for the use the ABS Clearing-House, particularly for national users from countries in the African and Asia-Pacific region;</w:t>
      </w:r>
    </w:p>
    <w:p w14:paraId="79150009" w14:textId="77777777" w:rsidR="00F56089" w:rsidRPr="00646D82" w:rsidRDefault="00F56089" w:rsidP="00966F98">
      <w:pPr>
        <w:numPr>
          <w:ilvl w:val="0"/>
          <w:numId w:val="23"/>
        </w:numPr>
        <w:pBdr>
          <w:top w:val="nil"/>
          <w:left w:val="nil"/>
          <w:bottom w:val="nil"/>
          <w:right w:val="nil"/>
          <w:between w:val="nil"/>
          <w:bar w:val="nil"/>
        </w:pBdr>
        <w:spacing w:before="120" w:after="120" w:line="228" w:lineRule="auto"/>
        <w:ind w:left="0" w:firstLine="709"/>
        <w:rPr>
          <w:rFonts w:eastAsia="Calibri"/>
          <w:kern w:val="22"/>
          <w:szCs w:val="22"/>
          <w:u w:color="000000"/>
        </w:rPr>
      </w:pPr>
      <w:r w:rsidRPr="00646D82">
        <w:rPr>
          <w:rFonts w:eastAsia="Calibri"/>
          <w:kern w:val="22"/>
          <w:szCs w:val="22"/>
          <w:u w:color="000000"/>
        </w:rPr>
        <w:t>To increase understanding on how the system works to monitor the utilization of genetic resources through the ABS Clearing-House</w:t>
      </w:r>
      <w:r w:rsidR="00AF72E2" w:rsidRPr="00646D82">
        <w:rPr>
          <w:rFonts w:eastAsia="Calibri"/>
          <w:kern w:val="22"/>
          <w:szCs w:val="22"/>
          <w:u w:color="000000"/>
        </w:rPr>
        <w:t>;</w:t>
      </w:r>
    </w:p>
    <w:p w14:paraId="35AF5859" w14:textId="76727D46" w:rsidR="00841F3D" w:rsidRPr="00646D82" w:rsidRDefault="00F56089" w:rsidP="00966F98">
      <w:pPr>
        <w:numPr>
          <w:ilvl w:val="0"/>
          <w:numId w:val="23"/>
        </w:numPr>
        <w:pBdr>
          <w:top w:val="nil"/>
          <w:left w:val="nil"/>
          <w:bottom w:val="nil"/>
          <w:right w:val="nil"/>
          <w:between w:val="nil"/>
          <w:bar w:val="nil"/>
        </w:pBdr>
        <w:spacing w:before="120" w:after="120" w:line="228" w:lineRule="auto"/>
        <w:ind w:left="0" w:firstLine="709"/>
        <w:rPr>
          <w:rFonts w:eastAsia="Calibri"/>
          <w:kern w:val="22"/>
          <w:szCs w:val="22"/>
          <w:u w:color="000000"/>
        </w:rPr>
      </w:pPr>
      <w:r w:rsidRPr="00646D82">
        <w:rPr>
          <w:rFonts w:eastAsia="Calibri"/>
          <w:kern w:val="22"/>
          <w:szCs w:val="22"/>
          <w:u w:color="000000"/>
        </w:rPr>
        <w:t>For the use of the ABS Clearing-House’s interoperability features such as the application programming interface (API). This will be especially relevant for those Parties who have indicated they are working on implementing national clearing-houses and permitting systems</w:t>
      </w:r>
      <w:r w:rsidR="00A546DC" w:rsidRPr="00646D82">
        <w:rPr>
          <w:rFonts w:eastAsia="Calibri"/>
          <w:kern w:val="22"/>
          <w:szCs w:val="22"/>
          <w:u w:color="000000"/>
        </w:rPr>
        <w:t>;</w:t>
      </w:r>
      <w:r w:rsidR="00AF72E2" w:rsidRPr="00646D82">
        <w:rPr>
          <w:rFonts w:eastAsia="Calibri"/>
          <w:kern w:val="22"/>
          <w:szCs w:val="22"/>
          <w:u w:color="000000"/>
        </w:rPr>
        <w:t xml:space="preserve"> </w:t>
      </w:r>
    </w:p>
    <w:p w14:paraId="22DD2A92" w14:textId="56EC8D17" w:rsidR="00AF72E2" w:rsidRPr="00646D82" w:rsidRDefault="00841F3D" w:rsidP="00966F98">
      <w:pPr>
        <w:numPr>
          <w:ilvl w:val="0"/>
          <w:numId w:val="23"/>
        </w:numPr>
        <w:pBdr>
          <w:top w:val="nil"/>
          <w:left w:val="nil"/>
          <w:bottom w:val="nil"/>
          <w:right w:val="nil"/>
          <w:between w:val="nil"/>
          <w:bar w:val="nil"/>
        </w:pBdr>
        <w:spacing w:before="120" w:after="120" w:line="228" w:lineRule="auto"/>
        <w:ind w:left="0" w:firstLine="709"/>
        <w:rPr>
          <w:rFonts w:eastAsia="Calibri"/>
          <w:kern w:val="22"/>
          <w:szCs w:val="22"/>
          <w:u w:color="000000"/>
        </w:rPr>
      </w:pPr>
      <w:r w:rsidRPr="00646D82">
        <w:rPr>
          <w:rFonts w:eastAsia="Calibri"/>
          <w:kern w:val="22"/>
          <w:szCs w:val="22"/>
          <w:u w:color="000000"/>
        </w:rPr>
        <w:t>R</w:t>
      </w:r>
      <w:r w:rsidR="00AF72E2" w:rsidRPr="00646D82">
        <w:rPr>
          <w:rFonts w:eastAsia="Calibri"/>
          <w:kern w:val="22"/>
          <w:szCs w:val="22"/>
          <w:u w:color="000000"/>
        </w:rPr>
        <w:t>elevant stakeholders, indigenous peoples and local communities, and relevant organi</w:t>
      </w:r>
      <w:r w:rsidR="002B45AA" w:rsidRPr="00646D82">
        <w:rPr>
          <w:rFonts w:eastAsia="Calibri"/>
          <w:kern w:val="22"/>
          <w:szCs w:val="22"/>
          <w:u w:color="000000"/>
        </w:rPr>
        <w:t>z</w:t>
      </w:r>
      <w:r w:rsidR="00AF72E2" w:rsidRPr="00646D82">
        <w:rPr>
          <w:rFonts w:eastAsia="Calibri"/>
          <w:kern w:val="22"/>
          <w:szCs w:val="22"/>
          <w:u w:color="000000"/>
        </w:rPr>
        <w:t>ations may not be aware of possible information they have that they could contribute. Therefore, more effort is needed to build capacity as well as the awareness of these groups.</w:t>
      </w:r>
    </w:p>
    <w:p w14:paraId="19C2CFED" w14:textId="100FCDC4" w:rsidR="00B138D8" w:rsidRPr="00646D82" w:rsidRDefault="00F208C6" w:rsidP="008A78C9">
      <w:pPr>
        <w:pStyle w:val="Para1"/>
        <w:numPr>
          <w:ilvl w:val="0"/>
          <w:numId w:val="12"/>
        </w:numPr>
        <w:suppressLineNumbers/>
        <w:suppressAutoHyphens/>
        <w:rPr>
          <w:szCs w:val="22"/>
        </w:rPr>
      </w:pPr>
      <w:r w:rsidRPr="00646D82">
        <w:rPr>
          <w:i/>
          <w:szCs w:val="22"/>
        </w:rPr>
        <w:t>The Informal Advisory Committee</w:t>
      </w:r>
      <w:r w:rsidRPr="00646D82">
        <w:rPr>
          <w:szCs w:val="22"/>
        </w:rPr>
        <w:t xml:space="preserve">: The continuity of the </w:t>
      </w:r>
      <w:r w:rsidR="00E3333C" w:rsidRPr="00646D82">
        <w:rPr>
          <w:szCs w:val="22"/>
        </w:rPr>
        <w:t xml:space="preserve">IAC </w:t>
      </w:r>
      <w:r w:rsidRPr="00646D82">
        <w:rPr>
          <w:szCs w:val="22"/>
        </w:rPr>
        <w:t xml:space="preserve">in providing guidance to the </w:t>
      </w:r>
      <w:r w:rsidR="00ED0498" w:rsidRPr="00646D82">
        <w:rPr>
          <w:szCs w:val="22"/>
        </w:rPr>
        <w:t>Executive Secretary</w:t>
      </w:r>
      <w:r w:rsidR="00A563EB" w:rsidRPr="00646D82">
        <w:rPr>
          <w:szCs w:val="22"/>
        </w:rPr>
        <w:t xml:space="preserve">, and its possible expansion of its membership to include other </w:t>
      </w:r>
      <w:r w:rsidR="002B1522" w:rsidRPr="00646D82">
        <w:rPr>
          <w:szCs w:val="22"/>
        </w:rPr>
        <w:t>stakeholders</w:t>
      </w:r>
      <w:r w:rsidR="00ED0498" w:rsidRPr="00646D82">
        <w:rPr>
          <w:szCs w:val="22"/>
        </w:rPr>
        <w:t xml:space="preserve"> is key to inform future </w:t>
      </w:r>
      <w:r w:rsidRPr="00646D82">
        <w:rPr>
          <w:szCs w:val="22"/>
        </w:rPr>
        <w:t>development</w:t>
      </w:r>
      <w:r w:rsidR="00ED0498" w:rsidRPr="00646D82">
        <w:rPr>
          <w:szCs w:val="22"/>
        </w:rPr>
        <w:t>s</w:t>
      </w:r>
      <w:r w:rsidRPr="00646D82">
        <w:rPr>
          <w:szCs w:val="22"/>
        </w:rPr>
        <w:t xml:space="preserve"> and improvement</w:t>
      </w:r>
      <w:r w:rsidR="00ED0498" w:rsidRPr="00646D82">
        <w:rPr>
          <w:szCs w:val="22"/>
        </w:rPr>
        <w:t>s</w:t>
      </w:r>
      <w:r w:rsidRPr="00646D82">
        <w:rPr>
          <w:szCs w:val="22"/>
        </w:rPr>
        <w:t xml:space="preserve"> of the ABS Clearing-House</w:t>
      </w:r>
      <w:r w:rsidR="00ED0498" w:rsidRPr="00646D82">
        <w:rPr>
          <w:szCs w:val="22"/>
        </w:rPr>
        <w:t>.</w:t>
      </w:r>
    </w:p>
    <w:p w14:paraId="61AF6AF2" w14:textId="4BED9F92" w:rsidR="00200D03" w:rsidRPr="00646D82" w:rsidRDefault="00D16DB2" w:rsidP="00646D82">
      <w:pPr>
        <w:keepNext/>
        <w:numPr>
          <w:ilvl w:val="0"/>
          <w:numId w:val="4"/>
        </w:numPr>
        <w:pBdr>
          <w:top w:val="nil"/>
          <w:left w:val="nil"/>
          <w:bottom w:val="nil"/>
          <w:right w:val="nil"/>
          <w:between w:val="nil"/>
          <w:bar w:val="nil"/>
        </w:pBdr>
        <w:spacing w:before="240" w:after="120"/>
        <w:ind w:left="1843" w:hanging="850"/>
        <w:jc w:val="left"/>
        <w:outlineLvl w:val="0"/>
        <w:rPr>
          <w:b/>
          <w:bCs/>
          <w:caps/>
          <w:snapToGrid w:val="0"/>
          <w:color w:val="000000"/>
          <w:kern w:val="22"/>
          <w:szCs w:val="22"/>
          <w:u w:color="000000"/>
          <w:bdr w:val="nil"/>
        </w:rPr>
      </w:pPr>
      <w:r w:rsidRPr="00646D82">
        <w:rPr>
          <w:b/>
          <w:bCs/>
          <w:caps/>
          <w:snapToGrid w:val="0"/>
          <w:color w:val="000000"/>
          <w:kern w:val="22"/>
          <w:szCs w:val="22"/>
          <w:u w:color="000000"/>
          <w:bdr w:val="nil"/>
        </w:rPr>
        <w:t xml:space="preserve">draft framework of indicators and </w:t>
      </w:r>
      <w:r w:rsidR="00200D03" w:rsidRPr="00646D82">
        <w:rPr>
          <w:b/>
          <w:bCs/>
          <w:caps/>
          <w:snapToGrid w:val="0"/>
          <w:color w:val="000000"/>
          <w:kern w:val="22"/>
          <w:szCs w:val="22"/>
          <w:u w:color="000000"/>
          <w:bdr w:val="nil"/>
        </w:rPr>
        <w:t xml:space="preserve">Reference points </w:t>
      </w:r>
      <w:r w:rsidR="00F97694" w:rsidRPr="00646D82">
        <w:rPr>
          <w:b/>
          <w:bCs/>
          <w:caps/>
          <w:snapToGrid w:val="0"/>
          <w:color w:val="000000"/>
          <w:kern w:val="22"/>
          <w:szCs w:val="22"/>
          <w:u w:color="000000"/>
          <w:bdr w:val="nil"/>
        </w:rPr>
        <w:t>to</w:t>
      </w:r>
      <w:r w:rsidR="00A546DC" w:rsidRPr="00646D82">
        <w:rPr>
          <w:b/>
          <w:bCs/>
          <w:caps/>
          <w:snapToGrid w:val="0"/>
          <w:color w:val="000000"/>
          <w:kern w:val="22"/>
          <w:szCs w:val="22"/>
          <w:u w:color="000000"/>
          <w:bdr w:val="nil"/>
        </w:rPr>
        <w:t xml:space="preserve"> </w:t>
      </w:r>
      <w:r w:rsidR="00F97694" w:rsidRPr="00646D82">
        <w:rPr>
          <w:b/>
          <w:bCs/>
          <w:caps/>
          <w:snapToGrid w:val="0"/>
          <w:color w:val="000000"/>
          <w:kern w:val="22"/>
          <w:szCs w:val="22"/>
          <w:u w:color="000000"/>
          <w:bdr w:val="nil"/>
        </w:rPr>
        <w:t>measure progress</w:t>
      </w:r>
    </w:p>
    <w:p w14:paraId="6F9C9928" w14:textId="49C7A4A5" w:rsidR="00A62394" w:rsidRPr="00646D82" w:rsidRDefault="00A62394" w:rsidP="008A78C9">
      <w:pPr>
        <w:pStyle w:val="ListParagraph"/>
        <w:numPr>
          <w:ilvl w:val="0"/>
          <w:numId w:val="12"/>
        </w:numPr>
        <w:rPr>
          <w:snapToGrid w:val="0"/>
          <w:kern w:val="22"/>
          <w:szCs w:val="22"/>
        </w:rPr>
      </w:pPr>
      <w:r w:rsidRPr="00646D82">
        <w:rPr>
          <w:snapToGrid w:val="0"/>
          <w:kern w:val="22"/>
          <w:szCs w:val="22"/>
        </w:rPr>
        <w:t xml:space="preserve">The </w:t>
      </w:r>
      <w:r w:rsidR="00483C90" w:rsidRPr="00646D82">
        <w:rPr>
          <w:snapToGrid w:val="0"/>
          <w:kern w:val="22"/>
          <w:szCs w:val="22"/>
        </w:rPr>
        <w:t xml:space="preserve">Conference of the Parties serving as the </w:t>
      </w:r>
      <w:r w:rsidR="00A546DC" w:rsidRPr="00646D82">
        <w:rPr>
          <w:snapToGrid w:val="0"/>
          <w:kern w:val="22"/>
          <w:szCs w:val="22"/>
        </w:rPr>
        <w:t>meeting of the Parties to the Protocol</w:t>
      </w:r>
      <w:r w:rsidRPr="00646D82">
        <w:rPr>
          <w:snapToGrid w:val="0"/>
          <w:kern w:val="22"/>
          <w:szCs w:val="22"/>
        </w:rPr>
        <w:t xml:space="preserve"> requested the Executive Secretary to prepare a framework of indicators as a basis for measuring, in the second assessment and review and thereafter, progress in achieving the objective of the Protocol while taking into account the preparation of and elements included in the first assessment (NP-2/4, para</w:t>
      </w:r>
      <w:r w:rsidR="00A546DC" w:rsidRPr="00646D82">
        <w:rPr>
          <w:snapToGrid w:val="0"/>
          <w:kern w:val="22"/>
          <w:szCs w:val="22"/>
        </w:rPr>
        <w:t>.</w:t>
      </w:r>
      <w:r w:rsidRPr="00646D82">
        <w:rPr>
          <w:snapToGrid w:val="0"/>
          <w:kern w:val="22"/>
          <w:szCs w:val="22"/>
        </w:rPr>
        <w:t xml:space="preserve"> 4).</w:t>
      </w:r>
    </w:p>
    <w:p w14:paraId="5EECBBA7" w14:textId="3A402C47" w:rsidR="00DC1B22" w:rsidRPr="00646D82" w:rsidRDefault="00D16DB2" w:rsidP="008A78C9">
      <w:pPr>
        <w:pStyle w:val="Para1"/>
        <w:numPr>
          <w:ilvl w:val="0"/>
          <w:numId w:val="12"/>
        </w:numPr>
        <w:suppressLineNumbers/>
        <w:suppressAutoHyphens/>
        <w:rPr>
          <w:kern w:val="22"/>
          <w:szCs w:val="22"/>
        </w:rPr>
      </w:pPr>
      <w:r w:rsidRPr="00646D82">
        <w:rPr>
          <w:kern w:val="22"/>
          <w:szCs w:val="22"/>
        </w:rPr>
        <w:t xml:space="preserve">In response to this request, </w:t>
      </w:r>
      <w:r w:rsidR="00A546DC" w:rsidRPr="00646D82">
        <w:rPr>
          <w:kern w:val="22"/>
          <w:szCs w:val="22"/>
        </w:rPr>
        <w:t>a</w:t>
      </w:r>
      <w:r w:rsidR="00A62394" w:rsidRPr="00646D82">
        <w:rPr>
          <w:kern w:val="22"/>
          <w:szCs w:val="22"/>
        </w:rPr>
        <w:t xml:space="preserve">nnex II </w:t>
      </w:r>
      <w:r w:rsidRPr="00646D82">
        <w:rPr>
          <w:kern w:val="22"/>
          <w:szCs w:val="22"/>
        </w:rPr>
        <w:t xml:space="preserve">proposes </w:t>
      </w:r>
      <w:r w:rsidR="00A62394" w:rsidRPr="00646D82">
        <w:rPr>
          <w:kern w:val="22"/>
          <w:szCs w:val="22"/>
        </w:rPr>
        <w:t xml:space="preserve">a draft framework of indicators. The </w:t>
      </w:r>
      <w:r w:rsidRPr="00646D82">
        <w:rPr>
          <w:kern w:val="22"/>
          <w:szCs w:val="22"/>
        </w:rPr>
        <w:t xml:space="preserve">draft </w:t>
      </w:r>
      <w:r w:rsidR="00A62394" w:rsidRPr="00646D82">
        <w:rPr>
          <w:kern w:val="22"/>
          <w:szCs w:val="22"/>
        </w:rPr>
        <w:t>framework includes indicators for each of the elements addressed by the first assessment and review and takes into account the need to draw from information readily available and measurable through the reporting process or other available sources of information. For this reason, indicators are mostly based on existing questions of the interim national report</w:t>
      </w:r>
      <w:r w:rsidRPr="00646D82">
        <w:rPr>
          <w:kern w:val="22"/>
          <w:szCs w:val="22"/>
        </w:rPr>
        <w:t>.</w:t>
      </w:r>
    </w:p>
    <w:p w14:paraId="0910B802" w14:textId="5D0C30B3" w:rsidR="00A62394" w:rsidRPr="00646D82" w:rsidRDefault="00D16DB2" w:rsidP="008A78C9">
      <w:pPr>
        <w:pStyle w:val="Para1"/>
        <w:numPr>
          <w:ilvl w:val="0"/>
          <w:numId w:val="12"/>
        </w:numPr>
        <w:suppressLineNumbers/>
        <w:suppressAutoHyphens/>
        <w:rPr>
          <w:kern w:val="22"/>
          <w:szCs w:val="22"/>
        </w:rPr>
      </w:pPr>
      <w:r w:rsidRPr="00646D82">
        <w:rPr>
          <w:kern w:val="22"/>
          <w:szCs w:val="22"/>
        </w:rPr>
        <w:t xml:space="preserve">However, there are </w:t>
      </w:r>
      <w:r w:rsidR="00A62394" w:rsidRPr="00646D82">
        <w:rPr>
          <w:kern w:val="22"/>
          <w:szCs w:val="22"/>
        </w:rPr>
        <w:t xml:space="preserve">instances </w:t>
      </w:r>
      <w:r w:rsidRPr="00646D82">
        <w:rPr>
          <w:kern w:val="22"/>
          <w:szCs w:val="22"/>
        </w:rPr>
        <w:t>where no conclusive information coul</w:t>
      </w:r>
      <w:r w:rsidR="00DC1B22" w:rsidRPr="00646D82">
        <w:rPr>
          <w:kern w:val="22"/>
          <w:szCs w:val="22"/>
        </w:rPr>
        <w:t>d be drawn from the responses to the interim national report</w:t>
      </w:r>
      <w:r w:rsidR="00A62394" w:rsidRPr="00646D82">
        <w:rPr>
          <w:kern w:val="22"/>
          <w:szCs w:val="22"/>
        </w:rPr>
        <w:t xml:space="preserve">, and therefore, </w:t>
      </w:r>
      <w:r w:rsidR="00DC1B22" w:rsidRPr="00646D82">
        <w:rPr>
          <w:kern w:val="22"/>
          <w:szCs w:val="22"/>
        </w:rPr>
        <w:t xml:space="preserve">a new text is suggested for those indicators. The new indicators are clearly identified in </w:t>
      </w:r>
      <w:r w:rsidR="00A546DC" w:rsidRPr="00646D82">
        <w:rPr>
          <w:kern w:val="22"/>
          <w:szCs w:val="22"/>
        </w:rPr>
        <w:t>a</w:t>
      </w:r>
      <w:r w:rsidR="00DC1B22" w:rsidRPr="00646D82">
        <w:rPr>
          <w:kern w:val="22"/>
          <w:szCs w:val="22"/>
        </w:rPr>
        <w:t>nnex II.</w:t>
      </w:r>
    </w:p>
    <w:p w14:paraId="356BFB73" w14:textId="37B524CF" w:rsidR="00DC1B22" w:rsidRPr="00646D82" w:rsidRDefault="00DC1B22" w:rsidP="008A78C9">
      <w:pPr>
        <w:pStyle w:val="Para1"/>
        <w:numPr>
          <w:ilvl w:val="0"/>
          <w:numId w:val="12"/>
        </w:numPr>
        <w:suppressLineNumbers/>
        <w:suppressAutoHyphens/>
        <w:rPr>
          <w:kern w:val="22"/>
          <w:szCs w:val="22"/>
        </w:rPr>
      </w:pPr>
      <w:r w:rsidRPr="00646D82">
        <w:rPr>
          <w:kern w:val="22"/>
          <w:szCs w:val="22"/>
        </w:rPr>
        <w:t>When reviewing the reporting format for the next reporting cycle</w:t>
      </w:r>
      <w:r w:rsidR="008C59DB" w:rsidRPr="00646D82">
        <w:rPr>
          <w:kern w:val="22"/>
          <w:szCs w:val="22"/>
        </w:rPr>
        <w:t>,</w:t>
      </w:r>
      <w:r w:rsidRPr="00646D82">
        <w:rPr>
          <w:kern w:val="22"/>
          <w:szCs w:val="22"/>
        </w:rPr>
        <w:t xml:space="preserve"> questions could be included to collect information on indicators for which no reference points could be established. However, it should be borne in mind that future review of the format of the report will need to take into account the need for continuity in its questions to allow for the collection of information that could be comparable overtime to measure progress.</w:t>
      </w:r>
    </w:p>
    <w:p w14:paraId="21A6BA6E" w14:textId="4752591D" w:rsidR="005B33A0" w:rsidRPr="00646D82" w:rsidRDefault="00892AC0" w:rsidP="008A78C9">
      <w:pPr>
        <w:pStyle w:val="Para1"/>
        <w:numPr>
          <w:ilvl w:val="0"/>
          <w:numId w:val="12"/>
        </w:numPr>
        <w:suppressLineNumbers/>
        <w:suppressAutoHyphens/>
        <w:rPr>
          <w:kern w:val="22"/>
          <w:szCs w:val="22"/>
        </w:rPr>
      </w:pPr>
      <w:r w:rsidRPr="00646D82">
        <w:rPr>
          <w:kern w:val="22"/>
          <w:szCs w:val="22"/>
        </w:rPr>
        <w:t>As previously indicated</w:t>
      </w:r>
      <w:r w:rsidR="005B33A0" w:rsidRPr="00646D82">
        <w:rPr>
          <w:kern w:val="22"/>
          <w:szCs w:val="22"/>
        </w:rPr>
        <w:t>, a main outcome of the analys</w:t>
      </w:r>
      <w:r w:rsidR="006E520B" w:rsidRPr="00646D82">
        <w:rPr>
          <w:kern w:val="22"/>
          <w:szCs w:val="22"/>
        </w:rPr>
        <w:t>i</w:t>
      </w:r>
      <w:r w:rsidR="005B33A0" w:rsidRPr="00646D82">
        <w:rPr>
          <w:kern w:val="22"/>
          <w:szCs w:val="22"/>
        </w:rPr>
        <w:t>s carried out for the first assessment and review of the Protocol is the establishment of reference points</w:t>
      </w:r>
      <w:r w:rsidR="002079C6" w:rsidRPr="00646D82">
        <w:rPr>
          <w:kern w:val="22"/>
          <w:szCs w:val="22"/>
        </w:rPr>
        <w:t xml:space="preserve"> </w:t>
      </w:r>
      <w:r w:rsidR="00734557" w:rsidRPr="00646D82">
        <w:rPr>
          <w:kern w:val="22"/>
          <w:szCs w:val="22"/>
        </w:rPr>
        <w:t>to determine</w:t>
      </w:r>
      <w:r w:rsidR="002079C6" w:rsidRPr="00646D82">
        <w:rPr>
          <w:kern w:val="22"/>
          <w:szCs w:val="22"/>
        </w:rPr>
        <w:t xml:space="preserve"> a baseline </w:t>
      </w:r>
      <w:r w:rsidR="00734557" w:rsidRPr="00646D82">
        <w:rPr>
          <w:kern w:val="22"/>
          <w:szCs w:val="22"/>
        </w:rPr>
        <w:t xml:space="preserve">to measure </w:t>
      </w:r>
      <w:r w:rsidR="002079C6" w:rsidRPr="00646D82">
        <w:rPr>
          <w:kern w:val="22"/>
          <w:szCs w:val="22"/>
        </w:rPr>
        <w:t>progress in the future</w:t>
      </w:r>
      <w:r w:rsidR="00734557" w:rsidRPr="00646D82">
        <w:rPr>
          <w:kern w:val="22"/>
          <w:szCs w:val="22"/>
        </w:rPr>
        <w:t xml:space="preserve"> on: (a) implementation of the provisions of the Protocol by Parties; (b) the extent to which the Protocol is achieving its objective; (c) support available for implementation of the Protocol; (d) engagement of indigenous peoples and local communities and relevant stakeholders in ABS processes; and (e) the implementation and operation of the ABS Clearing-House.</w:t>
      </w:r>
    </w:p>
    <w:p w14:paraId="1583B97D" w14:textId="3B51F49D" w:rsidR="00511C99" w:rsidRPr="00646D82" w:rsidRDefault="005B33A0" w:rsidP="008A78C9">
      <w:pPr>
        <w:pStyle w:val="ListParagraph"/>
        <w:numPr>
          <w:ilvl w:val="0"/>
          <w:numId w:val="12"/>
        </w:numPr>
        <w:rPr>
          <w:kern w:val="22"/>
          <w:szCs w:val="22"/>
        </w:rPr>
      </w:pPr>
      <w:r w:rsidRPr="00646D82">
        <w:rPr>
          <w:kern w:val="22"/>
          <w:szCs w:val="22"/>
        </w:rPr>
        <w:t>T</w:t>
      </w:r>
      <w:r w:rsidR="009D1FA8" w:rsidRPr="00646D82">
        <w:rPr>
          <w:kern w:val="22"/>
          <w:szCs w:val="22"/>
        </w:rPr>
        <w:t xml:space="preserve">he table </w:t>
      </w:r>
      <w:r w:rsidR="00F013D1" w:rsidRPr="00646D82">
        <w:rPr>
          <w:kern w:val="22"/>
          <w:szCs w:val="22"/>
        </w:rPr>
        <w:t xml:space="preserve">found in </w:t>
      </w:r>
      <w:r w:rsidR="00A546DC" w:rsidRPr="00646D82">
        <w:rPr>
          <w:kern w:val="22"/>
          <w:szCs w:val="22"/>
        </w:rPr>
        <w:t>a</w:t>
      </w:r>
      <w:r w:rsidR="009D1FA8" w:rsidRPr="00646D82">
        <w:rPr>
          <w:kern w:val="22"/>
          <w:szCs w:val="22"/>
        </w:rPr>
        <w:t>nnex I</w:t>
      </w:r>
      <w:r w:rsidR="00F013D1" w:rsidRPr="00646D82">
        <w:rPr>
          <w:kern w:val="22"/>
          <w:szCs w:val="22"/>
        </w:rPr>
        <w:t>I</w:t>
      </w:r>
      <w:r w:rsidR="009D1FA8" w:rsidRPr="00646D82">
        <w:rPr>
          <w:kern w:val="22"/>
          <w:szCs w:val="22"/>
        </w:rPr>
        <w:t xml:space="preserve"> below collects the reference points resulting from the analyses car</w:t>
      </w:r>
      <w:r w:rsidRPr="00646D82">
        <w:rPr>
          <w:kern w:val="22"/>
          <w:szCs w:val="22"/>
        </w:rPr>
        <w:t>ried out for each of the element</w:t>
      </w:r>
      <w:r w:rsidR="00E3333C" w:rsidRPr="00646D82">
        <w:rPr>
          <w:kern w:val="22"/>
          <w:szCs w:val="22"/>
        </w:rPr>
        <w:t>s</w:t>
      </w:r>
      <w:r w:rsidR="00DC1B22" w:rsidRPr="00646D82">
        <w:rPr>
          <w:kern w:val="22"/>
          <w:szCs w:val="22"/>
        </w:rPr>
        <w:t xml:space="preserve">, and establishes </w:t>
      </w:r>
      <w:r w:rsidR="00DC1B22" w:rsidRPr="00646D82">
        <w:rPr>
          <w:snapToGrid w:val="0"/>
          <w:kern w:val="22"/>
          <w:szCs w:val="22"/>
        </w:rPr>
        <w:t>a baseline against which progress can be measured in the future for most of the indicators proposed.</w:t>
      </w:r>
    </w:p>
    <w:p w14:paraId="4B0888F3" w14:textId="7BD7716D" w:rsidR="001952BF" w:rsidRPr="00646D82" w:rsidRDefault="00B55F67" w:rsidP="008A78C9">
      <w:pPr>
        <w:pStyle w:val="Para1"/>
        <w:numPr>
          <w:ilvl w:val="0"/>
          <w:numId w:val="12"/>
        </w:numPr>
        <w:suppressLineNumbers/>
        <w:suppressAutoHyphens/>
        <w:rPr>
          <w:rFonts w:eastAsia="Calibri"/>
          <w:kern w:val="22"/>
          <w:szCs w:val="22"/>
          <w:u w:color="000000"/>
        </w:rPr>
      </w:pPr>
      <w:r w:rsidRPr="00646D82">
        <w:rPr>
          <w:kern w:val="22"/>
          <w:szCs w:val="22"/>
        </w:rPr>
        <w:t xml:space="preserve">Given that implementation of the Protocol will evolve over time, </w:t>
      </w:r>
      <w:r w:rsidR="00A72ED4" w:rsidRPr="00646D82">
        <w:rPr>
          <w:kern w:val="22"/>
          <w:szCs w:val="22"/>
        </w:rPr>
        <w:t xml:space="preserve">the framework of indicators should be a flexible tool </w:t>
      </w:r>
      <w:r w:rsidRPr="00646D82">
        <w:rPr>
          <w:kern w:val="22"/>
          <w:szCs w:val="22"/>
        </w:rPr>
        <w:t xml:space="preserve">that reflects </w:t>
      </w:r>
      <w:r w:rsidR="00392B2D" w:rsidRPr="00646D82">
        <w:rPr>
          <w:kern w:val="22"/>
          <w:szCs w:val="22"/>
        </w:rPr>
        <w:t>progress</w:t>
      </w:r>
      <w:r w:rsidRPr="00646D82">
        <w:rPr>
          <w:kern w:val="22"/>
          <w:szCs w:val="22"/>
        </w:rPr>
        <w:t xml:space="preserve"> made</w:t>
      </w:r>
      <w:r w:rsidR="00392B2D" w:rsidRPr="00646D82">
        <w:rPr>
          <w:kern w:val="22"/>
          <w:szCs w:val="22"/>
        </w:rPr>
        <w:t xml:space="preserve"> in </w:t>
      </w:r>
      <w:r w:rsidR="00A72ED4" w:rsidRPr="00646D82">
        <w:rPr>
          <w:kern w:val="22"/>
          <w:szCs w:val="22"/>
        </w:rPr>
        <w:t>implementation.</w:t>
      </w:r>
    </w:p>
    <w:p w14:paraId="70C4A00E" w14:textId="13275F0E" w:rsidR="00773B7A" w:rsidRPr="00646D82" w:rsidRDefault="006E520B" w:rsidP="0043268C">
      <w:pPr>
        <w:pStyle w:val="Para1"/>
        <w:numPr>
          <w:ilvl w:val="0"/>
          <w:numId w:val="12"/>
        </w:numPr>
        <w:suppressLineNumbers/>
        <w:suppressAutoHyphens/>
        <w:rPr>
          <w:kern w:val="22"/>
          <w:szCs w:val="22"/>
        </w:rPr>
      </w:pPr>
      <w:r w:rsidRPr="00646D82">
        <w:rPr>
          <w:kern w:val="22"/>
          <w:szCs w:val="22"/>
        </w:rPr>
        <w:t>Against this background, t</w:t>
      </w:r>
      <w:r w:rsidR="00CF4041" w:rsidRPr="00646D82">
        <w:rPr>
          <w:kern w:val="22"/>
          <w:szCs w:val="22"/>
        </w:rPr>
        <w:t xml:space="preserve">he Subsidiary Body on Implementation is invited to </w:t>
      </w:r>
      <w:r w:rsidR="00816970" w:rsidRPr="00646D82">
        <w:rPr>
          <w:kern w:val="22"/>
          <w:szCs w:val="22"/>
        </w:rPr>
        <w:t xml:space="preserve">consider the draft framework of indicators proposed in </w:t>
      </w:r>
      <w:r w:rsidR="00A546DC" w:rsidRPr="00646D82">
        <w:rPr>
          <w:kern w:val="22"/>
          <w:szCs w:val="22"/>
        </w:rPr>
        <w:t>a</w:t>
      </w:r>
      <w:r w:rsidR="00816970" w:rsidRPr="00646D82">
        <w:rPr>
          <w:kern w:val="22"/>
          <w:szCs w:val="22"/>
        </w:rPr>
        <w:t>nnex I</w:t>
      </w:r>
      <w:r w:rsidR="00F013D1" w:rsidRPr="00646D82">
        <w:rPr>
          <w:kern w:val="22"/>
          <w:szCs w:val="22"/>
        </w:rPr>
        <w:t>I</w:t>
      </w:r>
      <w:r w:rsidR="00816970" w:rsidRPr="00646D82">
        <w:rPr>
          <w:kern w:val="22"/>
          <w:szCs w:val="22"/>
        </w:rPr>
        <w:t xml:space="preserve"> below</w:t>
      </w:r>
      <w:r w:rsidR="00A62394" w:rsidRPr="00646D82">
        <w:rPr>
          <w:kern w:val="22"/>
          <w:szCs w:val="22"/>
        </w:rPr>
        <w:t>.</w:t>
      </w:r>
    </w:p>
    <w:p w14:paraId="423D1BD7" w14:textId="68766AAF" w:rsidR="00773B7A" w:rsidRPr="00646D82" w:rsidRDefault="00D27E29" w:rsidP="00646D82">
      <w:pPr>
        <w:keepNext/>
        <w:numPr>
          <w:ilvl w:val="0"/>
          <w:numId w:val="4"/>
        </w:numPr>
        <w:pBdr>
          <w:top w:val="nil"/>
          <w:left w:val="nil"/>
          <w:bottom w:val="nil"/>
          <w:right w:val="nil"/>
          <w:between w:val="nil"/>
          <w:bar w:val="nil"/>
        </w:pBdr>
        <w:spacing w:before="240" w:after="120"/>
        <w:ind w:left="1843" w:hanging="1276"/>
        <w:jc w:val="left"/>
        <w:outlineLvl w:val="0"/>
        <w:rPr>
          <w:b/>
          <w:szCs w:val="22"/>
        </w:rPr>
      </w:pPr>
      <w:r w:rsidRPr="00646D82">
        <w:rPr>
          <w:b/>
          <w:bCs/>
          <w:caps/>
          <w:snapToGrid w:val="0"/>
          <w:color w:val="000000"/>
          <w:kern w:val="22"/>
          <w:szCs w:val="22"/>
          <w:u w:color="000000"/>
          <w:bdr w:val="nil"/>
        </w:rPr>
        <w:t xml:space="preserve">Draft recommendations and findings for consideration </w:t>
      </w:r>
      <w:r w:rsidR="00883A7C" w:rsidRPr="00646D82">
        <w:rPr>
          <w:b/>
          <w:bCs/>
          <w:caps/>
          <w:snapToGrid w:val="0"/>
          <w:color w:val="000000"/>
          <w:kern w:val="22"/>
          <w:szCs w:val="22"/>
          <w:u w:color="000000"/>
          <w:bdr w:val="nil"/>
        </w:rPr>
        <w:t>by the subsidiary body on implementation</w:t>
      </w:r>
    </w:p>
    <w:p w14:paraId="3D61F088" w14:textId="70B66FAC" w:rsidR="00773B7A" w:rsidRPr="00646D82" w:rsidRDefault="0086019A" w:rsidP="008A78C9">
      <w:pPr>
        <w:pStyle w:val="Para1"/>
        <w:numPr>
          <w:ilvl w:val="0"/>
          <w:numId w:val="12"/>
        </w:numPr>
        <w:suppressLineNumbers/>
        <w:suppressAutoHyphens/>
        <w:rPr>
          <w:kern w:val="22"/>
          <w:szCs w:val="22"/>
        </w:rPr>
      </w:pPr>
      <w:r w:rsidRPr="00646D82">
        <w:rPr>
          <w:kern w:val="22"/>
          <w:szCs w:val="22"/>
        </w:rPr>
        <w:t xml:space="preserve">The Subsidiary Body on Implementation is </w:t>
      </w:r>
      <w:r w:rsidR="00F013D1" w:rsidRPr="00646D82">
        <w:rPr>
          <w:kern w:val="22"/>
          <w:szCs w:val="22"/>
        </w:rPr>
        <w:t xml:space="preserve">invited </w:t>
      </w:r>
      <w:r w:rsidRPr="00646D82">
        <w:rPr>
          <w:kern w:val="22"/>
          <w:szCs w:val="22"/>
        </w:rPr>
        <w:t xml:space="preserve">to review the analysis of information, as well as the draft framework of indicators </w:t>
      </w:r>
      <w:r w:rsidR="00D508EE" w:rsidRPr="00646D82">
        <w:rPr>
          <w:kern w:val="22"/>
          <w:szCs w:val="22"/>
        </w:rPr>
        <w:t xml:space="preserve">prepared </w:t>
      </w:r>
      <w:r w:rsidRPr="00646D82">
        <w:rPr>
          <w:kern w:val="22"/>
          <w:szCs w:val="22"/>
        </w:rPr>
        <w:t xml:space="preserve">by the Executive Secretary, and </w:t>
      </w:r>
      <w:r w:rsidR="00AE11E4" w:rsidRPr="00646D82">
        <w:rPr>
          <w:kern w:val="22"/>
          <w:szCs w:val="22"/>
        </w:rPr>
        <w:t xml:space="preserve">to </w:t>
      </w:r>
      <w:r w:rsidRPr="00646D82">
        <w:rPr>
          <w:kern w:val="22"/>
          <w:szCs w:val="22"/>
        </w:rPr>
        <w:t>submit its findings and recommendations for the consideration of the Conference of the Parties serving as the meeting of the Parties to the Nagoya Protocol at its third meeting.</w:t>
      </w:r>
    </w:p>
    <w:p w14:paraId="71555AAF" w14:textId="4C3EB2D0" w:rsidR="00BF6908" w:rsidRPr="00646D82" w:rsidRDefault="00AC15A9" w:rsidP="008A78C9">
      <w:pPr>
        <w:pStyle w:val="Para1"/>
        <w:numPr>
          <w:ilvl w:val="0"/>
          <w:numId w:val="12"/>
        </w:numPr>
        <w:suppressLineNumbers/>
        <w:suppressAutoHyphens/>
        <w:rPr>
          <w:kern w:val="22"/>
          <w:szCs w:val="22"/>
        </w:rPr>
      </w:pPr>
      <w:r w:rsidRPr="00646D82">
        <w:rPr>
          <w:kern w:val="22"/>
          <w:szCs w:val="22"/>
        </w:rPr>
        <w:t>Accordingly, t</w:t>
      </w:r>
      <w:r w:rsidR="00BF6908" w:rsidRPr="00646D82">
        <w:rPr>
          <w:kern w:val="22"/>
          <w:szCs w:val="22"/>
        </w:rPr>
        <w:t>he Subsidiary Body on Implementation may wish to recommend that the Conference of the Parties serving as the meeting of the Parties to the Protocol adopt a decision</w:t>
      </w:r>
      <w:r w:rsidR="00526021" w:rsidRPr="00646D82">
        <w:rPr>
          <w:kern w:val="22"/>
          <w:szCs w:val="22"/>
        </w:rPr>
        <w:t xml:space="preserve"> </w:t>
      </w:r>
      <w:r w:rsidR="00BF6908" w:rsidRPr="00646D82">
        <w:rPr>
          <w:kern w:val="22"/>
          <w:szCs w:val="22"/>
        </w:rPr>
        <w:t>along the following lines:</w:t>
      </w:r>
    </w:p>
    <w:p w14:paraId="3FA128F6" w14:textId="5715017F" w:rsidR="00AC15A9" w:rsidRPr="00646D82" w:rsidRDefault="00AC15A9" w:rsidP="00646D82">
      <w:pPr>
        <w:pStyle w:val="Para1"/>
        <w:suppressLineNumbers/>
        <w:suppressAutoHyphens/>
        <w:ind w:firstLine="720"/>
        <w:rPr>
          <w:i/>
          <w:kern w:val="22"/>
          <w:szCs w:val="22"/>
        </w:rPr>
      </w:pPr>
      <w:r w:rsidRPr="00646D82">
        <w:rPr>
          <w:i/>
          <w:kern w:val="22"/>
          <w:szCs w:val="22"/>
        </w:rPr>
        <w:t xml:space="preserve">The Conference of the Parties serving as the meeting of the Parties to the </w:t>
      </w:r>
      <w:r w:rsidR="00A546DC" w:rsidRPr="00646D82">
        <w:rPr>
          <w:i/>
          <w:kern w:val="22"/>
          <w:szCs w:val="22"/>
        </w:rPr>
        <w:t xml:space="preserve">Nagoya </w:t>
      </w:r>
      <w:r w:rsidRPr="00646D82">
        <w:rPr>
          <w:i/>
          <w:kern w:val="22"/>
          <w:szCs w:val="22"/>
        </w:rPr>
        <w:t>Protocol</w:t>
      </w:r>
    </w:p>
    <w:p w14:paraId="7284DE23" w14:textId="2217C954" w:rsidR="00F013D1" w:rsidRPr="00646D82" w:rsidRDefault="00F013D1" w:rsidP="00646D82">
      <w:pPr>
        <w:pStyle w:val="Para1"/>
        <w:numPr>
          <w:ilvl w:val="1"/>
          <w:numId w:val="37"/>
        </w:numPr>
        <w:rPr>
          <w:rFonts w:eastAsia="Calibri"/>
          <w:kern w:val="22"/>
          <w:szCs w:val="22"/>
        </w:rPr>
      </w:pPr>
      <w:r w:rsidRPr="00646D82">
        <w:rPr>
          <w:rFonts w:eastAsia="Calibri"/>
          <w:i/>
          <w:kern w:val="22"/>
          <w:szCs w:val="22"/>
        </w:rPr>
        <w:t>Takes note</w:t>
      </w:r>
      <w:r w:rsidRPr="00646D82">
        <w:rPr>
          <w:rFonts w:eastAsia="Calibri"/>
          <w:kern w:val="22"/>
          <w:szCs w:val="22"/>
        </w:rPr>
        <w:t xml:space="preserve"> of the </w:t>
      </w:r>
      <w:r w:rsidR="00462BA6" w:rsidRPr="00646D82">
        <w:rPr>
          <w:rFonts w:eastAsia="Calibri"/>
          <w:kern w:val="22"/>
          <w:szCs w:val="22"/>
        </w:rPr>
        <w:t xml:space="preserve">key </w:t>
      </w:r>
      <w:r w:rsidRPr="00646D82">
        <w:rPr>
          <w:rFonts w:eastAsia="Calibri"/>
          <w:kern w:val="22"/>
          <w:szCs w:val="22"/>
        </w:rPr>
        <w:t xml:space="preserve">findings </w:t>
      </w:r>
      <w:r w:rsidR="00AC15A9" w:rsidRPr="00646D82">
        <w:rPr>
          <w:rFonts w:eastAsia="Calibri"/>
          <w:kern w:val="22"/>
          <w:szCs w:val="22"/>
        </w:rPr>
        <w:t xml:space="preserve">of the first assessment and review of the </w:t>
      </w:r>
      <w:r w:rsidR="00BF4F1F" w:rsidRPr="00646D82">
        <w:rPr>
          <w:rFonts w:eastAsia="Calibri"/>
          <w:kern w:val="22"/>
          <w:szCs w:val="22"/>
        </w:rPr>
        <w:t>Protocol</w:t>
      </w:r>
      <w:r w:rsidR="009B4E05" w:rsidRPr="00646D82">
        <w:rPr>
          <w:rFonts w:eastAsia="Calibri"/>
          <w:kern w:val="22"/>
          <w:szCs w:val="22"/>
        </w:rPr>
        <w:t>,</w:t>
      </w:r>
      <w:r w:rsidR="00791F5B" w:rsidRPr="00646D82">
        <w:rPr>
          <w:rStyle w:val="FootnoteReference"/>
          <w:rFonts w:eastAsia="Calibri"/>
          <w:kern w:val="22"/>
          <w:sz w:val="22"/>
          <w:szCs w:val="22"/>
        </w:rPr>
        <w:footnoteReference w:id="42"/>
      </w:r>
      <w:r w:rsidR="009B4E05" w:rsidRPr="00646D82">
        <w:rPr>
          <w:rFonts w:eastAsia="Calibri"/>
          <w:kern w:val="22"/>
          <w:szCs w:val="22"/>
        </w:rPr>
        <w:t xml:space="preserve"> </w:t>
      </w:r>
      <w:r w:rsidRPr="00646D82">
        <w:rPr>
          <w:rFonts w:eastAsia="Calibri"/>
          <w:kern w:val="22"/>
          <w:szCs w:val="22"/>
        </w:rPr>
        <w:t>which include</w:t>
      </w:r>
      <w:r w:rsidR="00AC15A9" w:rsidRPr="00646D82">
        <w:rPr>
          <w:rFonts w:eastAsia="Calibri"/>
          <w:kern w:val="22"/>
          <w:szCs w:val="22"/>
        </w:rPr>
        <w:t>s</w:t>
      </w:r>
      <w:r w:rsidRPr="00646D82">
        <w:rPr>
          <w:rFonts w:eastAsia="Calibri"/>
          <w:kern w:val="22"/>
          <w:szCs w:val="22"/>
        </w:rPr>
        <w:t xml:space="preserve"> the input provided by the Compliance Committee;</w:t>
      </w:r>
    </w:p>
    <w:p w14:paraId="6E4ADA93" w14:textId="7B19D6A6" w:rsidR="00417181" w:rsidRPr="00646D82" w:rsidRDefault="00910A40" w:rsidP="00646D82">
      <w:pPr>
        <w:pStyle w:val="Para1"/>
        <w:numPr>
          <w:ilvl w:val="1"/>
          <w:numId w:val="37"/>
        </w:numPr>
        <w:rPr>
          <w:rFonts w:eastAsia="Calibri"/>
          <w:kern w:val="22"/>
          <w:szCs w:val="22"/>
        </w:rPr>
      </w:pPr>
      <w:r w:rsidRPr="00646D82">
        <w:rPr>
          <w:rFonts w:eastAsia="Calibri"/>
          <w:i/>
          <w:kern w:val="22"/>
          <w:szCs w:val="22"/>
        </w:rPr>
        <w:t xml:space="preserve">Welcomes </w:t>
      </w:r>
      <w:r w:rsidR="00F013D1" w:rsidRPr="00646D82">
        <w:rPr>
          <w:rFonts w:eastAsia="Calibri"/>
          <w:kern w:val="22"/>
          <w:szCs w:val="22"/>
        </w:rPr>
        <w:t>the framework of indicators</w:t>
      </w:r>
      <w:r w:rsidR="00417181" w:rsidRPr="00646D82">
        <w:rPr>
          <w:rFonts w:eastAsia="Calibri"/>
          <w:kern w:val="22"/>
          <w:szCs w:val="22"/>
        </w:rPr>
        <w:t>,</w:t>
      </w:r>
      <w:r w:rsidR="009C6879" w:rsidRPr="00646D82">
        <w:rPr>
          <w:rStyle w:val="FootnoteReference"/>
          <w:rFonts w:eastAsia="Calibri"/>
          <w:kern w:val="22"/>
          <w:sz w:val="22"/>
          <w:szCs w:val="22"/>
        </w:rPr>
        <w:footnoteReference w:id="43"/>
      </w:r>
      <w:r w:rsidR="00417181" w:rsidRPr="00646D82">
        <w:rPr>
          <w:rFonts w:eastAsia="Calibri"/>
          <w:kern w:val="22"/>
          <w:szCs w:val="22"/>
        </w:rPr>
        <w:t xml:space="preserve"> and </w:t>
      </w:r>
      <w:r w:rsidR="00417181" w:rsidRPr="00646D82">
        <w:rPr>
          <w:rFonts w:eastAsia="Calibri"/>
          <w:i/>
          <w:kern w:val="22"/>
          <w:szCs w:val="22"/>
        </w:rPr>
        <w:t>agrees</w:t>
      </w:r>
      <w:r w:rsidR="00417181" w:rsidRPr="00646D82">
        <w:rPr>
          <w:rFonts w:eastAsia="Calibri"/>
          <w:kern w:val="22"/>
          <w:szCs w:val="22"/>
        </w:rPr>
        <w:t xml:space="preserve"> to revisit and update the framework, as may be </w:t>
      </w:r>
      <w:r w:rsidR="00224314" w:rsidRPr="00646D82">
        <w:rPr>
          <w:rFonts w:eastAsia="Calibri"/>
          <w:kern w:val="22"/>
          <w:szCs w:val="22"/>
        </w:rPr>
        <w:t xml:space="preserve">deemed </w:t>
      </w:r>
      <w:r w:rsidR="00417181" w:rsidRPr="00646D82">
        <w:rPr>
          <w:rFonts w:eastAsia="Calibri"/>
          <w:kern w:val="22"/>
          <w:szCs w:val="22"/>
        </w:rPr>
        <w:t>appropriate</w:t>
      </w:r>
      <w:r w:rsidR="00937B92" w:rsidRPr="00646D82">
        <w:rPr>
          <w:rFonts w:eastAsia="Calibri"/>
          <w:kern w:val="22"/>
          <w:szCs w:val="22"/>
        </w:rPr>
        <w:t xml:space="preserve"> in </w:t>
      </w:r>
      <w:r w:rsidR="00A546DC" w:rsidRPr="00646D82">
        <w:rPr>
          <w:rFonts w:eastAsia="Calibri"/>
          <w:kern w:val="22"/>
          <w:szCs w:val="22"/>
        </w:rPr>
        <w:t xml:space="preserve">the </w:t>
      </w:r>
      <w:r w:rsidR="00937B92" w:rsidRPr="00646D82">
        <w:rPr>
          <w:rFonts w:eastAsia="Calibri"/>
          <w:kern w:val="22"/>
          <w:szCs w:val="22"/>
        </w:rPr>
        <w:t>light of</w:t>
      </w:r>
      <w:r w:rsidR="009D7818" w:rsidRPr="00646D82">
        <w:rPr>
          <w:rFonts w:eastAsia="Calibri"/>
          <w:kern w:val="22"/>
          <w:szCs w:val="22"/>
        </w:rPr>
        <w:t xml:space="preserve"> further progress made with implementation</w:t>
      </w:r>
      <w:r w:rsidR="00417181" w:rsidRPr="00646D82">
        <w:rPr>
          <w:rFonts w:eastAsia="Calibri"/>
          <w:kern w:val="22"/>
          <w:szCs w:val="22"/>
        </w:rPr>
        <w:t>;</w:t>
      </w:r>
    </w:p>
    <w:p w14:paraId="02A24A92" w14:textId="294CA268" w:rsidR="00937B92" w:rsidRPr="00646D82" w:rsidRDefault="00A546DC" w:rsidP="00646D82">
      <w:pPr>
        <w:pStyle w:val="Para1"/>
        <w:numPr>
          <w:ilvl w:val="1"/>
          <w:numId w:val="37"/>
        </w:numPr>
        <w:rPr>
          <w:rFonts w:eastAsia="Calibri"/>
          <w:kern w:val="22"/>
          <w:szCs w:val="22"/>
        </w:rPr>
      </w:pPr>
      <w:r w:rsidRPr="00646D82">
        <w:rPr>
          <w:rFonts w:eastAsia="Calibri"/>
          <w:i/>
          <w:kern w:val="22"/>
          <w:szCs w:val="22"/>
        </w:rPr>
        <w:t>Also w</w:t>
      </w:r>
      <w:r w:rsidR="00F013D1" w:rsidRPr="00646D82">
        <w:rPr>
          <w:rFonts w:eastAsia="Calibri"/>
          <w:i/>
          <w:kern w:val="22"/>
          <w:szCs w:val="22"/>
        </w:rPr>
        <w:t>elcomes</w:t>
      </w:r>
      <w:r w:rsidR="00F013D1" w:rsidRPr="00646D82">
        <w:rPr>
          <w:rFonts w:eastAsia="Calibri"/>
          <w:kern w:val="22"/>
          <w:szCs w:val="22"/>
        </w:rPr>
        <w:t xml:space="preserve"> the progress made by Parties in making the Protocol operational</w:t>
      </w:r>
      <w:r w:rsidR="00937B92" w:rsidRPr="00646D82">
        <w:rPr>
          <w:rFonts w:eastAsia="Calibri"/>
          <w:kern w:val="22"/>
          <w:szCs w:val="22"/>
        </w:rPr>
        <w:t>;</w:t>
      </w:r>
    </w:p>
    <w:p w14:paraId="7310D827" w14:textId="07515D22" w:rsidR="00F013D1" w:rsidRPr="00646D82" w:rsidRDefault="00F013D1" w:rsidP="00646D82">
      <w:pPr>
        <w:pStyle w:val="Para1"/>
        <w:numPr>
          <w:ilvl w:val="1"/>
          <w:numId w:val="37"/>
        </w:numPr>
        <w:rPr>
          <w:rFonts w:eastAsia="Calibri"/>
          <w:kern w:val="22"/>
          <w:szCs w:val="22"/>
        </w:rPr>
      </w:pPr>
      <w:r w:rsidRPr="00646D82">
        <w:rPr>
          <w:rFonts w:eastAsia="Calibri"/>
          <w:i/>
          <w:kern w:val="22"/>
          <w:szCs w:val="22"/>
        </w:rPr>
        <w:t>Notes</w:t>
      </w:r>
      <w:r w:rsidRPr="00646D82">
        <w:rPr>
          <w:rFonts w:eastAsia="Calibri"/>
          <w:kern w:val="22"/>
          <w:szCs w:val="22"/>
        </w:rPr>
        <w:t xml:space="preserve"> that further work is needed, as a priority:</w:t>
      </w:r>
    </w:p>
    <w:p w14:paraId="6841455B" w14:textId="48E01439" w:rsidR="00F013D1" w:rsidRPr="00646D82" w:rsidRDefault="00A546DC" w:rsidP="00646D82">
      <w:pPr>
        <w:pStyle w:val="Para1"/>
        <w:numPr>
          <w:ilvl w:val="2"/>
          <w:numId w:val="37"/>
        </w:numPr>
        <w:tabs>
          <w:tab w:val="clear" w:pos="1440"/>
        </w:tabs>
        <w:ind w:left="0" w:firstLine="720"/>
        <w:rPr>
          <w:rFonts w:eastAsia="Calibri"/>
          <w:kern w:val="22"/>
          <w:szCs w:val="22"/>
        </w:rPr>
      </w:pPr>
      <w:r w:rsidRPr="00646D82">
        <w:rPr>
          <w:rFonts w:eastAsia="Calibri"/>
          <w:kern w:val="22"/>
          <w:szCs w:val="22"/>
        </w:rPr>
        <w:t>To s</w:t>
      </w:r>
      <w:r w:rsidR="00F013D1" w:rsidRPr="00646D82">
        <w:rPr>
          <w:rFonts w:eastAsia="Calibri"/>
          <w:kern w:val="22"/>
          <w:szCs w:val="22"/>
        </w:rPr>
        <w:t xml:space="preserve">upport the development of </w:t>
      </w:r>
      <w:r w:rsidRPr="00646D82">
        <w:rPr>
          <w:rFonts w:eastAsia="Calibri"/>
          <w:kern w:val="22"/>
          <w:szCs w:val="22"/>
        </w:rPr>
        <w:t xml:space="preserve">access and benefit-sharing </w:t>
      </w:r>
      <w:r w:rsidR="00F013D1" w:rsidRPr="00646D82">
        <w:rPr>
          <w:rFonts w:eastAsia="Calibri"/>
          <w:kern w:val="22"/>
          <w:szCs w:val="22"/>
        </w:rPr>
        <w:t>measures</w:t>
      </w:r>
      <w:r w:rsidR="00EC55C9" w:rsidRPr="00646D82">
        <w:rPr>
          <w:rFonts w:eastAsia="Calibri"/>
          <w:kern w:val="22"/>
          <w:szCs w:val="22"/>
        </w:rPr>
        <w:t>, taking into account special considerations in accordance with Article 8</w:t>
      </w:r>
      <w:r w:rsidR="00F013D1" w:rsidRPr="00646D82">
        <w:rPr>
          <w:rFonts w:eastAsia="Calibri"/>
          <w:kern w:val="22"/>
          <w:szCs w:val="22"/>
        </w:rPr>
        <w:t>;</w:t>
      </w:r>
    </w:p>
    <w:p w14:paraId="2B0E9132" w14:textId="2F672C3A" w:rsidR="00F013D1" w:rsidRPr="00646D82" w:rsidRDefault="00A546DC" w:rsidP="00646D82">
      <w:pPr>
        <w:pStyle w:val="Para1"/>
        <w:numPr>
          <w:ilvl w:val="2"/>
          <w:numId w:val="37"/>
        </w:numPr>
        <w:tabs>
          <w:tab w:val="clear" w:pos="1440"/>
        </w:tabs>
        <w:ind w:left="0" w:firstLine="720"/>
        <w:rPr>
          <w:rFonts w:eastAsia="Calibri"/>
          <w:kern w:val="22"/>
          <w:szCs w:val="22"/>
        </w:rPr>
      </w:pPr>
      <w:r w:rsidRPr="00646D82">
        <w:rPr>
          <w:rFonts w:eastAsia="Calibri"/>
          <w:kern w:val="22"/>
          <w:szCs w:val="22"/>
        </w:rPr>
        <w:t>To e</w:t>
      </w:r>
      <w:r w:rsidR="00F013D1" w:rsidRPr="00646D82">
        <w:rPr>
          <w:rFonts w:eastAsia="Calibri"/>
          <w:kern w:val="22"/>
          <w:szCs w:val="22"/>
        </w:rPr>
        <w:t>nha</w:t>
      </w:r>
      <w:r w:rsidR="00095CFB" w:rsidRPr="00646D82">
        <w:rPr>
          <w:rFonts w:eastAsia="Calibri"/>
          <w:kern w:val="22"/>
          <w:szCs w:val="22"/>
        </w:rPr>
        <w:t>nce implementation by Parties of</w:t>
      </w:r>
      <w:r w:rsidR="00F013D1" w:rsidRPr="00646D82">
        <w:rPr>
          <w:rFonts w:eastAsia="Calibri"/>
          <w:kern w:val="22"/>
          <w:szCs w:val="22"/>
        </w:rPr>
        <w:t xml:space="preserve"> the provisions on compliance with domestic legislation and regulatory requirements on access and benefit-sharing (Article</w:t>
      </w:r>
      <w:r w:rsidR="003B5585" w:rsidRPr="00646D82">
        <w:rPr>
          <w:rFonts w:eastAsia="Calibri"/>
          <w:kern w:val="22"/>
          <w:szCs w:val="22"/>
        </w:rPr>
        <w:t>s</w:t>
      </w:r>
      <w:r w:rsidR="00F013D1" w:rsidRPr="00646D82">
        <w:rPr>
          <w:rFonts w:eastAsia="Calibri"/>
          <w:kern w:val="22"/>
          <w:szCs w:val="22"/>
        </w:rPr>
        <w:t xml:space="preserve"> 15</w:t>
      </w:r>
      <w:r w:rsidR="00BF6908" w:rsidRPr="00646D82">
        <w:rPr>
          <w:rFonts w:eastAsia="Calibri"/>
          <w:kern w:val="22"/>
          <w:szCs w:val="22"/>
        </w:rPr>
        <w:t xml:space="preserve"> and 16</w:t>
      </w:r>
      <w:r w:rsidR="00F013D1" w:rsidRPr="00646D82">
        <w:rPr>
          <w:rFonts w:eastAsia="Calibri"/>
          <w:kern w:val="22"/>
          <w:szCs w:val="22"/>
        </w:rPr>
        <w:t>), monitoring the utilization of genetic resources (Article 17)</w:t>
      </w:r>
      <w:r w:rsidR="003B5585" w:rsidRPr="00646D82">
        <w:rPr>
          <w:rFonts w:eastAsia="Calibri"/>
          <w:kern w:val="22"/>
          <w:szCs w:val="22"/>
        </w:rPr>
        <w:t>,</w:t>
      </w:r>
      <w:r w:rsidR="00F013D1" w:rsidRPr="00646D82">
        <w:rPr>
          <w:rFonts w:eastAsia="Calibri"/>
          <w:kern w:val="22"/>
          <w:szCs w:val="22"/>
        </w:rPr>
        <w:t xml:space="preserve"> including the designation of checkpoints, </w:t>
      </w:r>
      <w:r w:rsidR="00C45778" w:rsidRPr="00646D82">
        <w:rPr>
          <w:rFonts w:eastAsia="Calibri"/>
          <w:kern w:val="22"/>
          <w:szCs w:val="22"/>
        </w:rPr>
        <w:t xml:space="preserve">as well as the provisions </w:t>
      </w:r>
      <w:r w:rsidR="00F013D1" w:rsidRPr="00646D82">
        <w:rPr>
          <w:rFonts w:eastAsia="Calibri"/>
          <w:kern w:val="22"/>
          <w:szCs w:val="22"/>
        </w:rPr>
        <w:t>related to indigenous peoples and local communities</w:t>
      </w:r>
      <w:r w:rsidR="00C45778" w:rsidRPr="00646D82">
        <w:rPr>
          <w:rFonts w:eastAsia="Calibri"/>
          <w:kern w:val="22"/>
          <w:szCs w:val="22"/>
        </w:rPr>
        <w:t xml:space="preserve"> (Article 6, 7 and 12)</w:t>
      </w:r>
      <w:r w:rsidR="00F013D1" w:rsidRPr="00646D82">
        <w:rPr>
          <w:rFonts w:eastAsia="Calibri"/>
          <w:kern w:val="22"/>
          <w:szCs w:val="22"/>
        </w:rPr>
        <w:t>;</w:t>
      </w:r>
    </w:p>
    <w:p w14:paraId="68E4FC89" w14:textId="5ABD58AC" w:rsidR="00F013D1" w:rsidRPr="00646D82" w:rsidRDefault="00A546DC" w:rsidP="00646D82">
      <w:pPr>
        <w:pStyle w:val="Para1"/>
        <w:numPr>
          <w:ilvl w:val="2"/>
          <w:numId w:val="37"/>
        </w:numPr>
        <w:tabs>
          <w:tab w:val="clear" w:pos="1440"/>
        </w:tabs>
        <w:ind w:left="0" w:firstLine="720"/>
        <w:rPr>
          <w:rFonts w:eastAsia="Calibri"/>
          <w:kern w:val="22"/>
          <w:szCs w:val="22"/>
        </w:rPr>
      </w:pPr>
      <w:r w:rsidRPr="00646D82">
        <w:rPr>
          <w:rFonts w:eastAsia="Calibri"/>
          <w:kern w:val="22"/>
          <w:szCs w:val="22"/>
        </w:rPr>
        <w:t>To s</w:t>
      </w:r>
      <w:r w:rsidR="00F013D1" w:rsidRPr="00646D82">
        <w:rPr>
          <w:rFonts w:eastAsia="Calibri"/>
          <w:kern w:val="22"/>
          <w:szCs w:val="22"/>
        </w:rPr>
        <w:t xml:space="preserve">upport </w:t>
      </w:r>
      <w:r w:rsidR="003B5585" w:rsidRPr="00646D82">
        <w:rPr>
          <w:rFonts w:eastAsia="Calibri"/>
          <w:kern w:val="22"/>
          <w:szCs w:val="22"/>
        </w:rPr>
        <w:t xml:space="preserve">the </w:t>
      </w:r>
      <w:r w:rsidR="00F013D1" w:rsidRPr="00646D82">
        <w:rPr>
          <w:rFonts w:eastAsia="Calibri"/>
          <w:kern w:val="22"/>
          <w:szCs w:val="22"/>
        </w:rPr>
        <w:t>participation of indigenous peoples and local communities</w:t>
      </w:r>
      <w:r w:rsidR="00C45778" w:rsidRPr="00646D82">
        <w:rPr>
          <w:rFonts w:eastAsia="Calibri"/>
          <w:kern w:val="22"/>
          <w:szCs w:val="22"/>
        </w:rPr>
        <w:t xml:space="preserve"> in the implementation of the Protocol</w:t>
      </w:r>
      <w:r w:rsidR="00F013D1" w:rsidRPr="00646D82">
        <w:rPr>
          <w:rFonts w:eastAsia="Calibri"/>
          <w:kern w:val="22"/>
          <w:szCs w:val="22"/>
        </w:rPr>
        <w:t xml:space="preserve">, including by supporting the development </w:t>
      </w:r>
      <w:r w:rsidR="001F05C1" w:rsidRPr="00646D82">
        <w:rPr>
          <w:rFonts w:eastAsia="Calibri"/>
          <w:kern w:val="22"/>
          <w:szCs w:val="22"/>
        </w:rPr>
        <w:t xml:space="preserve">by indigenous peoples and local communities </w:t>
      </w:r>
      <w:r w:rsidR="00F013D1" w:rsidRPr="00646D82">
        <w:rPr>
          <w:rFonts w:eastAsia="Calibri"/>
          <w:kern w:val="22"/>
          <w:szCs w:val="22"/>
        </w:rPr>
        <w:t xml:space="preserve">of community </w:t>
      </w:r>
      <w:r w:rsidR="003E68EE" w:rsidRPr="00646D82">
        <w:rPr>
          <w:rFonts w:eastAsia="Calibri"/>
          <w:kern w:val="22"/>
          <w:szCs w:val="22"/>
        </w:rPr>
        <w:t xml:space="preserve">protocols and procedures, </w:t>
      </w:r>
      <w:r w:rsidR="003E68EE" w:rsidRPr="00646D82">
        <w:rPr>
          <w:rFonts w:eastAsia="Calibri"/>
          <w:kern w:val="22"/>
          <w:szCs w:val="22"/>
          <w:u w:color="000000"/>
        </w:rPr>
        <w:t>minimum requirements for mutually agreed terms and model contractual clauses for benefit-sharing arising from the utilization of traditional knowledge associated with genetic resources</w:t>
      </w:r>
      <w:r w:rsidR="00F013D1" w:rsidRPr="00646D82">
        <w:rPr>
          <w:rFonts w:eastAsia="Calibri"/>
          <w:kern w:val="22"/>
          <w:szCs w:val="22"/>
        </w:rPr>
        <w:t xml:space="preserve">, and raising their awareness and capacity about </w:t>
      </w:r>
      <w:r w:rsidRPr="00646D82">
        <w:rPr>
          <w:rFonts w:eastAsia="Calibri"/>
          <w:kern w:val="22"/>
          <w:szCs w:val="22"/>
        </w:rPr>
        <w:t>access and benefit</w:t>
      </w:r>
      <w:r w:rsidRPr="00646D82">
        <w:rPr>
          <w:rFonts w:eastAsia="Calibri"/>
          <w:kern w:val="22"/>
          <w:szCs w:val="22"/>
        </w:rPr>
        <w:noBreakHyphen/>
        <w:t>sharing</w:t>
      </w:r>
      <w:r w:rsidR="00F013D1" w:rsidRPr="00646D82">
        <w:rPr>
          <w:rFonts w:eastAsia="Calibri"/>
          <w:kern w:val="22"/>
          <w:szCs w:val="22"/>
        </w:rPr>
        <w:t>;</w:t>
      </w:r>
    </w:p>
    <w:p w14:paraId="33B8F7A6" w14:textId="2CFF94F4" w:rsidR="00F013D1" w:rsidRPr="00646D82" w:rsidRDefault="00F013D1" w:rsidP="00646D82">
      <w:pPr>
        <w:pStyle w:val="Para1"/>
        <w:numPr>
          <w:ilvl w:val="2"/>
          <w:numId w:val="37"/>
        </w:numPr>
        <w:tabs>
          <w:tab w:val="clear" w:pos="1440"/>
        </w:tabs>
        <w:ind w:left="0" w:firstLine="720"/>
        <w:rPr>
          <w:rFonts w:eastAsia="Calibri"/>
          <w:kern w:val="22"/>
          <w:szCs w:val="22"/>
        </w:rPr>
      </w:pPr>
      <w:r w:rsidRPr="00646D82">
        <w:rPr>
          <w:rFonts w:eastAsia="Calibri"/>
          <w:kern w:val="22"/>
          <w:szCs w:val="22"/>
        </w:rPr>
        <w:t>Raise awareness among relevant stakeholders and encourage their participation in the implementation of the Protocol</w:t>
      </w:r>
      <w:r w:rsidR="0035676A" w:rsidRPr="00646D82">
        <w:rPr>
          <w:rFonts w:eastAsia="Calibri"/>
          <w:kern w:val="22"/>
          <w:szCs w:val="22"/>
        </w:rPr>
        <w:t>;</w:t>
      </w:r>
    </w:p>
    <w:p w14:paraId="71E87D6E" w14:textId="64021FA4" w:rsidR="00EC55C9" w:rsidRPr="00646D82" w:rsidRDefault="00EC55C9" w:rsidP="00646D82">
      <w:pPr>
        <w:pStyle w:val="Para1"/>
        <w:numPr>
          <w:ilvl w:val="1"/>
          <w:numId w:val="37"/>
        </w:numPr>
        <w:rPr>
          <w:rFonts w:eastAsia="Calibri"/>
          <w:kern w:val="22"/>
          <w:szCs w:val="22"/>
        </w:rPr>
      </w:pPr>
      <w:r w:rsidRPr="00646D82">
        <w:rPr>
          <w:rFonts w:eastAsia="Calibri"/>
          <w:i/>
          <w:kern w:val="22"/>
          <w:szCs w:val="22"/>
        </w:rPr>
        <w:t>Urges</w:t>
      </w:r>
      <w:r w:rsidRPr="00646D82">
        <w:rPr>
          <w:rFonts w:eastAsia="Calibri"/>
          <w:kern w:val="22"/>
          <w:szCs w:val="22"/>
        </w:rPr>
        <w:t xml:space="preserve"> Parties that have not yet done so:</w:t>
      </w:r>
    </w:p>
    <w:p w14:paraId="6B10D8EA" w14:textId="04E333DC" w:rsidR="00EC55C9" w:rsidRPr="00646D82" w:rsidRDefault="00B76C6F" w:rsidP="00646D82">
      <w:pPr>
        <w:pStyle w:val="Para1"/>
        <w:numPr>
          <w:ilvl w:val="2"/>
          <w:numId w:val="37"/>
        </w:numPr>
        <w:tabs>
          <w:tab w:val="clear" w:pos="1440"/>
        </w:tabs>
        <w:ind w:left="0" w:firstLine="720"/>
        <w:rPr>
          <w:rFonts w:eastAsia="Calibri"/>
          <w:kern w:val="22"/>
          <w:szCs w:val="22"/>
        </w:rPr>
      </w:pPr>
      <w:r w:rsidRPr="00646D82">
        <w:rPr>
          <w:rFonts w:eastAsia="Calibri"/>
          <w:kern w:val="22"/>
          <w:szCs w:val="22"/>
        </w:rPr>
        <w:t>To e</w:t>
      </w:r>
      <w:r w:rsidR="00EC55C9" w:rsidRPr="00646D82">
        <w:rPr>
          <w:rFonts w:eastAsia="Calibri"/>
          <w:kern w:val="22"/>
          <w:szCs w:val="22"/>
        </w:rPr>
        <w:t>stablish institutional structures and legislative, administrative or policy measures on access and benefit-sharing</w:t>
      </w:r>
      <w:r w:rsidR="00BB43E7" w:rsidRPr="00646D82">
        <w:rPr>
          <w:rFonts w:eastAsia="Calibri"/>
          <w:kern w:val="22"/>
          <w:szCs w:val="22"/>
        </w:rPr>
        <w:t>,</w:t>
      </w:r>
      <w:r w:rsidR="00EC55C9" w:rsidRPr="00646D82">
        <w:rPr>
          <w:rFonts w:eastAsia="Calibri"/>
          <w:kern w:val="22"/>
          <w:szCs w:val="22"/>
        </w:rPr>
        <w:t xml:space="preserve"> taking into account paragraph 4 </w:t>
      </w:r>
      <w:r w:rsidR="00C50841" w:rsidRPr="00646D82">
        <w:rPr>
          <w:rFonts w:eastAsia="Calibri"/>
          <w:kern w:val="22"/>
          <w:szCs w:val="22"/>
        </w:rPr>
        <w:t xml:space="preserve">(a) and </w:t>
      </w:r>
      <w:r w:rsidR="00EC55C9" w:rsidRPr="00646D82">
        <w:rPr>
          <w:rFonts w:eastAsia="Calibri"/>
          <w:kern w:val="22"/>
          <w:szCs w:val="22"/>
        </w:rPr>
        <w:t>(b) above;</w:t>
      </w:r>
    </w:p>
    <w:p w14:paraId="523E6F5C" w14:textId="1B492B0F" w:rsidR="003972A5" w:rsidRPr="00646D82" w:rsidRDefault="00B76C6F" w:rsidP="00646D82">
      <w:pPr>
        <w:pStyle w:val="Para1"/>
        <w:numPr>
          <w:ilvl w:val="2"/>
          <w:numId w:val="37"/>
        </w:numPr>
        <w:tabs>
          <w:tab w:val="clear" w:pos="1440"/>
        </w:tabs>
        <w:ind w:left="0" w:firstLine="720"/>
        <w:rPr>
          <w:rFonts w:eastAsia="Calibri"/>
          <w:kern w:val="22"/>
          <w:szCs w:val="22"/>
        </w:rPr>
      </w:pPr>
      <w:r w:rsidRPr="00646D82">
        <w:rPr>
          <w:rFonts w:eastAsia="Calibri"/>
          <w:kern w:val="22"/>
          <w:szCs w:val="22"/>
        </w:rPr>
        <w:t>To t</w:t>
      </w:r>
      <w:r w:rsidR="003972A5" w:rsidRPr="00646D82">
        <w:rPr>
          <w:rFonts w:eastAsia="Calibri"/>
          <w:kern w:val="22"/>
          <w:szCs w:val="22"/>
        </w:rPr>
        <w:t>ake steps to address the priority areas identified in paragraph 4 (c) and (d) above;</w:t>
      </w:r>
    </w:p>
    <w:p w14:paraId="09507070" w14:textId="5D6A95F1" w:rsidR="00EC55C9" w:rsidRPr="00646D82" w:rsidRDefault="00B76C6F" w:rsidP="00646D82">
      <w:pPr>
        <w:pStyle w:val="Para1"/>
        <w:numPr>
          <w:ilvl w:val="2"/>
          <w:numId w:val="37"/>
        </w:numPr>
        <w:tabs>
          <w:tab w:val="clear" w:pos="1440"/>
        </w:tabs>
        <w:ind w:left="0" w:firstLine="720"/>
        <w:rPr>
          <w:rFonts w:eastAsia="Calibri"/>
          <w:kern w:val="22"/>
          <w:szCs w:val="22"/>
        </w:rPr>
      </w:pPr>
      <w:r w:rsidRPr="00646D82">
        <w:rPr>
          <w:rFonts w:eastAsia="Calibri"/>
          <w:kern w:val="22"/>
          <w:szCs w:val="22"/>
        </w:rPr>
        <w:t>To p</w:t>
      </w:r>
      <w:r w:rsidR="00EC55C9" w:rsidRPr="00646D82">
        <w:rPr>
          <w:rFonts w:eastAsia="Calibri"/>
          <w:kern w:val="22"/>
          <w:szCs w:val="22"/>
        </w:rPr>
        <w:t xml:space="preserve">ublish </w:t>
      </w:r>
      <w:r w:rsidR="00017EE1" w:rsidRPr="00646D82">
        <w:rPr>
          <w:rFonts w:eastAsia="Calibri"/>
          <w:kern w:val="22"/>
          <w:szCs w:val="22"/>
        </w:rPr>
        <w:t xml:space="preserve">in the Access and Benefit-Sharing Clearing-House </w:t>
      </w:r>
      <w:r w:rsidR="00EC55C9" w:rsidRPr="00646D82">
        <w:rPr>
          <w:rFonts w:eastAsia="Calibri"/>
          <w:kern w:val="22"/>
          <w:szCs w:val="22"/>
        </w:rPr>
        <w:t xml:space="preserve">all mandatory information available at the national level in accordance with </w:t>
      </w:r>
      <w:r w:rsidR="00017EE1" w:rsidRPr="00646D82">
        <w:rPr>
          <w:rFonts w:eastAsia="Calibri"/>
          <w:kern w:val="22"/>
          <w:szCs w:val="22"/>
        </w:rPr>
        <w:t xml:space="preserve">the </w:t>
      </w:r>
      <w:r w:rsidR="00EC55C9" w:rsidRPr="00646D82">
        <w:rPr>
          <w:rFonts w:eastAsia="Calibri"/>
          <w:kern w:val="22"/>
          <w:szCs w:val="22"/>
        </w:rPr>
        <w:t xml:space="preserve">obligations </w:t>
      </w:r>
      <w:r w:rsidR="00017EE1" w:rsidRPr="00646D82">
        <w:rPr>
          <w:rFonts w:eastAsia="Calibri"/>
          <w:kern w:val="22"/>
          <w:szCs w:val="22"/>
        </w:rPr>
        <w:t xml:space="preserve">enshrined </w:t>
      </w:r>
      <w:r w:rsidR="00EC55C9" w:rsidRPr="00646D82">
        <w:rPr>
          <w:rFonts w:eastAsia="Calibri"/>
          <w:kern w:val="22"/>
          <w:szCs w:val="22"/>
        </w:rPr>
        <w:t>in Article 14, paragraph 2</w:t>
      </w:r>
      <w:r w:rsidR="000061AB" w:rsidRPr="00646D82">
        <w:rPr>
          <w:rFonts w:eastAsia="Calibri"/>
          <w:kern w:val="22"/>
          <w:szCs w:val="22"/>
        </w:rPr>
        <w:t>,</w:t>
      </w:r>
      <w:r w:rsidR="00EC55C9" w:rsidRPr="00646D82">
        <w:rPr>
          <w:rFonts w:eastAsia="Calibri"/>
          <w:kern w:val="22"/>
          <w:szCs w:val="22"/>
        </w:rPr>
        <w:t xml:space="preserve"> of the Protocol, as soon as possible;</w:t>
      </w:r>
    </w:p>
    <w:p w14:paraId="5A017A03" w14:textId="26844194" w:rsidR="00F013D1" w:rsidRPr="00646D82" w:rsidRDefault="00937B92" w:rsidP="00646D82">
      <w:pPr>
        <w:pStyle w:val="Para1"/>
        <w:numPr>
          <w:ilvl w:val="1"/>
          <w:numId w:val="37"/>
        </w:numPr>
        <w:rPr>
          <w:rFonts w:eastAsia="Calibri"/>
          <w:kern w:val="22"/>
          <w:szCs w:val="22"/>
        </w:rPr>
      </w:pPr>
      <w:r w:rsidRPr="00646D82">
        <w:rPr>
          <w:rFonts w:eastAsia="Calibri"/>
          <w:i/>
          <w:kern w:val="22"/>
          <w:szCs w:val="22"/>
        </w:rPr>
        <w:t>Encourages</w:t>
      </w:r>
      <w:r w:rsidRPr="00646D82">
        <w:rPr>
          <w:rFonts w:eastAsia="Calibri"/>
          <w:kern w:val="22"/>
          <w:szCs w:val="22"/>
        </w:rPr>
        <w:t xml:space="preserve"> </w:t>
      </w:r>
      <w:r w:rsidR="00F013D1" w:rsidRPr="00646D82">
        <w:rPr>
          <w:rFonts w:eastAsia="Calibri"/>
          <w:kern w:val="22"/>
          <w:szCs w:val="22"/>
        </w:rPr>
        <w:t>Parties, non-Parties and relevant organi</w:t>
      </w:r>
      <w:r w:rsidR="00B76C6F" w:rsidRPr="00646D82">
        <w:rPr>
          <w:rFonts w:eastAsia="Calibri"/>
          <w:kern w:val="22"/>
          <w:szCs w:val="22"/>
        </w:rPr>
        <w:t>z</w:t>
      </w:r>
      <w:r w:rsidR="00F013D1" w:rsidRPr="00646D82">
        <w:rPr>
          <w:rFonts w:eastAsia="Calibri"/>
          <w:kern w:val="22"/>
          <w:szCs w:val="22"/>
        </w:rPr>
        <w:t xml:space="preserve">ations </w:t>
      </w:r>
      <w:r w:rsidRPr="00646D82">
        <w:rPr>
          <w:rFonts w:eastAsia="Calibri"/>
          <w:kern w:val="22"/>
          <w:szCs w:val="22"/>
        </w:rPr>
        <w:t>in a position to do so</w:t>
      </w:r>
      <w:r w:rsidR="00F013D1" w:rsidRPr="00646D82">
        <w:rPr>
          <w:rFonts w:eastAsia="Calibri"/>
          <w:kern w:val="22"/>
          <w:szCs w:val="22"/>
        </w:rPr>
        <w:t>:</w:t>
      </w:r>
    </w:p>
    <w:p w14:paraId="05B2B5B6" w14:textId="0B735E85" w:rsidR="00F013D1" w:rsidRPr="00646D82" w:rsidRDefault="00B76C6F" w:rsidP="00646D82">
      <w:pPr>
        <w:pStyle w:val="Para1"/>
        <w:numPr>
          <w:ilvl w:val="2"/>
          <w:numId w:val="37"/>
        </w:numPr>
        <w:tabs>
          <w:tab w:val="clear" w:pos="1440"/>
        </w:tabs>
        <w:ind w:left="0" w:firstLine="720"/>
        <w:rPr>
          <w:rFonts w:eastAsia="Calibri"/>
          <w:kern w:val="22"/>
          <w:szCs w:val="22"/>
        </w:rPr>
      </w:pPr>
      <w:r w:rsidRPr="00646D82">
        <w:rPr>
          <w:rFonts w:eastAsia="Calibri"/>
          <w:kern w:val="22"/>
          <w:szCs w:val="22"/>
        </w:rPr>
        <w:t>To e</w:t>
      </w:r>
      <w:r w:rsidR="00F013D1" w:rsidRPr="00646D82">
        <w:rPr>
          <w:rFonts w:eastAsia="Calibri"/>
          <w:kern w:val="22"/>
          <w:szCs w:val="22"/>
        </w:rPr>
        <w:t xml:space="preserve">xpand their efforts to build </w:t>
      </w:r>
      <w:r w:rsidR="003F1913" w:rsidRPr="00646D82">
        <w:rPr>
          <w:rFonts w:eastAsia="Calibri"/>
          <w:kern w:val="22"/>
          <w:szCs w:val="22"/>
        </w:rPr>
        <w:t xml:space="preserve">the </w:t>
      </w:r>
      <w:r w:rsidR="00F013D1" w:rsidRPr="00646D82">
        <w:rPr>
          <w:rFonts w:eastAsia="Calibri"/>
          <w:kern w:val="22"/>
          <w:szCs w:val="22"/>
        </w:rPr>
        <w:t>capacity of developing country Parties, in particular the least developed countries and small island developing States among them, and Parties with economies in transition, to implement the Nagoya Protocol</w:t>
      </w:r>
      <w:r w:rsidR="003F1913" w:rsidRPr="00646D82">
        <w:rPr>
          <w:rFonts w:eastAsia="Calibri"/>
          <w:kern w:val="22"/>
          <w:szCs w:val="22"/>
        </w:rPr>
        <w:t>,</w:t>
      </w:r>
      <w:r w:rsidR="00F013D1" w:rsidRPr="00646D82">
        <w:rPr>
          <w:rFonts w:eastAsia="Calibri"/>
          <w:kern w:val="22"/>
          <w:szCs w:val="22"/>
        </w:rPr>
        <w:t xml:space="preserve"> taking into account the priority areas identified in paragraph</w:t>
      </w:r>
      <w:r w:rsidR="00937B92" w:rsidRPr="00646D82">
        <w:rPr>
          <w:rFonts w:eastAsia="Calibri"/>
          <w:kern w:val="22"/>
          <w:szCs w:val="22"/>
        </w:rPr>
        <w:t>s</w:t>
      </w:r>
      <w:r w:rsidR="00F013D1" w:rsidRPr="00646D82">
        <w:rPr>
          <w:rFonts w:eastAsia="Calibri"/>
          <w:kern w:val="22"/>
          <w:szCs w:val="22"/>
        </w:rPr>
        <w:t xml:space="preserve"> </w:t>
      </w:r>
      <w:r w:rsidR="009D7818" w:rsidRPr="00646D82">
        <w:rPr>
          <w:rFonts w:eastAsia="Calibri"/>
          <w:kern w:val="22"/>
          <w:szCs w:val="22"/>
        </w:rPr>
        <w:t>4</w:t>
      </w:r>
      <w:r w:rsidR="00F013D1" w:rsidRPr="00646D82">
        <w:rPr>
          <w:rFonts w:eastAsia="Calibri"/>
          <w:kern w:val="22"/>
          <w:szCs w:val="22"/>
        </w:rPr>
        <w:t xml:space="preserve"> above as well as the</w:t>
      </w:r>
      <w:r w:rsidR="00E3333C" w:rsidRPr="00646D82">
        <w:rPr>
          <w:rFonts w:eastAsia="Calibri"/>
          <w:kern w:val="22"/>
          <w:szCs w:val="22"/>
        </w:rPr>
        <w:t xml:space="preserve"> key</w:t>
      </w:r>
      <w:r w:rsidR="00F013D1" w:rsidRPr="00646D82">
        <w:rPr>
          <w:rFonts w:eastAsia="Calibri"/>
          <w:kern w:val="22"/>
          <w:szCs w:val="22"/>
        </w:rPr>
        <w:t xml:space="preserve"> findings;</w:t>
      </w:r>
      <w:r w:rsidR="00FC2CC4" w:rsidRPr="00646D82">
        <w:rPr>
          <w:rStyle w:val="FootnoteReference"/>
          <w:rFonts w:eastAsia="Calibri"/>
          <w:kern w:val="22"/>
          <w:sz w:val="22"/>
          <w:szCs w:val="22"/>
        </w:rPr>
        <w:footnoteReference w:id="44"/>
      </w:r>
    </w:p>
    <w:p w14:paraId="33F1BAD2" w14:textId="731FF0A6" w:rsidR="00F013D1" w:rsidRPr="00646D82" w:rsidRDefault="00B76C6F" w:rsidP="00646D82">
      <w:pPr>
        <w:pStyle w:val="Para1"/>
        <w:numPr>
          <w:ilvl w:val="2"/>
          <w:numId w:val="37"/>
        </w:numPr>
        <w:tabs>
          <w:tab w:val="clear" w:pos="1440"/>
        </w:tabs>
        <w:ind w:left="0" w:firstLine="720"/>
        <w:rPr>
          <w:rFonts w:eastAsia="Calibri"/>
          <w:kern w:val="22"/>
          <w:szCs w:val="22"/>
        </w:rPr>
      </w:pPr>
      <w:r w:rsidRPr="00646D82">
        <w:rPr>
          <w:rFonts w:eastAsia="Calibri"/>
          <w:kern w:val="22"/>
          <w:szCs w:val="22"/>
        </w:rPr>
        <w:t>To s</w:t>
      </w:r>
      <w:r w:rsidR="00F013D1" w:rsidRPr="00646D82">
        <w:rPr>
          <w:rFonts w:eastAsia="Calibri"/>
          <w:kern w:val="22"/>
          <w:szCs w:val="22"/>
        </w:rPr>
        <w:t xml:space="preserve">upport </w:t>
      </w:r>
      <w:r w:rsidR="00D43999" w:rsidRPr="00646D82">
        <w:rPr>
          <w:rFonts w:eastAsia="Calibri"/>
          <w:kern w:val="22"/>
          <w:szCs w:val="22"/>
        </w:rPr>
        <w:t xml:space="preserve">capacity-building initiatives to implement the Protocol, such as </w:t>
      </w:r>
      <w:r w:rsidR="00F013D1" w:rsidRPr="00646D82">
        <w:rPr>
          <w:rFonts w:eastAsia="Calibri"/>
          <w:kern w:val="22"/>
          <w:szCs w:val="22"/>
        </w:rPr>
        <w:t xml:space="preserve">the capacity-building programme </w:t>
      </w:r>
      <w:r w:rsidR="00CE6883" w:rsidRPr="00646D82">
        <w:rPr>
          <w:rFonts w:eastAsia="Calibri"/>
          <w:kern w:val="22"/>
          <w:szCs w:val="22"/>
        </w:rPr>
        <w:t xml:space="preserve">of the Secretariat and the International Development Law Organization </w:t>
      </w:r>
      <w:r w:rsidR="00F013D1" w:rsidRPr="00646D82">
        <w:rPr>
          <w:rFonts w:eastAsia="Calibri"/>
          <w:kern w:val="22"/>
          <w:szCs w:val="22"/>
        </w:rPr>
        <w:t>for the establishment of national legal frameworks, including by providing financial resources;</w:t>
      </w:r>
    </w:p>
    <w:p w14:paraId="5B98CA80" w14:textId="1F82DBAF" w:rsidR="00F013D1" w:rsidRPr="00646D82" w:rsidRDefault="00B76C6F" w:rsidP="00646D82">
      <w:pPr>
        <w:pStyle w:val="Para1"/>
        <w:numPr>
          <w:ilvl w:val="2"/>
          <w:numId w:val="37"/>
        </w:numPr>
        <w:tabs>
          <w:tab w:val="clear" w:pos="1440"/>
        </w:tabs>
        <w:ind w:left="0" w:firstLine="720"/>
        <w:rPr>
          <w:rFonts w:eastAsia="Calibri"/>
          <w:kern w:val="22"/>
          <w:szCs w:val="22"/>
        </w:rPr>
      </w:pPr>
      <w:r w:rsidRPr="00646D82">
        <w:rPr>
          <w:rFonts w:eastAsia="Calibri"/>
          <w:kern w:val="22"/>
          <w:szCs w:val="22"/>
        </w:rPr>
        <w:t>To m</w:t>
      </w:r>
      <w:r w:rsidR="00F013D1" w:rsidRPr="00646D82">
        <w:rPr>
          <w:rFonts w:eastAsia="Calibri"/>
          <w:kern w:val="22"/>
          <w:szCs w:val="22"/>
        </w:rPr>
        <w:t xml:space="preserve">ake available information on capacity-building initiatives and capacity-building resources </w:t>
      </w:r>
      <w:r w:rsidR="00392872" w:rsidRPr="00646D82">
        <w:rPr>
          <w:rFonts w:eastAsia="Calibri"/>
          <w:kern w:val="22"/>
          <w:szCs w:val="22"/>
        </w:rPr>
        <w:t xml:space="preserve">on </w:t>
      </w:r>
      <w:r w:rsidR="00F013D1" w:rsidRPr="00646D82">
        <w:rPr>
          <w:rFonts w:eastAsia="Calibri"/>
          <w:kern w:val="22"/>
          <w:szCs w:val="22"/>
        </w:rPr>
        <w:t>the ABS Clearing-House;</w:t>
      </w:r>
    </w:p>
    <w:p w14:paraId="0F9D83E5" w14:textId="773AD0CC" w:rsidR="00F013D1" w:rsidRPr="00646D82" w:rsidRDefault="00B76C6F" w:rsidP="00646D82">
      <w:pPr>
        <w:pStyle w:val="Para1"/>
        <w:numPr>
          <w:ilvl w:val="2"/>
          <w:numId w:val="37"/>
        </w:numPr>
        <w:tabs>
          <w:tab w:val="clear" w:pos="1440"/>
        </w:tabs>
        <w:ind w:left="0" w:firstLine="720"/>
        <w:rPr>
          <w:rFonts w:eastAsia="Calibri"/>
          <w:kern w:val="22"/>
          <w:szCs w:val="22"/>
        </w:rPr>
      </w:pPr>
      <w:r w:rsidRPr="00646D82">
        <w:rPr>
          <w:rFonts w:eastAsia="Calibri"/>
          <w:kern w:val="22"/>
          <w:szCs w:val="22"/>
        </w:rPr>
        <w:t>To c</w:t>
      </w:r>
      <w:r w:rsidR="00F013D1" w:rsidRPr="00646D82">
        <w:rPr>
          <w:rFonts w:eastAsia="Calibri"/>
          <w:kern w:val="22"/>
          <w:szCs w:val="22"/>
        </w:rPr>
        <w:t>onsider regional approaches to support harmonized implementation of the Protocol</w:t>
      </w:r>
      <w:r w:rsidR="00253DAA" w:rsidRPr="00646D82">
        <w:rPr>
          <w:rFonts w:eastAsia="Calibri"/>
          <w:kern w:val="22"/>
          <w:szCs w:val="22"/>
        </w:rPr>
        <w:t xml:space="preserve"> through</w:t>
      </w:r>
      <w:r w:rsidR="00975295" w:rsidRPr="00646D82">
        <w:rPr>
          <w:rFonts w:eastAsia="Calibri"/>
          <w:kern w:val="22"/>
          <w:szCs w:val="22"/>
        </w:rPr>
        <w:t>, among other things,</w:t>
      </w:r>
      <w:r w:rsidR="00253DAA" w:rsidRPr="00646D82">
        <w:rPr>
          <w:rFonts w:eastAsia="Calibri"/>
          <w:kern w:val="22"/>
          <w:szCs w:val="22"/>
        </w:rPr>
        <w:t xml:space="preserve"> capacity-building activities among countries that share the same genetic resources or traditional knowledge associated with genetic resources</w:t>
      </w:r>
      <w:r w:rsidR="00A8349D" w:rsidRPr="00646D82">
        <w:rPr>
          <w:rFonts w:eastAsia="Calibri"/>
          <w:kern w:val="22"/>
          <w:szCs w:val="22"/>
        </w:rPr>
        <w:t>;</w:t>
      </w:r>
    </w:p>
    <w:p w14:paraId="28D9912E" w14:textId="26A7533B" w:rsidR="003E68EE" w:rsidRPr="00646D82" w:rsidRDefault="00B76C6F" w:rsidP="00646D82">
      <w:pPr>
        <w:pStyle w:val="Para1"/>
        <w:numPr>
          <w:ilvl w:val="2"/>
          <w:numId w:val="37"/>
        </w:numPr>
        <w:tabs>
          <w:tab w:val="clear" w:pos="1440"/>
        </w:tabs>
        <w:ind w:left="0" w:firstLine="720"/>
        <w:rPr>
          <w:rFonts w:eastAsia="Calibri"/>
          <w:kern w:val="22"/>
          <w:szCs w:val="22"/>
        </w:rPr>
      </w:pPr>
      <w:r w:rsidRPr="00646D82">
        <w:rPr>
          <w:rFonts w:eastAsia="Calibri"/>
          <w:kern w:val="22"/>
          <w:szCs w:val="22"/>
        </w:rPr>
        <w:t>To f</w:t>
      </w:r>
      <w:r w:rsidR="00A8349D" w:rsidRPr="00646D82">
        <w:rPr>
          <w:rFonts w:eastAsia="Calibri"/>
          <w:kern w:val="22"/>
          <w:szCs w:val="22"/>
        </w:rPr>
        <w:t xml:space="preserve">acilitate the sharing </w:t>
      </w:r>
      <w:r w:rsidR="008C59DB" w:rsidRPr="00646D82">
        <w:rPr>
          <w:rFonts w:eastAsia="Calibri"/>
          <w:kern w:val="22"/>
          <w:szCs w:val="22"/>
        </w:rPr>
        <w:t xml:space="preserve">of </w:t>
      </w:r>
      <w:r w:rsidR="00A8349D" w:rsidRPr="00646D82">
        <w:rPr>
          <w:rFonts w:eastAsia="Calibri"/>
          <w:kern w:val="22"/>
          <w:szCs w:val="22"/>
        </w:rPr>
        <w:t>information and experience</w:t>
      </w:r>
      <w:r w:rsidR="009D7818" w:rsidRPr="00646D82">
        <w:rPr>
          <w:rFonts w:eastAsia="Calibri"/>
          <w:kern w:val="22"/>
          <w:szCs w:val="22"/>
        </w:rPr>
        <w:t>s</w:t>
      </w:r>
      <w:r w:rsidR="00A8349D" w:rsidRPr="00646D82">
        <w:rPr>
          <w:rFonts w:eastAsia="Calibri"/>
          <w:kern w:val="22"/>
          <w:szCs w:val="22"/>
        </w:rPr>
        <w:t xml:space="preserve"> in relation to transboundary cooperation in accordance with Article 11</w:t>
      </w:r>
      <w:r w:rsidR="00C45778" w:rsidRPr="00646D82">
        <w:rPr>
          <w:rFonts w:eastAsia="Calibri"/>
          <w:kern w:val="22"/>
          <w:szCs w:val="22"/>
        </w:rPr>
        <w:t xml:space="preserve"> of the Protocol</w:t>
      </w:r>
      <w:r w:rsidR="00A8349D" w:rsidRPr="00646D82">
        <w:rPr>
          <w:rFonts w:eastAsia="Calibri"/>
          <w:kern w:val="22"/>
          <w:szCs w:val="22"/>
        </w:rPr>
        <w:t>;</w:t>
      </w:r>
    </w:p>
    <w:p w14:paraId="3DA352E6" w14:textId="7C30C16B" w:rsidR="00F013D1" w:rsidRPr="00646D82" w:rsidRDefault="00B76C6F" w:rsidP="00646D82">
      <w:pPr>
        <w:pStyle w:val="Para1"/>
        <w:numPr>
          <w:ilvl w:val="1"/>
          <w:numId w:val="37"/>
        </w:numPr>
        <w:tabs>
          <w:tab w:val="clear" w:pos="1440"/>
        </w:tabs>
        <w:rPr>
          <w:rFonts w:eastAsia="Calibri"/>
          <w:kern w:val="22"/>
          <w:szCs w:val="22"/>
        </w:rPr>
      </w:pPr>
      <w:r w:rsidRPr="00646D82">
        <w:rPr>
          <w:rFonts w:eastAsia="Calibri"/>
          <w:i/>
          <w:kern w:val="22"/>
          <w:szCs w:val="22"/>
        </w:rPr>
        <w:t>I</w:t>
      </w:r>
      <w:r w:rsidR="00F013D1" w:rsidRPr="00646D82">
        <w:rPr>
          <w:rFonts w:eastAsia="Calibri"/>
          <w:i/>
          <w:kern w:val="22"/>
          <w:szCs w:val="22"/>
        </w:rPr>
        <w:t>nvites</w:t>
      </w:r>
      <w:r w:rsidR="00F013D1" w:rsidRPr="00646D82">
        <w:rPr>
          <w:rFonts w:eastAsia="Calibri"/>
          <w:kern w:val="22"/>
          <w:szCs w:val="22"/>
        </w:rPr>
        <w:t xml:space="preserve"> Parties, non-Parties, international organizations, regional development banks, other financial institutions and the private sector, as appropriate, to expand their efforts to provide financial resources to support the implementation of the Protocol;</w:t>
      </w:r>
    </w:p>
    <w:p w14:paraId="3DB01C71" w14:textId="75790E8B" w:rsidR="00F013D1" w:rsidRPr="00646D82" w:rsidRDefault="00F013D1" w:rsidP="00646D82">
      <w:pPr>
        <w:pStyle w:val="Para1"/>
        <w:numPr>
          <w:ilvl w:val="1"/>
          <w:numId w:val="37"/>
        </w:numPr>
        <w:tabs>
          <w:tab w:val="clear" w:pos="1440"/>
        </w:tabs>
        <w:rPr>
          <w:rFonts w:eastAsia="Calibri"/>
          <w:kern w:val="22"/>
          <w:szCs w:val="22"/>
        </w:rPr>
      </w:pPr>
      <w:r w:rsidRPr="00646D82">
        <w:rPr>
          <w:rFonts w:eastAsia="Calibri"/>
          <w:i/>
          <w:kern w:val="22"/>
          <w:szCs w:val="22"/>
        </w:rPr>
        <w:t xml:space="preserve">Recommends </w:t>
      </w:r>
      <w:r w:rsidRPr="00646D82">
        <w:rPr>
          <w:rFonts w:eastAsia="Calibri"/>
          <w:kern w:val="22"/>
          <w:szCs w:val="22"/>
        </w:rPr>
        <w:t xml:space="preserve">that the Conference of the Parties, in adopting its guidance to the financial mechanism with respect to support for the implementation of the Nagoya Protocol, invite the Global Environment Facility to continue to assist eligible Parties that have not yet done so </w:t>
      </w:r>
      <w:r w:rsidR="00FC77B6" w:rsidRPr="00646D82">
        <w:rPr>
          <w:rFonts w:eastAsia="Calibri"/>
          <w:kern w:val="22"/>
          <w:szCs w:val="22"/>
        </w:rPr>
        <w:t xml:space="preserve">in </w:t>
      </w:r>
      <w:r w:rsidRPr="00646D82">
        <w:rPr>
          <w:rFonts w:eastAsia="Calibri"/>
          <w:kern w:val="22"/>
          <w:szCs w:val="22"/>
        </w:rPr>
        <w:t>put</w:t>
      </w:r>
      <w:r w:rsidR="00FC77B6" w:rsidRPr="00646D82">
        <w:rPr>
          <w:rFonts w:eastAsia="Calibri"/>
          <w:kern w:val="22"/>
          <w:szCs w:val="22"/>
        </w:rPr>
        <w:t>ting</w:t>
      </w:r>
      <w:r w:rsidRPr="00646D82">
        <w:rPr>
          <w:rFonts w:eastAsia="Calibri"/>
          <w:kern w:val="22"/>
          <w:szCs w:val="22"/>
        </w:rPr>
        <w:t xml:space="preserve"> in place</w:t>
      </w:r>
      <w:r w:rsidR="00C45778" w:rsidRPr="00646D82">
        <w:rPr>
          <w:rFonts w:eastAsia="Calibri"/>
          <w:kern w:val="22"/>
          <w:szCs w:val="22"/>
        </w:rPr>
        <w:t xml:space="preserve"> national</w:t>
      </w:r>
      <w:r w:rsidRPr="00646D82">
        <w:rPr>
          <w:rFonts w:eastAsia="Calibri"/>
          <w:kern w:val="22"/>
          <w:szCs w:val="22"/>
        </w:rPr>
        <w:t xml:space="preserve"> ABS </w:t>
      </w:r>
      <w:r w:rsidR="00C45778" w:rsidRPr="00646D82">
        <w:rPr>
          <w:rFonts w:eastAsia="Calibri"/>
          <w:kern w:val="22"/>
          <w:szCs w:val="22"/>
        </w:rPr>
        <w:t xml:space="preserve">frameworks </w:t>
      </w:r>
      <w:r w:rsidRPr="00646D82">
        <w:rPr>
          <w:rFonts w:eastAsia="Calibri"/>
          <w:kern w:val="22"/>
          <w:szCs w:val="22"/>
        </w:rPr>
        <w:t>and to make funds available to this end;</w:t>
      </w:r>
    </w:p>
    <w:p w14:paraId="2840018E" w14:textId="6FA1BC10" w:rsidR="00F013D1" w:rsidRPr="00646D82" w:rsidRDefault="00F013D1" w:rsidP="00646D82">
      <w:pPr>
        <w:pStyle w:val="Para1"/>
        <w:numPr>
          <w:ilvl w:val="1"/>
          <w:numId w:val="37"/>
        </w:numPr>
        <w:tabs>
          <w:tab w:val="clear" w:pos="1440"/>
        </w:tabs>
        <w:rPr>
          <w:rFonts w:eastAsia="Calibri"/>
          <w:kern w:val="22"/>
          <w:szCs w:val="22"/>
        </w:rPr>
      </w:pPr>
      <w:r w:rsidRPr="00646D82">
        <w:rPr>
          <w:rFonts w:eastAsia="Calibri"/>
          <w:i/>
          <w:kern w:val="22"/>
          <w:szCs w:val="22"/>
        </w:rPr>
        <w:t>Encourages</w:t>
      </w:r>
      <w:r w:rsidRPr="00646D82">
        <w:rPr>
          <w:rFonts w:eastAsia="Calibri"/>
          <w:kern w:val="22"/>
          <w:szCs w:val="22"/>
        </w:rPr>
        <w:t xml:space="preserve"> Parties, non-Parties, indigenous peoples and local communities and relevant organizations to make use of the wealth of information and experiences available in the interim national reports and the </w:t>
      </w:r>
      <w:r w:rsidR="00B76C6F" w:rsidRPr="00646D82">
        <w:rPr>
          <w:rFonts w:eastAsia="Calibri"/>
          <w:kern w:val="22"/>
          <w:szCs w:val="22"/>
        </w:rPr>
        <w:t xml:space="preserve">Access and Benefit-sharing </w:t>
      </w:r>
      <w:r w:rsidRPr="00646D82">
        <w:rPr>
          <w:rFonts w:eastAsia="Calibri"/>
          <w:kern w:val="22"/>
          <w:szCs w:val="22"/>
        </w:rPr>
        <w:t>Clearing-House, as well as existing tools and resources (</w:t>
      </w:r>
      <w:r w:rsidR="004D26F5" w:rsidRPr="00646D82">
        <w:rPr>
          <w:rFonts w:eastAsia="Calibri"/>
          <w:kern w:val="22"/>
          <w:szCs w:val="22"/>
        </w:rPr>
        <w:t>such as</w:t>
      </w:r>
      <w:r w:rsidRPr="00646D82">
        <w:rPr>
          <w:rFonts w:eastAsia="Calibri"/>
          <w:kern w:val="22"/>
          <w:szCs w:val="22"/>
        </w:rPr>
        <w:t xml:space="preserve"> guidelines</w:t>
      </w:r>
      <w:r w:rsidR="004D26F5" w:rsidRPr="00646D82">
        <w:rPr>
          <w:rFonts w:eastAsia="Calibri"/>
          <w:kern w:val="22"/>
          <w:szCs w:val="22"/>
        </w:rPr>
        <w:t xml:space="preserve"> and</w:t>
      </w:r>
      <w:r w:rsidRPr="00646D82">
        <w:rPr>
          <w:rFonts w:eastAsia="Calibri"/>
          <w:kern w:val="22"/>
          <w:szCs w:val="22"/>
        </w:rPr>
        <w:t xml:space="preserve"> capacity-building materials) to support implementation and to promote the exchange of experiences;</w:t>
      </w:r>
    </w:p>
    <w:p w14:paraId="1E700F6A" w14:textId="14A77D11" w:rsidR="00D72BA9" w:rsidRPr="00646D82" w:rsidRDefault="0087481B" w:rsidP="00646D82">
      <w:pPr>
        <w:pStyle w:val="Para1"/>
        <w:numPr>
          <w:ilvl w:val="1"/>
          <w:numId w:val="37"/>
        </w:numPr>
        <w:tabs>
          <w:tab w:val="clear" w:pos="1440"/>
        </w:tabs>
        <w:rPr>
          <w:rFonts w:eastAsia="Calibri"/>
          <w:kern w:val="22"/>
          <w:szCs w:val="22"/>
        </w:rPr>
      </w:pPr>
      <w:r w:rsidRPr="00646D82">
        <w:rPr>
          <w:rFonts w:eastAsia="Calibri"/>
          <w:i/>
          <w:kern w:val="22"/>
          <w:szCs w:val="22"/>
        </w:rPr>
        <w:t>I</w:t>
      </w:r>
      <w:r w:rsidR="00F013D1" w:rsidRPr="00646D82">
        <w:rPr>
          <w:rFonts w:eastAsia="Calibri"/>
          <w:i/>
          <w:kern w:val="22"/>
          <w:szCs w:val="22"/>
        </w:rPr>
        <w:t>nvites</w:t>
      </w:r>
      <w:r w:rsidR="00D72BA9" w:rsidRPr="00646D82">
        <w:rPr>
          <w:rFonts w:eastAsia="Calibri"/>
          <w:kern w:val="22"/>
          <w:szCs w:val="22"/>
        </w:rPr>
        <w:t xml:space="preserve"> Parties</w:t>
      </w:r>
      <w:r w:rsidRPr="00646D82">
        <w:rPr>
          <w:rFonts w:eastAsia="Calibri"/>
          <w:kern w:val="22"/>
          <w:szCs w:val="22"/>
        </w:rPr>
        <w:t>, in view of the cross-cutting nature of the Protocol,</w:t>
      </w:r>
      <w:r w:rsidR="00D72BA9" w:rsidRPr="00646D82">
        <w:rPr>
          <w:rFonts w:eastAsia="Calibri"/>
          <w:kern w:val="22"/>
          <w:szCs w:val="22"/>
        </w:rPr>
        <w:t xml:space="preserve"> to e</w:t>
      </w:r>
      <w:r w:rsidR="00F013D1" w:rsidRPr="00646D82">
        <w:rPr>
          <w:rFonts w:eastAsia="Calibri"/>
          <w:kern w:val="22"/>
          <w:szCs w:val="22"/>
        </w:rPr>
        <w:t>stablish appropriate mechanisms to</w:t>
      </w:r>
      <w:r w:rsidR="00D72BA9" w:rsidRPr="00646D82">
        <w:rPr>
          <w:rFonts w:eastAsia="Calibri"/>
          <w:kern w:val="22"/>
          <w:szCs w:val="22"/>
        </w:rPr>
        <w:t xml:space="preserve"> facilitate:</w:t>
      </w:r>
    </w:p>
    <w:p w14:paraId="4C0C1652" w14:textId="7D427968" w:rsidR="00F013D1" w:rsidRPr="00646D82" w:rsidRDefault="009D7818" w:rsidP="00646D82">
      <w:pPr>
        <w:pStyle w:val="Para1"/>
        <w:numPr>
          <w:ilvl w:val="2"/>
          <w:numId w:val="37"/>
        </w:numPr>
        <w:tabs>
          <w:tab w:val="clear" w:pos="1440"/>
        </w:tabs>
        <w:ind w:left="0" w:firstLine="720"/>
        <w:rPr>
          <w:rFonts w:eastAsia="Calibri"/>
          <w:kern w:val="22"/>
          <w:szCs w:val="22"/>
        </w:rPr>
      </w:pPr>
      <w:r w:rsidRPr="00646D82">
        <w:rPr>
          <w:rFonts w:eastAsia="Calibri"/>
          <w:kern w:val="22"/>
          <w:szCs w:val="22"/>
        </w:rPr>
        <w:t>National c</w:t>
      </w:r>
      <w:r w:rsidR="00F013D1" w:rsidRPr="00646D82">
        <w:rPr>
          <w:rFonts w:eastAsia="Calibri"/>
          <w:kern w:val="22"/>
          <w:szCs w:val="22"/>
        </w:rPr>
        <w:t>oordination among different institutions and ministries</w:t>
      </w:r>
      <w:r w:rsidRPr="00646D82">
        <w:rPr>
          <w:rFonts w:eastAsia="Calibri"/>
          <w:kern w:val="22"/>
          <w:szCs w:val="22"/>
        </w:rPr>
        <w:t xml:space="preserve"> of relevance to access and benefit-sharing</w:t>
      </w:r>
      <w:r w:rsidR="00D72BA9" w:rsidRPr="00646D82">
        <w:rPr>
          <w:rFonts w:eastAsia="Calibri"/>
          <w:kern w:val="22"/>
          <w:szCs w:val="22"/>
        </w:rPr>
        <w:t>;</w:t>
      </w:r>
    </w:p>
    <w:p w14:paraId="06C12634" w14:textId="78759F22" w:rsidR="003E68EE" w:rsidRPr="00646D82" w:rsidRDefault="00C87B2C" w:rsidP="00646D82">
      <w:pPr>
        <w:pStyle w:val="ListParagraph"/>
        <w:numPr>
          <w:ilvl w:val="2"/>
          <w:numId w:val="37"/>
        </w:numPr>
        <w:tabs>
          <w:tab w:val="clear" w:pos="1440"/>
        </w:tabs>
        <w:spacing w:before="120" w:after="120"/>
        <w:ind w:left="0" w:firstLine="720"/>
        <w:contextualSpacing w:val="0"/>
        <w:rPr>
          <w:rFonts w:eastAsia="Calibri"/>
          <w:snapToGrid w:val="0"/>
          <w:kern w:val="22"/>
          <w:szCs w:val="22"/>
        </w:rPr>
      </w:pPr>
      <w:r w:rsidRPr="00646D82">
        <w:rPr>
          <w:rFonts w:eastAsia="Calibri"/>
          <w:snapToGrid w:val="0"/>
          <w:kern w:val="22"/>
          <w:szCs w:val="22"/>
        </w:rPr>
        <w:t>The p</w:t>
      </w:r>
      <w:r w:rsidR="003E68EE" w:rsidRPr="00646D82">
        <w:rPr>
          <w:rFonts w:eastAsia="Calibri"/>
          <w:snapToGrid w:val="0"/>
          <w:kern w:val="22"/>
          <w:szCs w:val="22"/>
        </w:rPr>
        <w:t xml:space="preserve">articipation of </w:t>
      </w:r>
      <w:r w:rsidR="00D72BA9" w:rsidRPr="00646D82">
        <w:rPr>
          <w:rFonts w:eastAsia="Calibri"/>
          <w:snapToGrid w:val="0"/>
          <w:kern w:val="22"/>
          <w:szCs w:val="22"/>
        </w:rPr>
        <w:t>indigenous peoples and local communities</w:t>
      </w:r>
      <w:r w:rsidR="003E68EE" w:rsidRPr="00646D82">
        <w:rPr>
          <w:rFonts w:eastAsia="Calibri"/>
          <w:snapToGrid w:val="0"/>
          <w:kern w:val="22"/>
          <w:szCs w:val="22"/>
        </w:rPr>
        <w:t xml:space="preserve"> in the implementation of the provisions of the Protocol related to </w:t>
      </w:r>
      <w:r w:rsidR="00815D76" w:rsidRPr="00646D82">
        <w:rPr>
          <w:rFonts w:eastAsia="Calibri"/>
          <w:snapToGrid w:val="0"/>
          <w:kern w:val="22"/>
          <w:szCs w:val="22"/>
        </w:rPr>
        <w:t>indigenous peoples and local communities</w:t>
      </w:r>
      <w:r w:rsidRPr="00646D82">
        <w:rPr>
          <w:rFonts w:eastAsia="Calibri"/>
          <w:snapToGrid w:val="0"/>
          <w:kern w:val="22"/>
          <w:szCs w:val="22"/>
        </w:rPr>
        <w:t>,</w:t>
      </w:r>
      <w:r w:rsidR="00815D76" w:rsidRPr="00646D82">
        <w:rPr>
          <w:rFonts w:eastAsia="Calibri"/>
          <w:snapToGrid w:val="0"/>
          <w:kern w:val="22"/>
          <w:szCs w:val="22"/>
        </w:rPr>
        <w:t xml:space="preserve"> </w:t>
      </w:r>
      <w:r w:rsidR="003E68EE" w:rsidRPr="00646D82">
        <w:rPr>
          <w:rFonts w:eastAsia="Calibri"/>
          <w:snapToGrid w:val="0"/>
          <w:kern w:val="22"/>
          <w:szCs w:val="22"/>
        </w:rPr>
        <w:t>taking into account national circumstances;</w:t>
      </w:r>
    </w:p>
    <w:p w14:paraId="3AE34746" w14:textId="4F0814FB" w:rsidR="003E68EE" w:rsidRPr="00646D82" w:rsidRDefault="00C87B2C" w:rsidP="00646D82">
      <w:pPr>
        <w:pStyle w:val="Para1"/>
        <w:numPr>
          <w:ilvl w:val="2"/>
          <w:numId w:val="37"/>
        </w:numPr>
        <w:tabs>
          <w:tab w:val="clear" w:pos="1440"/>
        </w:tabs>
        <w:ind w:left="0" w:firstLine="720"/>
        <w:rPr>
          <w:rFonts w:eastAsia="Calibri"/>
          <w:kern w:val="22"/>
          <w:szCs w:val="22"/>
        </w:rPr>
      </w:pPr>
      <w:r w:rsidRPr="00646D82">
        <w:rPr>
          <w:rFonts w:eastAsia="Calibri"/>
          <w:kern w:val="22"/>
          <w:szCs w:val="22"/>
        </w:rPr>
        <w:t>The p</w:t>
      </w:r>
      <w:r w:rsidR="00D72BA9" w:rsidRPr="00646D82">
        <w:rPr>
          <w:rFonts w:eastAsia="Calibri"/>
          <w:kern w:val="22"/>
          <w:szCs w:val="22"/>
        </w:rPr>
        <w:t>articipation of relevant stakeholder</w:t>
      </w:r>
      <w:r w:rsidR="00AE11E4" w:rsidRPr="00646D82">
        <w:rPr>
          <w:rFonts w:eastAsia="Calibri"/>
          <w:kern w:val="22"/>
          <w:szCs w:val="22"/>
        </w:rPr>
        <w:t>s</w:t>
      </w:r>
      <w:r w:rsidR="00D72BA9" w:rsidRPr="00646D82">
        <w:rPr>
          <w:rFonts w:eastAsia="Calibri"/>
          <w:kern w:val="22"/>
          <w:szCs w:val="22"/>
        </w:rPr>
        <w:t xml:space="preserve"> from different sectors with a view to tak</w:t>
      </w:r>
      <w:r w:rsidR="00B76C6F" w:rsidRPr="00646D82">
        <w:rPr>
          <w:rFonts w:eastAsia="Calibri"/>
          <w:kern w:val="22"/>
          <w:szCs w:val="22"/>
        </w:rPr>
        <w:t>ing</w:t>
      </w:r>
      <w:r w:rsidR="00D72BA9" w:rsidRPr="00646D82">
        <w:rPr>
          <w:rFonts w:eastAsia="Calibri"/>
          <w:kern w:val="22"/>
          <w:szCs w:val="22"/>
        </w:rPr>
        <w:t xml:space="preserve"> into account their needs when developing national </w:t>
      </w:r>
      <w:r w:rsidR="00B76C6F" w:rsidRPr="00646D82">
        <w:rPr>
          <w:rFonts w:eastAsia="Calibri"/>
          <w:kern w:val="22"/>
          <w:szCs w:val="22"/>
        </w:rPr>
        <w:t xml:space="preserve">access and benefit-sharing </w:t>
      </w:r>
      <w:r w:rsidR="00D72BA9" w:rsidRPr="00646D82">
        <w:rPr>
          <w:rFonts w:eastAsia="Calibri"/>
          <w:kern w:val="22"/>
          <w:szCs w:val="22"/>
        </w:rPr>
        <w:t>frameworks;</w:t>
      </w:r>
    </w:p>
    <w:p w14:paraId="3C320C9D" w14:textId="6B36DAB1" w:rsidR="00D72BA9" w:rsidRPr="00646D82" w:rsidRDefault="00B76C6F" w:rsidP="00646D82">
      <w:pPr>
        <w:pStyle w:val="Para1"/>
        <w:numPr>
          <w:ilvl w:val="1"/>
          <w:numId w:val="37"/>
        </w:numPr>
        <w:rPr>
          <w:rFonts w:eastAsia="Calibri"/>
          <w:i/>
          <w:kern w:val="22"/>
          <w:szCs w:val="22"/>
        </w:rPr>
      </w:pPr>
      <w:r w:rsidRPr="00646D82">
        <w:rPr>
          <w:rFonts w:eastAsia="Calibri"/>
          <w:i/>
          <w:kern w:val="22"/>
          <w:szCs w:val="22"/>
        </w:rPr>
        <w:t xml:space="preserve">Also </w:t>
      </w:r>
      <w:r w:rsidR="00D72BA9" w:rsidRPr="00646D82">
        <w:rPr>
          <w:rFonts w:eastAsia="Calibri"/>
          <w:i/>
          <w:kern w:val="22"/>
          <w:szCs w:val="22"/>
        </w:rPr>
        <w:t xml:space="preserve">invites </w:t>
      </w:r>
      <w:r w:rsidR="00D72BA9" w:rsidRPr="00646D82">
        <w:rPr>
          <w:rFonts w:eastAsia="Calibri"/>
          <w:kern w:val="22"/>
          <w:szCs w:val="22"/>
        </w:rPr>
        <w:t>Parties:</w:t>
      </w:r>
    </w:p>
    <w:p w14:paraId="671AC81D" w14:textId="366D7CA8" w:rsidR="00F013D1" w:rsidRPr="00646D82" w:rsidRDefault="00B76C6F" w:rsidP="00646D82">
      <w:pPr>
        <w:pStyle w:val="Para1"/>
        <w:numPr>
          <w:ilvl w:val="2"/>
          <w:numId w:val="37"/>
        </w:numPr>
        <w:tabs>
          <w:tab w:val="clear" w:pos="1440"/>
        </w:tabs>
        <w:ind w:left="0" w:firstLine="720"/>
        <w:rPr>
          <w:rFonts w:eastAsia="Calibri"/>
          <w:kern w:val="22"/>
          <w:szCs w:val="22"/>
        </w:rPr>
      </w:pPr>
      <w:r w:rsidRPr="00646D82">
        <w:rPr>
          <w:rFonts w:eastAsia="Calibri"/>
          <w:kern w:val="22"/>
          <w:szCs w:val="22"/>
        </w:rPr>
        <w:t>To c</w:t>
      </w:r>
      <w:r w:rsidR="00F013D1" w:rsidRPr="00646D82">
        <w:rPr>
          <w:rFonts w:eastAsia="Calibri"/>
          <w:kern w:val="22"/>
          <w:szCs w:val="22"/>
        </w:rPr>
        <w:t xml:space="preserve">onsider </w:t>
      </w:r>
      <w:r w:rsidR="009D7818" w:rsidRPr="00646D82">
        <w:rPr>
          <w:rFonts w:eastAsia="Calibri"/>
          <w:kern w:val="22"/>
          <w:szCs w:val="22"/>
        </w:rPr>
        <w:t xml:space="preserve">implementing </w:t>
      </w:r>
      <w:r w:rsidR="00F013D1" w:rsidRPr="00646D82">
        <w:rPr>
          <w:rFonts w:eastAsia="Calibri"/>
          <w:kern w:val="22"/>
          <w:szCs w:val="22"/>
        </w:rPr>
        <w:t>interim measures</w:t>
      </w:r>
      <w:r w:rsidR="009D7818" w:rsidRPr="00646D82">
        <w:rPr>
          <w:rFonts w:eastAsia="Calibri"/>
          <w:kern w:val="22"/>
          <w:szCs w:val="22"/>
        </w:rPr>
        <w:t xml:space="preserve"> </w:t>
      </w:r>
      <w:r w:rsidR="00CD1425" w:rsidRPr="00646D82">
        <w:rPr>
          <w:rFonts w:eastAsia="Calibri"/>
          <w:kern w:val="22"/>
          <w:szCs w:val="22"/>
        </w:rPr>
        <w:t xml:space="preserve">in order </w:t>
      </w:r>
      <w:r w:rsidR="009D7818" w:rsidRPr="00646D82">
        <w:rPr>
          <w:rFonts w:eastAsia="Calibri"/>
          <w:kern w:val="22"/>
          <w:szCs w:val="22"/>
        </w:rPr>
        <w:t xml:space="preserve">to gain experience </w:t>
      </w:r>
      <w:r w:rsidR="00CD1425" w:rsidRPr="00646D82">
        <w:rPr>
          <w:rFonts w:eastAsia="Calibri"/>
          <w:kern w:val="22"/>
          <w:szCs w:val="22"/>
        </w:rPr>
        <w:t xml:space="preserve">that can </w:t>
      </w:r>
      <w:r w:rsidR="009D7818" w:rsidRPr="00646D82">
        <w:rPr>
          <w:rFonts w:eastAsia="Calibri"/>
          <w:kern w:val="22"/>
          <w:szCs w:val="22"/>
        </w:rPr>
        <w:t>inform the development of</w:t>
      </w:r>
      <w:r w:rsidR="00616891" w:rsidRPr="00646D82">
        <w:rPr>
          <w:rFonts w:eastAsia="Calibri"/>
          <w:kern w:val="22"/>
          <w:szCs w:val="22"/>
        </w:rPr>
        <w:t xml:space="preserve"> </w:t>
      </w:r>
      <w:r w:rsidR="009D7818" w:rsidRPr="00646D82">
        <w:rPr>
          <w:rFonts w:eastAsia="Calibri"/>
          <w:kern w:val="22"/>
          <w:szCs w:val="22"/>
        </w:rPr>
        <w:t>legislative, administrative or policy measures on access and benefit-sharing</w:t>
      </w:r>
      <w:r w:rsidR="00F013D1" w:rsidRPr="00646D82">
        <w:rPr>
          <w:rFonts w:eastAsia="Calibri"/>
          <w:kern w:val="22"/>
          <w:szCs w:val="22"/>
        </w:rPr>
        <w:t>;</w:t>
      </w:r>
    </w:p>
    <w:p w14:paraId="097BDBA7" w14:textId="6039BEF4" w:rsidR="009B4E05" w:rsidRPr="00646D82" w:rsidRDefault="00B76C6F" w:rsidP="00646D82">
      <w:pPr>
        <w:pStyle w:val="Para1"/>
        <w:numPr>
          <w:ilvl w:val="2"/>
          <w:numId w:val="37"/>
        </w:numPr>
        <w:tabs>
          <w:tab w:val="clear" w:pos="1440"/>
        </w:tabs>
        <w:ind w:left="0" w:firstLine="720"/>
        <w:rPr>
          <w:szCs w:val="22"/>
        </w:rPr>
      </w:pPr>
      <w:r w:rsidRPr="00646D82">
        <w:rPr>
          <w:szCs w:val="22"/>
        </w:rPr>
        <w:t>To t</w:t>
      </w:r>
      <w:r w:rsidR="009B4E05" w:rsidRPr="00646D82">
        <w:rPr>
          <w:szCs w:val="22"/>
        </w:rPr>
        <w:t xml:space="preserve">ake into account relevant work undertaken </w:t>
      </w:r>
      <w:r w:rsidR="00181243" w:rsidRPr="00646D82">
        <w:rPr>
          <w:rFonts w:eastAsia="Calibri"/>
          <w:kern w:val="22"/>
          <w:szCs w:val="22"/>
        </w:rPr>
        <w:t>by</w:t>
      </w:r>
      <w:r w:rsidR="00181243" w:rsidRPr="00646D82">
        <w:rPr>
          <w:szCs w:val="22"/>
        </w:rPr>
        <w:t xml:space="preserve"> </w:t>
      </w:r>
      <w:r w:rsidR="009B4E05" w:rsidRPr="00646D82">
        <w:rPr>
          <w:rFonts w:eastAsia="Calibri"/>
          <w:kern w:val="22"/>
          <w:szCs w:val="22"/>
        </w:rPr>
        <w:t>the Food and Agriculture Organi</w:t>
      </w:r>
      <w:r w:rsidRPr="00646D82">
        <w:rPr>
          <w:rFonts w:eastAsia="Calibri"/>
          <w:kern w:val="22"/>
          <w:szCs w:val="22"/>
        </w:rPr>
        <w:t>z</w:t>
      </w:r>
      <w:r w:rsidR="009B4E05" w:rsidRPr="00646D82">
        <w:rPr>
          <w:rFonts w:eastAsia="Calibri"/>
          <w:kern w:val="22"/>
          <w:szCs w:val="22"/>
        </w:rPr>
        <w:t>ation of the United Nations, the World Health Organi</w:t>
      </w:r>
      <w:r w:rsidRPr="00646D82">
        <w:rPr>
          <w:rFonts w:eastAsia="Calibri"/>
          <w:kern w:val="22"/>
          <w:szCs w:val="22"/>
        </w:rPr>
        <w:t>z</w:t>
      </w:r>
      <w:r w:rsidR="009B4E05" w:rsidRPr="00646D82">
        <w:rPr>
          <w:rFonts w:eastAsia="Calibri"/>
          <w:kern w:val="22"/>
          <w:szCs w:val="22"/>
        </w:rPr>
        <w:t xml:space="preserve">ation and other </w:t>
      </w:r>
      <w:r w:rsidR="009D7818" w:rsidRPr="00646D82">
        <w:rPr>
          <w:rFonts w:eastAsia="Calibri"/>
          <w:kern w:val="22"/>
          <w:szCs w:val="22"/>
        </w:rPr>
        <w:t xml:space="preserve">relevant </w:t>
      </w:r>
      <w:r w:rsidR="009B4E05" w:rsidRPr="00646D82">
        <w:rPr>
          <w:rFonts w:eastAsia="Calibri"/>
          <w:kern w:val="22"/>
          <w:szCs w:val="22"/>
        </w:rPr>
        <w:t>organi</w:t>
      </w:r>
      <w:r w:rsidRPr="00646D82">
        <w:rPr>
          <w:rFonts w:eastAsia="Calibri"/>
          <w:kern w:val="22"/>
          <w:szCs w:val="22"/>
        </w:rPr>
        <w:t>z</w:t>
      </w:r>
      <w:r w:rsidR="009B4E05" w:rsidRPr="00646D82">
        <w:rPr>
          <w:rFonts w:eastAsia="Calibri"/>
          <w:kern w:val="22"/>
          <w:szCs w:val="22"/>
        </w:rPr>
        <w:t>ations</w:t>
      </w:r>
      <w:r w:rsidR="009B4E05" w:rsidRPr="00646D82">
        <w:rPr>
          <w:szCs w:val="22"/>
        </w:rPr>
        <w:t xml:space="preserve"> in the implementation of Article 8 of the Protocol;</w:t>
      </w:r>
    </w:p>
    <w:p w14:paraId="6FA64459" w14:textId="74339AFE" w:rsidR="00F013D1" w:rsidRPr="00646D82" w:rsidRDefault="009B4E05" w:rsidP="00646D82">
      <w:pPr>
        <w:pStyle w:val="Para1"/>
        <w:numPr>
          <w:ilvl w:val="2"/>
          <w:numId w:val="37"/>
        </w:numPr>
        <w:tabs>
          <w:tab w:val="clear" w:pos="1440"/>
        </w:tabs>
        <w:ind w:left="0" w:firstLine="720"/>
        <w:rPr>
          <w:szCs w:val="22"/>
        </w:rPr>
      </w:pPr>
      <w:r w:rsidRPr="00646D82">
        <w:rPr>
          <w:szCs w:val="22"/>
        </w:rPr>
        <w:t>T</w:t>
      </w:r>
      <w:r w:rsidR="00B76C6F" w:rsidRPr="00646D82">
        <w:rPr>
          <w:szCs w:val="22"/>
        </w:rPr>
        <w:t>o t</w:t>
      </w:r>
      <w:r w:rsidRPr="00646D82">
        <w:rPr>
          <w:szCs w:val="22"/>
        </w:rPr>
        <w:t xml:space="preserve">ake into account relevant work undertaken </w:t>
      </w:r>
      <w:r w:rsidR="00181243" w:rsidRPr="00646D82">
        <w:rPr>
          <w:szCs w:val="22"/>
        </w:rPr>
        <w:t xml:space="preserve">by </w:t>
      </w:r>
      <w:r w:rsidR="00417181" w:rsidRPr="00646D82">
        <w:rPr>
          <w:szCs w:val="22"/>
        </w:rPr>
        <w:t xml:space="preserve">the </w:t>
      </w:r>
      <w:r w:rsidRPr="00646D82">
        <w:rPr>
          <w:rFonts w:eastAsia="Calibri"/>
          <w:kern w:val="22"/>
          <w:szCs w:val="22"/>
        </w:rPr>
        <w:t>World Intellectual Property Organi</w:t>
      </w:r>
      <w:r w:rsidR="002B45AA" w:rsidRPr="00646D82">
        <w:rPr>
          <w:rFonts w:eastAsia="Calibri"/>
          <w:kern w:val="22"/>
          <w:szCs w:val="22"/>
        </w:rPr>
        <w:t>z</w:t>
      </w:r>
      <w:r w:rsidRPr="00646D82">
        <w:rPr>
          <w:rFonts w:eastAsia="Calibri"/>
          <w:kern w:val="22"/>
          <w:szCs w:val="22"/>
        </w:rPr>
        <w:t>ation</w:t>
      </w:r>
      <w:r w:rsidRPr="00646D82">
        <w:rPr>
          <w:szCs w:val="22"/>
        </w:rPr>
        <w:t xml:space="preserve"> in the implementation of Article 16 of the Protocol;</w:t>
      </w:r>
    </w:p>
    <w:p w14:paraId="5898EA64" w14:textId="0AEEFC4B" w:rsidR="00F013D1" w:rsidRPr="00646D82" w:rsidRDefault="00F013D1" w:rsidP="00646D82">
      <w:pPr>
        <w:pStyle w:val="Para1"/>
        <w:numPr>
          <w:ilvl w:val="1"/>
          <w:numId w:val="37"/>
        </w:numPr>
        <w:rPr>
          <w:rFonts w:eastAsia="Calibri"/>
          <w:kern w:val="22"/>
          <w:szCs w:val="22"/>
        </w:rPr>
      </w:pPr>
      <w:r w:rsidRPr="00646D82">
        <w:rPr>
          <w:rFonts w:eastAsia="Calibri"/>
          <w:i/>
          <w:kern w:val="22"/>
          <w:szCs w:val="22"/>
        </w:rPr>
        <w:t>Invites</w:t>
      </w:r>
      <w:r w:rsidRPr="00646D82">
        <w:rPr>
          <w:rFonts w:eastAsia="Calibri"/>
          <w:kern w:val="22"/>
          <w:szCs w:val="22"/>
        </w:rPr>
        <w:t xml:space="preserve"> indigenous peoples and local communities to engage in </w:t>
      </w:r>
      <w:r w:rsidR="00B76C6F" w:rsidRPr="00646D82">
        <w:rPr>
          <w:rFonts w:eastAsia="Calibri"/>
          <w:kern w:val="22"/>
          <w:szCs w:val="22"/>
        </w:rPr>
        <w:t xml:space="preserve">access and benefit-sharing </w:t>
      </w:r>
      <w:r w:rsidRPr="00646D82">
        <w:rPr>
          <w:rFonts w:eastAsia="Calibri"/>
          <w:kern w:val="22"/>
          <w:szCs w:val="22"/>
        </w:rPr>
        <w:t xml:space="preserve">processes, including by developing community protocols and procedures for </w:t>
      </w:r>
      <w:r w:rsidR="00B76C6F" w:rsidRPr="00646D82">
        <w:rPr>
          <w:rFonts w:eastAsia="Calibri"/>
          <w:kern w:val="22"/>
          <w:szCs w:val="22"/>
        </w:rPr>
        <w:t>access and benefit-sharing</w:t>
      </w:r>
      <w:r w:rsidR="009D7818" w:rsidRPr="00646D82">
        <w:rPr>
          <w:rFonts w:eastAsia="Calibri"/>
          <w:kern w:val="22"/>
          <w:szCs w:val="22"/>
        </w:rPr>
        <w:t>,</w:t>
      </w:r>
      <w:r w:rsidRPr="00646D82">
        <w:rPr>
          <w:rFonts w:eastAsia="Calibri"/>
          <w:kern w:val="22"/>
          <w:szCs w:val="22"/>
        </w:rPr>
        <w:t xml:space="preserve"> and</w:t>
      </w:r>
      <w:r w:rsidR="00095CFB" w:rsidRPr="00646D82">
        <w:rPr>
          <w:rFonts w:eastAsia="Calibri"/>
          <w:kern w:val="22"/>
          <w:szCs w:val="22"/>
        </w:rPr>
        <w:t xml:space="preserve"> to</w:t>
      </w:r>
      <w:r w:rsidRPr="00646D82">
        <w:rPr>
          <w:rFonts w:eastAsia="Calibri"/>
          <w:kern w:val="22"/>
          <w:szCs w:val="22"/>
        </w:rPr>
        <w:t xml:space="preserve"> make them available through the </w:t>
      </w:r>
      <w:r w:rsidR="00B76C6F" w:rsidRPr="00646D82">
        <w:rPr>
          <w:rFonts w:eastAsia="Calibri"/>
          <w:kern w:val="22"/>
          <w:szCs w:val="22"/>
        </w:rPr>
        <w:t xml:space="preserve">Access and Benefit-sharing </w:t>
      </w:r>
      <w:r w:rsidRPr="00646D82">
        <w:rPr>
          <w:rFonts w:eastAsia="Calibri"/>
          <w:kern w:val="22"/>
          <w:szCs w:val="22"/>
        </w:rPr>
        <w:t>Clearing-House;</w:t>
      </w:r>
    </w:p>
    <w:p w14:paraId="7D64D312" w14:textId="51C664A2" w:rsidR="00F013D1" w:rsidRPr="00646D82" w:rsidRDefault="00F013D1" w:rsidP="00646D82">
      <w:pPr>
        <w:pStyle w:val="Para1"/>
        <w:numPr>
          <w:ilvl w:val="1"/>
          <w:numId w:val="37"/>
        </w:numPr>
        <w:rPr>
          <w:rFonts w:eastAsia="Calibri"/>
          <w:kern w:val="22"/>
          <w:szCs w:val="22"/>
        </w:rPr>
      </w:pPr>
      <w:r w:rsidRPr="00646D82">
        <w:rPr>
          <w:rFonts w:eastAsia="Calibri"/>
          <w:i/>
          <w:kern w:val="22"/>
          <w:szCs w:val="22"/>
        </w:rPr>
        <w:t>Invites</w:t>
      </w:r>
      <w:r w:rsidRPr="00646D82">
        <w:rPr>
          <w:rFonts w:eastAsia="Calibri"/>
          <w:kern w:val="22"/>
          <w:szCs w:val="22"/>
        </w:rPr>
        <w:t xml:space="preserve"> relevant stakeholders and user organi</w:t>
      </w:r>
      <w:r w:rsidR="00B76C6F" w:rsidRPr="00646D82">
        <w:rPr>
          <w:rFonts w:eastAsia="Calibri"/>
          <w:kern w:val="22"/>
          <w:szCs w:val="22"/>
        </w:rPr>
        <w:t>z</w:t>
      </w:r>
      <w:r w:rsidRPr="00646D82">
        <w:rPr>
          <w:rFonts w:eastAsia="Calibri"/>
          <w:kern w:val="22"/>
          <w:szCs w:val="22"/>
        </w:rPr>
        <w:t xml:space="preserve">ations and networks to engage in </w:t>
      </w:r>
      <w:r w:rsidR="00B76C6F" w:rsidRPr="00646D82">
        <w:rPr>
          <w:rFonts w:eastAsia="Calibri"/>
          <w:kern w:val="22"/>
          <w:szCs w:val="22"/>
        </w:rPr>
        <w:t xml:space="preserve">access and benefit-sharing </w:t>
      </w:r>
      <w:r w:rsidRPr="00646D82">
        <w:rPr>
          <w:rFonts w:eastAsia="Calibri"/>
          <w:kern w:val="22"/>
          <w:szCs w:val="22"/>
        </w:rPr>
        <w:t xml:space="preserve">processes, including by developing tools, such as model contractual clauses, codes of conduct, guidelines, best practices and/or standards, that address the needs of their constituency and facilitate compliance with </w:t>
      </w:r>
      <w:r w:rsidR="00B76C6F" w:rsidRPr="00646D82">
        <w:rPr>
          <w:rFonts w:eastAsia="Calibri"/>
          <w:kern w:val="22"/>
          <w:szCs w:val="22"/>
        </w:rPr>
        <w:t xml:space="preserve">access and benefit-sharing </w:t>
      </w:r>
      <w:r w:rsidRPr="00646D82">
        <w:rPr>
          <w:rFonts w:eastAsia="Calibri"/>
          <w:kern w:val="22"/>
          <w:szCs w:val="22"/>
        </w:rPr>
        <w:t xml:space="preserve">requirements, and to make these tools </w:t>
      </w:r>
      <w:r w:rsidR="00095CFB" w:rsidRPr="00646D82">
        <w:rPr>
          <w:rFonts w:eastAsia="Calibri"/>
          <w:kern w:val="22"/>
          <w:szCs w:val="22"/>
        </w:rPr>
        <w:t xml:space="preserve">available </w:t>
      </w:r>
      <w:r w:rsidRPr="00646D82">
        <w:rPr>
          <w:rFonts w:eastAsia="Calibri"/>
          <w:kern w:val="22"/>
          <w:szCs w:val="22"/>
        </w:rPr>
        <w:t xml:space="preserve">through the </w:t>
      </w:r>
      <w:r w:rsidR="00B76C6F" w:rsidRPr="00646D82">
        <w:rPr>
          <w:rFonts w:eastAsia="Calibri"/>
          <w:kern w:val="22"/>
          <w:szCs w:val="22"/>
        </w:rPr>
        <w:t xml:space="preserve">Access and Benefit-sharing </w:t>
      </w:r>
      <w:r w:rsidRPr="00646D82">
        <w:rPr>
          <w:rFonts w:eastAsia="Calibri"/>
          <w:kern w:val="22"/>
          <w:szCs w:val="22"/>
        </w:rPr>
        <w:t>Clearing-House;</w:t>
      </w:r>
    </w:p>
    <w:p w14:paraId="20024417" w14:textId="00393042" w:rsidR="00F013D1" w:rsidRPr="00646D82" w:rsidRDefault="00802EA7" w:rsidP="00646D82">
      <w:pPr>
        <w:pStyle w:val="Para1"/>
        <w:numPr>
          <w:ilvl w:val="1"/>
          <w:numId w:val="37"/>
        </w:numPr>
        <w:rPr>
          <w:rFonts w:eastAsia="Calibri"/>
          <w:kern w:val="22"/>
          <w:szCs w:val="22"/>
        </w:rPr>
      </w:pPr>
      <w:r w:rsidRPr="00646D82">
        <w:rPr>
          <w:rFonts w:eastAsia="Calibri"/>
          <w:i/>
          <w:kern w:val="22"/>
          <w:szCs w:val="22"/>
        </w:rPr>
        <w:t>Notes</w:t>
      </w:r>
      <w:r w:rsidRPr="00646D82">
        <w:rPr>
          <w:rFonts w:eastAsia="Calibri"/>
          <w:kern w:val="22"/>
          <w:szCs w:val="22"/>
        </w:rPr>
        <w:t xml:space="preserve"> </w:t>
      </w:r>
      <w:r w:rsidR="00F013D1" w:rsidRPr="00646D82">
        <w:rPr>
          <w:rFonts w:eastAsia="Calibri"/>
          <w:kern w:val="22"/>
          <w:szCs w:val="22"/>
        </w:rPr>
        <w:t>that the work on one or more international legal instruments relating to intellectual property with a view to ensur</w:t>
      </w:r>
      <w:r w:rsidR="00B76C6F" w:rsidRPr="00646D82">
        <w:rPr>
          <w:rFonts w:eastAsia="Calibri"/>
          <w:kern w:val="22"/>
          <w:szCs w:val="22"/>
        </w:rPr>
        <w:t>ing</w:t>
      </w:r>
      <w:r w:rsidR="00F013D1" w:rsidRPr="00646D82">
        <w:rPr>
          <w:rFonts w:eastAsia="Calibri"/>
          <w:kern w:val="22"/>
          <w:szCs w:val="22"/>
        </w:rPr>
        <w:t xml:space="preserve"> the balanced and effective protection of genetic resources, traditional knowledge and traditional cultural expressi</w:t>
      </w:r>
      <w:r w:rsidR="00095CFB" w:rsidRPr="00646D82">
        <w:rPr>
          <w:rFonts w:eastAsia="Calibri"/>
          <w:kern w:val="22"/>
          <w:szCs w:val="22"/>
        </w:rPr>
        <w:t>ons under</w:t>
      </w:r>
      <w:r w:rsidR="00417181" w:rsidRPr="00646D82">
        <w:rPr>
          <w:szCs w:val="22"/>
        </w:rPr>
        <w:t xml:space="preserve"> </w:t>
      </w:r>
      <w:r w:rsidRPr="00646D82">
        <w:rPr>
          <w:szCs w:val="22"/>
        </w:rPr>
        <w:t xml:space="preserve">the </w:t>
      </w:r>
      <w:r w:rsidR="00417181" w:rsidRPr="00646D82">
        <w:rPr>
          <w:rFonts w:eastAsia="Calibri"/>
          <w:kern w:val="22"/>
          <w:szCs w:val="22"/>
        </w:rPr>
        <w:t>World Intellectual Property Organi</w:t>
      </w:r>
      <w:r w:rsidR="00B76C6F" w:rsidRPr="00646D82">
        <w:rPr>
          <w:rFonts w:eastAsia="Calibri"/>
          <w:kern w:val="22"/>
          <w:szCs w:val="22"/>
        </w:rPr>
        <w:t>z</w:t>
      </w:r>
      <w:r w:rsidR="00417181" w:rsidRPr="00646D82">
        <w:rPr>
          <w:rFonts w:eastAsia="Calibri"/>
          <w:kern w:val="22"/>
          <w:szCs w:val="22"/>
        </w:rPr>
        <w:t>ation</w:t>
      </w:r>
      <w:r w:rsidR="00095CFB" w:rsidRPr="00646D82">
        <w:rPr>
          <w:rFonts w:eastAsia="Calibri"/>
          <w:kern w:val="22"/>
          <w:szCs w:val="22"/>
        </w:rPr>
        <w:t xml:space="preserve"> is still on</w:t>
      </w:r>
      <w:r w:rsidR="00F013D1" w:rsidRPr="00646D82">
        <w:rPr>
          <w:rFonts w:eastAsia="Calibri"/>
          <w:kern w:val="22"/>
          <w:szCs w:val="22"/>
        </w:rPr>
        <w:t>going and that there is no available information to measure the effectiveness of Article 18 in accordance with Article 18</w:t>
      </w:r>
      <w:r w:rsidR="00B529A1" w:rsidRPr="00646D82">
        <w:rPr>
          <w:rFonts w:eastAsia="Calibri"/>
          <w:kern w:val="22"/>
          <w:szCs w:val="22"/>
        </w:rPr>
        <w:t>,</w:t>
      </w:r>
      <w:r w:rsidR="00F013D1" w:rsidRPr="00646D82">
        <w:rPr>
          <w:rFonts w:eastAsia="Calibri"/>
          <w:kern w:val="22"/>
          <w:szCs w:val="22"/>
        </w:rPr>
        <w:t xml:space="preserve"> paragraph 4</w:t>
      </w:r>
      <w:r w:rsidR="00B529A1" w:rsidRPr="00646D82">
        <w:rPr>
          <w:rFonts w:eastAsia="Calibri"/>
          <w:kern w:val="22"/>
          <w:szCs w:val="22"/>
        </w:rPr>
        <w:t>,</w:t>
      </w:r>
      <w:r w:rsidR="00F013D1" w:rsidRPr="00646D82">
        <w:rPr>
          <w:rFonts w:eastAsia="Calibri"/>
          <w:kern w:val="22"/>
          <w:szCs w:val="22"/>
        </w:rPr>
        <w:t xml:space="preserve"> of the Protocol, </w:t>
      </w:r>
      <w:r w:rsidRPr="00646D82">
        <w:rPr>
          <w:rFonts w:eastAsia="Calibri"/>
          <w:kern w:val="22"/>
          <w:szCs w:val="22"/>
        </w:rPr>
        <w:t xml:space="preserve">and therefore </w:t>
      </w:r>
      <w:r w:rsidR="00F013D1" w:rsidRPr="00646D82">
        <w:rPr>
          <w:rFonts w:eastAsia="Calibri"/>
          <w:i/>
          <w:kern w:val="22"/>
          <w:szCs w:val="22"/>
        </w:rPr>
        <w:t>decides</w:t>
      </w:r>
      <w:r w:rsidR="00F013D1" w:rsidRPr="00646D82">
        <w:rPr>
          <w:rFonts w:eastAsia="Calibri"/>
          <w:kern w:val="22"/>
          <w:szCs w:val="22"/>
        </w:rPr>
        <w:t xml:space="preserve"> to assess these elements at the second assessment and review of the Protocol;</w:t>
      </w:r>
    </w:p>
    <w:p w14:paraId="26208395" w14:textId="1B5B5C04" w:rsidR="00F013D1" w:rsidRPr="00646D82" w:rsidRDefault="00F013D1" w:rsidP="00646D82">
      <w:pPr>
        <w:pStyle w:val="Para1"/>
        <w:numPr>
          <w:ilvl w:val="1"/>
          <w:numId w:val="37"/>
        </w:numPr>
        <w:rPr>
          <w:rFonts w:eastAsia="Calibri"/>
          <w:kern w:val="22"/>
          <w:szCs w:val="22"/>
        </w:rPr>
      </w:pPr>
      <w:r w:rsidRPr="00646D82">
        <w:rPr>
          <w:rFonts w:eastAsia="Calibri"/>
          <w:i/>
          <w:kern w:val="22"/>
          <w:szCs w:val="22"/>
        </w:rPr>
        <w:t>Requests</w:t>
      </w:r>
      <w:r w:rsidR="00BF6908" w:rsidRPr="00646D82">
        <w:rPr>
          <w:rFonts w:eastAsia="Calibri"/>
          <w:kern w:val="22"/>
          <w:szCs w:val="22"/>
        </w:rPr>
        <w:t xml:space="preserve"> the Executive Secretary</w:t>
      </w:r>
      <w:r w:rsidR="009D7818" w:rsidRPr="00646D82">
        <w:rPr>
          <w:rFonts w:eastAsia="Calibri"/>
          <w:kern w:val="22"/>
          <w:szCs w:val="22"/>
        </w:rPr>
        <w:t xml:space="preserve"> to take into account the indicators contained in </w:t>
      </w:r>
      <w:r w:rsidR="00766320" w:rsidRPr="00646D82">
        <w:rPr>
          <w:rFonts w:eastAsia="Calibri"/>
          <w:kern w:val="22"/>
          <w:szCs w:val="22"/>
        </w:rPr>
        <w:t>the note</w:t>
      </w:r>
      <w:r w:rsidR="00766320" w:rsidRPr="00646D82">
        <w:rPr>
          <w:rStyle w:val="FootnoteReference"/>
          <w:rFonts w:eastAsia="Calibri"/>
          <w:kern w:val="22"/>
          <w:sz w:val="22"/>
          <w:szCs w:val="22"/>
        </w:rPr>
        <w:footnoteReference w:id="45"/>
      </w:r>
      <w:r w:rsidR="00766320" w:rsidRPr="00646D82">
        <w:rPr>
          <w:rFonts w:eastAsia="Calibri"/>
          <w:kern w:val="22"/>
          <w:szCs w:val="22"/>
        </w:rPr>
        <w:t xml:space="preserve"> </w:t>
      </w:r>
      <w:r w:rsidR="00A7484F" w:rsidRPr="00646D82">
        <w:rPr>
          <w:rFonts w:eastAsia="Calibri"/>
          <w:kern w:val="22"/>
          <w:szCs w:val="22"/>
        </w:rPr>
        <w:t>when</w:t>
      </w:r>
      <w:r w:rsidRPr="00646D82">
        <w:rPr>
          <w:rFonts w:eastAsia="Calibri"/>
          <w:kern w:val="22"/>
          <w:szCs w:val="22"/>
        </w:rPr>
        <w:t xml:space="preserve"> </w:t>
      </w:r>
      <w:r w:rsidR="00A7484F" w:rsidRPr="00646D82">
        <w:rPr>
          <w:rFonts w:eastAsia="Calibri"/>
          <w:kern w:val="22"/>
          <w:szCs w:val="22"/>
        </w:rPr>
        <w:t>reviewing the format of the interim national report</w:t>
      </w:r>
      <w:r w:rsidR="009D7818" w:rsidRPr="00646D82">
        <w:rPr>
          <w:rFonts w:eastAsia="Calibri"/>
          <w:kern w:val="22"/>
          <w:szCs w:val="22"/>
        </w:rPr>
        <w:t>;</w:t>
      </w:r>
    </w:p>
    <w:p w14:paraId="3A4A7586" w14:textId="7A7B6E0D" w:rsidR="00F013D1" w:rsidRPr="00646D82" w:rsidRDefault="00F013D1" w:rsidP="00646D82">
      <w:pPr>
        <w:pStyle w:val="Para1"/>
        <w:numPr>
          <w:ilvl w:val="1"/>
          <w:numId w:val="37"/>
        </w:numPr>
        <w:rPr>
          <w:rFonts w:eastAsia="Calibri"/>
          <w:kern w:val="22"/>
          <w:szCs w:val="22"/>
        </w:rPr>
      </w:pPr>
      <w:r w:rsidRPr="00646D82">
        <w:rPr>
          <w:rFonts w:eastAsia="Calibri"/>
          <w:i/>
          <w:kern w:val="22"/>
          <w:szCs w:val="22"/>
        </w:rPr>
        <w:t>Welcomes</w:t>
      </w:r>
      <w:r w:rsidRPr="00646D82">
        <w:rPr>
          <w:rFonts w:eastAsia="Calibri"/>
          <w:kern w:val="22"/>
          <w:szCs w:val="22"/>
        </w:rPr>
        <w:t xml:space="preserve"> progress made </w:t>
      </w:r>
      <w:r w:rsidR="00003ED2" w:rsidRPr="00646D82">
        <w:rPr>
          <w:rFonts w:eastAsia="Calibri"/>
          <w:kern w:val="22"/>
          <w:szCs w:val="22"/>
        </w:rPr>
        <w:t xml:space="preserve">by the Secretariat </w:t>
      </w:r>
      <w:r w:rsidRPr="00646D82">
        <w:rPr>
          <w:rFonts w:eastAsia="Calibri"/>
          <w:kern w:val="22"/>
          <w:szCs w:val="22"/>
        </w:rPr>
        <w:t xml:space="preserve">in the implementation and operation of the </w:t>
      </w:r>
      <w:r w:rsidR="00B76C6F" w:rsidRPr="00646D82">
        <w:rPr>
          <w:rFonts w:eastAsia="Calibri"/>
          <w:kern w:val="22"/>
          <w:szCs w:val="22"/>
        </w:rPr>
        <w:t xml:space="preserve">Access and Benefit-sharing </w:t>
      </w:r>
      <w:r w:rsidRPr="00646D82">
        <w:rPr>
          <w:rFonts w:eastAsia="Calibri"/>
          <w:kern w:val="22"/>
          <w:szCs w:val="22"/>
        </w:rPr>
        <w:t>Clearing-House</w:t>
      </w:r>
      <w:r w:rsidR="00C4704D" w:rsidRPr="00646D82">
        <w:rPr>
          <w:rFonts w:eastAsia="Calibri"/>
          <w:kern w:val="22"/>
          <w:szCs w:val="22"/>
        </w:rPr>
        <w:t>,</w:t>
      </w:r>
      <w:r w:rsidR="00003ED2" w:rsidRPr="00646D82">
        <w:rPr>
          <w:rFonts w:eastAsia="Calibri"/>
          <w:kern w:val="22"/>
          <w:szCs w:val="22"/>
        </w:rPr>
        <w:t xml:space="preserve"> </w:t>
      </w:r>
      <w:r w:rsidR="00AE7F86" w:rsidRPr="00646D82">
        <w:rPr>
          <w:rFonts w:eastAsia="Calibri"/>
          <w:kern w:val="22"/>
          <w:szCs w:val="22"/>
        </w:rPr>
        <w:t xml:space="preserve">and </w:t>
      </w:r>
      <w:r w:rsidR="00AE7F86" w:rsidRPr="00646D82">
        <w:rPr>
          <w:rFonts w:eastAsia="Calibri"/>
          <w:i/>
          <w:kern w:val="22"/>
          <w:szCs w:val="22"/>
        </w:rPr>
        <w:t>e</w:t>
      </w:r>
      <w:r w:rsidR="00417181" w:rsidRPr="00646D82">
        <w:rPr>
          <w:rFonts w:eastAsia="Calibri"/>
          <w:i/>
          <w:kern w:val="22"/>
          <w:szCs w:val="22"/>
        </w:rPr>
        <w:t>mphasi</w:t>
      </w:r>
      <w:r w:rsidR="00AE7F86" w:rsidRPr="00646D82">
        <w:rPr>
          <w:rFonts w:eastAsia="Calibri"/>
          <w:i/>
          <w:kern w:val="22"/>
          <w:szCs w:val="22"/>
        </w:rPr>
        <w:t>zes</w:t>
      </w:r>
      <w:r w:rsidR="00417181" w:rsidRPr="00646D82">
        <w:rPr>
          <w:rFonts w:eastAsia="Calibri"/>
          <w:kern w:val="22"/>
          <w:szCs w:val="22"/>
        </w:rPr>
        <w:t xml:space="preserve"> the importance of making information available on the procedures to follow </w:t>
      </w:r>
      <w:r w:rsidR="00C4704D" w:rsidRPr="00646D82">
        <w:rPr>
          <w:rFonts w:eastAsia="Calibri"/>
          <w:kern w:val="22"/>
          <w:szCs w:val="22"/>
        </w:rPr>
        <w:t xml:space="preserve">in order </w:t>
      </w:r>
      <w:r w:rsidR="00417181" w:rsidRPr="00646D82">
        <w:rPr>
          <w:rFonts w:eastAsia="Calibri"/>
          <w:kern w:val="22"/>
          <w:szCs w:val="22"/>
        </w:rPr>
        <w:t>to access genetic resources and associated traditional knowledge</w:t>
      </w:r>
      <w:r w:rsidR="009D7818" w:rsidRPr="00646D82">
        <w:rPr>
          <w:rFonts w:eastAsia="Calibri"/>
          <w:kern w:val="22"/>
          <w:szCs w:val="22"/>
        </w:rPr>
        <w:t xml:space="preserve"> in a country</w:t>
      </w:r>
      <w:r w:rsidR="00AE7F86" w:rsidRPr="00646D82">
        <w:rPr>
          <w:rFonts w:eastAsia="Calibri"/>
          <w:kern w:val="22"/>
          <w:szCs w:val="22"/>
        </w:rPr>
        <w:t>;</w:t>
      </w:r>
    </w:p>
    <w:p w14:paraId="558B7330" w14:textId="6C39E69A" w:rsidR="00462BA6" w:rsidRPr="00646D82" w:rsidRDefault="00F013D1" w:rsidP="00646D82">
      <w:pPr>
        <w:pStyle w:val="Para1"/>
        <w:numPr>
          <w:ilvl w:val="1"/>
          <w:numId w:val="37"/>
        </w:numPr>
        <w:rPr>
          <w:rFonts w:eastAsia="Calibri"/>
          <w:kern w:val="22"/>
          <w:szCs w:val="22"/>
        </w:rPr>
      </w:pPr>
      <w:r w:rsidRPr="00646D82">
        <w:rPr>
          <w:rFonts w:eastAsia="Calibri"/>
          <w:i/>
          <w:kern w:val="22"/>
          <w:szCs w:val="22"/>
        </w:rPr>
        <w:t>Requests</w:t>
      </w:r>
      <w:r w:rsidRPr="00646D82">
        <w:rPr>
          <w:rFonts w:eastAsia="Calibri"/>
          <w:kern w:val="22"/>
          <w:szCs w:val="22"/>
        </w:rPr>
        <w:t xml:space="preserve"> the Executive Secretary</w:t>
      </w:r>
      <w:r w:rsidR="00462BA6" w:rsidRPr="00646D82">
        <w:rPr>
          <w:rFonts w:eastAsia="Calibri"/>
          <w:kern w:val="22"/>
          <w:szCs w:val="22"/>
        </w:rPr>
        <w:t>:</w:t>
      </w:r>
    </w:p>
    <w:p w14:paraId="5A5991F1" w14:textId="1F8F956C" w:rsidR="00462BA6" w:rsidRPr="00646D82" w:rsidRDefault="00B76C6F" w:rsidP="00646D82">
      <w:pPr>
        <w:pStyle w:val="Para1"/>
        <w:numPr>
          <w:ilvl w:val="2"/>
          <w:numId w:val="37"/>
        </w:numPr>
        <w:tabs>
          <w:tab w:val="clear" w:pos="1440"/>
        </w:tabs>
        <w:ind w:left="0" w:firstLine="720"/>
        <w:rPr>
          <w:rFonts w:eastAsia="Calibri"/>
          <w:kern w:val="22"/>
          <w:szCs w:val="22"/>
        </w:rPr>
      </w:pPr>
      <w:r w:rsidRPr="00646D82">
        <w:rPr>
          <w:rFonts w:eastAsia="Calibri"/>
          <w:kern w:val="22"/>
          <w:szCs w:val="22"/>
        </w:rPr>
        <w:t>To p</w:t>
      </w:r>
      <w:r w:rsidR="008C2548" w:rsidRPr="00646D82">
        <w:rPr>
          <w:rFonts w:eastAsia="Calibri"/>
          <w:kern w:val="22"/>
          <w:szCs w:val="22"/>
        </w:rPr>
        <w:t xml:space="preserve">rioritize </w:t>
      </w:r>
      <w:r w:rsidR="00985E4F" w:rsidRPr="00646D82">
        <w:rPr>
          <w:rFonts w:eastAsia="Calibri"/>
          <w:kern w:val="22"/>
          <w:szCs w:val="22"/>
        </w:rPr>
        <w:t xml:space="preserve">the </w:t>
      </w:r>
      <w:r w:rsidR="00462BA6" w:rsidRPr="00646D82">
        <w:rPr>
          <w:rFonts w:eastAsia="Calibri"/>
          <w:kern w:val="22"/>
          <w:szCs w:val="22"/>
        </w:rPr>
        <w:t xml:space="preserve">translation of the </w:t>
      </w:r>
      <w:r w:rsidR="00985E4F" w:rsidRPr="00646D82">
        <w:rPr>
          <w:rFonts w:eastAsia="Calibri"/>
          <w:kern w:val="22"/>
          <w:szCs w:val="22"/>
        </w:rPr>
        <w:t>Access and Benefit-sharing</w:t>
      </w:r>
      <w:r w:rsidR="00985E4F" w:rsidRPr="00646D82" w:rsidDel="00985E4F">
        <w:rPr>
          <w:rFonts w:eastAsia="Calibri"/>
          <w:kern w:val="22"/>
          <w:szCs w:val="22"/>
        </w:rPr>
        <w:t xml:space="preserve"> </w:t>
      </w:r>
      <w:r w:rsidR="00462BA6" w:rsidRPr="00646D82">
        <w:rPr>
          <w:rFonts w:eastAsia="Calibri"/>
          <w:kern w:val="22"/>
          <w:szCs w:val="22"/>
        </w:rPr>
        <w:t>Clearing-House</w:t>
      </w:r>
      <w:r w:rsidR="00F013D1" w:rsidRPr="00646D82">
        <w:rPr>
          <w:rFonts w:eastAsia="Calibri"/>
          <w:kern w:val="22"/>
          <w:szCs w:val="22"/>
        </w:rPr>
        <w:t>;</w:t>
      </w:r>
    </w:p>
    <w:p w14:paraId="3940AB22" w14:textId="353F28A4" w:rsidR="00462BA6" w:rsidRPr="00646D82" w:rsidRDefault="00B76C6F" w:rsidP="00646D82">
      <w:pPr>
        <w:pStyle w:val="Para1"/>
        <w:numPr>
          <w:ilvl w:val="2"/>
          <w:numId w:val="37"/>
        </w:numPr>
        <w:tabs>
          <w:tab w:val="clear" w:pos="1440"/>
        </w:tabs>
        <w:ind w:left="0" w:firstLine="720"/>
        <w:rPr>
          <w:rFonts w:eastAsia="Calibri"/>
          <w:kern w:val="22"/>
          <w:szCs w:val="22"/>
        </w:rPr>
      </w:pPr>
      <w:r w:rsidRPr="00646D82">
        <w:rPr>
          <w:rFonts w:eastAsia="Calibri"/>
          <w:kern w:val="22"/>
          <w:szCs w:val="22"/>
        </w:rPr>
        <w:t>To c</w:t>
      </w:r>
      <w:r w:rsidR="00AE11E4" w:rsidRPr="00646D82">
        <w:rPr>
          <w:rFonts w:eastAsia="Calibri"/>
          <w:kern w:val="22"/>
          <w:szCs w:val="22"/>
        </w:rPr>
        <w:t>ontinue to i</w:t>
      </w:r>
      <w:r w:rsidR="00FB21CB" w:rsidRPr="00646D82">
        <w:rPr>
          <w:rFonts w:eastAsia="Calibri"/>
          <w:kern w:val="22"/>
          <w:szCs w:val="22"/>
        </w:rPr>
        <w:t xml:space="preserve">mprove the performance of </w:t>
      </w:r>
      <w:r w:rsidR="002079C6" w:rsidRPr="00646D82">
        <w:rPr>
          <w:rFonts w:eastAsia="Calibri"/>
          <w:kern w:val="22"/>
          <w:szCs w:val="22"/>
        </w:rPr>
        <w:t xml:space="preserve">the </w:t>
      </w:r>
      <w:r w:rsidR="00985E4F" w:rsidRPr="00646D82">
        <w:rPr>
          <w:rFonts w:eastAsia="Calibri"/>
          <w:kern w:val="22"/>
          <w:szCs w:val="22"/>
        </w:rPr>
        <w:t>Access and Benefit-sharing</w:t>
      </w:r>
      <w:r w:rsidR="00985E4F" w:rsidRPr="00646D82" w:rsidDel="00985E4F">
        <w:rPr>
          <w:rFonts w:eastAsia="Calibri"/>
          <w:kern w:val="22"/>
          <w:szCs w:val="22"/>
        </w:rPr>
        <w:t xml:space="preserve"> </w:t>
      </w:r>
      <w:r w:rsidR="002079C6" w:rsidRPr="00646D82">
        <w:rPr>
          <w:rFonts w:eastAsia="Calibri"/>
          <w:kern w:val="22"/>
          <w:szCs w:val="22"/>
        </w:rPr>
        <w:t>Clearing-House</w:t>
      </w:r>
      <w:r w:rsidR="00D75431" w:rsidRPr="00646D82">
        <w:rPr>
          <w:szCs w:val="22"/>
        </w:rPr>
        <w:t>;</w:t>
      </w:r>
    </w:p>
    <w:p w14:paraId="00F2165D" w14:textId="48F9E9F8" w:rsidR="00EC56BB" w:rsidRPr="00646D82" w:rsidRDefault="00B76C6F" w:rsidP="00646D82">
      <w:pPr>
        <w:pStyle w:val="Para1"/>
        <w:numPr>
          <w:ilvl w:val="2"/>
          <w:numId w:val="37"/>
        </w:numPr>
        <w:tabs>
          <w:tab w:val="clear" w:pos="1440"/>
        </w:tabs>
        <w:ind w:left="0" w:firstLine="720"/>
        <w:rPr>
          <w:rFonts w:eastAsia="Calibri"/>
          <w:kern w:val="22"/>
          <w:szCs w:val="22"/>
        </w:rPr>
      </w:pPr>
      <w:r w:rsidRPr="00646D82">
        <w:rPr>
          <w:rFonts w:eastAsia="Calibri"/>
          <w:kern w:val="22"/>
          <w:szCs w:val="22"/>
        </w:rPr>
        <w:t>To s</w:t>
      </w:r>
      <w:r w:rsidR="008C2548" w:rsidRPr="00646D82">
        <w:rPr>
          <w:rFonts w:eastAsia="Calibri"/>
          <w:kern w:val="22"/>
          <w:szCs w:val="22"/>
        </w:rPr>
        <w:t>eek feedback from all</w:t>
      </w:r>
      <w:r w:rsidR="00EC56BB" w:rsidRPr="00646D82">
        <w:rPr>
          <w:rFonts w:eastAsia="Calibri"/>
          <w:kern w:val="22"/>
          <w:szCs w:val="22"/>
        </w:rPr>
        <w:t xml:space="preserve"> </w:t>
      </w:r>
      <w:r w:rsidR="008C2548" w:rsidRPr="00646D82">
        <w:rPr>
          <w:rFonts w:eastAsia="Calibri"/>
          <w:kern w:val="22"/>
          <w:szCs w:val="22"/>
        </w:rPr>
        <w:t xml:space="preserve">types of </w:t>
      </w:r>
      <w:r w:rsidR="00EC56BB" w:rsidRPr="00646D82">
        <w:rPr>
          <w:rFonts w:eastAsia="Calibri"/>
          <w:kern w:val="22"/>
          <w:szCs w:val="22"/>
        </w:rPr>
        <w:t xml:space="preserve">users of the </w:t>
      </w:r>
      <w:r w:rsidR="00985E4F" w:rsidRPr="00646D82">
        <w:rPr>
          <w:rFonts w:eastAsia="Calibri"/>
          <w:kern w:val="22"/>
          <w:szCs w:val="22"/>
        </w:rPr>
        <w:t>Access and Benefit-sharing</w:t>
      </w:r>
      <w:r w:rsidR="00985E4F" w:rsidRPr="00646D82" w:rsidDel="00985E4F">
        <w:rPr>
          <w:rFonts w:eastAsia="Calibri"/>
          <w:kern w:val="22"/>
          <w:szCs w:val="22"/>
        </w:rPr>
        <w:t xml:space="preserve"> </w:t>
      </w:r>
      <w:r w:rsidR="00EC56BB" w:rsidRPr="00646D82">
        <w:rPr>
          <w:rFonts w:eastAsia="Calibri"/>
          <w:kern w:val="22"/>
          <w:szCs w:val="22"/>
        </w:rPr>
        <w:t xml:space="preserve">Clearing-House on its implementation and </w:t>
      </w:r>
      <w:r w:rsidR="008C2548" w:rsidRPr="00646D82">
        <w:rPr>
          <w:rFonts w:eastAsia="Calibri"/>
          <w:kern w:val="22"/>
          <w:szCs w:val="22"/>
        </w:rPr>
        <w:t>operation</w:t>
      </w:r>
      <w:r w:rsidR="00EC56BB" w:rsidRPr="00646D82">
        <w:rPr>
          <w:rFonts w:eastAsia="Calibri"/>
          <w:kern w:val="22"/>
          <w:szCs w:val="22"/>
        </w:rPr>
        <w:t>;</w:t>
      </w:r>
    </w:p>
    <w:p w14:paraId="6250AD8C" w14:textId="103825E6" w:rsidR="00F013D1" w:rsidRPr="00646D82" w:rsidRDefault="002D61DB" w:rsidP="00646D82">
      <w:pPr>
        <w:pStyle w:val="Para1"/>
        <w:numPr>
          <w:ilvl w:val="1"/>
          <w:numId w:val="37"/>
        </w:numPr>
        <w:rPr>
          <w:rFonts w:eastAsia="Calibri"/>
          <w:kern w:val="22"/>
          <w:szCs w:val="22"/>
        </w:rPr>
      </w:pPr>
      <w:r w:rsidRPr="00646D82">
        <w:rPr>
          <w:rFonts w:eastAsia="Calibri"/>
          <w:i/>
          <w:kern w:val="22"/>
          <w:szCs w:val="22"/>
        </w:rPr>
        <w:t>Also r</w:t>
      </w:r>
      <w:r w:rsidR="00F013D1" w:rsidRPr="00646D82">
        <w:rPr>
          <w:rFonts w:eastAsia="Calibri"/>
          <w:i/>
          <w:kern w:val="22"/>
          <w:szCs w:val="22"/>
        </w:rPr>
        <w:t>equests</w:t>
      </w:r>
      <w:r w:rsidR="00F013D1" w:rsidRPr="00646D82">
        <w:rPr>
          <w:rFonts w:eastAsia="Calibri"/>
          <w:kern w:val="22"/>
          <w:szCs w:val="22"/>
        </w:rPr>
        <w:t xml:space="preserve"> the Executive Secretary to continue </w:t>
      </w:r>
      <w:r w:rsidR="00EC56BB" w:rsidRPr="00646D82">
        <w:rPr>
          <w:rFonts w:eastAsia="Calibri"/>
          <w:kern w:val="22"/>
          <w:szCs w:val="22"/>
        </w:rPr>
        <w:t xml:space="preserve">providing </w:t>
      </w:r>
      <w:r w:rsidR="00F013D1" w:rsidRPr="00646D82">
        <w:rPr>
          <w:rFonts w:eastAsia="Calibri"/>
          <w:kern w:val="22"/>
          <w:szCs w:val="22"/>
        </w:rPr>
        <w:t xml:space="preserve">technical assistance for the submission of information on the </w:t>
      </w:r>
      <w:r w:rsidR="00B76C6F" w:rsidRPr="00646D82">
        <w:rPr>
          <w:rFonts w:eastAsia="Calibri"/>
          <w:kern w:val="22"/>
          <w:szCs w:val="22"/>
        </w:rPr>
        <w:t xml:space="preserve">Access and Benefit-sharing </w:t>
      </w:r>
      <w:r w:rsidR="00F013D1" w:rsidRPr="00646D82">
        <w:rPr>
          <w:rFonts w:eastAsia="Calibri"/>
          <w:kern w:val="22"/>
          <w:szCs w:val="22"/>
        </w:rPr>
        <w:t>Clearing-House, including:</w:t>
      </w:r>
    </w:p>
    <w:p w14:paraId="534A8303" w14:textId="5512B295" w:rsidR="00D75431" w:rsidRPr="00646D82" w:rsidRDefault="00F013D1" w:rsidP="00646D82">
      <w:pPr>
        <w:numPr>
          <w:ilvl w:val="2"/>
          <w:numId w:val="37"/>
        </w:numPr>
        <w:suppressLineNumbers/>
        <w:tabs>
          <w:tab w:val="clear" w:pos="1440"/>
        </w:tabs>
        <w:suppressAutoHyphens/>
        <w:spacing w:before="120" w:after="120"/>
        <w:ind w:left="0" w:firstLine="720"/>
        <w:rPr>
          <w:rFonts w:eastAsia="Calibri"/>
          <w:kern w:val="22"/>
          <w:szCs w:val="22"/>
          <w:u w:color="000000"/>
        </w:rPr>
      </w:pPr>
      <w:r w:rsidRPr="00646D82">
        <w:rPr>
          <w:rFonts w:eastAsia="Calibri"/>
          <w:kern w:val="22"/>
          <w:szCs w:val="22"/>
          <w:u w:color="000000"/>
        </w:rPr>
        <w:t>Encourag</w:t>
      </w:r>
      <w:r w:rsidR="00F97694" w:rsidRPr="00646D82">
        <w:rPr>
          <w:rFonts w:eastAsia="Calibri"/>
          <w:kern w:val="22"/>
          <w:szCs w:val="22"/>
          <w:u w:color="000000"/>
        </w:rPr>
        <w:t>ing</w:t>
      </w:r>
      <w:r w:rsidRPr="00646D82">
        <w:rPr>
          <w:rFonts w:eastAsia="Calibri"/>
          <w:kern w:val="22"/>
          <w:szCs w:val="22"/>
          <w:u w:color="000000"/>
        </w:rPr>
        <w:t xml:space="preserve"> the publication </w:t>
      </w:r>
      <w:r w:rsidR="00D75431" w:rsidRPr="00646D82">
        <w:rPr>
          <w:rFonts w:eastAsia="Calibri"/>
          <w:kern w:val="22"/>
          <w:szCs w:val="22"/>
          <w:u w:color="000000"/>
        </w:rPr>
        <w:t>by Parties</w:t>
      </w:r>
      <w:r w:rsidR="00D724B4" w:rsidRPr="00646D82">
        <w:rPr>
          <w:rFonts w:eastAsia="Calibri"/>
          <w:kern w:val="22"/>
          <w:szCs w:val="22"/>
          <w:u w:color="000000"/>
        </w:rPr>
        <w:t>, as well as non-Parties,</w:t>
      </w:r>
      <w:r w:rsidR="00D75431" w:rsidRPr="00646D82">
        <w:rPr>
          <w:rFonts w:eastAsia="Calibri"/>
          <w:kern w:val="22"/>
          <w:szCs w:val="22"/>
          <w:u w:color="000000"/>
        </w:rPr>
        <w:t xml:space="preserve"> </w:t>
      </w:r>
      <w:r w:rsidRPr="00646D82">
        <w:rPr>
          <w:rFonts w:eastAsia="Calibri"/>
          <w:kern w:val="22"/>
          <w:szCs w:val="22"/>
          <w:u w:color="000000"/>
        </w:rPr>
        <w:t>of</w:t>
      </w:r>
      <w:r w:rsidR="00D75431" w:rsidRPr="00646D82">
        <w:rPr>
          <w:rFonts w:eastAsia="Calibri"/>
          <w:kern w:val="22"/>
          <w:szCs w:val="22"/>
          <w:u w:color="000000"/>
        </w:rPr>
        <w:t xml:space="preserve"> all mandatory information available at the national level </w:t>
      </w:r>
      <w:r w:rsidR="00AB58CE" w:rsidRPr="00646D82">
        <w:rPr>
          <w:rFonts w:eastAsia="Calibri"/>
          <w:kern w:val="22"/>
          <w:szCs w:val="22"/>
          <w:u w:color="000000"/>
        </w:rPr>
        <w:t xml:space="preserve">in </w:t>
      </w:r>
      <w:r w:rsidR="00D75431" w:rsidRPr="00646D82">
        <w:rPr>
          <w:rFonts w:eastAsia="Calibri"/>
          <w:kern w:val="22"/>
          <w:szCs w:val="22"/>
          <w:u w:color="000000"/>
        </w:rPr>
        <w:t>the A</w:t>
      </w:r>
      <w:r w:rsidR="002B45AA" w:rsidRPr="00646D82">
        <w:rPr>
          <w:rFonts w:eastAsia="Calibri"/>
          <w:kern w:val="22"/>
          <w:szCs w:val="22"/>
          <w:u w:color="000000"/>
        </w:rPr>
        <w:t xml:space="preserve">ccess and </w:t>
      </w:r>
      <w:r w:rsidR="00D75431" w:rsidRPr="00646D82">
        <w:rPr>
          <w:rFonts w:eastAsia="Calibri"/>
          <w:kern w:val="22"/>
          <w:szCs w:val="22"/>
          <w:u w:color="000000"/>
        </w:rPr>
        <w:t>B</w:t>
      </w:r>
      <w:r w:rsidR="002B45AA" w:rsidRPr="00646D82">
        <w:rPr>
          <w:rFonts w:eastAsia="Calibri"/>
          <w:kern w:val="22"/>
          <w:szCs w:val="22"/>
          <w:u w:color="000000"/>
        </w:rPr>
        <w:t>enefit-</w:t>
      </w:r>
      <w:r w:rsidR="00D75431" w:rsidRPr="00646D82">
        <w:rPr>
          <w:rFonts w:eastAsia="Calibri"/>
          <w:kern w:val="22"/>
          <w:szCs w:val="22"/>
          <w:u w:color="000000"/>
        </w:rPr>
        <w:t>S</w:t>
      </w:r>
      <w:r w:rsidR="002B45AA" w:rsidRPr="00646D82">
        <w:rPr>
          <w:rFonts w:eastAsia="Calibri"/>
          <w:kern w:val="22"/>
          <w:szCs w:val="22"/>
          <w:u w:color="000000"/>
        </w:rPr>
        <w:t>haring</w:t>
      </w:r>
      <w:r w:rsidR="00D75431" w:rsidRPr="00646D82">
        <w:rPr>
          <w:rFonts w:eastAsia="Calibri"/>
          <w:kern w:val="22"/>
          <w:szCs w:val="22"/>
          <w:u w:color="000000"/>
        </w:rPr>
        <w:t xml:space="preserve"> Clearing-House</w:t>
      </w:r>
      <w:r w:rsidR="002079C6" w:rsidRPr="00646D82">
        <w:rPr>
          <w:rFonts w:eastAsia="Calibri"/>
          <w:kern w:val="22"/>
          <w:szCs w:val="22"/>
          <w:u w:color="000000"/>
        </w:rPr>
        <w:t xml:space="preserve"> </w:t>
      </w:r>
      <w:r w:rsidR="00643EB2" w:rsidRPr="00646D82">
        <w:rPr>
          <w:rFonts w:eastAsia="Calibri"/>
          <w:kern w:val="22"/>
          <w:szCs w:val="22"/>
          <w:u w:color="000000"/>
        </w:rPr>
        <w:t>and to provide training for the use the A</w:t>
      </w:r>
      <w:r w:rsidR="002B45AA" w:rsidRPr="00646D82">
        <w:rPr>
          <w:rFonts w:eastAsia="Calibri"/>
          <w:kern w:val="22"/>
          <w:szCs w:val="22"/>
          <w:u w:color="000000"/>
        </w:rPr>
        <w:t xml:space="preserve">ccess and </w:t>
      </w:r>
      <w:r w:rsidR="00643EB2" w:rsidRPr="00646D82">
        <w:rPr>
          <w:rFonts w:eastAsia="Calibri"/>
          <w:kern w:val="22"/>
          <w:szCs w:val="22"/>
          <w:u w:color="000000"/>
        </w:rPr>
        <w:t>B</w:t>
      </w:r>
      <w:r w:rsidR="002B45AA" w:rsidRPr="00646D82">
        <w:rPr>
          <w:rFonts w:eastAsia="Calibri"/>
          <w:kern w:val="22"/>
          <w:szCs w:val="22"/>
          <w:u w:color="000000"/>
        </w:rPr>
        <w:t>enefit-</w:t>
      </w:r>
      <w:r w:rsidR="00643EB2" w:rsidRPr="00646D82">
        <w:rPr>
          <w:rFonts w:eastAsia="Calibri"/>
          <w:kern w:val="22"/>
          <w:szCs w:val="22"/>
          <w:u w:color="000000"/>
        </w:rPr>
        <w:t>S</w:t>
      </w:r>
      <w:r w:rsidR="002B45AA" w:rsidRPr="00646D82">
        <w:rPr>
          <w:rFonts w:eastAsia="Calibri"/>
          <w:kern w:val="22"/>
          <w:szCs w:val="22"/>
          <w:u w:color="000000"/>
        </w:rPr>
        <w:t>haring</w:t>
      </w:r>
      <w:r w:rsidR="00643EB2" w:rsidRPr="00646D82">
        <w:rPr>
          <w:rFonts w:eastAsia="Calibri"/>
          <w:kern w:val="22"/>
          <w:szCs w:val="22"/>
          <w:u w:color="000000"/>
        </w:rPr>
        <w:t xml:space="preserve"> Clearing-House;</w:t>
      </w:r>
    </w:p>
    <w:p w14:paraId="6C90E760" w14:textId="4959E9A7" w:rsidR="00F013D1" w:rsidRPr="00646D82" w:rsidRDefault="00F013D1" w:rsidP="00646D82">
      <w:pPr>
        <w:numPr>
          <w:ilvl w:val="2"/>
          <w:numId w:val="37"/>
        </w:numPr>
        <w:suppressLineNumbers/>
        <w:tabs>
          <w:tab w:val="clear" w:pos="1440"/>
        </w:tabs>
        <w:suppressAutoHyphens/>
        <w:spacing w:before="120" w:after="120"/>
        <w:ind w:left="0" w:firstLine="720"/>
        <w:rPr>
          <w:rFonts w:eastAsia="Calibri"/>
          <w:kern w:val="22"/>
          <w:szCs w:val="22"/>
          <w:u w:color="000000"/>
        </w:rPr>
      </w:pPr>
      <w:r w:rsidRPr="00646D82">
        <w:rPr>
          <w:rFonts w:eastAsia="Calibri"/>
          <w:kern w:val="22"/>
          <w:szCs w:val="22"/>
          <w:u w:color="000000"/>
        </w:rPr>
        <w:t>Encourag</w:t>
      </w:r>
      <w:r w:rsidR="00F97694" w:rsidRPr="00646D82">
        <w:rPr>
          <w:rFonts w:eastAsia="Calibri"/>
          <w:kern w:val="22"/>
          <w:szCs w:val="22"/>
          <w:u w:color="000000"/>
        </w:rPr>
        <w:t>ing</w:t>
      </w:r>
      <w:r w:rsidRPr="00646D82">
        <w:rPr>
          <w:rFonts w:eastAsia="Calibri"/>
          <w:kern w:val="22"/>
          <w:szCs w:val="22"/>
          <w:u w:color="000000"/>
        </w:rPr>
        <w:t xml:space="preserve"> the publication of </w:t>
      </w:r>
      <w:r w:rsidR="00EC56BB" w:rsidRPr="00646D82">
        <w:rPr>
          <w:rFonts w:eastAsia="Calibri"/>
          <w:kern w:val="22"/>
          <w:szCs w:val="22"/>
          <w:u w:color="000000"/>
        </w:rPr>
        <w:t xml:space="preserve">reference records, as appropriate, </w:t>
      </w:r>
      <w:r w:rsidRPr="00646D82">
        <w:rPr>
          <w:rFonts w:eastAsia="Calibri"/>
          <w:kern w:val="22"/>
          <w:szCs w:val="22"/>
          <w:u w:color="000000"/>
        </w:rPr>
        <w:t>by relevant stakeholders, indigenous peoples and local communities, and relevant organi</w:t>
      </w:r>
      <w:r w:rsidR="003840BA" w:rsidRPr="00646D82">
        <w:rPr>
          <w:rFonts w:eastAsia="Calibri"/>
          <w:kern w:val="22"/>
          <w:szCs w:val="22"/>
          <w:u w:color="000000"/>
        </w:rPr>
        <w:t>z</w:t>
      </w:r>
      <w:r w:rsidRPr="00646D82">
        <w:rPr>
          <w:rFonts w:eastAsia="Calibri"/>
          <w:kern w:val="22"/>
          <w:szCs w:val="22"/>
          <w:u w:color="000000"/>
        </w:rPr>
        <w:t xml:space="preserve">ations </w:t>
      </w:r>
      <w:r w:rsidR="00F54CA6" w:rsidRPr="00646D82">
        <w:rPr>
          <w:rFonts w:eastAsia="Calibri"/>
          <w:kern w:val="22"/>
          <w:szCs w:val="22"/>
          <w:u w:color="000000"/>
        </w:rPr>
        <w:t xml:space="preserve">on </w:t>
      </w:r>
      <w:r w:rsidRPr="00646D82">
        <w:rPr>
          <w:rFonts w:eastAsia="Calibri"/>
          <w:kern w:val="22"/>
          <w:szCs w:val="22"/>
          <w:u w:color="000000"/>
        </w:rPr>
        <w:t>the A</w:t>
      </w:r>
      <w:r w:rsidR="002B45AA" w:rsidRPr="00646D82">
        <w:rPr>
          <w:rFonts w:eastAsia="Calibri"/>
          <w:kern w:val="22"/>
          <w:szCs w:val="22"/>
          <w:u w:color="000000"/>
        </w:rPr>
        <w:t xml:space="preserve">ccess and </w:t>
      </w:r>
      <w:r w:rsidRPr="00646D82">
        <w:rPr>
          <w:rFonts w:eastAsia="Calibri"/>
          <w:kern w:val="22"/>
          <w:szCs w:val="22"/>
          <w:u w:color="000000"/>
        </w:rPr>
        <w:t>B</w:t>
      </w:r>
      <w:r w:rsidR="002B45AA" w:rsidRPr="00646D82">
        <w:rPr>
          <w:rFonts w:eastAsia="Calibri"/>
          <w:kern w:val="22"/>
          <w:szCs w:val="22"/>
          <w:u w:color="000000"/>
        </w:rPr>
        <w:t>enefit-</w:t>
      </w:r>
      <w:r w:rsidRPr="00646D82">
        <w:rPr>
          <w:rFonts w:eastAsia="Calibri"/>
          <w:kern w:val="22"/>
          <w:szCs w:val="22"/>
          <w:u w:color="000000"/>
        </w:rPr>
        <w:t>S</w:t>
      </w:r>
      <w:r w:rsidR="002B45AA" w:rsidRPr="00646D82">
        <w:rPr>
          <w:rFonts w:eastAsia="Calibri"/>
          <w:kern w:val="22"/>
          <w:szCs w:val="22"/>
          <w:u w:color="000000"/>
        </w:rPr>
        <w:t>haring</w:t>
      </w:r>
      <w:r w:rsidRPr="00646D82">
        <w:rPr>
          <w:rFonts w:eastAsia="Calibri"/>
          <w:kern w:val="22"/>
          <w:szCs w:val="22"/>
          <w:u w:color="000000"/>
        </w:rPr>
        <w:t xml:space="preserve"> Clearing-House;</w:t>
      </w:r>
    </w:p>
    <w:p w14:paraId="0E092D30" w14:textId="31254285" w:rsidR="001220DD" w:rsidRPr="00646D82" w:rsidRDefault="001220DD" w:rsidP="00646D82">
      <w:pPr>
        <w:pStyle w:val="ListParagraph"/>
        <w:numPr>
          <w:ilvl w:val="2"/>
          <w:numId w:val="37"/>
        </w:numPr>
        <w:tabs>
          <w:tab w:val="clear" w:pos="1440"/>
        </w:tabs>
        <w:spacing w:before="120" w:after="120"/>
        <w:ind w:left="0" w:firstLine="720"/>
        <w:contextualSpacing w:val="0"/>
        <w:rPr>
          <w:rFonts w:eastAsia="Calibri"/>
          <w:kern w:val="22"/>
          <w:szCs w:val="22"/>
          <w:u w:color="000000"/>
        </w:rPr>
      </w:pPr>
      <w:r w:rsidRPr="00646D82">
        <w:rPr>
          <w:rFonts w:eastAsia="Calibri"/>
          <w:kern w:val="22"/>
          <w:szCs w:val="22"/>
          <w:u w:color="000000"/>
        </w:rPr>
        <w:t>Increas</w:t>
      </w:r>
      <w:r w:rsidR="00F97694" w:rsidRPr="00646D82">
        <w:rPr>
          <w:rFonts w:eastAsia="Calibri"/>
          <w:kern w:val="22"/>
          <w:szCs w:val="22"/>
          <w:u w:color="000000"/>
        </w:rPr>
        <w:t>ing</w:t>
      </w:r>
      <w:r w:rsidRPr="00646D82">
        <w:rPr>
          <w:rFonts w:eastAsia="Calibri"/>
          <w:kern w:val="22"/>
          <w:szCs w:val="22"/>
          <w:u w:color="000000"/>
        </w:rPr>
        <w:t xml:space="preserve"> understanding of the </w:t>
      </w:r>
      <w:r w:rsidR="00C45778" w:rsidRPr="00646D82">
        <w:rPr>
          <w:rFonts w:eastAsia="Calibri"/>
          <w:kern w:val="22"/>
          <w:szCs w:val="22"/>
          <w:u w:color="000000"/>
        </w:rPr>
        <w:t xml:space="preserve">functioning of the </w:t>
      </w:r>
      <w:r w:rsidRPr="00646D82">
        <w:rPr>
          <w:rFonts w:eastAsia="Calibri"/>
          <w:kern w:val="22"/>
          <w:szCs w:val="22"/>
          <w:u w:color="000000"/>
        </w:rPr>
        <w:t>system for monitoring the utilization of genetic resources through the A</w:t>
      </w:r>
      <w:r w:rsidR="003840BA" w:rsidRPr="00646D82">
        <w:rPr>
          <w:rFonts w:eastAsia="Calibri"/>
          <w:kern w:val="22"/>
          <w:szCs w:val="22"/>
          <w:u w:color="000000"/>
        </w:rPr>
        <w:t xml:space="preserve">ccess and </w:t>
      </w:r>
      <w:r w:rsidRPr="00646D82">
        <w:rPr>
          <w:rFonts w:eastAsia="Calibri"/>
          <w:kern w:val="22"/>
          <w:szCs w:val="22"/>
          <w:u w:color="000000"/>
        </w:rPr>
        <w:t>B</w:t>
      </w:r>
      <w:r w:rsidR="003840BA" w:rsidRPr="00646D82">
        <w:rPr>
          <w:rFonts w:eastAsia="Calibri"/>
          <w:kern w:val="22"/>
          <w:szCs w:val="22"/>
          <w:u w:color="000000"/>
        </w:rPr>
        <w:t>enefit-</w:t>
      </w:r>
      <w:r w:rsidRPr="00646D82">
        <w:rPr>
          <w:rFonts w:eastAsia="Calibri"/>
          <w:kern w:val="22"/>
          <w:szCs w:val="22"/>
          <w:u w:color="000000"/>
        </w:rPr>
        <w:t>S</w:t>
      </w:r>
      <w:r w:rsidR="003840BA" w:rsidRPr="00646D82">
        <w:rPr>
          <w:rFonts w:eastAsia="Calibri"/>
          <w:kern w:val="22"/>
          <w:szCs w:val="22"/>
          <w:u w:color="000000"/>
        </w:rPr>
        <w:t>haring</w:t>
      </w:r>
      <w:r w:rsidRPr="00646D82">
        <w:rPr>
          <w:rFonts w:eastAsia="Calibri"/>
          <w:kern w:val="22"/>
          <w:szCs w:val="22"/>
          <w:u w:color="000000"/>
        </w:rPr>
        <w:t xml:space="preserve"> Clearing-House;</w:t>
      </w:r>
    </w:p>
    <w:p w14:paraId="1E15881B" w14:textId="64C2D4CA" w:rsidR="00170145" w:rsidRPr="00646D82" w:rsidRDefault="00F013D1" w:rsidP="00646D82">
      <w:pPr>
        <w:numPr>
          <w:ilvl w:val="2"/>
          <w:numId w:val="37"/>
        </w:numPr>
        <w:suppressLineNumbers/>
        <w:tabs>
          <w:tab w:val="clear" w:pos="1440"/>
        </w:tabs>
        <w:suppressAutoHyphens/>
        <w:spacing w:before="120" w:after="120"/>
        <w:ind w:left="0" w:firstLine="720"/>
        <w:rPr>
          <w:rFonts w:eastAsia="Calibri"/>
          <w:kern w:val="22"/>
          <w:szCs w:val="22"/>
          <w:u w:color="000000"/>
        </w:rPr>
      </w:pPr>
      <w:r w:rsidRPr="00646D82">
        <w:rPr>
          <w:rFonts w:eastAsia="Calibri"/>
          <w:kern w:val="22"/>
          <w:szCs w:val="22"/>
          <w:u w:color="000000"/>
        </w:rPr>
        <w:t>Encourag</w:t>
      </w:r>
      <w:r w:rsidR="00F97694" w:rsidRPr="00646D82">
        <w:rPr>
          <w:rFonts w:eastAsia="Calibri"/>
          <w:kern w:val="22"/>
          <w:szCs w:val="22"/>
          <w:u w:color="000000"/>
        </w:rPr>
        <w:t>ing</w:t>
      </w:r>
      <w:r w:rsidRPr="00646D82">
        <w:rPr>
          <w:rFonts w:eastAsia="Calibri"/>
          <w:kern w:val="22"/>
          <w:szCs w:val="22"/>
          <w:u w:color="000000"/>
        </w:rPr>
        <w:t xml:space="preserve"> the use of the </w:t>
      </w:r>
      <w:r w:rsidR="002B45AA" w:rsidRPr="00646D82">
        <w:rPr>
          <w:rFonts w:eastAsia="Calibri"/>
          <w:kern w:val="22"/>
          <w:szCs w:val="22"/>
          <w:u w:color="000000"/>
        </w:rPr>
        <w:t xml:space="preserve">Access and Benefit-sharing </w:t>
      </w:r>
      <w:r w:rsidRPr="00646D82">
        <w:rPr>
          <w:rFonts w:eastAsia="Calibri"/>
          <w:kern w:val="22"/>
          <w:szCs w:val="22"/>
          <w:u w:color="000000"/>
        </w:rPr>
        <w:t>Clearing-House’s interoperability features</w:t>
      </w:r>
      <w:r w:rsidR="00AB58CE" w:rsidRPr="00646D82">
        <w:rPr>
          <w:rFonts w:eastAsia="Calibri"/>
          <w:kern w:val="22"/>
          <w:szCs w:val="22"/>
          <w:u w:color="000000"/>
        </w:rPr>
        <w:t>,</w:t>
      </w:r>
      <w:r w:rsidRPr="00646D82">
        <w:rPr>
          <w:rFonts w:eastAsia="Calibri"/>
          <w:kern w:val="22"/>
          <w:szCs w:val="22"/>
          <w:u w:color="000000"/>
        </w:rPr>
        <w:t xml:space="preserve"> such as the application programming interface;</w:t>
      </w:r>
    </w:p>
    <w:p w14:paraId="4A4555BB" w14:textId="77777777" w:rsidR="00B14BE9" w:rsidRPr="00646D82" w:rsidRDefault="00B14BE9" w:rsidP="0085394E">
      <w:pPr>
        <w:suppressLineNumbers/>
        <w:suppressAutoHyphens/>
        <w:spacing w:before="120" w:after="120"/>
        <w:rPr>
          <w:rFonts w:eastAsia="Calibri"/>
          <w:kern w:val="22"/>
          <w:szCs w:val="22"/>
          <w:u w:color="000000"/>
        </w:rPr>
      </w:pPr>
    </w:p>
    <w:p w14:paraId="72804290" w14:textId="77777777" w:rsidR="002B45AA" w:rsidRPr="00646D82" w:rsidRDefault="002B45AA">
      <w:pPr>
        <w:jc w:val="left"/>
        <w:rPr>
          <w:b/>
          <w:i/>
          <w:szCs w:val="22"/>
        </w:rPr>
      </w:pPr>
      <w:r w:rsidRPr="00646D82">
        <w:rPr>
          <w:b/>
          <w:i/>
          <w:szCs w:val="22"/>
        </w:rPr>
        <w:br w:type="page"/>
      </w:r>
    </w:p>
    <w:p w14:paraId="2F8B3198" w14:textId="6CE0433C" w:rsidR="00BF6908" w:rsidRPr="00646D82" w:rsidRDefault="00BF6908" w:rsidP="008A78C9">
      <w:pPr>
        <w:jc w:val="center"/>
        <w:rPr>
          <w:i/>
          <w:szCs w:val="22"/>
        </w:rPr>
      </w:pPr>
      <w:r w:rsidRPr="00646D82">
        <w:rPr>
          <w:i/>
          <w:szCs w:val="22"/>
        </w:rPr>
        <w:t>Annex I</w:t>
      </w:r>
    </w:p>
    <w:p w14:paraId="09FA6465" w14:textId="77777777" w:rsidR="005D77E2" w:rsidRPr="00646D82" w:rsidRDefault="005D77E2" w:rsidP="00BF6908">
      <w:pPr>
        <w:jc w:val="center"/>
        <w:rPr>
          <w:b/>
          <w:szCs w:val="22"/>
        </w:rPr>
      </w:pPr>
    </w:p>
    <w:p w14:paraId="65EA37CD" w14:textId="77777777" w:rsidR="00BF6908" w:rsidRPr="00B56B1C" w:rsidRDefault="005D77E2" w:rsidP="005D77E2">
      <w:pPr>
        <w:jc w:val="center"/>
        <w:rPr>
          <w:b/>
          <w:szCs w:val="22"/>
        </w:rPr>
      </w:pPr>
      <w:r w:rsidRPr="00B56B1C">
        <w:rPr>
          <w:b/>
          <w:szCs w:val="22"/>
        </w:rPr>
        <w:t>KEY FINDINGS</w:t>
      </w:r>
    </w:p>
    <w:p w14:paraId="656BADC1" w14:textId="77777777" w:rsidR="005D77E2" w:rsidRPr="00B56B1C" w:rsidRDefault="005D77E2" w:rsidP="005D77E2">
      <w:pPr>
        <w:jc w:val="center"/>
        <w:rPr>
          <w:szCs w:val="22"/>
        </w:rPr>
      </w:pPr>
    </w:p>
    <w:p w14:paraId="6EF5AFBC" w14:textId="77777777" w:rsidR="00BF6908" w:rsidRPr="00B56B1C" w:rsidRDefault="00BF6908" w:rsidP="00253DAA">
      <w:pPr>
        <w:jc w:val="center"/>
        <w:rPr>
          <w:b/>
          <w:szCs w:val="22"/>
        </w:rPr>
      </w:pPr>
      <w:r w:rsidRPr="00B56B1C">
        <w:rPr>
          <w:b/>
          <w:kern w:val="22"/>
          <w:szCs w:val="22"/>
        </w:rPr>
        <w:t>Element (a) Extent of implementation of the provisions of the Protocol and related obligations of Parties, including assessment of progress by Parties in establishing institutional structures and access and benefit-sharing</w:t>
      </w:r>
      <w:r w:rsidRPr="00B56B1C" w:rsidDel="00CE65DF">
        <w:rPr>
          <w:b/>
          <w:kern w:val="22"/>
          <w:szCs w:val="22"/>
        </w:rPr>
        <w:t xml:space="preserve"> </w:t>
      </w:r>
      <w:r w:rsidRPr="00B56B1C">
        <w:rPr>
          <w:b/>
          <w:kern w:val="22"/>
          <w:szCs w:val="22"/>
        </w:rPr>
        <w:t>measures to implement the Protocol</w:t>
      </w:r>
    </w:p>
    <w:p w14:paraId="6263AB57" w14:textId="77777777" w:rsidR="00BF6908" w:rsidRPr="00646D82" w:rsidRDefault="00BF6908" w:rsidP="00981434">
      <w:pPr>
        <w:pStyle w:val="Para1"/>
        <w:numPr>
          <w:ilvl w:val="0"/>
          <w:numId w:val="27"/>
        </w:numPr>
        <w:suppressLineNumbers/>
        <w:tabs>
          <w:tab w:val="clear" w:pos="360"/>
        </w:tabs>
        <w:suppressAutoHyphens/>
        <w:rPr>
          <w:spacing w:val="-6"/>
          <w:kern w:val="22"/>
          <w:szCs w:val="22"/>
        </w:rPr>
      </w:pPr>
      <w:r w:rsidRPr="00646D82">
        <w:rPr>
          <w:spacing w:val="-6"/>
          <w:kern w:val="22"/>
          <w:szCs w:val="22"/>
        </w:rPr>
        <w:t>In order to make the Protocol operational, Parties need to establish access and benefit-sharing legislative, administrative and policy measures and institutional arrangements and many Parties are still in the process of establishing these measures and institutions. For many Parties, this process is time-consuming and challenging.</w:t>
      </w:r>
    </w:p>
    <w:p w14:paraId="24B1261D" w14:textId="77777777" w:rsidR="00BF6908" w:rsidRPr="00646D82" w:rsidRDefault="00BF6908" w:rsidP="00981434">
      <w:pPr>
        <w:pStyle w:val="Para1"/>
        <w:numPr>
          <w:ilvl w:val="0"/>
          <w:numId w:val="27"/>
        </w:numPr>
        <w:suppressLineNumbers/>
        <w:tabs>
          <w:tab w:val="clear" w:pos="360"/>
        </w:tabs>
        <w:suppressAutoHyphens/>
        <w:rPr>
          <w:spacing w:val="-6"/>
          <w:kern w:val="22"/>
          <w:szCs w:val="22"/>
        </w:rPr>
      </w:pPr>
      <w:r w:rsidRPr="00646D82">
        <w:rPr>
          <w:spacing w:val="-6"/>
          <w:kern w:val="22"/>
          <w:szCs w:val="22"/>
        </w:rPr>
        <w:t xml:space="preserve">Progress in establishing institutional arrangements, such as competent national authorities and checkpoints, is closely related to progress in adopting ABS measures. Some measures adopted prior to the Nagoya Protocol included the designation of competent national authorities. However, the designation of checkpoints is a new requirement created by the Protocol and still needs to be addressed by many Parties. </w:t>
      </w:r>
    </w:p>
    <w:p w14:paraId="3B0FE387" w14:textId="77777777" w:rsidR="00BF6908" w:rsidRPr="00646D82" w:rsidRDefault="00BF6908" w:rsidP="002A4D34">
      <w:pPr>
        <w:pStyle w:val="Para1"/>
        <w:numPr>
          <w:ilvl w:val="0"/>
          <w:numId w:val="27"/>
        </w:numPr>
        <w:suppressLineNumbers/>
        <w:tabs>
          <w:tab w:val="clear" w:pos="360"/>
        </w:tabs>
        <w:suppressAutoHyphens/>
        <w:rPr>
          <w:spacing w:val="-6"/>
          <w:kern w:val="22"/>
          <w:szCs w:val="22"/>
        </w:rPr>
      </w:pPr>
      <w:r w:rsidRPr="00646D82">
        <w:rPr>
          <w:spacing w:val="-6"/>
          <w:kern w:val="22"/>
          <w:szCs w:val="22"/>
        </w:rPr>
        <w:t xml:space="preserve">Although the publication of mandatory information in the ABS Clearing-House is essential for the implementation of the Protocol, a number of Parties have not yet published on the ABS Clearing-House all available national information in accordance with Article 14 of the Nagoya Protocol. </w:t>
      </w:r>
    </w:p>
    <w:p w14:paraId="6B988656" w14:textId="216A234D" w:rsidR="00BF6908" w:rsidRPr="00646D82" w:rsidRDefault="00BF6908" w:rsidP="00646D82">
      <w:pPr>
        <w:pStyle w:val="Para1"/>
        <w:numPr>
          <w:ilvl w:val="0"/>
          <w:numId w:val="27"/>
        </w:numPr>
        <w:suppressLineNumbers/>
        <w:tabs>
          <w:tab w:val="clear" w:pos="360"/>
        </w:tabs>
        <w:suppressAutoHyphens/>
        <w:rPr>
          <w:spacing w:val="-6"/>
          <w:kern w:val="22"/>
          <w:szCs w:val="22"/>
        </w:rPr>
      </w:pPr>
      <w:r w:rsidRPr="00646D82">
        <w:rPr>
          <w:spacing w:val="-6"/>
          <w:kern w:val="22"/>
          <w:szCs w:val="22"/>
        </w:rPr>
        <w:t xml:space="preserve">Considering its cross-cutting nature, the implementation of the Protocol requires the participation of indigenous peoples and local communities and relevant stakeholders (e.g. different business sectors and the scientific community) as well as coordination among different institutions and ministries (e.g. science and education, agriculture, trade, intellectual property). To assist in addressing this challenge, appropriate mechanisms could be established to facilitate coordination and participation, and awareness-raising and capacity-building may be required. </w:t>
      </w:r>
    </w:p>
    <w:p w14:paraId="55667858" w14:textId="77777777" w:rsidR="00BF6908" w:rsidRPr="00646D82" w:rsidRDefault="00BF6908" w:rsidP="00646D82">
      <w:pPr>
        <w:pStyle w:val="Para1"/>
        <w:numPr>
          <w:ilvl w:val="0"/>
          <w:numId w:val="27"/>
        </w:numPr>
        <w:suppressLineNumbers/>
        <w:tabs>
          <w:tab w:val="clear" w:pos="360"/>
        </w:tabs>
        <w:suppressAutoHyphens/>
        <w:rPr>
          <w:spacing w:val="-6"/>
          <w:kern w:val="22"/>
          <w:szCs w:val="22"/>
        </w:rPr>
      </w:pPr>
      <w:r w:rsidRPr="00646D82">
        <w:rPr>
          <w:spacing w:val="-6"/>
          <w:kern w:val="22"/>
          <w:szCs w:val="22"/>
        </w:rPr>
        <w:t>Other key challenges include developing ABS measures that support benefit-sharing while creating legal certainty, avoiding unnecessary complexity, delays and increased burdens and costs on users and</w:t>
      </w:r>
      <w:r w:rsidRPr="00646D82" w:rsidDel="00560BF1">
        <w:rPr>
          <w:spacing w:val="-6"/>
          <w:kern w:val="22"/>
          <w:szCs w:val="22"/>
        </w:rPr>
        <w:t xml:space="preserve"> </w:t>
      </w:r>
      <w:r w:rsidRPr="00646D82">
        <w:rPr>
          <w:spacing w:val="-6"/>
          <w:kern w:val="22"/>
          <w:szCs w:val="22"/>
        </w:rPr>
        <w:t>limited human resources working on ABS and the Nagoya Protocol in many Parties.</w:t>
      </w:r>
    </w:p>
    <w:p w14:paraId="57239F69" w14:textId="77777777" w:rsidR="00BF6908" w:rsidRPr="00646D82" w:rsidRDefault="00BF6908" w:rsidP="00646D82">
      <w:pPr>
        <w:pStyle w:val="Para1"/>
        <w:numPr>
          <w:ilvl w:val="0"/>
          <w:numId w:val="27"/>
        </w:numPr>
        <w:suppressLineNumbers/>
        <w:tabs>
          <w:tab w:val="clear" w:pos="360"/>
        </w:tabs>
        <w:suppressAutoHyphens/>
        <w:rPr>
          <w:spacing w:val="-6"/>
          <w:kern w:val="22"/>
          <w:szCs w:val="22"/>
        </w:rPr>
      </w:pPr>
      <w:r w:rsidRPr="00646D82">
        <w:rPr>
          <w:spacing w:val="-6"/>
          <w:kern w:val="22"/>
          <w:szCs w:val="22"/>
        </w:rPr>
        <w:t>In light of these challenges, the development of interim measures could be considered as a first step. The needs of users of genetic resources and associated traditional knowledge from different sectors should also be taken into account in developing ABS measures. Regional approaches may also be useful to support harmonized implementation of the Protocol.</w:t>
      </w:r>
      <w:r w:rsidRPr="00646D82">
        <w:rPr>
          <w:rStyle w:val="FootnoteReference"/>
          <w:rFonts w:eastAsia="Calibri"/>
          <w:spacing w:val="-6"/>
          <w:kern w:val="22"/>
          <w:sz w:val="22"/>
          <w:szCs w:val="22"/>
        </w:rPr>
        <w:footnoteReference w:id="46"/>
      </w:r>
    </w:p>
    <w:p w14:paraId="0CA75803" w14:textId="77777777" w:rsidR="00BF6908" w:rsidRPr="00646D82" w:rsidRDefault="00BF6908" w:rsidP="00646D82">
      <w:pPr>
        <w:pStyle w:val="Para1"/>
        <w:numPr>
          <w:ilvl w:val="0"/>
          <w:numId w:val="27"/>
        </w:numPr>
        <w:suppressLineNumbers/>
        <w:tabs>
          <w:tab w:val="clear" w:pos="360"/>
        </w:tabs>
        <w:suppressAutoHyphens/>
        <w:rPr>
          <w:spacing w:val="-6"/>
          <w:kern w:val="22"/>
          <w:szCs w:val="22"/>
        </w:rPr>
      </w:pPr>
      <w:r w:rsidRPr="00646D82">
        <w:rPr>
          <w:spacing w:val="-6"/>
          <w:kern w:val="22"/>
          <w:szCs w:val="22"/>
        </w:rPr>
        <w:t xml:space="preserve">Implementing some of the new elements of the Protocol, namely the provisions on compliance, monitoring the utilization of genetic resources, including the designation of checkpoints, and the obligations related to indigenous peoples and local communities, presents a particular challenge. </w:t>
      </w:r>
    </w:p>
    <w:p w14:paraId="0AE82EE7" w14:textId="77777777" w:rsidR="00BF6908" w:rsidRPr="00646D82" w:rsidRDefault="00BF6908" w:rsidP="00646D82">
      <w:pPr>
        <w:pStyle w:val="Para1"/>
        <w:numPr>
          <w:ilvl w:val="0"/>
          <w:numId w:val="27"/>
        </w:numPr>
        <w:suppressLineNumbers/>
        <w:tabs>
          <w:tab w:val="clear" w:pos="360"/>
        </w:tabs>
        <w:suppressAutoHyphens/>
        <w:rPr>
          <w:spacing w:val="-6"/>
          <w:kern w:val="22"/>
          <w:szCs w:val="22"/>
        </w:rPr>
      </w:pPr>
      <w:r w:rsidRPr="00646D82">
        <w:rPr>
          <w:spacing w:val="-6"/>
          <w:kern w:val="22"/>
          <w:szCs w:val="22"/>
        </w:rPr>
        <w:t>The Nagoya Protocol does not distinguish between countries that are users and countries that are providers of genetic resources and obligations in the Protocol apply to all Parties, including provisions related to compliance with domestic legislation or regulatory requirements according to Articles 15 and 16.</w:t>
      </w:r>
    </w:p>
    <w:p w14:paraId="085C1629" w14:textId="77777777" w:rsidR="00BF6908" w:rsidRPr="00646D82" w:rsidRDefault="00BF6908" w:rsidP="00646D82">
      <w:pPr>
        <w:pStyle w:val="Para1"/>
        <w:numPr>
          <w:ilvl w:val="0"/>
          <w:numId w:val="27"/>
        </w:numPr>
        <w:suppressLineNumbers/>
        <w:tabs>
          <w:tab w:val="clear" w:pos="360"/>
        </w:tabs>
        <w:suppressAutoHyphens/>
        <w:rPr>
          <w:spacing w:val="-6"/>
          <w:kern w:val="22"/>
          <w:szCs w:val="22"/>
        </w:rPr>
      </w:pPr>
      <w:r w:rsidRPr="00646D82">
        <w:rPr>
          <w:spacing w:val="-6"/>
          <w:kern w:val="22"/>
          <w:szCs w:val="22"/>
        </w:rPr>
        <w:t xml:space="preserve">With respect to checkpoints, there is a need for Parties to better understand their functions and options for their designation in light of </w:t>
      </w:r>
      <w:r w:rsidR="00C45778" w:rsidRPr="00646D82">
        <w:rPr>
          <w:spacing w:val="-6"/>
          <w:kern w:val="22"/>
          <w:szCs w:val="22"/>
        </w:rPr>
        <w:t xml:space="preserve">their </w:t>
      </w:r>
      <w:r w:rsidRPr="00646D82">
        <w:rPr>
          <w:spacing w:val="-6"/>
          <w:kern w:val="22"/>
          <w:szCs w:val="22"/>
        </w:rPr>
        <w:t xml:space="preserve">national context.  There is also a need to build the capacity of checkpoints to enable them to carry out their functions. </w:t>
      </w:r>
    </w:p>
    <w:p w14:paraId="4FCAC5E3" w14:textId="77777777" w:rsidR="00BF6908" w:rsidRPr="00646D82" w:rsidRDefault="00BF6908" w:rsidP="00646D82">
      <w:pPr>
        <w:pStyle w:val="Para1"/>
        <w:numPr>
          <w:ilvl w:val="0"/>
          <w:numId w:val="27"/>
        </w:numPr>
        <w:suppressLineNumbers/>
        <w:tabs>
          <w:tab w:val="clear" w:pos="360"/>
        </w:tabs>
        <w:suppressAutoHyphens/>
        <w:rPr>
          <w:spacing w:val="-6"/>
          <w:kern w:val="22"/>
          <w:szCs w:val="22"/>
        </w:rPr>
      </w:pPr>
      <w:r w:rsidRPr="00646D82">
        <w:rPr>
          <w:spacing w:val="-6"/>
          <w:kern w:val="22"/>
          <w:szCs w:val="22"/>
        </w:rPr>
        <w:t>With respect to indigenous peoples and local communities, challenges include: determining how the concept of “indigenous peoples and local communities” applies at the national level; clarifying the rights of IPLCs over genetic resources and/or traditional knowledge associated with genetic resources; identifying the different groups of indigenous peoples and local communities; understanding the way they are organized; and linking traditional knowledge with the holder/s of such knowledge. In order to address these challenges, the following could be considered:</w:t>
      </w:r>
    </w:p>
    <w:p w14:paraId="311668A3" w14:textId="77777777" w:rsidR="00BF6908" w:rsidRPr="00646D82" w:rsidRDefault="00BF6908" w:rsidP="00646D82">
      <w:pPr>
        <w:numPr>
          <w:ilvl w:val="0"/>
          <w:numId w:val="28"/>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rPr>
      </w:pPr>
      <w:r w:rsidRPr="00646D82">
        <w:rPr>
          <w:rFonts w:eastAsia="Calibri"/>
          <w:snapToGrid w:val="0"/>
          <w:spacing w:val="-6"/>
          <w:kern w:val="22"/>
          <w:szCs w:val="22"/>
          <w:u w:color="000000"/>
        </w:rPr>
        <w:t xml:space="preserve">Building the capacity of Parties to support the implementation of the provisions of the Protocol related to indigenous peoples and local communities as well as the capacity of IPLCs with respect to ABS issues. </w:t>
      </w:r>
    </w:p>
    <w:p w14:paraId="43B90085" w14:textId="200BC3EB" w:rsidR="00BF6908" w:rsidRPr="00646D82" w:rsidRDefault="00BF6908" w:rsidP="00646D82">
      <w:pPr>
        <w:numPr>
          <w:ilvl w:val="0"/>
          <w:numId w:val="28"/>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rPr>
      </w:pPr>
      <w:r w:rsidRPr="00646D82">
        <w:rPr>
          <w:rFonts w:eastAsia="Calibri"/>
          <w:snapToGrid w:val="0"/>
          <w:spacing w:val="-6"/>
          <w:kern w:val="22"/>
          <w:szCs w:val="22"/>
          <w:u w:color="000000"/>
        </w:rPr>
        <w:t xml:space="preserve">Relevant work of the Ad Hoc Open-ended Working Group on Article 8(j) and </w:t>
      </w:r>
      <w:r w:rsidR="002B45AA" w:rsidRPr="00646D82">
        <w:rPr>
          <w:rFonts w:eastAsia="Calibri"/>
          <w:snapToGrid w:val="0"/>
          <w:spacing w:val="-6"/>
          <w:kern w:val="22"/>
          <w:szCs w:val="22"/>
          <w:u w:color="000000"/>
        </w:rPr>
        <w:t>R</w:t>
      </w:r>
      <w:r w:rsidRPr="00646D82">
        <w:rPr>
          <w:rFonts w:eastAsia="Calibri"/>
          <w:snapToGrid w:val="0"/>
          <w:spacing w:val="-6"/>
          <w:kern w:val="22"/>
          <w:szCs w:val="22"/>
          <w:u w:color="000000"/>
        </w:rPr>
        <w:t xml:space="preserve">elated </w:t>
      </w:r>
      <w:r w:rsidR="002B45AA" w:rsidRPr="00646D82">
        <w:rPr>
          <w:rFonts w:eastAsia="Calibri"/>
          <w:snapToGrid w:val="0"/>
          <w:spacing w:val="-6"/>
          <w:kern w:val="22"/>
          <w:szCs w:val="22"/>
          <w:u w:color="000000"/>
        </w:rPr>
        <w:t>P</w:t>
      </w:r>
      <w:r w:rsidRPr="00646D82">
        <w:rPr>
          <w:rFonts w:eastAsia="Calibri"/>
          <w:snapToGrid w:val="0"/>
          <w:spacing w:val="-6"/>
          <w:kern w:val="22"/>
          <w:szCs w:val="22"/>
          <w:u w:color="000000"/>
        </w:rPr>
        <w:t>rovisions on the concept of IPLCs</w:t>
      </w:r>
      <w:r w:rsidR="00A54E4E" w:rsidRPr="00646D82">
        <w:rPr>
          <w:rFonts w:eastAsia="Calibri"/>
          <w:snapToGrid w:val="0"/>
          <w:spacing w:val="-6"/>
          <w:kern w:val="22"/>
          <w:szCs w:val="22"/>
          <w:u w:color="000000"/>
        </w:rPr>
        <w:t>;</w:t>
      </w:r>
      <w:r w:rsidRPr="00646D82">
        <w:rPr>
          <w:rStyle w:val="FootnoteReference"/>
          <w:rFonts w:eastAsia="Calibri"/>
          <w:snapToGrid w:val="0"/>
          <w:spacing w:val="-6"/>
          <w:kern w:val="22"/>
          <w:sz w:val="22"/>
          <w:szCs w:val="22"/>
        </w:rPr>
        <w:footnoteReference w:id="47"/>
      </w:r>
    </w:p>
    <w:p w14:paraId="2B55B6D9" w14:textId="77777777" w:rsidR="00BF6908" w:rsidRPr="00646D82" w:rsidRDefault="00BF6908" w:rsidP="00646D82">
      <w:pPr>
        <w:numPr>
          <w:ilvl w:val="0"/>
          <w:numId w:val="28"/>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rPr>
      </w:pPr>
      <w:r w:rsidRPr="00646D82">
        <w:rPr>
          <w:rFonts w:eastAsia="Calibri"/>
          <w:snapToGrid w:val="0"/>
          <w:spacing w:val="-6"/>
          <w:kern w:val="22"/>
          <w:szCs w:val="22"/>
          <w:u w:color="000000"/>
        </w:rPr>
        <w:t>National mechanisms for the participation of IPLCs in the implementation of the provisions of the Protocol related to IPLCs taking into account national circumstances;</w:t>
      </w:r>
    </w:p>
    <w:p w14:paraId="12547615" w14:textId="77777777" w:rsidR="00BF6908" w:rsidRPr="00646D82" w:rsidRDefault="00BF6908" w:rsidP="00646D82">
      <w:pPr>
        <w:numPr>
          <w:ilvl w:val="0"/>
          <w:numId w:val="28"/>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rPr>
      </w:pPr>
      <w:r w:rsidRPr="00646D82">
        <w:rPr>
          <w:rFonts w:eastAsia="Calibri"/>
          <w:snapToGrid w:val="0"/>
          <w:spacing w:val="-6"/>
          <w:kern w:val="22"/>
          <w:szCs w:val="22"/>
          <w:u w:color="000000"/>
        </w:rPr>
        <w:t>Support for coordination and institution building within and among IPLCs to address ABS issues including through the development of community protocols;</w:t>
      </w:r>
    </w:p>
    <w:p w14:paraId="4D42AF89" w14:textId="77777777" w:rsidR="00BF6908" w:rsidRPr="00646D82" w:rsidRDefault="00BF6908" w:rsidP="00646D82">
      <w:pPr>
        <w:numPr>
          <w:ilvl w:val="0"/>
          <w:numId w:val="28"/>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rPr>
      </w:pPr>
      <w:r w:rsidRPr="00646D82">
        <w:rPr>
          <w:rFonts w:eastAsia="Calibri"/>
          <w:snapToGrid w:val="0"/>
          <w:spacing w:val="-6"/>
          <w:kern w:val="22"/>
          <w:szCs w:val="22"/>
          <w:u w:color="000000"/>
        </w:rPr>
        <w:t xml:space="preserve">Capacity-building to support IPLCs to develop minimum requirements for mutually agreed terms and model contractual clauses for benefit-sharing arising from the utilization of </w:t>
      </w:r>
      <w:r w:rsidR="003E68EE" w:rsidRPr="00646D82">
        <w:rPr>
          <w:rFonts w:eastAsia="Calibri"/>
          <w:snapToGrid w:val="0"/>
          <w:spacing w:val="-6"/>
          <w:kern w:val="22"/>
          <w:szCs w:val="22"/>
          <w:u w:color="000000"/>
        </w:rPr>
        <w:t xml:space="preserve">traditional knowledge associated with </w:t>
      </w:r>
      <w:r w:rsidRPr="00646D82">
        <w:rPr>
          <w:rFonts w:eastAsia="Calibri"/>
          <w:snapToGrid w:val="0"/>
          <w:spacing w:val="-6"/>
          <w:kern w:val="22"/>
          <w:szCs w:val="22"/>
          <w:u w:color="000000"/>
        </w:rPr>
        <w:t>genetic resources.</w:t>
      </w:r>
    </w:p>
    <w:p w14:paraId="1255058C" w14:textId="77777777" w:rsidR="00BF6908" w:rsidRPr="00646D82" w:rsidRDefault="00BF6908" w:rsidP="00981434">
      <w:pPr>
        <w:pStyle w:val="Para1"/>
        <w:numPr>
          <w:ilvl w:val="0"/>
          <w:numId w:val="27"/>
        </w:numPr>
        <w:suppressLineNumbers/>
        <w:tabs>
          <w:tab w:val="clear" w:pos="360"/>
        </w:tabs>
        <w:suppressAutoHyphens/>
        <w:rPr>
          <w:spacing w:val="-6"/>
          <w:kern w:val="22"/>
          <w:szCs w:val="22"/>
        </w:rPr>
      </w:pPr>
      <w:r w:rsidRPr="00646D82">
        <w:rPr>
          <w:spacing w:val="-6"/>
          <w:kern w:val="22"/>
          <w:szCs w:val="22"/>
        </w:rPr>
        <w:t>Parties have different approaches to prior informed consent, mutually agreed terms and the issuance of permits. It is important for Parties to make clear information available on the ABS Clearing-House on the procedures to follow to access genetic resources and associated traditional knowledge.</w:t>
      </w:r>
    </w:p>
    <w:p w14:paraId="62C2791D" w14:textId="70A0AFAE" w:rsidR="00BF6908" w:rsidRPr="00646D82" w:rsidRDefault="00BF6908" w:rsidP="00981434">
      <w:pPr>
        <w:pStyle w:val="Para1"/>
        <w:numPr>
          <w:ilvl w:val="0"/>
          <w:numId w:val="27"/>
        </w:numPr>
        <w:suppressLineNumbers/>
        <w:tabs>
          <w:tab w:val="clear" w:pos="360"/>
        </w:tabs>
        <w:suppressAutoHyphens/>
        <w:rPr>
          <w:spacing w:val="-6"/>
          <w:kern w:val="22"/>
          <w:szCs w:val="22"/>
        </w:rPr>
      </w:pPr>
      <w:r w:rsidRPr="00646D82">
        <w:rPr>
          <w:spacing w:val="-6"/>
          <w:kern w:val="22"/>
          <w:szCs w:val="22"/>
        </w:rPr>
        <w:t>In addition, in the development and implementation of ABS legislation or regulatory requirements it is important that Parties take into account special considerations in accordance with Article 8 of the Protocol. Relevant work undertaken under FAO</w:t>
      </w:r>
      <w:r w:rsidR="00A54E4E" w:rsidRPr="00646D82">
        <w:rPr>
          <w:spacing w:val="-6"/>
          <w:kern w:val="22"/>
          <w:szCs w:val="22"/>
        </w:rPr>
        <w:t>,</w:t>
      </w:r>
      <w:r w:rsidRPr="00646D82">
        <w:rPr>
          <w:rStyle w:val="FootnoteReference"/>
          <w:rFonts w:eastAsia="Calibri"/>
          <w:spacing w:val="-6"/>
          <w:kern w:val="22"/>
          <w:sz w:val="22"/>
          <w:szCs w:val="22"/>
        </w:rPr>
        <w:footnoteReference w:id="48"/>
      </w:r>
      <w:r w:rsidRPr="00646D82">
        <w:rPr>
          <w:spacing w:val="-6"/>
          <w:kern w:val="22"/>
          <w:szCs w:val="22"/>
        </w:rPr>
        <w:t xml:space="preserve"> WHO and other organi</w:t>
      </w:r>
      <w:r w:rsidR="002B45AA" w:rsidRPr="00646D82">
        <w:rPr>
          <w:spacing w:val="-6"/>
          <w:kern w:val="22"/>
          <w:szCs w:val="22"/>
        </w:rPr>
        <w:t>z</w:t>
      </w:r>
      <w:r w:rsidRPr="00646D82">
        <w:rPr>
          <w:spacing w:val="-6"/>
          <w:kern w:val="22"/>
          <w:szCs w:val="22"/>
        </w:rPr>
        <w:t>ations may be useful in this regard.</w:t>
      </w:r>
    </w:p>
    <w:p w14:paraId="59AD42A6" w14:textId="5F80890A" w:rsidR="00BF6908" w:rsidRPr="00646D82" w:rsidRDefault="00BF6908" w:rsidP="002A4D34">
      <w:pPr>
        <w:pStyle w:val="Para1"/>
        <w:numPr>
          <w:ilvl w:val="0"/>
          <w:numId w:val="27"/>
        </w:numPr>
        <w:suppressLineNumbers/>
        <w:tabs>
          <w:tab w:val="clear" w:pos="360"/>
        </w:tabs>
        <w:suppressAutoHyphens/>
        <w:rPr>
          <w:spacing w:val="-6"/>
          <w:kern w:val="22"/>
          <w:szCs w:val="22"/>
        </w:rPr>
      </w:pPr>
      <w:r w:rsidRPr="00646D82">
        <w:rPr>
          <w:spacing w:val="-6"/>
          <w:kern w:val="22"/>
          <w:szCs w:val="22"/>
        </w:rPr>
        <w:t xml:space="preserve">The importance of sharing information and experience in relation to transboundary cooperation (Article 11) was highlighted. In particular, experiences acquired in </w:t>
      </w:r>
      <w:proofErr w:type="spellStart"/>
      <w:r w:rsidRPr="00646D82">
        <w:rPr>
          <w:spacing w:val="-6"/>
          <w:kern w:val="22"/>
          <w:szCs w:val="22"/>
        </w:rPr>
        <w:t>subregional</w:t>
      </w:r>
      <w:proofErr w:type="spellEnd"/>
      <w:r w:rsidRPr="00646D82">
        <w:rPr>
          <w:spacing w:val="-6"/>
          <w:kern w:val="22"/>
          <w:szCs w:val="22"/>
        </w:rPr>
        <w:t xml:space="preserve"> and bilateral projects could be </w:t>
      </w:r>
      <w:r w:rsidR="00C45778" w:rsidRPr="00646D82">
        <w:rPr>
          <w:spacing w:val="-6"/>
          <w:kern w:val="22"/>
          <w:szCs w:val="22"/>
        </w:rPr>
        <w:t xml:space="preserve">relevant </w:t>
      </w:r>
      <w:r w:rsidRPr="00646D82">
        <w:rPr>
          <w:spacing w:val="-6"/>
          <w:kern w:val="22"/>
          <w:szCs w:val="22"/>
        </w:rPr>
        <w:t>to assist in the implementation of this article. Regional structures or projects were identified by some as a way to address this issue, while noting that reinforcement of the capacity of regional structures to play that role would be needed.</w:t>
      </w:r>
    </w:p>
    <w:p w14:paraId="66E2B078" w14:textId="77777777" w:rsidR="00F54CA6" w:rsidRPr="00646D82" w:rsidRDefault="00F54CA6" w:rsidP="00646D82">
      <w:pPr>
        <w:pStyle w:val="Para1"/>
        <w:numPr>
          <w:ilvl w:val="0"/>
          <w:numId w:val="27"/>
        </w:numPr>
        <w:suppressLineNumbers/>
        <w:tabs>
          <w:tab w:val="clear" w:pos="360"/>
        </w:tabs>
        <w:suppressAutoHyphens/>
        <w:rPr>
          <w:spacing w:val="-6"/>
          <w:kern w:val="22"/>
          <w:szCs w:val="22"/>
        </w:rPr>
      </w:pPr>
      <w:r w:rsidRPr="00646D82">
        <w:rPr>
          <w:spacing w:val="-6"/>
          <w:kern w:val="22"/>
          <w:szCs w:val="22"/>
        </w:rPr>
        <w:t>Capacity-building could also support harmonized implementation of the Protocol among countries that share the same genetic resources or traditional knowledge associated with genetic resources.</w:t>
      </w:r>
    </w:p>
    <w:p w14:paraId="2198E774" w14:textId="77777777" w:rsidR="00BF6908" w:rsidRPr="00646D82" w:rsidRDefault="00CB0E93" w:rsidP="00646D82">
      <w:pPr>
        <w:suppressLineNumbers/>
        <w:suppressAutoHyphens/>
        <w:jc w:val="center"/>
        <w:rPr>
          <w:b/>
          <w:snapToGrid w:val="0"/>
          <w:spacing w:val="-6"/>
          <w:kern w:val="22"/>
          <w:szCs w:val="22"/>
        </w:rPr>
      </w:pPr>
      <w:r w:rsidRPr="00646D82">
        <w:rPr>
          <w:b/>
          <w:snapToGrid w:val="0"/>
          <w:spacing w:val="-6"/>
          <w:kern w:val="22"/>
          <w:szCs w:val="22"/>
        </w:rPr>
        <w:t xml:space="preserve">Element </w:t>
      </w:r>
      <w:r w:rsidR="00BF6908" w:rsidRPr="00646D82">
        <w:rPr>
          <w:b/>
          <w:snapToGrid w:val="0"/>
          <w:spacing w:val="-6"/>
          <w:kern w:val="22"/>
          <w:szCs w:val="22"/>
        </w:rPr>
        <w:t>(b) Establishment of a reference point to measure effectiveness</w:t>
      </w:r>
    </w:p>
    <w:p w14:paraId="01F40A49" w14:textId="611634F3" w:rsidR="00BF6908" w:rsidRPr="00646D82" w:rsidRDefault="00BF6908" w:rsidP="00981434">
      <w:pPr>
        <w:pStyle w:val="Para1"/>
        <w:numPr>
          <w:ilvl w:val="0"/>
          <w:numId w:val="27"/>
        </w:numPr>
        <w:suppressLineNumbers/>
        <w:tabs>
          <w:tab w:val="clear" w:pos="360"/>
        </w:tabs>
        <w:suppressAutoHyphens/>
        <w:rPr>
          <w:spacing w:val="-6"/>
          <w:kern w:val="22"/>
          <w:szCs w:val="22"/>
        </w:rPr>
      </w:pPr>
      <w:r w:rsidRPr="00646D82">
        <w:rPr>
          <w:spacing w:val="-6"/>
          <w:kern w:val="22"/>
          <w:szCs w:val="22"/>
        </w:rPr>
        <w:t>Some Parties reported on having received benefits received from the utilization of genetic resources and associated traditional knowledge.</w:t>
      </w:r>
    </w:p>
    <w:p w14:paraId="0A3B4E64" w14:textId="2BFA32D5" w:rsidR="00F1743D" w:rsidRPr="00646D82" w:rsidRDefault="00BF6908" w:rsidP="00981434">
      <w:pPr>
        <w:pStyle w:val="Para1"/>
        <w:numPr>
          <w:ilvl w:val="0"/>
          <w:numId w:val="27"/>
        </w:numPr>
        <w:suppressLineNumbers/>
        <w:tabs>
          <w:tab w:val="clear" w:pos="360"/>
        </w:tabs>
        <w:suppressAutoHyphens/>
        <w:rPr>
          <w:spacing w:val="-6"/>
          <w:kern w:val="22"/>
          <w:szCs w:val="22"/>
        </w:rPr>
      </w:pPr>
      <w:r w:rsidRPr="00646D82">
        <w:rPr>
          <w:spacing w:val="-6"/>
          <w:kern w:val="22"/>
          <w:szCs w:val="22"/>
        </w:rPr>
        <w:t>With regard to how the implementation of the Nagoya Protocol contributed to conservation and sustainable use of biodiversity in their country,</w:t>
      </w:r>
      <w:r w:rsidR="00F1743D" w:rsidRPr="00646D82">
        <w:rPr>
          <w:spacing w:val="-6"/>
          <w:kern w:val="22"/>
          <w:szCs w:val="22"/>
        </w:rPr>
        <w:t xml:space="preserve"> many considered that it was premature to answer this question as implementation of the Nagoya Protocol was at an early stage.</w:t>
      </w:r>
    </w:p>
    <w:p w14:paraId="141B2FD7" w14:textId="341C0F6B" w:rsidR="00BF6908" w:rsidRPr="00646D82" w:rsidRDefault="00BF6908" w:rsidP="00981434">
      <w:pPr>
        <w:pStyle w:val="Para1"/>
        <w:numPr>
          <w:ilvl w:val="0"/>
          <w:numId w:val="27"/>
        </w:numPr>
        <w:suppressLineNumbers/>
        <w:tabs>
          <w:tab w:val="clear" w:pos="360"/>
        </w:tabs>
        <w:suppressAutoHyphens/>
        <w:rPr>
          <w:spacing w:val="-6"/>
          <w:kern w:val="22"/>
          <w:szCs w:val="22"/>
        </w:rPr>
      </w:pPr>
      <w:r w:rsidRPr="00646D82">
        <w:rPr>
          <w:spacing w:val="-6"/>
          <w:kern w:val="22"/>
          <w:szCs w:val="22"/>
        </w:rPr>
        <w:t xml:space="preserve"> </w:t>
      </w:r>
      <w:r w:rsidR="00F1743D" w:rsidRPr="00646D82">
        <w:rPr>
          <w:spacing w:val="-6"/>
          <w:kern w:val="22"/>
          <w:szCs w:val="22"/>
        </w:rPr>
        <w:t>T</w:t>
      </w:r>
      <w:r w:rsidRPr="00646D82">
        <w:rPr>
          <w:spacing w:val="-6"/>
          <w:kern w:val="22"/>
          <w:szCs w:val="22"/>
        </w:rPr>
        <w:t>he most common contribution reported is an increase of awareness of the value of conservation and sustainable use of biodiversity and ecosystem services. Examples of other contributions highlighted by countries are the following:</w:t>
      </w:r>
    </w:p>
    <w:p w14:paraId="7207049C" w14:textId="387CE614" w:rsidR="00BF6908" w:rsidRPr="00646D82" w:rsidRDefault="00BF6908" w:rsidP="00646D82">
      <w:pPr>
        <w:numPr>
          <w:ilvl w:val="0"/>
          <w:numId w:val="29"/>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rPr>
      </w:pPr>
      <w:r w:rsidRPr="00646D82">
        <w:rPr>
          <w:snapToGrid w:val="0"/>
          <w:spacing w:val="-6"/>
          <w:kern w:val="22"/>
          <w:szCs w:val="22"/>
        </w:rPr>
        <w:t>M</w:t>
      </w:r>
      <w:r w:rsidRPr="00646D82">
        <w:rPr>
          <w:rFonts w:eastAsia="Calibri"/>
          <w:snapToGrid w:val="0"/>
          <w:spacing w:val="-6"/>
          <w:kern w:val="22"/>
          <w:szCs w:val="22"/>
          <w:u w:color="000000"/>
        </w:rPr>
        <w:t>anagers of natural resources or authorities are more aware of the potential advantages of the Nagoya Protocol and are developing conservation practices;</w:t>
      </w:r>
    </w:p>
    <w:p w14:paraId="1248D165" w14:textId="77777777" w:rsidR="00BF6908" w:rsidRPr="00646D82" w:rsidRDefault="00BF6908" w:rsidP="00646D82">
      <w:pPr>
        <w:numPr>
          <w:ilvl w:val="0"/>
          <w:numId w:val="29"/>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rPr>
      </w:pPr>
      <w:r w:rsidRPr="00646D82">
        <w:rPr>
          <w:rFonts w:eastAsia="Calibri"/>
          <w:snapToGrid w:val="0"/>
          <w:spacing w:val="-6"/>
          <w:kern w:val="22"/>
          <w:szCs w:val="22"/>
          <w:u w:color="000000"/>
        </w:rPr>
        <w:t>Implementing the Nagoya Protocol helped improving the knowledge about species, including through the development of databases or inventories and their population, and supports the valorisation of genetic resources and special conservation approaches;</w:t>
      </w:r>
    </w:p>
    <w:p w14:paraId="0E95BD2D" w14:textId="77777777" w:rsidR="00BF6908" w:rsidRPr="00646D82" w:rsidRDefault="00BF6908" w:rsidP="00646D82">
      <w:pPr>
        <w:numPr>
          <w:ilvl w:val="0"/>
          <w:numId w:val="29"/>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rPr>
      </w:pPr>
      <w:r w:rsidRPr="00646D82">
        <w:rPr>
          <w:rFonts w:eastAsia="Calibri"/>
          <w:snapToGrid w:val="0"/>
          <w:spacing w:val="-6"/>
          <w:kern w:val="22"/>
          <w:szCs w:val="22"/>
          <w:u w:color="000000"/>
        </w:rPr>
        <w:t>Increased involvement of communities in conservation and sustainable use;</w:t>
      </w:r>
    </w:p>
    <w:p w14:paraId="218724A4" w14:textId="77777777" w:rsidR="00BF6908" w:rsidRPr="00646D82" w:rsidRDefault="00BF6908" w:rsidP="00646D82">
      <w:pPr>
        <w:numPr>
          <w:ilvl w:val="0"/>
          <w:numId w:val="29"/>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rPr>
      </w:pPr>
      <w:r w:rsidRPr="00646D82">
        <w:rPr>
          <w:rFonts w:eastAsia="Calibri"/>
          <w:snapToGrid w:val="0"/>
          <w:spacing w:val="-6"/>
          <w:kern w:val="22"/>
          <w:szCs w:val="22"/>
          <w:u w:color="000000"/>
        </w:rPr>
        <w:t>Increased compliance by users of genetic resources;</w:t>
      </w:r>
    </w:p>
    <w:p w14:paraId="58957162" w14:textId="77777777" w:rsidR="00BF6908" w:rsidRPr="00646D82" w:rsidRDefault="00BF6908" w:rsidP="00646D82">
      <w:pPr>
        <w:numPr>
          <w:ilvl w:val="0"/>
          <w:numId w:val="29"/>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rPr>
      </w:pPr>
      <w:r w:rsidRPr="00646D82">
        <w:rPr>
          <w:rFonts w:eastAsia="Calibri"/>
          <w:snapToGrid w:val="0"/>
          <w:spacing w:val="-6"/>
          <w:kern w:val="22"/>
          <w:szCs w:val="22"/>
          <w:u w:color="000000"/>
        </w:rPr>
        <w:t>Recognition of research and development as a key to the country’s valorisation of genetic resources;</w:t>
      </w:r>
    </w:p>
    <w:p w14:paraId="782B9337" w14:textId="77777777" w:rsidR="00BF6908" w:rsidRPr="00646D82" w:rsidRDefault="00BF6908" w:rsidP="00646D82">
      <w:pPr>
        <w:numPr>
          <w:ilvl w:val="0"/>
          <w:numId w:val="29"/>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rPr>
      </w:pPr>
      <w:r w:rsidRPr="00646D82">
        <w:rPr>
          <w:rFonts w:eastAsia="Calibri"/>
          <w:snapToGrid w:val="0"/>
          <w:spacing w:val="-6"/>
          <w:kern w:val="22"/>
          <w:szCs w:val="22"/>
          <w:u w:color="000000"/>
        </w:rPr>
        <w:t>Implementing the Protocol played a key role in factoring elements of biodiversity conservation and use in government development agenda including in 2030 vision.</w:t>
      </w:r>
    </w:p>
    <w:p w14:paraId="3ABBA449" w14:textId="77777777" w:rsidR="00BF6908" w:rsidRPr="00646D82" w:rsidRDefault="00BF6908" w:rsidP="00646D82">
      <w:pPr>
        <w:suppressLineNumbers/>
        <w:suppressAutoHyphens/>
        <w:spacing w:after="200" w:line="276" w:lineRule="auto"/>
        <w:jc w:val="left"/>
        <w:rPr>
          <w:rFonts w:eastAsia="Calibri"/>
          <w:b/>
          <w:noProof/>
          <w:snapToGrid w:val="0"/>
          <w:color w:val="000000"/>
          <w:spacing w:val="-6"/>
          <w:kern w:val="22"/>
          <w:szCs w:val="22"/>
          <w:u w:color="000000"/>
        </w:rPr>
      </w:pPr>
      <w:r w:rsidRPr="00646D82">
        <w:rPr>
          <w:rFonts w:eastAsia="Calibri"/>
          <w:b/>
          <w:noProof/>
          <w:snapToGrid w:val="0"/>
          <w:color w:val="000000"/>
          <w:spacing w:val="-6"/>
          <w:kern w:val="22"/>
          <w:szCs w:val="22"/>
          <w:u w:color="000000"/>
        </w:rPr>
        <w:t>Element (c): Establishment of a reference point on support available for implementation</w:t>
      </w:r>
    </w:p>
    <w:p w14:paraId="4B9A4F5F" w14:textId="77777777" w:rsidR="00BF6908" w:rsidRPr="00646D82" w:rsidRDefault="00BF6908" w:rsidP="00981434">
      <w:pPr>
        <w:pStyle w:val="Para1"/>
        <w:numPr>
          <w:ilvl w:val="0"/>
          <w:numId w:val="27"/>
        </w:numPr>
        <w:suppressLineNumbers/>
        <w:tabs>
          <w:tab w:val="clear" w:pos="360"/>
        </w:tabs>
        <w:suppressAutoHyphens/>
        <w:rPr>
          <w:spacing w:val="-6"/>
          <w:kern w:val="22"/>
          <w:szCs w:val="22"/>
        </w:rPr>
      </w:pPr>
      <w:r w:rsidRPr="00646D82">
        <w:rPr>
          <w:spacing w:val="-6"/>
          <w:kern w:val="22"/>
          <w:szCs w:val="22"/>
        </w:rPr>
        <w:t>Although a number of capacity-building and development initiatives are currently supporting ratification and implementation of the Nagoya Protocol, many Parties still lack the necessary capacity and financial resources to make the Protocol operational. Capacity-building and development support therefore continue to be essential in order to make progress in the implementation of the Protocol, in particular for developing country Parties and Parties with economies in transition.</w:t>
      </w:r>
    </w:p>
    <w:p w14:paraId="79E3DAF5" w14:textId="77777777" w:rsidR="00F54CA6" w:rsidRPr="00646D82" w:rsidRDefault="00F54CA6" w:rsidP="00981434">
      <w:pPr>
        <w:pStyle w:val="Para1"/>
        <w:numPr>
          <w:ilvl w:val="0"/>
          <w:numId w:val="27"/>
        </w:numPr>
        <w:suppressLineNumbers/>
        <w:tabs>
          <w:tab w:val="clear" w:pos="360"/>
        </w:tabs>
        <w:suppressAutoHyphens/>
        <w:rPr>
          <w:spacing w:val="-6"/>
          <w:kern w:val="22"/>
          <w:szCs w:val="22"/>
        </w:rPr>
      </w:pPr>
      <w:r w:rsidRPr="00646D82">
        <w:rPr>
          <w:spacing w:val="-6"/>
          <w:kern w:val="22"/>
          <w:szCs w:val="22"/>
        </w:rPr>
        <w:t>The wealth of information and experiences available in the national reports and in the ABS Clearing-House, as well as the exchange of experiences, may be useful to Parties in the establishment of institutional structures and the development of ABS measures. This information could also be taken into account in capacity-building projects. In addition, the use of existing tools and resources (e.g. guidelines, capacity-building materials) to support implementation could be encouraged.</w:t>
      </w:r>
    </w:p>
    <w:p w14:paraId="3553D4FA" w14:textId="77777777" w:rsidR="00BF6908" w:rsidRPr="00646D82" w:rsidRDefault="00BF6908" w:rsidP="00AA7146">
      <w:pPr>
        <w:suppressLineNumbers/>
        <w:suppressAutoHyphens/>
        <w:spacing w:before="120" w:after="120"/>
        <w:rPr>
          <w:rFonts w:eastAsia="Calibri"/>
          <w:b/>
          <w:noProof/>
          <w:snapToGrid w:val="0"/>
          <w:color w:val="000000"/>
          <w:spacing w:val="-6"/>
          <w:kern w:val="22"/>
          <w:szCs w:val="22"/>
          <w:u w:color="000000"/>
        </w:rPr>
      </w:pPr>
      <w:r w:rsidRPr="00646D82">
        <w:rPr>
          <w:rFonts w:eastAsia="Calibri"/>
          <w:b/>
          <w:noProof/>
          <w:snapToGrid w:val="0"/>
          <w:color w:val="000000"/>
          <w:spacing w:val="-6"/>
          <w:kern w:val="22"/>
          <w:szCs w:val="22"/>
          <w:u w:color="000000"/>
        </w:rPr>
        <w:t>Element (d): Assessment of effectiveness of Article 18 (extent of implementation)</w:t>
      </w:r>
    </w:p>
    <w:p w14:paraId="6C1E4AEB" w14:textId="77777777" w:rsidR="00BF6908" w:rsidRPr="00646D82" w:rsidRDefault="00BF6908" w:rsidP="002A4D34">
      <w:pPr>
        <w:pStyle w:val="Para1"/>
        <w:numPr>
          <w:ilvl w:val="0"/>
          <w:numId w:val="27"/>
        </w:numPr>
        <w:suppressLineNumbers/>
        <w:tabs>
          <w:tab w:val="clear" w:pos="360"/>
        </w:tabs>
        <w:suppressAutoHyphens/>
        <w:rPr>
          <w:spacing w:val="-6"/>
          <w:kern w:val="22"/>
          <w:szCs w:val="22"/>
        </w:rPr>
      </w:pPr>
      <w:r w:rsidRPr="00646D82">
        <w:rPr>
          <w:spacing w:val="-6"/>
          <w:kern w:val="22"/>
          <w:szCs w:val="22"/>
        </w:rPr>
        <w:t xml:space="preserve">The provisions of Article 18 on compliance with mutually agreed terms are often implemented at the national level through existing laws (e.g. contractual law, private international law, domestic measures related to access to justice) rather than through specific ABS measures. </w:t>
      </w:r>
    </w:p>
    <w:p w14:paraId="612CF9E1" w14:textId="77777777" w:rsidR="00BF6908" w:rsidRPr="00646D82" w:rsidRDefault="00BF6908" w:rsidP="002A4D34">
      <w:pPr>
        <w:pStyle w:val="Para1"/>
        <w:numPr>
          <w:ilvl w:val="0"/>
          <w:numId w:val="27"/>
        </w:numPr>
        <w:suppressLineNumbers/>
        <w:tabs>
          <w:tab w:val="clear" w:pos="360"/>
        </w:tabs>
        <w:suppressAutoHyphens/>
        <w:rPr>
          <w:spacing w:val="-6"/>
          <w:kern w:val="22"/>
          <w:szCs w:val="22"/>
        </w:rPr>
      </w:pPr>
      <w:r w:rsidRPr="00646D82">
        <w:rPr>
          <w:spacing w:val="-6"/>
          <w:kern w:val="22"/>
          <w:szCs w:val="22"/>
        </w:rPr>
        <w:t xml:space="preserve">When one party of a contract resides in a foreign country, the contractual relationship falls in the domain of private international law. Private international law seeks to regulate, first, which jurisdiction applies to a dispute; second, which law applies to the dispute; and third, whether and how eventual decisions or judgments are recognized and may be enforced in another jurisdiction. Each State has its own national rules on these matters, but some of these may have been harmonized through international agreements, guidelines, and model laws. </w:t>
      </w:r>
    </w:p>
    <w:p w14:paraId="157B04C8" w14:textId="77777777" w:rsidR="00BF6908" w:rsidRPr="00646D82" w:rsidRDefault="00BF6908" w:rsidP="00646D82">
      <w:pPr>
        <w:pStyle w:val="Para1"/>
        <w:numPr>
          <w:ilvl w:val="0"/>
          <w:numId w:val="27"/>
        </w:numPr>
        <w:suppressLineNumbers/>
        <w:tabs>
          <w:tab w:val="clear" w:pos="360"/>
        </w:tabs>
        <w:suppressAutoHyphens/>
        <w:rPr>
          <w:spacing w:val="-6"/>
          <w:kern w:val="22"/>
          <w:szCs w:val="22"/>
        </w:rPr>
      </w:pPr>
      <w:r w:rsidRPr="00646D82">
        <w:rPr>
          <w:spacing w:val="-6"/>
          <w:kern w:val="22"/>
          <w:szCs w:val="22"/>
        </w:rPr>
        <w:t xml:space="preserve">Those developing ABS measures and/or implementing the Protocol may not be aware of all applicable legislation dealing with contractual law, private international law, domestic measures related to access to justice. </w:t>
      </w:r>
      <w:r w:rsidR="00D14EE3" w:rsidRPr="00646D82">
        <w:rPr>
          <w:spacing w:val="-6"/>
          <w:kern w:val="22"/>
          <w:szCs w:val="22"/>
        </w:rPr>
        <w:t>A</w:t>
      </w:r>
      <w:r w:rsidRPr="00646D82">
        <w:rPr>
          <w:spacing w:val="-6"/>
          <w:kern w:val="22"/>
          <w:szCs w:val="22"/>
        </w:rPr>
        <w:t xml:space="preserve"> mechanism to support national coordination could assist in drawing from the expertise of other institutions dealing with these issues.</w:t>
      </w:r>
    </w:p>
    <w:p w14:paraId="2B73308B" w14:textId="77777777" w:rsidR="00BF6908" w:rsidRPr="00646D82" w:rsidRDefault="00BF6908" w:rsidP="00646D82">
      <w:pPr>
        <w:pStyle w:val="Para1"/>
        <w:numPr>
          <w:ilvl w:val="0"/>
          <w:numId w:val="27"/>
        </w:numPr>
        <w:suppressLineNumbers/>
        <w:tabs>
          <w:tab w:val="clear" w:pos="360"/>
        </w:tabs>
        <w:suppressAutoHyphens/>
        <w:rPr>
          <w:spacing w:val="-6"/>
          <w:kern w:val="22"/>
          <w:szCs w:val="22"/>
        </w:rPr>
      </w:pPr>
      <w:r w:rsidRPr="00646D82">
        <w:rPr>
          <w:spacing w:val="-6"/>
          <w:kern w:val="22"/>
          <w:szCs w:val="22"/>
        </w:rPr>
        <w:t xml:space="preserve"> Information contained in the interim national report, as well as the exchange of experiences may be useful for Parties to understand how </w:t>
      </w:r>
      <w:r w:rsidR="00C45778" w:rsidRPr="00646D82">
        <w:rPr>
          <w:spacing w:val="-6"/>
          <w:kern w:val="22"/>
          <w:szCs w:val="22"/>
        </w:rPr>
        <w:t xml:space="preserve">the </w:t>
      </w:r>
      <w:r w:rsidRPr="00646D82">
        <w:rPr>
          <w:spacing w:val="-6"/>
          <w:kern w:val="22"/>
          <w:szCs w:val="22"/>
        </w:rPr>
        <w:t>implementation of Article 18</w:t>
      </w:r>
      <w:r w:rsidR="00C45778" w:rsidRPr="00646D82">
        <w:rPr>
          <w:spacing w:val="-6"/>
          <w:kern w:val="22"/>
          <w:szCs w:val="22"/>
        </w:rPr>
        <w:t xml:space="preserve"> can be supported</w:t>
      </w:r>
      <w:r w:rsidRPr="00646D82">
        <w:rPr>
          <w:spacing w:val="-6"/>
          <w:kern w:val="22"/>
          <w:szCs w:val="22"/>
        </w:rPr>
        <w:t>.</w:t>
      </w:r>
    </w:p>
    <w:p w14:paraId="7D1A0DB3" w14:textId="71C2412E" w:rsidR="00BF6908" w:rsidRPr="00646D82" w:rsidRDefault="00BF6908" w:rsidP="00646D82">
      <w:pPr>
        <w:suppressLineNumbers/>
        <w:suppressAutoHyphens/>
        <w:spacing w:before="120" w:after="120"/>
        <w:rPr>
          <w:rFonts w:eastAsia="Calibri"/>
          <w:b/>
          <w:noProof/>
          <w:snapToGrid w:val="0"/>
          <w:color w:val="000000"/>
          <w:spacing w:val="-6"/>
          <w:kern w:val="22"/>
          <w:szCs w:val="22"/>
          <w:u w:color="000000"/>
        </w:rPr>
      </w:pPr>
      <w:r w:rsidRPr="00646D82">
        <w:rPr>
          <w:rFonts w:eastAsia="Calibri"/>
          <w:b/>
          <w:noProof/>
          <w:snapToGrid w:val="0"/>
          <w:color w:val="000000"/>
          <w:spacing w:val="-6"/>
          <w:kern w:val="22"/>
          <w:szCs w:val="22"/>
          <w:u w:color="000000"/>
        </w:rPr>
        <w:t xml:space="preserve">Element (e) </w:t>
      </w:r>
      <w:r w:rsidRPr="00646D82">
        <w:rPr>
          <w:rFonts w:eastAsia="Calibri"/>
          <w:b/>
          <w:snapToGrid w:val="0"/>
          <w:spacing w:val="-6"/>
          <w:kern w:val="22"/>
          <w:szCs w:val="22"/>
        </w:rPr>
        <w:t xml:space="preserve">Assessment of implementation of Article 16 in light of developments in other relevant international organizations, including, inter alia, the World Intellectual Property Organization </w:t>
      </w:r>
    </w:p>
    <w:p w14:paraId="6B8C779F" w14:textId="77777777" w:rsidR="00BF6908" w:rsidRPr="00646D82" w:rsidRDefault="00BF6908" w:rsidP="00646D82">
      <w:pPr>
        <w:pStyle w:val="Para1"/>
        <w:numPr>
          <w:ilvl w:val="0"/>
          <w:numId w:val="27"/>
        </w:numPr>
        <w:suppressLineNumbers/>
        <w:tabs>
          <w:tab w:val="clear" w:pos="360"/>
        </w:tabs>
        <w:suppressAutoHyphens/>
        <w:rPr>
          <w:spacing w:val="-6"/>
          <w:kern w:val="22"/>
          <w:szCs w:val="22"/>
        </w:rPr>
      </w:pPr>
      <w:r w:rsidRPr="00646D82">
        <w:rPr>
          <w:spacing w:val="-6"/>
          <w:kern w:val="22"/>
          <w:szCs w:val="22"/>
        </w:rPr>
        <w:t xml:space="preserve">Many Parties are still in the process of establishing ABS measures and institutions arrangements to implement the Protocol. Implementation of the provisions on compliance and the obligations related to indigenous </w:t>
      </w:r>
      <w:r w:rsidR="0029374A" w:rsidRPr="00646D82">
        <w:rPr>
          <w:spacing w:val="-6"/>
          <w:kern w:val="22"/>
          <w:szCs w:val="22"/>
        </w:rPr>
        <w:t>peoples and local communities are</w:t>
      </w:r>
      <w:r w:rsidRPr="00646D82">
        <w:rPr>
          <w:spacing w:val="-6"/>
          <w:kern w:val="22"/>
          <w:szCs w:val="22"/>
        </w:rPr>
        <w:t xml:space="preserve"> particularly challenging</w:t>
      </w:r>
      <w:r w:rsidR="0029374A" w:rsidRPr="00646D82">
        <w:rPr>
          <w:spacing w:val="-6"/>
          <w:kern w:val="22"/>
          <w:szCs w:val="22"/>
        </w:rPr>
        <w:t xml:space="preserve"> for Parties</w:t>
      </w:r>
      <w:r w:rsidRPr="00646D82">
        <w:rPr>
          <w:spacing w:val="-6"/>
          <w:kern w:val="22"/>
          <w:szCs w:val="22"/>
        </w:rPr>
        <w:t xml:space="preserve">. </w:t>
      </w:r>
    </w:p>
    <w:p w14:paraId="06D608AD" w14:textId="3806A943" w:rsidR="0029374A" w:rsidRPr="00646D82" w:rsidRDefault="00BF6908" w:rsidP="00646D82">
      <w:pPr>
        <w:pStyle w:val="ListParagraph"/>
        <w:numPr>
          <w:ilvl w:val="0"/>
          <w:numId w:val="27"/>
        </w:numPr>
        <w:suppressLineNumbers/>
        <w:tabs>
          <w:tab w:val="clear" w:pos="360"/>
        </w:tabs>
        <w:suppressAutoHyphens/>
        <w:rPr>
          <w:snapToGrid w:val="0"/>
          <w:spacing w:val="-6"/>
          <w:kern w:val="22"/>
          <w:szCs w:val="22"/>
        </w:rPr>
      </w:pPr>
      <w:r w:rsidRPr="00646D82">
        <w:rPr>
          <w:snapToGrid w:val="0"/>
          <w:spacing w:val="-6"/>
          <w:kern w:val="22"/>
          <w:szCs w:val="22"/>
        </w:rPr>
        <w:t>The work on one or more international legal instrument(s) relating to intellectual property with a view to ensur</w:t>
      </w:r>
      <w:r w:rsidR="009A387F" w:rsidRPr="00646D82">
        <w:rPr>
          <w:snapToGrid w:val="0"/>
          <w:spacing w:val="-6"/>
          <w:kern w:val="22"/>
          <w:szCs w:val="22"/>
        </w:rPr>
        <w:t>ing</w:t>
      </w:r>
      <w:r w:rsidRPr="00646D82">
        <w:rPr>
          <w:snapToGrid w:val="0"/>
          <w:spacing w:val="-6"/>
          <w:kern w:val="22"/>
          <w:szCs w:val="22"/>
        </w:rPr>
        <w:t xml:space="preserve"> the balanced and effective protection of genetic resources, traditional knowledge and traditional cultural expressio</w:t>
      </w:r>
      <w:r w:rsidR="0029374A" w:rsidRPr="00646D82">
        <w:rPr>
          <w:snapToGrid w:val="0"/>
          <w:spacing w:val="-6"/>
          <w:kern w:val="22"/>
          <w:szCs w:val="22"/>
        </w:rPr>
        <w:t>ns under WIPO is still on going, and it is premature to assess how the outcomes of this process could contribute to implementation of the Nagoya Protocol.</w:t>
      </w:r>
    </w:p>
    <w:p w14:paraId="5C177657" w14:textId="729851DE" w:rsidR="00BF6908" w:rsidRPr="00646D82" w:rsidRDefault="00BF6908" w:rsidP="00981434">
      <w:pPr>
        <w:pStyle w:val="Para1"/>
        <w:numPr>
          <w:ilvl w:val="0"/>
          <w:numId w:val="27"/>
        </w:numPr>
        <w:suppressLineNumbers/>
        <w:tabs>
          <w:tab w:val="clear" w:pos="360"/>
        </w:tabs>
        <w:suppressAutoHyphens/>
        <w:rPr>
          <w:spacing w:val="-6"/>
          <w:kern w:val="22"/>
          <w:szCs w:val="22"/>
        </w:rPr>
      </w:pPr>
      <w:r w:rsidRPr="00646D82">
        <w:rPr>
          <w:spacing w:val="-6"/>
          <w:kern w:val="22"/>
          <w:szCs w:val="22"/>
        </w:rPr>
        <w:t>However, there are a number of existing tools and resources that could be used by Parties in advancing the implementation of Article 16 of the Nagoya Protocol, including those developed by WIPO</w:t>
      </w:r>
      <w:r w:rsidR="00AE11E4" w:rsidRPr="00646D82">
        <w:rPr>
          <w:spacing w:val="-6"/>
          <w:kern w:val="22"/>
          <w:szCs w:val="22"/>
        </w:rPr>
        <w:t xml:space="preserve"> and</w:t>
      </w:r>
      <w:r w:rsidRPr="00646D82">
        <w:rPr>
          <w:spacing w:val="-6"/>
          <w:kern w:val="22"/>
          <w:szCs w:val="22"/>
        </w:rPr>
        <w:t xml:space="preserve"> the CBD </w:t>
      </w:r>
      <w:proofErr w:type="spellStart"/>
      <w:r w:rsidRPr="00646D82">
        <w:rPr>
          <w:spacing w:val="-6"/>
          <w:kern w:val="22"/>
          <w:szCs w:val="22"/>
        </w:rPr>
        <w:t>Mo’otz</w:t>
      </w:r>
      <w:proofErr w:type="spellEnd"/>
      <w:r w:rsidRPr="00646D82">
        <w:rPr>
          <w:spacing w:val="-6"/>
          <w:kern w:val="22"/>
          <w:szCs w:val="22"/>
        </w:rPr>
        <w:t xml:space="preserve"> </w:t>
      </w:r>
      <w:proofErr w:type="spellStart"/>
      <w:r w:rsidRPr="00646D82">
        <w:rPr>
          <w:spacing w:val="-6"/>
          <w:kern w:val="22"/>
          <w:szCs w:val="22"/>
        </w:rPr>
        <w:t>Kuxtal</w:t>
      </w:r>
      <w:proofErr w:type="spellEnd"/>
      <w:r w:rsidRPr="00646D82">
        <w:rPr>
          <w:spacing w:val="-6"/>
          <w:kern w:val="22"/>
          <w:szCs w:val="22"/>
        </w:rPr>
        <w:t xml:space="preserve"> voluntary guidelines</w:t>
      </w:r>
      <w:r w:rsidR="00B008F4" w:rsidRPr="00646D82">
        <w:rPr>
          <w:spacing w:val="-6"/>
          <w:kern w:val="22"/>
          <w:szCs w:val="22"/>
        </w:rPr>
        <w:t>.</w:t>
      </w:r>
      <w:r w:rsidRPr="00646D82">
        <w:rPr>
          <w:spacing w:val="-6"/>
          <w:kern w:val="22"/>
          <w:szCs w:val="22"/>
          <w:vertAlign w:val="superscript"/>
        </w:rPr>
        <w:footnoteReference w:id="49"/>
      </w:r>
    </w:p>
    <w:p w14:paraId="0B23C8DE" w14:textId="77777777" w:rsidR="00BF6908" w:rsidRPr="00646D82" w:rsidRDefault="00BF6908" w:rsidP="00981434">
      <w:pPr>
        <w:suppressLineNumbers/>
        <w:suppressAutoHyphens/>
        <w:spacing w:before="120" w:after="120"/>
        <w:rPr>
          <w:rFonts w:eastAsia="Calibri"/>
          <w:b/>
          <w:noProof/>
          <w:snapToGrid w:val="0"/>
          <w:color w:val="000000"/>
          <w:spacing w:val="-6"/>
          <w:kern w:val="22"/>
          <w:szCs w:val="22"/>
          <w:u w:color="000000"/>
        </w:rPr>
      </w:pPr>
      <w:r w:rsidRPr="00646D82">
        <w:rPr>
          <w:rFonts w:eastAsia="Calibri"/>
          <w:b/>
          <w:noProof/>
          <w:snapToGrid w:val="0"/>
          <w:color w:val="000000"/>
          <w:spacing w:val="-6"/>
          <w:kern w:val="22"/>
          <w:szCs w:val="22"/>
          <w:u w:color="000000"/>
        </w:rPr>
        <w:t>Element (f) Stock-taking of the use of model contractual clauses, codes of conduct, guidelines, best practices and standards as well as indigenous peoples and local communities’ customary laws, community protocols and procedures</w:t>
      </w:r>
    </w:p>
    <w:p w14:paraId="76DD9748" w14:textId="5889AC61" w:rsidR="00BF6908" w:rsidRPr="00646D82" w:rsidRDefault="006B5B8A" w:rsidP="00981434">
      <w:pPr>
        <w:pStyle w:val="Para1"/>
        <w:numPr>
          <w:ilvl w:val="0"/>
          <w:numId w:val="27"/>
        </w:numPr>
        <w:suppressLineNumbers/>
        <w:tabs>
          <w:tab w:val="clear" w:pos="360"/>
        </w:tabs>
        <w:suppressAutoHyphens/>
        <w:rPr>
          <w:spacing w:val="-6"/>
          <w:kern w:val="22"/>
          <w:szCs w:val="22"/>
        </w:rPr>
      </w:pPr>
      <w:r w:rsidRPr="00646D82">
        <w:rPr>
          <w:spacing w:val="-6"/>
          <w:kern w:val="22"/>
          <w:szCs w:val="22"/>
        </w:rPr>
        <w:t>A</w:t>
      </w:r>
      <w:r w:rsidR="00BF6908" w:rsidRPr="00646D82">
        <w:rPr>
          <w:spacing w:val="-6"/>
          <w:kern w:val="22"/>
          <w:szCs w:val="22"/>
        </w:rPr>
        <w:t xml:space="preserve"> wide range</w:t>
      </w:r>
      <w:r w:rsidRPr="00646D82">
        <w:rPr>
          <w:spacing w:val="-6"/>
          <w:kern w:val="22"/>
          <w:szCs w:val="22"/>
        </w:rPr>
        <w:t xml:space="preserve"> of</w:t>
      </w:r>
      <w:r w:rsidR="00BF6908" w:rsidRPr="00646D82">
        <w:rPr>
          <w:spacing w:val="-6"/>
          <w:kern w:val="22"/>
          <w:szCs w:val="22"/>
        </w:rPr>
        <w:t xml:space="preserve"> model contractual clauses, codes of conduct, guidelines, best practices and standards </w:t>
      </w:r>
      <w:r w:rsidRPr="00646D82">
        <w:rPr>
          <w:spacing w:val="-6"/>
          <w:kern w:val="22"/>
          <w:szCs w:val="22"/>
        </w:rPr>
        <w:t xml:space="preserve">have been developed </w:t>
      </w:r>
      <w:r w:rsidR="00BF6908" w:rsidRPr="00646D82">
        <w:rPr>
          <w:spacing w:val="-6"/>
          <w:kern w:val="22"/>
          <w:szCs w:val="22"/>
        </w:rPr>
        <w:t xml:space="preserve">both by </w:t>
      </w:r>
      <w:r w:rsidR="009A387F" w:rsidRPr="00646D82">
        <w:rPr>
          <w:spacing w:val="-6"/>
          <w:kern w:val="22"/>
          <w:szCs w:val="22"/>
        </w:rPr>
        <w:t>G</w:t>
      </w:r>
      <w:r w:rsidR="00BF6908" w:rsidRPr="00646D82">
        <w:rPr>
          <w:spacing w:val="-6"/>
          <w:kern w:val="22"/>
          <w:szCs w:val="22"/>
        </w:rPr>
        <w:t>overnments and organizations</w:t>
      </w:r>
      <w:r w:rsidR="00DE69EA" w:rsidRPr="00646D82">
        <w:rPr>
          <w:spacing w:val="-6"/>
          <w:kern w:val="22"/>
          <w:szCs w:val="22"/>
        </w:rPr>
        <w:t>.</w:t>
      </w:r>
      <w:r w:rsidR="00BF6908" w:rsidRPr="00646D82">
        <w:rPr>
          <w:spacing w:val="-6"/>
          <w:kern w:val="22"/>
          <w:szCs w:val="22"/>
        </w:rPr>
        <w:t xml:space="preserve"> However, there is less information on how these tools are being used. It is unclear how the use of the tools could be measured.  </w:t>
      </w:r>
    </w:p>
    <w:p w14:paraId="2E018C8F" w14:textId="01BB260F" w:rsidR="00BF6908" w:rsidRPr="00646D82" w:rsidRDefault="00BF6908" w:rsidP="00AA7146">
      <w:pPr>
        <w:pStyle w:val="Para1"/>
        <w:numPr>
          <w:ilvl w:val="0"/>
          <w:numId w:val="27"/>
        </w:numPr>
        <w:suppressLineNumbers/>
        <w:tabs>
          <w:tab w:val="clear" w:pos="360"/>
        </w:tabs>
        <w:suppressAutoHyphens/>
        <w:rPr>
          <w:spacing w:val="-6"/>
          <w:kern w:val="22"/>
          <w:szCs w:val="22"/>
        </w:rPr>
      </w:pPr>
      <w:r w:rsidRPr="00646D82">
        <w:rPr>
          <w:spacing w:val="-6"/>
          <w:kern w:val="22"/>
          <w:szCs w:val="22"/>
        </w:rPr>
        <w:t xml:space="preserve"> User organi</w:t>
      </w:r>
      <w:r w:rsidR="002B45AA" w:rsidRPr="00646D82">
        <w:rPr>
          <w:spacing w:val="-6"/>
          <w:kern w:val="22"/>
          <w:szCs w:val="22"/>
        </w:rPr>
        <w:t>z</w:t>
      </w:r>
      <w:r w:rsidRPr="00646D82">
        <w:rPr>
          <w:spacing w:val="-6"/>
          <w:kern w:val="22"/>
          <w:szCs w:val="22"/>
        </w:rPr>
        <w:t>ations and networks play an important role in addressing the needs of their members by developing tools that can bring clarity on how ABS can be incorporated in their practice and assisting their member organi</w:t>
      </w:r>
      <w:r w:rsidR="002B45AA" w:rsidRPr="00646D82">
        <w:rPr>
          <w:spacing w:val="-6"/>
          <w:kern w:val="22"/>
          <w:szCs w:val="22"/>
        </w:rPr>
        <w:t>z</w:t>
      </w:r>
      <w:r w:rsidRPr="00646D82">
        <w:rPr>
          <w:spacing w:val="-6"/>
          <w:kern w:val="22"/>
          <w:szCs w:val="22"/>
        </w:rPr>
        <w:t>ations to comply with ABS requirements.</w:t>
      </w:r>
    </w:p>
    <w:p w14:paraId="0C7A16E7" w14:textId="0A749FA9" w:rsidR="00BF6908" w:rsidRPr="00646D82" w:rsidRDefault="00DE0518" w:rsidP="002A4D34">
      <w:pPr>
        <w:pStyle w:val="Para1"/>
        <w:numPr>
          <w:ilvl w:val="0"/>
          <w:numId w:val="27"/>
        </w:numPr>
        <w:suppressLineNumbers/>
        <w:tabs>
          <w:tab w:val="clear" w:pos="360"/>
        </w:tabs>
        <w:suppressAutoHyphens/>
        <w:rPr>
          <w:spacing w:val="-6"/>
          <w:kern w:val="22"/>
          <w:szCs w:val="22"/>
        </w:rPr>
      </w:pPr>
      <w:r w:rsidRPr="00646D82">
        <w:rPr>
          <w:spacing w:val="-6"/>
          <w:kern w:val="22"/>
          <w:szCs w:val="22"/>
        </w:rPr>
        <w:t>Implementing the provisions related to IPLCs is one of the main challenges identified by Parties. Community protocols on ABS can help to address some of the cha</w:t>
      </w:r>
      <w:r w:rsidR="008A78C9" w:rsidRPr="00646D82">
        <w:rPr>
          <w:spacing w:val="-6"/>
          <w:kern w:val="22"/>
          <w:szCs w:val="22"/>
        </w:rPr>
        <w:t>llenges identified in paragraph 10</w:t>
      </w:r>
      <w:r w:rsidRPr="00646D82">
        <w:rPr>
          <w:spacing w:val="-6"/>
          <w:kern w:val="22"/>
          <w:szCs w:val="22"/>
        </w:rPr>
        <w:t xml:space="preserve"> above. </w:t>
      </w:r>
      <w:r w:rsidR="00DE69EA" w:rsidRPr="00646D82">
        <w:rPr>
          <w:spacing w:val="-6"/>
          <w:kern w:val="22"/>
          <w:szCs w:val="22"/>
        </w:rPr>
        <w:t xml:space="preserve">They </w:t>
      </w:r>
      <w:r w:rsidRPr="00646D82">
        <w:rPr>
          <w:spacing w:val="-6"/>
          <w:kern w:val="22"/>
          <w:szCs w:val="22"/>
        </w:rPr>
        <w:t xml:space="preserve">can help </w:t>
      </w:r>
      <w:r w:rsidR="00E00085" w:rsidRPr="00646D82">
        <w:rPr>
          <w:spacing w:val="-6"/>
          <w:kern w:val="22"/>
          <w:szCs w:val="22"/>
        </w:rPr>
        <w:t>the IPLCs that develop them</w:t>
      </w:r>
      <w:r w:rsidRPr="00646D82">
        <w:rPr>
          <w:spacing w:val="-6"/>
          <w:kern w:val="22"/>
          <w:szCs w:val="22"/>
        </w:rPr>
        <w:t xml:space="preserve"> to articulate their values, practices and aspirations</w:t>
      </w:r>
      <w:r w:rsidR="00E00085" w:rsidRPr="00646D82">
        <w:rPr>
          <w:spacing w:val="-6"/>
          <w:kern w:val="22"/>
          <w:szCs w:val="22"/>
        </w:rPr>
        <w:t>. T</w:t>
      </w:r>
      <w:r w:rsidR="006B5B8A" w:rsidRPr="00646D82">
        <w:rPr>
          <w:spacing w:val="-6"/>
          <w:kern w:val="22"/>
          <w:szCs w:val="22"/>
        </w:rPr>
        <w:t>hey</w:t>
      </w:r>
      <w:r w:rsidR="00BF6908" w:rsidRPr="00646D82">
        <w:rPr>
          <w:spacing w:val="-6"/>
          <w:kern w:val="22"/>
          <w:szCs w:val="22"/>
        </w:rPr>
        <w:t xml:space="preserve"> can </w:t>
      </w:r>
      <w:r w:rsidRPr="00646D82">
        <w:rPr>
          <w:spacing w:val="-6"/>
          <w:kern w:val="22"/>
          <w:szCs w:val="22"/>
        </w:rPr>
        <w:t xml:space="preserve">also help </w:t>
      </w:r>
      <w:r w:rsidR="009A387F" w:rsidRPr="00646D82">
        <w:rPr>
          <w:spacing w:val="-6"/>
          <w:kern w:val="22"/>
          <w:szCs w:val="22"/>
        </w:rPr>
        <w:t>G</w:t>
      </w:r>
      <w:r w:rsidRPr="00646D82">
        <w:rPr>
          <w:spacing w:val="-6"/>
          <w:kern w:val="22"/>
          <w:szCs w:val="22"/>
        </w:rPr>
        <w:t xml:space="preserve">overnments to </w:t>
      </w:r>
      <w:r w:rsidR="00BF6908" w:rsidRPr="00646D82">
        <w:rPr>
          <w:spacing w:val="-6"/>
          <w:kern w:val="22"/>
          <w:szCs w:val="22"/>
        </w:rPr>
        <w:t xml:space="preserve">implement the </w:t>
      </w:r>
      <w:r w:rsidR="006B5B8A" w:rsidRPr="00646D82">
        <w:rPr>
          <w:spacing w:val="-6"/>
          <w:kern w:val="22"/>
          <w:szCs w:val="22"/>
        </w:rPr>
        <w:t xml:space="preserve">IPLCs related </w:t>
      </w:r>
      <w:r w:rsidR="00BF6908" w:rsidRPr="00646D82">
        <w:rPr>
          <w:spacing w:val="-6"/>
          <w:kern w:val="22"/>
          <w:szCs w:val="22"/>
        </w:rPr>
        <w:t>provisions</w:t>
      </w:r>
      <w:r w:rsidRPr="00646D82">
        <w:rPr>
          <w:spacing w:val="-6"/>
          <w:kern w:val="22"/>
          <w:szCs w:val="22"/>
        </w:rPr>
        <w:t xml:space="preserve"> of the Protocol</w:t>
      </w:r>
      <w:r w:rsidR="00BF6908" w:rsidRPr="00646D82">
        <w:rPr>
          <w:spacing w:val="-6"/>
          <w:kern w:val="22"/>
          <w:szCs w:val="22"/>
        </w:rPr>
        <w:t xml:space="preserve">, </w:t>
      </w:r>
      <w:r w:rsidRPr="00646D82">
        <w:rPr>
          <w:spacing w:val="-6"/>
          <w:kern w:val="22"/>
          <w:szCs w:val="22"/>
        </w:rPr>
        <w:t xml:space="preserve">and they </w:t>
      </w:r>
      <w:r w:rsidR="00BF6908" w:rsidRPr="00646D82">
        <w:rPr>
          <w:spacing w:val="-6"/>
          <w:kern w:val="22"/>
          <w:szCs w:val="22"/>
        </w:rPr>
        <w:t>provide cl</w:t>
      </w:r>
      <w:r w:rsidRPr="00646D82">
        <w:rPr>
          <w:spacing w:val="-6"/>
          <w:kern w:val="22"/>
          <w:szCs w:val="22"/>
        </w:rPr>
        <w:t xml:space="preserve">arity and certainty to users on how to have access to </w:t>
      </w:r>
      <w:r w:rsidR="00BF6908" w:rsidRPr="00646D82">
        <w:rPr>
          <w:spacing w:val="-6"/>
          <w:kern w:val="22"/>
          <w:szCs w:val="22"/>
        </w:rPr>
        <w:t xml:space="preserve">genetic resources and/or associated traditional </w:t>
      </w:r>
      <w:r w:rsidRPr="00646D82">
        <w:rPr>
          <w:spacing w:val="-6"/>
          <w:kern w:val="22"/>
          <w:szCs w:val="22"/>
        </w:rPr>
        <w:t>knowledge held by IPLCs</w:t>
      </w:r>
      <w:r w:rsidR="00BF6908" w:rsidRPr="00646D82">
        <w:rPr>
          <w:spacing w:val="-6"/>
          <w:kern w:val="22"/>
          <w:szCs w:val="22"/>
        </w:rPr>
        <w:t>.</w:t>
      </w:r>
    </w:p>
    <w:p w14:paraId="5C8DA348" w14:textId="0E180537" w:rsidR="00BF6908" w:rsidRPr="00646D82" w:rsidRDefault="00BF6908" w:rsidP="00646D82">
      <w:pPr>
        <w:pStyle w:val="ListParagraph"/>
        <w:numPr>
          <w:ilvl w:val="0"/>
          <w:numId w:val="27"/>
        </w:numPr>
        <w:suppressLineNumbers/>
        <w:tabs>
          <w:tab w:val="clear" w:pos="360"/>
        </w:tabs>
        <w:suppressAutoHyphens/>
        <w:rPr>
          <w:snapToGrid w:val="0"/>
          <w:spacing w:val="-6"/>
          <w:kern w:val="22"/>
          <w:szCs w:val="22"/>
        </w:rPr>
      </w:pPr>
      <w:r w:rsidRPr="00646D82">
        <w:rPr>
          <w:snapToGrid w:val="0"/>
          <w:spacing w:val="-6"/>
          <w:kern w:val="22"/>
          <w:szCs w:val="22"/>
        </w:rPr>
        <w:t>Community protocols are being developed and used in a variety of contexts, including but not limited to ABS. Some deal w</w:t>
      </w:r>
      <w:r w:rsidR="00DE0518" w:rsidRPr="00646D82">
        <w:rPr>
          <w:snapToGrid w:val="0"/>
          <w:spacing w:val="-6"/>
          <w:kern w:val="22"/>
          <w:szCs w:val="22"/>
        </w:rPr>
        <w:t xml:space="preserve">ith </w:t>
      </w:r>
      <w:proofErr w:type="spellStart"/>
      <w:r w:rsidR="00DE0518" w:rsidRPr="00646D82">
        <w:rPr>
          <w:snapToGrid w:val="0"/>
          <w:spacing w:val="-6"/>
          <w:kern w:val="22"/>
          <w:szCs w:val="22"/>
        </w:rPr>
        <w:t>biotrade</w:t>
      </w:r>
      <w:proofErr w:type="spellEnd"/>
      <w:r w:rsidR="00DE0518" w:rsidRPr="00646D82">
        <w:rPr>
          <w:snapToGrid w:val="0"/>
          <w:spacing w:val="-6"/>
          <w:kern w:val="22"/>
          <w:szCs w:val="22"/>
        </w:rPr>
        <w:t xml:space="preserve"> or land issues</w:t>
      </w:r>
      <w:r w:rsidRPr="00646D82">
        <w:rPr>
          <w:snapToGrid w:val="0"/>
          <w:spacing w:val="-6"/>
          <w:kern w:val="22"/>
          <w:szCs w:val="22"/>
        </w:rPr>
        <w:t xml:space="preserve"> and include some ABS elements as part of a bigger context.</w:t>
      </w:r>
      <w:r w:rsidR="00AE4DA0" w:rsidRPr="00646D82">
        <w:rPr>
          <w:snapToGrid w:val="0"/>
          <w:spacing w:val="-6"/>
          <w:kern w:val="22"/>
          <w:szCs w:val="22"/>
        </w:rPr>
        <w:t xml:space="preserve"> Incorporating ABS elements in existing community protocols dealing with resource or land management or </w:t>
      </w:r>
      <w:proofErr w:type="spellStart"/>
      <w:r w:rsidR="00AE4DA0" w:rsidRPr="00646D82">
        <w:rPr>
          <w:snapToGrid w:val="0"/>
          <w:spacing w:val="-6"/>
          <w:kern w:val="22"/>
          <w:szCs w:val="22"/>
        </w:rPr>
        <w:t>biotrade</w:t>
      </w:r>
      <w:proofErr w:type="spellEnd"/>
      <w:r w:rsidR="00AE4DA0" w:rsidRPr="00646D82">
        <w:rPr>
          <w:snapToGrid w:val="0"/>
          <w:spacing w:val="-6"/>
          <w:kern w:val="22"/>
          <w:szCs w:val="22"/>
        </w:rPr>
        <w:t xml:space="preserve"> may facilitate the process.</w:t>
      </w:r>
      <w:r w:rsidR="008A78C9" w:rsidRPr="00646D82">
        <w:rPr>
          <w:snapToGrid w:val="0"/>
          <w:spacing w:val="-6"/>
          <w:kern w:val="22"/>
          <w:szCs w:val="22"/>
        </w:rPr>
        <w:t xml:space="preserve"> </w:t>
      </w:r>
      <w:r w:rsidRPr="00646D82">
        <w:rPr>
          <w:snapToGrid w:val="0"/>
          <w:spacing w:val="-6"/>
          <w:kern w:val="22"/>
          <w:szCs w:val="22"/>
        </w:rPr>
        <w:t>Support</w:t>
      </w:r>
      <w:r w:rsidR="00DE0518" w:rsidRPr="00646D82">
        <w:rPr>
          <w:snapToGrid w:val="0"/>
          <w:spacing w:val="-6"/>
          <w:kern w:val="22"/>
          <w:szCs w:val="22"/>
        </w:rPr>
        <w:t xml:space="preserve">ing </w:t>
      </w:r>
      <w:r w:rsidRPr="00646D82">
        <w:rPr>
          <w:snapToGrid w:val="0"/>
          <w:spacing w:val="-6"/>
          <w:kern w:val="22"/>
          <w:szCs w:val="22"/>
        </w:rPr>
        <w:t xml:space="preserve">IPLCs </w:t>
      </w:r>
      <w:r w:rsidR="00DE0518" w:rsidRPr="00646D82">
        <w:rPr>
          <w:snapToGrid w:val="0"/>
          <w:spacing w:val="-6"/>
          <w:kern w:val="22"/>
          <w:szCs w:val="22"/>
        </w:rPr>
        <w:t xml:space="preserve">to </w:t>
      </w:r>
      <w:r w:rsidRPr="00646D82">
        <w:rPr>
          <w:snapToGrid w:val="0"/>
          <w:spacing w:val="-6"/>
          <w:kern w:val="22"/>
          <w:szCs w:val="22"/>
        </w:rPr>
        <w:t>develop</w:t>
      </w:r>
      <w:r w:rsidR="00DE0518" w:rsidRPr="00646D82">
        <w:rPr>
          <w:snapToGrid w:val="0"/>
          <w:spacing w:val="-6"/>
          <w:kern w:val="22"/>
          <w:szCs w:val="22"/>
        </w:rPr>
        <w:t xml:space="preserve"> community protocols </w:t>
      </w:r>
      <w:r w:rsidRPr="00646D82">
        <w:rPr>
          <w:snapToGrid w:val="0"/>
          <w:spacing w:val="-6"/>
          <w:kern w:val="22"/>
          <w:szCs w:val="22"/>
        </w:rPr>
        <w:t xml:space="preserve">is essential, as well as doing so in way that ensures that </w:t>
      </w:r>
      <w:r w:rsidR="00DE0518" w:rsidRPr="00646D82">
        <w:rPr>
          <w:snapToGrid w:val="0"/>
          <w:spacing w:val="-6"/>
          <w:kern w:val="22"/>
          <w:szCs w:val="22"/>
        </w:rPr>
        <w:t xml:space="preserve">the </w:t>
      </w:r>
      <w:r w:rsidRPr="00646D82">
        <w:rPr>
          <w:snapToGrid w:val="0"/>
          <w:spacing w:val="-6"/>
          <w:kern w:val="22"/>
          <w:szCs w:val="22"/>
        </w:rPr>
        <w:t>outcomes represent community values, practices and aspirations.</w:t>
      </w:r>
    </w:p>
    <w:p w14:paraId="40BDDBAB" w14:textId="77777777" w:rsidR="00BF6908" w:rsidRPr="00646D82" w:rsidRDefault="00BF6908" w:rsidP="00981434">
      <w:pPr>
        <w:suppressLineNumbers/>
        <w:suppressAutoHyphens/>
        <w:spacing w:before="120" w:after="120"/>
        <w:rPr>
          <w:rFonts w:eastAsia="Calibri"/>
          <w:b/>
          <w:noProof/>
          <w:snapToGrid w:val="0"/>
          <w:spacing w:val="-6"/>
          <w:kern w:val="22"/>
          <w:szCs w:val="22"/>
          <w:u w:color="000000"/>
        </w:rPr>
      </w:pPr>
      <w:r w:rsidRPr="00646D82">
        <w:rPr>
          <w:rFonts w:eastAsia="Calibri"/>
          <w:b/>
          <w:noProof/>
          <w:snapToGrid w:val="0"/>
          <w:spacing w:val="-6"/>
          <w:kern w:val="22"/>
          <w:szCs w:val="22"/>
          <w:u w:color="000000"/>
        </w:rPr>
        <w:t>Element (g): Review of implementation and operation of the Access and Benefit-sharing Clearing-House, including number of access and benefit-sharing measures made available; number of countries that have published information on their competent national authorities; number of internationally recognized certificates of compliance that have been constituted and number of checkpoint communiqués published</w:t>
      </w:r>
    </w:p>
    <w:p w14:paraId="4EA11925" w14:textId="4A8CCB13" w:rsidR="00BB02DE" w:rsidRPr="00646D82" w:rsidRDefault="00191A8D" w:rsidP="00981434">
      <w:pPr>
        <w:pStyle w:val="Para1"/>
        <w:numPr>
          <w:ilvl w:val="0"/>
          <w:numId w:val="34"/>
        </w:numPr>
        <w:suppressLineNumbers/>
        <w:suppressAutoHyphens/>
        <w:rPr>
          <w:spacing w:val="-6"/>
          <w:kern w:val="22"/>
          <w:szCs w:val="22"/>
        </w:rPr>
      </w:pPr>
      <w:r w:rsidRPr="00646D82">
        <w:rPr>
          <w:spacing w:val="-6"/>
          <w:kern w:val="22"/>
          <w:szCs w:val="22"/>
        </w:rPr>
        <w:t>Approximately half of the users of the ABS Clearing-House are users of genetic resources or associated traditional kno</w:t>
      </w:r>
      <w:r w:rsidR="00C741BA" w:rsidRPr="00646D82">
        <w:rPr>
          <w:spacing w:val="-6"/>
          <w:kern w:val="22"/>
          <w:szCs w:val="22"/>
        </w:rPr>
        <w:t xml:space="preserve">wledge and consult </w:t>
      </w:r>
      <w:r w:rsidR="00BB02DE" w:rsidRPr="00646D82">
        <w:rPr>
          <w:spacing w:val="-6"/>
          <w:kern w:val="22"/>
          <w:szCs w:val="22"/>
        </w:rPr>
        <w:t>the ABS Clearing-Hous</w:t>
      </w:r>
      <w:r w:rsidR="00C741BA" w:rsidRPr="00646D82">
        <w:rPr>
          <w:spacing w:val="-6"/>
          <w:kern w:val="22"/>
          <w:szCs w:val="22"/>
        </w:rPr>
        <w:t xml:space="preserve">e to find national information. Feedback received highlights the </w:t>
      </w:r>
      <w:r w:rsidR="00BB02DE" w:rsidRPr="00646D82">
        <w:rPr>
          <w:spacing w:val="-6"/>
          <w:kern w:val="22"/>
          <w:szCs w:val="22"/>
        </w:rPr>
        <w:t>important need to provide improved and clear information on national ABS requirements and procedures.</w:t>
      </w:r>
      <w:r w:rsidR="00137DEA" w:rsidRPr="00646D82">
        <w:rPr>
          <w:spacing w:val="-6"/>
          <w:kern w:val="22"/>
          <w:szCs w:val="22"/>
        </w:rPr>
        <w:t xml:space="preserve"> This information should provide users with simple and easy to understand guidance on the necessary steps to apply for access to genetic resources and associated traditional knowledge.</w:t>
      </w:r>
    </w:p>
    <w:p w14:paraId="154E7B1C" w14:textId="1657654E" w:rsidR="00191A8D" w:rsidRPr="00646D82" w:rsidRDefault="00191A8D" w:rsidP="00981434">
      <w:pPr>
        <w:pStyle w:val="Para1"/>
        <w:numPr>
          <w:ilvl w:val="0"/>
          <w:numId w:val="34"/>
        </w:numPr>
        <w:suppressLineNumbers/>
        <w:suppressAutoHyphens/>
        <w:rPr>
          <w:spacing w:val="-6"/>
          <w:kern w:val="22"/>
          <w:szCs w:val="22"/>
        </w:rPr>
      </w:pPr>
      <w:r w:rsidRPr="00646D82">
        <w:rPr>
          <w:spacing w:val="-6"/>
          <w:kern w:val="22"/>
          <w:szCs w:val="22"/>
        </w:rPr>
        <w:t xml:space="preserve"> Relevant stakeholders in particular the business</w:t>
      </w:r>
      <w:r w:rsidR="004E7A4E" w:rsidRPr="00646D82">
        <w:rPr>
          <w:spacing w:val="-6"/>
          <w:kern w:val="22"/>
          <w:szCs w:val="22"/>
        </w:rPr>
        <w:t xml:space="preserve"> and scientific communities</w:t>
      </w:r>
      <w:r w:rsidRPr="00646D82">
        <w:rPr>
          <w:spacing w:val="-6"/>
          <w:kern w:val="22"/>
          <w:szCs w:val="22"/>
        </w:rPr>
        <w:t>, could benefit from more outreach and awareness-raising both as users of genetic resources and as potential contributors of relevant information (</w:t>
      </w:r>
      <w:proofErr w:type="spellStart"/>
      <w:r w:rsidRPr="00646D82">
        <w:rPr>
          <w:spacing w:val="-6"/>
          <w:kern w:val="22"/>
          <w:szCs w:val="22"/>
        </w:rPr>
        <w:t>e.g</w:t>
      </w:r>
      <w:proofErr w:type="spellEnd"/>
      <w:r w:rsidRPr="00646D82">
        <w:rPr>
          <w:spacing w:val="-6"/>
          <w:kern w:val="22"/>
          <w:szCs w:val="22"/>
        </w:rPr>
        <w:t xml:space="preserve"> model clauses, codes of conduct, awareness-raising materials). The implementation of the ABS Clearing-House could also benefit from a greater understanding of their needs in terms of functionality and design of the ABS Clearing-House.</w:t>
      </w:r>
    </w:p>
    <w:p w14:paraId="7ED58C67" w14:textId="008F7735" w:rsidR="00101480" w:rsidRPr="00646D82" w:rsidRDefault="0043506E" w:rsidP="002A4D34">
      <w:pPr>
        <w:pStyle w:val="Para1"/>
        <w:numPr>
          <w:ilvl w:val="0"/>
          <w:numId w:val="34"/>
        </w:numPr>
        <w:suppressLineNumbers/>
        <w:suppressAutoHyphens/>
        <w:rPr>
          <w:spacing w:val="-6"/>
          <w:kern w:val="22"/>
          <w:szCs w:val="22"/>
        </w:rPr>
      </w:pPr>
      <w:r w:rsidRPr="00646D82">
        <w:rPr>
          <w:spacing w:val="-6"/>
          <w:kern w:val="22"/>
          <w:szCs w:val="22"/>
        </w:rPr>
        <w:t>Technical assistance for use of the ABS Clearing-House still required.</w:t>
      </w:r>
      <w:r w:rsidR="00626FF1" w:rsidRPr="00646D82">
        <w:rPr>
          <w:spacing w:val="-6"/>
          <w:kern w:val="22"/>
          <w:szCs w:val="22"/>
        </w:rPr>
        <w:t xml:space="preserve"> </w:t>
      </w:r>
      <w:r w:rsidR="00191A8D" w:rsidRPr="00646D82">
        <w:rPr>
          <w:spacing w:val="-6"/>
          <w:kern w:val="22"/>
          <w:szCs w:val="22"/>
        </w:rPr>
        <w:t xml:space="preserve">The live chat is a very valued feature by users of the ABS Clearing-House. </w:t>
      </w:r>
      <w:r w:rsidR="00626FF1" w:rsidRPr="00646D82">
        <w:rPr>
          <w:spacing w:val="-6"/>
          <w:kern w:val="22"/>
          <w:szCs w:val="22"/>
        </w:rPr>
        <w:t xml:space="preserve">Capacity-building on the use of the ABS Clearing-House and implementation of the Protocol is closely related. </w:t>
      </w:r>
      <w:r w:rsidR="00191A8D" w:rsidRPr="00646D82">
        <w:rPr>
          <w:spacing w:val="-6"/>
          <w:kern w:val="22"/>
          <w:szCs w:val="22"/>
        </w:rPr>
        <w:t>Many questions received through the live chat and during the capacity-building activities for the ABS Clearing-House are about implementation of the Protocol rather than the technical support to use the clearing-house.</w:t>
      </w:r>
    </w:p>
    <w:p w14:paraId="1FC21777" w14:textId="77777777" w:rsidR="00101480" w:rsidRPr="00646D82" w:rsidRDefault="00101480">
      <w:pPr>
        <w:jc w:val="left"/>
        <w:rPr>
          <w:snapToGrid w:val="0"/>
          <w:szCs w:val="22"/>
        </w:rPr>
      </w:pPr>
      <w:r w:rsidRPr="00646D82">
        <w:rPr>
          <w:szCs w:val="22"/>
        </w:rPr>
        <w:br w:type="page"/>
      </w:r>
    </w:p>
    <w:p w14:paraId="13885583" w14:textId="77777777" w:rsidR="00200D03" w:rsidRPr="00646D82" w:rsidRDefault="00200D03" w:rsidP="00200D03">
      <w:pPr>
        <w:jc w:val="center"/>
        <w:rPr>
          <w:i/>
          <w:szCs w:val="22"/>
        </w:rPr>
      </w:pPr>
      <w:r w:rsidRPr="00646D82">
        <w:rPr>
          <w:i/>
          <w:szCs w:val="22"/>
        </w:rPr>
        <w:t>Annex I</w:t>
      </w:r>
      <w:r w:rsidR="00F013D1" w:rsidRPr="00646D82">
        <w:rPr>
          <w:i/>
          <w:szCs w:val="22"/>
        </w:rPr>
        <w:t>I</w:t>
      </w:r>
    </w:p>
    <w:p w14:paraId="7045414D" w14:textId="77777777" w:rsidR="005D77E2" w:rsidRPr="00646D82" w:rsidRDefault="005D77E2" w:rsidP="00200D03">
      <w:pPr>
        <w:jc w:val="center"/>
        <w:rPr>
          <w:b/>
          <w:i/>
          <w:szCs w:val="22"/>
        </w:rPr>
      </w:pPr>
    </w:p>
    <w:p w14:paraId="2BE72873" w14:textId="3388551D" w:rsidR="00CE3FEE" w:rsidRPr="00646D82" w:rsidRDefault="005D77E2" w:rsidP="00200D03">
      <w:pPr>
        <w:jc w:val="center"/>
        <w:rPr>
          <w:b/>
          <w:szCs w:val="22"/>
        </w:rPr>
      </w:pPr>
      <w:r w:rsidRPr="00646D82">
        <w:rPr>
          <w:b/>
          <w:szCs w:val="22"/>
        </w:rPr>
        <w:t xml:space="preserve">DRAFT FRAMEWORK OF INDICATORS AND REFERENCE POINTS TO MEASURE PROGRESS </w:t>
      </w:r>
    </w:p>
    <w:p w14:paraId="7DD780F5" w14:textId="67CDEE53" w:rsidR="00F97694" w:rsidRPr="00646D82" w:rsidRDefault="00CE3FEE" w:rsidP="008A78C9">
      <w:pPr>
        <w:pStyle w:val="Para1"/>
        <w:numPr>
          <w:ilvl w:val="0"/>
          <w:numId w:val="42"/>
        </w:numPr>
        <w:suppressLineNumbers/>
        <w:suppressAutoHyphens/>
        <w:rPr>
          <w:szCs w:val="22"/>
        </w:rPr>
      </w:pPr>
      <w:r w:rsidRPr="00646D82">
        <w:rPr>
          <w:szCs w:val="22"/>
        </w:rPr>
        <w:t xml:space="preserve">The following table </w:t>
      </w:r>
      <w:r w:rsidR="00F97694" w:rsidRPr="00646D82">
        <w:rPr>
          <w:szCs w:val="22"/>
        </w:rPr>
        <w:t>proposes indicators for each of the elements addressed by the first assessment and review. Reference points are included for most of the indicators proposed. These reference points determine a baseline against which progress can be measured in the future for each of the indicators. The indicators proposed are mostly based on existing questions of the interim national report. However, there are instances where no conclusive information could be drawn from the responses to the interim national report, and therefore, a new text is suggested for those indicators. The new</w:t>
      </w:r>
      <w:r w:rsidR="005E21B1" w:rsidRPr="00646D82">
        <w:rPr>
          <w:szCs w:val="22"/>
        </w:rPr>
        <w:t xml:space="preserve"> or revised</w:t>
      </w:r>
      <w:r w:rsidR="00F97694" w:rsidRPr="00646D82">
        <w:rPr>
          <w:szCs w:val="22"/>
        </w:rPr>
        <w:t xml:space="preserve"> indicat</w:t>
      </w:r>
      <w:r w:rsidR="007C500E" w:rsidRPr="00646D82">
        <w:rPr>
          <w:szCs w:val="22"/>
        </w:rPr>
        <w:t>ors are identified in the table.</w:t>
      </w:r>
    </w:p>
    <w:p w14:paraId="011E292E" w14:textId="132A61AE" w:rsidR="007C500E" w:rsidRPr="00646D82" w:rsidRDefault="00CE3FEE" w:rsidP="008A78C9">
      <w:pPr>
        <w:pStyle w:val="Para1"/>
        <w:numPr>
          <w:ilvl w:val="0"/>
          <w:numId w:val="42"/>
        </w:numPr>
        <w:suppressLineNumbers/>
        <w:suppressAutoHyphens/>
        <w:rPr>
          <w:szCs w:val="22"/>
        </w:rPr>
      </w:pPr>
      <w:r w:rsidRPr="00646D82">
        <w:rPr>
          <w:szCs w:val="22"/>
        </w:rPr>
        <w:t xml:space="preserve">It also </w:t>
      </w:r>
      <w:r w:rsidR="00F97694" w:rsidRPr="00646D82">
        <w:rPr>
          <w:szCs w:val="22"/>
        </w:rPr>
        <w:t xml:space="preserve">includes </w:t>
      </w:r>
      <w:r w:rsidRPr="00646D82">
        <w:rPr>
          <w:szCs w:val="22"/>
        </w:rPr>
        <w:t>the source of information used to establish the reference point. For ease of reference, it follows the structure and order of the format of the interim national report</w:t>
      </w:r>
      <w:r w:rsidR="00F97694" w:rsidRPr="00646D82">
        <w:rPr>
          <w:szCs w:val="22"/>
        </w:rPr>
        <w:t xml:space="preserve"> and includes reference to the element/s under which the indicator is being considered</w:t>
      </w:r>
      <w:r w:rsidRPr="00646D82">
        <w:rPr>
          <w:szCs w:val="22"/>
        </w:rPr>
        <w:t>.</w:t>
      </w:r>
      <w:r w:rsidR="007C500E" w:rsidRPr="00646D82">
        <w:rPr>
          <w:szCs w:val="22"/>
        </w:rPr>
        <w:t xml:space="preserve"> </w:t>
      </w:r>
    </w:p>
    <w:p w14:paraId="5E0798D2" w14:textId="7D1E87C0" w:rsidR="00CE3FEE" w:rsidRPr="00646D82" w:rsidRDefault="007C500E" w:rsidP="008A78C9">
      <w:pPr>
        <w:pStyle w:val="Para1"/>
        <w:numPr>
          <w:ilvl w:val="0"/>
          <w:numId w:val="42"/>
        </w:numPr>
        <w:suppressLineNumbers/>
        <w:suppressAutoHyphens/>
        <w:rPr>
          <w:szCs w:val="22"/>
        </w:rPr>
      </w:pPr>
      <w:r w:rsidRPr="00646D82">
        <w:rPr>
          <w:szCs w:val="22"/>
        </w:rPr>
        <w:t>The framework is flexible tool that can be adapted as further progress is made with implementation.</w:t>
      </w:r>
    </w:p>
    <w:p w14:paraId="647E9058" w14:textId="77777777" w:rsidR="00773B7A" w:rsidRPr="00646D82" w:rsidRDefault="00773B7A" w:rsidP="0043268C">
      <w:pPr>
        <w:rPr>
          <w:color w:val="FF0000"/>
          <w:szCs w:val="22"/>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2"/>
        <w:gridCol w:w="1104"/>
        <w:gridCol w:w="1506"/>
        <w:gridCol w:w="1321"/>
      </w:tblGrid>
      <w:tr w:rsidR="00200D03" w:rsidRPr="00646D82" w14:paraId="1087C2CB" w14:textId="77777777" w:rsidTr="00FD1189">
        <w:trPr>
          <w:trHeight w:val="440"/>
          <w:tblHeader/>
          <w:jc w:val="center"/>
        </w:trPr>
        <w:tc>
          <w:tcPr>
            <w:tcW w:w="5552" w:type="dxa"/>
            <w:shd w:val="pct5" w:color="auto" w:fill="auto"/>
            <w:vAlign w:val="center"/>
          </w:tcPr>
          <w:p w14:paraId="66747AED" w14:textId="77777777" w:rsidR="00200D03" w:rsidRPr="00646D82" w:rsidRDefault="00200D03" w:rsidP="00FD1189">
            <w:pPr>
              <w:spacing w:before="120" w:after="120"/>
              <w:jc w:val="center"/>
              <w:rPr>
                <w:b/>
                <w:snapToGrid w:val="0"/>
                <w:szCs w:val="22"/>
              </w:rPr>
            </w:pPr>
            <w:r w:rsidRPr="00646D82">
              <w:rPr>
                <w:b/>
                <w:snapToGrid w:val="0"/>
                <w:szCs w:val="22"/>
              </w:rPr>
              <w:t>Draft framework of indicators</w:t>
            </w:r>
          </w:p>
        </w:tc>
        <w:tc>
          <w:tcPr>
            <w:tcW w:w="1104" w:type="dxa"/>
            <w:shd w:val="pct5" w:color="auto" w:fill="auto"/>
            <w:vAlign w:val="center"/>
          </w:tcPr>
          <w:p w14:paraId="1D9CB2B6" w14:textId="77777777" w:rsidR="00200D03" w:rsidRPr="00646D82" w:rsidRDefault="00200D03" w:rsidP="00FD1189">
            <w:pPr>
              <w:spacing w:line="276" w:lineRule="auto"/>
              <w:jc w:val="center"/>
              <w:rPr>
                <w:b/>
                <w:snapToGrid w:val="0"/>
                <w:szCs w:val="22"/>
              </w:rPr>
            </w:pPr>
            <w:r w:rsidRPr="00646D82">
              <w:rPr>
                <w:b/>
                <w:snapToGrid w:val="0"/>
                <w:szCs w:val="22"/>
              </w:rPr>
              <w:t>Element</w:t>
            </w:r>
          </w:p>
        </w:tc>
        <w:tc>
          <w:tcPr>
            <w:tcW w:w="1506" w:type="dxa"/>
            <w:shd w:val="pct5" w:color="auto" w:fill="auto"/>
            <w:vAlign w:val="center"/>
          </w:tcPr>
          <w:p w14:paraId="1F80B714" w14:textId="77777777" w:rsidR="00200D03" w:rsidRPr="00646D82" w:rsidRDefault="00200D03" w:rsidP="00FD1189">
            <w:pPr>
              <w:spacing w:line="276" w:lineRule="auto"/>
              <w:jc w:val="center"/>
              <w:rPr>
                <w:b/>
                <w:snapToGrid w:val="0"/>
                <w:szCs w:val="22"/>
              </w:rPr>
            </w:pPr>
            <w:r w:rsidRPr="00646D82">
              <w:rPr>
                <w:b/>
                <w:snapToGrid w:val="0"/>
                <w:szCs w:val="22"/>
              </w:rPr>
              <w:t>Reference point (as of 22 February 2018)</w:t>
            </w:r>
          </w:p>
        </w:tc>
        <w:tc>
          <w:tcPr>
            <w:tcW w:w="1321" w:type="dxa"/>
            <w:shd w:val="pct5" w:color="auto" w:fill="auto"/>
            <w:vAlign w:val="center"/>
          </w:tcPr>
          <w:p w14:paraId="27FC2E45" w14:textId="77777777" w:rsidR="00200D03" w:rsidRPr="00646D82" w:rsidRDefault="00200D03" w:rsidP="00FD1189">
            <w:pPr>
              <w:spacing w:before="120" w:after="120"/>
              <w:jc w:val="center"/>
              <w:rPr>
                <w:b/>
                <w:snapToGrid w:val="0"/>
                <w:szCs w:val="22"/>
              </w:rPr>
            </w:pPr>
            <w:r w:rsidRPr="00646D82">
              <w:rPr>
                <w:b/>
                <w:snapToGrid w:val="0"/>
                <w:szCs w:val="22"/>
              </w:rPr>
              <w:t>Source</w:t>
            </w:r>
          </w:p>
        </w:tc>
      </w:tr>
      <w:tr w:rsidR="00200D03" w:rsidRPr="00646D82" w14:paraId="01E520E3" w14:textId="77777777" w:rsidTr="00EE1F78">
        <w:trPr>
          <w:jc w:val="center"/>
        </w:trPr>
        <w:tc>
          <w:tcPr>
            <w:tcW w:w="5552" w:type="dxa"/>
            <w:tcBorders>
              <w:bottom w:val="single" w:sz="4" w:space="0" w:color="auto"/>
            </w:tcBorders>
            <w:shd w:val="clear" w:color="auto" w:fill="auto"/>
          </w:tcPr>
          <w:p w14:paraId="4348A24A" w14:textId="4F38E9B8" w:rsidR="00200D03" w:rsidRPr="00646D82" w:rsidRDefault="000C0890" w:rsidP="000C0890">
            <w:pPr>
              <w:pStyle w:val="ListParagraph"/>
              <w:numPr>
                <w:ilvl w:val="0"/>
                <w:numId w:val="31"/>
              </w:numPr>
              <w:spacing w:before="120" w:after="120"/>
              <w:ind w:left="314"/>
              <w:rPr>
                <w:snapToGrid w:val="0"/>
                <w:szCs w:val="22"/>
              </w:rPr>
            </w:pPr>
            <w:r w:rsidRPr="00646D82">
              <w:rPr>
                <w:snapToGrid w:val="0"/>
                <w:szCs w:val="22"/>
              </w:rPr>
              <w:t>Number of Parties to the CBD that have ratified the Nagoya Protocol</w:t>
            </w:r>
          </w:p>
        </w:tc>
        <w:tc>
          <w:tcPr>
            <w:tcW w:w="1104" w:type="dxa"/>
            <w:tcBorders>
              <w:bottom w:val="single" w:sz="4" w:space="0" w:color="auto"/>
            </w:tcBorders>
            <w:shd w:val="clear" w:color="auto" w:fill="auto"/>
            <w:vAlign w:val="center"/>
          </w:tcPr>
          <w:p w14:paraId="5486C1BB" w14:textId="77777777" w:rsidR="00200D03" w:rsidRPr="00646D82" w:rsidRDefault="00200D03" w:rsidP="00200D03">
            <w:pPr>
              <w:spacing w:line="276" w:lineRule="auto"/>
              <w:jc w:val="center"/>
              <w:rPr>
                <w:rFonts w:eastAsia="Calibri"/>
                <w:szCs w:val="22"/>
              </w:rPr>
            </w:pPr>
          </w:p>
        </w:tc>
        <w:tc>
          <w:tcPr>
            <w:tcW w:w="1506" w:type="dxa"/>
            <w:tcBorders>
              <w:bottom w:val="single" w:sz="4" w:space="0" w:color="auto"/>
            </w:tcBorders>
            <w:shd w:val="clear" w:color="auto" w:fill="auto"/>
            <w:vAlign w:val="center"/>
          </w:tcPr>
          <w:p w14:paraId="50C2FC66" w14:textId="0828F7FA" w:rsidR="00200D03" w:rsidRPr="00646D82" w:rsidRDefault="00200D03" w:rsidP="001220DD">
            <w:pPr>
              <w:spacing w:line="276" w:lineRule="auto"/>
              <w:jc w:val="center"/>
              <w:rPr>
                <w:rFonts w:eastAsia="Calibri"/>
                <w:szCs w:val="22"/>
              </w:rPr>
            </w:pPr>
            <w:r w:rsidRPr="00646D82">
              <w:rPr>
                <w:rFonts w:eastAsia="Calibri"/>
                <w:szCs w:val="22"/>
              </w:rPr>
              <w:t xml:space="preserve">105 </w:t>
            </w:r>
            <w:r w:rsidR="000C0890" w:rsidRPr="00646D82">
              <w:rPr>
                <w:rFonts w:eastAsia="Calibri"/>
                <w:szCs w:val="22"/>
              </w:rPr>
              <w:t>(54%)</w:t>
            </w:r>
          </w:p>
        </w:tc>
        <w:tc>
          <w:tcPr>
            <w:tcW w:w="1321" w:type="dxa"/>
            <w:tcBorders>
              <w:bottom w:val="single" w:sz="4" w:space="0" w:color="auto"/>
            </w:tcBorders>
            <w:shd w:val="clear" w:color="auto" w:fill="auto"/>
          </w:tcPr>
          <w:p w14:paraId="6359AA3F" w14:textId="77777777" w:rsidR="00200D03" w:rsidRPr="00646D82" w:rsidRDefault="001220DD" w:rsidP="00200D03">
            <w:pPr>
              <w:spacing w:before="120" w:after="120"/>
              <w:rPr>
                <w:snapToGrid w:val="0"/>
                <w:szCs w:val="22"/>
              </w:rPr>
            </w:pPr>
            <w:r w:rsidRPr="00646D82">
              <w:rPr>
                <w:snapToGrid w:val="0"/>
                <w:szCs w:val="22"/>
              </w:rPr>
              <w:t>United Nations Treaty Collection</w:t>
            </w:r>
          </w:p>
        </w:tc>
      </w:tr>
      <w:tr w:rsidR="00200D03" w:rsidRPr="00646D82" w14:paraId="6DD42180" w14:textId="77777777" w:rsidTr="00D27E29">
        <w:trPr>
          <w:trHeight w:val="350"/>
          <w:jc w:val="center"/>
        </w:trPr>
        <w:tc>
          <w:tcPr>
            <w:tcW w:w="9483" w:type="dxa"/>
            <w:gridSpan w:val="4"/>
            <w:shd w:val="pct5" w:color="auto" w:fill="auto"/>
            <w:vAlign w:val="center"/>
          </w:tcPr>
          <w:p w14:paraId="4E2B4A74" w14:textId="77777777" w:rsidR="00200D03" w:rsidRPr="00646D82" w:rsidRDefault="00200D03" w:rsidP="00616891">
            <w:pPr>
              <w:pStyle w:val="ListParagraph"/>
              <w:ind w:left="314"/>
              <w:rPr>
                <w:b/>
                <w:snapToGrid w:val="0"/>
                <w:szCs w:val="22"/>
              </w:rPr>
            </w:pPr>
            <w:r w:rsidRPr="00646D82">
              <w:rPr>
                <w:b/>
                <w:snapToGrid w:val="0"/>
                <w:szCs w:val="22"/>
              </w:rPr>
              <w:t>Institutional structures for the implementation of the Protocol</w:t>
            </w:r>
          </w:p>
        </w:tc>
      </w:tr>
      <w:tr w:rsidR="00200D03" w:rsidRPr="00646D82" w14:paraId="440AB97F" w14:textId="77777777" w:rsidTr="00EE1F78">
        <w:trPr>
          <w:jc w:val="center"/>
        </w:trPr>
        <w:tc>
          <w:tcPr>
            <w:tcW w:w="5552" w:type="dxa"/>
            <w:shd w:val="clear" w:color="auto" w:fill="auto"/>
          </w:tcPr>
          <w:p w14:paraId="7E1628C7" w14:textId="77777777" w:rsidR="00200D03" w:rsidRPr="00646D82" w:rsidRDefault="00200D03" w:rsidP="00616891">
            <w:pPr>
              <w:pStyle w:val="ListParagraph"/>
              <w:numPr>
                <w:ilvl w:val="0"/>
                <w:numId w:val="31"/>
              </w:numPr>
              <w:spacing w:before="120" w:after="120"/>
              <w:ind w:left="314"/>
              <w:rPr>
                <w:snapToGrid w:val="0"/>
                <w:szCs w:val="22"/>
              </w:rPr>
            </w:pPr>
            <w:r w:rsidRPr="00646D82">
              <w:rPr>
                <w:snapToGrid w:val="0"/>
                <w:szCs w:val="22"/>
              </w:rPr>
              <w:t>Number and percentage of Parties with legislative, administrative and policy measures on ABS</w:t>
            </w:r>
          </w:p>
        </w:tc>
        <w:tc>
          <w:tcPr>
            <w:tcW w:w="1104" w:type="dxa"/>
            <w:shd w:val="clear" w:color="auto" w:fill="auto"/>
            <w:vAlign w:val="center"/>
          </w:tcPr>
          <w:p w14:paraId="33274F1B" w14:textId="77777777" w:rsidR="00200D03" w:rsidRPr="00646D82" w:rsidRDefault="00200D03" w:rsidP="00200D03">
            <w:pPr>
              <w:spacing w:line="276" w:lineRule="auto"/>
              <w:jc w:val="center"/>
              <w:rPr>
                <w:rFonts w:eastAsia="Calibri"/>
                <w:szCs w:val="22"/>
              </w:rPr>
            </w:pPr>
            <w:r w:rsidRPr="00646D82">
              <w:rPr>
                <w:snapToGrid w:val="0"/>
                <w:szCs w:val="22"/>
              </w:rPr>
              <w:t>(a)</w:t>
            </w:r>
          </w:p>
        </w:tc>
        <w:tc>
          <w:tcPr>
            <w:tcW w:w="1506" w:type="dxa"/>
            <w:shd w:val="clear" w:color="auto" w:fill="auto"/>
            <w:vAlign w:val="center"/>
          </w:tcPr>
          <w:p w14:paraId="06129F8B" w14:textId="5A5E9D30" w:rsidR="00200D03" w:rsidRPr="00646D82" w:rsidRDefault="00200D03" w:rsidP="000C0890">
            <w:pPr>
              <w:spacing w:line="276" w:lineRule="auto"/>
              <w:jc w:val="center"/>
              <w:rPr>
                <w:rFonts w:eastAsia="Calibri"/>
                <w:szCs w:val="22"/>
              </w:rPr>
            </w:pPr>
            <w:proofErr w:type="gramStart"/>
            <w:r w:rsidRPr="00646D82">
              <w:rPr>
                <w:rFonts w:eastAsia="Calibri"/>
                <w:szCs w:val="22"/>
              </w:rPr>
              <w:t xml:space="preserve">75 </w:t>
            </w:r>
            <w:r w:rsidR="00937B92" w:rsidRPr="00646D82">
              <w:rPr>
                <w:rFonts w:eastAsia="Calibri"/>
                <w:szCs w:val="22"/>
              </w:rPr>
              <w:t xml:space="preserve"> </w:t>
            </w:r>
            <w:r w:rsidR="000C0890" w:rsidRPr="00646D82">
              <w:rPr>
                <w:rFonts w:eastAsia="Calibri"/>
                <w:szCs w:val="22"/>
              </w:rPr>
              <w:t>(</w:t>
            </w:r>
            <w:proofErr w:type="gramEnd"/>
            <w:r w:rsidR="000C0890" w:rsidRPr="00646D82">
              <w:rPr>
                <w:rFonts w:eastAsia="Calibri"/>
                <w:szCs w:val="22"/>
              </w:rPr>
              <w:t>71%)</w:t>
            </w:r>
            <w:r w:rsidR="000C0890" w:rsidRPr="00646D82" w:rsidDel="000C0890">
              <w:rPr>
                <w:rFonts w:eastAsia="Calibri"/>
                <w:szCs w:val="22"/>
              </w:rPr>
              <w:t xml:space="preserve"> </w:t>
            </w:r>
          </w:p>
        </w:tc>
        <w:tc>
          <w:tcPr>
            <w:tcW w:w="1321" w:type="dxa"/>
            <w:shd w:val="clear" w:color="auto" w:fill="auto"/>
          </w:tcPr>
          <w:p w14:paraId="137F5E15" w14:textId="77777777" w:rsidR="00200D03" w:rsidRPr="00646D82" w:rsidRDefault="00200D03" w:rsidP="00200D03">
            <w:pPr>
              <w:rPr>
                <w:snapToGrid w:val="0"/>
                <w:szCs w:val="22"/>
              </w:rPr>
            </w:pPr>
            <w:r w:rsidRPr="00646D82">
              <w:rPr>
                <w:snapToGrid w:val="0"/>
                <w:szCs w:val="22"/>
              </w:rPr>
              <w:t>Q.4 ABS-CH CBD report</w:t>
            </w:r>
          </w:p>
          <w:p w14:paraId="18490327" w14:textId="77777777" w:rsidR="00200D03" w:rsidRPr="00646D82" w:rsidRDefault="00200D03" w:rsidP="00200D03">
            <w:pPr>
              <w:rPr>
                <w:snapToGrid w:val="0"/>
                <w:szCs w:val="22"/>
              </w:rPr>
            </w:pPr>
            <w:r w:rsidRPr="00646D82">
              <w:rPr>
                <w:snapToGrid w:val="0"/>
                <w:szCs w:val="22"/>
              </w:rPr>
              <w:t>NBSAP</w:t>
            </w:r>
          </w:p>
        </w:tc>
      </w:tr>
      <w:tr w:rsidR="00200D03" w:rsidRPr="00646D82" w14:paraId="3606A8DF" w14:textId="77777777" w:rsidTr="00EE1F78">
        <w:trPr>
          <w:jc w:val="center"/>
        </w:trPr>
        <w:tc>
          <w:tcPr>
            <w:tcW w:w="5552" w:type="dxa"/>
            <w:shd w:val="clear" w:color="auto" w:fill="auto"/>
          </w:tcPr>
          <w:p w14:paraId="1474E98C" w14:textId="77777777" w:rsidR="00200D03" w:rsidRPr="00646D82" w:rsidRDefault="00200D03" w:rsidP="001220DD">
            <w:pPr>
              <w:pStyle w:val="ListParagraph"/>
              <w:numPr>
                <w:ilvl w:val="0"/>
                <w:numId w:val="31"/>
              </w:numPr>
              <w:spacing w:before="120" w:after="120"/>
              <w:ind w:left="314"/>
              <w:rPr>
                <w:snapToGrid w:val="0"/>
                <w:szCs w:val="22"/>
              </w:rPr>
            </w:pPr>
            <w:r w:rsidRPr="00646D82">
              <w:rPr>
                <w:snapToGrid w:val="0"/>
                <w:szCs w:val="22"/>
              </w:rPr>
              <w:t>Number of Parties that have published information on legislative, administrative or policy measures on ABS in the ABS Clearing-House</w:t>
            </w:r>
          </w:p>
        </w:tc>
        <w:tc>
          <w:tcPr>
            <w:tcW w:w="1104" w:type="dxa"/>
            <w:shd w:val="clear" w:color="auto" w:fill="auto"/>
            <w:vAlign w:val="center"/>
          </w:tcPr>
          <w:p w14:paraId="6430555B" w14:textId="77777777" w:rsidR="00200D03" w:rsidRPr="00646D82" w:rsidRDefault="00155B0B" w:rsidP="00200D03">
            <w:pPr>
              <w:spacing w:line="276" w:lineRule="auto"/>
              <w:jc w:val="center"/>
              <w:rPr>
                <w:snapToGrid w:val="0"/>
                <w:szCs w:val="22"/>
              </w:rPr>
            </w:pPr>
            <w:r w:rsidRPr="00646D82">
              <w:rPr>
                <w:snapToGrid w:val="0"/>
                <w:szCs w:val="22"/>
              </w:rPr>
              <w:t xml:space="preserve"> </w:t>
            </w:r>
            <w:r w:rsidR="00200D03" w:rsidRPr="00646D82">
              <w:rPr>
                <w:snapToGrid w:val="0"/>
                <w:szCs w:val="22"/>
              </w:rPr>
              <w:t>(g)</w:t>
            </w:r>
          </w:p>
        </w:tc>
        <w:tc>
          <w:tcPr>
            <w:tcW w:w="1506" w:type="dxa"/>
            <w:shd w:val="clear" w:color="auto" w:fill="auto"/>
            <w:vAlign w:val="center"/>
          </w:tcPr>
          <w:p w14:paraId="2D47786C" w14:textId="60C6B571" w:rsidR="00200D03" w:rsidRPr="00646D82" w:rsidRDefault="00200D03" w:rsidP="00200D03">
            <w:pPr>
              <w:spacing w:line="276" w:lineRule="auto"/>
              <w:jc w:val="center"/>
              <w:rPr>
                <w:rFonts w:eastAsia="Calibri"/>
                <w:szCs w:val="22"/>
              </w:rPr>
            </w:pPr>
            <w:r w:rsidRPr="00646D82">
              <w:rPr>
                <w:rFonts w:eastAsia="Calibri"/>
                <w:szCs w:val="22"/>
              </w:rPr>
              <w:t xml:space="preserve">45 </w:t>
            </w:r>
            <w:r w:rsidR="000C0890" w:rsidRPr="00646D82">
              <w:rPr>
                <w:rFonts w:eastAsia="Calibri"/>
                <w:szCs w:val="22"/>
              </w:rPr>
              <w:t>(43%);</w:t>
            </w:r>
          </w:p>
          <w:p w14:paraId="29E3A472" w14:textId="77777777" w:rsidR="00200D03" w:rsidRPr="00646D82" w:rsidRDefault="00200D03" w:rsidP="00200D03">
            <w:pPr>
              <w:spacing w:line="276" w:lineRule="auto"/>
              <w:jc w:val="center"/>
              <w:rPr>
                <w:rFonts w:eastAsia="Calibri"/>
                <w:szCs w:val="22"/>
              </w:rPr>
            </w:pPr>
          </w:p>
        </w:tc>
        <w:tc>
          <w:tcPr>
            <w:tcW w:w="1321" w:type="dxa"/>
            <w:shd w:val="clear" w:color="auto" w:fill="auto"/>
          </w:tcPr>
          <w:p w14:paraId="1D2881C2" w14:textId="77777777" w:rsidR="00200D03" w:rsidRPr="00646D82" w:rsidRDefault="00200D03" w:rsidP="00200D03">
            <w:pPr>
              <w:spacing w:before="120" w:after="120"/>
              <w:rPr>
                <w:snapToGrid w:val="0"/>
                <w:szCs w:val="22"/>
              </w:rPr>
            </w:pPr>
            <w:r w:rsidRPr="00646D82">
              <w:rPr>
                <w:snapToGrid w:val="0"/>
                <w:szCs w:val="22"/>
              </w:rPr>
              <w:t>ABS-CH</w:t>
            </w:r>
          </w:p>
        </w:tc>
      </w:tr>
      <w:tr w:rsidR="00200D03" w:rsidRPr="00646D82" w14:paraId="6B0A7E46" w14:textId="77777777" w:rsidTr="00EE1F78">
        <w:trPr>
          <w:jc w:val="center"/>
        </w:trPr>
        <w:tc>
          <w:tcPr>
            <w:tcW w:w="5552" w:type="dxa"/>
            <w:shd w:val="clear" w:color="auto" w:fill="auto"/>
          </w:tcPr>
          <w:p w14:paraId="38895219" w14:textId="77777777" w:rsidR="00200D03" w:rsidRPr="00646D82" w:rsidRDefault="00200D03" w:rsidP="00616891">
            <w:pPr>
              <w:pStyle w:val="ListParagraph"/>
              <w:numPr>
                <w:ilvl w:val="0"/>
                <w:numId w:val="31"/>
              </w:numPr>
              <w:spacing w:before="120" w:after="120"/>
              <w:ind w:left="314"/>
              <w:rPr>
                <w:snapToGrid w:val="0"/>
                <w:szCs w:val="22"/>
              </w:rPr>
            </w:pPr>
            <w:r w:rsidRPr="00646D82">
              <w:rPr>
                <w:snapToGrid w:val="0"/>
                <w:szCs w:val="22"/>
              </w:rPr>
              <w:t>Number and percentage of Parties with national focal points on ABS</w:t>
            </w:r>
          </w:p>
        </w:tc>
        <w:tc>
          <w:tcPr>
            <w:tcW w:w="1104" w:type="dxa"/>
            <w:shd w:val="clear" w:color="auto" w:fill="auto"/>
            <w:vAlign w:val="center"/>
          </w:tcPr>
          <w:p w14:paraId="071F4FD1" w14:textId="77777777" w:rsidR="00200D03" w:rsidRPr="00646D82" w:rsidRDefault="00200D03" w:rsidP="00200D03">
            <w:pPr>
              <w:spacing w:line="276" w:lineRule="auto"/>
              <w:jc w:val="center"/>
              <w:rPr>
                <w:rFonts w:eastAsia="Calibri"/>
                <w:szCs w:val="22"/>
              </w:rPr>
            </w:pPr>
            <w:r w:rsidRPr="00646D82">
              <w:rPr>
                <w:snapToGrid w:val="0"/>
                <w:szCs w:val="22"/>
              </w:rPr>
              <w:t>(a)</w:t>
            </w:r>
          </w:p>
        </w:tc>
        <w:tc>
          <w:tcPr>
            <w:tcW w:w="1506" w:type="dxa"/>
            <w:shd w:val="clear" w:color="auto" w:fill="auto"/>
            <w:vAlign w:val="center"/>
          </w:tcPr>
          <w:p w14:paraId="5745CA62" w14:textId="421B30D9" w:rsidR="00200D03" w:rsidRPr="00646D82" w:rsidRDefault="00200D03" w:rsidP="001F04D0">
            <w:pPr>
              <w:spacing w:line="276" w:lineRule="auto"/>
              <w:jc w:val="center"/>
              <w:rPr>
                <w:rFonts w:eastAsia="Calibri"/>
                <w:szCs w:val="22"/>
              </w:rPr>
            </w:pPr>
            <w:r w:rsidRPr="00646D82">
              <w:rPr>
                <w:rFonts w:eastAsia="Calibri"/>
                <w:szCs w:val="22"/>
              </w:rPr>
              <w:t xml:space="preserve">103 </w:t>
            </w:r>
            <w:r w:rsidR="000C0890" w:rsidRPr="00646D82">
              <w:rPr>
                <w:rFonts w:eastAsia="Calibri"/>
                <w:szCs w:val="22"/>
              </w:rPr>
              <w:t>(98%)</w:t>
            </w:r>
          </w:p>
        </w:tc>
        <w:tc>
          <w:tcPr>
            <w:tcW w:w="1321" w:type="dxa"/>
            <w:shd w:val="clear" w:color="auto" w:fill="auto"/>
          </w:tcPr>
          <w:p w14:paraId="2B71FA0E" w14:textId="77777777" w:rsidR="00200D03" w:rsidRPr="00646D82" w:rsidRDefault="00200D03" w:rsidP="00200D03">
            <w:pPr>
              <w:rPr>
                <w:snapToGrid w:val="0"/>
                <w:szCs w:val="22"/>
              </w:rPr>
            </w:pPr>
            <w:r w:rsidRPr="00646D82">
              <w:rPr>
                <w:snapToGrid w:val="0"/>
                <w:szCs w:val="22"/>
              </w:rPr>
              <w:t xml:space="preserve">Q.5 ABS-CH </w:t>
            </w:r>
          </w:p>
          <w:p w14:paraId="4E92A681" w14:textId="77777777" w:rsidR="00200D03" w:rsidRPr="00646D82" w:rsidRDefault="00200D03" w:rsidP="00200D03">
            <w:pPr>
              <w:rPr>
                <w:snapToGrid w:val="0"/>
                <w:szCs w:val="22"/>
              </w:rPr>
            </w:pPr>
          </w:p>
        </w:tc>
      </w:tr>
      <w:tr w:rsidR="00200D03" w:rsidRPr="00646D82" w14:paraId="7E04106F" w14:textId="77777777" w:rsidTr="00EE1F78">
        <w:trPr>
          <w:jc w:val="center"/>
        </w:trPr>
        <w:tc>
          <w:tcPr>
            <w:tcW w:w="5552" w:type="dxa"/>
            <w:shd w:val="clear" w:color="auto" w:fill="auto"/>
          </w:tcPr>
          <w:p w14:paraId="0C9B345A" w14:textId="77777777" w:rsidR="00200D03" w:rsidRPr="00646D82" w:rsidRDefault="00200D03" w:rsidP="00616891">
            <w:pPr>
              <w:pStyle w:val="ListParagraph"/>
              <w:numPr>
                <w:ilvl w:val="0"/>
                <w:numId w:val="31"/>
              </w:numPr>
              <w:spacing w:before="120" w:after="120"/>
              <w:ind w:left="314"/>
              <w:rPr>
                <w:snapToGrid w:val="0"/>
                <w:szCs w:val="22"/>
              </w:rPr>
            </w:pPr>
            <w:r w:rsidRPr="00646D82">
              <w:rPr>
                <w:snapToGrid w:val="0"/>
                <w:szCs w:val="22"/>
              </w:rPr>
              <w:t>Number and percentage of Parties with one or more competent national authorities</w:t>
            </w:r>
          </w:p>
        </w:tc>
        <w:tc>
          <w:tcPr>
            <w:tcW w:w="1104" w:type="dxa"/>
            <w:shd w:val="clear" w:color="auto" w:fill="auto"/>
            <w:vAlign w:val="center"/>
          </w:tcPr>
          <w:p w14:paraId="393409FB" w14:textId="77777777" w:rsidR="00200D03" w:rsidRPr="00646D82" w:rsidRDefault="00200D03" w:rsidP="00200D03">
            <w:pPr>
              <w:spacing w:line="276" w:lineRule="auto"/>
              <w:jc w:val="center"/>
              <w:rPr>
                <w:rFonts w:eastAsia="Calibri"/>
                <w:szCs w:val="22"/>
              </w:rPr>
            </w:pPr>
            <w:r w:rsidRPr="00646D82">
              <w:rPr>
                <w:snapToGrid w:val="0"/>
                <w:szCs w:val="22"/>
              </w:rPr>
              <w:t>(a)</w:t>
            </w:r>
          </w:p>
        </w:tc>
        <w:tc>
          <w:tcPr>
            <w:tcW w:w="1506" w:type="dxa"/>
            <w:shd w:val="clear" w:color="auto" w:fill="auto"/>
            <w:vAlign w:val="center"/>
          </w:tcPr>
          <w:p w14:paraId="1C6FBF3F" w14:textId="51E4D749" w:rsidR="00200D03" w:rsidRPr="00646D82" w:rsidRDefault="00200D03" w:rsidP="001F04D0">
            <w:pPr>
              <w:spacing w:line="276" w:lineRule="auto"/>
              <w:jc w:val="center"/>
              <w:rPr>
                <w:rFonts w:eastAsia="Calibri"/>
                <w:szCs w:val="22"/>
              </w:rPr>
            </w:pPr>
            <w:r w:rsidRPr="00646D82">
              <w:rPr>
                <w:rFonts w:eastAsia="Calibri"/>
                <w:szCs w:val="22"/>
              </w:rPr>
              <w:t xml:space="preserve">57 </w:t>
            </w:r>
            <w:r w:rsidR="000C0890" w:rsidRPr="00646D82">
              <w:rPr>
                <w:rFonts w:eastAsia="Calibri"/>
                <w:szCs w:val="22"/>
              </w:rPr>
              <w:t>(54%)</w:t>
            </w:r>
          </w:p>
        </w:tc>
        <w:tc>
          <w:tcPr>
            <w:tcW w:w="1321" w:type="dxa"/>
            <w:shd w:val="clear" w:color="auto" w:fill="auto"/>
          </w:tcPr>
          <w:p w14:paraId="06089E4B" w14:textId="77777777" w:rsidR="00200D03" w:rsidRPr="00646D82" w:rsidRDefault="00200D03" w:rsidP="00200D03">
            <w:pPr>
              <w:rPr>
                <w:snapToGrid w:val="0"/>
                <w:szCs w:val="22"/>
              </w:rPr>
            </w:pPr>
            <w:r w:rsidRPr="00646D82">
              <w:rPr>
                <w:snapToGrid w:val="0"/>
                <w:szCs w:val="22"/>
              </w:rPr>
              <w:t>Q.6 ABS-CH CBD report</w:t>
            </w:r>
          </w:p>
          <w:p w14:paraId="13AD64E3" w14:textId="77777777" w:rsidR="00200D03" w:rsidRPr="00646D82" w:rsidRDefault="00200D03" w:rsidP="00200D03">
            <w:pPr>
              <w:rPr>
                <w:snapToGrid w:val="0"/>
                <w:szCs w:val="22"/>
              </w:rPr>
            </w:pPr>
            <w:r w:rsidRPr="00646D82">
              <w:rPr>
                <w:snapToGrid w:val="0"/>
                <w:szCs w:val="22"/>
              </w:rPr>
              <w:t>NBSAP</w:t>
            </w:r>
          </w:p>
        </w:tc>
      </w:tr>
      <w:tr w:rsidR="00200D03" w:rsidRPr="00646D82" w14:paraId="6D8C0AFD" w14:textId="77777777" w:rsidTr="00EE1F78">
        <w:trPr>
          <w:jc w:val="center"/>
        </w:trPr>
        <w:tc>
          <w:tcPr>
            <w:tcW w:w="5552" w:type="dxa"/>
            <w:shd w:val="clear" w:color="auto" w:fill="auto"/>
          </w:tcPr>
          <w:p w14:paraId="7CF76676" w14:textId="77777777" w:rsidR="00200D03" w:rsidRPr="00646D82" w:rsidRDefault="00200D03" w:rsidP="001220DD">
            <w:pPr>
              <w:pStyle w:val="ListParagraph"/>
              <w:numPr>
                <w:ilvl w:val="0"/>
                <w:numId w:val="31"/>
              </w:numPr>
              <w:spacing w:before="120" w:after="120"/>
              <w:ind w:left="314"/>
              <w:rPr>
                <w:snapToGrid w:val="0"/>
                <w:szCs w:val="22"/>
              </w:rPr>
            </w:pPr>
            <w:r w:rsidRPr="00646D82">
              <w:rPr>
                <w:snapToGrid w:val="0"/>
                <w:szCs w:val="22"/>
              </w:rPr>
              <w:t>Number and percentage of Parties that have published information on competent national authorities</w:t>
            </w:r>
            <w:r w:rsidRPr="00646D82">
              <w:rPr>
                <w:rFonts w:eastAsia="Calibri"/>
                <w:szCs w:val="22"/>
              </w:rPr>
              <w:t xml:space="preserve"> </w:t>
            </w:r>
            <w:r w:rsidRPr="00646D82">
              <w:rPr>
                <w:snapToGrid w:val="0"/>
                <w:szCs w:val="22"/>
              </w:rPr>
              <w:t>in the ABS Clearing-House</w:t>
            </w:r>
            <w:r w:rsidRPr="00646D82">
              <w:rPr>
                <w:snapToGrid w:val="0"/>
                <w:szCs w:val="22"/>
              </w:rPr>
              <w:tab/>
            </w:r>
            <w:r w:rsidRPr="00646D82">
              <w:rPr>
                <w:snapToGrid w:val="0"/>
                <w:szCs w:val="22"/>
              </w:rPr>
              <w:tab/>
            </w:r>
          </w:p>
        </w:tc>
        <w:tc>
          <w:tcPr>
            <w:tcW w:w="1104" w:type="dxa"/>
            <w:shd w:val="clear" w:color="auto" w:fill="auto"/>
            <w:vAlign w:val="center"/>
          </w:tcPr>
          <w:p w14:paraId="3A22ABB0" w14:textId="77777777" w:rsidR="00200D03" w:rsidRPr="00646D82" w:rsidRDefault="00200D03" w:rsidP="00200D03">
            <w:pPr>
              <w:spacing w:line="276" w:lineRule="auto"/>
              <w:jc w:val="center"/>
              <w:rPr>
                <w:snapToGrid w:val="0"/>
                <w:szCs w:val="22"/>
              </w:rPr>
            </w:pPr>
            <w:r w:rsidRPr="00646D82">
              <w:rPr>
                <w:snapToGrid w:val="0"/>
                <w:szCs w:val="22"/>
              </w:rPr>
              <w:t>(g)</w:t>
            </w:r>
          </w:p>
        </w:tc>
        <w:tc>
          <w:tcPr>
            <w:tcW w:w="1506" w:type="dxa"/>
            <w:shd w:val="clear" w:color="auto" w:fill="auto"/>
            <w:vAlign w:val="center"/>
          </w:tcPr>
          <w:p w14:paraId="5F214B4A" w14:textId="2A0C61D6" w:rsidR="00200D03" w:rsidRPr="00646D82" w:rsidRDefault="00200D03" w:rsidP="00200D03">
            <w:pPr>
              <w:spacing w:line="276" w:lineRule="auto"/>
              <w:jc w:val="center"/>
              <w:rPr>
                <w:rFonts w:eastAsia="Calibri"/>
                <w:szCs w:val="22"/>
              </w:rPr>
            </w:pPr>
            <w:r w:rsidRPr="00646D82">
              <w:rPr>
                <w:rFonts w:eastAsia="Calibri"/>
                <w:szCs w:val="22"/>
              </w:rPr>
              <w:t xml:space="preserve">45 </w:t>
            </w:r>
            <w:r w:rsidR="000C0890" w:rsidRPr="00646D82">
              <w:rPr>
                <w:rFonts w:eastAsia="Calibri"/>
                <w:szCs w:val="22"/>
              </w:rPr>
              <w:t>(43%);</w:t>
            </w:r>
          </w:p>
          <w:p w14:paraId="1B52333F" w14:textId="77777777" w:rsidR="00200D03" w:rsidRPr="00646D82" w:rsidRDefault="00200D03" w:rsidP="00200D03">
            <w:pPr>
              <w:spacing w:line="276" w:lineRule="auto"/>
              <w:jc w:val="center"/>
              <w:rPr>
                <w:rFonts w:eastAsia="Calibri"/>
                <w:szCs w:val="22"/>
              </w:rPr>
            </w:pPr>
          </w:p>
        </w:tc>
        <w:tc>
          <w:tcPr>
            <w:tcW w:w="1321" w:type="dxa"/>
            <w:shd w:val="clear" w:color="auto" w:fill="auto"/>
          </w:tcPr>
          <w:p w14:paraId="3B84B7CD" w14:textId="77777777" w:rsidR="00200D03" w:rsidRPr="00646D82" w:rsidRDefault="00200D03" w:rsidP="00200D03">
            <w:pPr>
              <w:rPr>
                <w:snapToGrid w:val="0"/>
                <w:szCs w:val="22"/>
              </w:rPr>
            </w:pPr>
            <w:r w:rsidRPr="00646D82">
              <w:rPr>
                <w:snapToGrid w:val="0"/>
                <w:szCs w:val="22"/>
              </w:rPr>
              <w:t>ABS-CH</w:t>
            </w:r>
          </w:p>
        </w:tc>
      </w:tr>
      <w:tr w:rsidR="00200D03" w:rsidRPr="00646D82" w14:paraId="72FEE7A3" w14:textId="77777777" w:rsidTr="00EE1F78">
        <w:trPr>
          <w:jc w:val="center"/>
        </w:trPr>
        <w:tc>
          <w:tcPr>
            <w:tcW w:w="5552" w:type="dxa"/>
            <w:shd w:val="clear" w:color="auto" w:fill="auto"/>
          </w:tcPr>
          <w:p w14:paraId="308E6BBF" w14:textId="04E8E5E2" w:rsidR="00200D03" w:rsidRPr="00646D82" w:rsidRDefault="007C500E" w:rsidP="00616891">
            <w:pPr>
              <w:pStyle w:val="ListParagraph"/>
              <w:numPr>
                <w:ilvl w:val="0"/>
                <w:numId w:val="31"/>
              </w:numPr>
              <w:spacing w:before="120" w:after="120"/>
              <w:ind w:left="314"/>
              <w:rPr>
                <w:rFonts w:eastAsia="Calibri"/>
                <w:snapToGrid w:val="0"/>
                <w:color w:val="000000"/>
                <w:kern w:val="22"/>
                <w:szCs w:val="22"/>
                <w:u w:color="000000"/>
              </w:rPr>
            </w:pPr>
            <w:r w:rsidRPr="00646D82">
              <w:rPr>
                <w:rFonts w:eastAsia="Calibri"/>
                <w:i/>
                <w:snapToGrid w:val="0"/>
                <w:color w:val="000000"/>
                <w:kern w:val="22"/>
                <w:szCs w:val="22"/>
                <w:u w:color="000000"/>
              </w:rPr>
              <w:t>New:</w:t>
            </w:r>
            <w:r w:rsidRPr="00646D82">
              <w:rPr>
                <w:rFonts w:eastAsia="Calibri"/>
                <w:snapToGrid w:val="0"/>
                <w:color w:val="000000"/>
                <w:kern w:val="22"/>
                <w:szCs w:val="22"/>
                <w:u w:color="000000"/>
              </w:rPr>
              <w:t xml:space="preserve"> </w:t>
            </w:r>
            <w:r w:rsidR="00200D03" w:rsidRPr="00646D82">
              <w:rPr>
                <w:rFonts w:eastAsia="Calibri"/>
                <w:snapToGrid w:val="0"/>
                <w:color w:val="000000"/>
                <w:kern w:val="22"/>
                <w:szCs w:val="22"/>
                <w:u w:color="000000"/>
              </w:rPr>
              <w:t xml:space="preserve">Number and percentage of Parties that have issued </w:t>
            </w:r>
            <w:r w:rsidR="00200D03" w:rsidRPr="00646D82">
              <w:rPr>
                <w:rFonts w:eastAsia="SimSun"/>
                <w:kern w:val="22"/>
                <w:szCs w:val="22"/>
              </w:rPr>
              <w:t xml:space="preserve">permits or their equivalents </w:t>
            </w:r>
          </w:p>
        </w:tc>
        <w:tc>
          <w:tcPr>
            <w:tcW w:w="1104" w:type="dxa"/>
            <w:shd w:val="clear" w:color="auto" w:fill="auto"/>
            <w:vAlign w:val="center"/>
          </w:tcPr>
          <w:p w14:paraId="62C83E26" w14:textId="77777777" w:rsidR="00200D03" w:rsidRPr="00646D82" w:rsidRDefault="00200D03" w:rsidP="00200D03">
            <w:pPr>
              <w:spacing w:line="276" w:lineRule="auto"/>
              <w:jc w:val="center"/>
              <w:rPr>
                <w:rFonts w:eastAsia="Calibri"/>
                <w:szCs w:val="22"/>
              </w:rPr>
            </w:pPr>
            <w:r w:rsidRPr="00646D82">
              <w:rPr>
                <w:snapToGrid w:val="0"/>
                <w:szCs w:val="22"/>
              </w:rPr>
              <w:t>(a)</w:t>
            </w:r>
          </w:p>
          <w:p w14:paraId="370527C0" w14:textId="77777777" w:rsidR="00200D03" w:rsidRPr="00646D82" w:rsidRDefault="00200D03" w:rsidP="00200D03">
            <w:pPr>
              <w:spacing w:line="276" w:lineRule="auto"/>
              <w:jc w:val="center"/>
              <w:rPr>
                <w:rFonts w:eastAsia="Calibri"/>
                <w:szCs w:val="22"/>
              </w:rPr>
            </w:pPr>
          </w:p>
        </w:tc>
        <w:tc>
          <w:tcPr>
            <w:tcW w:w="1506" w:type="dxa"/>
            <w:shd w:val="clear" w:color="auto" w:fill="auto"/>
            <w:vAlign w:val="center"/>
          </w:tcPr>
          <w:p w14:paraId="5BD2B276" w14:textId="5543A5A4" w:rsidR="00200D03" w:rsidRPr="00646D82" w:rsidRDefault="00E86184" w:rsidP="00200D03">
            <w:pPr>
              <w:spacing w:line="276" w:lineRule="auto"/>
              <w:jc w:val="center"/>
              <w:rPr>
                <w:rFonts w:eastAsia="Calibri"/>
                <w:szCs w:val="22"/>
              </w:rPr>
            </w:pPr>
            <w:r w:rsidRPr="00646D82">
              <w:rPr>
                <w:rFonts w:eastAsia="Calibri"/>
                <w:szCs w:val="22"/>
              </w:rPr>
              <w:t>1</w:t>
            </w:r>
            <w:r w:rsidR="00910A40" w:rsidRPr="00646D82">
              <w:rPr>
                <w:rFonts w:eastAsia="Calibri"/>
                <w:szCs w:val="22"/>
              </w:rPr>
              <w:t>9</w:t>
            </w:r>
          </w:p>
        </w:tc>
        <w:tc>
          <w:tcPr>
            <w:tcW w:w="1321" w:type="dxa"/>
            <w:shd w:val="clear" w:color="auto" w:fill="auto"/>
          </w:tcPr>
          <w:p w14:paraId="3D153E2C" w14:textId="7AC121AF" w:rsidR="00200D03" w:rsidRPr="00646D82" w:rsidRDefault="00937B92" w:rsidP="00200D03">
            <w:pPr>
              <w:spacing w:before="120" w:after="120"/>
              <w:rPr>
                <w:rFonts w:eastAsia="Calibri"/>
                <w:snapToGrid w:val="0"/>
                <w:color w:val="000000"/>
                <w:kern w:val="22"/>
                <w:szCs w:val="22"/>
                <w:u w:color="000000"/>
              </w:rPr>
            </w:pPr>
            <w:r w:rsidRPr="00646D82">
              <w:rPr>
                <w:rFonts w:eastAsia="Calibri"/>
                <w:snapToGrid w:val="0"/>
                <w:color w:val="000000"/>
                <w:kern w:val="22"/>
                <w:szCs w:val="22"/>
                <w:u w:color="000000"/>
              </w:rPr>
              <w:t xml:space="preserve">NR format </w:t>
            </w:r>
            <w:r w:rsidR="00E86184" w:rsidRPr="00646D82">
              <w:rPr>
                <w:rFonts w:eastAsia="Calibri"/>
                <w:snapToGrid w:val="0"/>
                <w:color w:val="000000"/>
                <w:kern w:val="22"/>
                <w:szCs w:val="22"/>
                <w:u w:color="000000"/>
              </w:rPr>
              <w:t>requires revision</w:t>
            </w:r>
          </w:p>
        </w:tc>
      </w:tr>
      <w:tr w:rsidR="00200D03" w:rsidRPr="00646D82" w14:paraId="2873393A" w14:textId="77777777" w:rsidTr="00EE1F78">
        <w:trPr>
          <w:jc w:val="center"/>
        </w:trPr>
        <w:tc>
          <w:tcPr>
            <w:tcW w:w="5552" w:type="dxa"/>
            <w:shd w:val="clear" w:color="auto" w:fill="auto"/>
          </w:tcPr>
          <w:p w14:paraId="38094742" w14:textId="77777777" w:rsidR="00200D03" w:rsidRPr="00646D82" w:rsidRDefault="00200D03" w:rsidP="00616891">
            <w:pPr>
              <w:pStyle w:val="ListParagraph"/>
              <w:numPr>
                <w:ilvl w:val="0"/>
                <w:numId w:val="31"/>
              </w:numPr>
              <w:spacing w:before="120" w:after="120"/>
              <w:ind w:left="314"/>
              <w:rPr>
                <w:rFonts w:eastAsia="Calibri"/>
                <w:snapToGrid w:val="0"/>
                <w:color w:val="000000"/>
                <w:kern w:val="22"/>
                <w:szCs w:val="22"/>
                <w:u w:color="000000"/>
              </w:rPr>
            </w:pPr>
            <w:r w:rsidRPr="00646D82">
              <w:rPr>
                <w:rFonts w:eastAsia="Calibri"/>
                <w:snapToGrid w:val="0"/>
                <w:color w:val="000000"/>
                <w:kern w:val="22"/>
                <w:szCs w:val="22"/>
                <w:u w:color="000000"/>
              </w:rPr>
              <w:t>Number and percentage of Parties that have published internationally recognised certificates of compliance (IRCC) in the ABS Clearing-House</w:t>
            </w:r>
          </w:p>
        </w:tc>
        <w:tc>
          <w:tcPr>
            <w:tcW w:w="1104" w:type="dxa"/>
            <w:shd w:val="clear" w:color="auto" w:fill="auto"/>
            <w:vAlign w:val="center"/>
          </w:tcPr>
          <w:p w14:paraId="56FF904F" w14:textId="77777777" w:rsidR="00200D03" w:rsidRPr="00646D82" w:rsidRDefault="00200D03" w:rsidP="00200D03">
            <w:pPr>
              <w:spacing w:line="276" w:lineRule="auto"/>
              <w:jc w:val="center"/>
              <w:rPr>
                <w:rFonts w:eastAsia="Calibri"/>
                <w:szCs w:val="22"/>
              </w:rPr>
            </w:pPr>
            <w:r w:rsidRPr="00646D82">
              <w:rPr>
                <w:snapToGrid w:val="0"/>
                <w:szCs w:val="22"/>
              </w:rPr>
              <w:t>(b) (g)</w:t>
            </w:r>
          </w:p>
        </w:tc>
        <w:tc>
          <w:tcPr>
            <w:tcW w:w="1506" w:type="dxa"/>
            <w:shd w:val="clear" w:color="auto" w:fill="auto"/>
            <w:vAlign w:val="center"/>
          </w:tcPr>
          <w:p w14:paraId="254FFEAB" w14:textId="3B3CE068" w:rsidR="00200D03" w:rsidRPr="00646D82" w:rsidRDefault="00200D03" w:rsidP="001F04D0">
            <w:pPr>
              <w:spacing w:line="276" w:lineRule="auto"/>
              <w:jc w:val="center"/>
              <w:rPr>
                <w:rFonts w:eastAsia="Calibri"/>
                <w:szCs w:val="22"/>
              </w:rPr>
            </w:pPr>
            <w:r w:rsidRPr="00646D82">
              <w:rPr>
                <w:rFonts w:eastAsia="Calibri"/>
                <w:szCs w:val="22"/>
              </w:rPr>
              <w:t xml:space="preserve">12 </w:t>
            </w:r>
            <w:r w:rsidR="000C0890" w:rsidRPr="00646D82">
              <w:rPr>
                <w:rFonts w:eastAsia="Calibri"/>
                <w:szCs w:val="22"/>
              </w:rPr>
              <w:t>(11%)</w:t>
            </w:r>
          </w:p>
        </w:tc>
        <w:tc>
          <w:tcPr>
            <w:tcW w:w="1321" w:type="dxa"/>
            <w:shd w:val="clear" w:color="auto" w:fill="auto"/>
          </w:tcPr>
          <w:p w14:paraId="08E9A30B" w14:textId="77777777" w:rsidR="00200D03" w:rsidRPr="00646D82" w:rsidRDefault="00200D03" w:rsidP="00200D03">
            <w:pPr>
              <w:rPr>
                <w:rFonts w:eastAsia="Calibri"/>
                <w:snapToGrid w:val="0"/>
                <w:color w:val="000000"/>
                <w:kern w:val="22"/>
                <w:szCs w:val="22"/>
                <w:u w:color="000000"/>
              </w:rPr>
            </w:pPr>
            <w:r w:rsidRPr="00646D82">
              <w:rPr>
                <w:rFonts w:eastAsia="Calibri"/>
                <w:snapToGrid w:val="0"/>
                <w:color w:val="000000"/>
                <w:kern w:val="22"/>
                <w:szCs w:val="22"/>
                <w:u w:color="000000"/>
              </w:rPr>
              <w:t xml:space="preserve">Q.7, 8,16 </w:t>
            </w:r>
          </w:p>
          <w:p w14:paraId="062083F6" w14:textId="77777777" w:rsidR="00200D03" w:rsidRPr="00646D82" w:rsidRDefault="00200D03" w:rsidP="00200D03">
            <w:pPr>
              <w:rPr>
                <w:rFonts w:eastAsia="Calibri"/>
                <w:snapToGrid w:val="0"/>
                <w:color w:val="000000"/>
                <w:kern w:val="22"/>
                <w:szCs w:val="22"/>
                <w:u w:color="000000"/>
              </w:rPr>
            </w:pPr>
            <w:r w:rsidRPr="00646D82">
              <w:rPr>
                <w:rFonts w:eastAsia="Calibri"/>
                <w:snapToGrid w:val="0"/>
                <w:color w:val="000000"/>
                <w:kern w:val="22"/>
                <w:szCs w:val="22"/>
                <w:u w:color="000000"/>
              </w:rPr>
              <w:t>ABS-CH</w:t>
            </w:r>
          </w:p>
        </w:tc>
      </w:tr>
      <w:tr w:rsidR="00200D03" w:rsidRPr="00646D82" w14:paraId="6AB71A44" w14:textId="77777777" w:rsidTr="00EE1F78">
        <w:trPr>
          <w:jc w:val="center"/>
        </w:trPr>
        <w:tc>
          <w:tcPr>
            <w:tcW w:w="5552" w:type="dxa"/>
            <w:shd w:val="clear" w:color="auto" w:fill="auto"/>
          </w:tcPr>
          <w:p w14:paraId="67673D23"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SimSun"/>
                <w:kern w:val="22"/>
                <w:szCs w:val="22"/>
              </w:rPr>
              <w:t>Number of IRCC available in the ABS Clearing-House</w:t>
            </w:r>
          </w:p>
        </w:tc>
        <w:tc>
          <w:tcPr>
            <w:tcW w:w="1104" w:type="dxa"/>
            <w:shd w:val="clear" w:color="auto" w:fill="auto"/>
            <w:vAlign w:val="center"/>
          </w:tcPr>
          <w:p w14:paraId="7EA14419" w14:textId="77777777" w:rsidR="00200D03" w:rsidRPr="00646D82" w:rsidRDefault="00155B0B" w:rsidP="00200D03">
            <w:pPr>
              <w:spacing w:line="276" w:lineRule="auto"/>
              <w:jc w:val="center"/>
              <w:rPr>
                <w:rFonts w:eastAsia="Calibri"/>
                <w:szCs w:val="22"/>
              </w:rPr>
            </w:pPr>
            <w:r w:rsidRPr="00646D82">
              <w:rPr>
                <w:snapToGrid w:val="0"/>
                <w:szCs w:val="22"/>
              </w:rPr>
              <w:t>(g)</w:t>
            </w:r>
          </w:p>
        </w:tc>
        <w:tc>
          <w:tcPr>
            <w:tcW w:w="1506" w:type="dxa"/>
            <w:shd w:val="clear" w:color="auto" w:fill="auto"/>
            <w:vAlign w:val="center"/>
          </w:tcPr>
          <w:p w14:paraId="0BBE71DD" w14:textId="77777777" w:rsidR="00200D03" w:rsidRPr="00646D82" w:rsidRDefault="00200D03" w:rsidP="00200D03">
            <w:pPr>
              <w:spacing w:line="276" w:lineRule="auto"/>
              <w:jc w:val="center"/>
              <w:rPr>
                <w:rFonts w:eastAsia="Calibri"/>
                <w:szCs w:val="22"/>
              </w:rPr>
            </w:pPr>
            <w:r w:rsidRPr="00646D82">
              <w:rPr>
                <w:rFonts w:eastAsia="Calibri"/>
                <w:szCs w:val="22"/>
              </w:rPr>
              <w:t>146</w:t>
            </w:r>
          </w:p>
        </w:tc>
        <w:tc>
          <w:tcPr>
            <w:tcW w:w="1321" w:type="dxa"/>
            <w:shd w:val="clear" w:color="auto" w:fill="auto"/>
          </w:tcPr>
          <w:p w14:paraId="2422EBA7" w14:textId="77777777" w:rsidR="00200D03" w:rsidRPr="00646D82" w:rsidRDefault="00200D03" w:rsidP="00200D03">
            <w:pPr>
              <w:spacing w:before="120" w:after="120"/>
              <w:rPr>
                <w:rFonts w:eastAsia="SimSun"/>
                <w:kern w:val="22"/>
                <w:szCs w:val="22"/>
              </w:rPr>
            </w:pPr>
            <w:r w:rsidRPr="00646D82">
              <w:rPr>
                <w:rFonts w:eastAsia="SimSun"/>
                <w:kern w:val="22"/>
                <w:szCs w:val="22"/>
              </w:rPr>
              <w:t>ABS-CH</w:t>
            </w:r>
          </w:p>
        </w:tc>
      </w:tr>
      <w:tr w:rsidR="00200D03" w:rsidRPr="00646D82" w14:paraId="1E92CF41" w14:textId="77777777" w:rsidTr="00EE1F78">
        <w:trPr>
          <w:jc w:val="center"/>
        </w:trPr>
        <w:tc>
          <w:tcPr>
            <w:tcW w:w="5552" w:type="dxa"/>
            <w:shd w:val="clear" w:color="auto" w:fill="auto"/>
          </w:tcPr>
          <w:p w14:paraId="0D77902D" w14:textId="77777777" w:rsidR="00200D03" w:rsidRPr="00646D82" w:rsidRDefault="00200D03" w:rsidP="00616891">
            <w:pPr>
              <w:pStyle w:val="ListParagraph"/>
              <w:numPr>
                <w:ilvl w:val="0"/>
                <w:numId w:val="31"/>
              </w:numPr>
              <w:spacing w:before="120" w:after="120"/>
              <w:ind w:left="314"/>
              <w:rPr>
                <w:snapToGrid w:val="0"/>
                <w:szCs w:val="22"/>
              </w:rPr>
            </w:pPr>
            <w:r w:rsidRPr="00646D82">
              <w:rPr>
                <w:snapToGrid w:val="0"/>
                <w:szCs w:val="22"/>
              </w:rPr>
              <w:t>Number and percentage of Parties with one or more checkpoints</w:t>
            </w:r>
            <w:r w:rsidRPr="00646D82">
              <w:rPr>
                <w:rFonts w:eastAsia="Calibri"/>
                <w:szCs w:val="22"/>
              </w:rPr>
              <w:t xml:space="preserve"> </w:t>
            </w:r>
          </w:p>
        </w:tc>
        <w:tc>
          <w:tcPr>
            <w:tcW w:w="1104" w:type="dxa"/>
            <w:shd w:val="clear" w:color="auto" w:fill="auto"/>
            <w:vAlign w:val="center"/>
          </w:tcPr>
          <w:p w14:paraId="3EE2D049" w14:textId="77777777" w:rsidR="00200D03" w:rsidRPr="00646D82" w:rsidRDefault="00200D03" w:rsidP="00200D03">
            <w:pPr>
              <w:spacing w:line="276" w:lineRule="auto"/>
              <w:jc w:val="center"/>
              <w:rPr>
                <w:rFonts w:eastAsia="Calibri"/>
                <w:szCs w:val="22"/>
              </w:rPr>
            </w:pPr>
            <w:r w:rsidRPr="00646D82">
              <w:rPr>
                <w:snapToGrid w:val="0"/>
                <w:szCs w:val="22"/>
              </w:rPr>
              <w:t>(a)</w:t>
            </w:r>
          </w:p>
        </w:tc>
        <w:tc>
          <w:tcPr>
            <w:tcW w:w="1506" w:type="dxa"/>
            <w:shd w:val="clear" w:color="auto" w:fill="auto"/>
            <w:vAlign w:val="center"/>
          </w:tcPr>
          <w:p w14:paraId="1E5D545E" w14:textId="7A39E0EF" w:rsidR="00200D03" w:rsidRPr="00646D82" w:rsidRDefault="00665523" w:rsidP="001F04D0">
            <w:pPr>
              <w:spacing w:line="276" w:lineRule="auto"/>
              <w:jc w:val="center"/>
              <w:rPr>
                <w:rFonts w:eastAsia="Calibri"/>
                <w:szCs w:val="22"/>
              </w:rPr>
            </w:pPr>
            <w:r w:rsidRPr="00646D82">
              <w:rPr>
                <w:rFonts w:eastAsia="Calibri"/>
                <w:szCs w:val="22"/>
              </w:rPr>
              <w:t xml:space="preserve">29 </w:t>
            </w:r>
            <w:r w:rsidR="000C0890" w:rsidRPr="00646D82">
              <w:rPr>
                <w:rFonts w:eastAsia="Calibri"/>
                <w:szCs w:val="22"/>
              </w:rPr>
              <w:t>(27%)</w:t>
            </w:r>
          </w:p>
        </w:tc>
        <w:tc>
          <w:tcPr>
            <w:tcW w:w="1321" w:type="dxa"/>
            <w:shd w:val="clear" w:color="auto" w:fill="auto"/>
          </w:tcPr>
          <w:p w14:paraId="7D7A5770" w14:textId="77777777" w:rsidR="00200D03" w:rsidRPr="00646D82" w:rsidRDefault="00200D03" w:rsidP="00200D03">
            <w:pPr>
              <w:rPr>
                <w:snapToGrid w:val="0"/>
                <w:szCs w:val="22"/>
              </w:rPr>
            </w:pPr>
            <w:r w:rsidRPr="00646D82">
              <w:rPr>
                <w:snapToGrid w:val="0"/>
                <w:szCs w:val="22"/>
              </w:rPr>
              <w:t>Q.9 ABS-CH CBD report</w:t>
            </w:r>
          </w:p>
          <w:p w14:paraId="597953DB" w14:textId="77777777" w:rsidR="00200D03" w:rsidRPr="00646D82" w:rsidRDefault="00200D03" w:rsidP="00200D03">
            <w:pPr>
              <w:rPr>
                <w:snapToGrid w:val="0"/>
                <w:szCs w:val="22"/>
              </w:rPr>
            </w:pPr>
            <w:r w:rsidRPr="00646D82">
              <w:rPr>
                <w:snapToGrid w:val="0"/>
                <w:szCs w:val="22"/>
              </w:rPr>
              <w:t>NBSAP</w:t>
            </w:r>
          </w:p>
        </w:tc>
      </w:tr>
      <w:tr w:rsidR="00200D03" w:rsidRPr="00646D82" w14:paraId="77ECDBDE" w14:textId="77777777" w:rsidTr="00EE1F78">
        <w:trPr>
          <w:jc w:val="center"/>
        </w:trPr>
        <w:tc>
          <w:tcPr>
            <w:tcW w:w="5552" w:type="dxa"/>
            <w:shd w:val="clear" w:color="auto" w:fill="auto"/>
          </w:tcPr>
          <w:p w14:paraId="0125AA2A" w14:textId="77777777" w:rsidR="00200D03" w:rsidRPr="00646D82" w:rsidRDefault="00200D03" w:rsidP="001220DD">
            <w:pPr>
              <w:pStyle w:val="ListParagraph"/>
              <w:numPr>
                <w:ilvl w:val="0"/>
                <w:numId w:val="31"/>
              </w:numPr>
              <w:spacing w:before="120" w:after="120"/>
              <w:ind w:left="314"/>
              <w:rPr>
                <w:snapToGrid w:val="0"/>
                <w:szCs w:val="22"/>
              </w:rPr>
            </w:pPr>
            <w:r w:rsidRPr="00646D82">
              <w:rPr>
                <w:snapToGrid w:val="0"/>
                <w:szCs w:val="22"/>
              </w:rPr>
              <w:t>N</w:t>
            </w:r>
            <w:r w:rsidR="001220DD" w:rsidRPr="00646D82">
              <w:rPr>
                <w:snapToGrid w:val="0"/>
                <w:szCs w:val="22"/>
              </w:rPr>
              <w:t xml:space="preserve">umber and percentage of Parties </w:t>
            </w:r>
            <w:r w:rsidRPr="00646D82">
              <w:rPr>
                <w:snapToGrid w:val="0"/>
                <w:szCs w:val="22"/>
              </w:rPr>
              <w:t>that have published information on checkpoints</w:t>
            </w:r>
            <w:r w:rsidRPr="00646D82">
              <w:rPr>
                <w:snapToGrid w:val="0"/>
                <w:szCs w:val="22"/>
              </w:rPr>
              <w:tab/>
            </w:r>
          </w:p>
        </w:tc>
        <w:tc>
          <w:tcPr>
            <w:tcW w:w="1104" w:type="dxa"/>
            <w:shd w:val="clear" w:color="auto" w:fill="auto"/>
            <w:vAlign w:val="center"/>
          </w:tcPr>
          <w:p w14:paraId="1CFDAD8E" w14:textId="77777777" w:rsidR="00200D03" w:rsidRPr="00646D82" w:rsidRDefault="00200D03" w:rsidP="00155B0B">
            <w:pPr>
              <w:spacing w:line="276" w:lineRule="auto"/>
              <w:jc w:val="center"/>
              <w:rPr>
                <w:snapToGrid w:val="0"/>
                <w:szCs w:val="22"/>
              </w:rPr>
            </w:pPr>
            <w:r w:rsidRPr="00646D82">
              <w:rPr>
                <w:snapToGrid w:val="0"/>
                <w:szCs w:val="22"/>
              </w:rPr>
              <w:t>(g)</w:t>
            </w:r>
          </w:p>
        </w:tc>
        <w:tc>
          <w:tcPr>
            <w:tcW w:w="1506" w:type="dxa"/>
            <w:shd w:val="clear" w:color="auto" w:fill="auto"/>
            <w:vAlign w:val="center"/>
          </w:tcPr>
          <w:p w14:paraId="4AF7DF14" w14:textId="477CEB66" w:rsidR="00200D03" w:rsidRPr="00646D82" w:rsidRDefault="00200D03" w:rsidP="00200D03">
            <w:pPr>
              <w:spacing w:line="276" w:lineRule="auto"/>
              <w:jc w:val="center"/>
              <w:rPr>
                <w:rFonts w:eastAsia="Calibri"/>
                <w:szCs w:val="22"/>
              </w:rPr>
            </w:pPr>
            <w:r w:rsidRPr="00646D82">
              <w:rPr>
                <w:rFonts w:eastAsia="Calibri"/>
                <w:szCs w:val="22"/>
              </w:rPr>
              <w:t xml:space="preserve">20 </w:t>
            </w:r>
            <w:r w:rsidR="000C0890" w:rsidRPr="00646D82">
              <w:rPr>
                <w:rFonts w:eastAsia="Calibri"/>
                <w:szCs w:val="22"/>
              </w:rPr>
              <w:t>(19%)</w:t>
            </w:r>
          </w:p>
          <w:p w14:paraId="2235D3FA" w14:textId="77777777" w:rsidR="00200D03" w:rsidRPr="00646D82" w:rsidRDefault="00200D03" w:rsidP="00200D03">
            <w:pPr>
              <w:spacing w:line="276" w:lineRule="auto"/>
              <w:jc w:val="center"/>
              <w:rPr>
                <w:rFonts w:eastAsia="Calibri"/>
                <w:szCs w:val="22"/>
              </w:rPr>
            </w:pPr>
          </w:p>
        </w:tc>
        <w:tc>
          <w:tcPr>
            <w:tcW w:w="1321" w:type="dxa"/>
            <w:shd w:val="clear" w:color="auto" w:fill="auto"/>
          </w:tcPr>
          <w:p w14:paraId="0611E78E" w14:textId="77777777" w:rsidR="00200D03" w:rsidRPr="00646D82" w:rsidRDefault="00200D03" w:rsidP="00200D03">
            <w:pPr>
              <w:rPr>
                <w:snapToGrid w:val="0"/>
                <w:szCs w:val="22"/>
              </w:rPr>
            </w:pPr>
            <w:r w:rsidRPr="00646D82">
              <w:rPr>
                <w:snapToGrid w:val="0"/>
                <w:szCs w:val="22"/>
              </w:rPr>
              <w:t>ABS-CH</w:t>
            </w:r>
          </w:p>
        </w:tc>
      </w:tr>
      <w:tr w:rsidR="00200D03" w:rsidRPr="00646D82" w14:paraId="4D6E198A" w14:textId="77777777" w:rsidTr="00EE1F78">
        <w:trPr>
          <w:jc w:val="center"/>
        </w:trPr>
        <w:tc>
          <w:tcPr>
            <w:tcW w:w="5552" w:type="dxa"/>
            <w:shd w:val="clear" w:color="auto" w:fill="auto"/>
          </w:tcPr>
          <w:p w14:paraId="54BBD712" w14:textId="77777777" w:rsidR="00200D03" w:rsidRPr="00646D82" w:rsidRDefault="00200D03" w:rsidP="00616891">
            <w:pPr>
              <w:pStyle w:val="ListParagraph"/>
              <w:numPr>
                <w:ilvl w:val="0"/>
                <w:numId w:val="31"/>
              </w:numPr>
              <w:spacing w:before="120" w:after="120"/>
              <w:ind w:left="314"/>
              <w:rPr>
                <w:snapToGrid w:val="0"/>
                <w:szCs w:val="22"/>
              </w:rPr>
            </w:pPr>
            <w:r w:rsidRPr="00646D82">
              <w:rPr>
                <w:snapToGrid w:val="0"/>
                <w:szCs w:val="22"/>
              </w:rPr>
              <w:t xml:space="preserve">Number and percentage of Parties that have made information available to the ABS Clearing-House (CNA, </w:t>
            </w:r>
            <w:r w:rsidR="00D27E29" w:rsidRPr="00646D82">
              <w:rPr>
                <w:snapToGrid w:val="0"/>
                <w:szCs w:val="22"/>
              </w:rPr>
              <w:t>checkpoint</w:t>
            </w:r>
            <w:r w:rsidRPr="00646D82">
              <w:rPr>
                <w:snapToGrid w:val="0"/>
                <w:szCs w:val="22"/>
              </w:rPr>
              <w:t>, ABS measures, IRCC)</w:t>
            </w:r>
          </w:p>
        </w:tc>
        <w:tc>
          <w:tcPr>
            <w:tcW w:w="1104" w:type="dxa"/>
            <w:shd w:val="clear" w:color="auto" w:fill="auto"/>
            <w:vAlign w:val="center"/>
          </w:tcPr>
          <w:p w14:paraId="4536BE75" w14:textId="77777777" w:rsidR="00200D03" w:rsidRPr="00646D82" w:rsidRDefault="00200D03" w:rsidP="00200D03">
            <w:pPr>
              <w:spacing w:line="276" w:lineRule="auto"/>
              <w:jc w:val="center"/>
              <w:rPr>
                <w:rFonts w:eastAsia="Calibri"/>
                <w:szCs w:val="22"/>
              </w:rPr>
            </w:pPr>
            <w:r w:rsidRPr="00646D82">
              <w:rPr>
                <w:snapToGrid w:val="0"/>
                <w:szCs w:val="22"/>
              </w:rPr>
              <w:t>(a)(g)</w:t>
            </w:r>
          </w:p>
        </w:tc>
        <w:tc>
          <w:tcPr>
            <w:tcW w:w="1506" w:type="dxa"/>
            <w:shd w:val="clear" w:color="auto" w:fill="auto"/>
            <w:vAlign w:val="center"/>
          </w:tcPr>
          <w:p w14:paraId="60355E13" w14:textId="1435435B" w:rsidR="00200D03" w:rsidRPr="00646D82" w:rsidRDefault="00200D03" w:rsidP="001F04D0">
            <w:pPr>
              <w:spacing w:line="276" w:lineRule="auto"/>
              <w:jc w:val="center"/>
              <w:rPr>
                <w:rFonts w:eastAsia="Calibri"/>
                <w:szCs w:val="22"/>
              </w:rPr>
            </w:pPr>
            <w:r w:rsidRPr="00646D82">
              <w:rPr>
                <w:rFonts w:eastAsia="Calibri"/>
                <w:szCs w:val="22"/>
              </w:rPr>
              <w:t xml:space="preserve">54 </w:t>
            </w:r>
            <w:r w:rsidR="000C0890" w:rsidRPr="00646D82">
              <w:rPr>
                <w:rFonts w:eastAsia="Calibri"/>
                <w:szCs w:val="22"/>
              </w:rPr>
              <w:t>(51%)</w:t>
            </w:r>
          </w:p>
        </w:tc>
        <w:tc>
          <w:tcPr>
            <w:tcW w:w="1321" w:type="dxa"/>
            <w:shd w:val="clear" w:color="auto" w:fill="auto"/>
          </w:tcPr>
          <w:p w14:paraId="7A66FB5B" w14:textId="77777777" w:rsidR="00200D03" w:rsidRPr="00646D82" w:rsidRDefault="00200D03" w:rsidP="00200D03">
            <w:pPr>
              <w:rPr>
                <w:snapToGrid w:val="0"/>
                <w:szCs w:val="22"/>
              </w:rPr>
            </w:pPr>
            <w:r w:rsidRPr="00646D82">
              <w:rPr>
                <w:snapToGrid w:val="0"/>
                <w:szCs w:val="22"/>
              </w:rPr>
              <w:t xml:space="preserve">Q.3 ABS-CH </w:t>
            </w:r>
          </w:p>
          <w:p w14:paraId="5BC5C6F2" w14:textId="77777777" w:rsidR="00200D03" w:rsidRPr="00646D82" w:rsidRDefault="00200D03" w:rsidP="00200D03">
            <w:pPr>
              <w:rPr>
                <w:snapToGrid w:val="0"/>
                <w:szCs w:val="22"/>
              </w:rPr>
            </w:pPr>
          </w:p>
        </w:tc>
      </w:tr>
      <w:tr w:rsidR="00200D03" w:rsidRPr="00646D82" w14:paraId="0350FA63" w14:textId="77777777" w:rsidTr="00EE1F78">
        <w:trPr>
          <w:jc w:val="center"/>
        </w:trPr>
        <w:tc>
          <w:tcPr>
            <w:tcW w:w="5552" w:type="dxa"/>
            <w:tcBorders>
              <w:bottom w:val="single" w:sz="4" w:space="0" w:color="auto"/>
            </w:tcBorders>
            <w:shd w:val="clear" w:color="auto" w:fill="auto"/>
          </w:tcPr>
          <w:p w14:paraId="13D6A4FE"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snapToGrid w:val="0"/>
                <w:szCs w:val="22"/>
              </w:rPr>
              <w:t>Number and percentage of Parties that ha</w:t>
            </w:r>
            <w:r w:rsidR="00D27E29" w:rsidRPr="00646D82">
              <w:rPr>
                <w:snapToGrid w:val="0"/>
                <w:szCs w:val="22"/>
              </w:rPr>
              <w:t>ve information (CNA, checkpoint</w:t>
            </w:r>
            <w:r w:rsidRPr="00646D82">
              <w:rPr>
                <w:snapToGrid w:val="0"/>
                <w:szCs w:val="22"/>
              </w:rPr>
              <w:t>, ABS measures, permits) t</w:t>
            </w:r>
            <w:r w:rsidRPr="00646D82">
              <w:rPr>
                <w:rFonts w:eastAsia="SimSun"/>
                <w:kern w:val="22"/>
                <w:szCs w:val="22"/>
              </w:rPr>
              <w:t>hat have not yet been made available to the ABS Clearing-House</w:t>
            </w:r>
          </w:p>
        </w:tc>
        <w:tc>
          <w:tcPr>
            <w:tcW w:w="1104" w:type="dxa"/>
            <w:tcBorders>
              <w:bottom w:val="single" w:sz="4" w:space="0" w:color="auto"/>
            </w:tcBorders>
            <w:shd w:val="clear" w:color="auto" w:fill="auto"/>
            <w:vAlign w:val="center"/>
          </w:tcPr>
          <w:p w14:paraId="2C84604B" w14:textId="77777777" w:rsidR="00200D03" w:rsidRPr="00646D82" w:rsidRDefault="00200D03" w:rsidP="00200D03">
            <w:pPr>
              <w:spacing w:line="276" w:lineRule="auto"/>
              <w:jc w:val="center"/>
              <w:rPr>
                <w:rFonts w:eastAsia="Calibri"/>
                <w:szCs w:val="22"/>
              </w:rPr>
            </w:pPr>
            <w:r w:rsidRPr="00646D82">
              <w:rPr>
                <w:snapToGrid w:val="0"/>
                <w:szCs w:val="22"/>
              </w:rPr>
              <w:t>(a)(g)</w:t>
            </w:r>
          </w:p>
        </w:tc>
        <w:tc>
          <w:tcPr>
            <w:tcW w:w="1506" w:type="dxa"/>
            <w:tcBorders>
              <w:bottom w:val="single" w:sz="4" w:space="0" w:color="auto"/>
            </w:tcBorders>
            <w:shd w:val="clear" w:color="auto" w:fill="auto"/>
            <w:vAlign w:val="center"/>
          </w:tcPr>
          <w:p w14:paraId="6D6EE3AD" w14:textId="33B658C4" w:rsidR="00200D03" w:rsidRPr="00646D82" w:rsidRDefault="00200D03" w:rsidP="001F04D0">
            <w:pPr>
              <w:spacing w:line="276" w:lineRule="auto"/>
              <w:jc w:val="center"/>
              <w:rPr>
                <w:rFonts w:eastAsia="Calibri"/>
                <w:szCs w:val="22"/>
              </w:rPr>
            </w:pPr>
            <w:r w:rsidRPr="00646D82">
              <w:rPr>
                <w:rFonts w:eastAsia="Calibri"/>
                <w:szCs w:val="22"/>
              </w:rPr>
              <w:t xml:space="preserve">46 </w:t>
            </w:r>
            <w:r w:rsidR="000C0890" w:rsidRPr="00646D82">
              <w:rPr>
                <w:rFonts w:eastAsia="Calibri"/>
                <w:szCs w:val="22"/>
              </w:rPr>
              <w:t>(44%)</w:t>
            </w:r>
          </w:p>
        </w:tc>
        <w:tc>
          <w:tcPr>
            <w:tcW w:w="1321" w:type="dxa"/>
            <w:tcBorders>
              <w:bottom w:val="single" w:sz="4" w:space="0" w:color="auto"/>
            </w:tcBorders>
            <w:shd w:val="clear" w:color="auto" w:fill="auto"/>
          </w:tcPr>
          <w:p w14:paraId="52215A29" w14:textId="77777777" w:rsidR="00200D03" w:rsidRPr="00646D82" w:rsidRDefault="00200D03" w:rsidP="00200D03">
            <w:pPr>
              <w:rPr>
                <w:snapToGrid w:val="0"/>
                <w:szCs w:val="22"/>
              </w:rPr>
            </w:pPr>
            <w:r w:rsidRPr="00646D82">
              <w:rPr>
                <w:snapToGrid w:val="0"/>
                <w:szCs w:val="22"/>
              </w:rPr>
              <w:t>Q.4, 6, 9 ABS-CH CBD report</w:t>
            </w:r>
          </w:p>
          <w:p w14:paraId="648CA98A" w14:textId="77777777" w:rsidR="00200D03" w:rsidRPr="00646D82" w:rsidRDefault="00200D03" w:rsidP="00200D03">
            <w:pPr>
              <w:rPr>
                <w:snapToGrid w:val="0"/>
                <w:szCs w:val="22"/>
              </w:rPr>
            </w:pPr>
            <w:r w:rsidRPr="00646D82">
              <w:rPr>
                <w:snapToGrid w:val="0"/>
                <w:szCs w:val="22"/>
              </w:rPr>
              <w:t>NBSAP</w:t>
            </w:r>
          </w:p>
        </w:tc>
      </w:tr>
      <w:tr w:rsidR="00200D03" w:rsidRPr="00646D82" w14:paraId="75557BCE" w14:textId="77777777" w:rsidTr="00D27E29">
        <w:trPr>
          <w:jc w:val="center"/>
        </w:trPr>
        <w:tc>
          <w:tcPr>
            <w:tcW w:w="9483" w:type="dxa"/>
            <w:gridSpan w:val="4"/>
            <w:shd w:val="pct5" w:color="auto" w:fill="auto"/>
            <w:vAlign w:val="center"/>
          </w:tcPr>
          <w:p w14:paraId="54A266FB" w14:textId="77777777" w:rsidR="00200D03" w:rsidRPr="00646D82" w:rsidRDefault="00200D03" w:rsidP="00616891">
            <w:pPr>
              <w:pStyle w:val="ListParagraph"/>
              <w:spacing w:before="120" w:after="120"/>
              <w:ind w:left="314"/>
              <w:rPr>
                <w:rFonts w:eastAsia="SimSun"/>
                <w:b/>
                <w:kern w:val="22"/>
                <w:szCs w:val="22"/>
              </w:rPr>
            </w:pPr>
            <w:r w:rsidRPr="00646D82">
              <w:rPr>
                <w:rFonts w:eastAsia="SimSun"/>
                <w:b/>
                <w:kern w:val="22"/>
                <w:szCs w:val="22"/>
              </w:rPr>
              <w:t>Legislative, administrative or policy measures on ABS: Access to genetic resources (Article 6)</w:t>
            </w:r>
          </w:p>
        </w:tc>
      </w:tr>
      <w:tr w:rsidR="00200D03" w:rsidRPr="00646D82" w14:paraId="59EE8E84" w14:textId="77777777" w:rsidTr="00EE1F78">
        <w:trPr>
          <w:jc w:val="center"/>
        </w:trPr>
        <w:tc>
          <w:tcPr>
            <w:tcW w:w="5552" w:type="dxa"/>
            <w:shd w:val="clear" w:color="auto" w:fill="auto"/>
          </w:tcPr>
          <w:p w14:paraId="6B7B8FC2"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SimSun"/>
                <w:kern w:val="22"/>
                <w:szCs w:val="22"/>
              </w:rPr>
              <w:t xml:space="preserve">Number and percentage of Parties requiring prior informed consent for access to genetic resources that provide information on how to apply for prior informed consent as provided in Article 6.3(c) </w:t>
            </w:r>
          </w:p>
        </w:tc>
        <w:tc>
          <w:tcPr>
            <w:tcW w:w="1104" w:type="dxa"/>
            <w:shd w:val="clear" w:color="auto" w:fill="auto"/>
            <w:vAlign w:val="center"/>
          </w:tcPr>
          <w:p w14:paraId="7E47047A" w14:textId="77777777" w:rsidR="00200D03" w:rsidRPr="00646D82" w:rsidRDefault="00513E51" w:rsidP="00513E51">
            <w:pPr>
              <w:spacing w:line="276" w:lineRule="auto"/>
              <w:jc w:val="center"/>
              <w:rPr>
                <w:snapToGrid w:val="0"/>
                <w:szCs w:val="22"/>
              </w:rPr>
            </w:pPr>
            <w:r w:rsidRPr="00646D82">
              <w:rPr>
                <w:snapToGrid w:val="0"/>
                <w:szCs w:val="22"/>
              </w:rPr>
              <w:t xml:space="preserve">(a) </w:t>
            </w:r>
            <w:r w:rsidR="00200D03" w:rsidRPr="00646D82">
              <w:rPr>
                <w:snapToGrid w:val="0"/>
                <w:szCs w:val="22"/>
              </w:rPr>
              <w:t>(b)</w:t>
            </w:r>
          </w:p>
        </w:tc>
        <w:tc>
          <w:tcPr>
            <w:tcW w:w="1506" w:type="dxa"/>
            <w:shd w:val="clear" w:color="auto" w:fill="auto"/>
            <w:vAlign w:val="center"/>
          </w:tcPr>
          <w:p w14:paraId="0583B808" w14:textId="1014B819" w:rsidR="00200D03" w:rsidRPr="00646D82" w:rsidRDefault="00E86184" w:rsidP="001F04D0">
            <w:pPr>
              <w:spacing w:line="276" w:lineRule="auto"/>
              <w:jc w:val="center"/>
              <w:rPr>
                <w:rFonts w:eastAsia="Calibri"/>
                <w:szCs w:val="22"/>
              </w:rPr>
            </w:pPr>
            <w:r w:rsidRPr="00646D82">
              <w:rPr>
                <w:rFonts w:eastAsia="Calibri"/>
                <w:szCs w:val="22"/>
              </w:rPr>
              <w:t xml:space="preserve">27 </w:t>
            </w:r>
            <w:r w:rsidR="000C0890" w:rsidRPr="00646D82">
              <w:rPr>
                <w:rFonts w:eastAsia="Calibri"/>
                <w:szCs w:val="22"/>
              </w:rPr>
              <w:t>(73%)</w:t>
            </w:r>
          </w:p>
        </w:tc>
        <w:tc>
          <w:tcPr>
            <w:tcW w:w="1321" w:type="dxa"/>
            <w:shd w:val="clear" w:color="auto" w:fill="auto"/>
          </w:tcPr>
          <w:p w14:paraId="2937BA30" w14:textId="77777777" w:rsidR="00200D03" w:rsidRPr="00646D82" w:rsidRDefault="00200D03" w:rsidP="00200D03">
            <w:pPr>
              <w:spacing w:before="120" w:after="120"/>
              <w:rPr>
                <w:rFonts w:eastAsia="SimSun"/>
                <w:kern w:val="22"/>
                <w:szCs w:val="22"/>
              </w:rPr>
            </w:pPr>
            <w:r w:rsidRPr="00646D82">
              <w:rPr>
                <w:rFonts w:eastAsia="SimSun"/>
                <w:kern w:val="22"/>
                <w:szCs w:val="22"/>
              </w:rPr>
              <w:t xml:space="preserve">Q.13 </w:t>
            </w:r>
          </w:p>
        </w:tc>
      </w:tr>
      <w:tr w:rsidR="00200D03" w:rsidRPr="00646D82" w14:paraId="1157171D" w14:textId="77777777" w:rsidTr="00EE1F78">
        <w:trPr>
          <w:jc w:val="center"/>
        </w:trPr>
        <w:tc>
          <w:tcPr>
            <w:tcW w:w="5552" w:type="dxa"/>
            <w:shd w:val="clear" w:color="auto" w:fill="auto"/>
          </w:tcPr>
          <w:p w14:paraId="2FDE37F1"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SimSun"/>
                <w:kern w:val="22"/>
                <w:szCs w:val="22"/>
              </w:rPr>
              <w:t>Number and percentage of Parties requiring prior informed consent</w:t>
            </w:r>
            <w:r w:rsidRPr="00646D82">
              <w:rPr>
                <w:rFonts w:eastAsia="Calibri"/>
                <w:szCs w:val="22"/>
              </w:rPr>
              <w:t xml:space="preserve"> </w:t>
            </w:r>
            <w:r w:rsidRPr="00646D82">
              <w:rPr>
                <w:rFonts w:eastAsia="SimSun"/>
                <w:kern w:val="22"/>
                <w:szCs w:val="22"/>
              </w:rPr>
              <w:t>providing for the issuance at the time of access of a permit or its equivalent as provided in Article 6.3 (e)</w:t>
            </w:r>
          </w:p>
        </w:tc>
        <w:tc>
          <w:tcPr>
            <w:tcW w:w="1104" w:type="dxa"/>
            <w:shd w:val="clear" w:color="auto" w:fill="auto"/>
            <w:vAlign w:val="center"/>
          </w:tcPr>
          <w:p w14:paraId="7B14F828" w14:textId="77777777" w:rsidR="00200D03" w:rsidRPr="00646D82" w:rsidRDefault="00513E51" w:rsidP="00513E51">
            <w:pPr>
              <w:spacing w:line="276" w:lineRule="auto"/>
              <w:jc w:val="center"/>
              <w:rPr>
                <w:snapToGrid w:val="0"/>
                <w:szCs w:val="22"/>
              </w:rPr>
            </w:pPr>
            <w:r w:rsidRPr="00646D82">
              <w:rPr>
                <w:snapToGrid w:val="0"/>
                <w:szCs w:val="22"/>
              </w:rPr>
              <w:t xml:space="preserve">(a) </w:t>
            </w:r>
            <w:r w:rsidR="00200D03" w:rsidRPr="00646D82">
              <w:rPr>
                <w:snapToGrid w:val="0"/>
                <w:szCs w:val="22"/>
              </w:rPr>
              <w:t>(b)</w:t>
            </w:r>
          </w:p>
        </w:tc>
        <w:tc>
          <w:tcPr>
            <w:tcW w:w="1506" w:type="dxa"/>
            <w:shd w:val="clear" w:color="auto" w:fill="auto"/>
            <w:vAlign w:val="center"/>
          </w:tcPr>
          <w:p w14:paraId="6E810E0A" w14:textId="511A4985" w:rsidR="00200D03" w:rsidRPr="00646D82" w:rsidRDefault="00200D03" w:rsidP="001F04D0">
            <w:pPr>
              <w:spacing w:line="276" w:lineRule="auto"/>
              <w:jc w:val="center"/>
              <w:rPr>
                <w:rFonts w:eastAsia="Calibri"/>
                <w:szCs w:val="22"/>
              </w:rPr>
            </w:pPr>
            <w:r w:rsidRPr="00646D82">
              <w:rPr>
                <w:rFonts w:eastAsia="Calibri"/>
                <w:szCs w:val="22"/>
              </w:rPr>
              <w:t xml:space="preserve">32 </w:t>
            </w:r>
            <w:r w:rsidR="000C0890" w:rsidRPr="00646D82">
              <w:rPr>
                <w:rFonts w:eastAsia="Calibri"/>
                <w:szCs w:val="22"/>
              </w:rPr>
              <w:t>(86%)</w:t>
            </w:r>
          </w:p>
        </w:tc>
        <w:tc>
          <w:tcPr>
            <w:tcW w:w="1321" w:type="dxa"/>
            <w:shd w:val="clear" w:color="auto" w:fill="auto"/>
          </w:tcPr>
          <w:p w14:paraId="68048B0B" w14:textId="77777777" w:rsidR="00200D03" w:rsidRPr="00646D82" w:rsidRDefault="00200D03" w:rsidP="00200D03">
            <w:pPr>
              <w:spacing w:before="120" w:after="120"/>
              <w:rPr>
                <w:rFonts w:eastAsia="SimSun"/>
                <w:kern w:val="22"/>
                <w:szCs w:val="22"/>
              </w:rPr>
            </w:pPr>
            <w:r w:rsidRPr="00646D82">
              <w:rPr>
                <w:rFonts w:eastAsia="SimSun"/>
                <w:kern w:val="22"/>
                <w:szCs w:val="22"/>
              </w:rPr>
              <w:t>Q.15</w:t>
            </w:r>
          </w:p>
        </w:tc>
      </w:tr>
      <w:tr w:rsidR="00200D03" w:rsidRPr="00646D82" w14:paraId="7AEBB6CE" w14:textId="77777777" w:rsidTr="00EE1F78">
        <w:trPr>
          <w:jc w:val="center"/>
        </w:trPr>
        <w:tc>
          <w:tcPr>
            <w:tcW w:w="5552" w:type="dxa"/>
            <w:shd w:val="clear" w:color="auto" w:fill="auto"/>
          </w:tcPr>
          <w:p w14:paraId="551E7F83"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Calibri"/>
                <w:snapToGrid w:val="0"/>
                <w:color w:val="000000"/>
                <w:kern w:val="22"/>
                <w:szCs w:val="22"/>
                <w:u w:color="000000"/>
              </w:rPr>
              <w:t>Number and percentage of Parties requiring prior informed consent for access to genetic resources that have rules and procedures for requiring and establishing MAT as provided in Article 6.3 (g)</w:t>
            </w:r>
          </w:p>
        </w:tc>
        <w:tc>
          <w:tcPr>
            <w:tcW w:w="1104" w:type="dxa"/>
            <w:shd w:val="clear" w:color="auto" w:fill="auto"/>
            <w:vAlign w:val="center"/>
          </w:tcPr>
          <w:p w14:paraId="0E0EA57A" w14:textId="77777777" w:rsidR="00200D03" w:rsidRPr="00646D82" w:rsidRDefault="00200D03" w:rsidP="00200D03">
            <w:pPr>
              <w:spacing w:line="276" w:lineRule="auto"/>
              <w:jc w:val="center"/>
              <w:rPr>
                <w:rFonts w:eastAsia="Calibri"/>
                <w:szCs w:val="22"/>
              </w:rPr>
            </w:pPr>
            <w:r w:rsidRPr="00646D82">
              <w:rPr>
                <w:rFonts w:eastAsia="Calibri"/>
                <w:szCs w:val="22"/>
              </w:rPr>
              <w:t>(a)</w:t>
            </w:r>
          </w:p>
        </w:tc>
        <w:tc>
          <w:tcPr>
            <w:tcW w:w="1506" w:type="dxa"/>
            <w:shd w:val="clear" w:color="auto" w:fill="auto"/>
            <w:vAlign w:val="center"/>
          </w:tcPr>
          <w:p w14:paraId="62EEE779" w14:textId="361F1907" w:rsidR="00200D03" w:rsidRPr="00646D82" w:rsidRDefault="00200D03" w:rsidP="001F04D0">
            <w:pPr>
              <w:spacing w:line="276" w:lineRule="auto"/>
              <w:jc w:val="center"/>
              <w:rPr>
                <w:rFonts w:eastAsia="Calibri"/>
                <w:szCs w:val="22"/>
              </w:rPr>
            </w:pPr>
            <w:r w:rsidRPr="00646D82">
              <w:rPr>
                <w:rFonts w:eastAsia="Calibri"/>
                <w:szCs w:val="22"/>
              </w:rPr>
              <w:t xml:space="preserve">28 </w:t>
            </w:r>
            <w:r w:rsidR="000C0890" w:rsidRPr="00646D82">
              <w:rPr>
                <w:rFonts w:eastAsia="Calibri"/>
                <w:szCs w:val="22"/>
              </w:rPr>
              <w:t>(76%)</w:t>
            </w:r>
          </w:p>
        </w:tc>
        <w:tc>
          <w:tcPr>
            <w:tcW w:w="1321" w:type="dxa"/>
            <w:shd w:val="clear" w:color="auto" w:fill="auto"/>
          </w:tcPr>
          <w:p w14:paraId="023308F8" w14:textId="77777777" w:rsidR="00200D03" w:rsidRPr="00646D82" w:rsidRDefault="00200D03" w:rsidP="00200D03">
            <w:pPr>
              <w:spacing w:before="120" w:after="120"/>
              <w:rPr>
                <w:rFonts w:eastAsia="Calibri"/>
                <w:snapToGrid w:val="0"/>
                <w:color w:val="000000"/>
                <w:kern w:val="22"/>
                <w:szCs w:val="22"/>
                <w:u w:color="000000"/>
              </w:rPr>
            </w:pPr>
            <w:r w:rsidRPr="00646D82">
              <w:rPr>
                <w:rFonts w:eastAsia="Calibri"/>
                <w:snapToGrid w:val="0"/>
                <w:color w:val="000000"/>
                <w:kern w:val="22"/>
                <w:szCs w:val="22"/>
                <w:u w:color="000000"/>
              </w:rPr>
              <w:t xml:space="preserve">Q.17 </w:t>
            </w:r>
          </w:p>
        </w:tc>
      </w:tr>
      <w:tr w:rsidR="00200D03" w:rsidRPr="00646D82" w14:paraId="67C7C6D9" w14:textId="77777777" w:rsidTr="00EE1F78">
        <w:trPr>
          <w:jc w:val="center"/>
        </w:trPr>
        <w:tc>
          <w:tcPr>
            <w:tcW w:w="5552" w:type="dxa"/>
            <w:shd w:val="clear" w:color="auto" w:fill="auto"/>
          </w:tcPr>
          <w:p w14:paraId="3FD0FD31" w14:textId="5E364250" w:rsidR="00200D03" w:rsidRPr="00646D82" w:rsidRDefault="005E21B1" w:rsidP="00616891">
            <w:pPr>
              <w:pStyle w:val="ListParagraph"/>
              <w:numPr>
                <w:ilvl w:val="0"/>
                <w:numId w:val="31"/>
              </w:numPr>
              <w:spacing w:before="120" w:after="120"/>
              <w:ind w:left="314"/>
              <w:rPr>
                <w:rFonts w:eastAsia="SimSun"/>
                <w:kern w:val="22"/>
                <w:szCs w:val="22"/>
              </w:rPr>
            </w:pPr>
            <w:r w:rsidRPr="00646D82">
              <w:rPr>
                <w:rFonts w:eastAsia="Calibri"/>
                <w:i/>
                <w:snapToGrid w:val="0"/>
                <w:color w:val="000000"/>
                <w:kern w:val="22"/>
                <w:szCs w:val="22"/>
                <w:u w:color="000000"/>
              </w:rPr>
              <w:t>Revised</w:t>
            </w:r>
            <w:r w:rsidR="007C500E" w:rsidRPr="00646D82">
              <w:rPr>
                <w:rFonts w:eastAsia="Calibri"/>
                <w:i/>
                <w:snapToGrid w:val="0"/>
                <w:color w:val="000000"/>
                <w:kern w:val="22"/>
                <w:szCs w:val="22"/>
                <w:u w:color="000000"/>
              </w:rPr>
              <w:t>:</w:t>
            </w:r>
            <w:r w:rsidR="007C500E" w:rsidRPr="00646D82">
              <w:rPr>
                <w:rFonts w:eastAsia="Calibri"/>
                <w:snapToGrid w:val="0"/>
                <w:color w:val="000000"/>
                <w:kern w:val="22"/>
                <w:szCs w:val="22"/>
                <w:u w:color="000000"/>
              </w:rPr>
              <w:t xml:space="preserve"> </w:t>
            </w:r>
            <w:r w:rsidR="00200D03" w:rsidRPr="00646D82">
              <w:rPr>
                <w:rFonts w:eastAsia="Calibri"/>
                <w:snapToGrid w:val="0"/>
                <w:color w:val="000000"/>
                <w:kern w:val="22"/>
                <w:szCs w:val="22"/>
                <w:u w:color="000000"/>
              </w:rPr>
              <w:t xml:space="preserve">Number and percentage of Parties </w:t>
            </w:r>
            <w:r w:rsidR="00200D03" w:rsidRPr="00646D82">
              <w:rPr>
                <w:rFonts w:eastAsia="SimSun"/>
                <w:kern w:val="22"/>
                <w:szCs w:val="22"/>
              </w:rPr>
              <w:t>requiring prior informed consent for access to genetic resources that received monetary benefits from granting access to genetic resources since entry into force of the Protocol</w:t>
            </w:r>
          </w:p>
        </w:tc>
        <w:tc>
          <w:tcPr>
            <w:tcW w:w="1104" w:type="dxa"/>
            <w:shd w:val="clear" w:color="auto" w:fill="auto"/>
            <w:vAlign w:val="center"/>
          </w:tcPr>
          <w:p w14:paraId="4F8E110C" w14:textId="77777777" w:rsidR="00200D03" w:rsidRPr="00646D82" w:rsidRDefault="00200D03" w:rsidP="00200D03">
            <w:pPr>
              <w:spacing w:line="276" w:lineRule="auto"/>
              <w:jc w:val="center"/>
              <w:rPr>
                <w:rFonts w:eastAsia="Calibri"/>
                <w:szCs w:val="22"/>
              </w:rPr>
            </w:pPr>
            <w:r w:rsidRPr="00646D82">
              <w:rPr>
                <w:rFonts w:eastAsia="Calibri"/>
                <w:szCs w:val="22"/>
              </w:rPr>
              <w:t>(b)</w:t>
            </w:r>
          </w:p>
        </w:tc>
        <w:tc>
          <w:tcPr>
            <w:tcW w:w="1506" w:type="dxa"/>
            <w:shd w:val="clear" w:color="auto" w:fill="auto"/>
            <w:vAlign w:val="center"/>
          </w:tcPr>
          <w:p w14:paraId="1830E7CE" w14:textId="77777777" w:rsidR="00200D03" w:rsidRPr="00646D82" w:rsidRDefault="00200D03" w:rsidP="00200D03">
            <w:pPr>
              <w:spacing w:before="120" w:after="120"/>
              <w:jc w:val="center"/>
              <w:rPr>
                <w:rFonts w:eastAsia="SimSun"/>
                <w:kern w:val="22"/>
                <w:szCs w:val="22"/>
              </w:rPr>
            </w:pPr>
            <w:r w:rsidRPr="00646D82">
              <w:rPr>
                <w:rFonts w:eastAsia="SimSun"/>
                <w:kern w:val="22"/>
                <w:szCs w:val="22"/>
              </w:rPr>
              <w:t>Not conclusive data</w:t>
            </w:r>
          </w:p>
        </w:tc>
        <w:tc>
          <w:tcPr>
            <w:tcW w:w="1321" w:type="dxa"/>
            <w:shd w:val="clear" w:color="auto" w:fill="auto"/>
          </w:tcPr>
          <w:p w14:paraId="273999A3" w14:textId="77777777" w:rsidR="00200D03" w:rsidRPr="00646D82" w:rsidRDefault="00200D03" w:rsidP="00200D03">
            <w:pPr>
              <w:spacing w:before="120" w:after="120"/>
              <w:rPr>
                <w:rFonts w:eastAsia="SimSun"/>
                <w:kern w:val="22"/>
                <w:szCs w:val="22"/>
              </w:rPr>
            </w:pPr>
            <w:r w:rsidRPr="00646D82">
              <w:rPr>
                <w:rFonts w:eastAsia="SimSun"/>
                <w:kern w:val="22"/>
                <w:szCs w:val="22"/>
              </w:rPr>
              <w:t>Q.18 requires revision</w:t>
            </w:r>
          </w:p>
        </w:tc>
      </w:tr>
      <w:tr w:rsidR="00200D03" w:rsidRPr="00646D82" w14:paraId="2A04B319" w14:textId="77777777" w:rsidTr="00EE1F78">
        <w:trPr>
          <w:jc w:val="center"/>
        </w:trPr>
        <w:tc>
          <w:tcPr>
            <w:tcW w:w="5552" w:type="dxa"/>
            <w:shd w:val="clear" w:color="auto" w:fill="auto"/>
          </w:tcPr>
          <w:p w14:paraId="76245B5B" w14:textId="4A64BD73" w:rsidR="00200D03" w:rsidRPr="00646D82" w:rsidRDefault="007C500E" w:rsidP="00616891">
            <w:pPr>
              <w:pStyle w:val="ListParagraph"/>
              <w:numPr>
                <w:ilvl w:val="0"/>
                <w:numId w:val="31"/>
              </w:numPr>
              <w:spacing w:before="120" w:after="120"/>
              <w:ind w:left="314"/>
              <w:rPr>
                <w:rFonts w:eastAsia="SimSun"/>
                <w:kern w:val="22"/>
                <w:szCs w:val="22"/>
              </w:rPr>
            </w:pPr>
            <w:r w:rsidRPr="00646D82">
              <w:rPr>
                <w:rFonts w:eastAsia="Calibri"/>
                <w:i/>
                <w:snapToGrid w:val="0"/>
                <w:color w:val="000000"/>
                <w:kern w:val="22"/>
                <w:szCs w:val="22"/>
                <w:u w:color="000000"/>
              </w:rPr>
              <w:t>New:</w:t>
            </w:r>
            <w:r w:rsidRPr="00646D82">
              <w:rPr>
                <w:rFonts w:eastAsia="Calibri"/>
                <w:snapToGrid w:val="0"/>
                <w:color w:val="000000"/>
                <w:kern w:val="22"/>
                <w:szCs w:val="22"/>
                <w:u w:color="000000"/>
              </w:rPr>
              <w:t xml:space="preserve"> </w:t>
            </w:r>
            <w:r w:rsidR="00200D03" w:rsidRPr="00646D82">
              <w:rPr>
                <w:rFonts w:eastAsia="SimSun"/>
                <w:kern w:val="22"/>
                <w:szCs w:val="22"/>
              </w:rPr>
              <w:t>Amount of monetary benefits</w:t>
            </w:r>
            <w:r w:rsidR="001B67BF" w:rsidRPr="00646D82">
              <w:rPr>
                <w:rFonts w:eastAsia="SimSun"/>
                <w:kern w:val="22"/>
                <w:szCs w:val="22"/>
              </w:rPr>
              <w:t xml:space="preserve"> (in USD)</w:t>
            </w:r>
            <w:r w:rsidR="00200D03" w:rsidRPr="00646D82">
              <w:rPr>
                <w:rFonts w:eastAsia="SimSun"/>
                <w:kern w:val="22"/>
                <w:szCs w:val="22"/>
              </w:rPr>
              <w:t xml:space="preserve"> received from granting access to genetic resources since entry into force of the Protocol</w:t>
            </w:r>
          </w:p>
        </w:tc>
        <w:tc>
          <w:tcPr>
            <w:tcW w:w="1104" w:type="dxa"/>
            <w:shd w:val="clear" w:color="auto" w:fill="auto"/>
            <w:vAlign w:val="center"/>
          </w:tcPr>
          <w:p w14:paraId="6BD19ACE" w14:textId="77777777" w:rsidR="00200D03" w:rsidRPr="00646D82" w:rsidRDefault="00200D03" w:rsidP="00200D03">
            <w:pPr>
              <w:spacing w:line="276" w:lineRule="auto"/>
              <w:jc w:val="center"/>
              <w:rPr>
                <w:rFonts w:eastAsia="Calibri"/>
                <w:szCs w:val="22"/>
              </w:rPr>
            </w:pPr>
            <w:r w:rsidRPr="00646D82">
              <w:rPr>
                <w:rFonts w:eastAsia="Calibri"/>
                <w:szCs w:val="22"/>
              </w:rPr>
              <w:t>(b)</w:t>
            </w:r>
          </w:p>
        </w:tc>
        <w:tc>
          <w:tcPr>
            <w:tcW w:w="1506" w:type="dxa"/>
            <w:shd w:val="clear" w:color="auto" w:fill="auto"/>
            <w:vAlign w:val="center"/>
          </w:tcPr>
          <w:p w14:paraId="632CCEA4" w14:textId="77777777" w:rsidR="00200D03" w:rsidRPr="00646D82" w:rsidRDefault="00200D03" w:rsidP="00200D03">
            <w:pPr>
              <w:spacing w:before="120" w:after="120"/>
              <w:jc w:val="center"/>
              <w:rPr>
                <w:rFonts w:eastAsia="SimSun"/>
                <w:kern w:val="22"/>
                <w:szCs w:val="22"/>
              </w:rPr>
            </w:pPr>
            <w:r w:rsidRPr="00646D82">
              <w:rPr>
                <w:rFonts w:eastAsia="SimSun"/>
                <w:kern w:val="22"/>
                <w:szCs w:val="22"/>
              </w:rPr>
              <w:t>Not conclusive data</w:t>
            </w:r>
          </w:p>
        </w:tc>
        <w:tc>
          <w:tcPr>
            <w:tcW w:w="1321" w:type="dxa"/>
            <w:shd w:val="clear" w:color="auto" w:fill="auto"/>
          </w:tcPr>
          <w:p w14:paraId="49004285" w14:textId="77777777" w:rsidR="00200D03" w:rsidRPr="00646D82" w:rsidRDefault="00200D03" w:rsidP="00200D03">
            <w:pPr>
              <w:spacing w:before="120" w:after="120"/>
              <w:rPr>
                <w:rFonts w:eastAsia="SimSun"/>
                <w:kern w:val="22"/>
                <w:szCs w:val="22"/>
              </w:rPr>
            </w:pPr>
            <w:r w:rsidRPr="00646D82">
              <w:rPr>
                <w:rFonts w:eastAsia="SimSun"/>
                <w:kern w:val="22"/>
                <w:szCs w:val="22"/>
              </w:rPr>
              <w:t>Q.18 requires revision</w:t>
            </w:r>
          </w:p>
        </w:tc>
      </w:tr>
      <w:tr w:rsidR="00200D03" w:rsidRPr="00646D82" w14:paraId="093E8BD8" w14:textId="77777777" w:rsidTr="00891709">
        <w:trPr>
          <w:cantSplit/>
          <w:jc w:val="center"/>
        </w:trPr>
        <w:tc>
          <w:tcPr>
            <w:tcW w:w="5552" w:type="dxa"/>
            <w:shd w:val="clear" w:color="auto" w:fill="auto"/>
          </w:tcPr>
          <w:p w14:paraId="11578433" w14:textId="629AEE1F" w:rsidR="00200D03" w:rsidRPr="00646D82" w:rsidRDefault="005E21B1" w:rsidP="00616891">
            <w:pPr>
              <w:pStyle w:val="ListParagraph"/>
              <w:numPr>
                <w:ilvl w:val="0"/>
                <w:numId w:val="31"/>
              </w:numPr>
              <w:spacing w:before="120" w:after="120"/>
              <w:ind w:left="314"/>
              <w:rPr>
                <w:rFonts w:eastAsia="SimSun"/>
                <w:kern w:val="22"/>
                <w:szCs w:val="22"/>
              </w:rPr>
            </w:pPr>
            <w:r w:rsidRPr="00646D82">
              <w:rPr>
                <w:rFonts w:eastAsia="Calibri"/>
                <w:i/>
                <w:snapToGrid w:val="0"/>
                <w:color w:val="000000"/>
                <w:kern w:val="22"/>
                <w:szCs w:val="22"/>
                <w:u w:color="000000"/>
              </w:rPr>
              <w:t>Revised</w:t>
            </w:r>
            <w:r w:rsidR="007C500E" w:rsidRPr="00646D82">
              <w:rPr>
                <w:rFonts w:eastAsia="Calibri"/>
                <w:i/>
                <w:snapToGrid w:val="0"/>
                <w:color w:val="000000"/>
                <w:kern w:val="22"/>
                <w:szCs w:val="22"/>
                <w:u w:color="000000"/>
              </w:rPr>
              <w:t>:</w:t>
            </w:r>
            <w:r w:rsidR="007C500E" w:rsidRPr="00646D82">
              <w:rPr>
                <w:rFonts w:eastAsia="Calibri"/>
                <w:snapToGrid w:val="0"/>
                <w:color w:val="000000"/>
                <w:kern w:val="22"/>
                <w:szCs w:val="22"/>
                <w:u w:color="000000"/>
              </w:rPr>
              <w:t xml:space="preserve"> </w:t>
            </w:r>
            <w:r w:rsidR="00200D03" w:rsidRPr="00646D82">
              <w:rPr>
                <w:rFonts w:eastAsia="Calibri"/>
                <w:snapToGrid w:val="0"/>
                <w:color w:val="000000"/>
                <w:kern w:val="22"/>
                <w:szCs w:val="22"/>
                <w:u w:color="000000"/>
              </w:rPr>
              <w:t xml:space="preserve">Number and percentage of Parties </w:t>
            </w:r>
            <w:r w:rsidR="00200D03" w:rsidRPr="00646D82">
              <w:rPr>
                <w:rFonts w:eastAsia="SimSun"/>
                <w:kern w:val="22"/>
                <w:szCs w:val="22"/>
              </w:rPr>
              <w:t>requiring prior informed consent for access to genetic resources that received non-monetary benefits from granting access to genetic resources since entry into force of the Protocol</w:t>
            </w:r>
          </w:p>
        </w:tc>
        <w:tc>
          <w:tcPr>
            <w:tcW w:w="1104" w:type="dxa"/>
            <w:shd w:val="clear" w:color="auto" w:fill="auto"/>
            <w:vAlign w:val="center"/>
          </w:tcPr>
          <w:p w14:paraId="65776241" w14:textId="77777777" w:rsidR="00200D03" w:rsidRPr="00646D82" w:rsidRDefault="00200D03" w:rsidP="00200D03">
            <w:pPr>
              <w:spacing w:line="276" w:lineRule="auto"/>
              <w:jc w:val="center"/>
              <w:rPr>
                <w:rFonts w:eastAsia="Calibri"/>
                <w:szCs w:val="22"/>
              </w:rPr>
            </w:pPr>
            <w:r w:rsidRPr="00646D82">
              <w:rPr>
                <w:rFonts w:eastAsia="Calibri"/>
                <w:szCs w:val="22"/>
              </w:rPr>
              <w:t>(b)</w:t>
            </w:r>
          </w:p>
        </w:tc>
        <w:tc>
          <w:tcPr>
            <w:tcW w:w="1506" w:type="dxa"/>
            <w:shd w:val="clear" w:color="auto" w:fill="auto"/>
            <w:vAlign w:val="center"/>
          </w:tcPr>
          <w:p w14:paraId="30014DA0" w14:textId="77777777" w:rsidR="00200D03" w:rsidRPr="00646D82" w:rsidRDefault="00200D03" w:rsidP="00200D03">
            <w:pPr>
              <w:spacing w:before="120" w:after="120"/>
              <w:jc w:val="center"/>
              <w:rPr>
                <w:rFonts w:eastAsia="SimSun"/>
                <w:kern w:val="22"/>
                <w:szCs w:val="22"/>
              </w:rPr>
            </w:pPr>
            <w:r w:rsidRPr="00646D82">
              <w:rPr>
                <w:rFonts w:eastAsia="SimSun"/>
                <w:kern w:val="22"/>
                <w:szCs w:val="22"/>
              </w:rPr>
              <w:t>Not conclusive data</w:t>
            </w:r>
          </w:p>
        </w:tc>
        <w:tc>
          <w:tcPr>
            <w:tcW w:w="1321" w:type="dxa"/>
            <w:shd w:val="clear" w:color="auto" w:fill="auto"/>
          </w:tcPr>
          <w:p w14:paraId="3D0BD030" w14:textId="77777777" w:rsidR="00200D03" w:rsidRPr="00646D82" w:rsidRDefault="00200D03" w:rsidP="00200D03">
            <w:pPr>
              <w:spacing w:before="120" w:after="120"/>
              <w:rPr>
                <w:rFonts w:eastAsia="SimSun"/>
                <w:kern w:val="22"/>
                <w:szCs w:val="22"/>
              </w:rPr>
            </w:pPr>
            <w:r w:rsidRPr="00646D82">
              <w:rPr>
                <w:rFonts w:eastAsia="SimSun"/>
                <w:kern w:val="22"/>
                <w:szCs w:val="22"/>
              </w:rPr>
              <w:t>Q.18 requires revision</w:t>
            </w:r>
          </w:p>
        </w:tc>
      </w:tr>
      <w:tr w:rsidR="00200D03" w:rsidRPr="00646D82" w14:paraId="35520302" w14:textId="77777777" w:rsidTr="00EE1F78">
        <w:trPr>
          <w:jc w:val="center"/>
        </w:trPr>
        <w:tc>
          <w:tcPr>
            <w:tcW w:w="5552" w:type="dxa"/>
            <w:shd w:val="clear" w:color="auto" w:fill="auto"/>
          </w:tcPr>
          <w:p w14:paraId="3F879F1B" w14:textId="6CAE0D26" w:rsidR="00200D03" w:rsidRPr="00646D82" w:rsidRDefault="005E21B1" w:rsidP="00616891">
            <w:pPr>
              <w:pStyle w:val="ListParagraph"/>
              <w:numPr>
                <w:ilvl w:val="0"/>
                <w:numId w:val="31"/>
              </w:numPr>
              <w:spacing w:before="120" w:after="120"/>
              <w:ind w:left="314"/>
              <w:rPr>
                <w:rFonts w:eastAsia="SimSun"/>
                <w:kern w:val="22"/>
                <w:szCs w:val="22"/>
              </w:rPr>
            </w:pPr>
            <w:r w:rsidRPr="00646D82">
              <w:rPr>
                <w:rFonts w:eastAsia="Calibri"/>
                <w:i/>
                <w:snapToGrid w:val="0"/>
                <w:color w:val="000000"/>
                <w:kern w:val="22"/>
                <w:szCs w:val="22"/>
                <w:u w:color="000000"/>
              </w:rPr>
              <w:t>Revised</w:t>
            </w:r>
            <w:r w:rsidR="007C500E" w:rsidRPr="00646D82">
              <w:rPr>
                <w:rFonts w:eastAsia="Calibri"/>
                <w:i/>
                <w:snapToGrid w:val="0"/>
                <w:color w:val="000000"/>
                <w:kern w:val="22"/>
                <w:szCs w:val="22"/>
                <w:u w:color="000000"/>
              </w:rPr>
              <w:t>:</w:t>
            </w:r>
            <w:r w:rsidR="007C500E" w:rsidRPr="00646D82">
              <w:rPr>
                <w:rFonts w:eastAsia="Calibri"/>
                <w:snapToGrid w:val="0"/>
                <w:color w:val="000000"/>
                <w:kern w:val="22"/>
                <w:szCs w:val="22"/>
                <w:u w:color="000000"/>
              </w:rPr>
              <w:t xml:space="preserve"> </w:t>
            </w:r>
            <w:r w:rsidR="00200D03" w:rsidRPr="00646D82">
              <w:rPr>
                <w:rFonts w:eastAsia="Calibri"/>
                <w:snapToGrid w:val="0"/>
                <w:color w:val="000000"/>
                <w:kern w:val="22"/>
                <w:szCs w:val="22"/>
                <w:u w:color="000000"/>
              </w:rPr>
              <w:t xml:space="preserve">Number and percentage of Parties </w:t>
            </w:r>
            <w:r w:rsidR="00200D03" w:rsidRPr="00646D82">
              <w:rPr>
                <w:rFonts w:eastAsia="SimSun"/>
                <w:kern w:val="22"/>
                <w:szCs w:val="22"/>
              </w:rPr>
              <w:t>with indigenous peoples and local communities in their country that received monetary benefits from granting access to traditional knowledge associated with genetic resources</w:t>
            </w:r>
          </w:p>
        </w:tc>
        <w:tc>
          <w:tcPr>
            <w:tcW w:w="1104" w:type="dxa"/>
            <w:shd w:val="clear" w:color="auto" w:fill="auto"/>
            <w:vAlign w:val="center"/>
          </w:tcPr>
          <w:p w14:paraId="50EFAD25" w14:textId="77777777" w:rsidR="00200D03" w:rsidRPr="00646D82" w:rsidRDefault="00200D03" w:rsidP="00200D03">
            <w:pPr>
              <w:spacing w:line="276" w:lineRule="auto"/>
              <w:jc w:val="center"/>
              <w:rPr>
                <w:rFonts w:eastAsia="Calibri"/>
                <w:szCs w:val="22"/>
              </w:rPr>
            </w:pPr>
            <w:r w:rsidRPr="00646D82">
              <w:rPr>
                <w:rFonts w:eastAsia="Calibri"/>
                <w:szCs w:val="22"/>
              </w:rPr>
              <w:t>(b)</w:t>
            </w:r>
          </w:p>
        </w:tc>
        <w:tc>
          <w:tcPr>
            <w:tcW w:w="1506" w:type="dxa"/>
            <w:shd w:val="clear" w:color="auto" w:fill="auto"/>
            <w:vAlign w:val="center"/>
          </w:tcPr>
          <w:p w14:paraId="15D23238" w14:textId="77777777" w:rsidR="00200D03" w:rsidRPr="00646D82" w:rsidRDefault="00200D03" w:rsidP="00200D03">
            <w:pPr>
              <w:spacing w:before="120" w:after="120"/>
              <w:jc w:val="center"/>
              <w:rPr>
                <w:rFonts w:eastAsia="SimSun"/>
                <w:kern w:val="22"/>
                <w:szCs w:val="22"/>
              </w:rPr>
            </w:pPr>
            <w:r w:rsidRPr="00646D82">
              <w:rPr>
                <w:rFonts w:eastAsia="SimSun"/>
                <w:kern w:val="22"/>
                <w:szCs w:val="22"/>
              </w:rPr>
              <w:t>Not conclusive data</w:t>
            </w:r>
          </w:p>
        </w:tc>
        <w:tc>
          <w:tcPr>
            <w:tcW w:w="1321" w:type="dxa"/>
            <w:shd w:val="clear" w:color="auto" w:fill="auto"/>
          </w:tcPr>
          <w:p w14:paraId="3BDD56A6" w14:textId="77777777" w:rsidR="00200D03" w:rsidRPr="00646D82" w:rsidRDefault="00200D03" w:rsidP="00200D03">
            <w:pPr>
              <w:spacing w:before="120" w:after="120"/>
              <w:rPr>
                <w:rFonts w:eastAsia="SimSun"/>
                <w:kern w:val="22"/>
                <w:szCs w:val="22"/>
              </w:rPr>
            </w:pPr>
            <w:r w:rsidRPr="00646D82">
              <w:rPr>
                <w:rFonts w:eastAsia="SimSun"/>
                <w:kern w:val="22"/>
                <w:szCs w:val="22"/>
              </w:rPr>
              <w:t>Q.18 requires revision</w:t>
            </w:r>
          </w:p>
        </w:tc>
      </w:tr>
      <w:tr w:rsidR="00200D03" w:rsidRPr="00646D82" w14:paraId="7C8BC0B0" w14:textId="77777777" w:rsidTr="00EE1F78">
        <w:trPr>
          <w:jc w:val="center"/>
        </w:trPr>
        <w:tc>
          <w:tcPr>
            <w:tcW w:w="5552" w:type="dxa"/>
            <w:shd w:val="clear" w:color="auto" w:fill="auto"/>
          </w:tcPr>
          <w:p w14:paraId="264A425D" w14:textId="259497AD" w:rsidR="00200D03" w:rsidRPr="00646D82" w:rsidRDefault="007C500E" w:rsidP="00616891">
            <w:pPr>
              <w:pStyle w:val="ListParagraph"/>
              <w:numPr>
                <w:ilvl w:val="0"/>
                <w:numId w:val="31"/>
              </w:numPr>
              <w:spacing w:before="120" w:after="120"/>
              <w:ind w:left="314"/>
              <w:rPr>
                <w:rFonts w:eastAsia="SimSun"/>
                <w:kern w:val="22"/>
                <w:szCs w:val="22"/>
              </w:rPr>
            </w:pPr>
            <w:r w:rsidRPr="00646D82">
              <w:rPr>
                <w:rFonts w:eastAsia="Calibri"/>
                <w:i/>
                <w:snapToGrid w:val="0"/>
                <w:color w:val="000000"/>
                <w:kern w:val="22"/>
                <w:szCs w:val="22"/>
                <w:u w:color="000000"/>
              </w:rPr>
              <w:t>New:</w:t>
            </w:r>
            <w:r w:rsidRPr="00646D82">
              <w:rPr>
                <w:rFonts w:eastAsia="Calibri"/>
                <w:snapToGrid w:val="0"/>
                <w:color w:val="000000"/>
                <w:kern w:val="22"/>
                <w:szCs w:val="22"/>
                <w:u w:color="000000"/>
              </w:rPr>
              <w:t xml:space="preserve"> </w:t>
            </w:r>
            <w:r w:rsidR="00200D03" w:rsidRPr="00646D82">
              <w:rPr>
                <w:rFonts w:eastAsia="SimSun"/>
                <w:kern w:val="22"/>
                <w:szCs w:val="22"/>
              </w:rPr>
              <w:t>Amount of monetary benefits</w:t>
            </w:r>
            <w:r w:rsidR="009F3366" w:rsidRPr="00646D82">
              <w:rPr>
                <w:rFonts w:eastAsia="SimSun"/>
                <w:kern w:val="22"/>
                <w:szCs w:val="22"/>
              </w:rPr>
              <w:t xml:space="preserve"> (in USD)</w:t>
            </w:r>
            <w:r w:rsidR="00200D03" w:rsidRPr="00646D82">
              <w:rPr>
                <w:rFonts w:eastAsia="SimSun"/>
                <w:kern w:val="22"/>
                <w:szCs w:val="22"/>
              </w:rPr>
              <w:t xml:space="preserve"> received from granting access to traditional knowledge associated with genetic resources </w:t>
            </w:r>
          </w:p>
        </w:tc>
        <w:tc>
          <w:tcPr>
            <w:tcW w:w="1104" w:type="dxa"/>
            <w:shd w:val="clear" w:color="auto" w:fill="auto"/>
            <w:vAlign w:val="center"/>
          </w:tcPr>
          <w:p w14:paraId="09E0AD13" w14:textId="77777777" w:rsidR="00200D03" w:rsidRPr="00646D82" w:rsidRDefault="00200D03" w:rsidP="00200D03">
            <w:pPr>
              <w:spacing w:line="276" w:lineRule="auto"/>
              <w:jc w:val="center"/>
              <w:rPr>
                <w:rFonts w:eastAsia="Calibri"/>
                <w:szCs w:val="22"/>
              </w:rPr>
            </w:pPr>
            <w:r w:rsidRPr="00646D82">
              <w:rPr>
                <w:rFonts w:eastAsia="Calibri"/>
                <w:szCs w:val="22"/>
              </w:rPr>
              <w:t>(b)</w:t>
            </w:r>
          </w:p>
        </w:tc>
        <w:tc>
          <w:tcPr>
            <w:tcW w:w="1506" w:type="dxa"/>
            <w:shd w:val="clear" w:color="auto" w:fill="auto"/>
            <w:vAlign w:val="center"/>
          </w:tcPr>
          <w:p w14:paraId="0B5C69BA" w14:textId="77777777" w:rsidR="00200D03" w:rsidRPr="00646D82" w:rsidRDefault="00200D03" w:rsidP="00200D03">
            <w:pPr>
              <w:spacing w:before="120" w:after="120"/>
              <w:jc w:val="center"/>
              <w:rPr>
                <w:rFonts w:eastAsia="SimSun"/>
                <w:kern w:val="22"/>
                <w:szCs w:val="22"/>
              </w:rPr>
            </w:pPr>
            <w:r w:rsidRPr="00646D82">
              <w:rPr>
                <w:rFonts w:eastAsia="SimSun"/>
                <w:kern w:val="22"/>
                <w:szCs w:val="22"/>
              </w:rPr>
              <w:t>Not conclusive data</w:t>
            </w:r>
          </w:p>
        </w:tc>
        <w:tc>
          <w:tcPr>
            <w:tcW w:w="1321" w:type="dxa"/>
            <w:shd w:val="clear" w:color="auto" w:fill="auto"/>
          </w:tcPr>
          <w:p w14:paraId="7350C468" w14:textId="77777777" w:rsidR="00200D03" w:rsidRPr="00646D82" w:rsidRDefault="00200D03" w:rsidP="00200D03">
            <w:pPr>
              <w:spacing w:before="120" w:after="120"/>
              <w:rPr>
                <w:rFonts w:eastAsia="SimSun"/>
                <w:kern w:val="22"/>
                <w:szCs w:val="22"/>
              </w:rPr>
            </w:pPr>
            <w:r w:rsidRPr="00646D82">
              <w:rPr>
                <w:rFonts w:eastAsia="SimSun"/>
                <w:kern w:val="22"/>
                <w:szCs w:val="22"/>
              </w:rPr>
              <w:t>Q.18 requires revision</w:t>
            </w:r>
          </w:p>
        </w:tc>
      </w:tr>
      <w:tr w:rsidR="00200D03" w:rsidRPr="00646D82" w14:paraId="10C7C27A" w14:textId="77777777" w:rsidTr="00EE1F78">
        <w:trPr>
          <w:jc w:val="center"/>
        </w:trPr>
        <w:tc>
          <w:tcPr>
            <w:tcW w:w="5552" w:type="dxa"/>
            <w:tcBorders>
              <w:bottom w:val="single" w:sz="4" w:space="0" w:color="auto"/>
            </w:tcBorders>
            <w:shd w:val="clear" w:color="auto" w:fill="auto"/>
          </w:tcPr>
          <w:p w14:paraId="186C2A55" w14:textId="1ADCE2A8" w:rsidR="00200D03" w:rsidRPr="00646D82" w:rsidRDefault="005E21B1" w:rsidP="00D27E29">
            <w:pPr>
              <w:pStyle w:val="ListParagraph"/>
              <w:numPr>
                <w:ilvl w:val="0"/>
                <w:numId w:val="31"/>
              </w:numPr>
              <w:spacing w:before="120" w:after="120"/>
              <w:ind w:left="314"/>
              <w:rPr>
                <w:rFonts w:eastAsia="SimSun"/>
                <w:kern w:val="22"/>
                <w:szCs w:val="22"/>
              </w:rPr>
            </w:pPr>
            <w:r w:rsidRPr="00646D82">
              <w:rPr>
                <w:rFonts w:eastAsia="Calibri"/>
                <w:i/>
                <w:snapToGrid w:val="0"/>
                <w:color w:val="000000"/>
                <w:kern w:val="22"/>
                <w:szCs w:val="22"/>
                <w:u w:color="000000"/>
              </w:rPr>
              <w:t>Revised</w:t>
            </w:r>
            <w:r w:rsidR="007C500E" w:rsidRPr="00646D82">
              <w:rPr>
                <w:rFonts w:eastAsia="Calibri"/>
                <w:i/>
                <w:snapToGrid w:val="0"/>
                <w:color w:val="000000"/>
                <w:kern w:val="22"/>
                <w:szCs w:val="22"/>
                <w:u w:color="000000"/>
              </w:rPr>
              <w:t>:</w:t>
            </w:r>
            <w:r w:rsidR="007C500E" w:rsidRPr="00646D82">
              <w:rPr>
                <w:rFonts w:eastAsia="Calibri"/>
                <w:snapToGrid w:val="0"/>
                <w:color w:val="000000"/>
                <w:kern w:val="22"/>
                <w:szCs w:val="22"/>
                <w:u w:color="000000"/>
              </w:rPr>
              <w:t xml:space="preserve"> </w:t>
            </w:r>
            <w:r w:rsidR="00200D03" w:rsidRPr="00646D82">
              <w:rPr>
                <w:rFonts w:eastAsia="Calibri"/>
                <w:snapToGrid w:val="0"/>
                <w:color w:val="000000"/>
                <w:kern w:val="22"/>
                <w:szCs w:val="22"/>
                <w:u w:color="000000"/>
              </w:rPr>
              <w:t xml:space="preserve">Number and percentage of Parties </w:t>
            </w:r>
            <w:r w:rsidR="00200D03" w:rsidRPr="00646D82">
              <w:rPr>
                <w:rFonts w:eastAsia="SimSun"/>
                <w:kern w:val="22"/>
                <w:szCs w:val="22"/>
              </w:rPr>
              <w:t>with indigenous peoples and local communities in their country that received non-monetary benefits from granting access to traditional knowledge associated with genetic resources</w:t>
            </w:r>
          </w:p>
        </w:tc>
        <w:tc>
          <w:tcPr>
            <w:tcW w:w="1104" w:type="dxa"/>
            <w:tcBorders>
              <w:bottom w:val="single" w:sz="4" w:space="0" w:color="auto"/>
            </w:tcBorders>
            <w:shd w:val="clear" w:color="auto" w:fill="auto"/>
            <w:vAlign w:val="center"/>
          </w:tcPr>
          <w:p w14:paraId="08A0C53E" w14:textId="77777777" w:rsidR="00200D03" w:rsidRPr="00646D82" w:rsidRDefault="00200D03" w:rsidP="00200D03">
            <w:pPr>
              <w:spacing w:line="276" w:lineRule="auto"/>
              <w:jc w:val="center"/>
              <w:rPr>
                <w:rFonts w:eastAsia="Calibri"/>
                <w:szCs w:val="22"/>
              </w:rPr>
            </w:pPr>
            <w:r w:rsidRPr="00646D82">
              <w:rPr>
                <w:rFonts w:eastAsia="Calibri"/>
                <w:szCs w:val="22"/>
              </w:rPr>
              <w:t>(b)</w:t>
            </w:r>
          </w:p>
        </w:tc>
        <w:tc>
          <w:tcPr>
            <w:tcW w:w="1506" w:type="dxa"/>
            <w:tcBorders>
              <w:bottom w:val="single" w:sz="4" w:space="0" w:color="auto"/>
            </w:tcBorders>
            <w:shd w:val="clear" w:color="auto" w:fill="auto"/>
            <w:vAlign w:val="center"/>
          </w:tcPr>
          <w:p w14:paraId="1ABB7E25" w14:textId="77777777" w:rsidR="00200D03" w:rsidRPr="00646D82" w:rsidRDefault="00200D03" w:rsidP="00200D03">
            <w:pPr>
              <w:spacing w:before="120" w:after="120"/>
              <w:jc w:val="center"/>
              <w:rPr>
                <w:rFonts w:eastAsia="SimSun"/>
                <w:kern w:val="22"/>
                <w:szCs w:val="22"/>
              </w:rPr>
            </w:pPr>
            <w:r w:rsidRPr="00646D82">
              <w:rPr>
                <w:rFonts w:eastAsia="SimSun"/>
                <w:kern w:val="22"/>
                <w:szCs w:val="22"/>
              </w:rPr>
              <w:t>Not conclusive data</w:t>
            </w:r>
          </w:p>
        </w:tc>
        <w:tc>
          <w:tcPr>
            <w:tcW w:w="1321" w:type="dxa"/>
            <w:tcBorders>
              <w:bottom w:val="single" w:sz="4" w:space="0" w:color="auto"/>
            </w:tcBorders>
            <w:shd w:val="clear" w:color="auto" w:fill="auto"/>
          </w:tcPr>
          <w:p w14:paraId="25E301C6" w14:textId="77777777" w:rsidR="00200D03" w:rsidRPr="00646D82" w:rsidRDefault="00200D03" w:rsidP="00200D03">
            <w:pPr>
              <w:spacing w:before="120" w:after="120"/>
              <w:rPr>
                <w:rFonts w:eastAsia="SimSun"/>
                <w:kern w:val="22"/>
                <w:szCs w:val="22"/>
              </w:rPr>
            </w:pPr>
            <w:r w:rsidRPr="00646D82">
              <w:rPr>
                <w:rFonts w:eastAsia="SimSun"/>
                <w:kern w:val="22"/>
                <w:szCs w:val="22"/>
              </w:rPr>
              <w:t>Q.18 requires revision</w:t>
            </w:r>
          </w:p>
        </w:tc>
      </w:tr>
      <w:tr w:rsidR="00200D03" w:rsidRPr="00646D82" w14:paraId="769FC3AC" w14:textId="77777777" w:rsidTr="00D27E29">
        <w:trPr>
          <w:jc w:val="center"/>
        </w:trPr>
        <w:tc>
          <w:tcPr>
            <w:tcW w:w="9483" w:type="dxa"/>
            <w:gridSpan w:val="4"/>
            <w:tcBorders>
              <w:bottom w:val="single" w:sz="4" w:space="0" w:color="auto"/>
            </w:tcBorders>
            <w:shd w:val="pct5" w:color="auto" w:fill="auto"/>
            <w:vAlign w:val="center"/>
          </w:tcPr>
          <w:p w14:paraId="5A7C88FA" w14:textId="77777777" w:rsidR="00200D03" w:rsidRPr="00646D82" w:rsidRDefault="00200D03" w:rsidP="00616891">
            <w:pPr>
              <w:pStyle w:val="ListParagraph"/>
              <w:spacing w:before="120" w:after="120"/>
              <w:ind w:left="314"/>
              <w:rPr>
                <w:rFonts w:eastAsia="SimSun"/>
                <w:b/>
                <w:kern w:val="22"/>
                <w:szCs w:val="22"/>
              </w:rPr>
            </w:pPr>
            <w:r w:rsidRPr="00646D82">
              <w:rPr>
                <w:rFonts w:eastAsia="SimSun"/>
                <w:b/>
                <w:kern w:val="22"/>
                <w:szCs w:val="22"/>
              </w:rPr>
              <w:t>Legislative, administrative or policy measures on ABS: Fair and equitable-sharing (Article 5)</w:t>
            </w:r>
          </w:p>
        </w:tc>
      </w:tr>
      <w:tr w:rsidR="00200D03" w:rsidRPr="00646D82" w14:paraId="7CB8C0FC" w14:textId="77777777" w:rsidTr="00EE1F78">
        <w:trPr>
          <w:jc w:val="center"/>
        </w:trPr>
        <w:tc>
          <w:tcPr>
            <w:tcW w:w="5552" w:type="dxa"/>
            <w:shd w:val="clear" w:color="auto" w:fill="auto"/>
          </w:tcPr>
          <w:p w14:paraId="6A228A0E"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Calibri"/>
                <w:snapToGrid w:val="0"/>
                <w:color w:val="000000"/>
                <w:kern w:val="22"/>
                <w:szCs w:val="22"/>
                <w:u w:color="000000"/>
              </w:rPr>
              <w:t xml:space="preserve">Number and percentage </w:t>
            </w:r>
            <w:r w:rsidRPr="00646D82">
              <w:rPr>
                <w:rFonts w:eastAsia="SimSun"/>
                <w:kern w:val="22"/>
                <w:szCs w:val="22"/>
              </w:rPr>
              <w:t>of Parties with legislative, administrative or policy measures to implement Article 5.1 (genetic resources)</w:t>
            </w:r>
          </w:p>
        </w:tc>
        <w:tc>
          <w:tcPr>
            <w:tcW w:w="1104" w:type="dxa"/>
            <w:shd w:val="clear" w:color="auto" w:fill="auto"/>
            <w:vAlign w:val="center"/>
          </w:tcPr>
          <w:p w14:paraId="4A171C91" w14:textId="77777777" w:rsidR="00200D03" w:rsidRPr="00646D82" w:rsidRDefault="00200D03" w:rsidP="00200D03">
            <w:pPr>
              <w:spacing w:line="276" w:lineRule="auto"/>
              <w:jc w:val="center"/>
              <w:rPr>
                <w:rFonts w:eastAsia="Calibri"/>
                <w:szCs w:val="22"/>
              </w:rPr>
            </w:pPr>
            <w:r w:rsidRPr="00646D82">
              <w:rPr>
                <w:snapToGrid w:val="0"/>
                <w:szCs w:val="22"/>
              </w:rPr>
              <w:t>(a)</w:t>
            </w:r>
          </w:p>
        </w:tc>
        <w:tc>
          <w:tcPr>
            <w:tcW w:w="1506" w:type="dxa"/>
            <w:shd w:val="clear" w:color="auto" w:fill="auto"/>
            <w:vAlign w:val="center"/>
          </w:tcPr>
          <w:p w14:paraId="73AFCC93" w14:textId="04B394C4" w:rsidR="00200D03" w:rsidRPr="00646D82" w:rsidRDefault="00200D03" w:rsidP="001F04D0">
            <w:pPr>
              <w:spacing w:before="120" w:after="120"/>
              <w:jc w:val="center"/>
              <w:rPr>
                <w:rFonts w:eastAsia="SimSun"/>
                <w:kern w:val="22"/>
                <w:szCs w:val="22"/>
              </w:rPr>
            </w:pPr>
            <w:r w:rsidRPr="00646D82">
              <w:rPr>
                <w:rFonts w:eastAsia="SimSun"/>
                <w:kern w:val="22"/>
                <w:szCs w:val="22"/>
              </w:rPr>
              <w:t xml:space="preserve">46 </w:t>
            </w:r>
            <w:r w:rsidR="000C0890" w:rsidRPr="00646D82">
              <w:rPr>
                <w:rFonts w:eastAsia="SimSun"/>
                <w:kern w:val="22"/>
                <w:szCs w:val="22"/>
              </w:rPr>
              <w:t>(44%)</w:t>
            </w:r>
          </w:p>
        </w:tc>
        <w:tc>
          <w:tcPr>
            <w:tcW w:w="1321" w:type="dxa"/>
            <w:shd w:val="clear" w:color="auto" w:fill="auto"/>
          </w:tcPr>
          <w:p w14:paraId="3A4824CE" w14:textId="77777777" w:rsidR="00200D03" w:rsidRPr="00646D82" w:rsidRDefault="00200D03" w:rsidP="00200D03">
            <w:pPr>
              <w:spacing w:before="120" w:after="120"/>
              <w:rPr>
                <w:rFonts w:eastAsia="SimSun"/>
                <w:kern w:val="22"/>
                <w:szCs w:val="22"/>
              </w:rPr>
            </w:pPr>
            <w:r w:rsidRPr="00646D82">
              <w:rPr>
                <w:rFonts w:eastAsia="SimSun"/>
                <w:kern w:val="22"/>
                <w:szCs w:val="22"/>
              </w:rPr>
              <w:t>Q.20</w:t>
            </w:r>
          </w:p>
        </w:tc>
      </w:tr>
      <w:tr w:rsidR="00200D03" w:rsidRPr="00646D82" w14:paraId="7D9E583D" w14:textId="77777777" w:rsidTr="00EE1F78">
        <w:trPr>
          <w:jc w:val="center"/>
        </w:trPr>
        <w:tc>
          <w:tcPr>
            <w:tcW w:w="5552" w:type="dxa"/>
            <w:shd w:val="clear" w:color="auto" w:fill="auto"/>
          </w:tcPr>
          <w:p w14:paraId="56D06EB1"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Calibri"/>
                <w:snapToGrid w:val="0"/>
                <w:color w:val="000000"/>
                <w:kern w:val="22"/>
                <w:szCs w:val="22"/>
                <w:u w:color="000000"/>
              </w:rPr>
              <w:t xml:space="preserve">Number and percentage </w:t>
            </w:r>
            <w:r w:rsidRPr="00646D82">
              <w:rPr>
                <w:rFonts w:eastAsia="SimSun"/>
                <w:kern w:val="22"/>
                <w:szCs w:val="22"/>
              </w:rPr>
              <w:t>of Parties with legislative, administrative or policy measures to implement Article 5.2 (genetic resources held by IPLCs)</w:t>
            </w:r>
          </w:p>
        </w:tc>
        <w:tc>
          <w:tcPr>
            <w:tcW w:w="1104" w:type="dxa"/>
            <w:shd w:val="clear" w:color="auto" w:fill="auto"/>
            <w:vAlign w:val="center"/>
          </w:tcPr>
          <w:p w14:paraId="153372EA" w14:textId="77777777" w:rsidR="00200D03" w:rsidRPr="00646D82" w:rsidRDefault="00200D03" w:rsidP="00200D03">
            <w:pPr>
              <w:spacing w:line="276" w:lineRule="auto"/>
              <w:jc w:val="center"/>
              <w:rPr>
                <w:rFonts w:eastAsia="Calibri"/>
                <w:szCs w:val="22"/>
              </w:rPr>
            </w:pPr>
            <w:r w:rsidRPr="00646D82">
              <w:rPr>
                <w:snapToGrid w:val="0"/>
                <w:szCs w:val="22"/>
              </w:rPr>
              <w:t>(a)</w:t>
            </w:r>
          </w:p>
        </w:tc>
        <w:tc>
          <w:tcPr>
            <w:tcW w:w="1506" w:type="dxa"/>
            <w:shd w:val="clear" w:color="auto" w:fill="auto"/>
            <w:vAlign w:val="center"/>
          </w:tcPr>
          <w:p w14:paraId="71CC4316" w14:textId="4798D75C" w:rsidR="00200D03" w:rsidRPr="00646D82" w:rsidRDefault="00200D03" w:rsidP="001F04D0">
            <w:pPr>
              <w:spacing w:before="120" w:after="120"/>
              <w:jc w:val="center"/>
              <w:rPr>
                <w:rFonts w:eastAsia="SimSun"/>
                <w:kern w:val="22"/>
                <w:szCs w:val="22"/>
              </w:rPr>
            </w:pPr>
            <w:r w:rsidRPr="00646D82">
              <w:rPr>
                <w:rFonts w:eastAsia="SimSun"/>
                <w:kern w:val="22"/>
                <w:szCs w:val="22"/>
              </w:rPr>
              <w:t xml:space="preserve">42 </w:t>
            </w:r>
            <w:r w:rsidR="000C0890" w:rsidRPr="00646D82">
              <w:rPr>
                <w:rFonts w:eastAsia="SimSun"/>
                <w:kern w:val="22"/>
                <w:szCs w:val="22"/>
              </w:rPr>
              <w:t>(40%)</w:t>
            </w:r>
          </w:p>
        </w:tc>
        <w:tc>
          <w:tcPr>
            <w:tcW w:w="1321" w:type="dxa"/>
            <w:shd w:val="clear" w:color="auto" w:fill="auto"/>
          </w:tcPr>
          <w:p w14:paraId="44369927" w14:textId="77777777" w:rsidR="00200D03" w:rsidRPr="00646D82" w:rsidRDefault="00200D03" w:rsidP="00200D03">
            <w:pPr>
              <w:spacing w:before="120" w:after="120"/>
              <w:rPr>
                <w:rFonts w:eastAsia="SimSun"/>
                <w:kern w:val="22"/>
                <w:szCs w:val="22"/>
              </w:rPr>
            </w:pPr>
            <w:r w:rsidRPr="00646D82">
              <w:rPr>
                <w:rFonts w:eastAsia="SimSun"/>
                <w:kern w:val="22"/>
                <w:szCs w:val="22"/>
              </w:rPr>
              <w:t>Q.21</w:t>
            </w:r>
          </w:p>
        </w:tc>
      </w:tr>
      <w:tr w:rsidR="00200D03" w:rsidRPr="00646D82" w14:paraId="36454657" w14:textId="77777777" w:rsidTr="00EE1F78">
        <w:trPr>
          <w:jc w:val="center"/>
        </w:trPr>
        <w:tc>
          <w:tcPr>
            <w:tcW w:w="5552" w:type="dxa"/>
            <w:tcBorders>
              <w:bottom w:val="single" w:sz="4" w:space="0" w:color="auto"/>
            </w:tcBorders>
            <w:shd w:val="clear" w:color="auto" w:fill="auto"/>
          </w:tcPr>
          <w:p w14:paraId="3EAC0BA7"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Calibri"/>
                <w:snapToGrid w:val="0"/>
                <w:color w:val="000000"/>
                <w:kern w:val="22"/>
                <w:szCs w:val="22"/>
                <w:u w:color="000000"/>
              </w:rPr>
              <w:t xml:space="preserve">Number and percentage </w:t>
            </w:r>
            <w:r w:rsidRPr="00646D82">
              <w:rPr>
                <w:rFonts w:eastAsia="SimSun"/>
                <w:kern w:val="22"/>
                <w:szCs w:val="22"/>
              </w:rPr>
              <w:t>of Parties with legislative, administrative or policy measures to implement Article 5.5 (traditional knowledge associated with genetic resources)</w:t>
            </w:r>
          </w:p>
        </w:tc>
        <w:tc>
          <w:tcPr>
            <w:tcW w:w="1104" w:type="dxa"/>
            <w:tcBorders>
              <w:bottom w:val="single" w:sz="4" w:space="0" w:color="auto"/>
            </w:tcBorders>
            <w:shd w:val="clear" w:color="auto" w:fill="auto"/>
            <w:vAlign w:val="center"/>
          </w:tcPr>
          <w:p w14:paraId="6947EA4B" w14:textId="77777777" w:rsidR="00200D03" w:rsidRPr="00646D82" w:rsidRDefault="00200D03" w:rsidP="00200D03">
            <w:pPr>
              <w:spacing w:line="276" w:lineRule="auto"/>
              <w:jc w:val="center"/>
              <w:rPr>
                <w:rFonts w:eastAsia="Calibri"/>
                <w:szCs w:val="22"/>
              </w:rPr>
            </w:pPr>
            <w:r w:rsidRPr="00646D82">
              <w:rPr>
                <w:snapToGrid w:val="0"/>
                <w:szCs w:val="22"/>
              </w:rPr>
              <w:t>(a)</w:t>
            </w:r>
          </w:p>
        </w:tc>
        <w:tc>
          <w:tcPr>
            <w:tcW w:w="1506" w:type="dxa"/>
            <w:tcBorders>
              <w:bottom w:val="single" w:sz="4" w:space="0" w:color="auto"/>
            </w:tcBorders>
            <w:shd w:val="clear" w:color="auto" w:fill="auto"/>
            <w:vAlign w:val="center"/>
          </w:tcPr>
          <w:p w14:paraId="06F43D47" w14:textId="7B3036CD" w:rsidR="00200D03" w:rsidRPr="00646D82" w:rsidRDefault="00200D03" w:rsidP="001F04D0">
            <w:pPr>
              <w:spacing w:before="120" w:after="120"/>
              <w:jc w:val="center"/>
              <w:rPr>
                <w:rFonts w:eastAsia="SimSun"/>
                <w:kern w:val="22"/>
                <w:szCs w:val="22"/>
              </w:rPr>
            </w:pPr>
            <w:r w:rsidRPr="00646D82">
              <w:rPr>
                <w:rFonts w:eastAsia="SimSun"/>
                <w:kern w:val="22"/>
                <w:szCs w:val="22"/>
              </w:rPr>
              <w:t>41</w:t>
            </w:r>
            <w:r w:rsidR="000C0890" w:rsidRPr="00646D82">
              <w:rPr>
                <w:rFonts w:eastAsia="SimSun"/>
                <w:kern w:val="22"/>
                <w:szCs w:val="22"/>
              </w:rPr>
              <w:t>(39%)</w:t>
            </w:r>
          </w:p>
        </w:tc>
        <w:tc>
          <w:tcPr>
            <w:tcW w:w="1321" w:type="dxa"/>
            <w:tcBorders>
              <w:bottom w:val="single" w:sz="4" w:space="0" w:color="auto"/>
            </w:tcBorders>
            <w:shd w:val="clear" w:color="auto" w:fill="auto"/>
          </w:tcPr>
          <w:p w14:paraId="62DF9433" w14:textId="77777777" w:rsidR="00200D03" w:rsidRPr="00646D82" w:rsidRDefault="00200D03" w:rsidP="00200D03">
            <w:pPr>
              <w:spacing w:before="120" w:after="120"/>
              <w:rPr>
                <w:rFonts w:eastAsia="SimSun"/>
                <w:kern w:val="22"/>
                <w:szCs w:val="22"/>
              </w:rPr>
            </w:pPr>
            <w:r w:rsidRPr="00646D82">
              <w:rPr>
                <w:rFonts w:eastAsia="SimSun"/>
                <w:kern w:val="22"/>
                <w:szCs w:val="22"/>
              </w:rPr>
              <w:t>Q.22</w:t>
            </w:r>
          </w:p>
        </w:tc>
      </w:tr>
      <w:tr w:rsidR="00200D03" w:rsidRPr="00646D82" w14:paraId="42EAFAE2" w14:textId="77777777" w:rsidTr="00D27E29">
        <w:trPr>
          <w:trHeight w:val="440"/>
          <w:jc w:val="center"/>
        </w:trPr>
        <w:tc>
          <w:tcPr>
            <w:tcW w:w="9483" w:type="dxa"/>
            <w:gridSpan w:val="4"/>
            <w:shd w:val="pct5" w:color="auto" w:fill="auto"/>
            <w:vAlign w:val="center"/>
          </w:tcPr>
          <w:p w14:paraId="1AA83AF8" w14:textId="77777777" w:rsidR="00200D03" w:rsidRPr="00646D82" w:rsidRDefault="00200D03" w:rsidP="00616891">
            <w:pPr>
              <w:pStyle w:val="ListParagraph"/>
              <w:spacing w:before="120" w:after="120"/>
              <w:ind w:left="314"/>
              <w:rPr>
                <w:rFonts w:eastAsia="SimSun"/>
                <w:b/>
                <w:kern w:val="22"/>
                <w:szCs w:val="22"/>
              </w:rPr>
            </w:pPr>
            <w:r w:rsidRPr="00646D82">
              <w:rPr>
                <w:rFonts w:eastAsia="SimSun"/>
                <w:b/>
                <w:kern w:val="22"/>
                <w:szCs w:val="22"/>
              </w:rPr>
              <w:t>Legislative, administrative or policy measures on ABS: Compliance with domestic legislation or regulatory requirements on ABS (Article 15 and 16) and monitoring the utilization of genetic resources (Article 17)</w:t>
            </w:r>
          </w:p>
        </w:tc>
      </w:tr>
      <w:tr w:rsidR="00200D03" w:rsidRPr="00646D82" w14:paraId="745B4DFC" w14:textId="77777777" w:rsidTr="00EE1F78">
        <w:trPr>
          <w:jc w:val="center"/>
        </w:trPr>
        <w:tc>
          <w:tcPr>
            <w:tcW w:w="5552" w:type="dxa"/>
            <w:shd w:val="clear" w:color="auto" w:fill="auto"/>
          </w:tcPr>
          <w:p w14:paraId="4BA7922F" w14:textId="77777777" w:rsidR="00200D03" w:rsidRPr="00646D82" w:rsidRDefault="00200D03" w:rsidP="00616891">
            <w:pPr>
              <w:pStyle w:val="ListParagraph"/>
              <w:numPr>
                <w:ilvl w:val="0"/>
                <w:numId w:val="31"/>
              </w:numPr>
              <w:spacing w:before="120" w:after="120"/>
              <w:ind w:left="314"/>
              <w:rPr>
                <w:snapToGrid w:val="0"/>
                <w:kern w:val="22"/>
                <w:szCs w:val="22"/>
              </w:rPr>
            </w:pPr>
            <w:r w:rsidRPr="00646D82">
              <w:rPr>
                <w:snapToGrid w:val="0"/>
                <w:kern w:val="22"/>
                <w:szCs w:val="22"/>
              </w:rPr>
              <w:t xml:space="preserve">Number and percentage of Parties that have taken appropriate, effective and proportionate legislative, administrative or policy </w:t>
            </w:r>
            <w:r w:rsidR="009F3366" w:rsidRPr="00646D82">
              <w:rPr>
                <w:snapToGrid w:val="0"/>
                <w:kern w:val="22"/>
                <w:szCs w:val="22"/>
              </w:rPr>
              <w:t xml:space="preserve">measures </w:t>
            </w:r>
            <w:r w:rsidRPr="00646D82">
              <w:rPr>
                <w:snapToGrid w:val="0"/>
                <w:kern w:val="22"/>
                <w:szCs w:val="22"/>
              </w:rPr>
              <w:t>to implement Article 15.1 (genetic resources)</w:t>
            </w:r>
          </w:p>
        </w:tc>
        <w:tc>
          <w:tcPr>
            <w:tcW w:w="1104" w:type="dxa"/>
            <w:shd w:val="clear" w:color="auto" w:fill="auto"/>
            <w:vAlign w:val="center"/>
          </w:tcPr>
          <w:p w14:paraId="769FE5FE" w14:textId="77777777" w:rsidR="00200D03" w:rsidRPr="00646D82" w:rsidRDefault="00200D03" w:rsidP="00200D03">
            <w:pPr>
              <w:spacing w:line="276" w:lineRule="auto"/>
              <w:jc w:val="center"/>
              <w:rPr>
                <w:rFonts w:eastAsia="Calibri"/>
                <w:szCs w:val="22"/>
              </w:rPr>
            </w:pPr>
            <w:r w:rsidRPr="00646D82">
              <w:rPr>
                <w:rFonts w:eastAsia="Calibri"/>
                <w:szCs w:val="22"/>
              </w:rPr>
              <w:t>(b)</w:t>
            </w:r>
          </w:p>
        </w:tc>
        <w:tc>
          <w:tcPr>
            <w:tcW w:w="1506" w:type="dxa"/>
            <w:shd w:val="clear" w:color="auto" w:fill="auto"/>
            <w:vAlign w:val="center"/>
          </w:tcPr>
          <w:p w14:paraId="6F474811" w14:textId="52BFF028" w:rsidR="00200D03" w:rsidRPr="00646D82" w:rsidRDefault="00200D03" w:rsidP="001F04D0">
            <w:pPr>
              <w:spacing w:before="120" w:after="120"/>
              <w:jc w:val="center"/>
              <w:rPr>
                <w:rFonts w:eastAsia="SimSun"/>
                <w:kern w:val="22"/>
                <w:szCs w:val="22"/>
              </w:rPr>
            </w:pPr>
            <w:r w:rsidRPr="00646D82">
              <w:rPr>
                <w:rFonts w:eastAsia="SimSun"/>
                <w:kern w:val="22"/>
                <w:szCs w:val="22"/>
              </w:rPr>
              <w:t xml:space="preserve">36 </w:t>
            </w:r>
            <w:r w:rsidR="000C0890" w:rsidRPr="00646D82">
              <w:rPr>
                <w:rFonts w:eastAsia="SimSun"/>
                <w:kern w:val="22"/>
                <w:szCs w:val="22"/>
              </w:rPr>
              <w:t>(34%)</w:t>
            </w:r>
          </w:p>
        </w:tc>
        <w:tc>
          <w:tcPr>
            <w:tcW w:w="1321" w:type="dxa"/>
            <w:shd w:val="clear" w:color="auto" w:fill="auto"/>
          </w:tcPr>
          <w:p w14:paraId="1CA4ABB0" w14:textId="77777777" w:rsidR="00200D03" w:rsidRPr="00646D82" w:rsidRDefault="00200D03" w:rsidP="00200D03">
            <w:pPr>
              <w:spacing w:before="120" w:after="120"/>
              <w:rPr>
                <w:snapToGrid w:val="0"/>
                <w:kern w:val="22"/>
                <w:szCs w:val="22"/>
              </w:rPr>
            </w:pPr>
            <w:r w:rsidRPr="00646D82">
              <w:rPr>
                <w:snapToGrid w:val="0"/>
                <w:kern w:val="22"/>
                <w:szCs w:val="22"/>
              </w:rPr>
              <w:t>Q.24</w:t>
            </w:r>
          </w:p>
        </w:tc>
      </w:tr>
      <w:tr w:rsidR="00200D03" w:rsidRPr="00646D82" w14:paraId="44BAB101" w14:textId="77777777" w:rsidTr="00D36D87">
        <w:trPr>
          <w:cantSplit/>
          <w:jc w:val="center"/>
        </w:trPr>
        <w:tc>
          <w:tcPr>
            <w:tcW w:w="5552" w:type="dxa"/>
            <w:shd w:val="clear" w:color="auto" w:fill="auto"/>
          </w:tcPr>
          <w:p w14:paraId="6DCBAE96" w14:textId="77777777" w:rsidR="00200D03" w:rsidRPr="00646D82" w:rsidRDefault="00200D03" w:rsidP="00616891">
            <w:pPr>
              <w:pStyle w:val="ListParagraph"/>
              <w:numPr>
                <w:ilvl w:val="0"/>
                <w:numId w:val="31"/>
              </w:numPr>
              <w:spacing w:before="120" w:after="120"/>
              <w:ind w:left="314"/>
              <w:rPr>
                <w:snapToGrid w:val="0"/>
                <w:kern w:val="22"/>
                <w:szCs w:val="22"/>
              </w:rPr>
            </w:pPr>
            <w:r w:rsidRPr="00646D82">
              <w:rPr>
                <w:snapToGrid w:val="0"/>
                <w:kern w:val="22"/>
                <w:szCs w:val="22"/>
              </w:rPr>
              <w:t>Number and percentage of Parties that have taken appropriate, effective and proportionate legislative, administrative or policy</w:t>
            </w:r>
            <w:r w:rsidR="009F3366" w:rsidRPr="00646D82">
              <w:rPr>
                <w:snapToGrid w:val="0"/>
                <w:kern w:val="22"/>
                <w:szCs w:val="22"/>
              </w:rPr>
              <w:t xml:space="preserve"> measures</w:t>
            </w:r>
            <w:r w:rsidRPr="00646D82">
              <w:rPr>
                <w:snapToGrid w:val="0"/>
                <w:kern w:val="22"/>
                <w:szCs w:val="22"/>
              </w:rPr>
              <w:t xml:space="preserve"> to implement Article 16.1 (traditional knowledge associated with genetic resources)</w:t>
            </w:r>
          </w:p>
        </w:tc>
        <w:tc>
          <w:tcPr>
            <w:tcW w:w="1104" w:type="dxa"/>
            <w:shd w:val="clear" w:color="auto" w:fill="auto"/>
            <w:vAlign w:val="center"/>
          </w:tcPr>
          <w:p w14:paraId="39F59C04" w14:textId="77777777" w:rsidR="00200D03" w:rsidRPr="00646D82" w:rsidRDefault="00200D03" w:rsidP="00200D03">
            <w:pPr>
              <w:spacing w:line="276" w:lineRule="auto"/>
              <w:jc w:val="center"/>
              <w:rPr>
                <w:rFonts w:eastAsia="Calibri"/>
                <w:szCs w:val="22"/>
              </w:rPr>
            </w:pPr>
            <w:r w:rsidRPr="00646D82">
              <w:rPr>
                <w:rFonts w:eastAsia="Calibri"/>
                <w:szCs w:val="22"/>
              </w:rPr>
              <w:t>(e)</w:t>
            </w:r>
          </w:p>
        </w:tc>
        <w:tc>
          <w:tcPr>
            <w:tcW w:w="1506" w:type="dxa"/>
            <w:shd w:val="clear" w:color="auto" w:fill="auto"/>
            <w:vAlign w:val="center"/>
          </w:tcPr>
          <w:p w14:paraId="1E6F121B" w14:textId="25BE018A" w:rsidR="00200D03" w:rsidRPr="00646D82" w:rsidRDefault="00200D03" w:rsidP="001F04D0">
            <w:pPr>
              <w:spacing w:before="120" w:after="120"/>
              <w:jc w:val="center"/>
              <w:rPr>
                <w:rFonts w:eastAsia="SimSun"/>
                <w:kern w:val="22"/>
                <w:szCs w:val="22"/>
              </w:rPr>
            </w:pPr>
            <w:r w:rsidRPr="00646D82">
              <w:rPr>
                <w:rFonts w:eastAsia="SimSun"/>
                <w:kern w:val="22"/>
                <w:szCs w:val="22"/>
              </w:rPr>
              <w:t xml:space="preserve">33 </w:t>
            </w:r>
            <w:r w:rsidR="000C0890" w:rsidRPr="00646D82">
              <w:rPr>
                <w:rFonts w:eastAsia="SimSun"/>
                <w:kern w:val="22"/>
                <w:szCs w:val="22"/>
              </w:rPr>
              <w:t>(31%)</w:t>
            </w:r>
          </w:p>
        </w:tc>
        <w:tc>
          <w:tcPr>
            <w:tcW w:w="1321" w:type="dxa"/>
            <w:shd w:val="clear" w:color="auto" w:fill="auto"/>
          </w:tcPr>
          <w:p w14:paraId="261668AE" w14:textId="77777777" w:rsidR="00200D03" w:rsidRPr="00646D82" w:rsidRDefault="00200D03" w:rsidP="00200D03">
            <w:pPr>
              <w:spacing w:before="120" w:after="120"/>
              <w:rPr>
                <w:snapToGrid w:val="0"/>
                <w:kern w:val="22"/>
                <w:szCs w:val="22"/>
              </w:rPr>
            </w:pPr>
            <w:r w:rsidRPr="00646D82">
              <w:rPr>
                <w:snapToGrid w:val="0"/>
                <w:kern w:val="22"/>
                <w:szCs w:val="22"/>
              </w:rPr>
              <w:t>Q.25</w:t>
            </w:r>
          </w:p>
        </w:tc>
      </w:tr>
      <w:tr w:rsidR="00200D03" w:rsidRPr="00646D82" w14:paraId="316F0118" w14:textId="77777777" w:rsidTr="00EE1F78">
        <w:trPr>
          <w:jc w:val="center"/>
        </w:trPr>
        <w:tc>
          <w:tcPr>
            <w:tcW w:w="5552" w:type="dxa"/>
            <w:shd w:val="clear" w:color="auto" w:fill="auto"/>
          </w:tcPr>
          <w:p w14:paraId="49254C61" w14:textId="77777777" w:rsidR="00200D03" w:rsidRPr="00646D82" w:rsidRDefault="00200D03" w:rsidP="00616891">
            <w:pPr>
              <w:pStyle w:val="ListParagraph"/>
              <w:numPr>
                <w:ilvl w:val="0"/>
                <w:numId w:val="31"/>
              </w:numPr>
              <w:spacing w:before="120" w:after="120"/>
              <w:ind w:left="314"/>
              <w:rPr>
                <w:snapToGrid w:val="0"/>
                <w:kern w:val="22"/>
                <w:szCs w:val="22"/>
              </w:rPr>
            </w:pPr>
            <w:r w:rsidRPr="00646D82">
              <w:rPr>
                <w:snapToGrid w:val="0"/>
                <w:kern w:val="22"/>
                <w:szCs w:val="22"/>
              </w:rPr>
              <w:t>Number and percentage of Parties that require users of genetic resources to provide the information identified in Article 17.1 (a)(</w:t>
            </w:r>
            <w:proofErr w:type="spellStart"/>
            <w:r w:rsidRPr="00646D82">
              <w:rPr>
                <w:snapToGrid w:val="0"/>
                <w:kern w:val="22"/>
                <w:szCs w:val="22"/>
              </w:rPr>
              <w:t>i</w:t>
            </w:r>
            <w:proofErr w:type="spellEnd"/>
            <w:r w:rsidRPr="00646D82">
              <w:rPr>
                <w:snapToGrid w:val="0"/>
                <w:kern w:val="22"/>
                <w:szCs w:val="22"/>
              </w:rPr>
              <w:t>), as appropriate, at a designated checkpoint</w:t>
            </w:r>
          </w:p>
        </w:tc>
        <w:tc>
          <w:tcPr>
            <w:tcW w:w="1104" w:type="dxa"/>
            <w:shd w:val="clear" w:color="auto" w:fill="auto"/>
            <w:vAlign w:val="center"/>
          </w:tcPr>
          <w:p w14:paraId="36EFF6FC" w14:textId="77777777" w:rsidR="00200D03" w:rsidRPr="00646D82" w:rsidRDefault="00200D03" w:rsidP="00200D03">
            <w:pPr>
              <w:spacing w:line="276" w:lineRule="auto"/>
              <w:jc w:val="center"/>
              <w:rPr>
                <w:rFonts w:eastAsia="Calibri"/>
                <w:szCs w:val="22"/>
              </w:rPr>
            </w:pPr>
            <w:r w:rsidRPr="00646D82">
              <w:rPr>
                <w:rFonts w:eastAsia="Calibri"/>
                <w:szCs w:val="22"/>
              </w:rPr>
              <w:t>(a)</w:t>
            </w:r>
          </w:p>
        </w:tc>
        <w:tc>
          <w:tcPr>
            <w:tcW w:w="1506" w:type="dxa"/>
            <w:shd w:val="clear" w:color="auto" w:fill="auto"/>
            <w:vAlign w:val="center"/>
          </w:tcPr>
          <w:p w14:paraId="2EE301E8" w14:textId="1FF2964A" w:rsidR="00200D03" w:rsidRPr="00646D82" w:rsidRDefault="00200D03" w:rsidP="001F04D0">
            <w:pPr>
              <w:spacing w:before="120" w:after="120"/>
              <w:jc w:val="center"/>
              <w:rPr>
                <w:rFonts w:eastAsia="SimSun"/>
                <w:kern w:val="22"/>
                <w:szCs w:val="22"/>
              </w:rPr>
            </w:pPr>
            <w:r w:rsidRPr="00646D82">
              <w:rPr>
                <w:rFonts w:eastAsia="SimSun"/>
                <w:kern w:val="22"/>
                <w:szCs w:val="22"/>
              </w:rPr>
              <w:t xml:space="preserve">41 </w:t>
            </w:r>
            <w:r w:rsidR="000C0890" w:rsidRPr="00646D82">
              <w:rPr>
                <w:rFonts w:eastAsia="SimSun"/>
                <w:kern w:val="22"/>
                <w:szCs w:val="22"/>
              </w:rPr>
              <w:t>(39%)</w:t>
            </w:r>
          </w:p>
        </w:tc>
        <w:tc>
          <w:tcPr>
            <w:tcW w:w="1321" w:type="dxa"/>
            <w:shd w:val="clear" w:color="auto" w:fill="auto"/>
          </w:tcPr>
          <w:p w14:paraId="55CCEB62" w14:textId="77777777" w:rsidR="00200D03" w:rsidRPr="00646D82" w:rsidRDefault="00200D03" w:rsidP="00200D03">
            <w:pPr>
              <w:spacing w:before="120" w:after="120"/>
              <w:rPr>
                <w:snapToGrid w:val="0"/>
                <w:kern w:val="22"/>
                <w:szCs w:val="22"/>
              </w:rPr>
            </w:pPr>
            <w:r w:rsidRPr="00646D82">
              <w:rPr>
                <w:snapToGrid w:val="0"/>
                <w:kern w:val="22"/>
                <w:szCs w:val="22"/>
              </w:rPr>
              <w:t>Q.26</w:t>
            </w:r>
          </w:p>
        </w:tc>
      </w:tr>
      <w:tr w:rsidR="00200D03" w:rsidRPr="00646D82" w14:paraId="4CF61DD6" w14:textId="77777777" w:rsidTr="00EE1F78">
        <w:trPr>
          <w:jc w:val="center"/>
        </w:trPr>
        <w:tc>
          <w:tcPr>
            <w:tcW w:w="5552" w:type="dxa"/>
            <w:shd w:val="clear" w:color="auto" w:fill="auto"/>
          </w:tcPr>
          <w:p w14:paraId="0A89BE2E" w14:textId="77777777" w:rsidR="00200D03" w:rsidRPr="00646D82" w:rsidRDefault="00200D03" w:rsidP="00616891">
            <w:pPr>
              <w:pStyle w:val="ListParagraph"/>
              <w:numPr>
                <w:ilvl w:val="0"/>
                <w:numId w:val="31"/>
              </w:numPr>
              <w:spacing w:before="120" w:after="120"/>
              <w:ind w:left="314"/>
              <w:rPr>
                <w:snapToGrid w:val="0"/>
                <w:kern w:val="22"/>
                <w:szCs w:val="22"/>
              </w:rPr>
            </w:pPr>
            <w:r w:rsidRPr="00646D82">
              <w:rPr>
                <w:snapToGrid w:val="0"/>
                <w:kern w:val="22"/>
                <w:szCs w:val="22"/>
              </w:rPr>
              <w:t>Number and percentage of Parties that provide the information collected or received at a designated checkpoint to relevant national authorities, to the Party providing prior informed consent and to the ABS Clearing-House</w:t>
            </w:r>
          </w:p>
        </w:tc>
        <w:tc>
          <w:tcPr>
            <w:tcW w:w="1104" w:type="dxa"/>
            <w:shd w:val="clear" w:color="auto" w:fill="auto"/>
            <w:vAlign w:val="center"/>
          </w:tcPr>
          <w:p w14:paraId="6151909F" w14:textId="77777777" w:rsidR="00200D03" w:rsidRPr="00646D82" w:rsidRDefault="00200D03" w:rsidP="00200D03">
            <w:pPr>
              <w:spacing w:line="276" w:lineRule="auto"/>
              <w:jc w:val="center"/>
              <w:rPr>
                <w:rFonts w:eastAsia="Calibri"/>
                <w:szCs w:val="22"/>
              </w:rPr>
            </w:pPr>
            <w:r w:rsidRPr="00646D82">
              <w:rPr>
                <w:rFonts w:eastAsia="Calibri"/>
                <w:szCs w:val="22"/>
              </w:rPr>
              <w:t>(a)</w:t>
            </w:r>
          </w:p>
        </w:tc>
        <w:tc>
          <w:tcPr>
            <w:tcW w:w="1506" w:type="dxa"/>
            <w:shd w:val="clear" w:color="auto" w:fill="auto"/>
            <w:vAlign w:val="center"/>
          </w:tcPr>
          <w:p w14:paraId="11262085" w14:textId="13456D15" w:rsidR="00200D03" w:rsidRPr="00646D82" w:rsidRDefault="00200D03" w:rsidP="001F04D0">
            <w:pPr>
              <w:spacing w:before="120" w:after="120"/>
              <w:jc w:val="center"/>
              <w:rPr>
                <w:rFonts w:eastAsia="SimSun"/>
                <w:kern w:val="22"/>
                <w:szCs w:val="22"/>
              </w:rPr>
            </w:pPr>
            <w:r w:rsidRPr="00646D82">
              <w:rPr>
                <w:rFonts w:eastAsia="SimSun"/>
                <w:kern w:val="22"/>
                <w:szCs w:val="22"/>
              </w:rPr>
              <w:t xml:space="preserve">9 </w:t>
            </w:r>
            <w:r w:rsidR="000C0890" w:rsidRPr="00646D82">
              <w:rPr>
                <w:rFonts w:eastAsia="SimSun"/>
                <w:kern w:val="22"/>
                <w:szCs w:val="22"/>
              </w:rPr>
              <w:t>(9%)</w:t>
            </w:r>
          </w:p>
        </w:tc>
        <w:tc>
          <w:tcPr>
            <w:tcW w:w="1321" w:type="dxa"/>
            <w:shd w:val="clear" w:color="auto" w:fill="auto"/>
          </w:tcPr>
          <w:p w14:paraId="7EBA5259" w14:textId="77777777" w:rsidR="00200D03" w:rsidRPr="00646D82" w:rsidRDefault="00200D03" w:rsidP="00200D03">
            <w:pPr>
              <w:spacing w:before="120" w:after="120"/>
              <w:rPr>
                <w:snapToGrid w:val="0"/>
                <w:kern w:val="22"/>
                <w:szCs w:val="22"/>
              </w:rPr>
            </w:pPr>
            <w:r w:rsidRPr="00646D82">
              <w:rPr>
                <w:snapToGrid w:val="0"/>
                <w:kern w:val="22"/>
                <w:szCs w:val="22"/>
              </w:rPr>
              <w:t>Q.27</w:t>
            </w:r>
          </w:p>
        </w:tc>
      </w:tr>
      <w:tr w:rsidR="00200D03" w:rsidRPr="00646D82" w14:paraId="1B7A1E94" w14:textId="77777777" w:rsidTr="00EE1F78">
        <w:trPr>
          <w:jc w:val="center"/>
        </w:trPr>
        <w:tc>
          <w:tcPr>
            <w:tcW w:w="5552" w:type="dxa"/>
            <w:tcBorders>
              <w:bottom w:val="single" w:sz="4" w:space="0" w:color="auto"/>
            </w:tcBorders>
            <w:shd w:val="clear" w:color="auto" w:fill="auto"/>
          </w:tcPr>
          <w:p w14:paraId="18E37E2D" w14:textId="77777777" w:rsidR="00200D03" w:rsidRPr="00646D82" w:rsidRDefault="00200D03" w:rsidP="00616891">
            <w:pPr>
              <w:pStyle w:val="ListParagraph"/>
              <w:numPr>
                <w:ilvl w:val="0"/>
                <w:numId w:val="31"/>
              </w:numPr>
              <w:spacing w:before="120" w:after="120"/>
              <w:ind w:left="314"/>
              <w:rPr>
                <w:snapToGrid w:val="0"/>
                <w:kern w:val="22"/>
                <w:szCs w:val="22"/>
              </w:rPr>
            </w:pPr>
            <w:r w:rsidRPr="00646D82">
              <w:rPr>
                <w:snapToGrid w:val="0"/>
                <w:kern w:val="22"/>
                <w:szCs w:val="22"/>
              </w:rPr>
              <w:t>Number of checkpoint communiques published in the ABS Clearing-House</w:t>
            </w:r>
          </w:p>
        </w:tc>
        <w:tc>
          <w:tcPr>
            <w:tcW w:w="1104" w:type="dxa"/>
            <w:tcBorders>
              <w:bottom w:val="single" w:sz="4" w:space="0" w:color="auto"/>
            </w:tcBorders>
            <w:shd w:val="clear" w:color="auto" w:fill="auto"/>
            <w:vAlign w:val="center"/>
          </w:tcPr>
          <w:p w14:paraId="6A6C393F" w14:textId="77777777" w:rsidR="00200D03" w:rsidRPr="00646D82" w:rsidRDefault="00200D03" w:rsidP="00200D03">
            <w:pPr>
              <w:spacing w:line="276" w:lineRule="auto"/>
              <w:jc w:val="center"/>
              <w:rPr>
                <w:rFonts w:eastAsia="Calibri"/>
                <w:szCs w:val="22"/>
              </w:rPr>
            </w:pPr>
            <w:r w:rsidRPr="00646D82">
              <w:rPr>
                <w:rFonts w:eastAsia="Calibri"/>
                <w:szCs w:val="22"/>
              </w:rPr>
              <w:t>(g)</w:t>
            </w:r>
          </w:p>
        </w:tc>
        <w:tc>
          <w:tcPr>
            <w:tcW w:w="1506" w:type="dxa"/>
            <w:tcBorders>
              <w:bottom w:val="single" w:sz="4" w:space="0" w:color="auto"/>
            </w:tcBorders>
            <w:shd w:val="clear" w:color="auto" w:fill="auto"/>
            <w:vAlign w:val="center"/>
          </w:tcPr>
          <w:p w14:paraId="54DD08DE" w14:textId="77777777" w:rsidR="00200D03" w:rsidRPr="00646D82" w:rsidRDefault="00200D03" w:rsidP="00200D03">
            <w:pPr>
              <w:spacing w:before="120" w:after="120"/>
              <w:jc w:val="center"/>
              <w:rPr>
                <w:rFonts w:eastAsia="SimSun"/>
                <w:kern w:val="22"/>
                <w:szCs w:val="22"/>
              </w:rPr>
            </w:pPr>
            <w:r w:rsidRPr="00646D82">
              <w:rPr>
                <w:rFonts w:eastAsia="SimSun"/>
                <w:kern w:val="22"/>
                <w:szCs w:val="22"/>
              </w:rPr>
              <w:t>0</w:t>
            </w:r>
          </w:p>
        </w:tc>
        <w:tc>
          <w:tcPr>
            <w:tcW w:w="1321" w:type="dxa"/>
            <w:tcBorders>
              <w:bottom w:val="single" w:sz="4" w:space="0" w:color="auto"/>
            </w:tcBorders>
            <w:shd w:val="clear" w:color="auto" w:fill="auto"/>
          </w:tcPr>
          <w:p w14:paraId="3EAA0477" w14:textId="77777777" w:rsidR="00200D03" w:rsidRPr="00646D82" w:rsidRDefault="00200D03" w:rsidP="00200D03">
            <w:pPr>
              <w:spacing w:before="120" w:after="120"/>
              <w:rPr>
                <w:snapToGrid w:val="0"/>
                <w:kern w:val="22"/>
                <w:szCs w:val="22"/>
              </w:rPr>
            </w:pPr>
            <w:r w:rsidRPr="00646D82">
              <w:rPr>
                <w:snapToGrid w:val="0"/>
                <w:kern w:val="22"/>
                <w:szCs w:val="22"/>
              </w:rPr>
              <w:t>ABS-CH</w:t>
            </w:r>
          </w:p>
        </w:tc>
      </w:tr>
      <w:tr w:rsidR="00200D03" w:rsidRPr="00646D82" w14:paraId="408B8E91" w14:textId="77777777" w:rsidTr="00D27E29">
        <w:trPr>
          <w:jc w:val="center"/>
        </w:trPr>
        <w:tc>
          <w:tcPr>
            <w:tcW w:w="9483" w:type="dxa"/>
            <w:gridSpan w:val="4"/>
            <w:shd w:val="pct5" w:color="auto" w:fill="auto"/>
            <w:vAlign w:val="center"/>
          </w:tcPr>
          <w:p w14:paraId="36F3C2F9" w14:textId="77777777" w:rsidR="00200D03" w:rsidRPr="00646D82" w:rsidRDefault="00200D03" w:rsidP="00616891">
            <w:pPr>
              <w:pStyle w:val="ListParagraph"/>
              <w:spacing w:before="120" w:after="120"/>
              <w:ind w:left="314"/>
              <w:rPr>
                <w:b/>
                <w:snapToGrid w:val="0"/>
                <w:kern w:val="22"/>
                <w:szCs w:val="22"/>
              </w:rPr>
            </w:pPr>
            <w:r w:rsidRPr="00646D82">
              <w:rPr>
                <w:b/>
                <w:snapToGrid w:val="0"/>
                <w:kern w:val="22"/>
                <w:szCs w:val="22"/>
              </w:rPr>
              <w:t>Legislative, administrative or policy measures on ABS: compliance with mutually agreed terms (Article 18)</w:t>
            </w:r>
          </w:p>
        </w:tc>
      </w:tr>
      <w:tr w:rsidR="00200D03" w:rsidRPr="00646D82" w14:paraId="1F1B1493" w14:textId="77777777" w:rsidTr="007C3B55">
        <w:trPr>
          <w:jc w:val="center"/>
        </w:trPr>
        <w:tc>
          <w:tcPr>
            <w:tcW w:w="5552" w:type="dxa"/>
            <w:shd w:val="clear" w:color="auto" w:fill="auto"/>
          </w:tcPr>
          <w:p w14:paraId="44E92EC9" w14:textId="64E0ED7B" w:rsidR="00200D03" w:rsidRPr="00646D82" w:rsidRDefault="00200D03" w:rsidP="00616891">
            <w:pPr>
              <w:pStyle w:val="ListParagraph"/>
              <w:numPr>
                <w:ilvl w:val="0"/>
                <w:numId w:val="31"/>
              </w:numPr>
              <w:spacing w:before="120" w:after="120"/>
              <w:ind w:left="314"/>
              <w:rPr>
                <w:rFonts w:eastAsia="SimSun"/>
                <w:kern w:val="22"/>
                <w:szCs w:val="22"/>
              </w:rPr>
            </w:pPr>
            <w:r w:rsidRPr="00646D82">
              <w:rPr>
                <w:snapToGrid w:val="0"/>
                <w:kern w:val="22"/>
                <w:szCs w:val="22"/>
              </w:rPr>
              <w:t xml:space="preserve">Number and percentage </w:t>
            </w:r>
            <w:r w:rsidRPr="00646D82">
              <w:rPr>
                <w:rFonts w:eastAsia="SimSun"/>
                <w:kern w:val="22"/>
                <w:szCs w:val="22"/>
              </w:rPr>
              <w:t xml:space="preserve">of Parties that encourage the inclusion of </w:t>
            </w:r>
            <w:r w:rsidR="009F3366" w:rsidRPr="00646D82">
              <w:rPr>
                <w:rFonts w:eastAsia="SimSun"/>
                <w:kern w:val="22"/>
                <w:szCs w:val="22"/>
              </w:rPr>
              <w:t xml:space="preserve">dispute resolution </w:t>
            </w:r>
            <w:r w:rsidRPr="00646D82">
              <w:rPr>
                <w:rFonts w:eastAsia="SimSun"/>
                <w:kern w:val="22"/>
                <w:szCs w:val="22"/>
              </w:rPr>
              <w:t>provisions in MAT as provided in Article 18.1.</w:t>
            </w:r>
          </w:p>
        </w:tc>
        <w:tc>
          <w:tcPr>
            <w:tcW w:w="1104" w:type="dxa"/>
            <w:shd w:val="clear" w:color="auto" w:fill="auto"/>
            <w:vAlign w:val="center"/>
          </w:tcPr>
          <w:p w14:paraId="40B4B441" w14:textId="77777777" w:rsidR="00200D03" w:rsidRPr="00646D82" w:rsidRDefault="00200D03" w:rsidP="00200D03">
            <w:pPr>
              <w:spacing w:line="276" w:lineRule="auto"/>
              <w:jc w:val="center"/>
              <w:rPr>
                <w:rFonts w:eastAsia="Calibri"/>
                <w:szCs w:val="22"/>
              </w:rPr>
            </w:pPr>
            <w:r w:rsidRPr="00646D82">
              <w:rPr>
                <w:rFonts w:eastAsia="Calibri"/>
                <w:szCs w:val="22"/>
              </w:rPr>
              <w:t>(d)</w:t>
            </w:r>
          </w:p>
        </w:tc>
        <w:tc>
          <w:tcPr>
            <w:tcW w:w="1506" w:type="dxa"/>
            <w:shd w:val="clear" w:color="auto" w:fill="auto"/>
            <w:vAlign w:val="center"/>
          </w:tcPr>
          <w:p w14:paraId="6F73F648" w14:textId="03C3C8D3" w:rsidR="00200D03" w:rsidRPr="00646D82" w:rsidRDefault="00200D03" w:rsidP="001F04D0">
            <w:pPr>
              <w:spacing w:line="276" w:lineRule="auto"/>
              <w:jc w:val="center"/>
              <w:rPr>
                <w:rFonts w:eastAsia="Calibri"/>
                <w:szCs w:val="22"/>
              </w:rPr>
            </w:pPr>
            <w:r w:rsidRPr="00646D82">
              <w:rPr>
                <w:rFonts w:eastAsia="Calibri"/>
                <w:szCs w:val="22"/>
              </w:rPr>
              <w:t xml:space="preserve">36 </w:t>
            </w:r>
            <w:r w:rsidR="002D4D16" w:rsidRPr="00646D82">
              <w:rPr>
                <w:rFonts w:eastAsia="Calibri"/>
                <w:szCs w:val="22"/>
              </w:rPr>
              <w:t>(34%)</w:t>
            </w:r>
          </w:p>
        </w:tc>
        <w:tc>
          <w:tcPr>
            <w:tcW w:w="1321" w:type="dxa"/>
            <w:shd w:val="clear" w:color="auto" w:fill="auto"/>
          </w:tcPr>
          <w:p w14:paraId="4EBC0BBC" w14:textId="77777777" w:rsidR="00200D03" w:rsidRPr="00646D82" w:rsidRDefault="00200D03" w:rsidP="00200D03">
            <w:pPr>
              <w:spacing w:before="120" w:after="120"/>
              <w:rPr>
                <w:rFonts w:eastAsia="SimSun"/>
                <w:kern w:val="22"/>
                <w:szCs w:val="22"/>
              </w:rPr>
            </w:pPr>
            <w:r w:rsidRPr="00646D82">
              <w:rPr>
                <w:rFonts w:eastAsia="SimSun"/>
                <w:kern w:val="22"/>
                <w:szCs w:val="22"/>
              </w:rPr>
              <w:t>Q.31</w:t>
            </w:r>
          </w:p>
        </w:tc>
      </w:tr>
      <w:tr w:rsidR="00200D03" w:rsidRPr="00646D82" w14:paraId="12828AE6" w14:textId="77777777" w:rsidTr="007C3B55">
        <w:trPr>
          <w:jc w:val="center"/>
        </w:trPr>
        <w:tc>
          <w:tcPr>
            <w:tcW w:w="5552" w:type="dxa"/>
            <w:shd w:val="clear" w:color="auto" w:fill="auto"/>
          </w:tcPr>
          <w:p w14:paraId="6CF106BE" w14:textId="1550DA9C" w:rsidR="00200D03" w:rsidRPr="00646D82" w:rsidRDefault="00200D03" w:rsidP="00616891">
            <w:pPr>
              <w:pStyle w:val="ListParagraph"/>
              <w:numPr>
                <w:ilvl w:val="0"/>
                <w:numId w:val="31"/>
              </w:numPr>
              <w:spacing w:before="120" w:after="120"/>
              <w:ind w:left="314"/>
              <w:rPr>
                <w:rFonts w:eastAsia="SimSun"/>
                <w:kern w:val="22"/>
                <w:szCs w:val="22"/>
              </w:rPr>
            </w:pPr>
            <w:r w:rsidRPr="00646D82">
              <w:rPr>
                <w:snapToGrid w:val="0"/>
                <w:kern w:val="22"/>
                <w:szCs w:val="22"/>
              </w:rPr>
              <w:t xml:space="preserve">Number and percentage </w:t>
            </w:r>
            <w:r w:rsidRPr="00646D82">
              <w:rPr>
                <w:rFonts w:eastAsia="SimSun"/>
                <w:kern w:val="22"/>
                <w:szCs w:val="22"/>
              </w:rPr>
              <w:t>of Parties with opportunity to seek recourse available under the</w:t>
            </w:r>
            <w:r w:rsidR="009F3366" w:rsidRPr="00646D82">
              <w:rPr>
                <w:rFonts w:eastAsia="SimSun"/>
                <w:kern w:val="22"/>
                <w:szCs w:val="22"/>
              </w:rPr>
              <w:t>ir</w:t>
            </w:r>
            <w:r w:rsidRPr="00646D82">
              <w:rPr>
                <w:rFonts w:eastAsia="SimSun"/>
                <w:kern w:val="22"/>
                <w:szCs w:val="22"/>
              </w:rPr>
              <w:t xml:space="preserve"> legal systems in cases of disputes arising from MAT as provided in Article 18.2</w:t>
            </w:r>
          </w:p>
        </w:tc>
        <w:tc>
          <w:tcPr>
            <w:tcW w:w="1104" w:type="dxa"/>
            <w:shd w:val="clear" w:color="auto" w:fill="auto"/>
            <w:vAlign w:val="center"/>
          </w:tcPr>
          <w:p w14:paraId="759CA1D4" w14:textId="77777777" w:rsidR="00200D03" w:rsidRPr="00646D82" w:rsidRDefault="00200D03" w:rsidP="00200D03">
            <w:pPr>
              <w:spacing w:line="276" w:lineRule="auto"/>
              <w:jc w:val="center"/>
              <w:rPr>
                <w:rFonts w:eastAsia="Calibri"/>
                <w:szCs w:val="22"/>
              </w:rPr>
            </w:pPr>
            <w:r w:rsidRPr="00646D82">
              <w:rPr>
                <w:rFonts w:eastAsia="Calibri"/>
                <w:szCs w:val="22"/>
              </w:rPr>
              <w:t>(d)</w:t>
            </w:r>
          </w:p>
        </w:tc>
        <w:tc>
          <w:tcPr>
            <w:tcW w:w="1506" w:type="dxa"/>
            <w:shd w:val="clear" w:color="auto" w:fill="auto"/>
            <w:vAlign w:val="center"/>
          </w:tcPr>
          <w:p w14:paraId="14F93722" w14:textId="22B229A8" w:rsidR="00200D03" w:rsidRPr="00646D82" w:rsidRDefault="00200D03" w:rsidP="001F04D0">
            <w:pPr>
              <w:spacing w:line="276" w:lineRule="auto"/>
              <w:jc w:val="center"/>
              <w:rPr>
                <w:rFonts w:eastAsia="Calibri"/>
                <w:szCs w:val="22"/>
              </w:rPr>
            </w:pPr>
            <w:r w:rsidRPr="00646D82">
              <w:rPr>
                <w:rFonts w:eastAsia="Calibri"/>
                <w:szCs w:val="22"/>
              </w:rPr>
              <w:t xml:space="preserve">51 </w:t>
            </w:r>
            <w:r w:rsidR="002D4D16" w:rsidRPr="00646D82">
              <w:rPr>
                <w:rFonts w:eastAsia="Calibri"/>
                <w:szCs w:val="22"/>
              </w:rPr>
              <w:t>(49%)</w:t>
            </w:r>
          </w:p>
        </w:tc>
        <w:tc>
          <w:tcPr>
            <w:tcW w:w="1321" w:type="dxa"/>
            <w:shd w:val="clear" w:color="auto" w:fill="auto"/>
          </w:tcPr>
          <w:p w14:paraId="37C4C33B" w14:textId="77777777" w:rsidR="00200D03" w:rsidRPr="00646D82" w:rsidRDefault="00200D03" w:rsidP="00200D03">
            <w:pPr>
              <w:spacing w:before="120" w:after="120"/>
              <w:rPr>
                <w:rFonts w:eastAsia="SimSun"/>
                <w:kern w:val="22"/>
                <w:szCs w:val="22"/>
              </w:rPr>
            </w:pPr>
            <w:r w:rsidRPr="00646D82">
              <w:rPr>
                <w:rFonts w:eastAsia="SimSun"/>
                <w:kern w:val="22"/>
                <w:szCs w:val="22"/>
              </w:rPr>
              <w:t>Q.32</w:t>
            </w:r>
          </w:p>
        </w:tc>
      </w:tr>
      <w:tr w:rsidR="00200D03" w:rsidRPr="00646D82" w14:paraId="27D6AB89" w14:textId="77777777" w:rsidTr="00EE1F78">
        <w:trPr>
          <w:jc w:val="center"/>
        </w:trPr>
        <w:tc>
          <w:tcPr>
            <w:tcW w:w="5552" w:type="dxa"/>
            <w:shd w:val="clear" w:color="auto" w:fill="auto"/>
          </w:tcPr>
          <w:p w14:paraId="35175293"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snapToGrid w:val="0"/>
                <w:kern w:val="22"/>
                <w:szCs w:val="22"/>
              </w:rPr>
              <w:t xml:space="preserve">Number and percentage </w:t>
            </w:r>
            <w:r w:rsidRPr="00646D82">
              <w:rPr>
                <w:rFonts w:eastAsia="SimSun"/>
                <w:kern w:val="22"/>
                <w:szCs w:val="22"/>
              </w:rPr>
              <w:t>of Parties with measures regarding access to justice</w:t>
            </w:r>
          </w:p>
        </w:tc>
        <w:tc>
          <w:tcPr>
            <w:tcW w:w="1104" w:type="dxa"/>
            <w:shd w:val="clear" w:color="auto" w:fill="auto"/>
            <w:vAlign w:val="center"/>
          </w:tcPr>
          <w:p w14:paraId="5AC7B402" w14:textId="77777777" w:rsidR="00200D03" w:rsidRPr="00646D82" w:rsidRDefault="00200D03" w:rsidP="00200D03">
            <w:pPr>
              <w:spacing w:line="276" w:lineRule="auto"/>
              <w:jc w:val="center"/>
              <w:rPr>
                <w:rFonts w:eastAsia="Calibri"/>
                <w:szCs w:val="22"/>
              </w:rPr>
            </w:pPr>
            <w:r w:rsidRPr="00646D82">
              <w:rPr>
                <w:rFonts w:eastAsia="Calibri"/>
                <w:szCs w:val="22"/>
              </w:rPr>
              <w:t>(d)</w:t>
            </w:r>
          </w:p>
        </w:tc>
        <w:tc>
          <w:tcPr>
            <w:tcW w:w="1506" w:type="dxa"/>
            <w:shd w:val="clear" w:color="auto" w:fill="auto"/>
            <w:vAlign w:val="center"/>
          </w:tcPr>
          <w:p w14:paraId="3A518C11" w14:textId="74932535" w:rsidR="00200D03" w:rsidRPr="00646D82" w:rsidRDefault="00200D03" w:rsidP="001F04D0">
            <w:pPr>
              <w:spacing w:line="276" w:lineRule="auto"/>
              <w:jc w:val="center"/>
              <w:rPr>
                <w:rFonts w:eastAsia="Calibri"/>
                <w:szCs w:val="22"/>
              </w:rPr>
            </w:pPr>
            <w:r w:rsidRPr="00646D82">
              <w:rPr>
                <w:rFonts w:eastAsia="Calibri"/>
                <w:szCs w:val="22"/>
              </w:rPr>
              <w:t xml:space="preserve">47 </w:t>
            </w:r>
            <w:r w:rsidR="002D4D16" w:rsidRPr="00646D82">
              <w:rPr>
                <w:rFonts w:eastAsia="Calibri"/>
                <w:szCs w:val="22"/>
              </w:rPr>
              <w:t>(45%)</w:t>
            </w:r>
          </w:p>
        </w:tc>
        <w:tc>
          <w:tcPr>
            <w:tcW w:w="1321" w:type="dxa"/>
            <w:shd w:val="clear" w:color="auto" w:fill="auto"/>
          </w:tcPr>
          <w:p w14:paraId="65772BC2" w14:textId="77777777" w:rsidR="00200D03" w:rsidRPr="00646D82" w:rsidRDefault="00200D03" w:rsidP="00200D03">
            <w:pPr>
              <w:spacing w:before="120" w:after="120"/>
              <w:rPr>
                <w:rFonts w:eastAsia="SimSun"/>
                <w:kern w:val="22"/>
                <w:szCs w:val="22"/>
              </w:rPr>
            </w:pPr>
            <w:r w:rsidRPr="00646D82">
              <w:rPr>
                <w:rFonts w:eastAsia="SimSun"/>
                <w:kern w:val="22"/>
                <w:szCs w:val="22"/>
              </w:rPr>
              <w:t>Q.33</w:t>
            </w:r>
          </w:p>
        </w:tc>
      </w:tr>
      <w:tr w:rsidR="00200D03" w:rsidRPr="00646D82" w14:paraId="196336A8" w14:textId="77777777" w:rsidTr="007C3B55">
        <w:trPr>
          <w:jc w:val="center"/>
        </w:trPr>
        <w:tc>
          <w:tcPr>
            <w:tcW w:w="5552" w:type="dxa"/>
            <w:tcBorders>
              <w:bottom w:val="single" w:sz="4" w:space="0" w:color="auto"/>
            </w:tcBorders>
            <w:shd w:val="clear" w:color="auto" w:fill="auto"/>
          </w:tcPr>
          <w:p w14:paraId="717F7C7C" w14:textId="26EFF591" w:rsidR="00200D03" w:rsidRPr="00646D82" w:rsidRDefault="00200D03" w:rsidP="00616891">
            <w:pPr>
              <w:pStyle w:val="ListParagraph"/>
              <w:numPr>
                <w:ilvl w:val="0"/>
                <w:numId w:val="31"/>
              </w:numPr>
              <w:spacing w:before="120" w:after="120"/>
              <w:ind w:left="314"/>
              <w:rPr>
                <w:rFonts w:eastAsia="SimSun"/>
                <w:kern w:val="22"/>
                <w:szCs w:val="22"/>
              </w:rPr>
            </w:pPr>
            <w:r w:rsidRPr="00646D82">
              <w:rPr>
                <w:snapToGrid w:val="0"/>
                <w:kern w:val="22"/>
                <w:szCs w:val="22"/>
              </w:rPr>
              <w:t xml:space="preserve">Number and percentage </w:t>
            </w:r>
            <w:r w:rsidRPr="00646D82">
              <w:rPr>
                <w:rFonts w:eastAsia="SimSun"/>
                <w:kern w:val="22"/>
                <w:szCs w:val="22"/>
              </w:rPr>
              <w:t>of Parties with measures regarding utilization of mechanisms regarding mutual recognition and enforcement of foreign judgements and arbitral awards</w:t>
            </w:r>
          </w:p>
        </w:tc>
        <w:tc>
          <w:tcPr>
            <w:tcW w:w="1104" w:type="dxa"/>
            <w:tcBorders>
              <w:bottom w:val="single" w:sz="4" w:space="0" w:color="auto"/>
            </w:tcBorders>
            <w:shd w:val="clear" w:color="auto" w:fill="auto"/>
            <w:vAlign w:val="center"/>
          </w:tcPr>
          <w:p w14:paraId="42D79975" w14:textId="77777777" w:rsidR="00200D03" w:rsidRPr="00646D82" w:rsidRDefault="00200D03" w:rsidP="00200D03">
            <w:pPr>
              <w:spacing w:line="276" w:lineRule="auto"/>
              <w:jc w:val="center"/>
              <w:rPr>
                <w:rFonts w:eastAsia="Calibri"/>
                <w:szCs w:val="22"/>
              </w:rPr>
            </w:pPr>
            <w:r w:rsidRPr="00646D82">
              <w:rPr>
                <w:rFonts w:eastAsia="Calibri"/>
                <w:szCs w:val="22"/>
              </w:rPr>
              <w:t>(d)</w:t>
            </w:r>
          </w:p>
        </w:tc>
        <w:tc>
          <w:tcPr>
            <w:tcW w:w="1506" w:type="dxa"/>
            <w:tcBorders>
              <w:bottom w:val="single" w:sz="4" w:space="0" w:color="auto"/>
            </w:tcBorders>
            <w:shd w:val="clear" w:color="auto" w:fill="auto"/>
            <w:vAlign w:val="center"/>
          </w:tcPr>
          <w:p w14:paraId="6426F372" w14:textId="08F7F02F" w:rsidR="00200D03" w:rsidRPr="00646D82" w:rsidRDefault="00200D03" w:rsidP="001F04D0">
            <w:pPr>
              <w:spacing w:line="276" w:lineRule="auto"/>
              <w:jc w:val="center"/>
              <w:rPr>
                <w:rFonts w:eastAsia="Calibri"/>
                <w:szCs w:val="22"/>
              </w:rPr>
            </w:pPr>
            <w:r w:rsidRPr="00646D82">
              <w:rPr>
                <w:rFonts w:eastAsia="Calibri"/>
                <w:szCs w:val="22"/>
              </w:rPr>
              <w:t xml:space="preserve">38 </w:t>
            </w:r>
            <w:r w:rsidR="002D4D16" w:rsidRPr="00646D82">
              <w:rPr>
                <w:rFonts w:eastAsia="Calibri"/>
                <w:szCs w:val="22"/>
              </w:rPr>
              <w:t>(36%)</w:t>
            </w:r>
          </w:p>
        </w:tc>
        <w:tc>
          <w:tcPr>
            <w:tcW w:w="1321" w:type="dxa"/>
            <w:tcBorders>
              <w:bottom w:val="single" w:sz="4" w:space="0" w:color="auto"/>
            </w:tcBorders>
            <w:shd w:val="clear" w:color="auto" w:fill="auto"/>
          </w:tcPr>
          <w:p w14:paraId="4556435E" w14:textId="77777777" w:rsidR="00200D03" w:rsidRPr="00646D82" w:rsidRDefault="00200D03" w:rsidP="00200D03">
            <w:pPr>
              <w:spacing w:before="120" w:after="120"/>
              <w:rPr>
                <w:rFonts w:eastAsia="SimSun"/>
                <w:kern w:val="22"/>
                <w:szCs w:val="22"/>
              </w:rPr>
            </w:pPr>
            <w:r w:rsidRPr="00646D82">
              <w:rPr>
                <w:rFonts w:eastAsia="SimSun"/>
                <w:kern w:val="22"/>
                <w:szCs w:val="22"/>
              </w:rPr>
              <w:t>Q.33</w:t>
            </w:r>
          </w:p>
        </w:tc>
      </w:tr>
      <w:tr w:rsidR="00200D03" w:rsidRPr="00646D82" w14:paraId="0FFCE65B" w14:textId="77777777" w:rsidTr="00D27E29">
        <w:trPr>
          <w:jc w:val="center"/>
        </w:trPr>
        <w:tc>
          <w:tcPr>
            <w:tcW w:w="9483" w:type="dxa"/>
            <w:gridSpan w:val="4"/>
            <w:shd w:val="pct5" w:color="auto" w:fill="auto"/>
            <w:vAlign w:val="center"/>
          </w:tcPr>
          <w:p w14:paraId="0E3485C7" w14:textId="77777777" w:rsidR="00200D03" w:rsidRPr="00646D82" w:rsidRDefault="00200D03" w:rsidP="00616891">
            <w:pPr>
              <w:pStyle w:val="ListParagraph"/>
              <w:spacing w:before="120" w:after="120"/>
              <w:ind w:left="314"/>
              <w:rPr>
                <w:rFonts w:eastAsia="SimSun"/>
                <w:b/>
                <w:kern w:val="22"/>
                <w:szCs w:val="22"/>
              </w:rPr>
            </w:pPr>
            <w:r w:rsidRPr="00646D82">
              <w:rPr>
                <w:rFonts w:eastAsia="SimSun"/>
                <w:b/>
                <w:kern w:val="22"/>
                <w:szCs w:val="22"/>
              </w:rPr>
              <w:t>Special considerations (Article 8)</w:t>
            </w:r>
          </w:p>
        </w:tc>
      </w:tr>
      <w:tr w:rsidR="00200D03" w:rsidRPr="00646D82" w14:paraId="186A3BD1" w14:textId="77777777" w:rsidTr="00EE1F78">
        <w:trPr>
          <w:jc w:val="center"/>
        </w:trPr>
        <w:tc>
          <w:tcPr>
            <w:tcW w:w="5552" w:type="dxa"/>
            <w:shd w:val="clear" w:color="auto" w:fill="auto"/>
          </w:tcPr>
          <w:p w14:paraId="741DFA56"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snapToGrid w:val="0"/>
                <w:kern w:val="22"/>
                <w:szCs w:val="22"/>
              </w:rPr>
              <w:t xml:space="preserve">Number and percentage </w:t>
            </w:r>
            <w:r w:rsidRPr="00646D82">
              <w:rPr>
                <w:rFonts w:eastAsia="SimSun"/>
                <w:kern w:val="22"/>
                <w:szCs w:val="22"/>
              </w:rPr>
              <w:t>of Parties that created conditions to promote and encourage research which contributes to the conservation and sustainable use of biodiversity as provided in Article 8(a)</w:t>
            </w:r>
          </w:p>
        </w:tc>
        <w:tc>
          <w:tcPr>
            <w:tcW w:w="1104" w:type="dxa"/>
            <w:shd w:val="clear" w:color="auto" w:fill="auto"/>
            <w:vAlign w:val="center"/>
          </w:tcPr>
          <w:p w14:paraId="3D19A7CF" w14:textId="77777777" w:rsidR="00200D03" w:rsidRPr="00646D82" w:rsidRDefault="00200D03" w:rsidP="00200D03">
            <w:pPr>
              <w:spacing w:line="276" w:lineRule="auto"/>
              <w:jc w:val="center"/>
              <w:rPr>
                <w:rFonts w:eastAsia="Calibri"/>
                <w:szCs w:val="22"/>
              </w:rPr>
            </w:pPr>
            <w:r w:rsidRPr="00646D82">
              <w:rPr>
                <w:rFonts w:eastAsia="Calibri"/>
                <w:szCs w:val="22"/>
              </w:rPr>
              <w:t>(b)</w:t>
            </w:r>
          </w:p>
        </w:tc>
        <w:tc>
          <w:tcPr>
            <w:tcW w:w="1506" w:type="dxa"/>
            <w:shd w:val="clear" w:color="auto" w:fill="auto"/>
            <w:vAlign w:val="center"/>
          </w:tcPr>
          <w:p w14:paraId="1C477FB3" w14:textId="3731B3CB" w:rsidR="00200D03" w:rsidRPr="00646D82" w:rsidRDefault="00200D03" w:rsidP="001F04D0">
            <w:pPr>
              <w:spacing w:line="276" w:lineRule="auto"/>
              <w:jc w:val="center"/>
              <w:rPr>
                <w:rFonts w:eastAsia="Calibri"/>
                <w:szCs w:val="22"/>
              </w:rPr>
            </w:pPr>
            <w:r w:rsidRPr="00646D82">
              <w:rPr>
                <w:rFonts w:eastAsia="Calibri"/>
                <w:szCs w:val="22"/>
              </w:rPr>
              <w:t xml:space="preserve">48 </w:t>
            </w:r>
            <w:r w:rsidR="002D4D16" w:rsidRPr="00646D82">
              <w:rPr>
                <w:rFonts w:eastAsia="Calibri"/>
                <w:szCs w:val="22"/>
              </w:rPr>
              <w:t>(46%)</w:t>
            </w:r>
          </w:p>
        </w:tc>
        <w:tc>
          <w:tcPr>
            <w:tcW w:w="1321" w:type="dxa"/>
            <w:shd w:val="clear" w:color="auto" w:fill="auto"/>
          </w:tcPr>
          <w:p w14:paraId="7DFAC526" w14:textId="77777777" w:rsidR="00200D03" w:rsidRPr="00646D82" w:rsidRDefault="00200D03" w:rsidP="00200D03">
            <w:pPr>
              <w:spacing w:before="120" w:after="120"/>
              <w:rPr>
                <w:rFonts w:eastAsia="SimSun"/>
                <w:kern w:val="22"/>
                <w:szCs w:val="22"/>
              </w:rPr>
            </w:pPr>
            <w:r w:rsidRPr="00646D82">
              <w:rPr>
                <w:rFonts w:eastAsia="SimSun"/>
                <w:kern w:val="22"/>
                <w:szCs w:val="22"/>
              </w:rPr>
              <w:t>Q.35</w:t>
            </w:r>
          </w:p>
        </w:tc>
      </w:tr>
      <w:tr w:rsidR="00200D03" w:rsidRPr="00646D82" w14:paraId="6E953634" w14:textId="77777777" w:rsidTr="00EE1F78">
        <w:trPr>
          <w:jc w:val="center"/>
        </w:trPr>
        <w:tc>
          <w:tcPr>
            <w:tcW w:w="5552" w:type="dxa"/>
            <w:shd w:val="clear" w:color="auto" w:fill="auto"/>
          </w:tcPr>
          <w:p w14:paraId="3E8581E4" w14:textId="77777777" w:rsidR="00200D03" w:rsidRPr="00646D82" w:rsidRDefault="00200D03" w:rsidP="00616891">
            <w:pPr>
              <w:pStyle w:val="ListParagraph"/>
              <w:numPr>
                <w:ilvl w:val="0"/>
                <w:numId w:val="31"/>
              </w:numPr>
              <w:spacing w:before="120" w:after="120"/>
              <w:ind w:left="314"/>
              <w:rPr>
                <w:snapToGrid w:val="0"/>
                <w:kern w:val="22"/>
                <w:szCs w:val="22"/>
              </w:rPr>
            </w:pPr>
            <w:r w:rsidRPr="00646D82">
              <w:rPr>
                <w:snapToGrid w:val="0"/>
                <w:kern w:val="22"/>
                <w:szCs w:val="22"/>
              </w:rPr>
              <w:t>Number and percentage of Parties that paid due regard to cases of present or imminent emergencies that threaten or damage human, animal or plant health as provided in Article 8(b)</w:t>
            </w:r>
          </w:p>
        </w:tc>
        <w:tc>
          <w:tcPr>
            <w:tcW w:w="1104" w:type="dxa"/>
            <w:shd w:val="clear" w:color="auto" w:fill="auto"/>
            <w:vAlign w:val="center"/>
          </w:tcPr>
          <w:p w14:paraId="22D4CDD0" w14:textId="77777777" w:rsidR="00200D03" w:rsidRPr="00646D82" w:rsidRDefault="00200D03" w:rsidP="00200D03">
            <w:pPr>
              <w:spacing w:line="276" w:lineRule="auto"/>
              <w:jc w:val="center"/>
              <w:rPr>
                <w:rFonts w:eastAsia="Calibri"/>
                <w:szCs w:val="22"/>
              </w:rPr>
            </w:pPr>
            <w:r w:rsidRPr="00646D82">
              <w:rPr>
                <w:rFonts w:eastAsia="Calibri"/>
                <w:szCs w:val="22"/>
              </w:rPr>
              <w:t>(b)</w:t>
            </w:r>
          </w:p>
        </w:tc>
        <w:tc>
          <w:tcPr>
            <w:tcW w:w="1506" w:type="dxa"/>
            <w:shd w:val="clear" w:color="auto" w:fill="auto"/>
            <w:vAlign w:val="center"/>
          </w:tcPr>
          <w:p w14:paraId="58E87110" w14:textId="6A6936E3" w:rsidR="00200D03" w:rsidRPr="00646D82" w:rsidRDefault="00200D03" w:rsidP="001F04D0">
            <w:pPr>
              <w:spacing w:before="120" w:after="120"/>
              <w:jc w:val="center"/>
              <w:rPr>
                <w:rFonts w:eastAsia="SimSun"/>
                <w:kern w:val="22"/>
                <w:szCs w:val="22"/>
              </w:rPr>
            </w:pPr>
            <w:r w:rsidRPr="00646D82">
              <w:rPr>
                <w:rFonts w:eastAsia="SimSun"/>
                <w:kern w:val="22"/>
                <w:szCs w:val="22"/>
              </w:rPr>
              <w:t xml:space="preserve">39 </w:t>
            </w:r>
            <w:r w:rsidR="002D4D16" w:rsidRPr="00646D82">
              <w:rPr>
                <w:rFonts w:eastAsia="SimSun"/>
                <w:kern w:val="22"/>
                <w:szCs w:val="22"/>
              </w:rPr>
              <w:t>(37%)</w:t>
            </w:r>
          </w:p>
        </w:tc>
        <w:tc>
          <w:tcPr>
            <w:tcW w:w="1321" w:type="dxa"/>
            <w:shd w:val="clear" w:color="auto" w:fill="auto"/>
          </w:tcPr>
          <w:p w14:paraId="68465E1C" w14:textId="77777777" w:rsidR="00200D03" w:rsidRPr="00646D82" w:rsidRDefault="00200D03" w:rsidP="00200D03">
            <w:pPr>
              <w:spacing w:before="120" w:after="120"/>
              <w:rPr>
                <w:snapToGrid w:val="0"/>
                <w:kern w:val="22"/>
                <w:szCs w:val="22"/>
              </w:rPr>
            </w:pPr>
            <w:r w:rsidRPr="00646D82">
              <w:rPr>
                <w:rFonts w:eastAsia="SimSun"/>
                <w:kern w:val="22"/>
                <w:szCs w:val="22"/>
              </w:rPr>
              <w:t>Q.35</w:t>
            </w:r>
          </w:p>
        </w:tc>
      </w:tr>
      <w:tr w:rsidR="00200D03" w:rsidRPr="00646D82" w14:paraId="5A7D22D6" w14:textId="77777777" w:rsidTr="00EE1F78">
        <w:trPr>
          <w:jc w:val="center"/>
        </w:trPr>
        <w:tc>
          <w:tcPr>
            <w:tcW w:w="5552" w:type="dxa"/>
            <w:shd w:val="clear" w:color="auto" w:fill="auto"/>
          </w:tcPr>
          <w:p w14:paraId="6D4D6784" w14:textId="77777777" w:rsidR="00200D03" w:rsidRPr="00646D82" w:rsidRDefault="00200D03" w:rsidP="00616891">
            <w:pPr>
              <w:pStyle w:val="ListParagraph"/>
              <w:numPr>
                <w:ilvl w:val="0"/>
                <w:numId w:val="31"/>
              </w:numPr>
              <w:spacing w:before="120" w:after="120"/>
              <w:ind w:left="314"/>
              <w:rPr>
                <w:snapToGrid w:val="0"/>
                <w:kern w:val="22"/>
                <w:szCs w:val="22"/>
              </w:rPr>
            </w:pPr>
            <w:r w:rsidRPr="00646D82">
              <w:rPr>
                <w:snapToGrid w:val="0"/>
                <w:kern w:val="22"/>
                <w:szCs w:val="22"/>
              </w:rPr>
              <w:t>Number and percentage of Parties that have taken into consideration the need for expeditious access to genetic resources and expeditious fair and equitable sharing of benefits arising out of the use of such genetic resources as provided in Article 8(b)</w:t>
            </w:r>
          </w:p>
        </w:tc>
        <w:tc>
          <w:tcPr>
            <w:tcW w:w="1104" w:type="dxa"/>
            <w:shd w:val="clear" w:color="auto" w:fill="auto"/>
            <w:vAlign w:val="center"/>
          </w:tcPr>
          <w:p w14:paraId="4D893241" w14:textId="77777777" w:rsidR="00200D03" w:rsidRPr="00646D82" w:rsidRDefault="00200D03" w:rsidP="00200D03">
            <w:pPr>
              <w:spacing w:line="276" w:lineRule="auto"/>
              <w:jc w:val="center"/>
              <w:rPr>
                <w:rFonts w:eastAsia="Calibri"/>
                <w:szCs w:val="22"/>
              </w:rPr>
            </w:pPr>
            <w:r w:rsidRPr="00646D82">
              <w:rPr>
                <w:rFonts w:eastAsia="Calibri"/>
                <w:szCs w:val="22"/>
              </w:rPr>
              <w:t>(b)</w:t>
            </w:r>
          </w:p>
        </w:tc>
        <w:tc>
          <w:tcPr>
            <w:tcW w:w="1506" w:type="dxa"/>
            <w:shd w:val="clear" w:color="auto" w:fill="auto"/>
            <w:vAlign w:val="center"/>
          </w:tcPr>
          <w:p w14:paraId="2359D8D5" w14:textId="0310867B" w:rsidR="00200D03" w:rsidRPr="00646D82" w:rsidRDefault="00200D03" w:rsidP="001F04D0">
            <w:pPr>
              <w:spacing w:before="120" w:after="120"/>
              <w:jc w:val="center"/>
              <w:rPr>
                <w:rFonts w:eastAsia="SimSun"/>
                <w:kern w:val="22"/>
                <w:szCs w:val="22"/>
              </w:rPr>
            </w:pPr>
            <w:r w:rsidRPr="00646D82">
              <w:rPr>
                <w:rFonts w:eastAsia="SimSun"/>
                <w:kern w:val="22"/>
                <w:szCs w:val="22"/>
              </w:rPr>
              <w:t xml:space="preserve">26 </w:t>
            </w:r>
            <w:r w:rsidR="002D4D16" w:rsidRPr="00646D82">
              <w:rPr>
                <w:rFonts w:eastAsia="SimSun"/>
                <w:kern w:val="22"/>
                <w:szCs w:val="22"/>
              </w:rPr>
              <w:t>(25%)</w:t>
            </w:r>
          </w:p>
        </w:tc>
        <w:tc>
          <w:tcPr>
            <w:tcW w:w="1321" w:type="dxa"/>
            <w:shd w:val="clear" w:color="auto" w:fill="auto"/>
          </w:tcPr>
          <w:p w14:paraId="48E02876" w14:textId="77777777" w:rsidR="00200D03" w:rsidRPr="00646D82" w:rsidRDefault="00200D03" w:rsidP="00200D03">
            <w:pPr>
              <w:spacing w:before="120" w:after="120"/>
              <w:rPr>
                <w:snapToGrid w:val="0"/>
                <w:kern w:val="22"/>
                <w:szCs w:val="22"/>
              </w:rPr>
            </w:pPr>
            <w:r w:rsidRPr="00646D82">
              <w:rPr>
                <w:rFonts w:eastAsia="SimSun"/>
                <w:kern w:val="22"/>
                <w:szCs w:val="22"/>
              </w:rPr>
              <w:t>Q.35</w:t>
            </w:r>
          </w:p>
        </w:tc>
      </w:tr>
      <w:tr w:rsidR="00200D03" w:rsidRPr="00646D82" w14:paraId="3C2057AC" w14:textId="77777777" w:rsidTr="00EE1F78">
        <w:trPr>
          <w:jc w:val="center"/>
        </w:trPr>
        <w:tc>
          <w:tcPr>
            <w:tcW w:w="5552" w:type="dxa"/>
            <w:tcBorders>
              <w:bottom w:val="single" w:sz="4" w:space="0" w:color="auto"/>
            </w:tcBorders>
            <w:shd w:val="clear" w:color="auto" w:fill="auto"/>
          </w:tcPr>
          <w:p w14:paraId="0DAE6222"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snapToGrid w:val="0"/>
                <w:kern w:val="22"/>
                <w:szCs w:val="22"/>
              </w:rPr>
              <w:t xml:space="preserve">Number and percentage </w:t>
            </w:r>
            <w:r w:rsidRPr="00646D82">
              <w:rPr>
                <w:rFonts w:eastAsia="SimSun"/>
                <w:kern w:val="22"/>
                <w:szCs w:val="22"/>
              </w:rPr>
              <w:t>of Parties that have taken into consideration the importance of genetic resources for food and agriculture and their special role for food security as provided in Article 8 (c)</w:t>
            </w:r>
          </w:p>
        </w:tc>
        <w:tc>
          <w:tcPr>
            <w:tcW w:w="1104" w:type="dxa"/>
            <w:tcBorders>
              <w:bottom w:val="single" w:sz="4" w:space="0" w:color="auto"/>
            </w:tcBorders>
            <w:shd w:val="clear" w:color="auto" w:fill="auto"/>
            <w:vAlign w:val="center"/>
          </w:tcPr>
          <w:p w14:paraId="75F76586" w14:textId="77777777" w:rsidR="00200D03" w:rsidRPr="00646D82" w:rsidRDefault="00200D03" w:rsidP="00200D03">
            <w:pPr>
              <w:spacing w:line="276" w:lineRule="auto"/>
              <w:jc w:val="center"/>
              <w:rPr>
                <w:rFonts w:eastAsia="Calibri"/>
                <w:szCs w:val="22"/>
              </w:rPr>
            </w:pPr>
            <w:r w:rsidRPr="00646D82">
              <w:rPr>
                <w:rFonts w:eastAsia="Calibri"/>
                <w:szCs w:val="22"/>
              </w:rPr>
              <w:t>(b)</w:t>
            </w:r>
          </w:p>
        </w:tc>
        <w:tc>
          <w:tcPr>
            <w:tcW w:w="1506" w:type="dxa"/>
            <w:tcBorders>
              <w:bottom w:val="single" w:sz="4" w:space="0" w:color="auto"/>
            </w:tcBorders>
            <w:shd w:val="clear" w:color="auto" w:fill="auto"/>
            <w:vAlign w:val="center"/>
          </w:tcPr>
          <w:p w14:paraId="2EFEC835" w14:textId="1BCC79A3" w:rsidR="00200D03" w:rsidRPr="00646D82" w:rsidRDefault="00200D03" w:rsidP="001F04D0">
            <w:pPr>
              <w:spacing w:before="120" w:after="120"/>
              <w:jc w:val="center"/>
              <w:rPr>
                <w:rFonts w:eastAsia="SimSun"/>
                <w:kern w:val="22"/>
                <w:szCs w:val="22"/>
              </w:rPr>
            </w:pPr>
            <w:r w:rsidRPr="00646D82">
              <w:rPr>
                <w:rFonts w:eastAsia="SimSun"/>
                <w:kern w:val="22"/>
                <w:szCs w:val="22"/>
              </w:rPr>
              <w:t xml:space="preserve">48 </w:t>
            </w:r>
            <w:r w:rsidR="002D4D16" w:rsidRPr="00646D82">
              <w:rPr>
                <w:rFonts w:eastAsia="SimSun"/>
                <w:kern w:val="22"/>
                <w:szCs w:val="22"/>
              </w:rPr>
              <w:t>(46%)</w:t>
            </w:r>
          </w:p>
        </w:tc>
        <w:tc>
          <w:tcPr>
            <w:tcW w:w="1321" w:type="dxa"/>
            <w:tcBorders>
              <w:bottom w:val="single" w:sz="4" w:space="0" w:color="auto"/>
            </w:tcBorders>
            <w:shd w:val="clear" w:color="auto" w:fill="auto"/>
          </w:tcPr>
          <w:p w14:paraId="7F535CE9" w14:textId="77777777" w:rsidR="00200D03" w:rsidRPr="00646D82" w:rsidRDefault="00200D03" w:rsidP="00200D03">
            <w:pPr>
              <w:spacing w:before="120" w:after="120"/>
              <w:rPr>
                <w:rFonts w:eastAsia="SimSun"/>
                <w:kern w:val="22"/>
                <w:szCs w:val="22"/>
              </w:rPr>
            </w:pPr>
            <w:r w:rsidRPr="00646D82">
              <w:rPr>
                <w:rFonts w:eastAsia="SimSun"/>
                <w:kern w:val="22"/>
                <w:szCs w:val="22"/>
              </w:rPr>
              <w:t>Q.35</w:t>
            </w:r>
          </w:p>
        </w:tc>
      </w:tr>
      <w:tr w:rsidR="00200D03" w:rsidRPr="00646D82" w14:paraId="314A3ECB" w14:textId="77777777" w:rsidTr="00D27E29">
        <w:trPr>
          <w:jc w:val="center"/>
        </w:trPr>
        <w:tc>
          <w:tcPr>
            <w:tcW w:w="9483" w:type="dxa"/>
            <w:gridSpan w:val="4"/>
            <w:shd w:val="pct5" w:color="auto" w:fill="auto"/>
            <w:vAlign w:val="center"/>
          </w:tcPr>
          <w:p w14:paraId="3FD0333B" w14:textId="77777777" w:rsidR="00200D03" w:rsidRPr="00646D82" w:rsidRDefault="00200D03" w:rsidP="00616891">
            <w:pPr>
              <w:pStyle w:val="ListParagraph"/>
              <w:spacing w:before="120" w:after="120"/>
              <w:ind w:left="314"/>
              <w:rPr>
                <w:rFonts w:eastAsia="SimSun"/>
                <w:b/>
                <w:kern w:val="22"/>
                <w:szCs w:val="22"/>
              </w:rPr>
            </w:pPr>
            <w:r w:rsidRPr="00646D82">
              <w:rPr>
                <w:rFonts w:eastAsia="SimSun"/>
                <w:b/>
                <w:kern w:val="22"/>
                <w:szCs w:val="22"/>
              </w:rPr>
              <w:t>Provisions related to indigenous peoples and local communities (IPLCs) (Article 6,7 and 12)</w:t>
            </w:r>
          </w:p>
        </w:tc>
      </w:tr>
      <w:tr w:rsidR="00200D03" w:rsidRPr="00646D82" w14:paraId="20BA32AC" w14:textId="77777777" w:rsidTr="00EE1F78">
        <w:trPr>
          <w:jc w:val="center"/>
        </w:trPr>
        <w:tc>
          <w:tcPr>
            <w:tcW w:w="5552" w:type="dxa"/>
            <w:shd w:val="clear" w:color="auto" w:fill="auto"/>
          </w:tcPr>
          <w:p w14:paraId="0857BBDB"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snapToGrid w:val="0"/>
                <w:kern w:val="22"/>
                <w:szCs w:val="22"/>
              </w:rPr>
              <w:t xml:space="preserve">Number and percentage </w:t>
            </w:r>
            <w:r w:rsidRPr="00646D82">
              <w:rPr>
                <w:rFonts w:eastAsia="SimSun"/>
                <w:kern w:val="22"/>
                <w:szCs w:val="22"/>
              </w:rPr>
              <w:t>of Parties where IPLCs have the established rights to grant access to genetic resources with measures in place with the aim of ensuring the PIC or approval and involvement of IPLCs as provided in Article 6.2.</w:t>
            </w:r>
          </w:p>
        </w:tc>
        <w:tc>
          <w:tcPr>
            <w:tcW w:w="1104" w:type="dxa"/>
            <w:shd w:val="clear" w:color="auto" w:fill="auto"/>
            <w:vAlign w:val="center"/>
          </w:tcPr>
          <w:p w14:paraId="28CE6653" w14:textId="77777777" w:rsidR="00200D03" w:rsidRPr="00646D82" w:rsidRDefault="00200D03" w:rsidP="00200D03">
            <w:pPr>
              <w:spacing w:line="276" w:lineRule="auto"/>
              <w:jc w:val="center"/>
              <w:rPr>
                <w:rFonts w:eastAsia="Calibri"/>
                <w:szCs w:val="22"/>
              </w:rPr>
            </w:pPr>
            <w:r w:rsidRPr="00646D82">
              <w:rPr>
                <w:rFonts w:eastAsia="Calibri"/>
                <w:szCs w:val="22"/>
              </w:rPr>
              <w:t>(a)</w:t>
            </w:r>
          </w:p>
        </w:tc>
        <w:tc>
          <w:tcPr>
            <w:tcW w:w="1506" w:type="dxa"/>
            <w:shd w:val="clear" w:color="auto" w:fill="auto"/>
            <w:vAlign w:val="center"/>
          </w:tcPr>
          <w:p w14:paraId="1138469C" w14:textId="0BC912D2" w:rsidR="00200D03" w:rsidRPr="00646D82" w:rsidRDefault="00200D03" w:rsidP="001F04D0">
            <w:pPr>
              <w:spacing w:before="120" w:after="120"/>
              <w:jc w:val="center"/>
              <w:rPr>
                <w:rFonts w:eastAsia="SimSun"/>
                <w:kern w:val="22"/>
                <w:szCs w:val="22"/>
              </w:rPr>
            </w:pPr>
            <w:r w:rsidRPr="00646D82">
              <w:rPr>
                <w:rFonts w:eastAsia="SimSun"/>
                <w:kern w:val="22"/>
                <w:szCs w:val="22"/>
              </w:rPr>
              <w:t xml:space="preserve">23 </w:t>
            </w:r>
            <w:r w:rsidR="002D4D16" w:rsidRPr="00646D82">
              <w:rPr>
                <w:rFonts w:eastAsia="SimSun"/>
                <w:kern w:val="22"/>
                <w:szCs w:val="22"/>
              </w:rPr>
              <w:t>(47%)</w:t>
            </w:r>
          </w:p>
        </w:tc>
        <w:tc>
          <w:tcPr>
            <w:tcW w:w="1321" w:type="dxa"/>
            <w:shd w:val="clear" w:color="auto" w:fill="auto"/>
          </w:tcPr>
          <w:p w14:paraId="36F99AF3" w14:textId="77777777" w:rsidR="00200D03" w:rsidRPr="00646D82" w:rsidRDefault="00200D03" w:rsidP="00200D03">
            <w:pPr>
              <w:spacing w:before="120" w:after="120"/>
              <w:rPr>
                <w:rFonts w:eastAsia="SimSun"/>
                <w:kern w:val="22"/>
                <w:szCs w:val="22"/>
              </w:rPr>
            </w:pPr>
            <w:r w:rsidRPr="00646D82">
              <w:rPr>
                <w:rFonts w:eastAsia="SimSun"/>
                <w:kern w:val="22"/>
                <w:szCs w:val="22"/>
              </w:rPr>
              <w:t>Q.38</w:t>
            </w:r>
          </w:p>
        </w:tc>
      </w:tr>
      <w:tr w:rsidR="00200D03" w:rsidRPr="00646D82" w14:paraId="4D821115" w14:textId="77777777" w:rsidTr="00EE1F78">
        <w:trPr>
          <w:jc w:val="center"/>
        </w:trPr>
        <w:tc>
          <w:tcPr>
            <w:tcW w:w="5552" w:type="dxa"/>
            <w:tcBorders>
              <w:bottom w:val="single" w:sz="4" w:space="0" w:color="auto"/>
            </w:tcBorders>
            <w:shd w:val="clear" w:color="auto" w:fill="auto"/>
          </w:tcPr>
          <w:p w14:paraId="2236B485"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snapToGrid w:val="0"/>
                <w:kern w:val="22"/>
                <w:szCs w:val="22"/>
              </w:rPr>
              <w:t xml:space="preserve">Number and percentage </w:t>
            </w:r>
            <w:r w:rsidRPr="00646D82">
              <w:rPr>
                <w:rFonts w:eastAsia="SimSun"/>
                <w:kern w:val="22"/>
                <w:szCs w:val="22"/>
              </w:rPr>
              <w:t>of Parties with indigenous peoples and local communities in their country that have taken measures with the aim of ensuring that traditional knowledge associated with genetic resources that is held by IPLCs have been accessed with the PIC or approval and involvement of these IPLCs and that MAT have been established as provided in Article 7</w:t>
            </w:r>
          </w:p>
        </w:tc>
        <w:tc>
          <w:tcPr>
            <w:tcW w:w="1104" w:type="dxa"/>
            <w:tcBorders>
              <w:bottom w:val="single" w:sz="4" w:space="0" w:color="auto"/>
            </w:tcBorders>
            <w:shd w:val="clear" w:color="auto" w:fill="auto"/>
            <w:vAlign w:val="center"/>
          </w:tcPr>
          <w:p w14:paraId="27B82976" w14:textId="77777777" w:rsidR="00200D03" w:rsidRPr="00646D82" w:rsidRDefault="00200D03" w:rsidP="00200D03">
            <w:pPr>
              <w:spacing w:line="276" w:lineRule="auto"/>
              <w:jc w:val="center"/>
              <w:rPr>
                <w:rFonts w:eastAsia="Calibri"/>
                <w:szCs w:val="22"/>
              </w:rPr>
            </w:pPr>
            <w:r w:rsidRPr="00646D82">
              <w:rPr>
                <w:rFonts w:eastAsia="Calibri"/>
                <w:szCs w:val="22"/>
              </w:rPr>
              <w:t>(a)</w:t>
            </w:r>
          </w:p>
        </w:tc>
        <w:tc>
          <w:tcPr>
            <w:tcW w:w="1506" w:type="dxa"/>
            <w:tcBorders>
              <w:bottom w:val="single" w:sz="4" w:space="0" w:color="auto"/>
            </w:tcBorders>
            <w:shd w:val="clear" w:color="auto" w:fill="auto"/>
            <w:vAlign w:val="center"/>
          </w:tcPr>
          <w:p w14:paraId="5F1B50DB" w14:textId="112DCF02" w:rsidR="00200D03" w:rsidRPr="00646D82" w:rsidRDefault="00200D03" w:rsidP="001F04D0">
            <w:pPr>
              <w:spacing w:before="120" w:after="120"/>
              <w:jc w:val="center"/>
              <w:rPr>
                <w:rFonts w:eastAsia="SimSun"/>
                <w:kern w:val="22"/>
                <w:szCs w:val="22"/>
              </w:rPr>
            </w:pPr>
            <w:r w:rsidRPr="00646D82">
              <w:rPr>
                <w:rFonts w:eastAsia="SimSun"/>
                <w:kern w:val="22"/>
                <w:szCs w:val="22"/>
              </w:rPr>
              <w:t>21</w:t>
            </w:r>
            <w:r w:rsidR="002D4D16" w:rsidRPr="00646D82">
              <w:rPr>
                <w:rFonts w:eastAsia="SimSun"/>
                <w:kern w:val="22"/>
                <w:szCs w:val="22"/>
              </w:rPr>
              <w:t>(43%)</w:t>
            </w:r>
          </w:p>
        </w:tc>
        <w:tc>
          <w:tcPr>
            <w:tcW w:w="1321" w:type="dxa"/>
            <w:tcBorders>
              <w:bottom w:val="single" w:sz="4" w:space="0" w:color="auto"/>
            </w:tcBorders>
            <w:shd w:val="clear" w:color="auto" w:fill="auto"/>
          </w:tcPr>
          <w:p w14:paraId="35F9DC38" w14:textId="77777777" w:rsidR="00200D03" w:rsidRPr="00646D82" w:rsidRDefault="00200D03" w:rsidP="00200D03">
            <w:pPr>
              <w:spacing w:before="120" w:after="120"/>
              <w:rPr>
                <w:rFonts w:eastAsia="SimSun"/>
                <w:kern w:val="22"/>
                <w:szCs w:val="22"/>
              </w:rPr>
            </w:pPr>
            <w:r w:rsidRPr="00646D82">
              <w:rPr>
                <w:rFonts w:eastAsia="SimSun"/>
                <w:kern w:val="22"/>
                <w:szCs w:val="22"/>
              </w:rPr>
              <w:t>Q.39</w:t>
            </w:r>
          </w:p>
        </w:tc>
      </w:tr>
      <w:tr w:rsidR="00200D03" w:rsidRPr="00646D82" w14:paraId="4E12E317" w14:textId="77777777" w:rsidTr="00EE1F78">
        <w:trPr>
          <w:jc w:val="center"/>
        </w:trPr>
        <w:tc>
          <w:tcPr>
            <w:tcW w:w="5552" w:type="dxa"/>
            <w:tcBorders>
              <w:bottom w:val="single" w:sz="4" w:space="0" w:color="auto"/>
            </w:tcBorders>
            <w:shd w:val="clear" w:color="auto" w:fill="auto"/>
          </w:tcPr>
          <w:p w14:paraId="11D62A13" w14:textId="015A05F7" w:rsidR="00200D03" w:rsidRPr="00646D82" w:rsidRDefault="007C500E" w:rsidP="00EE1F78">
            <w:pPr>
              <w:pStyle w:val="ListParagraph"/>
              <w:numPr>
                <w:ilvl w:val="0"/>
                <w:numId w:val="31"/>
              </w:numPr>
              <w:spacing w:before="120" w:after="120"/>
              <w:ind w:left="314"/>
              <w:rPr>
                <w:rFonts w:eastAsia="SimSun"/>
                <w:kern w:val="22"/>
                <w:szCs w:val="22"/>
              </w:rPr>
            </w:pPr>
            <w:r w:rsidRPr="00646D82">
              <w:rPr>
                <w:i/>
                <w:snapToGrid w:val="0"/>
                <w:kern w:val="22"/>
                <w:szCs w:val="22"/>
              </w:rPr>
              <w:t>New:</w:t>
            </w:r>
            <w:r w:rsidRPr="00646D82">
              <w:rPr>
                <w:snapToGrid w:val="0"/>
                <w:kern w:val="22"/>
                <w:szCs w:val="22"/>
              </w:rPr>
              <w:t xml:space="preserve"> </w:t>
            </w:r>
            <w:r w:rsidR="00200D03" w:rsidRPr="00646D82">
              <w:rPr>
                <w:snapToGrid w:val="0"/>
                <w:kern w:val="22"/>
                <w:szCs w:val="22"/>
              </w:rPr>
              <w:t xml:space="preserve">Number </w:t>
            </w:r>
            <w:r w:rsidR="00200D03" w:rsidRPr="00646D82">
              <w:rPr>
                <w:rFonts w:eastAsia="SimSun"/>
                <w:kern w:val="22"/>
                <w:szCs w:val="22"/>
              </w:rPr>
              <w:t xml:space="preserve">of indigenous peoples and local communities’ community protocols and procedures </w:t>
            </w:r>
            <w:r w:rsidR="00200D03" w:rsidRPr="00646D82">
              <w:rPr>
                <w:snapToGrid w:val="0"/>
                <w:kern w:val="22"/>
                <w:szCs w:val="22"/>
              </w:rPr>
              <w:t>developed</w:t>
            </w:r>
            <w:r w:rsidR="00200D03" w:rsidRPr="00646D82">
              <w:rPr>
                <w:rFonts w:eastAsia="SimSun"/>
                <w:kern w:val="22"/>
                <w:szCs w:val="22"/>
              </w:rPr>
              <w:t xml:space="preserve"> </w:t>
            </w:r>
          </w:p>
        </w:tc>
        <w:tc>
          <w:tcPr>
            <w:tcW w:w="1104" w:type="dxa"/>
            <w:tcBorders>
              <w:bottom w:val="single" w:sz="4" w:space="0" w:color="auto"/>
            </w:tcBorders>
            <w:shd w:val="clear" w:color="auto" w:fill="auto"/>
            <w:vAlign w:val="center"/>
          </w:tcPr>
          <w:p w14:paraId="6018CD67" w14:textId="77777777" w:rsidR="00200D03" w:rsidRPr="00646D82" w:rsidRDefault="00200D03" w:rsidP="00200D03">
            <w:pPr>
              <w:spacing w:line="276" w:lineRule="auto"/>
              <w:jc w:val="center"/>
              <w:rPr>
                <w:rFonts w:eastAsia="Calibri"/>
                <w:szCs w:val="22"/>
              </w:rPr>
            </w:pPr>
            <w:r w:rsidRPr="00646D82">
              <w:rPr>
                <w:rFonts w:eastAsia="Calibri"/>
                <w:szCs w:val="22"/>
              </w:rPr>
              <w:t>(f)</w:t>
            </w:r>
          </w:p>
        </w:tc>
        <w:tc>
          <w:tcPr>
            <w:tcW w:w="1506" w:type="dxa"/>
            <w:tcBorders>
              <w:bottom w:val="single" w:sz="4" w:space="0" w:color="auto"/>
            </w:tcBorders>
            <w:shd w:val="clear" w:color="auto" w:fill="auto"/>
            <w:vAlign w:val="center"/>
          </w:tcPr>
          <w:p w14:paraId="328CD298" w14:textId="77777777" w:rsidR="00200D03" w:rsidRPr="00646D82" w:rsidRDefault="00E86184" w:rsidP="00200D03">
            <w:pPr>
              <w:spacing w:before="120" w:after="120"/>
              <w:jc w:val="center"/>
              <w:rPr>
                <w:rFonts w:eastAsia="SimSun"/>
                <w:kern w:val="22"/>
                <w:szCs w:val="22"/>
              </w:rPr>
            </w:pPr>
            <w:r w:rsidRPr="00646D82">
              <w:rPr>
                <w:rFonts w:eastAsia="SimSun"/>
                <w:kern w:val="22"/>
                <w:szCs w:val="22"/>
              </w:rPr>
              <w:t>Not conclusive data</w:t>
            </w:r>
          </w:p>
        </w:tc>
        <w:tc>
          <w:tcPr>
            <w:tcW w:w="1321" w:type="dxa"/>
            <w:tcBorders>
              <w:bottom w:val="single" w:sz="4" w:space="0" w:color="auto"/>
            </w:tcBorders>
            <w:shd w:val="clear" w:color="auto" w:fill="auto"/>
          </w:tcPr>
          <w:p w14:paraId="5F77D374" w14:textId="77777777" w:rsidR="003B1550" w:rsidRPr="00646D82" w:rsidRDefault="003B1550" w:rsidP="00200D03">
            <w:pPr>
              <w:spacing w:before="120" w:after="120"/>
              <w:rPr>
                <w:rFonts w:eastAsia="SimSun"/>
                <w:kern w:val="22"/>
                <w:szCs w:val="22"/>
              </w:rPr>
            </w:pPr>
            <w:r w:rsidRPr="00646D82">
              <w:rPr>
                <w:rFonts w:eastAsia="SimSun"/>
                <w:kern w:val="22"/>
                <w:szCs w:val="22"/>
              </w:rPr>
              <w:t>Q.42 requires revision</w:t>
            </w:r>
          </w:p>
          <w:p w14:paraId="12F7F8DD" w14:textId="77777777" w:rsidR="00200D03" w:rsidRPr="00646D82" w:rsidRDefault="003B1550" w:rsidP="00200D03">
            <w:pPr>
              <w:spacing w:before="120" w:after="120"/>
              <w:rPr>
                <w:rFonts w:eastAsia="SimSun"/>
                <w:kern w:val="22"/>
                <w:szCs w:val="22"/>
              </w:rPr>
            </w:pPr>
            <w:r w:rsidRPr="00646D82">
              <w:rPr>
                <w:rFonts w:eastAsia="SimSun"/>
                <w:kern w:val="22"/>
                <w:szCs w:val="22"/>
              </w:rPr>
              <w:t>T</w:t>
            </w:r>
            <w:r w:rsidR="00200D03" w:rsidRPr="00646D82">
              <w:rPr>
                <w:rFonts w:eastAsia="SimSun"/>
                <w:kern w:val="22"/>
                <w:szCs w:val="22"/>
              </w:rPr>
              <w:t>argeted survey</w:t>
            </w:r>
          </w:p>
        </w:tc>
      </w:tr>
      <w:tr w:rsidR="00200D03" w:rsidRPr="00646D82" w14:paraId="42892FBB" w14:textId="77777777" w:rsidTr="00EE1F78">
        <w:trPr>
          <w:jc w:val="center"/>
        </w:trPr>
        <w:tc>
          <w:tcPr>
            <w:tcW w:w="5552" w:type="dxa"/>
            <w:tcBorders>
              <w:bottom w:val="single" w:sz="4" w:space="0" w:color="auto"/>
            </w:tcBorders>
            <w:shd w:val="clear" w:color="auto" w:fill="auto"/>
          </w:tcPr>
          <w:p w14:paraId="459EDB06"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SimSun"/>
                <w:kern w:val="22"/>
                <w:szCs w:val="22"/>
              </w:rPr>
              <w:t>Number of indigenous peoples and local communities’ customary laws, community protocols and procedures made available in the ABS Clearing-House</w:t>
            </w:r>
          </w:p>
        </w:tc>
        <w:tc>
          <w:tcPr>
            <w:tcW w:w="1104" w:type="dxa"/>
            <w:tcBorders>
              <w:bottom w:val="single" w:sz="4" w:space="0" w:color="auto"/>
            </w:tcBorders>
            <w:shd w:val="clear" w:color="auto" w:fill="auto"/>
            <w:vAlign w:val="center"/>
          </w:tcPr>
          <w:p w14:paraId="7A453DB5" w14:textId="77777777" w:rsidR="00200D03" w:rsidRPr="00646D82" w:rsidRDefault="00200D03" w:rsidP="00200D03">
            <w:pPr>
              <w:spacing w:line="276" w:lineRule="auto"/>
              <w:jc w:val="center"/>
              <w:rPr>
                <w:rFonts w:eastAsia="Calibri"/>
                <w:szCs w:val="22"/>
              </w:rPr>
            </w:pPr>
            <w:r w:rsidRPr="00646D82">
              <w:rPr>
                <w:rFonts w:eastAsia="Calibri"/>
                <w:szCs w:val="22"/>
              </w:rPr>
              <w:t>(f)(g)</w:t>
            </w:r>
          </w:p>
        </w:tc>
        <w:tc>
          <w:tcPr>
            <w:tcW w:w="1506" w:type="dxa"/>
            <w:tcBorders>
              <w:bottom w:val="single" w:sz="4" w:space="0" w:color="auto"/>
            </w:tcBorders>
            <w:shd w:val="clear" w:color="auto" w:fill="auto"/>
            <w:vAlign w:val="center"/>
          </w:tcPr>
          <w:p w14:paraId="4D5D425D" w14:textId="77777777" w:rsidR="00200D03" w:rsidRPr="00646D82" w:rsidRDefault="00E86184" w:rsidP="00200D03">
            <w:pPr>
              <w:spacing w:before="120" w:after="120"/>
              <w:jc w:val="center"/>
              <w:rPr>
                <w:rFonts w:eastAsia="SimSun"/>
                <w:kern w:val="22"/>
                <w:szCs w:val="22"/>
              </w:rPr>
            </w:pPr>
            <w:r w:rsidRPr="00646D82">
              <w:rPr>
                <w:rFonts w:eastAsia="SimSun"/>
                <w:kern w:val="22"/>
                <w:szCs w:val="22"/>
              </w:rPr>
              <w:t>3</w:t>
            </w:r>
          </w:p>
        </w:tc>
        <w:tc>
          <w:tcPr>
            <w:tcW w:w="1321" w:type="dxa"/>
            <w:tcBorders>
              <w:bottom w:val="single" w:sz="4" w:space="0" w:color="auto"/>
            </w:tcBorders>
            <w:shd w:val="clear" w:color="auto" w:fill="auto"/>
          </w:tcPr>
          <w:p w14:paraId="0DC7BC22" w14:textId="77777777" w:rsidR="00200D03" w:rsidRPr="00646D82" w:rsidRDefault="00200D03" w:rsidP="00200D03">
            <w:pPr>
              <w:spacing w:before="120" w:after="120"/>
              <w:rPr>
                <w:rFonts w:eastAsia="SimSun"/>
                <w:kern w:val="22"/>
                <w:szCs w:val="22"/>
              </w:rPr>
            </w:pPr>
            <w:r w:rsidRPr="00646D82">
              <w:rPr>
                <w:rFonts w:eastAsia="SimSun"/>
                <w:kern w:val="22"/>
                <w:szCs w:val="22"/>
              </w:rPr>
              <w:t>ABS-CH</w:t>
            </w:r>
          </w:p>
        </w:tc>
      </w:tr>
      <w:tr w:rsidR="00200D03" w:rsidRPr="00646D82" w14:paraId="1EF9B973" w14:textId="77777777" w:rsidTr="00D27E29">
        <w:trPr>
          <w:jc w:val="center"/>
        </w:trPr>
        <w:tc>
          <w:tcPr>
            <w:tcW w:w="9483" w:type="dxa"/>
            <w:gridSpan w:val="4"/>
            <w:shd w:val="pct5" w:color="auto" w:fill="auto"/>
            <w:vAlign w:val="center"/>
          </w:tcPr>
          <w:p w14:paraId="23F8E86F" w14:textId="77777777" w:rsidR="00200D03" w:rsidRPr="00646D82" w:rsidRDefault="00200D03" w:rsidP="00616891">
            <w:pPr>
              <w:pStyle w:val="ListParagraph"/>
              <w:spacing w:before="120" w:after="120"/>
              <w:ind w:left="314"/>
              <w:rPr>
                <w:rFonts w:eastAsia="SimSun"/>
                <w:b/>
                <w:kern w:val="22"/>
                <w:szCs w:val="22"/>
              </w:rPr>
            </w:pPr>
            <w:r w:rsidRPr="00646D82">
              <w:rPr>
                <w:rFonts w:eastAsia="SimSun"/>
                <w:b/>
                <w:kern w:val="22"/>
                <w:szCs w:val="22"/>
              </w:rPr>
              <w:t>Contribution to conservation and sustainable use (Article 9)</w:t>
            </w:r>
          </w:p>
        </w:tc>
      </w:tr>
      <w:tr w:rsidR="00200D03" w:rsidRPr="00646D82" w14:paraId="609EDC0C" w14:textId="77777777" w:rsidTr="00D36D87">
        <w:trPr>
          <w:cantSplit/>
          <w:jc w:val="center"/>
        </w:trPr>
        <w:tc>
          <w:tcPr>
            <w:tcW w:w="5552" w:type="dxa"/>
            <w:tcBorders>
              <w:bottom w:val="single" w:sz="4" w:space="0" w:color="auto"/>
            </w:tcBorders>
            <w:shd w:val="clear" w:color="auto" w:fill="auto"/>
          </w:tcPr>
          <w:p w14:paraId="6D4C436C" w14:textId="3F0EF744" w:rsidR="00200D03" w:rsidRPr="00646D82" w:rsidRDefault="005E21B1" w:rsidP="00616891">
            <w:pPr>
              <w:pStyle w:val="ListParagraph"/>
              <w:numPr>
                <w:ilvl w:val="0"/>
                <w:numId w:val="31"/>
              </w:numPr>
              <w:spacing w:before="120" w:after="120"/>
              <w:ind w:left="314"/>
              <w:rPr>
                <w:snapToGrid w:val="0"/>
                <w:szCs w:val="22"/>
                <w:u w:color="000000"/>
              </w:rPr>
            </w:pPr>
            <w:r w:rsidRPr="00646D82">
              <w:rPr>
                <w:rFonts w:eastAsia="Calibri"/>
                <w:i/>
                <w:snapToGrid w:val="0"/>
                <w:color w:val="000000"/>
                <w:kern w:val="22"/>
                <w:szCs w:val="22"/>
                <w:u w:color="000000"/>
              </w:rPr>
              <w:t>Revised</w:t>
            </w:r>
            <w:r w:rsidR="007C500E" w:rsidRPr="00646D82">
              <w:rPr>
                <w:rFonts w:eastAsia="Calibri"/>
                <w:i/>
                <w:snapToGrid w:val="0"/>
                <w:color w:val="000000"/>
                <w:kern w:val="22"/>
                <w:szCs w:val="22"/>
                <w:u w:color="000000"/>
              </w:rPr>
              <w:t>:</w:t>
            </w:r>
            <w:r w:rsidR="007C500E" w:rsidRPr="00646D82">
              <w:rPr>
                <w:rFonts w:eastAsia="Calibri"/>
                <w:snapToGrid w:val="0"/>
                <w:color w:val="000000"/>
                <w:kern w:val="22"/>
                <w:szCs w:val="22"/>
                <w:u w:color="000000"/>
              </w:rPr>
              <w:t xml:space="preserve"> </w:t>
            </w:r>
            <w:r w:rsidR="00200D03" w:rsidRPr="00646D82">
              <w:rPr>
                <w:rFonts w:eastAsia="SimSun"/>
                <w:kern w:val="22"/>
                <w:szCs w:val="22"/>
              </w:rPr>
              <w:t>Number and percentage of Parties that reported that i</w:t>
            </w:r>
            <w:r w:rsidR="00200D03" w:rsidRPr="00646D82">
              <w:rPr>
                <w:snapToGrid w:val="0"/>
                <w:szCs w:val="22"/>
                <w:u w:color="000000"/>
              </w:rPr>
              <w:t>mplementation of the Nagoya Protocol has contributed to conservation and sustainable use of biodiversity in their country</w:t>
            </w:r>
          </w:p>
        </w:tc>
        <w:tc>
          <w:tcPr>
            <w:tcW w:w="1104" w:type="dxa"/>
            <w:tcBorders>
              <w:bottom w:val="single" w:sz="4" w:space="0" w:color="auto"/>
            </w:tcBorders>
            <w:shd w:val="clear" w:color="auto" w:fill="auto"/>
            <w:vAlign w:val="center"/>
          </w:tcPr>
          <w:p w14:paraId="21C36D7D" w14:textId="77777777" w:rsidR="00200D03" w:rsidRPr="00646D82" w:rsidRDefault="00200D03" w:rsidP="00200D03">
            <w:pPr>
              <w:spacing w:line="276" w:lineRule="auto"/>
              <w:jc w:val="center"/>
              <w:rPr>
                <w:rFonts w:eastAsia="Calibri"/>
                <w:szCs w:val="22"/>
              </w:rPr>
            </w:pPr>
            <w:r w:rsidRPr="00646D82">
              <w:rPr>
                <w:rFonts w:eastAsia="Calibri"/>
                <w:szCs w:val="22"/>
              </w:rPr>
              <w:t>(b)</w:t>
            </w:r>
          </w:p>
        </w:tc>
        <w:tc>
          <w:tcPr>
            <w:tcW w:w="1506" w:type="dxa"/>
            <w:tcBorders>
              <w:bottom w:val="single" w:sz="4" w:space="0" w:color="auto"/>
            </w:tcBorders>
            <w:shd w:val="clear" w:color="auto" w:fill="auto"/>
            <w:vAlign w:val="center"/>
          </w:tcPr>
          <w:p w14:paraId="614C1393" w14:textId="77777777" w:rsidR="00200D03" w:rsidRPr="00646D82" w:rsidRDefault="00200D03" w:rsidP="00200D03">
            <w:pPr>
              <w:spacing w:before="120" w:after="120"/>
              <w:jc w:val="center"/>
              <w:rPr>
                <w:rFonts w:eastAsia="SimSun"/>
                <w:kern w:val="22"/>
                <w:szCs w:val="22"/>
              </w:rPr>
            </w:pPr>
            <w:r w:rsidRPr="00646D82">
              <w:rPr>
                <w:rFonts w:eastAsia="SimSun"/>
                <w:kern w:val="22"/>
                <w:szCs w:val="22"/>
              </w:rPr>
              <w:t>Not conclusive data</w:t>
            </w:r>
          </w:p>
        </w:tc>
        <w:tc>
          <w:tcPr>
            <w:tcW w:w="1321" w:type="dxa"/>
            <w:tcBorders>
              <w:bottom w:val="single" w:sz="4" w:space="0" w:color="auto"/>
            </w:tcBorders>
            <w:shd w:val="clear" w:color="auto" w:fill="auto"/>
          </w:tcPr>
          <w:p w14:paraId="3E97CCF6" w14:textId="6C365014" w:rsidR="00200D03" w:rsidRPr="00646D82" w:rsidRDefault="00200D03" w:rsidP="00200D03">
            <w:pPr>
              <w:spacing w:before="120" w:after="120"/>
              <w:rPr>
                <w:rFonts w:eastAsia="SimSun"/>
                <w:kern w:val="22"/>
                <w:szCs w:val="22"/>
              </w:rPr>
            </w:pPr>
            <w:r w:rsidRPr="00646D82">
              <w:rPr>
                <w:rFonts w:eastAsia="SimSun"/>
                <w:kern w:val="22"/>
                <w:szCs w:val="22"/>
              </w:rPr>
              <w:t>Q.46</w:t>
            </w:r>
            <w:r w:rsidR="00C013F1" w:rsidRPr="00646D82">
              <w:rPr>
                <w:rFonts w:eastAsia="SimSun"/>
                <w:kern w:val="22"/>
                <w:szCs w:val="22"/>
              </w:rPr>
              <w:t xml:space="preserve"> requires revision</w:t>
            </w:r>
            <w:r w:rsidR="007C500E" w:rsidRPr="00646D82">
              <w:rPr>
                <w:rFonts w:eastAsia="SimSun"/>
                <w:kern w:val="22"/>
                <w:szCs w:val="22"/>
              </w:rPr>
              <w:t xml:space="preserve"> </w:t>
            </w:r>
          </w:p>
        </w:tc>
      </w:tr>
      <w:tr w:rsidR="00200D03" w:rsidRPr="00646D82" w14:paraId="66765195" w14:textId="77777777" w:rsidTr="00D27E29">
        <w:trPr>
          <w:jc w:val="center"/>
        </w:trPr>
        <w:tc>
          <w:tcPr>
            <w:tcW w:w="9483" w:type="dxa"/>
            <w:gridSpan w:val="4"/>
            <w:shd w:val="pct5" w:color="auto" w:fill="auto"/>
            <w:vAlign w:val="center"/>
          </w:tcPr>
          <w:p w14:paraId="496C9AAA" w14:textId="77777777" w:rsidR="00200D03" w:rsidRPr="00646D82" w:rsidRDefault="00200D03" w:rsidP="00616891">
            <w:pPr>
              <w:pStyle w:val="ListParagraph"/>
              <w:spacing w:before="120" w:after="120"/>
              <w:ind w:left="314"/>
              <w:rPr>
                <w:rFonts w:eastAsia="SimSun"/>
                <w:b/>
                <w:kern w:val="22"/>
                <w:szCs w:val="22"/>
              </w:rPr>
            </w:pPr>
            <w:r w:rsidRPr="00646D82">
              <w:rPr>
                <w:rFonts w:eastAsia="SimSun"/>
                <w:b/>
                <w:kern w:val="22"/>
                <w:szCs w:val="22"/>
              </w:rPr>
              <w:t>Model contractual clauses, codes of conduct, guidelines, best practices and standards (Articles 19 and 20)</w:t>
            </w:r>
          </w:p>
        </w:tc>
      </w:tr>
      <w:tr w:rsidR="00200D03" w:rsidRPr="00646D82" w14:paraId="7ADE90AD" w14:textId="77777777" w:rsidTr="00EE1F78">
        <w:trPr>
          <w:jc w:val="center"/>
        </w:trPr>
        <w:tc>
          <w:tcPr>
            <w:tcW w:w="5552" w:type="dxa"/>
            <w:tcBorders>
              <w:bottom w:val="single" w:sz="4" w:space="0" w:color="auto"/>
            </w:tcBorders>
            <w:shd w:val="clear" w:color="auto" w:fill="auto"/>
          </w:tcPr>
          <w:p w14:paraId="6424BB8F"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SimSun"/>
                <w:kern w:val="22"/>
                <w:szCs w:val="22"/>
              </w:rPr>
              <w:t>Number of model contractual clauses developed</w:t>
            </w:r>
          </w:p>
        </w:tc>
        <w:tc>
          <w:tcPr>
            <w:tcW w:w="1104" w:type="dxa"/>
            <w:tcBorders>
              <w:bottom w:val="single" w:sz="4" w:space="0" w:color="auto"/>
            </w:tcBorders>
            <w:shd w:val="clear" w:color="auto" w:fill="auto"/>
            <w:vAlign w:val="center"/>
          </w:tcPr>
          <w:p w14:paraId="703C5582" w14:textId="77777777" w:rsidR="00200D03" w:rsidRPr="00646D82" w:rsidRDefault="00200D03" w:rsidP="00200D03">
            <w:pPr>
              <w:spacing w:line="276" w:lineRule="auto"/>
              <w:jc w:val="center"/>
              <w:rPr>
                <w:rFonts w:eastAsia="Calibri"/>
                <w:szCs w:val="22"/>
              </w:rPr>
            </w:pPr>
            <w:r w:rsidRPr="00646D82">
              <w:rPr>
                <w:rFonts w:eastAsia="Calibri"/>
                <w:szCs w:val="22"/>
              </w:rPr>
              <w:t>(f)</w:t>
            </w:r>
          </w:p>
        </w:tc>
        <w:tc>
          <w:tcPr>
            <w:tcW w:w="1506" w:type="dxa"/>
            <w:tcBorders>
              <w:bottom w:val="single" w:sz="4" w:space="0" w:color="auto"/>
            </w:tcBorders>
            <w:shd w:val="clear" w:color="auto" w:fill="auto"/>
            <w:vAlign w:val="center"/>
          </w:tcPr>
          <w:p w14:paraId="55A94008" w14:textId="77777777" w:rsidR="00200D03" w:rsidRPr="00646D82" w:rsidRDefault="00E86184" w:rsidP="00200D03">
            <w:pPr>
              <w:spacing w:before="120" w:after="120"/>
              <w:jc w:val="center"/>
              <w:rPr>
                <w:rFonts w:eastAsia="SimSun"/>
                <w:kern w:val="22"/>
                <w:szCs w:val="22"/>
              </w:rPr>
            </w:pPr>
            <w:r w:rsidRPr="00646D82">
              <w:rPr>
                <w:rFonts w:eastAsia="SimSun"/>
                <w:kern w:val="22"/>
                <w:szCs w:val="22"/>
              </w:rPr>
              <w:t>29</w:t>
            </w:r>
          </w:p>
        </w:tc>
        <w:tc>
          <w:tcPr>
            <w:tcW w:w="1321" w:type="dxa"/>
            <w:tcBorders>
              <w:bottom w:val="single" w:sz="4" w:space="0" w:color="auto"/>
            </w:tcBorders>
            <w:shd w:val="clear" w:color="auto" w:fill="auto"/>
          </w:tcPr>
          <w:p w14:paraId="590A4AA5" w14:textId="04AA5B10" w:rsidR="00200D03" w:rsidRPr="00646D82" w:rsidRDefault="00200D03" w:rsidP="00200D03">
            <w:pPr>
              <w:spacing w:before="120" w:after="120"/>
              <w:rPr>
                <w:rFonts w:eastAsia="SimSun"/>
                <w:kern w:val="22"/>
                <w:szCs w:val="22"/>
              </w:rPr>
            </w:pPr>
            <w:r w:rsidRPr="00646D82">
              <w:rPr>
                <w:rFonts w:eastAsia="SimSun"/>
                <w:kern w:val="22"/>
                <w:szCs w:val="22"/>
              </w:rPr>
              <w:t>Q.51,</w:t>
            </w:r>
            <w:r w:rsidR="002B45AA" w:rsidRPr="00646D82">
              <w:rPr>
                <w:rFonts w:eastAsia="SimSun"/>
                <w:kern w:val="22"/>
                <w:szCs w:val="22"/>
              </w:rPr>
              <w:t xml:space="preserve"> </w:t>
            </w:r>
            <w:r w:rsidRPr="00646D82">
              <w:rPr>
                <w:rFonts w:eastAsia="SimSun"/>
                <w:kern w:val="22"/>
                <w:szCs w:val="22"/>
              </w:rPr>
              <w:t>targeted survey</w:t>
            </w:r>
          </w:p>
        </w:tc>
      </w:tr>
      <w:tr w:rsidR="00200D03" w:rsidRPr="00646D82" w14:paraId="5C7202C6" w14:textId="77777777" w:rsidTr="00EE1F78">
        <w:trPr>
          <w:jc w:val="center"/>
        </w:trPr>
        <w:tc>
          <w:tcPr>
            <w:tcW w:w="5552" w:type="dxa"/>
            <w:tcBorders>
              <w:bottom w:val="single" w:sz="4" w:space="0" w:color="auto"/>
            </w:tcBorders>
            <w:shd w:val="clear" w:color="auto" w:fill="auto"/>
          </w:tcPr>
          <w:p w14:paraId="47613CE6"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SimSun"/>
                <w:kern w:val="22"/>
                <w:szCs w:val="22"/>
              </w:rPr>
              <w:t>Number of codes of conduct, guidelines, best practices and standards developed</w:t>
            </w:r>
          </w:p>
        </w:tc>
        <w:tc>
          <w:tcPr>
            <w:tcW w:w="1104" w:type="dxa"/>
            <w:tcBorders>
              <w:bottom w:val="single" w:sz="4" w:space="0" w:color="auto"/>
            </w:tcBorders>
            <w:shd w:val="clear" w:color="auto" w:fill="auto"/>
            <w:vAlign w:val="center"/>
          </w:tcPr>
          <w:p w14:paraId="786A2DBA" w14:textId="77777777" w:rsidR="00200D03" w:rsidRPr="00646D82" w:rsidRDefault="00200D03" w:rsidP="00200D03">
            <w:pPr>
              <w:spacing w:line="276" w:lineRule="auto"/>
              <w:jc w:val="center"/>
              <w:rPr>
                <w:rFonts w:eastAsia="Calibri"/>
                <w:szCs w:val="22"/>
              </w:rPr>
            </w:pPr>
            <w:r w:rsidRPr="00646D82">
              <w:rPr>
                <w:rFonts w:eastAsia="Calibri"/>
                <w:szCs w:val="22"/>
              </w:rPr>
              <w:t>(f)</w:t>
            </w:r>
          </w:p>
        </w:tc>
        <w:tc>
          <w:tcPr>
            <w:tcW w:w="1506" w:type="dxa"/>
            <w:tcBorders>
              <w:bottom w:val="single" w:sz="4" w:space="0" w:color="auto"/>
            </w:tcBorders>
            <w:shd w:val="clear" w:color="auto" w:fill="auto"/>
            <w:vAlign w:val="center"/>
          </w:tcPr>
          <w:p w14:paraId="1C69212C" w14:textId="77777777" w:rsidR="00200D03" w:rsidRPr="00646D82" w:rsidRDefault="00E86184" w:rsidP="00200D03">
            <w:pPr>
              <w:spacing w:before="120" w:after="120"/>
              <w:jc w:val="center"/>
              <w:rPr>
                <w:rFonts w:eastAsia="SimSun"/>
                <w:kern w:val="22"/>
                <w:szCs w:val="22"/>
              </w:rPr>
            </w:pPr>
            <w:r w:rsidRPr="00646D82">
              <w:rPr>
                <w:rFonts w:eastAsia="SimSun"/>
                <w:kern w:val="22"/>
                <w:szCs w:val="22"/>
              </w:rPr>
              <w:t>33</w:t>
            </w:r>
          </w:p>
        </w:tc>
        <w:tc>
          <w:tcPr>
            <w:tcW w:w="1321" w:type="dxa"/>
            <w:tcBorders>
              <w:bottom w:val="single" w:sz="4" w:space="0" w:color="auto"/>
            </w:tcBorders>
            <w:shd w:val="clear" w:color="auto" w:fill="auto"/>
          </w:tcPr>
          <w:p w14:paraId="082A5E58" w14:textId="77777777" w:rsidR="00200D03" w:rsidRPr="00646D82" w:rsidRDefault="00200D03" w:rsidP="00200D03">
            <w:pPr>
              <w:spacing w:before="120" w:after="120"/>
              <w:rPr>
                <w:rFonts w:eastAsia="SimSun"/>
                <w:kern w:val="22"/>
                <w:szCs w:val="22"/>
              </w:rPr>
            </w:pPr>
            <w:r w:rsidRPr="00646D82">
              <w:rPr>
                <w:rFonts w:eastAsia="SimSun"/>
                <w:kern w:val="22"/>
                <w:szCs w:val="22"/>
              </w:rPr>
              <w:t>Q.52, targeted survey</w:t>
            </w:r>
          </w:p>
        </w:tc>
      </w:tr>
      <w:tr w:rsidR="00200D03" w:rsidRPr="00646D82" w14:paraId="63CD28DE" w14:textId="77777777" w:rsidTr="00EE1F78">
        <w:trPr>
          <w:jc w:val="center"/>
        </w:trPr>
        <w:tc>
          <w:tcPr>
            <w:tcW w:w="5552" w:type="dxa"/>
            <w:tcBorders>
              <w:bottom w:val="single" w:sz="4" w:space="0" w:color="auto"/>
            </w:tcBorders>
            <w:shd w:val="clear" w:color="auto" w:fill="auto"/>
          </w:tcPr>
          <w:p w14:paraId="1CE15799"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SimSun"/>
                <w:kern w:val="22"/>
                <w:szCs w:val="22"/>
              </w:rPr>
              <w:t>Numbe</w:t>
            </w:r>
            <w:r w:rsidR="00E86184" w:rsidRPr="00646D82">
              <w:rPr>
                <w:rFonts w:eastAsia="SimSun"/>
                <w:kern w:val="22"/>
                <w:szCs w:val="22"/>
              </w:rPr>
              <w:t xml:space="preserve">r and percentage of model contractual clauses </w:t>
            </w:r>
            <w:r w:rsidRPr="00646D82">
              <w:rPr>
                <w:rFonts w:eastAsia="SimSun"/>
                <w:kern w:val="22"/>
                <w:szCs w:val="22"/>
              </w:rPr>
              <w:t>made available in the ABS Clearing-House</w:t>
            </w:r>
          </w:p>
        </w:tc>
        <w:tc>
          <w:tcPr>
            <w:tcW w:w="1104" w:type="dxa"/>
            <w:tcBorders>
              <w:bottom w:val="single" w:sz="4" w:space="0" w:color="auto"/>
            </w:tcBorders>
            <w:shd w:val="clear" w:color="auto" w:fill="auto"/>
            <w:vAlign w:val="center"/>
          </w:tcPr>
          <w:p w14:paraId="0BEA511E" w14:textId="77777777" w:rsidR="00200D03" w:rsidRPr="00646D82" w:rsidRDefault="00200D03" w:rsidP="00200D03">
            <w:pPr>
              <w:spacing w:line="276" w:lineRule="auto"/>
              <w:jc w:val="center"/>
              <w:rPr>
                <w:rFonts w:eastAsia="Calibri"/>
                <w:szCs w:val="22"/>
              </w:rPr>
            </w:pPr>
            <w:r w:rsidRPr="00646D82">
              <w:rPr>
                <w:rFonts w:eastAsia="Calibri"/>
                <w:szCs w:val="22"/>
              </w:rPr>
              <w:t>(f) (g)</w:t>
            </w:r>
          </w:p>
        </w:tc>
        <w:tc>
          <w:tcPr>
            <w:tcW w:w="1506" w:type="dxa"/>
            <w:tcBorders>
              <w:bottom w:val="single" w:sz="4" w:space="0" w:color="auto"/>
            </w:tcBorders>
            <w:shd w:val="clear" w:color="auto" w:fill="auto"/>
            <w:vAlign w:val="center"/>
          </w:tcPr>
          <w:p w14:paraId="373698C8" w14:textId="05CC73D5" w:rsidR="00200D03" w:rsidRPr="00646D82" w:rsidRDefault="00E86184" w:rsidP="001F04D0">
            <w:pPr>
              <w:spacing w:before="120" w:after="120"/>
              <w:jc w:val="center"/>
              <w:rPr>
                <w:rFonts w:eastAsia="SimSun"/>
                <w:kern w:val="22"/>
                <w:szCs w:val="22"/>
              </w:rPr>
            </w:pPr>
            <w:r w:rsidRPr="00646D82">
              <w:rPr>
                <w:rFonts w:eastAsia="SimSun"/>
                <w:kern w:val="22"/>
                <w:szCs w:val="22"/>
              </w:rPr>
              <w:t xml:space="preserve">17 </w:t>
            </w:r>
            <w:r w:rsidR="002D4D16" w:rsidRPr="00646D82">
              <w:rPr>
                <w:rFonts w:eastAsia="SimSun"/>
                <w:kern w:val="22"/>
                <w:szCs w:val="22"/>
              </w:rPr>
              <w:t>(59%)</w:t>
            </w:r>
          </w:p>
        </w:tc>
        <w:tc>
          <w:tcPr>
            <w:tcW w:w="1321" w:type="dxa"/>
            <w:tcBorders>
              <w:bottom w:val="single" w:sz="4" w:space="0" w:color="auto"/>
            </w:tcBorders>
            <w:shd w:val="clear" w:color="auto" w:fill="auto"/>
          </w:tcPr>
          <w:p w14:paraId="449002ED" w14:textId="77777777" w:rsidR="00200D03" w:rsidRPr="00646D82" w:rsidRDefault="00200D03" w:rsidP="00200D03">
            <w:pPr>
              <w:spacing w:before="120" w:after="120"/>
              <w:rPr>
                <w:rFonts w:eastAsia="SimSun"/>
                <w:kern w:val="22"/>
                <w:szCs w:val="22"/>
              </w:rPr>
            </w:pPr>
            <w:r w:rsidRPr="00646D82">
              <w:rPr>
                <w:rFonts w:eastAsia="SimSun"/>
                <w:kern w:val="22"/>
                <w:szCs w:val="22"/>
              </w:rPr>
              <w:t>ABS-CH</w:t>
            </w:r>
          </w:p>
        </w:tc>
      </w:tr>
      <w:tr w:rsidR="00E86184" w:rsidRPr="00646D82" w14:paraId="7F36860C" w14:textId="77777777" w:rsidTr="00EE1F78">
        <w:trPr>
          <w:jc w:val="center"/>
        </w:trPr>
        <w:tc>
          <w:tcPr>
            <w:tcW w:w="5552" w:type="dxa"/>
            <w:tcBorders>
              <w:bottom w:val="single" w:sz="4" w:space="0" w:color="auto"/>
            </w:tcBorders>
            <w:shd w:val="clear" w:color="auto" w:fill="auto"/>
          </w:tcPr>
          <w:p w14:paraId="50A5C6A2" w14:textId="77777777" w:rsidR="00E86184" w:rsidRPr="00646D82" w:rsidRDefault="00E86184" w:rsidP="00616891">
            <w:pPr>
              <w:pStyle w:val="ListParagraph"/>
              <w:numPr>
                <w:ilvl w:val="0"/>
                <w:numId w:val="31"/>
              </w:numPr>
              <w:spacing w:before="120" w:after="120"/>
              <w:ind w:left="314"/>
              <w:rPr>
                <w:rFonts w:eastAsia="SimSun"/>
                <w:kern w:val="22"/>
                <w:szCs w:val="22"/>
              </w:rPr>
            </w:pPr>
            <w:r w:rsidRPr="00646D82">
              <w:rPr>
                <w:rFonts w:eastAsia="SimSun"/>
                <w:kern w:val="22"/>
                <w:szCs w:val="22"/>
              </w:rPr>
              <w:t>Number and percentage of codes of conduct, guidelines, best practices and standards made available in the ABS Clearing-House</w:t>
            </w:r>
          </w:p>
        </w:tc>
        <w:tc>
          <w:tcPr>
            <w:tcW w:w="1104" w:type="dxa"/>
            <w:tcBorders>
              <w:bottom w:val="single" w:sz="4" w:space="0" w:color="auto"/>
            </w:tcBorders>
            <w:shd w:val="clear" w:color="auto" w:fill="auto"/>
            <w:vAlign w:val="center"/>
          </w:tcPr>
          <w:p w14:paraId="02C2039B" w14:textId="77777777" w:rsidR="00E86184" w:rsidRPr="00646D82" w:rsidRDefault="00E86184" w:rsidP="00200D03">
            <w:pPr>
              <w:spacing w:line="276" w:lineRule="auto"/>
              <w:jc w:val="center"/>
              <w:rPr>
                <w:rFonts w:eastAsia="Calibri"/>
                <w:szCs w:val="22"/>
              </w:rPr>
            </w:pPr>
            <w:r w:rsidRPr="00646D82">
              <w:rPr>
                <w:rFonts w:eastAsia="Calibri"/>
                <w:szCs w:val="22"/>
              </w:rPr>
              <w:t>(f) (g)</w:t>
            </w:r>
          </w:p>
        </w:tc>
        <w:tc>
          <w:tcPr>
            <w:tcW w:w="1506" w:type="dxa"/>
            <w:tcBorders>
              <w:bottom w:val="single" w:sz="4" w:space="0" w:color="auto"/>
            </w:tcBorders>
            <w:shd w:val="clear" w:color="auto" w:fill="auto"/>
            <w:vAlign w:val="center"/>
          </w:tcPr>
          <w:p w14:paraId="6811011C" w14:textId="7FBEA365" w:rsidR="00E86184" w:rsidRPr="00646D82" w:rsidRDefault="00E86184" w:rsidP="001F04D0">
            <w:pPr>
              <w:spacing w:before="120" w:after="120"/>
              <w:jc w:val="center"/>
              <w:rPr>
                <w:rFonts w:eastAsia="SimSun"/>
                <w:kern w:val="22"/>
                <w:szCs w:val="22"/>
              </w:rPr>
            </w:pPr>
            <w:r w:rsidRPr="00646D82">
              <w:rPr>
                <w:rFonts w:eastAsia="SimSun"/>
                <w:kern w:val="22"/>
                <w:szCs w:val="22"/>
              </w:rPr>
              <w:t xml:space="preserve">25 </w:t>
            </w:r>
            <w:r w:rsidR="002D4D16" w:rsidRPr="00646D82">
              <w:rPr>
                <w:rFonts w:eastAsia="SimSun"/>
                <w:kern w:val="22"/>
                <w:szCs w:val="22"/>
              </w:rPr>
              <w:t>(75%)</w:t>
            </w:r>
          </w:p>
        </w:tc>
        <w:tc>
          <w:tcPr>
            <w:tcW w:w="1321" w:type="dxa"/>
            <w:tcBorders>
              <w:bottom w:val="single" w:sz="4" w:space="0" w:color="auto"/>
            </w:tcBorders>
            <w:shd w:val="clear" w:color="auto" w:fill="auto"/>
          </w:tcPr>
          <w:p w14:paraId="6F648B07" w14:textId="77777777" w:rsidR="00E86184" w:rsidRPr="00646D82" w:rsidRDefault="00E86184" w:rsidP="00200D03">
            <w:pPr>
              <w:spacing w:before="120" w:after="120"/>
              <w:rPr>
                <w:rFonts w:eastAsia="SimSun"/>
                <w:kern w:val="22"/>
                <w:szCs w:val="22"/>
              </w:rPr>
            </w:pPr>
            <w:r w:rsidRPr="00646D82">
              <w:rPr>
                <w:rFonts w:eastAsia="SimSun"/>
                <w:kern w:val="22"/>
                <w:szCs w:val="22"/>
              </w:rPr>
              <w:t>ABS-CH</w:t>
            </w:r>
          </w:p>
        </w:tc>
      </w:tr>
      <w:tr w:rsidR="00200D03" w:rsidRPr="00646D82" w14:paraId="3E70B918" w14:textId="77777777" w:rsidTr="00D27E29">
        <w:trPr>
          <w:jc w:val="center"/>
        </w:trPr>
        <w:tc>
          <w:tcPr>
            <w:tcW w:w="9483" w:type="dxa"/>
            <w:gridSpan w:val="4"/>
            <w:shd w:val="pct5" w:color="auto" w:fill="auto"/>
            <w:vAlign w:val="center"/>
          </w:tcPr>
          <w:p w14:paraId="69C179F6" w14:textId="77777777" w:rsidR="00200D03" w:rsidRPr="00646D82" w:rsidRDefault="00200D03" w:rsidP="00616891">
            <w:pPr>
              <w:pStyle w:val="ListParagraph"/>
              <w:spacing w:before="120" w:after="120"/>
              <w:ind w:left="314"/>
              <w:rPr>
                <w:rFonts w:eastAsia="SimSun"/>
                <w:b/>
                <w:kern w:val="22"/>
                <w:szCs w:val="22"/>
              </w:rPr>
            </w:pPr>
            <w:r w:rsidRPr="00646D82">
              <w:rPr>
                <w:rFonts w:eastAsia="SimSun"/>
                <w:b/>
                <w:kern w:val="22"/>
                <w:szCs w:val="22"/>
              </w:rPr>
              <w:t>Awareness-raising and capacity (Article 21 and 22)</w:t>
            </w:r>
          </w:p>
        </w:tc>
      </w:tr>
      <w:tr w:rsidR="00200D03" w:rsidRPr="00646D82" w14:paraId="0FDD41FB" w14:textId="77777777" w:rsidTr="00EE1F78">
        <w:trPr>
          <w:jc w:val="center"/>
        </w:trPr>
        <w:tc>
          <w:tcPr>
            <w:tcW w:w="5552" w:type="dxa"/>
            <w:shd w:val="clear" w:color="auto" w:fill="auto"/>
          </w:tcPr>
          <w:p w14:paraId="0579A8B0"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SimSun"/>
                <w:kern w:val="22"/>
                <w:szCs w:val="22"/>
              </w:rPr>
              <w:t xml:space="preserve">Number and percentage of Parties that received external support for building and developing capacity for the implementation of the Nagoya Protocol since entry into force of the Protocol </w:t>
            </w:r>
          </w:p>
        </w:tc>
        <w:tc>
          <w:tcPr>
            <w:tcW w:w="1104" w:type="dxa"/>
            <w:shd w:val="clear" w:color="auto" w:fill="auto"/>
            <w:vAlign w:val="center"/>
          </w:tcPr>
          <w:p w14:paraId="274908AF" w14:textId="77777777" w:rsidR="00200D03" w:rsidRPr="00646D82" w:rsidRDefault="00200D03" w:rsidP="00200D03">
            <w:pPr>
              <w:spacing w:line="276" w:lineRule="auto"/>
              <w:jc w:val="center"/>
              <w:rPr>
                <w:rFonts w:eastAsia="Calibri"/>
                <w:szCs w:val="22"/>
              </w:rPr>
            </w:pPr>
            <w:r w:rsidRPr="00646D82">
              <w:rPr>
                <w:rFonts w:eastAsia="Calibri"/>
                <w:szCs w:val="22"/>
              </w:rPr>
              <w:t>(c)</w:t>
            </w:r>
          </w:p>
        </w:tc>
        <w:tc>
          <w:tcPr>
            <w:tcW w:w="1506" w:type="dxa"/>
            <w:shd w:val="clear" w:color="auto" w:fill="auto"/>
            <w:vAlign w:val="center"/>
          </w:tcPr>
          <w:p w14:paraId="37DEE383" w14:textId="129080D9" w:rsidR="00200D03" w:rsidRPr="00646D82" w:rsidRDefault="00200D03" w:rsidP="002D4D16">
            <w:pPr>
              <w:spacing w:before="120" w:after="120"/>
              <w:jc w:val="center"/>
              <w:rPr>
                <w:rFonts w:eastAsia="SimSun"/>
                <w:kern w:val="22"/>
                <w:szCs w:val="22"/>
              </w:rPr>
            </w:pPr>
            <w:r w:rsidRPr="00646D82">
              <w:rPr>
                <w:rFonts w:eastAsia="SimSun"/>
                <w:kern w:val="22"/>
                <w:szCs w:val="22"/>
              </w:rPr>
              <w:t xml:space="preserve">45 </w:t>
            </w:r>
            <w:r w:rsidR="002D4D16" w:rsidRPr="00646D82">
              <w:rPr>
                <w:rFonts w:eastAsia="SimSun"/>
                <w:kern w:val="22"/>
                <w:szCs w:val="22"/>
              </w:rPr>
              <w:t>(43%)</w:t>
            </w:r>
          </w:p>
        </w:tc>
        <w:tc>
          <w:tcPr>
            <w:tcW w:w="1321" w:type="dxa"/>
            <w:shd w:val="clear" w:color="auto" w:fill="auto"/>
          </w:tcPr>
          <w:p w14:paraId="7CCAEC6E" w14:textId="77777777" w:rsidR="00200D03" w:rsidRPr="00646D82" w:rsidRDefault="00200D03" w:rsidP="00200D03">
            <w:pPr>
              <w:spacing w:before="120" w:after="120"/>
              <w:rPr>
                <w:rFonts w:eastAsia="SimSun"/>
                <w:kern w:val="22"/>
                <w:szCs w:val="22"/>
              </w:rPr>
            </w:pPr>
            <w:r w:rsidRPr="00646D82">
              <w:rPr>
                <w:rFonts w:eastAsia="SimSun"/>
                <w:kern w:val="22"/>
                <w:szCs w:val="22"/>
              </w:rPr>
              <w:t>Q.56</w:t>
            </w:r>
          </w:p>
        </w:tc>
      </w:tr>
      <w:tr w:rsidR="00200D03" w:rsidRPr="00646D82" w14:paraId="7289B75E" w14:textId="77777777" w:rsidTr="00EE1F78">
        <w:trPr>
          <w:jc w:val="center"/>
        </w:trPr>
        <w:tc>
          <w:tcPr>
            <w:tcW w:w="5552" w:type="dxa"/>
            <w:shd w:val="clear" w:color="auto" w:fill="auto"/>
          </w:tcPr>
          <w:p w14:paraId="36390424"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SimSun"/>
                <w:kern w:val="22"/>
                <w:szCs w:val="22"/>
              </w:rPr>
              <w:t xml:space="preserve">Number and percentage of Parties that provided external support for building and developing capacity for the implementation of the Nagoya Protocol since entry into force of the Protocol </w:t>
            </w:r>
          </w:p>
        </w:tc>
        <w:tc>
          <w:tcPr>
            <w:tcW w:w="1104" w:type="dxa"/>
            <w:shd w:val="clear" w:color="auto" w:fill="auto"/>
            <w:vAlign w:val="center"/>
          </w:tcPr>
          <w:p w14:paraId="44609745" w14:textId="77777777" w:rsidR="00200D03" w:rsidRPr="00646D82" w:rsidRDefault="00200D03" w:rsidP="00200D03">
            <w:pPr>
              <w:spacing w:line="276" w:lineRule="auto"/>
              <w:jc w:val="center"/>
              <w:rPr>
                <w:rFonts w:eastAsia="Calibri"/>
                <w:szCs w:val="22"/>
              </w:rPr>
            </w:pPr>
            <w:r w:rsidRPr="00646D82">
              <w:rPr>
                <w:rFonts w:eastAsia="Calibri"/>
                <w:szCs w:val="22"/>
              </w:rPr>
              <w:t>(c)</w:t>
            </w:r>
          </w:p>
        </w:tc>
        <w:tc>
          <w:tcPr>
            <w:tcW w:w="1506" w:type="dxa"/>
            <w:shd w:val="clear" w:color="auto" w:fill="auto"/>
            <w:vAlign w:val="center"/>
          </w:tcPr>
          <w:p w14:paraId="489802C4" w14:textId="7944F7A6" w:rsidR="00200D03" w:rsidRPr="00646D82" w:rsidRDefault="00200D03" w:rsidP="001F04D0">
            <w:pPr>
              <w:spacing w:before="120" w:after="120"/>
              <w:jc w:val="center"/>
              <w:rPr>
                <w:rFonts w:eastAsia="SimSun"/>
                <w:kern w:val="22"/>
                <w:szCs w:val="22"/>
              </w:rPr>
            </w:pPr>
            <w:r w:rsidRPr="00646D82">
              <w:rPr>
                <w:rFonts w:eastAsia="SimSun"/>
                <w:kern w:val="22"/>
                <w:szCs w:val="22"/>
              </w:rPr>
              <w:t xml:space="preserve">27 </w:t>
            </w:r>
            <w:r w:rsidR="002D4D16" w:rsidRPr="00646D82">
              <w:rPr>
                <w:rFonts w:eastAsia="SimSun"/>
                <w:kern w:val="22"/>
                <w:szCs w:val="22"/>
              </w:rPr>
              <w:t>(26%)</w:t>
            </w:r>
          </w:p>
        </w:tc>
        <w:tc>
          <w:tcPr>
            <w:tcW w:w="1321" w:type="dxa"/>
            <w:shd w:val="clear" w:color="auto" w:fill="auto"/>
          </w:tcPr>
          <w:p w14:paraId="0AAEE4BC" w14:textId="77777777" w:rsidR="00200D03" w:rsidRPr="00646D82" w:rsidRDefault="00200D03" w:rsidP="00200D03">
            <w:pPr>
              <w:spacing w:before="120" w:after="120"/>
              <w:rPr>
                <w:rFonts w:eastAsia="SimSun"/>
                <w:kern w:val="22"/>
                <w:szCs w:val="22"/>
              </w:rPr>
            </w:pPr>
            <w:r w:rsidRPr="00646D82">
              <w:rPr>
                <w:rFonts w:eastAsia="SimSun"/>
                <w:kern w:val="22"/>
                <w:szCs w:val="22"/>
              </w:rPr>
              <w:t>Q.57</w:t>
            </w:r>
          </w:p>
        </w:tc>
      </w:tr>
      <w:tr w:rsidR="00200D03" w:rsidRPr="00646D82" w14:paraId="1735F73A" w14:textId="77777777" w:rsidTr="00EE1F78">
        <w:trPr>
          <w:jc w:val="center"/>
        </w:trPr>
        <w:tc>
          <w:tcPr>
            <w:tcW w:w="5552" w:type="dxa"/>
            <w:shd w:val="clear" w:color="auto" w:fill="auto"/>
          </w:tcPr>
          <w:p w14:paraId="284C7E65"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SimSun"/>
                <w:kern w:val="22"/>
                <w:szCs w:val="22"/>
              </w:rPr>
              <w:t>Number of capacity-building and development initiatives made available completed or initiated after the adoption of the Nagoya Protocol in 2010 and are providing, or have provided, direct support for country level activities contributing to the ratification and implementation of the Nagoya Protocol</w:t>
            </w:r>
          </w:p>
        </w:tc>
        <w:tc>
          <w:tcPr>
            <w:tcW w:w="1104" w:type="dxa"/>
            <w:shd w:val="clear" w:color="auto" w:fill="auto"/>
            <w:vAlign w:val="center"/>
          </w:tcPr>
          <w:p w14:paraId="1999BC3D" w14:textId="77777777" w:rsidR="00200D03" w:rsidRPr="00646D82" w:rsidRDefault="00200D03" w:rsidP="00200D03">
            <w:pPr>
              <w:spacing w:line="276" w:lineRule="auto"/>
              <w:jc w:val="center"/>
              <w:rPr>
                <w:rFonts w:eastAsia="Calibri"/>
                <w:szCs w:val="22"/>
              </w:rPr>
            </w:pPr>
            <w:r w:rsidRPr="00646D82">
              <w:rPr>
                <w:rFonts w:eastAsia="Calibri"/>
                <w:szCs w:val="22"/>
              </w:rPr>
              <w:t>(c)</w:t>
            </w:r>
          </w:p>
        </w:tc>
        <w:tc>
          <w:tcPr>
            <w:tcW w:w="1506" w:type="dxa"/>
            <w:shd w:val="clear" w:color="auto" w:fill="auto"/>
            <w:vAlign w:val="center"/>
          </w:tcPr>
          <w:p w14:paraId="39D737F1" w14:textId="77777777" w:rsidR="00200D03" w:rsidRPr="00646D82" w:rsidRDefault="00200D03" w:rsidP="00200D03">
            <w:pPr>
              <w:spacing w:before="120" w:after="120"/>
              <w:jc w:val="center"/>
              <w:rPr>
                <w:rFonts w:eastAsia="SimSun"/>
                <w:kern w:val="22"/>
                <w:szCs w:val="22"/>
              </w:rPr>
            </w:pPr>
            <w:r w:rsidRPr="00646D82">
              <w:rPr>
                <w:rFonts w:eastAsia="SimSun"/>
                <w:kern w:val="22"/>
                <w:szCs w:val="22"/>
              </w:rPr>
              <w:t>90</w:t>
            </w:r>
          </w:p>
        </w:tc>
        <w:tc>
          <w:tcPr>
            <w:tcW w:w="1321" w:type="dxa"/>
            <w:shd w:val="clear" w:color="auto" w:fill="auto"/>
          </w:tcPr>
          <w:p w14:paraId="1089F2D8" w14:textId="77777777" w:rsidR="00200D03" w:rsidRPr="00646D82" w:rsidRDefault="00200D03" w:rsidP="00200D03">
            <w:pPr>
              <w:spacing w:before="120" w:after="120"/>
              <w:rPr>
                <w:rFonts w:eastAsia="SimSun"/>
                <w:kern w:val="22"/>
                <w:szCs w:val="22"/>
              </w:rPr>
            </w:pPr>
            <w:r w:rsidRPr="00646D82">
              <w:rPr>
                <w:rFonts w:eastAsia="SimSun"/>
                <w:kern w:val="22"/>
                <w:szCs w:val="22"/>
              </w:rPr>
              <w:t>SCBD documents on capacity-building</w:t>
            </w:r>
          </w:p>
        </w:tc>
      </w:tr>
      <w:tr w:rsidR="00200D03" w:rsidRPr="00646D82" w14:paraId="5EB054CF" w14:textId="77777777" w:rsidTr="00EE1F78">
        <w:trPr>
          <w:jc w:val="center"/>
        </w:trPr>
        <w:tc>
          <w:tcPr>
            <w:tcW w:w="5552" w:type="dxa"/>
            <w:shd w:val="clear" w:color="auto" w:fill="auto"/>
          </w:tcPr>
          <w:p w14:paraId="0C5A2CBD"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SimSun"/>
                <w:kern w:val="22"/>
                <w:szCs w:val="22"/>
              </w:rPr>
              <w:t xml:space="preserve">Number of capacity-building and development initiatives made available to the ABS Clearing-House </w:t>
            </w:r>
          </w:p>
        </w:tc>
        <w:tc>
          <w:tcPr>
            <w:tcW w:w="1104" w:type="dxa"/>
            <w:shd w:val="clear" w:color="auto" w:fill="auto"/>
            <w:vAlign w:val="center"/>
          </w:tcPr>
          <w:p w14:paraId="7A72F8C4" w14:textId="77777777" w:rsidR="00200D03" w:rsidRPr="00646D82" w:rsidRDefault="00200D03" w:rsidP="00200D03">
            <w:pPr>
              <w:spacing w:line="276" w:lineRule="auto"/>
              <w:jc w:val="center"/>
              <w:rPr>
                <w:rFonts w:eastAsia="Calibri"/>
                <w:szCs w:val="22"/>
              </w:rPr>
            </w:pPr>
            <w:r w:rsidRPr="00646D82">
              <w:rPr>
                <w:rFonts w:eastAsia="Calibri"/>
                <w:szCs w:val="22"/>
              </w:rPr>
              <w:t>(c)(g)</w:t>
            </w:r>
          </w:p>
        </w:tc>
        <w:tc>
          <w:tcPr>
            <w:tcW w:w="1506" w:type="dxa"/>
            <w:shd w:val="clear" w:color="auto" w:fill="auto"/>
            <w:vAlign w:val="center"/>
          </w:tcPr>
          <w:p w14:paraId="27BE7A8E" w14:textId="77777777" w:rsidR="00200D03" w:rsidRPr="00646D82" w:rsidRDefault="00200D03" w:rsidP="00200D03">
            <w:pPr>
              <w:spacing w:line="276" w:lineRule="auto"/>
              <w:jc w:val="center"/>
              <w:rPr>
                <w:rFonts w:eastAsia="Calibri"/>
                <w:szCs w:val="22"/>
              </w:rPr>
            </w:pPr>
            <w:r w:rsidRPr="00646D82">
              <w:rPr>
                <w:rFonts w:eastAsia="Calibri"/>
                <w:szCs w:val="22"/>
              </w:rPr>
              <w:t>57</w:t>
            </w:r>
          </w:p>
        </w:tc>
        <w:tc>
          <w:tcPr>
            <w:tcW w:w="1321" w:type="dxa"/>
            <w:shd w:val="clear" w:color="auto" w:fill="auto"/>
          </w:tcPr>
          <w:p w14:paraId="51705D18" w14:textId="77777777" w:rsidR="00200D03" w:rsidRPr="00646D82" w:rsidRDefault="00200D03" w:rsidP="00200D03">
            <w:pPr>
              <w:spacing w:before="120" w:after="120"/>
              <w:rPr>
                <w:rFonts w:eastAsia="SimSun"/>
                <w:kern w:val="22"/>
                <w:szCs w:val="22"/>
              </w:rPr>
            </w:pPr>
            <w:r w:rsidRPr="00646D82">
              <w:rPr>
                <w:rFonts w:eastAsia="SimSun"/>
                <w:kern w:val="22"/>
                <w:szCs w:val="22"/>
              </w:rPr>
              <w:t>ABS-CH</w:t>
            </w:r>
          </w:p>
        </w:tc>
      </w:tr>
      <w:tr w:rsidR="00200D03" w:rsidRPr="00646D82" w14:paraId="0B102FDE" w14:textId="77777777" w:rsidTr="00D36D87">
        <w:trPr>
          <w:cantSplit/>
          <w:jc w:val="center"/>
        </w:trPr>
        <w:tc>
          <w:tcPr>
            <w:tcW w:w="5552" w:type="dxa"/>
            <w:shd w:val="clear" w:color="auto" w:fill="auto"/>
          </w:tcPr>
          <w:p w14:paraId="2DB2630A"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SimSun"/>
                <w:kern w:val="22"/>
                <w:szCs w:val="22"/>
              </w:rPr>
              <w:t>Number of capacity-building and awareness-raising tools and resources on access and benefit-sharing</w:t>
            </w:r>
          </w:p>
        </w:tc>
        <w:tc>
          <w:tcPr>
            <w:tcW w:w="1104" w:type="dxa"/>
            <w:shd w:val="clear" w:color="auto" w:fill="auto"/>
            <w:vAlign w:val="center"/>
          </w:tcPr>
          <w:p w14:paraId="2F8E484E" w14:textId="77777777" w:rsidR="00200D03" w:rsidRPr="00646D82" w:rsidRDefault="00200D03" w:rsidP="00200D03">
            <w:pPr>
              <w:spacing w:line="276" w:lineRule="auto"/>
              <w:jc w:val="center"/>
              <w:rPr>
                <w:rFonts w:eastAsia="Calibri"/>
                <w:szCs w:val="22"/>
              </w:rPr>
            </w:pPr>
            <w:r w:rsidRPr="00646D82">
              <w:rPr>
                <w:rFonts w:eastAsia="Calibri"/>
                <w:szCs w:val="22"/>
              </w:rPr>
              <w:t>(c)</w:t>
            </w:r>
          </w:p>
        </w:tc>
        <w:tc>
          <w:tcPr>
            <w:tcW w:w="1506" w:type="dxa"/>
            <w:shd w:val="clear" w:color="auto" w:fill="auto"/>
            <w:vAlign w:val="center"/>
          </w:tcPr>
          <w:p w14:paraId="0078B1BB" w14:textId="77777777" w:rsidR="00200D03" w:rsidRPr="00646D82" w:rsidRDefault="00200D03" w:rsidP="00200D03">
            <w:pPr>
              <w:spacing w:line="276" w:lineRule="auto"/>
              <w:jc w:val="center"/>
              <w:rPr>
                <w:rFonts w:eastAsia="Calibri"/>
                <w:szCs w:val="22"/>
              </w:rPr>
            </w:pPr>
            <w:r w:rsidRPr="00646D82">
              <w:rPr>
                <w:rFonts w:eastAsia="Calibri"/>
                <w:szCs w:val="22"/>
              </w:rPr>
              <w:t>84</w:t>
            </w:r>
          </w:p>
        </w:tc>
        <w:tc>
          <w:tcPr>
            <w:tcW w:w="1321" w:type="dxa"/>
            <w:shd w:val="clear" w:color="auto" w:fill="auto"/>
          </w:tcPr>
          <w:p w14:paraId="3146FACC" w14:textId="77777777" w:rsidR="00200D03" w:rsidRPr="00646D82" w:rsidRDefault="00200D03" w:rsidP="00200D03">
            <w:pPr>
              <w:spacing w:before="120" w:after="120"/>
              <w:rPr>
                <w:rFonts w:eastAsia="SimSun"/>
                <w:kern w:val="22"/>
                <w:szCs w:val="22"/>
              </w:rPr>
            </w:pPr>
            <w:r w:rsidRPr="00646D82">
              <w:rPr>
                <w:rFonts w:eastAsia="SimSun"/>
                <w:kern w:val="22"/>
                <w:szCs w:val="22"/>
              </w:rPr>
              <w:t>SCBD documents on capacity-building</w:t>
            </w:r>
          </w:p>
        </w:tc>
      </w:tr>
      <w:tr w:rsidR="00200D03" w:rsidRPr="00646D82" w14:paraId="2565CF34" w14:textId="77777777" w:rsidTr="00EE1F78">
        <w:trPr>
          <w:jc w:val="center"/>
        </w:trPr>
        <w:tc>
          <w:tcPr>
            <w:tcW w:w="5552" w:type="dxa"/>
            <w:tcBorders>
              <w:bottom w:val="single" w:sz="4" w:space="0" w:color="auto"/>
            </w:tcBorders>
            <w:shd w:val="clear" w:color="auto" w:fill="auto"/>
          </w:tcPr>
          <w:p w14:paraId="070908C5"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SimSun"/>
                <w:kern w:val="22"/>
                <w:szCs w:val="22"/>
              </w:rPr>
              <w:t>Number of capacity-building and awareness-raising tools and resources made available in the ABS Clearing-House</w:t>
            </w:r>
          </w:p>
        </w:tc>
        <w:tc>
          <w:tcPr>
            <w:tcW w:w="1104" w:type="dxa"/>
            <w:tcBorders>
              <w:bottom w:val="single" w:sz="4" w:space="0" w:color="auto"/>
            </w:tcBorders>
            <w:shd w:val="clear" w:color="auto" w:fill="auto"/>
            <w:vAlign w:val="center"/>
          </w:tcPr>
          <w:p w14:paraId="00A21060" w14:textId="77777777" w:rsidR="00200D03" w:rsidRPr="00646D82" w:rsidRDefault="00200D03" w:rsidP="00200D03">
            <w:pPr>
              <w:spacing w:line="276" w:lineRule="auto"/>
              <w:jc w:val="center"/>
              <w:rPr>
                <w:rFonts w:eastAsia="Calibri"/>
                <w:szCs w:val="22"/>
              </w:rPr>
            </w:pPr>
            <w:r w:rsidRPr="00646D82">
              <w:rPr>
                <w:rFonts w:eastAsia="Calibri"/>
                <w:szCs w:val="22"/>
              </w:rPr>
              <w:t>(c)(g)</w:t>
            </w:r>
          </w:p>
        </w:tc>
        <w:tc>
          <w:tcPr>
            <w:tcW w:w="1506" w:type="dxa"/>
            <w:tcBorders>
              <w:bottom w:val="single" w:sz="4" w:space="0" w:color="auto"/>
            </w:tcBorders>
            <w:shd w:val="clear" w:color="auto" w:fill="auto"/>
            <w:vAlign w:val="center"/>
          </w:tcPr>
          <w:p w14:paraId="645AE171" w14:textId="77777777" w:rsidR="00200D03" w:rsidRPr="00646D82" w:rsidRDefault="00200D03" w:rsidP="00200D03">
            <w:pPr>
              <w:spacing w:line="276" w:lineRule="auto"/>
              <w:jc w:val="center"/>
              <w:rPr>
                <w:rFonts w:eastAsia="Calibri"/>
                <w:szCs w:val="22"/>
              </w:rPr>
            </w:pPr>
            <w:r w:rsidRPr="00646D82">
              <w:rPr>
                <w:rFonts w:eastAsia="Calibri"/>
                <w:szCs w:val="22"/>
              </w:rPr>
              <w:t>34</w:t>
            </w:r>
          </w:p>
        </w:tc>
        <w:tc>
          <w:tcPr>
            <w:tcW w:w="1321" w:type="dxa"/>
            <w:tcBorders>
              <w:bottom w:val="single" w:sz="4" w:space="0" w:color="auto"/>
            </w:tcBorders>
            <w:shd w:val="clear" w:color="auto" w:fill="auto"/>
          </w:tcPr>
          <w:p w14:paraId="0D8794D8" w14:textId="77777777" w:rsidR="00200D03" w:rsidRPr="00646D82" w:rsidRDefault="00200D03" w:rsidP="00200D03">
            <w:pPr>
              <w:spacing w:before="120" w:after="120"/>
              <w:rPr>
                <w:rFonts w:eastAsia="SimSun"/>
                <w:kern w:val="22"/>
                <w:szCs w:val="22"/>
              </w:rPr>
            </w:pPr>
            <w:r w:rsidRPr="00646D82">
              <w:rPr>
                <w:rFonts w:eastAsia="SimSun"/>
                <w:kern w:val="22"/>
                <w:szCs w:val="22"/>
              </w:rPr>
              <w:t>ABS-CH</w:t>
            </w:r>
          </w:p>
        </w:tc>
      </w:tr>
      <w:tr w:rsidR="00200D03" w:rsidRPr="00646D82" w14:paraId="7689F7B8" w14:textId="77777777" w:rsidTr="00D27E29">
        <w:trPr>
          <w:jc w:val="center"/>
        </w:trPr>
        <w:tc>
          <w:tcPr>
            <w:tcW w:w="9483" w:type="dxa"/>
            <w:gridSpan w:val="4"/>
            <w:shd w:val="pct5" w:color="auto" w:fill="auto"/>
            <w:vAlign w:val="center"/>
          </w:tcPr>
          <w:p w14:paraId="4DCAC23A" w14:textId="77777777" w:rsidR="00200D03" w:rsidRPr="00646D82" w:rsidRDefault="00200D03" w:rsidP="00616891">
            <w:pPr>
              <w:pStyle w:val="ListParagraph"/>
              <w:spacing w:before="120" w:after="120"/>
              <w:ind w:left="314"/>
              <w:rPr>
                <w:rFonts w:eastAsia="SimSun"/>
                <w:b/>
                <w:kern w:val="22"/>
                <w:szCs w:val="22"/>
              </w:rPr>
            </w:pPr>
            <w:r w:rsidRPr="00646D82">
              <w:rPr>
                <w:rFonts w:eastAsia="SimSun"/>
                <w:b/>
                <w:kern w:val="22"/>
                <w:szCs w:val="22"/>
              </w:rPr>
              <w:t>Optional additional information</w:t>
            </w:r>
          </w:p>
        </w:tc>
      </w:tr>
      <w:tr w:rsidR="00200D03" w:rsidRPr="00646D82" w14:paraId="36663D96" w14:textId="77777777" w:rsidTr="00EE1F78">
        <w:trPr>
          <w:jc w:val="center"/>
        </w:trPr>
        <w:tc>
          <w:tcPr>
            <w:tcW w:w="5552" w:type="dxa"/>
            <w:shd w:val="clear" w:color="auto" w:fill="auto"/>
          </w:tcPr>
          <w:p w14:paraId="25F14714"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SimSun"/>
                <w:kern w:val="22"/>
                <w:szCs w:val="22"/>
              </w:rPr>
              <w:t xml:space="preserve">Number and percentage of Parties that established a mechanism for budgetary allocations of funds for the implementation of the Nagoya Protocol </w:t>
            </w:r>
          </w:p>
        </w:tc>
        <w:tc>
          <w:tcPr>
            <w:tcW w:w="1104" w:type="dxa"/>
            <w:shd w:val="clear" w:color="auto" w:fill="auto"/>
            <w:vAlign w:val="center"/>
          </w:tcPr>
          <w:p w14:paraId="3440A036" w14:textId="77777777" w:rsidR="00200D03" w:rsidRPr="00646D82" w:rsidRDefault="00200D03" w:rsidP="00200D03">
            <w:pPr>
              <w:spacing w:line="276" w:lineRule="auto"/>
              <w:jc w:val="center"/>
              <w:rPr>
                <w:rFonts w:eastAsia="Calibri"/>
                <w:szCs w:val="22"/>
              </w:rPr>
            </w:pPr>
            <w:r w:rsidRPr="00646D82">
              <w:rPr>
                <w:rFonts w:eastAsia="Calibri"/>
                <w:szCs w:val="22"/>
              </w:rPr>
              <w:t>(c)</w:t>
            </w:r>
          </w:p>
        </w:tc>
        <w:tc>
          <w:tcPr>
            <w:tcW w:w="1506" w:type="dxa"/>
            <w:shd w:val="clear" w:color="auto" w:fill="auto"/>
            <w:vAlign w:val="center"/>
          </w:tcPr>
          <w:p w14:paraId="2E4EF835" w14:textId="3046B567" w:rsidR="00200D03" w:rsidRPr="00646D82" w:rsidRDefault="00200D03" w:rsidP="001F04D0">
            <w:pPr>
              <w:spacing w:before="120" w:after="120"/>
              <w:jc w:val="center"/>
              <w:rPr>
                <w:rFonts w:eastAsia="SimSun"/>
                <w:kern w:val="22"/>
                <w:szCs w:val="22"/>
              </w:rPr>
            </w:pPr>
            <w:r w:rsidRPr="00646D82">
              <w:rPr>
                <w:rFonts w:eastAsia="SimSun"/>
                <w:kern w:val="22"/>
                <w:szCs w:val="22"/>
              </w:rPr>
              <w:t xml:space="preserve">24 </w:t>
            </w:r>
            <w:r w:rsidR="002D4D16" w:rsidRPr="00646D82">
              <w:rPr>
                <w:rFonts w:eastAsia="SimSun"/>
                <w:kern w:val="22"/>
                <w:szCs w:val="22"/>
              </w:rPr>
              <w:t>(23%)</w:t>
            </w:r>
          </w:p>
        </w:tc>
        <w:tc>
          <w:tcPr>
            <w:tcW w:w="1321" w:type="dxa"/>
            <w:shd w:val="clear" w:color="auto" w:fill="auto"/>
          </w:tcPr>
          <w:p w14:paraId="2694D2C3" w14:textId="77777777" w:rsidR="00200D03" w:rsidRPr="00646D82" w:rsidRDefault="00200D03" w:rsidP="00200D03">
            <w:pPr>
              <w:spacing w:before="120" w:after="120"/>
              <w:rPr>
                <w:rFonts w:eastAsia="SimSun"/>
                <w:kern w:val="22"/>
                <w:szCs w:val="22"/>
              </w:rPr>
            </w:pPr>
            <w:r w:rsidRPr="00646D82">
              <w:rPr>
                <w:rFonts w:eastAsia="SimSun"/>
                <w:kern w:val="22"/>
                <w:szCs w:val="22"/>
              </w:rPr>
              <w:t>Q.61</w:t>
            </w:r>
          </w:p>
        </w:tc>
      </w:tr>
      <w:tr w:rsidR="00200D03" w:rsidRPr="00646D82" w14:paraId="34AD13EB" w14:textId="77777777" w:rsidTr="00EE1F78">
        <w:trPr>
          <w:jc w:val="center"/>
        </w:trPr>
        <w:tc>
          <w:tcPr>
            <w:tcW w:w="5552" w:type="dxa"/>
            <w:shd w:val="clear" w:color="auto" w:fill="auto"/>
          </w:tcPr>
          <w:p w14:paraId="0B55668E"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SimSun"/>
                <w:kern w:val="22"/>
                <w:szCs w:val="22"/>
              </w:rPr>
              <w:t>Number and percentage of Parties that made financial resources available to other Parties</w:t>
            </w:r>
          </w:p>
        </w:tc>
        <w:tc>
          <w:tcPr>
            <w:tcW w:w="1104" w:type="dxa"/>
            <w:shd w:val="clear" w:color="auto" w:fill="auto"/>
            <w:vAlign w:val="center"/>
          </w:tcPr>
          <w:p w14:paraId="664C1EDD" w14:textId="77777777" w:rsidR="00200D03" w:rsidRPr="00646D82" w:rsidRDefault="00200D03" w:rsidP="00200D03">
            <w:pPr>
              <w:spacing w:line="276" w:lineRule="auto"/>
              <w:jc w:val="center"/>
              <w:rPr>
                <w:rFonts w:eastAsia="Calibri"/>
                <w:szCs w:val="22"/>
              </w:rPr>
            </w:pPr>
            <w:r w:rsidRPr="00646D82">
              <w:rPr>
                <w:rFonts w:eastAsia="Calibri"/>
                <w:szCs w:val="22"/>
              </w:rPr>
              <w:t>(c)</w:t>
            </w:r>
          </w:p>
        </w:tc>
        <w:tc>
          <w:tcPr>
            <w:tcW w:w="1506" w:type="dxa"/>
            <w:shd w:val="clear" w:color="auto" w:fill="auto"/>
            <w:vAlign w:val="center"/>
          </w:tcPr>
          <w:p w14:paraId="1148F6DB" w14:textId="773C139D" w:rsidR="00200D03" w:rsidRPr="00646D82" w:rsidRDefault="00200D03" w:rsidP="001F04D0">
            <w:pPr>
              <w:spacing w:before="120" w:after="120"/>
              <w:jc w:val="center"/>
              <w:rPr>
                <w:rFonts w:eastAsia="SimSun"/>
                <w:kern w:val="22"/>
                <w:szCs w:val="22"/>
              </w:rPr>
            </w:pPr>
            <w:r w:rsidRPr="00646D82">
              <w:rPr>
                <w:rFonts w:eastAsia="SimSun"/>
                <w:kern w:val="22"/>
                <w:szCs w:val="22"/>
              </w:rPr>
              <w:t xml:space="preserve">13 </w:t>
            </w:r>
            <w:r w:rsidR="002D4D16" w:rsidRPr="00646D82">
              <w:rPr>
                <w:rFonts w:eastAsia="SimSun"/>
                <w:kern w:val="22"/>
                <w:szCs w:val="22"/>
              </w:rPr>
              <w:t>(12%)</w:t>
            </w:r>
          </w:p>
        </w:tc>
        <w:tc>
          <w:tcPr>
            <w:tcW w:w="1321" w:type="dxa"/>
            <w:shd w:val="clear" w:color="auto" w:fill="auto"/>
          </w:tcPr>
          <w:p w14:paraId="3732D89F" w14:textId="77777777" w:rsidR="00200D03" w:rsidRPr="00646D82" w:rsidRDefault="00200D03" w:rsidP="00200D03">
            <w:pPr>
              <w:spacing w:before="120" w:after="120"/>
              <w:rPr>
                <w:rFonts w:eastAsia="SimSun"/>
                <w:kern w:val="22"/>
                <w:szCs w:val="22"/>
              </w:rPr>
            </w:pPr>
            <w:r w:rsidRPr="00646D82">
              <w:rPr>
                <w:rFonts w:eastAsia="SimSun"/>
                <w:kern w:val="22"/>
                <w:szCs w:val="22"/>
              </w:rPr>
              <w:t>Q.62</w:t>
            </w:r>
          </w:p>
        </w:tc>
      </w:tr>
      <w:tr w:rsidR="00200D03" w:rsidRPr="00646D82" w14:paraId="21F4786B" w14:textId="77777777" w:rsidTr="00EE1F78">
        <w:trPr>
          <w:jc w:val="center"/>
        </w:trPr>
        <w:tc>
          <w:tcPr>
            <w:tcW w:w="5552" w:type="dxa"/>
            <w:shd w:val="clear" w:color="auto" w:fill="auto"/>
          </w:tcPr>
          <w:p w14:paraId="6EE1F523" w14:textId="77777777" w:rsidR="00200D03" w:rsidRPr="00646D82" w:rsidRDefault="00200D03" w:rsidP="00616891">
            <w:pPr>
              <w:pStyle w:val="ListParagraph"/>
              <w:numPr>
                <w:ilvl w:val="0"/>
                <w:numId w:val="31"/>
              </w:numPr>
              <w:spacing w:before="120" w:after="120"/>
              <w:ind w:left="314"/>
              <w:rPr>
                <w:rFonts w:eastAsia="SimSun"/>
                <w:kern w:val="22"/>
                <w:szCs w:val="22"/>
              </w:rPr>
            </w:pPr>
            <w:r w:rsidRPr="00646D82">
              <w:rPr>
                <w:rFonts w:eastAsia="SimSun"/>
                <w:kern w:val="22"/>
                <w:szCs w:val="22"/>
              </w:rPr>
              <w:t>Number and percentage of Parties that received financial resources from other Parties or financial institutions for the purposes of implementation of the Protocol as provided in Article 25</w:t>
            </w:r>
          </w:p>
        </w:tc>
        <w:tc>
          <w:tcPr>
            <w:tcW w:w="1104" w:type="dxa"/>
            <w:shd w:val="clear" w:color="auto" w:fill="auto"/>
            <w:vAlign w:val="center"/>
          </w:tcPr>
          <w:p w14:paraId="6D862697" w14:textId="77777777" w:rsidR="00200D03" w:rsidRPr="00646D82" w:rsidRDefault="00200D03" w:rsidP="00200D03">
            <w:pPr>
              <w:spacing w:line="276" w:lineRule="auto"/>
              <w:jc w:val="center"/>
              <w:rPr>
                <w:rFonts w:eastAsia="Calibri"/>
                <w:szCs w:val="22"/>
              </w:rPr>
            </w:pPr>
            <w:r w:rsidRPr="00646D82">
              <w:rPr>
                <w:rFonts w:eastAsia="Calibri"/>
                <w:szCs w:val="22"/>
              </w:rPr>
              <w:t>(c)</w:t>
            </w:r>
          </w:p>
        </w:tc>
        <w:tc>
          <w:tcPr>
            <w:tcW w:w="1506" w:type="dxa"/>
            <w:shd w:val="clear" w:color="auto" w:fill="auto"/>
            <w:vAlign w:val="center"/>
          </w:tcPr>
          <w:p w14:paraId="4E8357D4" w14:textId="4DF6E16A" w:rsidR="00200D03" w:rsidRPr="00646D82" w:rsidRDefault="00200D03" w:rsidP="001F04D0">
            <w:pPr>
              <w:spacing w:before="120" w:after="120"/>
              <w:jc w:val="center"/>
              <w:rPr>
                <w:rFonts w:eastAsia="SimSun"/>
                <w:kern w:val="22"/>
                <w:szCs w:val="22"/>
              </w:rPr>
            </w:pPr>
            <w:r w:rsidRPr="00646D82">
              <w:rPr>
                <w:rFonts w:eastAsia="SimSun"/>
                <w:kern w:val="22"/>
                <w:szCs w:val="22"/>
              </w:rPr>
              <w:t xml:space="preserve">35 </w:t>
            </w:r>
            <w:r w:rsidR="002D4D16" w:rsidRPr="00646D82">
              <w:rPr>
                <w:rFonts w:eastAsia="SimSun"/>
                <w:kern w:val="22"/>
                <w:szCs w:val="22"/>
              </w:rPr>
              <w:t>(33%)</w:t>
            </w:r>
          </w:p>
        </w:tc>
        <w:tc>
          <w:tcPr>
            <w:tcW w:w="1321" w:type="dxa"/>
            <w:shd w:val="clear" w:color="auto" w:fill="auto"/>
          </w:tcPr>
          <w:p w14:paraId="1FCD4C4A" w14:textId="77777777" w:rsidR="00200D03" w:rsidRPr="00646D82" w:rsidRDefault="00200D03" w:rsidP="00200D03">
            <w:pPr>
              <w:spacing w:before="120" w:after="120"/>
              <w:rPr>
                <w:rFonts w:eastAsia="SimSun"/>
                <w:kern w:val="22"/>
                <w:szCs w:val="22"/>
              </w:rPr>
            </w:pPr>
            <w:r w:rsidRPr="00646D82">
              <w:rPr>
                <w:rFonts w:eastAsia="SimSun"/>
                <w:kern w:val="22"/>
                <w:szCs w:val="22"/>
              </w:rPr>
              <w:t>Q.62</w:t>
            </w:r>
          </w:p>
        </w:tc>
      </w:tr>
      <w:tr w:rsidR="00200D03" w:rsidRPr="00646D82" w14:paraId="5E9744A1" w14:textId="77777777" w:rsidTr="00EE1F78">
        <w:trPr>
          <w:jc w:val="center"/>
        </w:trPr>
        <w:tc>
          <w:tcPr>
            <w:tcW w:w="5552" w:type="dxa"/>
            <w:tcBorders>
              <w:bottom w:val="single" w:sz="4" w:space="0" w:color="auto"/>
            </w:tcBorders>
            <w:shd w:val="clear" w:color="auto" w:fill="auto"/>
          </w:tcPr>
          <w:p w14:paraId="3ABC69ED" w14:textId="77777777" w:rsidR="00200D03" w:rsidRPr="00646D82" w:rsidRDefault="00E01B4B" w:rsidP="00616891">
            <w:pPr>
              <w:pStyle w:val="ListParagraph"/>
              <w:numPr>
                <w:ilvl w:val="0"/>
                <w:numId w:val="31"/>
              </w:numPr>
              <w:spacing w:before="120" w:after="120"/>
              <w:ind w:left="314"/>
              <w:rPr>
                <w:rFonts w:eastAsia="SimSun"/>
                <w:kern w:val="22"/>
                <w:szCs w:val="22"/>
              </w:rPr>
            </w:pPr>
            <w:r w:rsidRPr="00646D82">
              <w:rPr>
                <w:rFonts w:eastAsia="SimSun"/>
                <w:kern w:val="22"/>
                <w:szCs w:val="22"/>
              </w:rPr>
              <w:t xml:space="preserve">Average number of </w:t>
            </w:r>
            <w:r w:rsidR="00200D03" w:rsidRPr="00646D82">
              <w:rPr>
                <w:rFonts w:eastAsia="SimSun"/>
                <w:kern w:val="22"/>
                <w:szCs w:val="22"/>
              </w:rPr>
              <w:t>full time staff working to administer functions directly related to the implementation of the Nagoya Protocol</w:t>
            </w:r>
            <w:r w:rsidRPr="00646D82">
              <w:rPr>
                <w:rFonts w:eastAsia="SimSun"/>
                <w:kern w:val="22"/>
                <w:szCs w:val="22"/>
              </w:rPr>
              <w:t xml:space="preserve"> in each Party.</w:t>
            </w:r>
          </w:p>
        </w:tc>
        <w:tc>
          <w:tcPr>
            <w:tcW w:w="1104" w:type="dxa"/>
            <w:tcBorders>
              <w:bottom w:val="single" w:sz="4" w:space="0" w:color="auto"/>
            </w:tcBorders>
            <w:shd w:val="clear" w:color="auto" w:fill="auto"/>
            <w:vAlign w:val="center"/>
          </w:tcPr>
          <w:p w14:paraId="693886C1" w14:textId="77777777" w:rsidR="00200D03" w:rsidRPr="00646D82" w:rsidRDefault="00200D03" w:rsidP="00200D03">
            <w:pPr>
              <w:spacing w:line="276" w:lineRule="auto"/>
              <w:jc w:val="center"/>
              <w:rPr>
                <w:rFonts w:eastAsia="Calibri"/>
                <w:szCs w:val="22"/>
              </w:rPr>
            </w:pPr>
            <w:r w:rsidRPr="00646D82">
              <w:rPr>
                <w:rFonts w:eastAsia="Calibri"/>
                <w:szCs w:val="22"/>
              </w:rPr>
              <w:t>(c)</w:t>
            </w:r>
          </w:p>
        </w:tc>
        <w:tc>
          <w:tcPr>
            <w:tcW w:w="1506" w:type="dxa"/>
            <w:tcBorders>
              <w:bottom w:val="single" w:sz="4" w:space="0" w:color="auto"/>
            </w:tcBorders>
            <w:shd w:val="clear" w:color="auto" w:fill="auto"/>
            <w:vAlign w:val="center"/>
          </w:tcPr>
          <w:p w14:paraId="38969C44" w14:textId="77777777" w:rsidR="00200D03" w:rsidRPr="00646D82" w:rsidRDefault="00103533" w:rsidP="00103533">
            <w:pPr>
              <w:spacing w:before="120" w:after="120"/>
              <w:jc w:val="center"/>
              <w:rPr>
                <w:rFonts w:eastAsia="Calibri"/>
                <w:color w:val="FF0000"/>
                <w:szCs w:val="22"/>
              </w:rPr>
            </w:pPr>
            <w:r w:rsidRPr="00646D82">
              <w:rPr>
                <w:rFonts w:eastAsia="SimSun"/>
                <w:kern w:val="22"/>
                <w:szCs w:val="22"/>
              </w:rPr>
              <w:t>Not conclusive data</w:t>
            </w:r>
          </w:p>
        </w:tc>
        <w:tc>
          <w:tcPr>
            <w:tcW w:w="1321" w:type="dxa"/>
            <w:tcBorders>
              <w:bottom w:val="single" w:sz="4" w:space="0" w:color="auto"/>
            </w:tcBorders>
            <w:shd w:val="clear" w:color="auto" w:fill="auto"/>
          </w:tcPr>
          <w:p w14:paraId="04F5A3BD" w14:textId="77777777" w:rsidR="00200D03" w:rsidRPr="00646D82" w:rsidRDefault="00200D03" w:rsidP="00200D03">
            <w:pPr>
              <w:spacing w:before="120" w:after="120"/>
              <w:rPr>
                <w:rFonts w:eastAsia="SimSun"/>
                <w:kern w:val="22"/>
                <w:szCs w:val="22"/>
              </w:rPr>
            </w:pPr>
            <w:r w:rsidRPr="00646D82">
              <w:rPr>
                <w:rFonts w:eastAsia="SimSun"/>
                <w:kern w:val="22"/>
                <w:szCs w:val="22"/>
              </w:rPr>
              <w:t>Q.63</w:t>
            </w:r>
            <w:r w:rsidR="008A20E8" w:rsidRPr="00646D82">
              <w:rPr>
                <w:rFonts w:eastAsia="SimSun"/>
                <w:kern w:val="22"/>
                <w:szCs w:val="22"/>
              </w:rPr>
              <w:t>- requires revision</w:t>
            </w:r>
          </w:p>
        </w:tc>
      </w:tr>
      <w:tr w:rsidR="00200D03" w:rsidRPr="00646D82" w14:paraId="2254C16C" w14:textId="77777777" w:rsidTr="00D27E29">
        <w:trPr>
          <w:jc w:val="center"/>
        </w:trPr>
        <w:tc>
          <w:tcPr>
            <w:tcW w:w="9483" w:type="dxa"/>
            <w:gridSpan w:val="4"/>
            <w:shd w:val="pct5" w:color="auto" w:fill="auto"/>
            <w:vAlign w:val="center"/>
          </w:tcPr>
          <w:p w14:paraId="6C30AC74" w14:textId="77777777" w:rsidR="00200D03" w:rsidRPr="00646D82" w:rsidRDefault="00200D03" w:rsidP="00616891">
            <w:pPr>
              <w:pStyle w:val="ListParagraph"/>
              <w:spacing w:before="120" w:after="120"/>
              <w:ind w:left="314"/>
              <w:rPr>
                <w:rFonts w:eastAsia="SimSun"/>
                <w:b/>
                <w:kern w:val="22"/>
                <w:szCs w:val="22"/>
              </w:rPr>
            </w:pPr>
            <w:r w:rsidRPr="00646D82">
              <w:rPr>
                <w:rFonts w:eastAsia="SimSun"/>
                <w:b/>
                <w:kern w:val="22"/>
                <w:szCs w:val="22"/>
              </w:rPr>
              <w:t>Implementation and operation of the ABS Clearing-House</w:t>
            </w:r>
          </w:p>
        </w:tc>
      </w:tr>
      <w:tr w:rsidR="001220DD" w:rsidRPr="00646D82" w14:paraId="4D7661F5" w14:textId="77777777" w:rsidTr="00EE1F78">
        <w:trPr>
          <w:jc w:val="center"/>
        </w:trPr>
        <w:tc>
          <w:tcPr>
            <w:tcW w:w="5552" w:type="dxa"/>
            <w:shd w:val="clear" w:color="auto" w:fill="auto"/>
          </w:tcPr>
          <w:p w14:paraId="288D19A3" w14:textId="77777777" w:rsidR="001220DD" w:rsidRPr="00646D82" w:rsidRDefault="001220DD" w:rsidP="001220DD">
            <w:pPr>
              <w:pStyle w:val="ListParagraph"/>
              <w:numPr>
                <w:ilvl w:val="0"/>
                <w:numId w:val="31"/>
              </w:numPr>
              <w:spacing w:before="120" w:after="120"/>
              <w:ind w:left="314"/>
              <w:rPr>
                <w:rFonts w:eastAsia="SimSun"/>
                <w:kern w:val="22"/>
                <w:szCs w:val="22"/>
              </w:rPr>
            </w:pPr>
            <w:r w:rsidRPr="00646D82">
              <w:rPr>
                <w:rFonts w:eastAsia="SimSun"/>
                <w:kern w:val="22"/>
                <w:szCs w:val="22"/>
              </w:rPr>
              <w:t>Number of non-Parties that have published national information (ABS measures, CNAs or checkpoints) in the ABS Clearing-House</w:t>
            </w:r>
          </w:p>
        </w:tc>
        <w:tc>
          <w:tcPr>
            <w:tcW w:w="1104" w:type="dxa"/>
            <w:shd w:val="clear" w:color="auto" w:fill="auto"/>
            <w:vAlign w:val="center"/>
          </w:tcPr>
          <w:p w14:paraId="481D4E0B" w14:textId="77777777" w:rsidR="001220DD" w:rsidRPr="00646D82" w:rsidRDefault="001220DD" w:rsidP="00B12F1E">
            <w:pPr>
              <w:spacing w:line="276" w:lineRule="auto"/>
              <w:jc w:val="center"/>
              <w:rPr>
                <w:szCs w:val="22"/>
              </w:rPr>
            </w:pPr>
            <w:r w:rsidRPr="00646D82">
              <w:rPr>
                <w:szCs w:val="22"/>
              </w:rPr>
              <w:t>(g)</w:t>
            </w:r>
          </w:p>
        </w:tc>
        <w:tc>
          <w:tcPr>
            <w:tcW w:w="1506" w:type="dxa"/>
            <w:shd w:val="clear" w:color="auto" w:fill="auto"/>
            <w:vAlign w:val="center"/>
          </w:tcPr>
          <w:p w14:paraId="2747CEF2" w14:textId="77777777" w:rsidR="001220DD" w:rsidRPr="00646D82" w:rsidRDefault="001220DD" w:rsidP="0066775D">
            <w:pPr>
              <w:jc w:val="center"/>
              <w:rPr>
                <w:szCs w:val="22"/>
              </w:rPr>
            </w:pPr>
            <w:r w:rsidRPr="00646D82">
              <w:rPr>
                <w:szCs w:val="22"/>
              </w:rPr>
              <w:t>8</w:t>
            </w:r>
          </w:p>
        </w:tc>
        <w:tc>
          <w:tcPr>
            <w:tcW w:w="1321" w:type="dxa"/>
            <w:shd w:val="clear" w:color="auto" w:fill="auto"/>
          </w:tcPr>
          <w:p w14:paraId="08DAD051" w14:textId="77777777" w:rsidR="001220DD" w:rsidRPr="00646D82" w:rsidRDefault="001220DD" w:rsidP="00B12F1E">
            <w:pPr>
              <w:spacing w:before="120" w:after="120"/>
              <w:rPr>
                <w:rFonts w:eastAsia="SimSun"/>
                <w:kern w:val="22"/>
                <w:szCs w:val="22"/>
              </w:rPr>
            </w:pPr>
            <w:r w:rsidRPr="00646D82">
              <w:rPr>
                <w:rFonts w:eastAsia="SimSun"/>
                <w:kern w:val="22"/>
                <w:szCs w:val="22"/>
              </w:rPr>
              <w:t>ABS-CH</w:t>
            </w:r>
          </w:p>
        </w:tc>
      </w:tr>
      <w:tr w:rsidR="00BA1B27" w:rsidRPr="00646D82" w14:paraId="570B2203" w14:textId="77777777" w:rsidTr="00EE1F78">
        <w:trPr>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Pr>
          <w:p w14:paraId="1B350E65" w14:textId="26C3DE46" w:rsidR="00BA1B27" w:rsidRPr="00646D82" w:rsidRDefault="00BA1B27" w:rsidP="00B31607">
            <w:pPr>
              <w:pStyle w:val="ListParagraph"/>
              <w:numPr>
                <w:ilvl w:val="0"/>
                <w:numId w:val="31"/>
              </w:numPr>
              <w:spacing w:before="120" w:after="120"/>
              <w:ind w:left="314"/>
              <w:rPr>
                <w:rFonts w:eastAsia="SimSun"/>
                <w:kern w:val="22"/>
                <w:szCs w:val="22"/>
              </w:rPr>
            </w:pPr>
            <w:r w:rsidRPr="00646D82">
              <w:rPr>
                <w:rFonts w:eastAsia="SimSun"/>
                <w:kern w:val="22"/>
                <w:szCs w:val="22"/>
              </w:rPr>
              <w:t xml:space="preserve">The number of visitor to the ABS Clearing-House </w:t>
            </w:r>
            <w:r w:rsidR="00B82A51" w:rsidRPr="00646D82">
              <w:rPr>
                <w:rFonts w:eastAsia="SimSun"/>
                <w:kern w:val="22"/>
                <w:szCs w:val="22"/>
              </w:rPr>
              <w:t>per year</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5D75F2E9" w14:textId="77777777" w:rsidR="00BA1B27" w:rsidRPr="00646D82" w:rsidRDefault="00BA1B27" w:rsidP="00B31607">
            <w:pPr>
              <w:spacing w:line="276" w:lineRule="auto"/>
              <w:jc w:val="center"/>
              <w:rPr>
                <w:szCs w:val="22"/>
              </w:rPr>
            </w:pPr>
            <w:r w:rsidRPr="00646D82">
              <w:rPr>
                <w:szCs w:val="22"/>
              </w:rPr>
              <w:t>(g)</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10F4B3A8" w14:textId="77777777" w:rsidR="00BA1B27" w:rsidRPr="00646D82" w:rsidRDefault="00BA1B27" w:rsidP="00B31607">
            <w:pPr>
              <w:jc w:val="center"/>
              <w:rPr>
                <w:szCs w:val="22"/>
              </w:rPr>
            </w:pPr>
            <w:r w:rsidRPr="00646D82">
              <w:rPr>
                <w:szCs w:val="22"/>
              </w:rPr>
              <w:t>18,709 visitors</w:t>
            </w:r>
          </w:p>
          <w:p w14:paraId="169CF3CC" w14:textId="77777777" w:rsidR="00BA1B27" w:rsidRPr="00646D82" w:rsidRDefault="00BA1B27" w:rsidP="003B1550">
            <w:pPr>
              <w:jc w:val="center"/>
              <w:rPr>
                <w:szCs w:val="22"/>
              </w:rPr>
            </w:pPr>
            <w:r w:rsidRPr="00646D82">
              <w:rPr>
                <w:szCs w:val="22"/>
              </w:rPr>
              <w:t>(</w:t>
            </w:r>
            <w:r w:rsidR="003B1550" w:rsidRPr="00646D82">
              <w:rPr>
                <w:szCs w:val="22"/>
              </w:rPr>
              <w:t xml:space="preserve">as of </w:t>
            </w:r>
            <w:r w:rsidRPr="00646D82">
              <w:rPr>
                <w:szCs w:val="22"/>
              </w:rPr>
              <w:t>22 March 2018)</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E41A2B1" w14:textId="77777777" w:rsidR="00BA1B27" w:rsidRPr="00646D82" w:rsidRDefault="00BA1B27" w:rsidP="00B31607">
            <w:pPr>
              <w:spacing w:before="120" w:after="120"/>
              <w:rPr>
                <w:rFonts w:eastAsia="SimSun"/>
                <w:kern w:val="22"/>
                <w:szCs w:val="22"/>
              </w:rPr>
            </w:pPr>
            <w:r w:rsidRPr="00646D82">
              <w:rPr>
                <w:rFonts w:eastAsia="SimSun"/>
                <w:kern w:val="22"/>
                <w:szCs w:val="22"/>
              </w:rPr>
              <w:t>Google analytics</w:t>
            </w:r>
          </w:p>
        </w:tc>
      </w:tr>
    </w:tbl>
    <w:p w14:paraId="5D33E72C" w14:textId="3B8FFE54" w:rsidR="00773B7A" w:rsidRPr="00646D82" w:rsidRDefault="002B45AA" w:rsidP="00646D82">
      <w:pPr>
        <w:jc w:val="center"/>
        <w:rPr>
          <w:szCs w:val="22"/>
        </w:rPr>
      </w:pPr>
      <w:bookmarkStart w:id="1" w:name="_GoBack"/>
      <w:bookmarkEnd w:id="1"/>
      <w:r w:rsidRPr="00646D82">
        <w:rPr>
          <w:szCs w:val="22"/>
        </w:rPr>
        <w:t>__________</w:t>
      </w:r>
    </w:p>
    <w:sectPr w:rsidR="00773B7A" w:rsidRPr="00646D82" w:rsidSect="00CA1572">
      <w:headerReference w:type="even" r:id="rId14"/>
      <w:headerReference w:type="default" r:id="rId1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FF3A0" w14:textId="77777777" w:rsidR="007A38C9" w:rsidRDefault="007A38C9">
      <w:r>
        <w:separator/>
      </w:r>
    </w:p>
  </w:endnote>
  <w:endnote w:type="continuationSeparator" w:id="0">
    <w:p w14:paraId="5D865B00" w14:textId="77777777" w:rsidR="007A38C9" w:rsidRDefault="007A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42B6D" w14:textId="77777777" w:rsidR="007A38C9" w:rsidRDefault="007A38C9">
      <w:r>
        <w:separator/>
      </w:r>
    </w:p>
  </w:footnote>
  <w:footnote w:type="continuationSeparator" w:id="0">
    <w:p w14:paraId="4599BC0E" w14:textId="77777777" w:rsidR="007A38C9" w:rsidRDefault="007A38C9">
      <w:r>
        <w:continuationSeparator/>
      </w:r>
    </w:p>
  </w:footnote>
  <w:footnote w:id="1">
    <w:p w14:paraId="023CFC8C"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t>*</w:t>
      </w:r>
      <w:r w:rsidRPr="00646D82">
        <w:rPr>
          <w:snapToGrid w:val="0"/>
          <w:kern w:val="18"/>
        </w:rPr>
        <w:t xml:space="preserve"> CBD/SBI/2/1.</w:t>
      </w:r>
    </w:p>
  </w:footnote>
  <w:footnote w:id="2">
    <w:p w14:paraId="428AC1BE"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With the exception of one report that was submitted offline.</w:t>
      </w:r>
    </w:p>
  </w:footnote>
  <w:footnote w:id="3">
    <w:p w14:paraId="36E706B3" w14:textId="6049B989"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w:t>
      </w:r>
      <w:r w:rsidRPr="00646D82">
        <w:rPr>
          <w:snapToGrid w:val="0"/>
          <w:kern w:val="18"/>
          <w:szCs w:val="22"/>
        </w:rPr>
        <w:t>2017-104 dated 16 October 2017</w:t>
      </w:r>
    </w:p>
  </w:footnote>
  <w:footnote w:id="4">
    <w:p w14:paraId="60377B1A"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The survey was completed by 128 users of the ABS Clearing-House. </w:t>
      </w:r>
    </w:p>
  </w:footnote>
  <w:footnote w:id="5">
    <w:p w14:paraId="4B7A6F8F" w14:textId="719138FF"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As of 22 of February 2018, 69 interim national reports were received from Parties and 6 from non-Parties. For those Parties that did not submit an interim national report, information provided through the national biodiversity strategies and action plans and the fifth national reports on the implementation of the Convention was also considered</w:t>
      </w:r>
    </w:p>
  </w:footnote>
  <w:footnote w:id="6">
    <w:p w14:paraId="331695FE"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w:t>
      </w:r>
      <w:r w:rsidRPr="00646D82">
        <w:rPr>
          <w:snapToGrid w:val="0"/>
          <w:kern w:val="18"/>
          <w:szCs w:val="18"/>
        </w:rPr>
        <w:t>Documents CBD/ABS/CC/2/2 and CBD/ABS/CC/2/INF/1.</w:t>
      </w:r>
    </w:p>
  </w:footnote>
  <w:footnote w:id="7">
    <w:p w14:paraId="04851156"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w:t>
      </w:r>
      <w:r w:rsidRPr="00646D82">
        <w:rPr>
          <w:snapToGrid w:val="0"/>
          <w:kern w:val="18"/>
          <w:szCs w:val="22"/>
        </w:rPr>
        <w:t>Document CBD/ABS/CC/2/4</w:t>
      </w:r>
    </w:p>
  </w:footnote>
  <w:footnote w:id="8">
    <w:p w14:paraId="7FF6BE78" w14:textId="18C22650"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Twelve submissions were received: three from Parties (Finland, Mexico and Japan), one from a regional country group (Association of Southeast Asian Nations (ASEAN)), and eight from relevant stakeholders and organi</w:t>
      </w:r>
      <w:r w:rsidR="002B45AA" w:rsidRPr="00646D82">
        <w:rPr>
          <w:snapToGrid w:val="0"/>
          <w:kern w:val="18"/>
        </w:rPr>
        <w:t>z</w:t>
      </w:r>
      <w:r w:rsidRPr="00646D82">
        <w:rPr>
          <w:snapToGrid w:val="0"/>
          <w:kern w:val="18"/>
        </w:rPr>
        <w:t xml:space="preserve">ations (Centre for Agriculture and Biosciences International (CABI), European Seed Association (ESA), International Chamber of Commerce: the World Business Organization (ICCWBO), Lactic Acid Bactria Industrial Platform (LABIP), Natural History Museum, Natural Justice and the ABS Capacity Development Initiative, Swiss </w:t>
      </w:r>
      <w:r w:rsidR="000E7BF2" w:rsidRPr="00646D82">
        <w:rPr>
          <w:snapToGrid w:val="0"/>
          <w:kern w:val="18"/>
        </w:rPr>
        <w:t>A</w:t>
      </w:r>
      <w:r w:rsidRPr="00646D82">
        <w:rPr>
          <w:snapToGrid w:val="0"/>
          <w:kern w:val="18"/>
        </w:rPr>
        <w:t xml:space="preserve">cademy of Science, Union for Ethical </w:t>
      </w:r>
      <w:proofErr w:type="spellStart"/>
      <w:r w:rsidRPr="00646D82">
        <w:rPr>
          <w:snapToGrid w:val="0"/>
          <w:kern w:val="18"/>
        </w:rPr>
        <w:t>BioTrade</w:t>
      </w:r>
      <w:proofErr w:type="spellEnd"/>
      <w:r w:rsidRPr="00646D82">
        <w:rPr>
          <w:snapToGrid w:val="0"/>
          <w:kern w:val="18"/>
        </w:rPr>
        <w:t xml:space="preserve"> (UEBT)).</w:t>
      </w:r>
    </w:p>
  </w:footnote>
  <w:footnote w:id="9">
    <w:p w14:paraId="741A1BFE" w14:textId="1A466674"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w:t>
      </w:r>
      <w:r w:rsidRPr="00646D82">
        <w:rPr>
          <w:snapToGrid w:val="0"/>
          <w:kern w:val="18"/>
          <w:szCs w:val="22"/>
        </w:rPr>
        <w:t xml:space="preserve">Further details and comprehensive information on all provisions is available in document </w:t>
      </w:r>
      <w:r w:rsidR="009A387F" w:rsidRPr="00646D82">
        <w:rPr>
          <w:snapToGrid w:val="0"/>
          <w:kern w:val="18"/>
          <w:szCs w:val="22"/>
        </w:rPr>
        <w:t>CBD/</w:t>
      </w:r>
      <w:r w:rsidRPr="00646D82">
        <w:rPr>
          <w:snapToGrid w:val="0"/>
          <w:kern w:val="18"/>
          <w:szCs w:val="22"/>
        </w:rPr>
        <w:t>SBI/2/INF/3</w:t>
      </w:r>
    </w:p>
  </w:footnote>
  <w:footnote w:id="10">
    <w:p w14:paraId="53E35B5D"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Article 14 of the Protocol requires Parties to make available to the ABS Clearing-House the following information: (a) legislative, administrative and policy measures on access and benefit-sharing; (b) information on the national focal point and competent national authority/</w:t>
      </w:r>
      <w:proofErr w:type="spellStart"/>
      <w:r w:rsidRPr="00646D82">
        <w:rPr>
          <w:snapToGrid w:val="0"/>
          <w:kern w:val="18"/>
        </w:rPr>
        <w:t>ies</w:t>
      </w:r>
      <w:proofErr w:type="spellEnd"/>
      <w:r w:rsidRPr="00646D82">
        <w:rPr>
          <w:snapToGrid w:val="0"/>
          <w:kern w:val="18"/>
        </w:rPr>
        <w:t>; and (c) permits or their equivalent issued at the time of access as evidence of the decision to grant prior informed consent and of the establishment of mutually agreed terms. For the purpose of assessing the status of progress in publishing information in the ABS Clearing-House, the information on the national focal point has not been included in the analysis, as this information is not made available by Parties through the ABS Clearing-House but through official letters to the Secretariat. However, the publication of information on checkpoints has been considered, as this is a key institution for the operationalization of the Protocol.</w:t>
      </w:r>
    </w:p>
  </w:footnote>
  <w:footnote w:id="11">
    <w:p w14:paraId="5434D3E7"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Some of these Parties have published some information in the ABS Clearing-House and indicated that they had information available that had not yet been published.</w:t>
      </w:r>
    </w:p>
  </w:footnote>
  <w:footnote w:id="12">
    <w:p w14:paraId="134CB364" w14:textId="0C1B8840"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Information on the responses provided for all questions of the interim national report is available in document </w:t>
      </w:r>
      <w:r w:rsidR="009A387F" w:rsidRPr="00646D82">
        <w:rPr>
          <w:snapToGrid w:val="0"/>
          <w:kern w:val="18"/>
        </w:rPr>
        <w:t>CBD/</w:t>
      </w:r>
      <w:r w:rsidRPr="00646D82">
        <w:rPr>
          <w:snapToGrid w:val="0"/>
          <w:kern w:val="18"/>
        </w:rPr>
        <w:t>SBI/2/INF/3.</w:t>
      </w:r>
    </w:p>
  </w:footnote>
  <w:footnote w:id="13">
    <w:p w14:paraId="393AEBAB"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46D82">
        <w:rPr>
          <w:rStyle w:val="FootnoteReference"/>
          <w:snapToGrid w:val="0"/>
          <w:kern w:val="18"/>
        </w:rPr>
        <w:footnoteRef/>
      </w:r>
      <w:r w:rsidRPr="00646D82">
        <w:rPr>
          <w:snapToGrid w:val="0"/>
          <w:kern w:val="18"/>
        </w:rPr>
        <w:t xml:space="preserve"> </w:t>
      </w:r>
      <w:r w:rsidRPr="00646D82">
        <w:rPr>
          <w:snapToGrid w:val="0"/>
          <w:kern w:val="18"/>
          <w:szCs w:val="18"/>
        </w:rPr>
        <w:t>Information on questions related to compliance with domestic legislation or regulatory requirements on ABS (Article 15 and 16), compliance with mutually agreed terms (Article 18), and special considerations (Article 8) are addressed under other elements below.</w:t>
      </w:r>
    </w:p>
  </w:footnote>
  <w:footnote w:id="14">
    <w:p w14:paraId="5F6DD488" w14:textId="72116FB1"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w:t>
      </w:r>
      <w:r w:rsidRPr="00646D82">
        <w:rPr>
          <w:snapToGrid w:val="0"/>
          <w:kern w:val="18"/>
          <w:szCs w:val="22"/>
        </w:rPr>
        <w:t>As contained in</w:t>
      </w:r>
      <w:r w:rsidR="007A6596" w:rsidRPr="00646D82">
        <w:rPr>
          <w:snapToGrid w:val="0"/>
          <w:kern w:val="18"/>
          <w:szCs w:val="22"/>
        </w:rPr>
        <w:t xml:space="preserve"> a</w:t>
      </w:r>
      <w:r w:rsidRPr="00646D82">
        <w:rPr>
          <w:snapToGrid w:val="0"/>
          <w:kern w:val="18"/>
          <w:szCs w:val="22"/>
        </w:rPr>
        <w:t xml:space="preserve">nnex I </w:t>
      </w:r>
      <w:r w:rsidR="007A6596" w:rsidRPr="00646D82">
        <w:rPr>
          <w:snapToGrid w:val="0"/>
          <w:kern w:val="18"/>
          <w:szCs w:val="22"/>
        </w:rPr>
        <w:t xml:space="preserve">to </w:t>
      </w:r>
      <w:r w:rsidRPr="00646D82">
        <w:rPr>
          <w:snapToGrid w:val="0"/>
          <w:kern w:val="18"/>
          <w:szCs w:val="22"/>
        </w:rPr>
        <w:t xml:space="preserve">its report </w:t>
      </w:r>
      <w:r w:rsidR="007A6596" w:rsidRPr="00646D82">
        <w:rPr>
          <w:snapToGrid w:val="0"/>
          <w:kern w:val="18"/>
          <w:szCs w:val="22"/>
        </w:rPr>
        <w:t>(</w:t>
      </w:r>
      <w:r w:rsidRPr="00646D82">
        <w:rPr>
          <w:snapToGrid w:val="0"/>
          <w:kern w:val="18"/>
          <w:szCs w:val="22"/>
        </w:rPr>
        <w:t>CBD/ABS/CC/2/4</w:t>
      </w:r>
      <w:r w:rsidR="007A6596" w:rsidRPr="00646D82">
        <w:rPr>
          <w:snapToGrid w:val="0"/>
          <w:kern w:val="18"/>
          <w:szCs w:val="22"/>
        </w:rPr>
        <w:t>).</w:t>
      </w:r>
    </w:p>
  </w:footnote>
  <w:footnote w:id="15">
    <w:p w14:paraId="137F3C2D"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46D82">
        <w:rPr>
          <w:snapToGrid w:val="0"/>
          <w:kern w:val="18"/>
          <w:szCs w:val="18"/>
        </w:rPr>
        <w:footnoteRef/>
      </w:r>
      <w:r w:rsidRPr="00646D82">
        <w:rPr>
          <w:snapToGrid w:val="0"/>
          <w:kern w:val="18"/>
          <w:szCs w:val="18"/>
        </w:rPr>
        <w:t xml:space="preserve"> E.g. AU 2015 “African Union Practical Guidelines for the Coordinated Implementation of the Nagoya Protocol in Africa”. </w:t>
      </w:r>
    </w:p>
  </w:footnote>
  <w:footnote w:id="16">
    <w:p w14:paraId="13344ADD"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46D82">
        <w:rPr>
          <w:rStyle w:val="FootnoteReference"/>
          <w:snapToGrid w:val="0"/>
          <w:kern w:val="18"/>
          <w:szCs w:val="18"/>
        </w:rPr>
        <w:footnoteRef/>
      </w:r>
      <w:r w:rsidRPr="00646D82">
        <w:rPr>
          <w:snapToGrid w:val="0"/>
          <w:kern w:val="18"/>
          <w:szCs w:val="18"/>
        </w:rPr>
        <w:t xml:space="preserve"> E.g. “Compilation of views received on use of the term “indigenous peoples and local communities”” (UNEP/CBD/WG8J/8/INF/10/Add.1)</w:t>
      </w:r>
    </w:p>
  </w:footnote>
  <w:footnote w:id="17">
    <w:p w14:paraId="5828C2D2"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szCs w:val="18"/>
        </w:rPr>
        <w:footnoteRef/>
      </w:r>
      <w:r w:rsidRPr="00646D82">
        <w:rPr>
          <w:snapToGrid w:val="0"/>
          <w:kern w:val="18"/>
          <w:szCs w:val="18"/>
        </w:rPr>
        <w:t xml:space="preserve"> E.g. FAO 2016 “ABS Elements: Elements to Facilitate Domestic Implementation of Access and Benefit-sharing for Different Subsectors of Genetic Resources for Food and Agriculture”  </w:t>
      </w:r>
    </w:p>
  </w:footnote>
  <w:footnote w:id="18">
    <w:p w14:paraId="2EC6D785" w14:textId="103DF5B6"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A more detailed analysis of the responses to these questions is available in document </w:t>
      </w:r>
      <w:r w:rsidR="009A387F" w:rsidRPr="00646D82">
        <w:rPr>
          <w:snapToGrid w:val="0"/>
          <w:kern w:val="18"/>
        </w:rPr>
        <w:t>CBD/</w:t>
      </w:r>
      <w:r w:rsidRPr="00646D82">
        <w:rPr>
          <w:snapToGrid w:val="0"/>
          <w:kern w:val="18"/>
        </w:rPr>
        <w:t>SBI/2/INF/3.</w:t>
      </w:r>
    </w:p>
  </w:footnote>
  <w:footnote w:id="19">
    <w:p w14:paraId="400D0F2A"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Question 18: “Benefits received since entry into force of the Protocol for your country from the utilization of: genetic resources (monetary and non-monetary) and traditional knowledge associated with genetic resources (monetary and non-monetary)”</w:t>
      </w:r>
    </w:p>
  </w:footnote>
  <w:footnote w:id="20">
    <w:p w14:paraId="68E21CB9" w14:textId="7733BE76"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A more detailed analysis of the responses to these questions is available in document </w:t>
      </w:r>
      <w:r w:rsidR="009A387F" w:rsidRPr="00646D82">
        <w:rPr>
          <w:snapToGrid w:val="0"/>
          <w:kern w:val="18"/>
        </w:rPr>
        <w:t>CBD/</w:t>
      </w:r>
      <w:r w:rsidRPr="00646D82">
        <w:rPr>
          <w:snapToGrid w:val="0"/>
          <w:kern w:val="18"/>
        </w:rPr>
        <w:t>SBI/2/INF/3 and document CBD/ABS/CB-IAC/2018/1/2 provides further information on capacity-building initiatives and resources</w:t>
      </w:r>
    </w:p>
  </w:footnote>
  <w:footnote w:id="21">
    <w:p w14:paraId="4574E556" w14:textId="21F6BADC"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w:t>
      </w:r>
      <w:r w:rsidRPr="00646D82">
        <w:rPr>
          <w:snapToGrid w:val="0"/>
          <w:kern w:val="18"/>
          <w:szCs w:val="22"/>
          <w:lang w:eastAsia="ko-KR"/>
        </w:rPr>
        <w:t xml:space="preserve">According to information available to the Secretariat as of </w:t>
      </w:r>
      <w:r w:rsidRPr="00646D82">
        <w:rPr>
          <w:bCs/>
          <w:snapToGrid w:val="0"/>
          <w:kern w:val="18"/>
          <w:szCs w:val="22"/>
          <w:lang w:eastAsia="ko-KR"/>
        </w:rPr>
        <w:t>19 January 2018</w:t>
      </w:r>
      <w:r w:rsidR="00C82AAF" w:rsidRPr="00646D82">
        <w:rPr>
          <w:bCs/>
          <w:snapToGrid w:val="0"/>
          <w:kern w:val="18"/>
          <w:szCs w:val="22"/>
          <w:lang w:eastAsia="ko-KR"/>
        </w:rPr>
        <w:t>.</w:t>
      </w:r>
    </w:p>
  </w:footnote>
  <w:footnote w:id="22">
    <w:p w14:paraId="308EDEF2" w14:textId="478157E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w:t>
      </w:r>
      <w:r w:rsidRPr="00646D82">
        <w:rPr>
          <w:snapToGrid w:val="0"/>
          <w:kern w:val="18"/>
          <w:szCs w:val="22"/>
          <w:lang w:eastAsia="ko-KR"/>
        </w:rPr>
        <w:t>According to information gathered by the Secretariat as of 8 February 2018</w:t>
      </w:r>
      <w:r w:rsidR="00C82AAF" w:rsidRPr="00646D82">
        <w:rPr>
          <w:snapToGrid w:val="0"/>
          <w:kern w:val="18"/>
          <w:szCs w:val="22"/>
          <w:lang w:eastAsia="ko-KR"/>
        </w:rPr>
        <w:t>.</w:t>
      </w:r>
    </w:p>
  </w:footnote>
  <w:footnote w:id="23">
    <w:p w14:paraId="740BC76C" w14:textId="08127D59"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See paragraph 46 above. </w:t>
      </w:r>
    </w:p>
  </w:footnote>
  <w:footnote w:id="24">
    <w:p w14:paraId="10100121" w14:textId="2E7C24BE"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See document </w:t>
      </w:r>
      <w:r w:rsidR="009A387F" w:rsidRPr="00646D82">
        <w:rPr>
          <w:snapToGrid w:val="0"/>
          <w:kern w:val="18"/>
        </w:rPr>
        <w:t>CBD/</w:t>
      </w:r>
      <w:r w:rsidRPr="00646D82">
        <w:rPr>
          <w:snapToGrid w:val="0"/>
          <w:kern w:val="18"/>
          <w:szCs w:val="22"/>
        </w:rPr>
        <w:t>SBI/2/INF/3 for more information.</w:t>
      </w:r>
    </w:p>
  </w:footnote>
  <w:footnote w:id="25">
    <w:p w14:paraId="5108102D" w14:textId="485F66D2"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See paragraph 42 above. </w:t>
      </w:r>
    </w:p>
  </w:footnote>
  <w:footnote w:id="26">
    <w:p w14:paraId="3D61803D" w14:textId="2964840A"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See document </w:t>
      </w:r>
      <w:r w:rsidR="009A387F" w:rsidRPr="00646D82">
        <w:rPr>
          <w:snapToGrid w:val="0"/>
          <w:kern w:val="18"/>
        </w:rPr>
        <w:t>CBD/</w:t>
      </w:r>
      <w:r w:rsidRPr="00646D82">
        <w:rPr>
          <w:snapToGrid w:val="0"/>
          <w:kern w:val="18"/>
          <w:szCs w:val="22"/>
        </w:rPr>
        <w:t>SBI/2/INF/3 for more information.</w:t>
      </w:r>
    </w:p>
  </w:footnote>
  <w:footnote w:id="27">
    <w:p w14:paraId="60818198"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46D82">
        <w:rPr>
          <w:rStyle w:val="FootnoteReference"/>
          <w:snapToGrid w:val="0"/>
          <w:kern w:val="18"/>
        </w:rPr>
        <w:footnoteRef/>
      </w:r>
      <w:r w:rsidRPr="00646D82">
        <w:rPr>
          <w:snapToGrid w:val="0"/>
          <w:kern w:val="18"/>
        </w:rPr>
        <w:t xml:space="preserve"> </w:t>
      </w:r>
      <w:r w:rsidRPr="00646D82">
        <w:rPr>
          <w:snapToGrid w:val="0"/>
          <w:kern w:val="18"/>
          <w:szCs w:val="18"/>
        </w:rPr>
        <w:t xml:space="preserve">The mandate is available at the following link: </w:t>
      </w:r>
      <w:hyperlink r:id="rId1" w:history="1">
        <w:r w:rsidRPr="00646D82">
          <w:rPr>
            <w:rStyle w:val="Hyperlink"/>
            <w:snapToGrid w:val="0"/>
            <w:kern w:val="18"/>
            <w:szCs w:val="18"/>
            <w:u w:color="000000"/>
          </w:rPr>
          <w:t>http://www.wipo.int/export/sites/www/tk/en/igc/pdf/igc_mandate_2018-2019.pdf</w:t>
        </w:r>
      </w:hyperlink>
      <w:r w:rsidRPr="00646D82">
        <w:rPr>
          <w:snapToGrid w:val="0"/>
          <w:kern w:val="18"/>
          <w:szCs w:val="18"/>
        </w:rPr>
        <w:t xml:space="preserve"> </w:t>
      </w:r>
    </w:p>
  </w:footnote>
  <w:footnote w:id="28">
    <w:p w14:paraId="63559176" w14:textId="77777777" w:rsidR="007A38C9" w:rsidRPr="00646D82" w:rsidRDefault="007A38C9" w:rsidP="00646D82">
      <w:pPr>
        <w:pStyle w:val="Para1"/>
        <w:keepLines/>
        <w:suppressLineNumbers/>
        <w:suppressAutoHyphens/>
        <w:kinsoku w:val="0"/>
        <w:overflowPunct w:val="0"/>
        <w:autoSpaceDE w:val="0"/>
        <w:autoSpaceDN w:val="0"/>
        <w:adjustRightInd w:val="0"/>
        <w:snapToGrid w:val="0"/>
        <w:spacing w:before="0" w:after="60"/>
        <w:jc w:val="left"/>
        <w:rPr>
          <w:rFonts w:eastAsia="Calibri"/>
          <w:kern w:val="18"/>
          <w:sz w:val="18"/>
        </w:rPr>
      </w:pPr>
      <w:r w:rsidRPr="00646D82">
        <w:rPr>
          <w:rFonts w:eastAsia="Calibri"/>
          <w:kern w:val="18"/>
          <w:sz w:val="18"/>
          <w:vertAlign w:val="superscript"/>
        </w:rPr>
        <w:footnoteRef/>
      </w:r>
      <w:r w:rsidRPr="00646D82">
        <w:rPr>
          <w:rFonts w:eastAsia="Calibri"/>
          <w:kern w:val="18"/>
          <w:sz w:val="18"/>
        </w:rPr>
        <w:t xml:space="preserve"> The provisional schedule of IGC meetings for 2018 is the following: IGC 35 on genetic resources from 19 to 23 March 2018;    IGC 36 on genetic resources from 25 to 29 June 2018; IGC 37 on traditional knowledge and traditional cultural expressions from</w:t>
      </w:r>
      <w:r w:rsidRPr="00646D82">
        <w:rPr>
          <w:rFonts w:eastAsia="Calibri"/>
          <w:kern w:val="18"/>
          <w:sz w:val="18"/>
        </w:rPr>
        <w:tab/>
        <w:t xml:space="preserve"> 27 to 31 August 2018; IGC 38 on traditional knowledge and traditional cultural expressions from 10 to 14 December 2018.</w:t>
      </w:r>
    </w:p>
  </w:footnote>
  <w:footnote w:id="29">
    <w:p w14:paraId="64BA55A0"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rFonts w:eastAsia="Calibri"/>
          <w:snapToGrid w:val="0"/>
          <w:kern w:val="18"/>
          <w:sz w:val="20"/>
        </w:rPr>
      </w:pPr>
      <w:r w:rsidRPr="00646D82">
        <w:rPr>
          <w:rStyle w:val="FootnoteReference"/>
          <w:snapToGrid w:val="0"/>
          <w:kern w:val="18"/>
        </w:rPr>
        <w:footnoteRef/>
      </w:r>
      <w:r w:rsidRPr="00646D82">
        <w:rPr>
          <w:snapToGrid w:val="0"/>
          <w:kern w:val="18"/>
        </w:rPr>
        <w:t xml:space="preserve"> The reports are available at:  </w:t>
      </w:r>
      <w:hyperlink r:id="rId2" w:history="1">
        <w:r w:rsidRPr="00646D82">
          <w:rPr>
            <w:rStyle w:val="Hyperlink"/>
            <w:snapToGrid w:val="0"/>
            <w:kern w:val="18"/>
          </w:rPr>
          <w:t>http://www.wipo.int/edocs/mdocs/tk/en/wipo_grtkf_ic_36/wipo_grtkf_ic_36_5.pdf</w:t>
        </w:r>
      </w:hyperlink>
      <w:r w:rsidRPr="00646D82">
        <w:rPr>
          <w:snapToGrid w:val="0"/>
          <w:kern w:val="18"/>
        </w:rPr>
        <w:t xml:space="preserve"> and  </w:t>
      </w:r>
      <w:hyperlink r:id="rId3" w:history="1">
        <w:r w:rsidRPr="00646D82">
          <w:rPr>
            <w:rStyle w:val="Hyperlink"/>
            <w:snapToGrid w:val="0"/>
            <w:kern w:val="18"/>
          </w:rPr>
          <w:t>http://www.wipo.int/edocs/mdocs/tk/en/wipo_grtkf_ic_36/wipo_grtkf_ic_36_6.pdf</w:t>
        </w:r>
      </w:hyperlink>
      <w:r w:rsidRPr="00646D82">
        <w:rPr>
          <w:snapToGrid w:val="0"/>
          <w:kern w:val="18"/>
        </w:rPr>
        <w:t xml:space="preserve">. </w:t>
      </w:r>
    </w:p>
  </w:footnote>
  <w:footnote w:id="30">
    <w:p w14:paraId="5B73BB55"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T</w:t>
      </w:r>
      <w:r w:rsidRPr="00646D82">
        <w:rPr>
          <w:snapToGrid w:val="0"/>
          <w:kern w:val="18"/>
          <w:szCs w:val="18"/>
        </w:rPr>
        <w:t xml:space="preserve">he Protection of Traditional Knowledge: Draft Articles (document WIPO/GRTKF/IC/34/5) is available at: </w:t>
      </w:r>
      <w:hyperlink r:id="rId4" w:history="1">
        <w:r w:rsidRPr="00646D82">
          <w:rPr>
            <w:rStyle w:val="Hyperlink"/>
            <w:snapToGrid w:val="0"/>
            <w:kern w:val="18"/>
            <w:szCs w:val="18"/>
          </w:rPr>
          <w:t>http://www.wipo.int/edocs/mdocs/tk/en/wipo_grtkf_ic_34/wipo_grtkf_ic_34_5.pdf</w:t>
        </w:r>
      </w:hyperlink>
      <w:r w:rsidRPr="00646D82">
        <w:rPr>
          <w:snapToGrid w:val="0"/>
          <w:kern w:val="18"/>
          <w:szCs w:val="18"/>
        </w:rPr>
        <w:t xml:space="preserve">. </w:t>
      </w:r>
    </w:p>
  </w:footnote>
  <w:footnote w:id="31">
    <w:p w14:paraId="01E68E6A"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w:t>
      </w:r>
      <w:hyperlink r:id="rId5" w:history="1">
        <w:r w:rsidRPr="00646D82">
          <w:rPr>
            <w:rStyle w:val="Hyperlink"/>
            <w:snapToGrid w:val="0"/>
            <w:kern w:val="18"/>
          </w:rPr>
          <w:t>http://www.wipo.int/meetings/en/doc_details.jsp?doc_id=147152</w:t>
        </w:r>
      </w:hyperlink>
      <w:r w:rsidRPr="00646D82">
        <w:rPr>
          <w:snapToGrid w:val="0"/>
          <w:kern w:val="18"/>
        </w:rPr>
        <w:t xml:space="preserve"> </w:t>
      </w:r>
    </w:p>
  </w:footnote>
  <w:footnote w:id="32">
    <w:p w14:paraId="04F22685"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w:t>
      </w:r>
      <w:hyperlink r:id="rId6" w:history="1">
        <w:r w:rsidRPr="00646D82">
          <w:rPr>
            <w:rStyle w:val="Hyperlink"/>
            <w:snapToGrid w:val="0"/>
            <w:kern w:val="18"/>
          </w:rPr>
          <w:t>http://www.wipo.int/tk/en/resources/db_registry.html</w:t>
        </w:r>
      </w:hyperlink>
      <w:r w:rsidRPr="00646D82">
        <w:rPr>
          <w:snapToGrid w:val="0"/>
          <w:kern w:val="18"/>
        </w:rPr>
        <w:t xml:space="preserve"> </w:t>
      </w:r>
    </w:p>
  </w:footnote>
  <w:footnote w:id="33">
    <w:p w14:paraId="58BC5DA9"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w:t>
      </w:r>
      <w:hyperlink r:id="rId7" w:history="1">
        <w:r w:rsidRPr="00646D82">
          <w:rPr>
            <w:rStyle w:val="Hyperlink"/>
            <w:snapToGrid w:val="0"/>
            <w:kern w:val="18"/>
          </w:rPr>
          <w:t>http://www.wipo.int/tk/en/resources/tkdocumentation.html</w:t>
        </w:r>
      </w:hyperlink>
      <w:r w:rsidRPr="00646D82">
        <w:rPr>
          <w:snapToGrid w:val="0"/>
          <w:kern w:val="18"/>
        </w:rPr>
        <w:t xml:space="preserve"> </w:t>
      </w:r>
    </w:p>
  </w:footnote>
  <w:footnote w:id="34">
    <w:p w14:paraId="4D6206B5" w14:textId="7850A06C"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00ED07E8" w:rsidRPr="00646D82">
        <w:rPr>
          <w:snapToGrid w:val="0"/>
          <w:kern w:val="18"/>
        </w:rPr>
        <w:t xml:space="preserve"> </w:t>
      </w:r>
      <w:r w:rsidRPr="00646D82">
        <w:rPr>
          <w:snapToGrid w:val="0"/>
          <w:kern w:val="18"/>
        </w:rPr>
        <w:t xml:space="preserve">See paragraph 45 above. </w:t>
      </w:r>
    </w:p>
  </w:footnote>
  <w:footnote w:id="35">
    <w:p w14:paraId="44A83501" w14:textId="482751AF"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00ED07E8" w:rsidRPr="00646D82">
        <w:rPr>
          <w:snapToGrid w:val="0"/>
          <w:kern w:val="18"/>
        </w:rPr>
        <w:t xml:space="preserve"> </w:t>
      </w:r>
      <w:r w:rsidRPr="00646D82">
        <w:rPr>
          <w:snapToGrid w:val="0"/>
          <w:kern w:val="18"/>
        </w:rPr>
        <w:t xml:space="preserve">See paragraph 49 above. </w:t>
      </w:r>
    </w:p>
  </w:footnote>
  <w:footnote w:id="36">
    <w:p w14:paraId="04064CBF"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w:t>
      </w:r>
      <w:proofErr w:type="spellStart"/>
      <w:r w:rsidRPr="00646D82">
        <w:rPr>
          <w:snapToGrid w:val="0"/>
          <w:kern w:val="18"/>
        </w:rPr>
        <w:t>Mo’otz</w:t>
      </w:r>
      <w:proofErr w:type="spellEnd"/>
      <w:r w:rsidRPr="00646D82">
        <w:rPr>
          <w:snapToGrid w:val="0"/>
          <w:kern w:val="18"/>
        </w:rPr>
        <w:t xml:space="preserve"> </w:t>
      </w:r>
      <w:proofErr w:type="spellStart"/>
      <w:r w:rsidRPr="00646D82">
        <w:rPr>
          <w:snapToGrid w:val="0"/>
          <w:kern w:val="18"/>
        </w:rPr>
        <w:t>Kuxtal</w:t>
      </w:r>
      <w:proofErr w:type="spellEnd"/>
      <w:r w:rsidRPr="00646D82">
        <w:rPr>
          <w:snapToGrid w:val="0"/>
          <w:kern w:val="18"/>
        </w:rPr>
        <w:t xml:space="preserve"> voluntary guidelines for the development of mechanisms, legislation or other appropriate initiatives to ensure the “prior and informed consent”,  “free, prior and informed consent” or “approval and involvement”, depending on national circumstances, of indigenous peoples and local communities  for accessing their knowledge, innovations and practices, for fair and equitable sharing of benefits arising from the use of their knowledge, innovations and practices relevant for the conservation and sustainable use of biological diversity, and for reporting and preventing unlawful appropriation of traditional knowledge</w:t>
      </w:r>
    </w:p>
  </w:footnote>
  <w:footnote w:id="37">
    <w:p w14:paraId="00BAE5A7" w14:textId="07A2C81F"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w:t>
      </w:r>
      <w:r w:rsidRPr="00646D82">
        <w:rPr>
          <w:rFonts w:eastAsia="Calibri"/>
          <w:snapToGrid w:val="0"/>
          <w:kern w:val="18"/>
          <w:szCs w:val="22"/>
          <w:u w:color="000000"/>
        </w:rPr>
        <w:t xml:space="preserve">Document </w:t>
      </w:r>
      <w:r w:rsidR="00EB3ED7" w:rsidRPr="00646D82">
        <w:rPr>
          <w:rFonts w:eastAsia="Calibri"/>
          <w:snapToGrid w:val="0"/>
          <w:kern w:val="18"/>
          <w:szCs w:val="22"/>
          <w:u w:color="000000"/>
        </w:rPr>
        <w:t>CBD/</w:t>
      </w:r>
      <w:r w:rsidRPr="00646D82">
        <w:rPr>
          <w:rFonts w:eastAsia="Calibri"/>
          <w:snapToGrid w:val="0"/>
          <w:kern w:val="18"/>
          <w:szCs w:val="22"/>
          <w:u w:color="000000"/>
        </w:rPr>
        <w:t>SBI/2/INF/8 provides details on the information collected through these different sources of information.</w:t>
      </w:r>
    </w:p>
  </w:footnote>
  <w:footnote w:id="38">
    <w:p w14:paraId="24668C2E" w14:textId="5CF962E0"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Such as the experiences and lesson learned shared by Natural Justice and the ABS Capacity Development Initiative with contributions of the ONG CESAREN (</w:t>
      </w:r>
      <w:hyperlink r:id="rId8" w:history="1">
        <w:r w:rsidRPr="00646D82">
          <w:rPr>
            <w:rStyle w:val="Hyperlink"/>
            <w:snapToGrid w:val="0"/>
            <w:kern w:val="18"/>
          </w:rPr>
          <w:t>https://www.cbd.int/abs/submissions/assessment/naturaljustice-abs-initiative-en.pdf</w:t>
        </w:r>
      </w:hyperlink>
      <w:r w:rsidRPr="00646D82">
        <w:rPr>
          <w:snapToGrid w:val="0"/>
          <w:kern w:val="18"/>
        </w:rPr>
        <w:t>)</w:t>
      </w:r>
      <w:r w:rsidR="00192FBE" w:rsidRPr="00646D82">
        <w:rPr>
          <w:snapToGrid w:val="0"/>
          <w:kern w:val="18"/>
        </w:rPr>
        <w:t>.</w:t>
      </w:r>
    </w:p>
  </w:footnote>
  <w:footnote w:id="39">
    <w:p w14:paraId="0D1C96A8" w14:textId="488EE419" w:rsidR="007A38C9" w:rsidRPr="00646D82" w:rsidRDefault="007A38C9" w:rsidP="00646D82">
      <w:pPr>
        <w:pStyle w:val="Para1"/>
        <w:keepLines/>
        <w:suppressLineNumbers/>
        <w:suppressAutoHyphens/>
        <w:kinsoku w:val="0"/>
        <w:overflowPunct w:val="0"/>
        <w:autoSpaceDE w:val="0"/>
        <w:autoSpaceDN w:val="0"/>
        <w:adjustRightInd w:val="0"/>
        <w:snapToGrid w:val="0"/>
        <w:spacing w:before="0" w:after="60"/>
        <w:jc w:val="left"/>
        <w:rPr>
          <w:rFonts w:eastAsia="Calibri"/>
          <w:kern w:val="18"/>
        </w:rPr>
      </w:pPr>
      <w:r w:rsidRPr="00646D82">
        <w:rPr>
          <w:rStyle w:val="FootnoteReference"/>
          <w:kern w:val="18"/>
        </w:rPr>
        <w:footnoteRef/>
      </w:r>
      <w:r w:rsidRPr="00646D82">
        <w:rPr>
          <w:kern w:val="18"/>
        </w:rPr>
        <w:t xml:space="preserve"> </w:t>
      </w:r>
      <w:r w:rsidRPr="00646D82">
        <w:rPr>
          <w:kern w:val="18"/>
          <w:sz w:val="18"/>
          <w:szCs w:val="24"/>
        </w:rPr>
        <w:t xml:space="preserve">Document </w:t>
      </w:r>
      <w:r w:rsidR="009A387F" w:rsidRPr="00646D82">
        <w:rPr>
          <w:kern w:val="18"/>
          <w:sz w:val="18"/>
          <w:szCs w:val="24"/>
        </w:rPr>
        <w:t>CBD/</w:t>
      </w:r>
      <w:r w:rsidRPr="00646D82">
        <w:rPr>
          <w:kern w:val="18"/>
          <w:sz w:val="18"/>
          <w:szCs w:val="24"/>
        </w:rPr>
        <w:t>SBI/2/INF/7 provides an overview of the information collected through the different sources of information and feedback received on the implementation and operation of the ABS Clearing-House.</w:t>
      </w:r>
      <w:r w:rsidRPr="00646D82">
        <w:rPr>
          <w:rFonts w:eastAsia="Calibri"/>
          <w:kern w:val="18"/>
          <w:szCs w:val="22"/>
          <w:u w:color="000000"/>
        </w:rPr>
        <w:t xml:space="preserve"> </w:t>
      </w:r>
    </w:p>
  </w:footnote>
  <w:footnote w:id="40">
    <w:p w14:paraId="69497C44"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In the period from </w:t>
      </w:r>
      <w:r w:rsidRPr="00646D82">
        <w:rPr>
          <w:snapToGrid w:val="0"/>
          <w:kern w:val="18"/>
          <w:szCs w:val="18"/>
        </w:rPr>
        <w:t>22 March 2017 to 22 March 2018.</w:t>
      </w:r>
    </w:p>
  </w:footnote>
  <w:footnote w:id="41">
    <w:p w14:paraId="43311DCF" w14:textId="4567BEF3"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In the period from March 2017 to March 2018</w:t>
      </w:r>
      <w:r w:rsidR="00A95348" w:rsidRPr="00646D82">
        <w:rPr>
          <w:snapToGrid w:val="0"/>
          <w:kern w:val="18"/>
        </w:rPr>
        <w:t>.</w:t>
      </w:r>
    </w:p>
  </w:footnote>
  <w:footnote w:id="42">
    <w:p w14:paraId="0DDD929E" w14:textId="3F822C94" w:rsidR="00791F5B" w:rsidRPr="00646D82" w:rsidRDefault="00791F5B"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w:t>
      </w:r>
      <w:r w:rsidRPr="00646D82">
        <w:rPr>
          <w:rFonts w:eastAsia="Calibri"/>
          <w:snapToGrid w:val="0"/>
          <w:kern w:val="18"/>
        </w:rPr>
        <w:t>CBD/SBI/2/3, annex I.</w:t>
      </w:r>
    </w:p>
  </w:footnote>
  <w:footnote w:id="43">
    <w:p w14:paraId="744FBDBF" w14:textId="7A86F5B0" w:rsidR="009C6879" w:rsidRPr="00646D82" w:rsidRDefault="009C687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w:t>
      </w:r>
      <w:r w:rsidRPr="00646D82">
        <w:rPr>
          <w:rFonts w:eastAsia="Calibri"/>
          <w:snapToGrid w:val="0"/>
          <w:kern w:val="18"/>
        </w:rPr>
        <w:t>CBD/SBI/2/3, annex II.</w:t>
      </w:r>
    </w:p>
  </w:footnote>
  <w:footnote w:id="44">
    <w:p w14:paraId="7AC31316" w14:textId="6B6B6D6D" w:rsidR="00FC2CC4" w:rsidRPr="00646D82" w:rsidRDefault="00FC2CC4"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CBD/SBI/2/3, </w:t>
      </w:r>
      <w:r w:rsidRPr="00646D82">
        <w:rPr>
          <w:rFonts w:eastAsia="Calibri"/>
          <w:snapToGrid w:val="0"/>
          <w:kern w:val="18"/>
        </w:rPr>
        <w:t>in annex I.</w:t>
      </w:r>
    </w:p>
  </w:footnote>
  <w:footnote w:id="45">
    <w:p w14:paraId="763842AF" w14:textId="14574450" w:rsidR="00766320" w:rsidRPr="00646D82" w:rsidRDefault="00766320"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w:t>
      </w:r>
      <w:r w:rsidRPr="00646D82">
        <w:rPr>
          <w:rFonts w:eastAsia="Calibri"/>
          <w:snapToGrid w:val="0"/>
          <w:kern w:val="18"/>
        </w:rPr>
        <w:t>CBD/SBI/2/3, annex II.</w:t>
      </w:r>
    </w:p>
  </w:footnote>
  <w:footnote w:id="46">
    <w:p w14:paraId="5D4B3DF8"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46D82">
        <w:rPr>
          <w:snapToGrid w:val="0"/>
          <w:kern w:val="18"/>
          <w:szCs w:val="18"/>
        </w:rPr>
        <w:footnoteRef/>
      </w:r>
      <w:r w:rsidRPr="00646D82">
        <w:rPr>
          <w:snapToGrid w:val="0"/>
          <w:kern w:val="18"/>
          <w:szCs w:val="18"/>
        </w:rPr>
        <w:t xml:space="preserve"> E.g. AU 2015 “African Union Practical Guidelines for the Coordinated Implementation of the Nagoya Protocol in Africa”. </w:t>
      </w:r>
    </w:p>
  </w:footnote>
  <w:footnote w:id="47">
    <w:p w14:paraId="2A95419D" w14:textId="1E06B219"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46D82">
        <w:rPr>
          <w:rStyle w:val="FootnoteReference"/>
          <w:snapToGrid w:val="0"/>
          <w:kern w:val="18"/>
          <w:szCs w:val="18"/>
        </w:rPr>
        <w:footnoteRef/>
      </w:r>
      <w:r w:rsidRPr="00646D82">
        <w:rPr>
          <w:snapToGrid w:val="0"/>
          <w:kern w:val="18"/>
          <w:szCs w:val="18"/>
        </w:rPr>
        <w:t xml:space="preserve"> E.g. “Compilation of views received on use of the term </w:t>
      </w:r>
      <w:r w:rsidR="00117743" w:rsidRPr="00646D82">
        <w:rPr>
          <w:snapToGrid w:val="0"/>
          <w:kern w:val="18"/>
          <w:szCs w:val="18"/>
        </w:rPr>
        <w:t>‘</w:t>
      </w:r>
      <w:r w:rsidRPr="00646D82">
        <w:rPr>
          <w:snapToGrid w:val="0"/>
          <w:kern w:val="18"/>
          <w:szCs w:val="18"/>
        </w:rPr>
        <w:t>indigenous peoples and local communities</w:t>
      </w:r>
      <w:r w:rsidR="00117743" w:rsidRPr="00646D82">
        <w:rPr>
          <w:snapToGrid w:val="0"/>
          <w:kern w:val="18"/>
          <w:szCs w:val="18"/>
        </w:rPr>
        <w:t>’</w:t>
      </w:r>
      <w:r w:rsidRPr="00646D82">
        <w:rPr>
          <w:snapToGrid w:val="0"/>
          <w:kern w:val="18"/>
          <w:szCs w:val="18"/>
        </w:rPr>
        <w:t>” (UNEP/CBD/WG8J/8/INF/10/Add.1)</w:t>
      </w:r>
      <w:r w:rsidR="00117743" w:rsidRPr="00646D82">
        <w:rPr>
          <w:snapToGrid w:val="0"/>
          <w:kern w:val="18"/>
          <w:szCs w:val="18"/>
        </w:rPr>
        <w:t>.</w:t>
      </w:r>
    </w:p>
  </w:footnote>
  <w:footnote w:id="48">
    <w:p w14:paraId="3B02FACE" w14:textId="01EB28B3"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szCs w:val="18"/>
        </w:rPr>
        <w:footnoteRef/>
      </w:r>
      <w:r w:rsidRPr="00646D82">
        <w:rPr>
          <w:snapToGrid w:val="0"/>
          <w:kern w:val="18"/>
          <w:szCs w:val="18"/>
        </w:rPr>
        <w:t xml:space="preserve"> E.g. FAO 2016 “ABS Elements: Elements to Facilitate Domestic Implementation of Access and Benefit-sharing for Different Subsectors of Genetic Resources for Food and Agriculture”</w:t>
      </w:r>
      <w:r w:rsidR="00117743" w:rsidRPr="00646D82">
        <w:rPr>
          <w:snapToGrid w:val="0"/>
          <w:kern w:val="18"/>
          <w:szCs w:val="18"/>
        </w:rPr>
        <w:t>.</w:t>
      </w:r>
    </w:p>
  </w:footnote>
  <w:footnote w:id="49">
    <w:p w14:paraId="7C5C7159" w14:textId="77777777" w:rsidR="007A38C9" w:rsidRPr="00646D82" w:rsidRDefault="007A38C9" w:rsidP="00646D82">
      <w:pPr>
        <w:pStyle w:val="FootnoteText"/>
        <w:suppressLineNumbers/>
        <w:suppressAutoHyphens/>
        <w:kinsoku w:val="0"/>
        <w:overflowPunct w:val="0"/>
        <w:autoSpaceDE w:val="0"/>
        <w:autoSpaceDN w:val="0"/>
        <w:adjustRightInd w:val="0"/>
        <w:snapToGrid w:val="0"/>
        <w:ind w:firstLine="0"/>
        <w:jc w:val="left"/>
        <w:rPr>
          <w:snapToGrid w:val="0"/>
          <w:kern w:val="18"/>
        </w:rPr>
      </w:pPr>
      <w:r w:rsidRPr="00646D82">
        <w:rPr>
          <w:rStyle w:val="FootnoteReference"/>
          <w:snapToGrid w:val="0"/>
          <w:kern w:val="18"/>
        </w:rPr>
        <w:footnoteRef/>
      </w:r>
      <w:r w:rsidRPr="00646D82">
        <w:rPr>
          <w:snapToGrid w:val="0"/>
          <w:kern w:val="18"/>
        </w:rPr>
        <w:t xml:space="preserve"> </w:t>
      </w:r>
      <w:proofErr w:type="spellStart"/>
      <w:r w:rsidRPr="00646D82">
        <w:rPr>
          <w:snapToGrid w:val="0"/>
          <w:kern w:val="18"/>
        </w:rPr>
        <w:t>Mo’otz</w:t>
      </w:r>
      <w:proofErr w:type="spellEnd"/>
      <w:r w:rsidRPr="00646D82">
        <w:rPr>
          <w:snapToGrid w:val="0"/>
          <w:kern w:val="18"/>
        </w:rPr>
        <w:t xml:space="preserve"> </w:t>
      </w:r>
      <w:proofErr w:type="spellStart"/>
      <w:r w:rsidRPr="00646D82">
        <w:rPr>
          <w:snapToGrid w:val="0"/>
          <w:kern w:val="18"/>
        </w:rPr>
        <w:t>Kuxtal</w:t>
      </w:r>
      <w:proofErr w:type="spellEnd"/>
      <w:r w:rsidRPr="00646D82">
        <w:rPr>
          <w:snapToGrid w:val="0"/>
          <w:kern w:val="18"/>
        </w:rPr>
        <w:t xml:space="preserve"> voluntary guidelines for the development of mechanisms, legislation or other appropriate initiatives to ensure the “prior and informed consent”,  “free, prior and informed consent” or “approval and involvement”, depending on national circumstances, of indigenous peoples and local communities  for accessing their knowledge, innovations and practices, for fair and equitable sharing of benefits arising from the use of their knowledge, innovations and practices relevant for the conservation and sustainable use of biological diversity, and for reporting and preventing unlawful appropriation of traditional knowledge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54913F7C" w14:textId="77777777" w:rsidR="007A38C9" w:rsidRDefault="007A38C9" w:rsidP="005440A6">
        <w:pPr>
          <w:pStyle w:val="Header"/>
          <w:tabs>
            <w:tab w:val="clear" w:pos="4320"/>
            <w:tab w:val="clear" w:pos="8640"/>
          </w:tabs>
          <w:jc w:val="left"/>
          <w:rPr>
            <w:noProof/>
            <w:kern w:val="22"/>
          </w:rPr>
        </w:pPr>
        <w:r>
          <w:rPr>
            <w:noProof/>
            <w:kern w:val="22"/>
            <w:lang w:val="en-US"/>
          </w:rPr>
          <w:t>CBD/SBI/2/3</w:t>
        </w:r>
      </w:p>
    </w:sdtContent>
  </w:sdt>
  <w:p w14:paraId="633D6717" w14:textId="4B21CD57" w:rsidR="007A38C9" w:rsidRPr="005440A6" w:rsidRDefault="007A38C9"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56B1C">
      <w:rPr>
        <w:noProof/>
        <w:kern w:val="22"/>
      </w:rPr>
      <w:t>36</w:t>
    </w:r>
    <w:r w:rsidRPr="005440A6">
      <w:rPr>
        <w:noProof/>
        <w:kern w:val="22"/>
      </w:rPr>
      <w:fldChar w:fldCharType="end"/>
    </w:r>
  </w:p>
  <w:p w14:paraId="45A8BE8A" w14:textId="77777777" w:rsidR="007A38C9" w:rsidRPr="005440A6" w:rsidRDefault="007A38C9"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75CED66A" w14:textId="77777777" w:rsidR="007A38C9" w:rsidRPr="005440A6" w:rsidRDefault="007A38C9" w:rsidP="00BE45DE">
        <w:pPr>
          <w:pStyle w:val="Header"/>
          <w:tabs>
            <w:tab w:val="clear" w:pos="4320"/>
            <w:tab w:val="clear" w:pos="8640"/>
          </w:tabs>
          <w:jc w:val="right"/>
          <w:rPr>
            <w:noProof/>
            <w:kern w:val="22"/>
          </w:rPr>
        </w:pPr>
        <w:r>
          <w:rPr>
            <w:noProof/>
            <w:kern w:val="22"/>
            <w:lang w:val="en-US"/>
          </w:rPr>
          <w:t>CBD/SBI/2/3</w:t>
        </w:r>
      </w:p>
    </w:sdtContent>
  </w:sdt>
  <w:p w14:paraId="1B049386" w14:textId="5FF8F299" w:rsidR="007A38C9" w:rsidRPr="005440A6" w:rsidRDefault="007A38C9"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56B1C">
      <w:rPr>
        <w:noProof/>
        <w:kern w:val="22"/>
      </w:rPr>
      <w:t>37</w:t>
    </w:r>
    <w:r w:rsidRPr="005440A6">
      <w:rPr>
        <w:noProof/>
        <w:kern w:val="22"/>
      </w:rPr>
      <w:fldChar w:fldCharType="end"/>
    </w:r>
  </w:p>
  <w:p w14:paraId="199C4EA1" w14:textId="77777777" w:rsidR="007A38C9" w:rsidRPr="005440A6" w:rsidRDefault="007A38C9"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2D05"/>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2A6F8E"/>
    <w:multiLevelType w:val="hybridMultilevel"/>
    <w:tmpl w:val="7CBA7268"/>
    <w:lvl w:ilvl="0" w:tplc="35F43F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A534466"/>
    <w:multiLevelType w:val="hybridMultilevel"/>
    <w:tmpl w:val="80F49A12"/>
    <w:lvl w:ilvl="0" w:tplc="63C28858">
      <w:start w:val="33"/>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4D2"/>
    <w:multiLevelType w:val="hybridMultilevel"/>
    <w:tmpl w:val="10F26098"/>
    <w:lvl w:ilvl="0" w:tplc="34B0AB98">
      <w:start w:val="1"/>
      <w:numFmt w:val="lowerLetter"/>
      <w:lvlText w:val="(%1)"/>
      <w:lvlJc w:val="left"/>
      <w:pPr>
        <w:ind w:left="720" w:hanging="360"/>
      </w:pPr>
      <w:rPr>
        <w:rFonts w:hint="default"/>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261B3"/>
    <w:multiLevelType w:val="hybridMultilevel"/>
    <w:tmpl w:val="10FE2C06"/>
    <w:lvl w:ilvl="0" w:tplc="B17EC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41362"/>
    <w:multiLevelType w:val="hybridMultilevel"/>
    <w:tmpl w:val="3C920E60"/>
    <w:lvl w:ilvl="0" w:tplc="72A49FEA">
      <w:start w:val="6"/>
      <w:numFmt w:val="decimal"/>
      <w:lvlText w:val="%1."/>
      <w:lvlJc w:val="left"/>
      <w:pPr>
        <w:ind w:left="720" w:hanging="360"/>
      </w:pPr>
      <w:rPr>
        <w:rFonts w:hint="default"/>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2033B"/>
    <w:multiLevelType w:val="hybridMultilevel"/>
    <w:tmpl w:val="10FE2C06"/>
    <w:lvl w:ilvl="0" w:tplc="B17EC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A53E6"/>
    <w:multiLevelType w:val="hybridMultilevel"/>
    <w:tmpl w:val="90EAD3C8"/>
    <w:lvl w:ilvl="0" w:tplc="8FAAF334">
      <w:start w:val="36"/>
      <w:numFmt w:val="decimal"/>
      <w:lvlText w:val="%1."/>
      <w:lvlJc w:val="left"/>
      <w:pPr>
        <w:ind w:left="0" w:firstLine="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E3913"/>
    <w:multiLevelType w:val="multilevel"/>
    <w:tmpl w:val="25ACC3FA"/>
    <w:lvl w:ilvl="0">
      <w:start w:val="96"/>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B9366FD"/>
    <w:multiLevelType w:val="multilevel"/>
    <w:tmpl w:val="C930EC32"/>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F440A42"/>
    <w:multiLevelType w:val="hybridMultilevel"/>
    <w:tmpl w:val="10FE2C06"/>
    <w:lvl w:ilvl="0" w:tplc="B17EC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85969"/>
    <w:multiLevelType w:val="hybridMultilevel"/>
    <w:tmpl w:val="BCD2415A"/>
    <w:lvl w:ilvl="0" w:tplc="7B481D14">
      <w:start w:val="6"/>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0136B"/>
    <w:multiLevelType w:val="hybridMultilevel"/>
    <w:tmpl w:val="A0A0AB64"/>
    <w:lvl w:ilvl="0" w:tplc="98321D22">
      <w:start w:val="36"/>
      <w:numFmt w:val="decimal"/>
      <w:lvlText w:val="%1."/>
      <w:lvlJc w:val="left"/>
      <w:pPr>
        <w:ind w:left="12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C3FFD"/>
    <w:multiLevelType w:val="multilevel"/>
    <w:tmpl w:val="C930EC32"/>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CE1146"/>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F457EF9"/>
    <w:multiLevelType w:val="hybridMultilevel"/>
    <w:tmpl w:val="494E8F26"/>
    <w:lvl w:ilvl="0" w:tplc="CAC43758">
      <w:start w:val="64"/>
      <w:numFmt w:val="decimal"/>
      <w:lvlText w:val="%1."/>
      <w:lvlJc w:val="left"/>
      <w:pPr>
        <w:ind w:left="720" w:hanging="360"/>
      </w:pPr>
      <w:rPr>
        <w:rFonts w:hint="default"/>
        <w:b w:val="0"/>
        <w:i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1521D29"/>
    <w:multiLevelType w:val="hybridMultilevel"/>
    <w:tmpl w:val="95F0847E"/>
    <w:lvl w:ilvl="0" w:tplc="677097A0">
      <w:start w:val="6"/>
      <w:numFmt w:val="decimal"/>
      <w:lvlText w:val="%1."/>
      <w:lvlJc w:val="left"/>
      <w:pPr>
        <w:ind w:left="0" w:firstLine="0"/>
      </w:pPr>
      <w:rPr>
        <w:rFonts w:hint="default"/>
        <w:b w:val="0"/>
        <w:i w:val="0"/>
        <w:color w:val="auto"/>
        <w:sz w:val="22"/>
        <w:vertAlign w:val="baseline"/>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D5B5B"/>
    <w:multiLevelType w:val="hybridMultilevel"/>
    <w:tmpl w:val="915AABE8"/>
    <w:lvl w:ilvl="0" w:tplc="91B66932">
      <w:start w:val="6"/>
      <w:numFmt w:val="decimal"/>
      <w:lvlText w:val="%1."/>
      <w:lvlJc w:val="left"/>
      <w:pPr>
        <w:ind w:left="0" w:firstLine="0"/>
      </w:pPr>
      <w:rPr>
        <w:rFonts w:hint="default"/>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A172C"/>
    <w:multiLevelType w:val="hybridMultilevel"/>
    <w:tmpl w:val="10FE2C06"/>
    <w:lvl w:ilvl="0" w:tplc="B17EC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5F32DBB"/>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5304C0"/>
    <w:multiLevelType w:val="hybridMultilevel"/>
    <w:tmpl w:val="86109DA0"/>
    <w:lvl w:ilvl="0" w:tplc="98321D2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0423B12"/>
    <w:multiLevelType w:val="hybridMultilevel"/>
    <w:tmpl w:val="A836A3CC"/>
    <w:lvl w:ilvl="0" w:tplc="F8F0A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20AA2"/>
    <w:multiLevelType w:val="hybridMultilevel"/>
    <w:tmpl w:val="3EEC5142"/>
    <w:lvl w:ilvl="0" w:tplc="920A2B5A">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9007A"/>
    <w:multiLevelType w:val="multilevel"/>
    <w:tmpl w:val="D4B81AE2"/>
    <w:lvl w:ilvl="0">
      <w:start w:val="96"/>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511374B"/>
    <w:multiLevelType w:val="hybridMultilevel"/>
    <w:tmpl w:val="D8A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7B0D3F"/>
    <w:multiLevelType w:val="hybridMultilevel"/>
    <w:tmpl w:val="01DEE258"/>
    <w:lvl w:ilvl="0" w:tplc="87984664">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C2C1A"/>
    <w:multiLevelType w:val="hybridMultilevel"/>
    <w:tmpl w:val="281AF3F2"/>
    <w:lvl w:ilvl="0" w:tplc="E960A3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EE46A3"/>
    <w:multiLevelType w:val="hybridMultilevel"/>
    <w:tmpl w:val="31F4ED3E"/>
    <w:lvl w:ilvl="0" w:tplc="5652EF34">
      <w:start w:val="1"/>
      <w:numFmt w:val="decimal"/>
      <w:lvlText w:val="%1."/>
      <w:lvlJc w:val="left"/>
      <w:pPr>
        <w:ind w:left="900" w:hanging="360"/>
      </w:pPr>
      <w:rPr>
        <w:b w:val="0"/>
        <w:i w:val="0"/>
        <w:sz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345679"/>
    <w:multiLevelType w:val="hybridMultilevel"/>
    <w:tmpl w:val="01DEE258"/>
    <w:lvl w:ilvl="0" w:tplc="87984664">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5D254B"/>
    <w:multiLevelType w:val="hybridMultilevel"/>
    <w:tmpl w:val="0420A240"/>
    <w:lvl w:ilvl="0" w:tplc="0F72C42E">
      <w:start w:val="1"/>
      <w:numFmt w:val="decimal"/>
      <w:lvlText w:val="%1."/>
      <w:lvlJc w:val="left"/>
      <w:pPr>
        <w:ind w:left="1260" w:hanging="360"/>
      </w:pPr>
      <w:rPr>
        <w:rFonts w:hint="default"/>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55B632E"/>
    <w:multiLevelType w:val="hybridMultilevel"/>
    <w:tmpl w:val="6332CBC0"/>
    <w:lvl w:ilvl="0" w:tplc="0409000F">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46B2B"/>
    <w:multiLevelType w:val="hybridMultilevel"/>
    <w:tmpl w:val="10FE2C06"/>
    <w:lvl w:ilvl="0" w:tplc="B17EC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BAC480B"/>
    <w:multiLevelType w:val="hybridMultilevel"/>
    <w:tmpl w:val="7CBA7268"/>
    <w:lvl w:ilvl="0" w:tplc="35F43F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D2D7642"/>
    <w:multiLevelType w:val="hybridMultilevel"/>
    <w:tmpl w:val="90EAD3C8"/>
    <w:lvl w:ilvl="0" w:tplc="8FAAF334">
      <w:start w:val="36"/>
      <w:numFmt w:val="decimal"/>
      <w:lvlText w:val="%1."/>
      <w:lvlJc w:val="left"/>
      <w:pPr>
        <w:ind w:left="0" w:firstLine="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545B99"/>
    <w:multiLevelType w:val="hybridMultilevel"/>
    <w:tmpl w:val="95C08B22"/>
    <w:lvl w:ilvl="0" w:tplc="B17EC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23"/>
  </w:num>
  <w:num w:numId="4">
    <w:abstractNumId w:val="25"/>
  </w:num>
  <w:num w:numId="5">
    <w:abstractNumId w:val="32"/>
  </w:num>
  <w:num w:numId="6">
    <w:abstractNumId w:val="33"/>
  </w:num>
  <w:num w:numId="7">
    <w:abstractNumId w:val="10"/>
  </w:num>
  <w:num w:numId="8">
    <w:abstractNumId w:val="12"/>
  </w:num>
  <w:num w:numId="9">
    <w:abstractNumId w:val="29"/>
  </w:num>
  <w:num w:numId="10">
    <w:abstractNumId w:val="30"/>
  </w:num>
  <w:num w:numId="11">
    <w:abstractNumId w:val="0"/>
  </w:num>
  <w:num w:numId="12">
    <w:abstractNumId w:val="18"/>
  </w:num>
  <w:num w:numId="13">
    <w:abstractNumId w:val="34"/>
  </w:num>
  <w:num w:numId="14">
    <w:abstractNumId w:val="6"/>
  </w:num>
  <w:num w:numId="15">
    <w:abstractNumId w:val="1"/>
  </w:num>
  <w:num w:numId="16">
    <w:abstractNumId w:val="39"/>
  </w:num>
  <w:num w:numId="17">
    <w:abstractNumId w:val="40"/>
  </w:num>
  <w:num w:numId="18">
    <w:abstractNumId w:val="14"/>
  </w:num>
  <w:num w:numId="19">
    <w:abstractNumId w:val="24"/>
  </w:num>
  <w:num w:numId="20">
    <w:abstractNumId w:val="15"/>
  </w:num>
  <w:num w:numId="21">
    <w:abstractNumId w:val="17"/>
  </w:num>
  <w:num w:numId="22">
    <w:abstractNumId w:val="5"/>
  </w:num>
  <w:num w:numId="23">
    <w:abstractNumId w:val="20"/>
  </w:num>
  <w:num w:numId="24">
    <w:abstractNumId w:val="4"/>
  </w:num>
  <w:num w:numId="25">
    <w:abstractNumId w:val="26"/>
  </w:num>
  <w:num w:numId="26">
    <w:abstractNumId w:val="27"/>
  </w:num>
  <w:num w:numId="27">
    <w:abstractNumId w:val="35"/>
  </w:num>
  <w:num w:numId="28">
    <w:abstractNumId w:val="37"/>
  </w:num>
  <w:num w:numId="29">
    <w:abstractNumId w:val="7"/>
  </w:num>
  <w:num w:numId="30">
    <w:abstractNumId w:val="41"/>
  </w:num>
  <w:num w:numId="31">
    <w:abstractNumId w:val="31"/>
  </w:num>
  <w:num w:numId="32">
    <w:abstractNumId w:val="9"/>
  </w:num>
  <w:num w:numId="33">
    <w:abstractNumId w:val="8"/>
  </w:num>
  <w:num w:numId="34">
    <w:abstractNumId w:val="2"/>
  </w:num>
  <w:num w:numId="35">
    <w:abstractNumId w:val="22"/>
  </w:num>
  <w:num w:numId="36">
    <w:abstractNumId w:val="16"/>
  </w:num>
  <w:num w:numId="37">
    <w:abstractNumId w:val="38"/>
  </w:num>
  <w:num w:numId="38">
    <w:abstractNumId w:val="19"/>
  </w:num>
  <w:num w:numId="39">
    <w:abstractNumId w:val="28"/>
  </w:num>
  <w:num w:numId="40">
    <w:abstractNumId w:val="13"/>
  </w:num>
  <w:num w:numId="41">
    <w:abstractNumId w:val="36"/>
  </w:num>
  <w:num w:numId="4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3ED2"/>
    <w:rsid w:val="000061AB"/>
    <w:rsid w:val="00010107"/>
    <w:rsid w:val="00017EE1"/>
    <w:rsid w:val="000211B5"/>
    <w:rsid w:val="00021758"/>
    <w:rsid w:val="000219AC"/>
    <w:rsid w:val="000224E7"/>
    <w:rsid w:val="000268FA"/>
    <w:rsid w:val="00026DA9"/>
    <w:rsid w:val="00031722"/>
    <w:rsid w:val="00031D24"/>
    <w:rsid w:val="000331D5"/>
    <w:rsid w:val="00036A95"/>
    <w:rsid w:val="00037873"/>
    <w:rsid w:val="00037B5E"/>
    <w:rsid w:val="00042999"/>
    <w:rsid w:val="00043B89"/>
    <w:rsid w:val="000448F7"/>
    <w:rsid w:val="000449A4"/>
    <w:rsid w:val="00046F84"/>
    <w:rsid w:val="00051418"/>
    <w:rsid w:val="00051C95"/>
    <w:rsid w:val="00052450"/>
    <w:rsid w:val="00052480"/>
    <w:rsid w:val="00054381"/>
    <w:rsid w:val="0005732F"/>
    <w:rsid w:val="000617DC"/>
    <w:rsid w:val="000646EC"/>
    <w:rsid w:val="00067E0B"/>
    <w:rsid w:val="00070D46"/>
    <w:rsid w:val="000711E1"/>
    <w:rsid w:val="00073708"/>
    <w:rsid w:val="0007678D"/>
    <w:rsid w:val="000768A5"/>
    <w:rsid w:val="000801CF"/>
    <w:rsid w:val="000808F1"/>
    <w:rsid w:val="00084F3C"/>
    <w:rsid w:val="0008646A"/>
    <w:rsid w:val="0008738E"/>
    <w:rsid w:val="000873DC"/>
    <w:rsid w:val="00091A57"/>
    <w:rsid w:val="000920BA"/>
    <w:rsid w:val="000954D2"/>
    <w:rsid w:val="00095CFB"/>
    <w:rsid w:val="00095DA4"/>
    <w:rsid w:val="00096BB2"/>
    <w:rsid w:val="00096CD5"/>
    <w:rsid w:val="00097164"/>
    <w:rsid w:val="000A19B3"/>
    <w:rsid w:val="000A2511"/>
    <w:rsid w:val="000A286D"/>
    <w:rsid w:val="000A4A8F"/>
    <w:rsid w:val="000A5886"/>
    <w:rsid w:val="000A62EE"/>
    <w:rsid w:val="000A788C"/>
    <w:rsid w:val="000B3F27"/>
    <w:rsid w:val="000B42B4"/>
    <w:rsid w:val="000B797A"/>
    <w:rsid w:val="000B7A29"/>
    <w:rsid w:val="000C0890"/>
    <w:rsid w:val="000C37DB"/>
    <w:rsid w:val="000C41AB"/>
    <w:rsid w:val="000C4A4E"/>
    <w:rsid w:val="000C7167"/>
    <w:rsid w:val="000D2010"/>
    <w:rsid w:val="000D2776"/>
    <w:rsid w:val="000D7A18"/>
    <w:rsid w:val="000E2BA0"/>
    <w:rsid w:val="000E3BBD"/>
    <w:rsid w:val="000E637D"/>
    <w:rsid w:val="000E703F"/>
    <w:rsid w:val="000E7BF2"/>
    <w:rsid w:val="000E7E6A"/>
    <w:rsid w:val="000E7EE2"/>
    <w:rsid w:val="000E7F17"/>
    <w:rsid w:val="000F0E01"/>
    <w:rsid w:val="000F2988"/>
    <w:rsid w:val="000F3173"/>
    <w:rsid w:val="000F63AB"/>
    <w:rsid w:val="000F7A43"/>
    <w:rsid w:val="00101480"/>
    <w:rsid w:val="00103533"/>
    <w:rsid w:val="00116915"/>
    <w:rsid w:val="00117743"/>
    <w:rsid w:val="001220DD"/>
    <w:rsid w:val="0012214B"/>
    <w:rsid w:val="00126902"/>
    <w:rsid w:val="001337B6"/>
    <w:rsid w:val="00134AEB"/>
    <w:rsid w:val="001353A5"/>
    <w:rsid w:val="001354A8"/>
    <w:rsid w:val="001356AD"/>
    <w:rsid w:val="00137DEA"/>
    <w:rsid w:val="001412F0"/>
    <w:rsid w:val="0014537E"/>
    <w:rsid w:val="00147965"/>
    <w:rsid w:val="0015012D"/>
    <w:rsid w:val="00150D47"/>
    <w:rsid w:val="001528F6"/>
    <w:rsid w:val="001534B5"/>
    <w:rsid w:val="0015373D"/>
    <w:rsid w:val="001546C2"/>
    <w:rsid w:val="00155333"/>
    <w:rsid w:val="00155B0B"/>
    <w:rsid w:val="00160394"/>
    <w:rsid w:val="001646E1"/>
    <w:rsid w:val="00166367"/>
    <w:rsid w:val="00170145"/>
    <w:rsid w:val="00171651"/>
    <w:rsid w:val="0017247F"/>
    <w:rsid w:val="00180967"/>
    <w:rsid w:val="00181243"/>
    <w:rsid w:val="001865DA"/>
    <w:rsid w:val="00191555"/>
    <w:rsid w:val="00191A8D"/>
    <w:rsid w:val="00192A39"/>
    <w:rsid w:val="00192E06"/>
    <w:rsid w:val="00192FBE"/>
    <w:rsid w:val="00193075"/>
    <w:rsid w:val="001931AC"/>
    <w:rsid w:val="00194543"/>
    <w:rsid w:val="001952BF"/>
    <w:rsid w:val="0019559E"/>
    <w:rsid w:val="00196C69"/>
    <w:rsid w:val="001A082A"/>
    <w:rsid w:val="001A1B76"/>
    <w:rsid w:val="001A5072"/>
    <w:rsid w:val="001B67BF"/>
    <w:rsid w:val="001C1D02"/>
    <w:rsid w:val="001C3039"/>
    <w:rsid w:val="001C4CBB"/>
    <w:rsid w:val="001C4D61"/>
    <w:rsid w:val="001C5B84"/>
    <w:rsid w:val="001C7B88"/>
    <w:rsid w:val="001D31C6"/>
    <w:rsid w:val="001D5C0D"/>
    <w:rsid w:val="001E7625"/>
    <w:rsid w:val="001F04D0"/>
    <w:rsid w:val="001F05C1"/>
    <w:rsid w:val="001F0754"/>
    <w:rsid w:val="001F6379"/>
    <w:rsid w:val="00200D03"/>
    <w:rsid w:val="00203048"/>
    <w:rsid w:val="002037DF"/>
    <w:rsid w:val="00204415"/>
    <w:rsid w:val="002079C6"/>
    <w:rsid w:val="00207A6E"/>
    <w:rsid w:val="002140C4"/>
    <w:rsid w:val="0021602F"/>
    <w:rsid w:val="00216993"/>
    <w:rsid w:val="00222E55"/>
    <w:rsid w:val="00224284"/>
    <w:rsid w:val="00224314"/>
    <w:rsid w:val="00224388"/>
    <w:rsid w:val="00224B92"/>
    <w:rsid w:val="00226406"/>
    <w:rsid w:val="002357E1"/>
    <w:rsid w:val="00236F87"/>
    <w:rsid w:val="00237394"/>
    <w:rsid w:val="0023756D"/>
    <w:rsid w:val="00243779"/>
    <w:rsid w:val="00250652"/>
    <w:rsid w:val="00252897"/>
    <w:rsid w:val="00253DAA"/>
    <w:rsid w:val="0025681E"/>
    <w:rsid w:val="0026216B"/>
    <w:rsid w:val="002622CE"/>
    <w:rsid w:val="00267DFF"/>
    <w:rsid w:val="00270575"/>
    <w:rsid w:val="002717C1"/>
    <w:rsid w:val="00272F3A"/>
    <w:rsid w:val="00273DAA"/>
    <w:rsid w:val="0027701F"/>
    <w:rsid w:val="002848EB"/>
    <w:rsid w:val="0028660B"/>
    <w:rsid w:val="002869B1"/>
    <w:rsid w:val="00287606"/>
    <w:rsid w:val="0029374A"/>
    <w:rsid w:val="002941DC"/>
    <w:rsid w:val="002A26C8"/>
    <w:rsid w:val="002A4D34"/>
    <w:rsid w:val="002A7DD1"/>
    <w:rsid w:val="002B0942"/>
    <w:rsid w:val="002B0D97"/>
    <w:rsid w:val="002B1522"/>
    <w:rsid w:val="002B443C"/>
    <w:rsid w:val="002B45AA"/>
    <w:rsid w:val="002B5198"/>
    <w:rsid w:val="002B5615"/>
    <w:rsid w:val="002C0C00"/>
    <w:rsid w:val="002C4BDB"/>
    <w:rsid w:val="002C6685"/>
    <w:rsid w:val="002D04A2"/>
    <w:rsid w:val="002D4D16"/>
    <w:rsid w:val="002D61DB"/>
    <w:rsid w:val="002D6870"/>
    <w:rsid w:val="002E0012"/>
    <w:rsid w:val="002E0627"/>
    <w:rsid w:val="002E0B50"/>
    <w:rsid w:val="002E4F76"/>
    <w:rsid w:val="00300AF8"/>
    <w:rsid w:val="00304311"/>
    <w:rsid w:val="00305800"/>
    <w:rsid w:val="00305885"/>
    <w:rsid w:val="003115C2"/>
    <w:rsid w:val="0031269A"/>
    <w:rsid w:val="00313577"/>
    <w:rsid w:val="0031469D"/>
    <w:rsid w:val="00316ED6"/>
    <w:rsid w:val="003210FF"/>
    <w:rsid w:val="00324AAA"/>
    <w:rsid w:val="00325DE3"/>
    <w:rsid w:val="00333C5A"/>
    <w:rsid w:val="00335249"/>
    <w:rsid w:val="00336766"/>
    <w:rsid w:val="00337864"/>
    <w:rsid w:val="00337BF3"/>
    <w:rsid w:val="00355799"/>
    <w:rsid w:val="0035676A"/>
    <w:rsid w:val="003569A6"/>
    <w:rsid w:val="003607F3"/>
    <w:rsid w:val="00362637"/>
    <w:rsid w:val="0036390F"/>
    <w:rsid w:val="0036526D"/>
    <w:rsid w:val="003652D6"/>
    <w:rsid w:val="00365C57"/>
    <w:rsid w:val="00371358"/>
    <w:rsid w:val="00373E86"/>
    <w:rsid w:val="00374FB7"/>
    <w:rsid w:val="00381BFF"/>
    <w:rsid w:val="00383124"/>
    <w:rsid w:val="003840BA"/>
    <w:rsid w:val="00387094"/>
    <w:rsid w:val="00392872"/>
    <w:rsid w:val="00392B2D"/>
    <w:rsid w:val="003930EC"/>
    <w:rsid w:val="003972A5"/>
    <w:rsid w:val="00397D20"/>
    <w:rsid w:val="003B10B9"/>
    <w:rsid w:val="003B1550"/>
    <w:rsid w:val="003B18C8"/>
    <w:rsid w:val="003B393A"/>
    <w:rsid w:val="003B4F9B"/>
    <w:rsid w:val="003B5585"/>
    <w:rsid w:val="003C113F"/>
    <w:rsid w:val="003C644C"/>
    <w:rsid w:val="003C79F4"/>
    <w:rsid w:val="003D5030"/>
    <w:rsid w:val="003E2306"/>
    <w:rsid w:val="003E2DAE"/>
    <w:rsid w:val="003E402F"/>
    <w:rsid w:val="003E57C7"/>
    <w:rsid w:val="003E68EE"/>
    <w:rsid w:val="003F159B"/>
    <w:rsid w:val="003F1913"/>
    <w:rsid w:val="003F5B6D"/>
    <w:rsid w:val="003F6E44"/>
    <w:rsid w:val="00400395"/>
    <w:rsid w:val="00401DDC"/>
    <w:rsid w:val="0040250E"/>
    <w:rsid w:val="0040463E"/>
    <w:rsid w:val="00406BC6"/>
    <w:rsid w:val="0041617F"/>
    <w:rsid w:val="0041618C"/>
    <w:rsid w:val="00417181"/>
    <w:rsid w:val="00417E04"/>
    <w:rsid w:val="00422FCC"/>
    <w:rsid w:val="0042528D"/>
    <w:rsid w:val="00426733"/>
    <w:rsid w:val="0042761C"/>
    <w:rsid w:val="0043268C"/>
    <w:rsid w:val="00434F76"/>
    <w:rsid w:val="0043506E"/>
    <w:rsid w:val="0044424E"/>
    <w:rsid w:val="00457151"/>
    <w:rsid w:val="00460815"/>
    <w:rsid w:val="00461FD0"/>
    <w:rsid w:val="00462BA6"/>
    <w:rsid w:val="004724FE"/>
    <w:rsid w:val="00476E39"/>
    <w:rsid w:val="00483C90"/>
    <w:rsid w:val="00494A8B"/>
    <w:rsid w:val="00494CE1"/>
    <w:rsid w:val="00495DED"/>
    <w:rsid w:val="004A0DE4"/>
    <w:rsid w:val="004B1313"/>
    <w:rsid w:val="004B57CE"/>
    <w:rsid w:val="004B597A"/>
    <w:rsid w:val="004C3809"/>
    <w:rsid w:val="004C40F4"/>
    <w:rsid w:val="004C625D"/>
    <w:rsid w:val="004D110C"/>
    <w:rsid w:val="004D140A"/>
    <w:rsid w:val="004D1933"/>
    <w:rsid w:val="004D1C32"/>
    <w:rsid w:val="004D26F5"/>
    <w:rsid w:val="004D2F7B"/>
    <w:rsid w:val="004D560E"/>
    <w:rsid w:val="004E2237"/>
    <w:rsid w:val="004E43DC"/>
    <w:rsid w:val="004E642A"/>
    <w:rsid w:val="004E6443"/>
    <w:rsid w:val="004E7A4E"/>
    <w:rsid w:val="004F3FB7"/>
    <w:rsid w:val="004F50FD"/>
    <w:rsid w:val="00500530"/>
    <w:rsid w:val="005029B4"/>
    <w:rsid w:val="005032C9"/>
    <w:rsid w:val="00504F59"/>
    <w:rsid w:val="005102C1"/>
    <w:rsid w:val="00511645"/>
    <w:rsid w:val="00511C99"/>
    <w:rsid w:val="00513E51"/>
    <w:rsid w:val="00515EBE"/>
    <w:rsid w:val="00516C26"/>
    <w:rsid w:val="005206F3"/>
    <w:rsid w:val="0052183C"/>
    <w:rsid w:val="00525C5A"/>
    <w:rsid w:val="00526021"/>
    <w:rsid w:val="00526668"/>
    <w:rsid w:val="00530C2A"/>
    <w:rsid w:val="0053592C"/>
    <w:rsid w:val="00540C21"/>
    <w:rsid w:val="00541331"/>
    <w:rsid w:val="005440A6"/>
    <w:rsid w:val="005450E6"/>
    <w:rsid w:val="005453B8"/>
    <w:rsid w:val="0054774C"/>
    <w:rsid w:val="00553CDF"/>
    <w:rsid w:val="00553DA8"/>
    <w:rsid w:val="005568D8"/>
    <w:rsid w:val="00557EA3"/>
    <w:rsid w:val="00565FB8"/>
    <w:rsid w:val="005666BD"/>
    <w:rsid w:val="005678B3"/>
    <w:rsid w:val="005704ED"/>
    <w:rsid w:val="005711BC"/>
    <w:rsid w:val="005720C8"/>
    <w:rsid w:val="00573715"/>
    <w:rsid w:val="00575BA7"/>
    <w:rsid w:val="005761F6"/>
    <w:rsid w:val="005801E2"/>
    <w:rsid w:val="00591B7F"/>
    <w:rsid w:val="005928D7"/>
    <w:rsid w:val="005955D2"/>
    <w:rsid w:val="00597C90"/>
    <w:rsid w:val="005A1C19"/>
    <w:rsid w:val="005A2D87"/>
    <w:rsid w:val="005A4284"/>
    <w:rsid w:val="005B0109"/>
    <w:rsid w:val="005B3020"/>
    <w:rsid w:val="005B33A0"/>
    <w:rsid w:val="005B3A06"/>
    <w:rsid w:val="005B6A14"/>
    <w:rsid w:val="005C0797"/>
    <w:rsid w:val="005C5EF9"/>
    <w:rsid w:val="005D139C"/>
    <w:rsid w:val="005D39BB"/>
    <w:rsid w:val="005D3D71"/>
    <w:rsid w:val="005D5AA3"/>
    <w:rsid w:val="005D77E2"/>
    <w:rsid w:val="005E0ABF"/>
    <w:rsid w:val="005E21B1"/>
    <w:rsid w:val="005E21F4"/>
    <w:rsid w:val="005E30EC"/>
    <w:rsid w:val="005E6A52"/>
    <w:rsid w:val="005F0F95"/>
    <w:rsid w:val="005F1576"/>
    <w:rsid w:val="005F4550"/>
    <w:rsid w:val="005F4C74"/>
    <w:rsid w:val="005F7B9E"/>
    <w:rsid w:val="00600EC1"/>
    <w:rsid w:val="00604C96"/>
    <w:rsid w:val="006133B9"/>
    <w:rsid w:val="00613E11"/>
    <w:rsid w:val="00614C92"/>
    <w:rsid w:val="00616891"/>
    <w:rsid w:val="00621F4B"/>
    <w:rsid w:val="0062573F"/>
    <w:rsid w:val="006260D5"/>
    <w:rsid w:val="00626FF1"/>
    <w:rsid w:val="0062749A"/>
    <w:rsid w:val="006376F6"/>
    <w:rsid w:val="00643EB2"/>
    <w:rsid w:val="00646D82"/>
    <w:rsid w:val="00646EE1"/>
    <w:rsid w:val="00647120"/>
    <w:rsid w:val="00647C04"/>
    <w:rsid w:val="00647F03"/>
    <w:rsid w:val="006507F2"/>
    <w:rsid w:val="006531B0"/>
    <w:rsid w:val="00653BA2"/>
    <w:rsid w:val="0065770C"/>
    <w:rsid w:val="00661309"/>
    <w:rsid w:val="006623BF"/>
    <w:rsid w:val="00665523"/>
    <w:rsid w:val="00665ED1"/>
    <w:rsid w:val="0066775D"/>
    <w:rsid w:val="00671332"/>
    <w:rsid w:val="00671ACC"/>
    <w:rsid w:val="0067304D"/>
    <w:rsid w:val="00675312"/>
    <w:rsid w:val="00680973"/>
    <w:rsid w:val="00682B74"/>
    <w:rsid w:val="00690847"/>
    <w:rsid w:val="00693B93"/>
    <w:rsid w:val="0069606B"/>
    <w:rsid w:val="006A066D"/>
    <w:rsid w:val="006A1145"/>
    <w:rsid w:val="006A211A"/>
    <w:rsid w:val="006A77BF"/>
    <w:rsid w:val="006B074E"/>
    <w:rsid w:val="006B1546"/>
    <w:rsid w:val="006B2BD5"/>
    <w:rsid w:val="006B4886"/>
    <w:rsid w:val="006B5B8A"/>
    <w:rsid w:val="006B715B"/>
    <w:rsid w:val="006B74EF"/>
    <w:rsid w:val="006C2A1C"/>
    <w:rsid w:val="006C3E3C"/>
    <w:rsid w:val="006C711F"/>
    <w:rsid w:val="006C7B92"/>
    <w:rsid w:val="006D0D16"/>
    <w:rsid w:val="006D0E3D"/>
    <w:rsid w:val="006D11BC"/>
    <w:rsid w:val="006D6303"/>
    <w:rsid w:val="006E3E34"/>
    <w:rsid w:val="006E520B"/>
    <w:rsid w:val="006F043A"/>
    <w:rsid w:val="006F284C"/>
    <w:rsid w:val="006F6F44"/>
    <w:rsid w:val="006F7227"/>
    <w:rsid w:val="00702366"/>
    <w:rsid w:val="00702462"/>
    <w:rsid w:val="00703CEF"/>
    <w:rsid w:val="00704F10"/>
    <w:rsid w:val="007070CD"/>
    <w:rsid w:val="00711229"/>
    <w:rsid w:val="00714614"/>
    <w:rsid w:val="007152FD"/>
    <w:rsid w:val="007163BC"/>
    <w:rsid w:val="007213BB"/>
    <w:rsid w:val="00723DD2"/>
    <w:rsid w:val="00724970"/>
    <w:rsid w:val="007263D5"/>
    <w:rsid w:val="00730077"/>
    <w:rsid w:val="007304C6"/>
    <w:rsid w:val="00730AE3"/>
    <w:rsid w:val="00731574"/>
    <w:rsid w:val="00734557"/>
    <w:rsid w:val="00734B00"/>
    <w:rsid w:val="00736BC2"/>
    <w:rsid w:val="00750378"/>
    <w:rsid w:val="00750811"/>
    <w:rsid w:val="00751D8C"/>
    <w:rsid w:val="00754D56"/>
    <w:rsid w:val="00756600"/>
    <w:rsid w:val="00756AA7"/>
    <w:rsid w:val="00763245"/>
    <w:rsid w:val="00766320"/>
    <w:rsid w:val="0077165A"/>
    <w:rsid w:val="00772F69"/>
    <w:rsid w:val="0077314D"/>
    <w:rsid w:val="00773B7A"/>
    <w:rsid w:val="00775819"/>
    <w:rsid w:val="00776383"/>
    <w:rsid w:val="00780BA3"/>
    <w:rsid w:val="00781E53"/>
    <w:rsid w:val="00791F5B"/>
    <w:rsid w:val="0079325E"/>
    <w:rsid w:val="007A1A44"/>
    <w:rsid w:val="007A38C9"/>
    <w:rsid w:val="007A4F81"/>
    <w:rsid w:val="007A6596"/>
    <w:rsid w:val="007A6CE0"/>
    <w:rsid w:val="007B1587"/>
    <w:rsid w:val="007B353C"/>
    <w:rsid w:val="007B73DF"/>
    <w:rsid w:val="007C191F"/>
    <w:rsid w:val="007C3B55"/>
    <w:rsid w:val="007C500E"/>
    <w:rsid w:val="007C5285"/>
    <w:rsid w:val="007C547B"/>
    <w:rsid w:val="007C633B"/>
    <w:rsid w:val="007D3182"/>
    <w:rsid w:val="007D4C76"/>
    <w:rsid w:val="007D74A2"/>
    <w:rsid w:val="007E6A2C"/>
    <w:rsid w:val="007F37CB"/>
    <w:rsid w:val="007F4F2D"/>
    <w:rsid w:val="007F5887"/>
    <w:rsid w:val="007F5A0D"/>
    <w:rsid w:val="007F6E1F"/>
    <w:rsid w:val="00802EA7"/>
    <w:rsid w:val="0080492B"/>
    <w:rsid w:val="0080616D"/>
    <w:rsid w:val="008122ED"/>
    <w:rsid w:val="00815A9E"/>
    <w:rsid w:val="00815D76"/>
    <w:rsid w:val="00816970"/>
    <w:rsid w:val="008224B7"/>
    <w:rsid w:val="00825524"/>
    <w:rsid w:val="00825DE5"/>
    <w:rsid w:val="00826089"/>
    <w:rsid w:val="0082694C"/>
    <w:rsid w:val="0083211E"/>
    <w:rsid w:val="00841F3D"/>
    <w:rsid w:val="00843728"/>
    <w:rsid w:val="00843FF1"/>
    <w:rsid w:val="00844287"/>
    <w:rsid w:val="00844B81"/>
    <w:rsid w:val="00846BA5"/>
    <w:rsid w:val="00850515"/>
    <w:rsid w:val="00851FD8"/>
    <w:rsid w:val="0085394E"/>
    <w:rsid w:val="0085450B"/>
    <w:rsid w:val="008563DC"/>
    <w:rsid w:val="0085783C"/>
    <w:rsid w:val="0086019A"/>
    <w:rsid w:val="00864362"/>
    <w:rsid w:val="00865BCB"/>
    <w:rsid w:val="008707B3"/>
    <w:rsid w:val="00870A36"/>
    <w:rsid w:val="00870D40"/>
    <w:rsid w:val="0087135D"/>
    <w:rsid w:val="0087481B"/>
    <w:rsid w:val="008774EA"/>
    <w:rsid w:val="00881FCE"/>
    <w:rsid w:val="00882536"/>
    <w:rsid w:val="00883A7C"/>
    <w:rsid w:val="008875C5"/>
    <w:rsid w:val="008907B2"/>
    <w:rsid w:val="008910E6"/>
    <w:rsid w:val="00891709"/>
    <w:rsid w:val="00892AC0"/>
    <w:rsid w:val="00892F41"/>
    <w:rsid w:val="0089528B"/>
    <w:rsid w:val="008A20E8"/>
    <w:rsid w:val="008A3BAA"/>
    <w:rsid w:val="008A452B"/>
    <w:rsid w:val="008A78C9"/>
    <w:rsid w:val="008A7963"/>
    <w:rsid w:val="008B553A"/>
    <w:rsid w:val="008B558C"/>
    <w:rsid w:val="008B5F4F"/>
    <w:rsid w:val="008B641B"/>
    <w:rsid w:val="008C013C"/>
    <w:rsid w:val="008C1ADD"/>
    <w:rsid w:val="008C1E35"/>
    <w:rsid w:val="008C2548"/>
    <w:rsid w:val="008C26B3"/>
    <w:rsid w:val="008C2D3B"/>
    <w:rsid w:val="008C3751"/>
    <w:rsid w:val="008C424B"/>
    <w:rsid w:val="008C4DA9"/>
    <w:rsid w:val="008C59DB"/>
    <w:rsid w:val="008D0A50"/>
    <w:rsid w:val="008D5505"/>
    <w:rsid w:val="008D5799"/>
    <w:rsid w:val="008D5AA2"/>
    <w:rsid w:val="008E0AB4"/>
    <w:rsid w:val="008E1528"/>
    <w:rsid w:val="008E25C7"/>
    <w:rsid w:val="008E3BBC"/>
    <w:rsid w:val="008E40CC"/>
    <w:rsid w:val="008E46C9"/>
    <w:rsid w:val="008E4A3A"/>
    <w:rsid w:val="008E5F84"/>
    <w:rsid w:val="008E7500"/>
    <w:rsid w:val="008F41CA"/>
    <w:rsid w:val="008F4C76"/>
    <w:rsid w:val="008F78C2"/>
    <w:rsid w:val="009029A0"/>
    <w:rsid w:val="009067F8"/>
    <w:rsid w:val="00910A40"/>
    <w:rsid w:val="009166F3"/>
    <w:rsid w:val="009214C5"/>
    <w:rsid w:val="00922EAD"/>
    <w:rsid w:val="00925184"/>
    <w:rsid w:val="0092794B"/>
    <w:rsid w:val="00931418"/>
    <w:rsid w:val="00931D5F"/>
    <w:rsid w:val="00936180"/>
    <w:rsid w:val="00937B92"/>
    <w:rsid w:val="00944659"/>
    <w:rsid w:val="00946CB8"/>
    <w:rsid w:val="00951295"/>
    <w:rsid w:val="00951924"/>
    <w:rsid w:val="00953856"/>
    <w:rsid w:val="009554D5"/>
    <w:rsid w:val="00960D7A"/>
    <w:rsid w:val="00966F98"/>
    <w:rsid w:val="0097115F"/>
    <w:rsid w:val="00972003"/>
    <w:rsid w:val="009734AC"/>
    <w:rsid w:val="00975295"/>
    <w:rsid w:val="00975A42"/>
    <w:rsid w:val="00976DA6"/>
    <w:rsid w:val="00977585"/>
    <w:rsid w:val="00981434"/>
    <w:rsid w:val="00984117"/>
    <w:rsid w:val="00984C95"/>
    <w:rsid w:val="00985035"/>
    <w:rsid w:val="00985E4F"/>
    <w:rsid w:val="00995957"/>
    <w:rsid w:val="0099633F"/>
    <w:rsid w:val="009A1E1D"/>
    <w:rsid w:val="009A387F"/>
    <w:rsid w:val="009A5C61"/>
    <w:rsid w:val="009B1156"/>
    <w:rsid w:val="009B4E05"/>
    <w:rsid w:val="009B5E1D"/>
    <w:rsid w:val="009B6968"/>
    <w:rsid w:val="009C32DD"/>
    <w:rsid w:val="009C53AB"/>
    <w:rsid w:val="009C6879"/>
    <w:rsid w:val="009D0733"/>
    <w:rsid w:val="009D1202"/>
    <w:rsid w:val="009D1EFF"/>
    <w:rsid w:val="009D1FA8"/>
    <w:rsid w:val="009D2F92"/>
    <w:rsid w:val="009D7377"/>
    <w:rsid w:val="009D7741"/>
    <w:rsid w:val="009D7818"/>
    <w:rsid w:val="009E0D5C"/>
    <w:rsid w:val="009E2B79"/>
    <w:rsid w:val="009E62EF"/>
    <w:rsid w:val="009F0E67"/>
    <w:rsid w:val="009F3366"/>
    <w:rsid w:val="009F5954"/>
    <w:rsid w:val="00A0383E"/>
    <w:rsid w:val="00A047F0"/>
    <w:rsid w:val="00A10051"/>
    <w:rsid w:val="00A116F2"/>
    <w:rsid w:val="00A11AE6"/>
    <w:rsid w:val="00A12209"/>
    <w:rsid w:val="00A12BA7"/>
    <w:rsid w:val="00A13AF2"/>
    <w:rsid w:val="00A13E5A"/>
    <w:rsid w:val="00A1498F"/>
    <w:rsid w:val="00A164CE"/>
    <w:rsid w:val="00A16D04"/>
    <w:rsid w:val="00A20F36"/>
    <w:rsid w:val="00A2169A"/>
    <w:rsid w:val="00A21E87"/>
    <w:rsid w:val="00A24442"/>
    <w:rsid w:val="00A30DAD"/>
    <w:rsid w:val="00A353DF"/>
    <w:rsid w:val="00A3614D"/>
    <w:rsid w:val="00A36165"/>
    <w:rsid w:val="00A3710E"/>
    <w:rsid w:val="00A3720E"/>
    <w:rsid w:val="00A47972"/>
    <w:rsid w:val="00A50620"/>
    <w:rsid w:val="00A5306F"/>
    <w:rsid w:val="00A534FD"/>
    <w:rsid w:val="00A546DC"/>
    <w:rsid w:val="00A54E4E"/>
    <w:rsid w:val="00A563EB"/>
    <w:rsid w:val="00A577FC"/>
    <w:rsid w:val="00A607B2"/>
    <w:rsid w:val="00A62394"/>
    <w:rsid w:val="00A66022"/>
    <w:rsid w:val="00A679B4"/>
    <w:rsid w:val="00A71B22"/>
    <w:rsid w:val="00A71CFD"/>
    <w:rsid w:val="00A72ED4"/>
    <w:rsid w:val="00A72F5E"/>
    <w:rsid w:val="00A7484F"/>
    <w:rsid w:val="00A77DD9"/>
    <w:rsid w:val="00A825F0"/>
    <w:rsid w:val="00A82AA5"/>
    <w:rsid w:val="00A8349D"/>
    <w:rsid w:val="00A876B6"/>
    <w:rsid w:val="00A90EC8"/>
    <w:rsid w:val="00A9390D"/>
    <w:rsid w:val="00A95348"/>
    <w:rsid w:val="00A9618D"/>
    <w:rsid w:val="00AA014E"/>
    <w:rsid w:val="00AA17D1"/>
    <w:rsid w:val="00AA2D65"/>
    <w:rsid w:val="00AA4365"/>
    <w:rsid w:val="00AA7146"/>
    <w:rsid w:val="00AB0BE0"/>
    <w:rsid w:val="00AB2728"/>
    <w:rsid w:val="00AB38C7"/>
    <w:rsid w:val="00AB52BB"/>
    <w:rsid w:val="00AB58CE"/>
    <w:rsid w:val="00AC12D2"/>
    <w:rsid w:val="00AC15A9"/>
    <w:rsid w:val="00AC1E69"/>
    <w:rsid w:val="00AC378D"/>
    <w:rsid w:val="00AC3D07"/>
    <w:rsid w:val="00AC7E47"/>
    <w:rsid w:val="00AD35F8"/>
    <w:rsid w:val="00AD5D5A"/>
    <w:rsid w:val="00AD6BDA"/>
    <w:rsid w:val="00AD77D2"/>
    <w:rsid w:val="00AE11E4"/>
    <w:rsid w:val="00AE4DA0"/>
    <w:rsid w:val="00AE6BD1"/>
    <w:rsid w:val="00AE7F86"/>
    <w:rsid w:val="00AF0F1F"/>
    <w:rsid w:val="00AF268D"/>
    <w:rsid w:val="00AF3C60"/>
    <w:rsid w:val="00AF694E"/>
    <w:rsid w:val="00AF71CF"/>
    <w:rsid w:val="00AF72E2"/>
    <w:rsid w:val="00B008F4"/>
    <w:rsid w:val="00B01CB7"/>
    <w:rsid w:val="00B06211"/>
    <w:rsid w:val="00B06A89"/>
    <w:rsid w:val="00B12F1E"/>
    <w:rsid w:val="00B138D8"/>
    <w:rsid w:val="00B13CD8"/>
    <w:rsid w:val="00B14BE9"/>
    <w:rsid w:val="00B2393B"/>
    <w:rsid w:val="00B23ACA"/>
    <w:rsid w:val="00B263F8"/>
    <w:rsid w:val="00B267ED"/>
    <w:rsid w:val="00B271A0"/>
    <w:rsid w:val="00B31607"/>
    <w:rsid w:val="00B3299A"/>
    <w:rsid w:val="00B35C70"/>
    <w:rsid w:val="00B40187"/>
    <w:rsid w:val="00B43FC0"/>
    <w:rsid w:val="00B47FA8"/>
    <w:rsid w:val="00B50A26"/>
    <w:rsid w:val="00B529A1"/>
    <w:rsid w:val="00B52FA5"/>
    <w:rsid w:val="00B5584F"/>
    <w:rsid w:val="00B55F67"/>
    <w:rsid w:val="00B56B11"/>
    <w:rsid w:val="00B56B1C"/>
    <w:rsid w:val="00B6085F"/>
    <w:rsid w:val="00B61AD5"/>
    <w:rsid w:val="00B7584E"/>
    <w:rsid w:val="00B76C6F"/>
    <w:rsid w:val="00B81697"/>
    <w:rsid w:val="00B82238"/>
    <w:rsid w:val="00B82A51"/>
    <w:rsid w:val="00B85F9B"/>
    <w:rsid w:val="00B90D53"/>
    <w:rsid w:val="00B92EF0"/>
    <w:rsid w:val="00B92F9A"/>
    <w:rsid w:val="00B961D4"/>
    <w:rsid w:val="00B962EB"/>
    <w:rsid w:val="00B9758C"/>
    <w:rsid w:val="00B97CEA"/>
    <w:rsid w:val="00BA1498"/>
    <w:rsid w:val="00BA171D"/>
    <w:rsid w:val="00BA1B27"/>
    <w:rsid w:val="00BA3233"/>
    <w:rsid w:val="00BA587A"/>
    <w:rsid w:val="00BB02DE"/>
    <w:rsid w:val="00BB4153"/>
    <w:rsid w:val="00BB43E7"/>
    <w:rsid w:val="00BB6CB3"/>
    <w:rsid w:val="00BC22E1"/>
    <w:rsid w:val="00BC4E4B"/>
    <w:rsid w:val="00BC5CFA"/>
    <w:rsid w:val="00BD0E67"/>
    <w:rsid w:val="00BD4206"/>
    <w:rsid w:val="00BD70B4"/>
    <w:rsid w:val="00BD74FD"/>
    <w:rsid w:val="00BE0173"/>
    <w:rsid w:val="00BE37A4"/>
    <w:rsid w:val="00BE3CE9"/>
    <w:rsid w:val="00BE45DE"/>
    <w:rsid w:val="00BE4A79"/>
    <w:rsid w:val="00BF4596"/>
    <w:rsid w:val="00BF4F1F"/>
    <w:rsid w:val="00BF5B7C"/>
    <w:rsid w:val="00BF6802"/>
    <w:rsid w:val="00BF6908"/>
    <w:rsid w:val="00C013F1"/>
    <w:rsid w:val="00C03DCB"/>
    <w:rsid w:val="00C05456"/>
    <w:rsid w:val="00C076A9"/>
    <w:rsid w:val="00C11959"/>
    <w:rsid w:val="00C11DAA"/>
    <w:rsid w:val="00C14242"/>
    <w:rsid w:val="00C14D42"/>
    <w:rsid w:val="00C151FA"/>
    <w:rsid w:val="00C152B2"/>
    <w:rsid w:val="00C15423"/>
    <w:rsid w:val="00C15BBB"/>
    <w:rsid w:val="00C17392"/>
    <w:rsid w:val="00C17E41"/>
    <w:rsid w:val="00C20561"/>
    <w:rsid w:val="00C2117E"/>
    <w:rsid w:val="00C2181F"/>
    <w:rsid w:val="00C23076"/>
    <w:rsid w:val="00C27A54"/>
    <w:rsid w:val="00C27B30"/>
    <w:rsid w:val="00C31FC0"/>
    <w:rsid w:val="00C37CA0"/>
    <w:rsid w:val="00C37FF1"/>
    <w:rsid w:val="00C41BE3"/>
    <w:rsid w:val="00C45778"/>
    <w:rsid w:val="00C4704D"/>
    <w:rsid w:val="00C507CD"/>
    <w:rsid w:val="00C50841"/>
    <w:rsid w:val="00C64202"/>
    <w:rsid w:val="00C656E7"/>
    <w:rsid w:val="00C72447"/>
    <w:rsid w:val="00C741BA"/>
    <w:rsid w:val="00C745B2"/>
    <w:rsid w:val="00C75FFE"/>
    <w:rsid w:val="00C8257E"/>
    <w:rsid w:val="00C82AAF"/>
    <w:rsid w:val="00C84D5D"/>
    <w:rsid w:val="00C85EA4"/>
    <w:rsid w:val="00C87B2C"/>
    <w:rsid w:val="00C912FE"/>
    <w:rsid w:val="00C91ACF"/>
    <w:rsid w:val="00C94471"/>
    <w:rsid w:val="00C9512B"/>
    <w:rsid w:val="00CA1572"/>
    <w:rsid w:val="00CA1B6A"/>
    <w:rsid w:val="00CA282C"/>
    <w:rsid w:val="00CA474C"/>
    <w:rsid w:val="00CA6B87"/>
    <w:rsid w:val="00CB0E93"/>
    <w:rsid w:val="00CB2E97"/>
    <w:rsid w:val="00CC04E8"/>
    <w:rsid w:val="00CC0547"/>
    <w:rsid w:val="00CC2031"/>
    <w:rsid w:val="00CD1425"/>
    <w:rsid w:val="00CD6886"/>
    <w:rsid w:val="00CE3C3C"/>
    <w:rsid w:val="00CE3C63"/>
    <w:rsid w:val="00CE3FEE"/>
    <w:rsid w:val="00CE51C3"/>
    <w:rsid w:val="00CE6883"/>
    <w:rsid w:val="00CF3065"/>
    <w:rsid w:val="00CF4041"/>
    <w:rsid w:val="00CF4F69"/>
    <w:rsid w:val="00D00515"/>
    <w:rsid w:val="00D04555"/>
    <w:rsid w:val="00D147DC"/>
    <w:rsid w:val="00D14EE3"/>
    <w:rsid w:val="00D15589"/>
    <w:rsid w:val="00D15BAE"/>
    <w:rsid w:val="00D16DB2"/>
    <w:rsid w:val="00D201B5"/>
    <w:rsid w:val="00D22AE8"/>
    <w:rsid w:val="00D26238"/>
    <w:rsid w:val="00D268B2"/>
    <w:rsid w:val="00D27E29"/>
    <w:rsid w:val="00D34663"/>
    <w:rsid w:val="00D36D87"/>
    <w:rsid w:val="00D413F4"/>
    <w:rsid w:val="00D432AD"/>
    <w:rsid w:val="00D43999"/>
    <w:rsid w:val="00D446B8"/>
    <w:rsid w:val="00D4574B"/>
    <w:rsid w:val="00D47F0B"/>
    <w:rsid w:val="00D508EE"/>
    <w:rsid w:val="00D51069"/>
    <w:rsid w:val="00D559FB"/>
    <w:rsid w:val="00D57B84"/>
    <w:rsid w:val="00D6693D"/>
    <w:rsid w:val="00D67A05"/>
    <w:rsid w:val="00D70588"/>
    <w:rsid w:val="00D724B4"/>
    <w:rsid w:val="00D72BA9"/>
    <w:rsid w:val="00D73D19"/>
    <w:rsid w:val="00D75431"/>
    <w:rsid w:val="00D76064"/>
    <w:rsid w:val="00D77068"/>
    <w:rsid w:val="00D805E2"/>
    <w:rsid w:val="00D80AEE"/>
    <w:rsid w:val="00D8117C"/>
    <w:rsid w:val="00D824AE"/>
    <w:rsid w:val="00D85630"/>
    <w:rsid w:val="00D8769A"/>
    <w:rsid w:val="00D91EC5"/>
    <w:rsid w:val="00D93276"/>
    <w:rsid w:val="00D93FC9"/>
    <w:rsid w:val="00D9537D"/>
    <w:rsid w:val="00D953E9"/>
    <w:rsid w:val="00DA011D"/>
    <w:rsid w:val="00DA5E62"/>
    <w:rsid w:val="00DC1B22"/>
    <w:rsid w:val="00DC2CD2"/>
    <w:rsid w:val="00DC370B"/>
    <w:rsid w:val="00DC4FC0"/>
    <w:rsid w:val="00DC77BC"/>
    <w:rsid w:val="00DD09D3"/>
    <w:rsid w:val="00DD4612"/>
    <w:rsid w:val="00DD52CC"/>
    <w:rsid w:val="00DE0518"/>
    <w:rsid w:val="00DE1651"/>
    <w:rsid w:val="00DE308B"/>
    <w:rsid w:val="00DE3898"/>
    <w:rsid w:val="00DE69EA"/>
    <w:rsid w:val="00DF0A1D"/>
    <w:rsid w:val="00DF0E3F"/>
    <w:rsid w:val="00DF47F0"/>
    <w:rsid w:val="00DF5DFA"/>
    <w:rsid w:val="00E00085"/>
    <w:rsid w:val="00E01542"/>
    <w:rsid w:val="00E01B4B"/>
    <w:rsid w:val="00E032A3"/>
    <w:rsid w:val="00E05380"/>
    <w:rsid w:val="00E05C80"/>
    <w:rsid w:val="00E077FE"/>
    <w:rsid w:val="00E13667"/>
    <w:rsid w:val="00E14F18"/>
    <w:rsid w:val="00E161A7"/>
    <w:rsid w:val="00E20237"/>
    <w:rsid w:val="00E20D6A"/>
    <w:rsid w:val="00E239EF"/>
    <w:rsid w:val="00E23F18"/>
    <w:rsid w:val="00E315D5"/>
    <w:rsid w:val="00E31816"/>
    <w:rsid w:val="00E31DEC"/>
    <w:rsid w:val="00E3333C"/>
    <w:rsid w:val="00E34F57"/>
    <w:rsid w:val="00E37A7A"/>
    <w:rsid w:val="00E40E92"/>
    <w:rsid w:val="00E410D6"/>
    <w:rsid w:val="00E4191C"/>
    <w:rsid w:val="00E4285F"/>
    <w:rsid w:val="00E43C51"/>
    <w:rsid w:val="00E44317"/>
    <w:rsid w:val="00E472BE"/>
    <w:rsid w:val="00E47630"/>
    <w:rsid w:val="00E55657"/>
    <w:rsid w:val="00E55B25"/>
    <w:rsid w:val="00E55B3B"/>
    <w:rsid w:val="00E55E4B"/>
    <w:rsid w:val="00E55E91"/>
    <w:rsid w:val="00E56056"/>
    <w:rsid w:val="00E57301"/>
    <w:rsid w:val="00E61ECC"/>
    <w:rsid w:val="00E65A45"/>
    <w:rsid w:val="00E717DF"/>
    <w:rsid w:val="00E758CF"/>
    <w:rsid w:val="00E8078E"/>
    <w:rsid w:val="00E83011"/>
    <w:rsid w:val="00E86184"/>
    <w:rsid w:val="00E9256D"/>
    <w:rsid w:val="00E9317D"/>
    <w:rsid w:val="00E93875"/>
    <w:rsid w:val="00E95EBF"/>
    <w:rsid w:val="00EA16E0"/>
    <w:rsid w:val="00EA7525"/>
    <w:rsid w:val="00EB0840"/>
    <w:rsid w:val="00EB3ED7"/>
    <w:rsid w:val="00EB64F0"/>
    <w:rsid w:val="00EB6D2A"/>
    <w:rsid w:val="00EB7031"/>
    <w:rsid w:val="00EC0086"/>
    <w:rsid w:val="00EC0891"/>
    <w:rsid w:val="00EC24FD"/>
    <w:rsid w:val="00EC31A7"/>
    <w:rsid w:val="00EC3661"/>
    <w:rsid w:val="00EC525B"/>
    <w:rsid w:val="00EC55C9"/>
    <w:rsid w:val="00EC56BB"/>
    <w:rsid w:val="00EC5C6F"/>
    <w:rsid w:val="00EC6E91"/>
    <w:rsid w:val="00EC7E9D"/>
    <w:rsid w:val="00ED0498"/>
    <w:rsid w:val="00ED07E8"/>
    <w:rsid w:val="00ED10CD"/>
    <w:rsid w:val="00ED161C"/>
    <w:rsid w:val="00ED22B7"/>
    <w:rsid w:val="00ED2F23"/>
    <w:rsid w:val="00ED6391"/>
    <w:rsid w:val="00EE1B6D"/>
    <w:rsid w:val="00EE1F78"/>
    <w:rsid w:val="00EE3A14"/>
    <w:rsid w:val="00EE51DB"/>
    <w:rsid w:val="00EE5C4C"/>
    <w:rsid w:val="00EF1C96"/>
    <w:rsid w:val="00EF448B"/>
    <w:rsid w:val="00EF44CA"/>
    <w:rsid w:val="00EF4C20"/>
    <w:rsid w:val="00F013D1"/>
    <w:rsid w:val="00F05C7A"/>
    <w:rsid w:val="00F06238"/>
    <w:rsid w:val="00F12720"/>
    <w:rsid w:val="00F13DC0"/>
    <w:rsid w:val="00F14485"/>
    <w:rsid w:val="00F14D18"/>
    <w:rsid w:val="00F15611"/>
    <w:rsid w:val="00F16F02"/>
    <w:rsid w:val="00F17144"/>
    <w:rsid w:val="00F1743D"/>
    <w:rsid w:val="00F208C6"/>
    <w:rsid w:val="00F24DC7"/>
    <w:rsid w:val="00F25771"/>
    <w:rsid w:val="00F266B3"/>
    <w:rsid w:val="00F26A60"/>
    <w:rsid w:val="00F31385"/>
    <w:rsid w:val="00F35CB2"/>
    <w:rsid w:val="00F37DD3"/>
    <w:rsid w:val="00F414CD"/>
    <w:rsid w:val="00F43BBB"/>
    <w:rsid w:val="00F465B6"/>
    <w:rsid w:val="00F51757"/>
    <w:rsid w:val="00F51DD0"/>
    <w:rsid w:val="00F5262C"/>
    <w:rsid w:val="00F54CA6"/>
    <w:rsid w:val="00F56089"/>
    <w:rsid w:val="00F60BFC"/>
    <w:rsid w:val="00F6197D"/>
    <w:rsid w:val="00F64CB9"/>
    <w:rsid w:val="00F6509A"/>
    <w:rsid w:val="00F67181"/>
    <w:rsid w:val="00F67274"/>
    <w:rsid w:val="00F76F20"/>
    <w:rsid w:val="00F76FFE"/>
    <w:rsid w:val="00F77628"/>
    <w:rsid w:val="00F838DD"/>
    <w:rsid w:val="00F85CDB"/>
    <w:rsid w:val="00F90589"/>
    <w:rsid w:val="00F90CE4"/>
    <w:rsid w:val="00F94184"/>
    <w:rsid w:val="00F95C7D"/>
    <w:rsid w:val="00F97694"/>
    <w:rsid w:val="00FA136F"/>
    <w:rsid w:val="00FA4970"/>
    <w:rsid w:val="00FB1439"/>
    <w:rsid w:val="00FB1A70"/>
    <w:rsid w:val="00FB21CB"/>
    <w:rsid w:val="00FB2381"/>
    <w:rsid w:val="00FB3B70"/>
    <w:rsid w:val="00FB648D"/>
    <w:rsid w:val="00FC2CC4"/>
    <w:rsid w:val="00FC3760"/>
    <w:rsid w:val="00FC6159"/>
    <w:rsid w:val="00FC77B6"/>
    <w:rsid w:val="00FD061C"/>
    <w:rsid w:val="00FD1189"/>
    <w:rsid w:val="00FD1409"/>
    <w:rsid w:val="00FD48FF"/>
    <w:rsid w:val="00FD68FD"/>
    <w:rsid w:val="00FE0928"/>
    <w:rsid w:val="00FE09E3"/>
    <w:rsid w:val="00FE3A4E"/>
    <w:rsid w:val="00FE5556"/>
    <w:rsid w:val="00FE6103"/>
    <w:rsid w:val="00FF16C8"/>
    <w:rsid w:val="00FF489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2A48F1"/>
  <w15:docId w15:val="{7DCB1615-E2E0-425A-ACFB-EDF1D253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5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815"/>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7A38C9"/>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rsid w:val="00F266B3"/>
    <w:rPr>
      <w:snapToGrid w:val="0"/>
      <w:sz w:val="22"/>
      <w:szCs w:val="18"/>
      <w:lang w:val="en-GB"/>
    </w:rPr>
  </w:style>
  <w:style w:type="paragraph" w:customStyle="1" w:styleId="Caption1">
    <w:name w:val="Caption1"/>
    <w:basedOn w:val="Normal"/>
    <w:next w:val="Normal"/>
    <w:uiPriority w:val="35"/>
    <w:unhideWhenUsed/>
    <w:qFormat/>
    <w:rsid w:val="00EE5C4C"/>
    <w:pPr>
      <w:pBdr>
        <w:top w:val="nil"/>
        <w:left w:val="nil"/>
        <w:bottom w:val="nil"/>
        <w:right w:val="nil"/>
        <w:between w:val="nil"/>
        <w:bar w:val="nil"/>
      </w:pBdr>
      <w:spacing w:after="200"/>
    </w:pPr>
    <w:rPr>
      <w:rFonts w:eastAsia="Arial Unicode MS" w:hAnsi="Arial Unicode MS" w:cs="Arial Unicode MS"/>
      <w:b/>
      <w:bCs/>
      <w:color w:val="4472C4"/>
      <w:sz w:val="18"/>
      <w:szCs w:val="18"/>
      <w:u w:color="000000"/>
      <w:bdr w:val="nil"/>
      <w:lang w:val="en-US"/>
    </w:rPr>
  </w:style>
  <w:style w:type="paragraph" w:styleId="Caption">
    <w:name w:val="caption"/>
    <w:basedOn w:val="Normal"/>
    <w:next w:val="Normal"/>
    <w:link w:val="CaptionChar"/>
    <w:uiPriority w:val="35"/>
    <w:unhideWhenUsed/>
    <w:qFormat/>
    <w:rsid w:val="003E402F"/>
    <w:pPr>
      <w:pBdr>
        <w:top w:val="nil"/>
        <w:left w:val="nil"/>
        <w:bottom w:val="nil"/>
        <w:right w:val="nil"/>
        <w:between w:val="nil"/>
        <w:bar w:val="nil"/>
      </w:pBdr>
      <w:spacing w:after="200"/>
      <w:jc w:val="center"/>
    </w:pPr>
    <w:rPr>
      <w:rFonts w:eastAsia="Arial Unicode MS" w:hAnsi="Arial Unicode MS" w:cs="Arial Unicode MS"/>
      <w:b/>
      <w:bCs/>
      <w:szCs w:val="18"/>
      <w:u w:color="000000"/>
      <w:bdr w:val="nil"/>
      <w:lang w:val="en-US"/>
    </w:rPr>
  </w:style>
  <w:style w:type="character" w:customStyle="1" w:styleId="CaptionChar">
    <w:name w:val="Caption Char"/>
    <w:basedOn w:val="DefaultParagraphFont"/>
    <w:link w:val="Caption"/>
    <w:uiPriority w:val="35"/>
    <w:rsid w:val="003E402F"/>
    <w:rPr>
      <w:rFonts w:eastAsia="Arial Unicode MS" w:hAnsi="Arial Unicode MS" w:cs="Arial Unicode MS"/>
      <w:b/>
      <w:bCs/>
      <w:sz w:val="22"/>
      <w:szCs w:val="18"/>
      <w:u w:color="000000"/>
      <w:bdr w:val="nil"/>
      <w:lang w:val="en-US"/>
    </w:rPr>
  </w:style>
  <w:style w:type="character" w:customStyle="1" w:styleId="UnresolvedMention1">
    <w:name w:val="Unresolved Mention1"/>
    <w:basedOn w:val="DefaultParagraphFont"/>
    <w:uiPriority w:val="99"/>
    <w:semiHidden/>
    <w:unhideWhenUsed/>
    <w:rsid w:val="007A38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13189">
      <w:bodyDiv w:val="1"/>
      <w:marLeft w:val="0"/>
      <w:marRight w:val="0"/>
      <w:marTop w:val="0"/>
      <w:marBottom w:val="0"/>
      <w:divBdr>
        <w:top w:val="none" w:sz="0" w:space="0" w:color="auto"/>
        <w:left w:val="none" w:sz="0" w:space="0" w:color="auto"/>
        <w:bottom w:val="none" w:sz="0" w:space="0" w:color="auto"/>
        <w:right w:val="none" w:sz="0" w:space="0" w:color="auto"/>
      </w:divBdr>
    </w:div>
    <w:div w:id="615872095">
      <w:bodyDiv w:val="1"/>
      <w:marLeft w:val="0"/>
      <w:marRight w:val="0"/>
      <w:marTop w:val="0"/>
      <w:marBottom w:val="0"/>
      <w:divBdr>
        <w:top w:val="none" w:sz="0" w:space="0" w:color="auto"/>
        <w:left w:val="none" w:sz="0" w:space="0" w:color="auto"/>
        <w:bottom w:val="none" w:sz="0" w:space="0" w:color="auto"/>
        <w:right w:val="none" w:sz="0" w:space="0" w:color="auto"/>
      </w:divBdr>
    </w:div>
    <w:div w:id="653487422">
      <w:bodyDiv w:val="1"/>
      <w:marLeft w:val="0"/>
      <w:marRight w:val="0"/>
      <w:marTop w:val="0"/>
      <w:marBottom w:val="0"/>
      <w:divBdr>
        <w:top w:val="none" w:sz="0" w:space="0" w:color="auto"/>
        <w:left w:val="none" w:sz="0" w:space="0" w:color="auto"/>
        <w:bottom w:val="none" w:sz="0" w:space="0" w:color="auto"/>
        <w:right w:val="none" w:sz="0" w:space="0" w:color="auto"/>
      </w:divBdr>
    </w:div>
    <w:div w:id="984435324">
      <w:bodyDiv w:val="1"/>
      <w:marLeft w:val="0"/>
      <w:marRight w:val="0"/>
      <w:marTop w:val="0"/>
      <w:marBottom w:val="0"/>
      <w:divBdr>
        <w:top w:val="none" w:sz="0" w:space="0" w:color="auto"/>
        <w:left w:val="none" w:sz="0" w:space="0" w:color="auto"/>
        <w:bottom w:val="none" w:sz="0" w:space="0" w:color="auto"/>
        <w:right w:val="none" w:sz="0" w:space="0" w:color="auto"/>
      </w:divBdr>
    </w:div>
    <w:div w:id="1366979514">
      <w:bodyDiv w:val="1"/>
      <w:marLeft w:val="0"/>
      <w:marRight w:val="0"/>
      <w:marTop w:val="0"/>
      <w:marBottom w:val="0"/>
      <w:divBdr>
        <w:top w:val="none" w:sz="0" w:space="0" w:color="auto"/>
        <w:left w:val="none" w:sz="0" w:space="0" w:color="auto"/>
        <w:bottom w:val="none" w:sz="0" w:space="0" w:color="auto"/>
        <w:right w:val="none" w:sz="0" w:space="0" w:color="auto"/>
      </w:divBdr>
    </w:div>
    <w:div w:id="1484857417">
      <w:bodyDiv w:val="1"/>
      <w:marLeft w:val="0"/>
      <w:marRight w:val="0"/>
      <w:marTop w:val="0"/>
      <w:marBottom w:val="0"/>
      <w:divBdr>
        <w:top w:val="none" w:sz="0" w:space="0" w:color="auto"/>
        <w:left w:val="none" w:sz="0" w:space="0" w:color="auto"/>
        <w:bottom w:val="none" w:sz="0" w:space="0" w:color="auto"/>
        <w:right w:val="none" w:sz="0" w:space="0" w:color="auto"/>
      </w:divBdr>
    </w:div>
    <w:div w:id="1618828028">
      <w:bodyDiv w:val="1"/>
      <w:marLeft w:val="0"/>
      <w:marRight w:val="0"/>
      <w:marTop w:val="0"/>
      <w:marBottom w:val="0"/>
      <w:divBdr>
        <w:top w:val="none" w:sz="0" w:space="0" w:color="auto"/>
        <w:left w:val="none" w:sz="0" w:space="0" w:color="auto"/>
        <w:bottom w:val="none" w:sz="0" w:space="0" w:color="auto"/>
        <w:right w:val="none" w:sz="0" w:space="0" w:color="auto"/>
      </w:divBdr>
    </w:div>
    <w:div w:id="2143645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bsch.cbd.int/repor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np-mop-01/np-mop-01-dec-03-en.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2/np-mop-02-dec-04-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abs/submissions/assessment/naturaljustice-abs-initiative-en.pdf" TargetMode="External"/><Relationship Id="rId3" Type="http://schemas.openxmlformats.org/officeDocument/2006/relationships/hyperlink" Target="http://www.wipo.int/edocs/mdocs/tk/en/wipo_grtkf_ic_36/wipo_grtkf_ic_36_6.pdf" TargetMode="External"/><Relationship Id="rId7" Type="http://schemas.openxmlformats.org/officeDocument/2006/relationships/hyperlink" Target="http://www.wipo.int/tk/en/resources/tkdocumentation.html" TargetMode="External"/><Relationship Id="rId2" Type="http://schemas.openxmlformats.org/officeDocument/2006/relationships/hyperlink" Target="http://www.wipo.int/edocs/mdocs/tk/en/wipo_grtkf_ic_36/wipo_grtkf_ic_36_5.pdf" TargetMode="External"/><Relationship Id="rId1" Type="http://schemas.openxmlformats.org/officeDocument/2006/relationships/hyperlink" Target="http://www.wipo.int/export/sites/www/tk/en/igc/pdf/igc_mandate_2018-2019.pdf" TargetMode="External"/><Relationship Id="rId6" Type="http://schemas.openxmlformats.org/officeDocument/2006/relationships/hyperlink" Target="http://www.wipo.int/tk/en/resources/db_registry.html" TargetMode="External"/><Relationship Id="rId5" Type="http://schemas.openxmlformats.org/officeDocument/2006/relationships/hyperlink" Target="http://www.wipo.int/meetings/en/doc_details.jsp?doc_id=147152" TargetMode="External"/><Relationship Id="rId4" Type="http://schemas.openxmlformats.org/officeDocument/2006/relationships/hyperlink" Target="http://www.wipo.int/edocs/mdocs/tk/en/wipo_grtkf_ic_34/wipo_grtkf_ic_34_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164F98"/>
    <w:rsid w:val="001B29AF"/>
    <w:rsid w:val="00242A65"/>
    <w:rsid w:val="002714A5"/>
    <w:rsid w:val="002B2DCF"/>
    <w:rsid w:val="002D2DAB"/>
    <w:rsid w:val="0037757D"/>
    <w:rsid w:val="00414C18"/>
    <w:rsid w:val="004A69EC"/>
    <w:rsid w:val="00572591"/>
    <w:rsid w:val="005F3088"/>
    <w:rsid w:val="0063092E"/>
    <w:rsid w:val="00676031"/>
    <w:rsid w:val="00694FD1"/>
    <w:rsid w:val="006E4E33"/>
    <w:rsid w:val="00723AD7"/>
    <w:rsid w:val="007C2937"/>
    <w:rsid w:val="007C7510"/>
    <w:rsid w:val="007E501A"/>
    <w:rsid w:val="00804420"/>
    <w:rsid w:val="00807171"/>
    <w:rsid w:val="0083264A"/>
    <w:rsid w:val="00856BCB"/>
    <w:rsid w:val="00947C79"/>
    <w:rsid w:val="009B035F"/>
    <w:rsid w:val="009B6214"/>
    <w:rsid w:val="00A06856"/>
    <w:rsid w:val="00A27574"/>
    <w:rsid w:val="00A35D1A"/>
    <w:rsid w:val="00AF752E"/>
    <w:rsid w:val="00B36C7B"/>
    <w:rsid w:val="00B54DDF"/>
    <w:rsid w:val="00B97C66"/>
    <w:rsid w:val="00BA6C9E"/>
    <w:rsid w:val="00BB2CFE"/>
    <w:rsid w:val="00CC0085"/>
    <w:rsid w:val="00D5481D"/>
    <w:rsid w:val="00DF3025"/>
    <w:rsid w:val="00EC17B5"/>
    <w:rsid w:val="00EC1D3F"/>
    <w:rsid w:val="00EF609D"/>
    <w:rsid w:val="00F51D8B"/>
    <w:rsid w:val="00F701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9AE3-3714-4C06-A4CD-154277A7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TotalTime>
  <Pages>37</Pages>
  <Words>16651</Words>
  <Characters>94914</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Assessment and review of the effectiveness of the Nagoya Protocol</vt:lpstr>
    </vt:vector>
  </TitlesOfParts>
  <Company>Biodiversity</Company>
  <LinksUpToDate>false</LinksUpToDate>
  <CharactersWithSpaces>111343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of the effectiveness of the Nagoya Protocol</dc:title>
  <dc:subject>CBD/SBI/2/3</dc:subject>
  <dc:creator>SCBD</dc:creator>
  <cp:lastModifiedBy>veronique lefebvre</cp:lastModifiedBy>
  <cp:revision>13</cp:revision>
  <cp:lastPrinted>2018-05-24T20:33:00Z</cp:lastPrinted>
  <dcterms:created xsi:type="dcterms:W3CDTF">2018-06-03T15:53:00Z</dcterms:created>
  <dcterms:modified xsi:type="dcterms:W3CDTF">2018-06-04T19:38:00Z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