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356FC1" w:rsidTr="00B5513E">
        <w:trPr>
          <w:trHeight w:val="709"/>
        </w:trPr>
        <w:tc>
          <w:tcPr>
            <w:tcW w:w="976" w:type="dxa"/>
            <w:tcBorders>
              <w:bottom w:val="single" w:sz="12" w:space="0" w:color="auto"/>
            </w:tcBorders>
          </w:tcPr>
          <w:p w:rsidR="00C9161D" w:rsidRPr="0066015A" w:rsidRDefault="00C9161D" w:rsidP="0066015A">
            <w:pPr>
              <w:suppressLineNumbers/>
              <w:suppressAutoHyphens/>
              <w:kinsoku w:val="0"/>
              <w:overflowPunct w:val="0"/>
              <w:autoSpaceDE w:val="0"/>
              <w:autoSpaceDN w:val="0"/>
              <w:rPr>
                <w:snapToGrid w:val="0"/>
                <w:kern w:val="22"/>
              </w:rPr>
            </w:pPr>
            <w:bookmarkStart w:id="0" w:name="_Hlk505247837"/>
            <w:r w:rsidRPr="0066015A">
              <w:rPr>
                <w:noProof/>
                <w:snapToGrid w:val="0"/>
                <w:kern w:val="22"/>
                <w:lang w:eastAsia="zh-CN"/>
              </w:rPr>
              <w:drawing>
                <wp:inline distT="0" distB="0" distL="0" distR="0" wp14:anchorId="4235AAE3" wp14:editId="1FE98D0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66015A" w:rsidRDefault="00C9161D" w:rsidP="0066015A">
            <w:pPr>
              <w:suppressLineNumbers/>
              <w:suppressAutoHyphens/>
              <w:kinsoku w:val="0"/>
              <w:overflowPunct w:val="0"/>
              <w:autoSpaceDE w:val="0"/>
              <w:autoSpaceDN w:val="0"/>
              <w:rPr>
                <w:snapToGrid w:val="0"/>
                <w:kern w:val="22"/>
              </w:rPr>
            </w:pPr>
            <w:r w:rsidRPr="0066015A">
              <w:rPr>
                <w:noProof/>
                <w:snapToGrid w:val="0"/>
                <w:kern w:val="22"/>
                <w:lang w:eastAsia="zh-CN"/>
              </w:rPr>
              <w:drawing>
                <wp:inline distT="0" distB="0" distL="0" distR="0" wp14:anchorId="5DD4FA3F" wp14:editId="4E912A8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66015A" w:rsidRDefault="00C9161D" w:rsidP="0066015A">
            <w:pPr>
              <w:suppressLineNumbers/>
              <w:suppressAutoHyphens/>
              <w:kinsoku w:val="0"/>
              <w:overflowPunct w:val="0"/>
              <w:autoSpaceDE w:val="0"/>
              <w:autoSpaceDN w:val="0"/>
              <w:jc w:val="right"/>
              <w:rPr>
                <w:rFonts w:ascii="Arial" w:hAnsi="Arial" w:cs="Arial"/>
                <w:b/>
                <w:snapToGrid w:val="0"/>
                <w:kern w:val="22"/>
                <w:sz w:val="32"/>
                <w:szCs w:val="32"/>
              </w:rPr>
            </w:pPr>
            <w:r w:rsidRPr="0066015A">
              <w:rPr>
                <w:rFonts w:ascii="Arial" w:hAnsi="Arial" w:cs="Arial"/>
                <w:b/>
                <w:snapToGrid w:val="0"/>
                <w:kern w:val="22"/>
                <w:sz w:val="32"/>
                <w:szCs w:val="32"/>
              </w:rPr>
              <w:t>CBD</w:t>
            </w:r>
          </w:p>
        </w:tc>
      </w:tr>
      <w:bookmarkEnd w:id="0"/>
      <w:tr w:rsidR="00C9161D" w:rsidRPr="00356FC1" w:rsidTr="00B5513E">
        <w:tc>
          <w:tcPr>
            <w:tcW w:w="6117" w:type="dxa"/>
            <w:gridSpan w:val="2"/>
            <w:tcBorders>
              <w:top w:val="single" w:sz="12" w:space="0" w:color="auto"/>
              <w:bottom w:val="single" w:sz="36" w:space="0" w:color="auto"/>
            </w:tcBorders>
            <w:vAlign w:val="center"/>
          </w:tcPr>
          <w:p w:rsidR="00C9161D" w:rsidRPr="0066015A" w:rsidRDefault="00C9161D" w:rsidP="0066015A">
            <w:pPr>
              <w:suppressLineNumbers/>
              <w:suppressAutoHyphens/>
              <w:kinsoku w:val="0"/>
              <w:overflowPunct w:val="0"/>
              <w:autoSpaceDE w:val="0"/>
              <w:autoSpaceDN w:val="0"/>
              <w:rPr>
                <w:snapToGrid w:val="0"/>
                <w:kern w:val="22"/>
              </w:rPr>
            </w:pPr>
            <w:r w:rsidRPr="0066015A">
              <w:rPr>
                <w:noProof/>
                <w:snapToGrid w:val="0"/>
                <w:kern w:val="22"/>
                <w:lang w:eastAsia="zh-CN"/>
              </w:rPr>
              <w:drawing>
                <wp:inline distT="0" distB="0" distL="0" distR="0" wp14:anchorId="3218C573" wp14:editId="7B5B88C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66015A" w:rsidRDefault="00C9161D" w:rsidP="0066015A">
            <w:pPr>
              <w:suppressLineNumbers/>
              <w:suppressAutoHyphens/>
              <w:kinsoku w:val="0"/>
              <w:overflowPunct w:val="0"/>
              <w:autoSpaceDE w:val="0"/>
              <w:autoSpaceDN w:val="0"/>
              <w:ind w:left="1215"/>
              <w:rPr>
                <w:snapToGrid w:val="0"/>
                <w:kern w:val="22"/>
                <w:szCs w:val="22"/>
              </w:rPr>
            </w:pPr>
            <w:r w:rsidRPr="0066015A">
              <w:rPr>
                <w:snapToGrid w:val="0"/>
                <w:kern w:val="22"/>
                <w:szCs w:val="22"/>
              </w:rPr>
              <w:t>Distr.</w:t>
            </w:r>
          </w:p>
          <w:p w:rsidR="00C9161D" w:rsidRPr="0066015A" w:rsidRDefault="0066015A" w:rsidP="0066015A">
            <w:pPr>
              <w:suppressLineNumbers/>
              <w:suppressAutoHyphens/>
              <w:kinsoku w:val="0"/>
              <w:overflowPunct w:val="0"/>
              <w:autoSpaceDE w:val="0"/>
              <w:autoSpaceDN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66015A">
                  <w:rPr>
                    <w:caps/>
                    <w:snapToGrid w:val="0"/>
                    <w:kern w:val="22"/>
                    <w:szCs w:val="22"/>
                  </w:rPr>
                  <w:t>GENERAL</w:t>
                </w:r>
              </w:sdtContent>
            </w:sdt>
          </w:p>
          <w:p w:rsidR="00C9161D" w:rsidRPr="0066015A" w:rsidRDefault="00C9161D" w:rsidP="0066015A">
            <w:pPr>
              <w:suppressLineNumbers/>
              <w:suppressAutoHyphens/>
              <w:kinsoku w:val="0"/>
              <w:overflowPunct w:val="0"/>
              <w:autoSpaceDE w:val="0"/>
              <w:autoSpaceDN w:val="0"/>
              <w:ind w:left="1215"/>
              <w:rPr>
                <w:snapToGrid w:val="0"/>
                <w:kern w:val="22"/>
                <w:szCs w:val="22"/>
              </w:rPr>
            </w:pPr>
          </w:p>
          <w:p w:rsidR="00C9161D" w:rsidRPr="0066015A" w:rsidRDefault="0066015A" w:rsidP="0066015A">
            <w:pPr>
              <w:suppressLineNumbers/>
              <w:suppressAutoHyphens/>
              <w:kinsoku w:val="0"/>
              <w:overflowPunct w:val="0"/>
              <w:autoSpaceDE w:val="0"/>
              <w:autoSpaceDN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5513E" w:rsidRPr="0066015A">
                  <w:rPr>
                    <w:snapToGrid w:val="0"/>
                    <w:kern w:val="22"/>
                  </w:rPr>
                  <w:t>CBD/NP/CC/2/2</w:t>
                </w:r>
              </w:sdtContent>
            </w:sdt>
          </w:p>
          <w:p w:rsidR="00C9161D" w:rsidRPr="0066015A" w:rsidRDefault="0066015A" w:rsidP="0066015A">
            <w:pPr>
              <w:suppressLineNumbers/>
              <w:suppressAutoHyphens/>
              <w:kinsoku w:val="0"/>
              <w:overflowPunct w:val="0"/>
              <w:autoSpaceDE w:val="0"/>
              <w:autoSpaceDN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3-20T00:00:00Z">
                  <w:dateFormat w:val="d MMMM yyyy"/>
                  <w:lid w:val="en-US"/>
                  <w:storeMappedDataAs w:val="dateTime"/>
                  <w:calendar w:val="gregorian"/>
                </w:date>
              </w:sdtPr>
              <w:sdtEndPr/>
              <w:sdtContent>
                <w:r w:rsidR="005901DC" w:rsidRPr="0066015A">
                  <w:rPr>
                    <w:snapToGrid w:val="0"/>
                    <w:kern w:val="22"/>
                    <w:szCs w:val="22"/>
                  </w:rPr>
                  <w:t>20</w:t>
                </w:r>
                <w:r w:rsidR="007E09DA" w:rsidRPr="0066015A">
                  <w:rPr>
                    <w:snapToGrid w:val="0"/>
                    <w:kern w:val="22"/>
                    <w:szCs w:val="22"/>
                  </w:rPr>
                  <w:t xml:space="preserve"> </w:t>
                </w:r>
                <w:r w:rsidR="005901DC" w:rsidRPr="0066015A">
                  <w:rPr>
                    <w:snapToGrid w:val="0"/>
                    <w:kern w:val="22"/>
                    <w:szCs w:val="22"/>
                  </w:rPr>
                  <w:t>March</w:t>
                </w:r>
                <w:r w:rsidR="00660370" w:rsidRPr="0066015A">
                  <w:rPr>
                    <w:snapToGrid w:val="0"/>
                    <w:kern w:val="22"/>
                    <w:szCs w:val="22"/>
                  </w:rPr>
                  <w:t xml:space="preserve"> 2018</w:t>
                </w:r>
              </w:sdtContent>
            </w:sdt>
          </w:p>
          <w:p w:rsidR="00C9161D" w:rsidRPr="0066015A" w:rsidRDefault="00C9161D" w:rsidP="0066015A">
            <w:pPr>
              <w:suppressLineNumbers/>
              <w:suppressAutoHyphens/>
              <w:kinsoku w:val="0"/>
              <w:overflowPunct w:val="0"/>
              <w:autoSpaceDE w:val="0"/>
              <w:autoSpaceDN w:val="0"/>
              <w:ind w:left="1215"/>
              <w:rPr>
                <w:snapToGrid w:val="0"/>
                <w:kern w:val="22"/>
                <w:szCs w:val="22"/>
              </w:rPr>
            </w:pPr>
          </w:p>
          <w:p w:rsidR="00C9161D" w:rsidRPr="0066015A" w:rsidRDefault="00C9161D" w:rsidP="0066015A">
            <w:pPr>
              <w:suppressLineNumbers/>
              <w:suppressAutoHyphens/>
              <w:kinsoku w:val="0"/>
              <w:overflowPunct w:val="0"/>
              <w:autoSpaceDE w:val="0"/>
              <w:autoSpaceDN w:val="0"/>
              <w:ind w:left="1215"/>
              <w:rPr>
                <w:snapToGrid w:val="0"/>
                <w:kern w:val="22"/>
                <w:szCs w:val="22"/>
              </w:rPr>
            </w:pPr>
            <w:r w:rsidRPr="0066015A">
              <w:rPr>
                <w:snapToGrid w:val="0"/>
                <w:kern w:val="22"/>
                <w:szCs w:val="22"/>
              </w:rPr>
              <w:t>ENGLISH</w:t>
            </w:r>
            <w:r w:rsidR="00172AF6" w:rsidRPr="0066015A">
              <w:rPr>
                <w:snapToGrid w:val="0"/>
                <w:kern w:val="22"/>
                <w:szCs w:val="22"/>
              </w:rPr>
              <w:t xml:space="preserve"> ONLY</w:t>
            </w:r>
          </w:p>
          <w:p w:rsidR="00C9161D" w:rsidRPr="0066015A" w:rsidRDefault="00C9161D" w:rsidP="0066015A">
            <w:pPr>
              <w:suppressLineNumbers/>
              <w:suppressAutoHyphens/>
              <w:kinsoku w:val="0"/>
              <w:overflowPunct w:val="0"/>
              <w:autoSpaceDE w:val="0"/>
              <w:autoSpaceDN w:val="0"/>
              <w:rPr>
                <w:snapToGrid w:val="0"/>
                <w:kern w:val="22"/>
              </w:rPr>
            </w:pPr>
          </w:p>
        </w:tc>
      </w:tr>
    </w:tbl>
    <w:p w:rsidR="00B5513E" w:rsidRPr="0066015A" w:rsidRDefault="00B5513E" w:rsidP="0066015A">
      <w:pPr>
        <w:pStyle w:val="Cornernotation"/>
        <w:suppressLineNumbers/>
        <w:suppressAutoHyphens/>
        <w:kinsoku w:val="0"/>
        <w:overflowPunct w:val="0"/>
        <w:autoSpaceDE w:val="0"/>
        <w:autoSpaceDN w:val="0"/>
        <w:ind w:left="284" w:right="3973" w:hanging="284"/>
        <w:rPr>
          <w:snapToGrid w:val="0"/>
          <w:kern w:val="22"/>
          <w:szCs w:val="22"/>
        </w:rPr>
      </w:pPr>
      <w:r w:rsidRPr="0066015A">
        <w:rPr>
          <w:snapToGrid w:val="0"/>
          <w:kern w:val="22"/>
          <w:szCs w:val="22"/>
        </w:rPr>
        <w:t xml:space="preserve">COMPLIANCE COMMITTEE UNDER THE </w:t>
      </w:r>
    </w:p>
    <w:p w:rsidR="00B5513E" w:rsidRPr="0066015A" w:rsidRDefault="00B5513E" w:rsidP="0066015A">
      <w:pPr>
        <w:pStyle w:val="Cornernotation"/>
        <w:suppressLineNumbers/>
        <w:suppressAutoHyphens/>
        <w:kinsoku w:val="0"/>
        <w:overflowPunct w:val="0"/>
        <w:autoSpaceDE w:val="0"/>
        <w:autoSpaceDN w:val="0"/>
        <w:ind w:left="284" w:right="3973" w:firstLine="0"/>
        <w:rPr>
          <w:snapToGrid w:val="0"/>
          <w:kern w:val="22"/>
          <w:szCs w:val="22"/>
        </w:rPr>
      </w:pPr>
      <w:r w:rsidRPr="0066015A">
        <w:rPr>
          <w:snapToGrid w:val="0"/>
          <w:kern w:val="22"/>
          <w:szCs w:val="22"/>
        </w:rPr>
        <w:t>NAGOYA PROTOCOL</w:t>
      </w:r>
    </w:p>
    <w:p w:rsidR="00B5513E" w:rsidRPr="0066015A" w:rsidRDefault="00B5513E" w:rsidP="0066015A">
      <w:pPr>
        <w:pStyle w:val="Cornernotation"/>
        <w:suppressLineNumbers/>
        <w:suppressAutoHyphens/>
        <w:kinsoku w:val="0"/>
        <w:overflowPunct w:val="0"/>
        <w:autoSpaceDE w:val="0"/>
        <w:autoSpaceDN w:val="0"/>
        <w:ind w:left="0" w:right="3548" w:firstLine="0"/>
        <w:rPr>
          <w:snapToGrid w:val="0"/>
          <w:kern w:val="22"/>
          <w:szCs w:val="22"/>
        </w:rPr>
      </w:pPr>
      <w:r w:rsidRPr="0066015A">
        <w:rPr>
          <w:snapToGrid w:val="0"/>
          <w:kern w:val="22"/>
          <w:szCs w:val="22"/>
        </w:rPr>
        <w:t>Second meeting</w:t>
      </w:r>
    </w:p>
    <w:p w:rsidR="00B5513E" w:rsidRPr="0066015A" w:rsidRDefault="00B5513E" w:rsidP="0066015A">
      <w:pPr>
        <w:pStyle w:val="Cornernotation"/>
        <w:suppressLineNumbers/>
        <w:suppressAutoHyphens/>
        <w:kinsoku w:val="0"/>
        <w:overflowPunct w:val="0"/>
        <w:autoSpaceDE w:val="0"/>
        <w:autoSpaceDN w:val="0"/>
        <w:ind w:left="0" w:right="3548" w:firstLine="0"/>
        <w:rPr>
          <w:snapToGrid w:val="0"/>
          <w:kern w:val="22"/>
          <w:szCs w:val="22"/>
        </w:rPr>
      </w:pPr>
      <w:r w:rsidRPr="0066015A">
        <w:rPr>
          <w:snapToGrid w:val="0"/>
          <w:kern w:val="22"/>
          <w:szCs w:val="22"/>
        </w:rPr>
        <w:t>Montreal</w:t>
      </w:r>
      <w:r w:rsidR="008A744A" w:rsidRPr="0066015A">
        <w:rPr>
          <w:snapToGrid w:val="0"/>
          <w:kern w:val="22"/>
          <w:szCs w:val="22"/>
        </w:rPr>
        <w:t>, Canada</w:t>
      </w:r>
      <w:r w:rsidRPr="0066015A">
        <w:rPr>
          <w:snapToGrid w:val="0"/>
          <w:kern w:val="22"/>
          <w:szCs w:val="22"/>
        </w:rPr>
        <w:t>, 24-26 April 2018</w:t>
      </w:r>
      <w:bookmarkStart w:id="1" w:name="_GoBack"/>
      <w:bookmarkEnd w:id="1"/>
    </w:p>
    <w:p w:rsidR="00176CEE" w:rsidRPr="0066015A" w:rsidRDefault="0066015A" w:rsidP="0066015A">
      <w:pPr>
        <w:suppressLineNumbers/>
        <w:suppressAutoHyphens/>
        <w:kinsoku w:val="0"/>
        <w:overflowPunct w:val="0"/>
        <w:autoSpaceDE w:val="0"/>
        <w:autoSpaceDN w:val="0"/>
        <w:spacing w:before="240" w:after="120"/>
        <w:jc w:val="center"/>
        <w:rPr>
          <w:b/>
          <w:caps/>
          <w:snapToGrid w:val="0"/>
          <w:kern w:val="22"/>
        </w:rPr>
      </w:pPr>
      <w:sdt>
        <w:sdtPr>
          <w:rPr>
            <w:rFonts w:ascii="Times New Roman Bold" w:hAnsi="Times New Roman Bold" w:cs="Times New Roman Bold"/>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924AB" w:rsidRPr="0066015A">
            <w:rPr>
              <w:rFonts w:ascii="Times New Roman Bold" w:hAnsi="Times New Roman Bold" w:cs="Times New Roman Bold"/>
              <w:b/>
              <w:caps/>
              <w:snapToGrid w:val="0"/>
              <w:kern w:val="22"/>
              <w:szCs w:val="22"/>
            </w:rPr>
            <w:t>Review of the outcomes of the second meeting of the Conference of the Parties serving as the meeting of the Parties to the Nagoya Protocol regarding items relevant to compliance</w:t>
          </w:r>
        </w:sdtContent>
      </w:sdt>
      <w:r w:rsidR="00105372" w:rsidRPr="0066015A">
        <w:rPr>
          <w:b/>
          <w:caps/>
          <w:snapToGrid w:val="0"/>
          <w:kern w:val="22"/>
        </w:rPr>
        <w:t xml:space="preserve"> </w:t>
      </w:r>
    </w:p>
    <w:p w:rsidR="00660370" w:rsidRPr="0066015A" w:rsidRDefault="00660370" w:rsidP="0066015A">
      <w:pPr>
        <w:suppressLineNumbers/>
        <w:suppressAutoHyphens/>
        <w:kinsoku w:val="0"/>
        <w:overflowPunct w:val="0"/>
        <w:autoSpaceDE w:val="0"/>
        <w:autoSpaceDN w:val="0"/>
        <w:spacing w:before="120" w:after="120"/>
        <w:jc w:val="center"/>
        <w:rPr>
          <w:i/>
          <w:iCs/>
          <w:snapToGrid w:val="0"/>
          <w:kern w:val="22"/>
          <w:lang w:eastAsia="en-CA"/>
        </w:rPr>
      </w:pPr>
      <w:r w:rsidRPr="0066015A">
        <w:rPr>
          <w:i/>
          <w:iCs/>
          <w:snapToGrid w:val="0"/>
          <w:kern w:val="22"/>
          <w:lang w:eastAsia="en-CA"/>
        </w:rPr>
        <w:t>Note by the Executive Secretary</w:t>
      </w:r>
    </w:p>
    <w:p w:rsidR="00B5513E" w:rsidRPr="0066015A" w:rsidRDefault="00CE0864" w:rsidP="0066015A">
      <w:pPr>
        <w:pStyle w:val="HEADING"/>
        <w:suppressLineNumbers/>
        <w:suppressAutoHyphens/>
        <w:kinsoku w:val="0"/>
        <w:overflowPunct w:val="0"/>
        <w:autoSpaceDE w:val="0"/>
        <w:autoSpaceDN w:val="0"/>
        <w:spacing w:before="120"/>
        <w:rPr>
          <w:rFonts w:ascii="Times New Roman Bold" w:hAnsi="Times New Roman Bold" w:cs="Times New Roman Bold"/>
          <w:snapToGrid w:val="0"/>
          <w:kern w:val="22"/>
          <w:szCs w:val="22"/>
        </w:rPr>
      </w:pPr>
      <w:r w:rsidRPr="0066015A">
        <w:rPr>
          <w:rFonts w:ascii="Times New Roman Bold" w:hAnsi="Times New Roman Bold" w:cs="Times New Roman Bold"/>
          <w:snapToGrid w:val="0"/>
          <w:kern w:val="22"/>
          <w:szCs w:val="22"/>
        </w:rPr>
        <w:t>Introduction</w:t>
      </w:r>
    </w:p>
    <w:p w:rsidR="00B5513E" w:rsidRPr="0066015A" w:rsidRDefault="00B5513E" w:rsidP="0066015A">
      <w:pPr>
        <w:pStyle w:val="Para10"/>
        <w:numPr>
          <w:ilvl w:val="0"/>
          <w:numId w:val="14"/>
        </w:numPr>
        <w:suppressLineNumbers/>
        <w:tabs>
          <w:tab w:val="clear" w:pos="644"/>
        </w:tabs>
        <w:suppressAutoHyphens/>
        <w:kinsoku w:val="0"/>
        <w:overflowPunct w:val="0"/>
        <w:autoSpaceDE w:val="0"/>
        <w:autoSpaceDN w:val="0"/>
        <w:ind w:left="0"/>
        <w:rPr>
          <w:snapToGrid w:val="0"/>
          <w:kern w:val="22"/>
          <w:szCs w:val="22"/>
        </w:rPr>
      </w:pPr>
      <w:r w:rsidRPr="0066015A">
        <w:rPr>
          <w:snapToGrid w:val="0"/>
          <w:kern w:val="22"/>
          <w:szCs w:val="22"/>
        </w:rPr>
        <w:t xml:space="preserve">The Conference of the Parties serving as the meeting of the Parties to the Nagoya Protocol held its second meeting in Cancun, Mexico, from 4 to 17 December 2016. The </w:t>
      </w:r>
      <w:r w:rsidR="002900FA" w:rsidRPr="00356FC1">
        <w:rPr>
          <w:snapToGrid w:val="0"/>
          <w:kern w:val="22"/>
          <w:szCs w:val="22"/>
        </w:rPr>
        <w:t>Parties</w:t>
      </w:r>
      <w:r w:rsidR="002900FA" w:rsidRPr="0066015A">
        <w:rPr>
          <w:snapToGrid w:val="0"/>
          <w:kern w:val="22"/>
          <w:szCs w:val="22"/>
        </w:rPr>
        <w:t xml:space="preserve"> </w:t>
      </w:r>
      <w:r w:rsidRPr="0066015A">
        <w:rPr>
          <w:snapToGrid w:val="0"/>
          <w:kern w:val="22"/>
          <w:szCs w:val="22"/>
        </w:rPr>
        <w:t xml:space="preserve">considered, among other things, the report, including recommendations, submitted by the Compliance Committee, and </w:t>
      </w:r>
      <w:r w:rsidR="002900FA" w:rsidRPr="00356FC1">
        <w:rPr>
          <w:snapToGrid w:val="0"/>
          <w:kern w:val="22"/>
          <w:szCs w:val="22"/>
        </w:rPr>
        <w:t>adopted</w:t>
      </w:r>
      <w:r w:rsidR="002900FA" w:rsidRPr="0066015A">
        <w:rPr>
          <w:snapToGrid w:val="0"/>
          <w:kern w:val="22"/>
          <w:szCs w:val="22"/>
        </w:rPr>
        <w:t xml:space="preserve"> </w:t>
      </w:r>
      <w:r w:rsidRPr="0066015A">
        <w:rPr>
          <w:snapToGrid w:val="0"/>
          <w:kern w:val="22"/>
          <w:szCs w:val="22"/>
        </w:rPr>
        <w:t>decisions accordingly.</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The present document provides an overview of the outcomes of </w:t>
      </w:r>
      <w:r w:rsidR="005901DC" w:rsidRPr="00356FC1">
        <w:rPr>
          <w:kern w:val="22"/>
          <w:szCs w:val="22"/>
        </w:rPr>
        <w:t xml:space="preserve">the second meeting of </w:t>
      </w:r>
      <w:r w:rsidR="00E30700" w:rsidRPr="00356FC1">
        <w:rPr>
          <w:kern w:val="22"/>
          <w:szCs w:val="22"/>
        </w:rPr>
        <w:t>the Parties to the Protocol</w:t>
      </w:r>
      <w:r w:rsidRPr="00356FC1">
        <w:rPr>
          <w:kern w:val="22"/>
          <w:szCs w:val="22"/>
        </w:rPr>
        <w:t xml:space="preserve"> relating to compliance. Section II of the document examines how the Committee’s recommendations were taken up by </w:t>
      </w:r>
      <w:r w:rsidR="00E30700" w:rsidRPr="00356FC1">
        <w:rPr>
          <w:kern w:val="22"/>
          <w:szCs w:val="22"/>
        </w:rPr>
        <w:t>the Parties to the Protocol</w:t>
      </w:r>
      <w:r w:rsidRPr="00356FC1">
        <w:rPr>
          <w:kern w:val="22"/>
          <w:szCs w:val="22"/>
        </w:rPr>
        <w:t xml:space="preserve"> in the different decisions adopted </w:t>
      </w:r>
      <w:r w:rsidR="00EE7EE9" w:rsidRPr="00356FC1">
        <w:rPr>
          <w:kern w:val="22"/>
          <w:szCs w:val="22"/>
        </w:rPr>
        <w:t xml:space="preserve">at </w:t>
      </w:r>
      <w:r w:rsidRPr="00356FC1">
        <w:rPr>
          <w:kern w:val="22"/>
          <w:szCs w:val="22"/>
        </w:rPr>
        <w:t xml:space="preserve">the meeting. The decisions are reviewed vis-à-vis the recommendations that the Committee proposed in annex II </w:t>
      </w:r>
      <w:r w:rsidR="000830E5" w:rsidRPr="00356FC1">
        <w:rPr>
          <w:kern w:val="22"/>
          <w:szCs w:val="22"/>
        </w:rPr>
        <w:t xml:space="preserve">of </w:t>
      </w:r>
      <w:r w:rsidRPr="00356FC1">
        <w:rPr>
          <w:kern w:val="22"/>
          <w:szCs w:val="22"/>
        </w:rPr>
        <w:t>its report.</w:t>
      </w:r>
      <w:r w:rsidRPr="00356FC1">
        <w:rPr>
          <w:rStyle w:val="FootnoteReference"/>
          <w:kern w:val="22"/>
          <w:szCs w:val="22"/>
        </w:rPr>
        <w:footnoteReference w:id="1"/>
      </w:r>
      <w:r w:rsidRPr="00356FC1">
        <w:rPr>
          <w:kern w:val="22"/>
          <w:szCs w:val="22"/>
        </w:rPr>
        <w:t xml:space="preserve"> For ease of reference, a table is also provided as an annex to the present document showing how and to what extent the recommendations of the Compliance Committee have been integrated into the decisions adopted by the Parties to the Protocol</w:t>
      </w:r>
      <w:r w:rsidR="007F670A" w:rsidRPr="00356FC1">
        <w:rPr>
          <w:kern w:val="22"/>
          <w:szCs w:val="22"/>
        </w:rPr>
        <w:t xml:space="preserve"> at their second meeting</w:t>
      </w:r>
      <w:r w:rsidRPr="00356FC1">
        <w:rPr>
          <w:kern w:val="22"/>
          <w:szCs w:val="22"/>
        </w:rPr>
        <w:t xml:space="preserve">. Section III considers other relevant decisions adopted </w:t>
      </w:r>
      <w:r w:rsidR="00673DF3" w:rsidRPr="00356FC1">
        <w:rPr>
          <w:kern w:val="22"/>
          <w:szCs w:val="22"/>
        </w:rPr>
        <w:t>by</w:t>
      </w:r>
      <w:r w:rsidR="005901DC" w:rsidRPr="00356FC1">
        <w:rPr>
          <w:kern w:val="22"/>
          <w:szCs w:val="22"/>
        </w:rPr>
        <w:t xml:space="preserve"> </w:t>
      </w:r>
      <w:r w:rsidR="00E30700" w:rsidRPr="00356FC1">
        <w:rPr>
          <w:kern w:val="22"/>
          <w:szCs w:val="22"/>
        </w:rPr>
        <w:t>the Parties to the Protocol</w:t>
      </w:r>
      <w:r w:rsidRPr="00356FC1">
        <w:rPr>
          <w:kern w:val="22"/>
          <w:szCs w:val="22"/>
        </w:rPr>
        <w:t xml:space="preserve"> that are of relevance to the Compliance Committee. Section IV of the document sets out the activities of the Committee for the current intersessional period, as mandated by </w:t>
      </w:r>
      <w:r w:rsidR="00E30700" w:rsidRPr="00356FC1">
        <w:rPr>
          <w:kern w:val="22"/>
          <w:szCs w:val="22"/>
        </w:rPr>
        <w:t>the Parties to the Protocol</w:t>
      </w:r>
      <w:r w:rsidRPr="00356FC1">
        <w:rPr>
          <w:kern w:val="22"/>
          <w:szCs w:val="22"/>
        </w:rPr>
        <w:t xml:space="preserve"> and taking into account the Committee’s conclusions on its future work as reflected in the report </w:t>
      </w:r>
      <w:r w:rsidR="00673DF3" w:rsidRPr="00356FC1">
        <w:rPr>
          <w:kern w:val="22"/>
          <w:szCs w:val="22"/>
        </w:rPr>
        <w:t xml:space="preserve">on </w:t>
      </w:r>
      <w:r w:rsidRPr="00356FC1">
        <w:rPr>
          <w:kern w:val="22"/>
          <w:szCs w:val="22"/>
        </w:rPr>
        <w:t>its first meeting.</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Finally, for information purposes, the document also </w:t>
      </w:r>
      <w:r w:rsidR="000D4003" w:rsidRPr="00356FC1">
        <w:rPr>
          <w:kern w:val="22"/>
          <w:szCs w:val="22"/>
        </w:rPr>
        <w:t xml:space="preserve">indicates </w:t>
      </w:r>
      <w:r w:rsidRPr="00356FC1">
        <w:rPr>
          <w:kern w:val="22"/>
          <w:szCs w:val="22"/>
        </w:rPr>
        <w:t xml:space="preserve">the new composition of the Committee following the election of members by </w:t>
      </w:r>
      <w:r w:rsidR="00E30700" w:rsidRPr="00356FC1">
        <w:rPr>
          <w:kern w:val="22"/>
          <w:szCs w:val="22"/>
        </w:rPr>
        <w:t>the Parties to the Protocol</w:t>
      </w:r>
      <w:r w:rsidRPr="00356FC1">
        <w:rPr>
          <w:kern w:val="22"/>
          <w:szCs w:val="22"/>
        </w:rPr>
        <w:t xml:space="preserve"> </w:t>
      </w:r>
      <w:r w:rsidR="0050335E" w:rsidRPr="00356FC1">
        <w:rPr>
          <w:kern w:val="22"/>
          <w:szCs w:val="22"/>
        </w:rPr>
        <w:t>at its second meeting</w:t>
      </w:r>
      <w:r w:rsidRPr="00356FC1">
        <w:rPr>
          <w:kern w:val="22"/>
          <w:szCs w:val="22"/>
        </w:rPr>
        <w:t>.</w:t>
      </w:r>
    </w:p>
    <w:p w:rsidR="00B5513E" w:rsidRPr="0066015A" w:rsidRDefault="00B5513E" w:rsidP="0066015A">
      <w:pPr>
        <w:pStyle w:val="Heading1longmultiline"/>
        <w:suppressLineNumbers/>
        <w:tabs>
          <w:tab w:val="clear" w:pos="720"/>
        </w:tabs>
        <w:suppressAutoHyphens/>
        <w:kinsoku w:val="0"/>
        <w:overflowPunct w:val="0"/>
        <w:autoSpaceDE w:val="0"/>
        <w:autoSpaceDN w:val="0"/>
        <w:ind w:left="1620" w:hanging="540"/>
        <w:rPr>
          <w:rFonts w:ascii="Times New Roman Bold" w:hAnsi="Times New Roman Bold" w:cs="Times New Roman Bold"/>
          <w:bCs/>
          <w:snapToGrid w:val="0"/>
          <w:kern w:val="22"/>
          <w:szCs w:val="22"/>
        </w:rPr>
      </w:pPr>
      <w:r w:rsidRPr="0066015A">
        <w:rPr>
          <w:rFonts w:ascii="Times New Roman Bold" w:hAnsi="Times New Roman Bold" w:cs="Times New Roman Bold"/>
          <w:bCs/>
          <w:snapToGrid w:val="0"/>
          <w:kern w:val="22"/>
          <w:szCs w:val="22"/>
        </w:rPr>
        <w:t>II.</w:t>
      </w:r>
      <w:r w:rsidRPr="0066015A">
        <w:rPr>
          <w:rFonts w:ascii="Times New Roman Bold" w:hAnsi="Times New Roman Bold" w:cs="Times New Roman Bold"/>
          <w:bCs/>
          <w:snapToGrid w:val="0"/>
          <w:kern w:val="22"/>
          <w:szCs w:val="22"/>
        </w:rPr>
        <w:tab/>
        <w:t xml:space="preserve">Decisions </w:t>
      </w:r>
      <w:r w:rsidR="000B52CC" w:rsidRPr="0066015A">
        <w:rPr>
          <w:rFonts w:ascii="Times New Roman Bold" w:hAnsi="Times New Roman Bold" w:cs="Times New Roman Bold"/>
          <w:bCs/>
          <w:snapToGrid w:val="0"/>
          <w:kern w:val="22"/>
          <w:szCs w:val="22"/>
        </w:rPr>
        <w:t xml:space="preserve">taken </w:t>
      </w:r>
      <w:r w:rsidRPr="0066015A">
        <w:rPr>
          <w:rFonts w:ascii="Times New Roman Bold" w:hAnsi="Times New Roman Bold" w:cs="Times New Roman Bold"/>
          <w:bCs/>
          <w:snapToGrid w:val="0"/>
          <w:kern w:val="22"/>
          <w:szCs w:val="22"/>
        </w:rPr>
        <w:t xml:space="preserve">by the Parties to the </w:t>
      </w:r>
      <w:r w:rsidR="000B52CC" w:rsidRPr="0066015A">
        <w:rPr>
          <w:rFonts w:ascii="Times New Roman Bold" w:hAnsi="Times New Roman Bold" w:cs="Times New Roman Bold"/>
          <w:bCs/>
          <w:snapToGrid w:val="0"/>
          <w:kern w:val="22"/>
          <w:szCs w:val="22"/>
        </w:rPr>
        <w:t>Protocol</w:t>
      </w:r>
      <w:r w:rsidR="00FA48E0" w:rsidRPr="0066015A">
        <w:rPr>
          <w:rFonts w:ascii="Times New Roman Bold" w:hAnsi="Times New Roman Bold" w:cs="Times New Roman Bold"/>
          <w:bCs/>
          <w:snapToGrid w:val="0"/>
          <w:kern w:val="22"/>
          <w:szCs w:val="22"/>
        </w:rPr>
        <w:t xml:space="preserve"> at their second meeting</w:t>
      </w:r>
      <w:r w:rsidR="000B52CC" w:rsidRPr="0066015A">
        <w:rPr>
          <w:rFonts w:ascii="Times New Roman Bold" w:hAnsi="Times New Roman Bold" w:cs="Times New Roman Bold"/>
          <w:bCs/>
          <w:snapToGrid w:val="0"/>
          <w:kern w:val="22"/>
          <w:szCs w:val="22"/>
        </w:rPr>
        <w:t xml:space="preserve"> </w:t>
      </w:r>
      <w:r w:rsidRPr="0066015A">
        <w:rPr>
          <w:rFonts w:ascii="Times New Roman Bold" w:hAnsi="Times New Roman Bold" w:cs="Times New Roman Bold"/>
          <w:bCs/>
          <w:snapToGrid w:val="0"/>
          <w:kern w:val="22"/>
          <w:szCs w:val="22"/>
        </w:rPr>
        <w:t xml:space="preserve">and the Conference of the Parties to the Convention </w:t>
      </w:r>
      <w:r w:rsidR="00FA48E0" w:rsidRPr="0066015A">
        <w:rPr>
          <w:rFonts w:ascii="Times New Roman Bold" w:hAnsi="Times New Roman Bold" w:cs="Times New Roman Bold"/>
          <w:bCs/>
          <w:snapToGrid w:val="0"/>
          <w:kern w:val="22"/>
          <w:szCs w:val="22"/>
        </w:rPr>
        <w:t xml:space="preserve">at its thirteenth meeting </w:t>
      </w:r>
      <w:r w:rsidRPr="0066015A">
        <w:rPr>
          <w:rFonts w:ascii="Times New Roman Bold" w:hAnsi="Times New Roman Bold" w:cs="Times New Roman Bold"/>
          <w:bCs/>
          <w:snapToGrid w:val="0"/>
          <w:kern w:val="22"/>
          <w:szCs w:val="22"/>
        </w:rPr>
        <w:t xml:space="preserve">taking into account </w:t>
      </w:r>
      <w:r w:rsidR="000B52CC" w:rsidRPr="0066015A">
        <w:rPr>
          <w:rFonts w:ascii="Times New Roman Bold" w:hAnsi="Times New Roman Bold" w:cs="Times New Roman Bold"/>
          <w:bCs/>
          <w:snapToGrid w:val="0"/>
          <w:kern w:val="22"/>
          <w:szCs w:val="22"/>
        </w:rPr>
        <w:t xml:space="preserve">the recommendations of the </w:t>
      </w:r>
      <w:r w:rsidR="00FA48E0" w:rsidRPr="0066015A">
        <w:rPr>
          <w:rFonts w:ascii="Times New Roman Bold" w:hAnsi="Times New Roman Bold" w:cs="Times New Roman Bold"/>
          <w:bCs/>
          <w:snapToGrid w:val="0"/>
          <w:kern w:val="22"/>
          <w:szCs w:val="22"/>
        </w:rPr>
        <w:t>Compliance Committee</w:t>
      </w:r>
    </w:p>
    <w:p w:rsidR="00B5513E" w:rsidRPr="0066015A" w:rsidRDefault="00B5513E" w:rsidP="0066015A">
      <w:pPr>
        <w:pStyle w:val="Para10"/>
        <w:numPr>
          <w:ilvl w:val="0"/>
          <w:numId w:val="14"/>
        </w:numPr>
        <w:suppressLineNumbers/>
        <w:tabs>
          <w:tab w:val="clear" w:pos="644"/>
        </w:tabs>
        <w:suppressAutoHyphens/>
        <w:kinsoku w:val="0"/>
        <w:overflowPunct w:val="0"/>
        <w:autoSpaceDE w:val="0"/>
        <w:autoSpaceDN w:val="0"/>
        <w:ind w:left="0"/>
        <w:rPr>
          <w:snapToGrid w:val="0"/>
          <w:kern w:val="22"/>
          <w:szCs w:val="22"/>
        </w:rPr>
      </w:pPr>
      <w:r w:rsidRPr="0066015A">
        <w:rPr>
          <w:snapToGrid w:val="0"/>
          <w:kern w:val="22"/>
          <w:szCs w:val="22"/>
        </w:rPr>
        <w:t xml:space="preserve">Ms. Christine </w:t>
      </w:r>
      <w:proofErr w:type="spellStart"/>
      <w:r w:rsidRPr="0066015A">
        <w:rPr>
          <w:snapToGrid w:val="0"/>
          <w:kern w:val="22"/>
          <w:szCs w:val="22"/>
        </w:rPr>
        <w:t>Akello</w:t>
      </w:r>
      <w:proofErr w:type="spellEnd"/>
      <w:r w:rsidRPr="0066015A">
        <w:rPr>
          <w:snapToGrid w:val="0"/>
          <w:kern w:val="22"/>
          <w:szCs w:val="22"/>
        </w:rPr>
        <w:t xml:space="preserve">, the Vice-Chair of the Committee, made a statement at the opening plenary of </w:t>
      </w:r>
      <w:r w:rsidR="0050335E" w:rsidRPr="0066015A">
        <w:rPr>
          <w:snapToGrid w:val="0"/>
          <w:kern w:val="22"/>
          <w:szCs w:val="22"/>
        </w:rPr>
        <w:t xml:space="preserve">the second meeting of </w:t>
      </w:r>
      <w:r w:rsidR="00E30700" w:rsidRPr="00356FC1">
        <w:rPr>
          <w:snapToGrid w:val="0"/>
          <w:kern w:val="22"/>
          <w:szCs w:val="22"/>
        </w:rPr>
        <w:t>the Parties to the Protocol</w:t>
      </w:r>
      <w:r w:rsidRPr="0066015A">
        <w:rPr>
          <w:snapToGrid w:val="0"/>
          <w:kern w:val="22"/>
          <w:szCs w:val="22"/>
        </w:rPr>
        <w:t xml:space="preserve"> and submitted the report </w:t>
      </w:r>
      <w:r w:rsidR="00EA0C18" w:rsidRPr="00356FC1">
        <w:rPr>
          <w:snapToGrid w:val="0"/>
          <w:kern w:val="22"/>
          <w:szCs w:val="22"/>
        </w:rPr>
        <w:t>on</w:t>
      </w:r>
      <w:r w:rsidR="00EA0C18" w:rsidRPr="0066015A">
        <w:rPr>
          <w:snapToGrid w:val="0"/>
          <w:kern w:val="22"/>
          <w:szCs w:val="22"/>
        </w:rPr>
        <w:t xml:space="preserve"> </w:t>
      </w:r>
      <w:r w:rsidRPr="0066015A">
        <w:rPr>
          <w:snapToGrid w:val="0"/>
          <w:kern w:val="22"/>
          <w:szCs w:val="22"/>
        </w:rPr>
        <w:t xml:space="preserve">the Committee’s first meeting, including its recommendations, for </w:t>
      </w:r>
      <w:r w:rsidR="00EA0C18" w:rsidRPr="00356FC1">
        <w:rPr>
          <w:snapToGrid w:val="0"/>
          <w:kern w:val="22"/>
          <w:szCs w:val="22"/>
        </w:rPr>
        <w:t>the</w:t>
      </w:r>
      <w:r w:rsidRPr="0066015A">
        <w:rPr>
          <w:snapToGrid w:val="0"/>
          <w:kern w:val="22"/>
          <w:szCs w:val="22"/>
        </w:rPr>
        <w:t xml:space="preserve"> consideration</w:t>
      </w:r>
      <w:r w:rsidR="00EA0C18" w:rsidRPr="00356FC1">
        <w:rPr>
          <w:snapToGrid w:val="0"/>
          <w:kern w:val="22"/>
          <w:szCs w:val="22"/>
        </w:rPr>
        <w:t xml:space="preserve"> of the Parties to the Protocol</w:t>
      </w:r>
      <w:r w:rsidRPr="0066015A">
        <w:rPr>
          <w:snapToGrid w:val="0"/>
          <w:kern w:val="22"/>
          <w:szCs w:val="22"/>
        </w:rPr>
        <w:t>.</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Following the suggestion of the Committee as specified in the annex to its report, the recommendations of the Committee were considered under the relevant </w:t>
      </w:r>
      <w:hyperlink r:id="rId13" w:history="1">
        <w:r w:rsidRPr="0066015A">
          <w:rPr>
            <w:rStyle w:val="Hyperlink"/>
            <w:sz w:val="22"/>
          </w:rPr>
          <w:t>agenda</w:t>
        </w:r>
      </w:hyperlink>
      <w:r w:rsidRPr="00356FC1">
        <w:rPr>
          <w:kern w:val="22"/>
          <w:szCs w:val="22"/>
        </w:rPr>
        <w:t xml:space="preserve"> items of </w:t>
      </w:r>
      <w:r w:rsidR="0050335E" w:rsidRPr="00356FC1">
        <w:rPr>
          <w:kern w:val="22"/>
          <w:szCs w:val="22"/>
        </w:rPr>
        <w:t xml:space="preserve">the second meeting of </w:t>
      </w:r>
      <w:r w:rsidR="00E30700" w:rsidRPr="00356FC1">
        <w:rPr>
          <w:kern w:val="22"/>
          <w:szCs w:val="22"/>
        </w:rPr>
        <w:t>the Parties to the Protocol</w:t>
      </w:r>
      <w:r w:rsidR="00264758" w:rsidRPr="00356FC1">
        <w:rPr>
          <w:kern w:val="22"/>
          <w:szCs w:val="22"/>
        </w:rPr>
        <w:t xml:space="preserve"> as follows</w:t>
      </w:r>
      <w:r w:rsidRPr="00356FC1">
        <w:rPr>
          <w:kern w:val="22"/>
          <w:szCs w:val="22"/>
        </w:rPr>
        <w:t>:</w:t>
      </w:r>
    </w:p>
    <w:p w:rsidR="00B5513E" w:rsidRPr="00356FC1" w:rsidRDefault="00B5513E" w:rsidP="0066015A">
      <w:pPr>
        <w:pStyle w:val="Para2"/>
        <w:numPr>
          <w:ilvl w:val="0"/>
          <w:numId w:val="3"/>
        </w:numPr>
        <w:suppressLineNumbers/>
        <w:tabs>
          <w:tab w:val="clear" w:pos="1080"/>
        </w:tabs>
        <w:suppressAutoHyphens/>
        <w:kinsoku w:val="0"/>
        <w:overflowPunct w:val="0"/>
        <w:spacing w:after="0"/>
        <w:ind w:left="0" w:firstLine="706"/>
        <w:rPr>
          <w:kern w:val="22"/>
          <w:szCs w:val="22"/>
        </w:rPr>
      </w:pPr>
      <w:r w:rsidRPr="00356FC1">
        <w:rPr>
          <w:kern w:val="22"/>
          <w:szCs w:val="22"/>
        </w:rPr>
        <w:lastRenderedPageBreak/>
        <w:t>Recommendations 1 to 4 remained under the agenda item on compliance (item 4);</w:t>
      </w:r>
      <w:r w:rsidRPr="00356FC1">
        <w:rPr>
          <w:rStyle w:val="FootnoteReference"/>
          <w:kern w:val="22"/>
          <w:szCs w:val="22"/>
        </w:rPr>
        <w:footnoteReference w:id="2"/>
      </w:r>
    </w:p>
    <w:p w:rsidR="00B5513E" w:rsidRPr="00356FC1" w:rsidRDefault="00B5513E" w:rsidP="0066015A">
      <w:pPr>
        <w:pStyle w:val="Para2"/>
        <w:numPr>
          <w:ilvl w:val="0"/>
          <w:numId w:val="3"/>
        </w:numPr>
        <w:suppressLineNumbers/>
        <w:tabs>
          <w:tab w:val="clear" w:pos="1080"/>
        </w:tabs>
        <w:suppressAutoHyphens/>
        <w:kinsoku w:val="0"/>
        <w:overflowPunct w:val="0"/>
        <w:spacing w:after="0"/>
        <w:ind w:left="0" w:firstLine="706"/>
        <w:rPr>
          <w:kern w:val="22"/>
          <w:szCs w:val="22"/>
        </w:rPr>
      </w:pPr>
      <w:r w:rsidRPr="00356FC1">
        <w:rPr>
          <w:kern w:val="22"/>
          <w:szCs w:val="22"/>
        </w:rPr>
        <w:t>Recommendation 5 was allocated to the item on the Access and Benefit-Sharing Clearing-House and information-sharing (item 6);</w:t>
      </w:r>
      <w:r w:rsidRPr="00356FC1">
        <w:rPr>
          <w:rStyle w:val="FootnoteReference"/>
          <w:kern w:val="22"/>
          <w:szCs w:val="22"/>
        </w:rPr>
        <w:footnoteReference w:id="3"/>
      </w:r>
    </w:p>
    <w:p w:rsidR="00B5513E" w:rsidRPr="00356FC1" w:rsidRDefault="00B5513E" w:rsidP="0066015A">
      <w:pPr>
        <w:pStyle w:val="Para2"/>
        <w:numPr>
          <w:ilvl w:val="0"/>
          <w:numId w:val="3"/>
        </w:numPr>
        <w:suppressLineNumbers/>
        <w:tabs>
          <w:tab w:val="clear" w:pos="1080"/>
        </w:tabs>
        <w:suppressAutoHyphens/>
        <w:kinsoku w:val="0"/>
        <w:overflowPunct w:val="0"/>
        <w:ind w:left="0" w:firstLine="709"/>
        <w:rPr>
          <w:kern w:val="22"/>
          <w:szCs w:val="22"/>
        </w:rPr>
      </w:pPr>
      <w:r w:rsidRPr="00356FC1">
        <w:rPr>
          <w:kern w:val="22"/>
          <w:szCs w:val="22"/>
        </w:rPr>
        <w:t>Recommendation 6 was considered under the item on the financial mechanism and resources (item 7).</w:t>
      </w:r>
      <w:r w:rsidRPr="00356FC1">
        <w:rPr>
          <w:rStyle w:val="FootnoteReference"/>
          <w:kern w:val="22"/>
          <w:szCs w:val="22"/>
        </w:rPr>
        <w:footnoteReference w:id="4"/>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The overview below highlights the decisions taken by </w:t>
      </w:r>
      <w:r w:rsidR="00E30700" w:rsidRPr="00356FC1">
        <w:rPr>
          <w:kern w:val="22"/>
          <w:szCs w:val="22"/>
        </w:rPr>
        <w:t>the Parties to the Protocol</w:t>
      </w:r>
      <w:r w:rsidR="006345DF" w:rsidRPr="00356FC1">
        <w:rPr>
          <w:kern w:val="22"/>
          <w:szCs w:val="22"/>
        </w:rPr>
        <w:t xml:space="preserve"> at their second meeting</w:t>
      </w:r>
      <w:r w:rsidRPr="00356FC1">
        <w:rPr>
          <w:kern w:val="22"/>
          <w:szCs w:val="22"/>
        </w:rPr>
        <w:t xml:space="preserve"> on these agenda items, taking into account the recommendations of the Compliance Committee.</w:t>
      </w:r>
    </w:p>
    <w:p w:rsidR="00B5513E" w:rsidRPr="0066015A" w:rsidRDefault="00B5513E" w:rsidP="0066015A">
      <w:pPr>
        <w:pStyle w:val="Heading2"/>
        <w:suppressLineNumbers/>
        <w:tabs>
          <w:tab w:val="clear" w:pos="720"/>
          <w:tab w:val="left" w:pos="900"/>
        </w:tabs>
        <w:suppressAutoHyphens/>
        <w:kinsoku w:val="0"/>
        <w:overflowPunct w:val="0"/>
        <w:autoSpaceDE w:val="0"/>
        <w:autoSpaceDN w:val="0"/>
        <w:rPr>
          <w:i w:val="0"/>
          <w:iCs w:val="0"/>
          <w:snapToGrid w:val="0"/>
          <w:kern w:val="22"/>
          <w:szCs w:val="22"/>
        </w:rPr>
      </w:pPr>
      <w:proofErr w:type="gramStart"/>
      <w:r w:rsidRPr="0066015A">
        <w:rPr>
          <w:i w:val="0"/>
          <w:iCs w:val="0"/>
          <w:snapToGrid w:val="0"/>
          <w:kern w:val="22"/>
          <w:szCs w:val="22"/>
        </w:rPr>
        <w:t>NP-2/3.</w:t>
      </w:r>
      <w:proofErr w:type="gramEnd"/>
      <w:r w:rsidRPr="0066015A">
        <w:rPr>
          <w:i w:val="0"/>
          <w:iCs w:val="0"/>
          <w:snapToGrid w:val="0"/>
          <w:kern w:val="22"/>
          <w:szCs w:val="22"/>
        </w:rPr>
        <w:tab/>
        <w:t>Report of the Compliance Committee</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bCs/>
          <w:iCs/>
          <w:kern w:val="22"/>
          <w:szCs w:val="22"/>
        </w:rPr>
      </w:pPr>
      <w:r w:rsidRPr="00356FC1">
        <w:rPr>
          <w:kern w:val="22"/>
          <w:szCs w:val="22"/>
        </w:rPr>
        <w:t xml:space="preserve">The Committee’s first recommendation as well as annex I to its report addressed the rules of procedure for the meetings of the Committee. In decision </w:t>
      </w:r>
      <w:hyperlink r:id="rId14" w:history="1">
        <w:r w:rsidRPr="00356FC1">
          <w:rPr>
            <w:rStyle w:val="Hyperlink"/>
            <w:kern w:val="22"/>
            <w:sz w:val="22"/>
            <w:szCs w:val="22"/>
          </w:rPr>
          <w:t>NP-2/3</w:t>
        </w:r>
      </w:hyperlink>
      <w:r w:rsidRPr="00356FC1">
        <w:rPr>
          <w:kern w:val="22"/>
          <w:szCs w:val="22"/>
        </w:rPr>
        <w:t xml:space="preserve">, </w:t>
      </w:r>
      <w:r w:rsidR="00F90EFC" w:rsidRPr="00356FC1">
        <w:rPr>
          <w:kern w:val="22"/>
          <w:szCs w:val="22"/>
        </w:rPr>
        <w:t xml:space="preserve">the </w:t>
      </w:r>
      <w:r w:rsidR="0050335E" w:rsidRPr="00356FC1">
        <w:rPr>
          <w:kern w:val="22"/>
          <w:szCs w:val="22"/>
        </w:rPr>
        <w:t>Parties to the Protocol</w:t>
      </w:r>
      <w:r w:rsidRPr="00356FC1">
        <w:rPr>
          <w:kern w:val="22"/>
          <w:szCs w:val="22"/>
        </w:rPr>
        <w:t xml:space="preserve"> approved the rules of procedure with some amendments. The most significant of these amendments concerns using electronic means of communication for decision-making. The Committee had proposed a rule (rule 14) that would have enabled it to use electronic means of communication for decision-making. </w:t>
      </w:r>
      <w:r w:rsidR="00F90EFC" w:rsidRPr="00356FC1">
        <w:rPr>
          <w:kern w:val="22"/>
          <w:szCs w:val="22"/>
        </w:rPr>
        <w:t>T</w:t>
      </w:r>
      <w:r w:rsidR="00E30700" w:rsidRPr="00356FC1">
        <w:rPr>
          <w:kern w:val="22"/>
          <w:szCs w:val="22"/>
        </w:rPr>
        <w:t>he Parties to the Protocol</w:t>
      </w:r>
      <w:r w:rsidRPr="00356FC1">
        <w:rPr>
          <w:kern w:val="22"/>
          <w:szCs w:val="22"/>
        </w:rPr>
        <w:t xml:space="preserve"> qualified this rule by excluding “substantive decisions such as on submissions relating to issues of compliance and non-compliance with the provisions of the Protocol” from the possibility of using electronic means of communication for decision-making.</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356FC1">
        <w:rPr>
          <w:kern w:val="22"/>
          <w:szCs w:val="22"/>
        </w:rPr>
        <w:t xml:space="preserve">Other changes to the rules of procedure are outlined in the context of decision </w:t>
      </w:r>
      <w:hyperlink r:id="rId15" w:history="1">
        <w:r w:rsidRPr="00356FC1">
          <w:rPr>
            <w:rStyle w:val="Hyperlink"/>
            <w:kern w:val="22"/>
            <w:sz w:val="22"/>
            <w:szCs w:val="22"/>
          </w:rPr>
          <w:t>NP-2/7</w:t>
        </w:r>
      </w:hyperlink>
      <w:r w:rsidRPr="00356FC1">
        <w:rPr>
          <w:kern w:val="22"/>
          <w:szCs w:val="22"/>
        </w:rPr>
        <w:t xml:space="preserve"> </w:t>
      </w:r>
      <w:r w:rsidR="00BB75BD" w:rsidRPr="00356FC1">
        <w:rPr>
          <w:kern w:val="22"/>
          <w:szCs w:val="22"/>
        </w:rPr>
        <w:t xml:space="preserve">and </w:t>
      </w:r>
      <w:r w:rsidRPr="00356FC1">
        <w:rPr>
          <w:kern w:val="22"/>
          <w:szCs w:val="22"/>
        </w:rPr>
        <w:t>discussed in section</w:t>
      </w:r>
      <w:r w:rsidR="0050335E" w:rsidRPr="00356FC1">
        <w:rPr>
          <w:kern w:val="22"/>
          <w:szCs w:val="22"/>
        </w:rPr>
        <w:t> </w:t>
      </w:r>
      <w:r w:rsidRPr="00356FC1">
        <w:rPr>
          <w:kern w:val="22"/>
          <w:szCs w:val="22"/>
        </w:rPr>
        <w:t>III below and in the annex to th</w:t>
      </w:r>
      <w:r w:rsidR="0050335E" w:rsidRPr="00356FC1">
        <w:rPr>
          <w:kern w:val="22"/>
          <w:szCs w:val="22"/>
        </w:rPr>
        <w:t>e present</w:t>
      </w:r>
      <w:r w:rsidRPr="00356FC1">
        <w:rPr>
          <w:kern w:val="22"/>
          <w:szCs w:val="22"/>
        </w:rPr>
        <w:t xml:space="preserve"> document.</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356FC1">
        <w:rPr>
          <w:kern w:val="22"/>
          <w:szCs w:val="22"/>
        </w:rPr>
        <w:t xml:space="preserve">The second and third of the Committee’s recommendations concerned its consideration of the need for and modalities of support to address challenges related to compliance with the provisions of the Protocol with a view to making effective use of the compliance mechanism. Its consideration of this matter had been requested by the Parties </w:t>
      </w:r>
      <w:r w:rsidR="007379FE" w:rsidRPr="00356FC1">
        <w:rPr>
          <w:kern w:val="22"/>
          <w:szCs w:val="22"/>
        </w:rPr>
        <w:t xml:space="preserve">to the Protocol </w:t>
      </w:r>
      <w:r w:rsidRPr="00356FC1">
        <w:rPr>
          <w:kern w:val="22"/>
          <w:szCs w:val="22"/>
        </w:rPr>
        <w:t xml:space="preserve">at </w:t>
      </w:r>
      <w:r w:rsidR="00C53760" w:rsidRPr="00356FC1">
        <w:rPr>
          <w:kern w:val="22"/>
          <w:szCs w:val="22"/>
        </w:rPr>
        <w:t>the</w:t>
      </w:r>
      <w:r w:rsidR="007379FE" w:rsidRPr="00356FC1">
        <w:rPr>
          <w:kern w:val="22"/>
          <w:szCs w:val="22"/>
        </w:rPr>
        <w:t>ir</w:t>
      </w:r>
      <w:r w:rsidR="00C53760" w:rsidRPr="00356FC1">
        <w:rPr>
          <w:kern w:val="22"/>
          <w:szCs w:val="22"/>
        </w:rPr>
        <w:t xml:space="preserve"> first meeting</w:t>
      </w:r>
      <w:r w:rsidR="00E30700" w:rsidRPr="00356FC1">
        <w:rPr>
          <w:kern w:val="22"/>
          <w:szCs w:val="22"/>
        </w:rPr>
        <w:t xml:space="preserve"> </w:t>
      </w:r>
      <w:r w:rsidRPr="00356FC1">
        <w:rPr>
          <w:kern w:val="22"/>
          <w:szCs w:val="22"/>
        </w:rPr>
        <w:t xml:space="preserve">(decision </w:t>
      </w:r>
      <w:hyperlink r:id="rId16" w:history="1">
        <w:r w:rsidRPr="00356FC1">
          <w:rPr>
            <w:rStyle w:val="Hyperlink"/>
            <w:kern w:val="22"/>
            <w:sz w:val="22"/>
            <w:szCs w:val="22"/>
          </w:rPr>
          <w:t>NP-1/4</w:t>
        </w:r>
      </w:hyperlink>
      <w:r w:rsidRPr="00356FC1">
        <w:rPr>
          <w:kern w:val="22"/>
          <w:szCs w:val="22"/>
        </w:rPr>
        <w:t>).</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356FC1">
        <w:rPr>
          <w:kern w:val="22"/>
          <w:szCs w:val="22"/>
        </w:rPr>
        <w:t xml:space="preserve">The </w:t>
      </w:r>
      <w:r w:rsidR="00E30700" w:rsidRPr="00356FC1">
        <w:rPr>
          <w:kern w:val="22"/>
          <w:szCs w:val="22"/>
        </w:rPr>
        <w:t>Parties to the Protocol</w:t>
      </w:r>
      <w:r w:rsidRPr="00356FC1">
        <w:rPr>
          <w:kern w:val="22"/>
          <w:szCs w:val="22"/>
        </w:rPr>
        <w:t xml:space="preserve"> adopted these recommendations with only one change: </w:t>
      </w:r>
      <w:r w:rsidRPr="0066015A">
        <w:rPr>
          <w:rFonts w:eastAsia="Calibri"/>
          <w:kern w:val="22"/>
          <w:szCs w:val="22"/>
        </w:rPr>
        <w:t>the addition of the phrase “with a view to contributing to the assessment and review of the Protocol’s effectiveness as required”. This addition linked reassessing the need for and modalities of support with a future assessment and review of the Protocol.</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356FC1">
        <w:rPr>
          <w:kern w:val="22"/>
          <w:szCs w:val="22"/>
        </w:rPr>
        <w:t xml:space="preserve">The Committee’s fourth recommendation concerned the submission of interim national reports, specifically the importance of timely submission of the national reports and encouraging Parties to include information in their interim national reports on difficulties and challenges related to implementation of the Protocol. </w:t>
      </w:r>
      <w:r w:rsidR="00C633B3" w:rsidRPr="00356FC1">
        <w:rPr>
          <w:kern w:val="22"/>
          <w:szCs w:val="22"/>
        </w:rPr>
        <w:t>T</w:t>
      </w:r>
      <w:r w:rsidR="00E30700" w:rsidRPr="00356FC1">
        <w:rPr>
          <w:kern w:val="22"/>
          <w:szCs w:val="22"/>
        </w:rPr>
        <w:t>he Parties to the Protocol</w:t>
      </w:r>
      <w:r w:rsidRPr="00356FC1">
        <w:rPr>
          <w:kern w:val="22"/>
          <w:szCs w:val="22"/>
        </w:rPr>
        <w:t xml:space="preserve"> adopted this recommendation unchanged.</w:t>
      </w:r>
    </w:p>
    <w:p w:rsidR="00B5513E" w:rsidRPr="0066015A" w:rsidRDefault="00B5513E" w:rsidP="0066015A">
      <w:pPr>
        <w:pStyle w:val="Para10"/>
        <w:keepNext/>
        <w:keepLines/>
        <w:suppressLineNumbers/>
        <w:tabs>
          <w:tab w:val="clear" w:pos="644"/>
          <w:tab w:val="left" w:pos="900"/>
        </w:tabs>
        <w:suppressAutoHyphens/>
        <w:kinsoku w:val="0"/>
        <w:overflowPunct w:val="0"/>
        <w:autoSpaceDE w:val="0"/>
        <w:autoSpaceDN w:val="0"/>
        <w:ind w:left="0"/>
        <w:jc w:val="center"/>
        <w:rPr>
          <w:b/>
          <w:bCs/>
          <w:snapToGrid w:val="0"/>
          <w:kern w:val="22"/>
          <w:szCs w:val="22"/>
        </w:rPr>
      </w:pPr>
      <w:proofErr w:type="gramStart"/>
      <w:r w:rsidRPr="0066015A">
        <w:rPr>
          <w:b/>
          <w:bCs/>
          <w:snapToGrid w:val="0"/>
          <w:kern w:val="22"/>
          <w:szCs w:val="22"/>
        </w:rPr>
        <w:t>NP-2/2.</w:t>
      </w:r>
      <w:proofErr w:type="gramEnd"/>
      <w:r w:rsidRPr="0066015A">
        <w:rPr>
          <w:b/>
          <w:bCs/>
          <w:snapToGrid w:val="0"/>
          <w:kern w:val="22"/>
          <w:szCs w:val="22"/>
        </w:rPr>
        <w:tab/>
        <w:t>Access and Benefit-Sharing Clearing-House and information-sharing (Article 14)</w:t>
      </w:r>
    </w:p>
    <w:p w:rsidR="00B5513E" w:rsidRPr="0066015A" w:rsidRDefault="00B5513E" w:rsidP="0066015A">
      <w:pPr>
        <w:pStyle w:val="Para10"/>
        <w:keepNext/>
        <w:keepLines/>
        <w:numPr>
          <w:ilvl w:val="0"/>
          <w:numId w:val="14"/>
        </w:numPr>
        <w:suppressLineNumbers/>
        <w:tabs>
          <w:tab w:val="clear" w:pos="644"/>
        </w:tabs>
        <w:suppressAutoHyphens/>
        <w:kinsoku w:val="0"/>
        <w:overflowPunct w:val="0"/>
        <w:autoSpaceDE w:val="0"/>
        <w:autoSpaceDN w:val="0"/>
        <w:adjustRightInd w:val="0"/>
        <w:spacing w:before="120" w:after="120"/>
        <w:ind w:left="0"/>
        <w:rPr>
          <w:snapToGrid w:val="0"/>
          <w:kern w:val="22"/>
          <w:szCs w:val="22"/>
        </w:rPr>
      </w:pPr>
      <w:r w:rsidRPr="0066015A">
        <w:rPr>
          <w:snapToGrid w:val="0"/>
          <w:kern w:val="22"/>
          <w:szCs w:val="22"/>
        </w:rPr>
        <w:t xml:space="preserve">As part of its consideration of the need for and modalities of support to address challenges related to compliance with the provisions of the Nagoya Protocol with a view to making effective use of the compliance mechanism, the Committee had also noted a number of existing mechanisms that </w:t>
      </w:r>
      <w:r w:rsidR="004110D0" w:rsidRPr="00356FC1">
        <w:rPr>
          <w:snapToGrid w:val="0"/>
          <w:kern w:val="22"/>
          <w:szCs w:val="22"/>
        </w:rPr>
        <w:t>could</w:t>
      </w:r>
      <w:r w:rsidR="004110D0" w:rsidRPr="0066015A">
        <w:rPr>
          <w:snapToGrid w:val="0"/>
          <w:kern w:val="22"/>
          <w:szCs w:val="22"/>
        </w:rPr>
        <w:t xml:space="preserve"> </w:t>
      </w:r>
      <w:r w:rsidRPr="0066015A">
        <w:rPr>
          <w:snapToGrid w:val="0"/>
          <w:kern w:val="22"/>
          <w:szCs w:val="22"/>
        </w:rPr>
        <w:t xml:space="preserve">support implementation, including the Access and Benefit-sharing </w:t>
      </w:r>
      <w:r w:rsidR="00EF7194" w:rsidRPr="00356FC1">
        <w:rPr>
          <w:snapToGrid w:val="0"/>
          <w:kern w:val="22"/>
          <w:szCs w:val="22"/>
        </w:rPr>
        <w:t xml:space="preserve">(ABS) </w:t>
      </w:r>
      <w:r w:rsidRPr="0066015A">
        <w:rPr>
          <w:snapToGrid w:val="0"/>
          <w:kern w:val="22"/>
          <w:szCs w:val="22"/>
        </w:rPr>
        <w:t xml:space="preserve">Clearing-House. In this context, the Committee recommended to </w:t>
      </w:r>
      <w:r w:rsidR="005A666F" w:rsidRPr="00356FC1">
        <w:rPr>
          <w:snapToGrid w:val="0"/>
          <w:kern w:val="22"/>
          <w:szCs w:val="22"/>
        </w:rPr>
        <w:t xml:space="preserve">the Conference of the Parties serving as the meeting of </w:t>
      </w:r>
      <w:r w:rsidR="00E30700" w:rsidRPr="00356FC1">
        <w:rPr>
          <w:snapToGrid w:val="0"/>
          <w:kern w:val="22"/>
          <w:szCs w:val="22"/>
        </w:rPr>
        <w:t>the Parties to the Protocol</w:t>
      </w:r>
      <w:r w:rsidRPr="0066015A">
        <w:rPr>
          <w:snapToGrid w:val="0"/>
          <w:kern w:val="22"/>
          <w:szCs w:val="22"/>
        </w:rPr>
        <w:t xml:space="preserve"> that it encourage Parties to make available information to the ABS Clearing-House in accordance with the obligations in Article 14(2) of the Protocol.</w:t>
      </w:r>
    </w:p>
    <w:p w:rsidR="00B5513E" w:rsidRPr="0066015A" w:rsidRDefault="00B5513E" w:rsidP="0066015A">
      <w:pPr>
        <w:pStyle w:val="Para10"/>
        <w:numPr>
          <w:ilvl w:val="0"/>
          <w:numId w:val="14"/>
        </w:numPr>
        <w:suppressLineNumbers/>
        <w:tabs>
          <w:tab w:val="clear" w:pos="644"/>
        </w:tabs>
        <w:suppressAutoHyphens/>
        <w:kinsoku w:val="0"/>
        <w:overflowPunct w:val="0"/>
        <w:autoSpaceDE w:val="0"/>
        <w:autoSpaceDN w:val="0"/>
        <w:adjustRightInd w:val="0"/>
        <w:spacing w:before="120" w:after="120"/>
        <w:ind w:left="0"/>
        <w:rPr>
          <w:snapToGrid w:val="0"/>
          <w:kern w:val="22"/>
          <w:szCs w:val="22"/>
        </w:rPr>
      </w:pPr>
      <w:r w:rsidRPr="0066015A">
        <w:rPr>
          <w:snapToGrid w:val="0"/>
          <w:kern w:val="22"/>
          <w:szCs w:val="22"/>
        </w:rPr>
        <w:t xml:space="preserve">This recommendation was very similar to one of the elements for a draft decision included in the </w:t>
      </w:r>
      <w:r w:rsidR="00CA19FE" w:rsidRPr="00356FC1">
        <w:rPr>
          <w:snapToGrid w:val="0"/>
          <w:kern w:val="22"/>
          <w:szCs w:val="22"/>
        </w:rPr>
        <w:t>r</w:t>
      </w:r>
      <w:r w:rsidR="00232498" w:rsidRPr="00356FC1">
        <w:rPr>
          <w:snapToGrid w:val="0"/>
          <w:kern w:val="22"/>
          <w:szCs w:val="22"/>
        </w:rPr>
        <w:t>eport on progress in the implementation and operation of</w:t>
      </w:r>
      <w:r w:rsidRPr="0066015A">
        <w:rPr>
          <w:snapToGrid w:val="0"/>
          <w:kern w:val="22"/>
          <w:szCs w:val="22"/>
        </w:rPr>
        <w:t xml:space="preserve"> the ABS Clearing-House (</w:t>
      </w:r>
      <w:hyperlink r:id="rId17" w:history="1">
        <w:r w:rsidRPr="0066015A">
          <w:rPr>
            <w:rStyle w:val="Hyperlink"/>
            <w:snapToGrid w:val="0"/>
            <w:sz w:val="22"/>
          </w:rPr>
          <w:t>UNEP/CBD/NP/COP-MOP/2/3</w:t>
        </w:r>
      </w:hyperlink>
      <w:r w:rsidR="00232498" w:rsidRPr="00356FC1">
        <w:rPr>
          <w:snapToGrid w:val="0"/>
          <w:kern w:val="22"/>
          <w:szCs w:val="22"/>
        </w:rPr>
        <w:t>,</w:t>
      </w:r>
      <w:r w:rsidR="00CF1115" w:rsidRPr="00356FC1">
        <w:rPr>
          <w:snapToGrid w:val="0"/>
          <w:kern w:val="22"/>
          <w:szCs w:val="22"/>
        </w:rPr>
        <w:t xml:space="preserve"> para.</w:t>
      </w:r>
      <w:r w:rsidR="00232498" w:rsidRPr="00356FC1">
        <w:rPr>
          <w:snapToGrid w:val="0"/>
          <w:kern w:val="22"/>
          <w:szCs w:val="22"/>
        </w:rPr>
        <w:t> </w:t>
      </w:r>
      <w:r w:rsidR="00CF1115" w:rsidRPr="00356FC1">
        <w:rPr>
          <w:snapToGrid w:val="0"/>
          <w:kern w:val="22"/>
          <w:szCs w:val="22"/>
        </w:rPr>
        <w:t>104(j)</w:t>
      </w:r>
      <w:r w:rsidRPr="0066015A">
        <w:rPr>
          <w:snapToGrid w:val="0"/>
          <w:kern w:val="22"/>
          <w:szCs w:val="22"/>
        </w:rPr>
        <w:t xml:space="preserve">). Accordingly, paragraph 11 of decision </w:t>
      </w:r>
      <w:hyperlink r:id="rId18" w:history="1">
        <w:r w:rsidRPr="0066015A">
          <w:rPr>
            <w:rStyle w:val="Hyperlink"/>
            <w:snapToGrid w:val="0"/>
            <w:kern w:val="22"/>
            <w:sz w:val="22"/>
            <w:szCs w:val="22"/>
          </w:rPr>
          <w:t>NP-2/2</w:t>
        </w:r>
      </w:hyperlink>
      <w:r w:rsidRPr="0066015A">
        <w:rPr>
          <w:snapToGrid w:val="0"/>
          <w:kern w:val="22"/>
          <w:szCs w:val="22"/>
        </w:rPr>
        <w:t xml:space="preserve"> largely followed the language proposed in the pre-session document on the ABS Clearing-House with the incorporation of the phrase “in accordance with the obligations in Article 14, paragraph 2, of the Protocol” which </w:t>
      </w:r>
      <w:r w:rsidR="001B51F8" w:rsidRPr="00356FC1">
        <w:rPr>
          <w:snapToGrid w:val="0"/>
          <w:kern w:val="22"/>
          <w:szCs w:val="22"/>
        </w:rPr>
        <w:t>had been</w:t>
      </w:r>
      <w:r w:rsidR="001B51F8" w:rsidRPr="0066015A">
        <w:rPr>
          <w:snapToGrid w:val="0"/>
          <w:kern w:val="22"/>
          <w:szCs w:val="22"/>
        </w:rPr>
        <w:t xml:space="preserve"> </w:t>
      </w:r>
      <w:r w:rsidRPr="0066015A">
        <w:rPr>
          <w:snapToGrid w:val="0"/>
          <w:kern w:val="22"/>
          <w:szCs w:val="22"/>
        </w:rPr>
        <w:t xml:space="preserve">derived from the Committee’s </w:t>
      </w:r>
      <w:r w:rsidRPr="0066015A">
        <w:rPr>
          <w:snapToGrid w:val="0"/>
          <w:kern w:val="22"/>
          <w:szCs w:val="22"/>
        </w:rPr>
        <w:lastRenderedPageBreak/>
        <w:t xml:space="preserve">recommendation. It </w:t>
      </w:r>
      <w:r w:rsidR="00B61B52" w:rsidRPr="00356FC1">
        <w:rPr>
          <w:snapToGrid w:val="0"/>
          <w:kern w:val="22"/>
          <w:szCs w:val="22"/>
        </w:rPr>
        <w:t>may</w:t>
      </w:r>
      <w:r w:rsidR="00B61B52" w:rsidRPr="0066015A">
        <w:rPr>
          <w:snapToGrid w:val="0"/>
          <w:kern w:val="22"/>
          <w:szCs w:val="22"/>
        </w:rPr>
        <w:t xml:space="preserve"> </w:t>
      </w:r>
      <w:r w:rsidRPr="0066015A">
        <w:rPr>
          <w:snapToGrid w:val="0"/>
          <w:kern w:val="22"/>
          <w:szCs w:val="22"/>
        </w:rPr>
        <w:t>also be noted that paragraph 11 of decision NP-2/2 uses the verb “urges”, rather than “encourages” as had been recommended by the Committee.</w:t>
      </w:r>
    </w:p>
    <w:p w:rsidR="00B5513E" w:rsidRPr="0066015A" w:rsidRDefault="00B5513E" w:rsidP="0066015A">
      <w:pPr>
        <w:pStyle w:val="Heading2"/>
        <w:suppressLineNumbers/>
        <w:tabs>
          <w:tab w:val="clear" w:pos="720"/>
          <w:tab w:val="left" w:pos="900"/>
        </w:tabs>
        <w:suppressAutoHyphens/>
        <w:kinsoku w:val="0"/>
        <w:overflowPunct w:val="0"/>
        <w:autoSpaceDE w:val="0"/>
        <w:autoSpaceDN w:val="0"/>
        <w:rPr>
          <w:rFonts w:eastAsia="Calibri"/>
          <w:i w:val="0"/>
          <w:iCs w:val="0"/>
          <w:snapToGrid w:val="0"/>
          <w:kern w:val="22"/>
          <w:szCs w:val="22"/>
        </w:rPr>
      </w:pPr>
      <w:proofErr w:type="gramStart"/>
      <w:r w:rsidRPr="00356FC1">
        <w:rPr>
          <w:i w:val="0"/>
          <w:iCs w:val="0"/>
          <w:snapToGrid w:val="0"/>
          <w:kern w:val="22"/>
          <w:szCs w:val="22"/>
        </w:rPr>
        <w:t>XIII/21.</w:t>
      </w:r>
      <w:proofErr w:type="gramEnd"/>
      <w:r w:rsidRPr="00356FC1">
        <w:rPr>
          <w:i w:val="0"/>
          <w:iCs w:val="0"/>
          <w:snapToGrid w:val="0"/>
          <w:kern w:val="22"/>
          <w:szCs w:val="22"/>
        </w:rPr>
        <w:tab/>
        <w:t>The f</w:t>
      </w:r>
      <w:r w:rsidRPr="0066015A">
        <w:rPr>
          <w:rFonts w:eastAsia="Calibri"/>
          <w:i w:val="0"/>
          <w:iCs w:val="0"/>
          <w:snapToGrid w:val="0"/>
          <w:kern w:val="22"/>
          <w:szCs w:val="22"/>
        </w:rPr>
        <w:t>inancial mechanism</w:t>
      </w:r>
    </w:p>
    <w:p w:rsidR="00B5513E" w:rsidRPr="00356FC1" w:rsidRDefault="00B5513E" w:rsidP="0066015A">
      <w:pPr>
        <w:pStyle w:val="Para10"/>
        <w:numPr>
          <w:ilvl w:val="0"/>
          <w:numId w:val="14"/>
        </w:numPr>
        <w:suppressLineNumbers/>
        <w:tabs>
          <w:tab w:val="clear" w:pos="644"/>
        </w:tabs>
        <w:suppressAutoHyphens/>
        <w:kinsoku w:val="0"/>
        <w:overflowPunct w:val="0"/>
        <w:autoSpaceDE w:val="0"/>
        <w:autoSpaceDN w:val="0"/>
        <w:spacing w:before="120"/>
        <w:ind w:left="0"/>
        <w:rPr>
          <w:snapToGrid w:val="0"/>
          <w:kern w:val="22"/>
          <w:szCs w:val="22"/>
        </w:rPr>
      </w:pPr>
      <w:r w:rsidRPr="0066015A">
        <w:rPr>
          <w:snapToGrid w:val="0"/>
          <w:kern w:val="22"/>
          <w:szCs w:val="22"/>
        </w:rPr>
        <w:t xml:space="preserve">The Committee’s sixth recommendation suggested that </w:t>
      </w:r>
      <w:r w:rsidR="00E30700" w:rsidRPr="00356FC1">
        <w:rPr>
          <w:snapToGrid w:val="0"/>
          <w:kern w:val="22"/>
          <w:szCs w:val="22"/>
        </w:rPr>
        <w:t>the Parties to the Protocol</w:t>
      </w:r>
      <w:r w:rsidRPr="0066015A">
        <w:rPr>
          <w:snapToGrid w:val="0"/>
          <w:kern w:val="22"/>
          <w:szCs w:val="22"/>
        </w:rPr>
        <w:t xml:space="preserve"> recommend </w:t>
      </w:r>
      <w:r w:rsidR="001F364D" w:rsidRPr="00356FC1">
        <w:rPr>
          <w:snapToGrid w:val="0"/>
          <w:kern w:val="22"/>
          <w:szCs w:val="22"/>
        </w:rPr>
        <w:t>to</w:t>
      </w:r>
      <w:r w:rsidR="001F364D" w:rsidRPr="0066015A">
        <w:rPr>
          <w:snapToGrid w:val="0"/>
          <w:kern w:val="22"/>
          <w:szCs w:val="22"/>
        </w:rPr>
        <w:t xml:space="preserve"> </w:t>
      </w:r>
      <w:r w:rsidRPr="0066015A">
        <w:rPr>
          <w:snapToGrid w:val="0"/>
          <w:kern w:val="22"/>
          <w:szCs w:val="22"/>
        </w:rPr>
        <w:t>the Conference of the Parties to the Convention</w:t>
      </w:r>
      <w:r w:rsidR="001F364D" w:rsidRPr="00356FC1">
        <w:rPr>
          <w:snapToGrid w:val="0"/>
          <w:kern w:val="22"/>
          <w:szCs w:val="22"/>
        </w:rPr>
        <w:t xml:space="preserve"> that</w:t>
      </w:r>
      <w:r w:rsidRPr="0066015A">
        <w:rPr>
          <w:snapToGrid w:val="0"/>
          <w:kern w:val="22"/>
          <w:szCs w:val="22"/>
        </w:rPr>
        <w:t xml:space="preserve">, in adopting its guidance to the financial mechanism, </w:t>
      </w:r>
      <w:r w:rsidR="001F364D" w:rsidRPr="00356FC1">
        <w:rPr>
          <w:snapToGrid w:val="0"/>
          <w:kern w:val="22"/>
          <w:szCs w:val="22"/>
        </w:rPr>
        <w:t xml:space="preserve">it </w:t>
      </w:r>
      <w:r w:rsidRPr="0066015A">
        <w:rPr>
          <w:snapToGrid w:val="0"/>
          <w:kern w:val="22"/>
          <w:szCs w:val="22"/>
        </w:rPr>
        <w:t xml:space="preserve">invite the Global Environment Facility to provide funding for eligible Parties for the preparation of their interim national reports under the Nagoya Protocol in line with Article 29 of the Protocol and decision </w:t>
      </w:r>
      <w:hyperlink r:id="rId19" w:history="1">
        <w:r w:rsidRPr="0066015A">
          <w:rPr>
            <w:rStyle w:val="Hyperlink"/>
            <w:snapToGrid w:val="0"/>
            <w:kern w:val="22"/>
            <w:sz w:val="22"/>
            <w:szCs w:val="22"/>
          </w:rPr>
          <w:t>NP-1/3</w:t>
        </w:r>
      </w:hyperlink>
      <w:r w:rsidRPr="0066015A">
        <w:rPr>
          <w:snapToGrid w:val="0"/>
          <w:kern w:val="22"/>
          <w:szCs w:val="22"/>
        </w:rPr>
        <w:t>.</w:t>
      </w:r>
    </w:p>
    <w:p w:rsidR="00B5513E" w:rsidRPr="00356FC1" w:rsidRDefault="00B5513E" w:rsidP="0066015A">
      <w:pPr>
        <w:pStyle w:val="Para10"/>
        <w:numPr>
          <w:ilvl w:val="0"/>
          <w:numId w:val="14"/>
        </w:numPr>
        <w:suppressLineNumbers/>
        <w:tabs>
          <w:tab w:val="clear" w:pos="644"/>
        </w:tabs>
        <w:suppressAutoHyphens/>
        <w:kinsoku w:val="0"/>
        <w:overflowPunct w:val="0"/>
        <w:autoSpaceDE w:val="0"/>
        <w:autoSpaceDN w:val="0"/>
        <w:spacing w:before="120"/>
        <w:ind w:left="0"/>
        <w:rPr>
          <w:snapToGrid w:val="0"/>
          <w:kern w:val="22"/>
          <w:szCs w:val="22"/>
        </w:rPr>
      </w:pPr>
      <w:r w:rsidRPr="00356FC1">
        <w:rPr>
          <w:snapToGrid w:val="0"/>
          <w:kern w:val="22"/>
          <w:szCs w:val="22"/>
        </w:rPr>
        <w:t xml:space="preserve">The Committee’s recommendation was incorporated with some minor changes into decision </w:t>
      </w:r>
      <w:hyperlink r:id="rId20" w:history="1">
        <w:r w:rsidRPr="00356FC1">
          <w:rPr>
            <w:rStyle w:val="Hyperlink"/>
            <w:snapToGrid w:val="0"/>
            <w:kern w:val="22"/>
            <w:sz w:val="22"/>
            <w:szCs w:val="22"/>
          </w:rPr>
          <w:t>XIII/21</w:t>
        </w:r>
      </w:hyperlink>
      <w:r w:rsidRPr="00356FC1">
        <w:rPr>
          <w:snapToGrid w:val="0"/>
          <w:kern w:val="22"/>
          <w:szCs w:val="22"/>
        </w:rPr>
        <w:t xml:space="preserve"> adopted by the thirteenth meeting of the Conference of the Parties to the Convention (para</w:t>
      </w:r>
      <w:r w:rsidR="00C53760" w:rsidRPr="00356FC1">
        <w:rPr>
          <w:snapToGrid w:val="0"/>
          <w:kern w:val="22"/>
          <w:szCs w:val="22"/>
        </w:rPr>
        <w:t>.</w:t>
      </w:r>
      <w:r w:rsidRPr="00356FC1">
        <w:rPr>
          <w:snapToGrid w:val="0"/>
          <w:kern w:val="22"/>
          <w:szCs w:val="22"/>
        </w:rPr>
        <w:t xml:space="preserve"> 38).</w:t>
      </w:r>
    </w:p>
    <w:p w:rsidR="00B5513E" w:rsidRPr="00356FC1" w:rsidRDefault="00B5513E" w:rsidP="0066015A">
      <w:pPr>
        <w:pStyle w:val="Para10"/>
        <w:numPr>
          <w:ilvl w:val="0"/>
          <w:numId w:val="14"/>
        </w:numPr>
        <w:suppressLineNumbers/>
        <w:tabs>
          <w:tab w:val="clear" w:pos="644"/>
        </w:tabs>
        <w:suppressAutoHyphens/>
        <w:kinsoku w:val="0"/>
        <w:overflowPunct w:val="0"/>
        <w:autoSpaceDE w:val="0"/>
        <w:autoSpaceDN w:val="0"/>
        <w:spacing w:before="120"/>
        <w:ind w:left="0"/>
        <w:rPr>
          <w:snapToGrid w:val="0"/>
          <w:kern w:val="22"/>
          <w:szCs w:val="22"/>
        </w:rPr>
      </w:pPr>
      <w:r w:rsidRPr="00356FC1">
        <w:rPr>
          <w:snapToGrid w:val="0"/>
          <w:kern w:val="22"/>
          <w:szCs w:val="22"/>
        </w:rPr>
        <w:t xml:space="preserve">This reinforced the request made in 2014 by the Conference of the Parties </w:t>
      </w:r>
      <w:r w:rsidR="00662764" w:rsidRPr="00356FC1">
        <w:rPr>
          <w:snapToGrid w:val="0"/>
          <w:kern w:val="22"/>
          <w:szCs w:val="22"/>
        </w:rPr>
        <w:t xml:space="preserve">at its twelfth meeting </w:t>
      </w:r>
      <w:r w:rsidRPr="00356FC1">
        <w:rPr>
          <w:snapToGrid w:val="0"/>
          <w:kern w:val="22"/>
          <w:szCs w:val="22"/>
        </w:rPr>
        <w:t xml:space="preserve">for the </w:t>
      </w:r>
      <w:r w:rsidR="00A506A1" w:rsidRPr="00356FC1">
        <w:rPr>
          <w:snapToGrid w:val="0"/>
          <w:kern w:val="22"/>
          <w:szCs w:val="22"/>
        </w:rPr>
        <w:t>Global Environment Facility</w:t>
      </w:r>
      <w:r w:rsidR="00A506A1" w:rsidRPr="00356FC1" w:rsidDel="00A506A1">
        <w:rPr>
          <w:snapToGrid w:val="0"/>
          <w:kern w:val="22"/>
          <w:szCs w:val="22"/>
        </w:rPr>
        <w:t xml:space="preserve"> </w:t>
      </w:r>
      <w:r w:rsidRPr="00356FC1">
        <w:rPr>
          <w:snapToGrid w:val="0"/>
          <w:kern w:val="22"/>
          <w:szCs w:val="22"/>
        </w:rPr>
        <w:t xml:space="preserve">to make financial resources available with a view to assisting eligible Parties to the Nagoya Protocol in preparing their national reports (decision </w:t>
      </w:r>
      <w:hyperlink r:id="rId21" w:history="1">
        <w:r w:rsidRPr="00356FC1">
          <w:rPr>
            <w:rStyle w:val="Hyperlink"/>
            <w:snapToGrid w:val="0"/>
            <w:kern w:val="22"/>
            <w:sz w:val="22"/>
            <w:szCs w:val="22"/>
          </w:rPr>
          <w:t>XII/30</w:t>
        </w:r>
      </w:hyperlink>
      <w:r w:rsidRPr="00356FC1">
        <w:rPr>
          <w:snapToGrid w:val="0"/>
          <w:kern w:val="22"/>
          <w:szCs w:val="22"/>
        </w:rPr>
        <w:t>, para</w:t>
      </w:r>
      <w:r w:rsidR="00C53760" w:rsidRPr="00356FC1">
        <w:rPr>
          <w:snapToGrid w:val="0"/>
          <w:kern w:val="22"/>
          <w:szCs w:val="22"/>
        </w:rPr>
        <w:t>.</w:t>
      </w:r>
      <w:r w:rsidRPr="00356FC1">
        <w:rPr>
          <w:snapToGrid w:val="0"/>
          <w:kern w:val="22"/>
          <w:szCs w:val="22"/>
        </w:rPr>
        <w:t xml:space="preserve"> 18(b)).</w:t>
      </w:r>
    </w:p>
    <w:p w:rsidR="00B5513E" w:rsidRPr="0066015A" w:rsidRDefault="00B5513E" w:rsidP="0066015A">
      <w:pPr>
        <w:pStyle w:val="Heading1longmultiline"/>
        <w:suppressLineNumbers/>
        <w:suppressAutoHyphens/>
        <w:kinsoku w:val="0"/>
        <w:overflowPunct w:val="0"/>
        <w:autoSpaceDE w:val="0"/>
        <w:autoSpaceDN w:val="0"/>
        <w:ind w:left="1440" w:hanging="720"/>
        <w:rPr>
          <w:rFonts w:ascii="Times New Roman Bold" w:hAnsi="Times New Roman Bold" w:cs="Times New Roman Bold"/>
          <w:bCs/>
          <w:snapToGrid w:val="0"/>
          <w:kern w:val="22"/>
          <w:szCs w:val="22"/>
        </w:rPr>
      </w:pPr>
      <w:r w:rsidRPr="0066015A">
        <w:rPr>
          <w:rFonts w:ascii="Times New Roman Bold" w:hAnsi="Times New Roman Bold" w:cs="Times New Roman Bold"/>
          <w:bCs/>
          <w:snapToGrid w:val="0"/>
          <w:kern w:val="22"/>
          <w:szCs w:val="22"/>
        </w:rPr>
        <w:t>III.</w:t>
      </w:r>
      <w:r w:rsidRPr="0066015A">
        <w:rPr>
          <w:rFonts w:ascii="Times New Roman Bold" w:hAnsi="Times New Roman Bold" w:cs="Times New Roman Bold"/>
          <w:bCs/>
          <w:snapToGrid w:val="0"/>
          <w:kern w:val="22"/>
          <w:szCs w:val="22"/>
        </w:rPr>
        <w:tab/>
      </w:r>
      <w:r w:rsidR="00746292" w:rsidRPr="0066015A">
        <w:rPr>
          <w:rFonts w:ascii="Times New Roman Bold" w:hAnsi="Times New Roman Bold" w:cs="Times New Roman Bold"/>
          <w:bCs/>
          <w:snapToGrid w:val="0"/>
          <w:kern w:val="22"/>
          <w:szCs w:val="22"/>
        </w:rPr>
        <w:t xml:space="preserve">Other </w:t>
      </w:r>
      <w:r w:rsidRPr="0066015A">
        <w:rPr>
          <w:rFonts w:ascii="Times New Roman Bold" w:hAnsi="Times New Roman Bold" w:cs="Times New Roman Bold"/>
          <w:bCs/>
          <w:snapToGrid w:val="0"/>
          <w:kern w:val="22"/>
          <w:szCs w:val="22"/>
        </w:rPr>
        <w:t xml:space="preserve">relevant </w:t>
      </w:r>
      <w:r w:rsidR="00746292" w:rsidRPr="0066015A">
        <w:rPr>
          <w:rFonts w:ascii="Times New Roman Bold" w:hAnsi="Times New Roman Bold" w:cs="Times New Roman Bold"/>
          <w:bCs/>
          <w:snapToGrid w:val="0"/>
          <w:kern w:val="22"/>
          <w:szCs w:val="22"/>
        </w:rPr>
        <w:t xml:space="preserve">decisions taken </w:t>
      </w:r>
      <w:r w:rsidRPr="0066015A">
        <w:rPr>
          <w:rFonts w:ascii="Times New Roman Bold" w:hAnsi="Times New Roman Bold" w:cs="Times New Roman Bold"/>
          <w:bCs/>
          <w:snapToGrid w:val="0"/>
          <w:kern w:val="22"/>
          <w:szCs w:val="22"/>
        </w:rPr>
        <w:t xml:space="preserve">by </w:t>
      </w:r>
      <w:r w:rsidR="00746292" w:rsidRPr="0066015A">
        <w:rPr>
          <w:rFonts w:ascii="Times New Roman Bold" w:hAnsi="Times New Roman Bold" w:cs="Times New Roman Bold"/>
          <w:bCs/>
          <w:snapToGrid w:val="0"/>
          <w:kern w:val="22"/>
          <w:szCs w:val="22"/>
        </w:rPr>
        <w:t>t</w:t>
      </w:r>
      <w:r w:rsidR="00DA3CEC" w:rsidRPr="00356FC1">
        <w:rPr>
          <w:rFonts w:ascii="Times New Roman Bold" w:hAnsi="Times New Roman Bold" w:cs="Times New Roman Bold"/>
          <w:bCs/>
          <w:snapToGrid w:val="0"/>
          <w:kern w:val="22"/>
          <w:szCs w:val="22"/>
        </w:rPr>
        <w:t>he Parties to the Protocol at </w:t>
      </w:r>
      <w:r w:rsidR="00746292" w:rsidRPr="0066015A">
        <w:rPr>
          <w:rFonts w:ascii="Times New Roman Bold" w:hAnsi="Times New Roman Bold" w:cs="Times New Roman Bold"/>
          <w:bCs/>
          <w:snapToGrid w:val="0"/>
          <w:kern w:val="22"/>
          <w:szCs w:val="22"/>
        </w:rPr>
        <w:t>their second meeting</w:t>
      </w:r>
    </w:p>
    <w:p w:rsidR="00B5513E" w:rsidRPr="0066015A" w:rsidRDefault="00B5513E" w:rsidP="0066015A">
      <w:pPr>
        <w:pStyle w:val="Heading2longmultiline"/>
        <w:suppressLineNumbers/>
        <w:tabs>
          <w:tab w:val="clear" w:pos="720"/>
          <w:tab w:val="left" w:pos="900"/>
        </w:tabs>
        <w:suppressAutoHyphens/>
        <w:kinsoku w:val="0"/>
        <w:overflowPunct w:val="0"/>
        <w:autoSpaceDE w:val="0"/>
        <w:autoSpaceDN w:val="0"/>
        <w:ind w:left="0" w:firstLine="0"/>
        <w:jc w:val="center"/>
        <w:rPr>
          <w:i w:val="0"/>
          <w:iCs w:val="0"/>
          <w:snapToGrid w:val="0"/>
          <w:kern w:val="22"/>
          <w:szCs w:val="22"/>
        </w:rPr>
      </w:pPr>
      <w:proofErr w:type="gramStart"/>
      <w:r w:rsidRPr="0066015A">
        <w:rPr>
          <w:i w:val="0"/>
          <w:iCs w:val="0"/>
          <w:snapToGrid w:val="0"/>
          <w:kern w:val="22"/>
          <w:szCs w:val="22"/>
        </w:rPr>
        <w:t>NP-2/4.</w:t>
      </w:r>
      <w:proofErr w:type="gramEnd"/>
      <w:r w:rsidRPr="0066015A">
        <w:rPr>
          <w:i w:val="0"/>
          <w:iCs w:val="0"/>
          <w:snapToGrid w:val="0"/>
          <w:kern w:val="22"/>
          <w:szCs w:val="22"/>
        </w:rPr>
        <w:tab/>
        <w:t>Assessment and review of the effectiveness of the Protocol (Article 31)</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At their first meeting, the Parties to the Nagoya Protocol adopted decision </w:t>
      </w:r>
      <w:hyperlink r:id="rId22" w:history="1">
        <w:r w:rsidRPr="0066015A">
          <w:rPr>
            <w:rStyle w:val="Hyperlink"/>
            <w:sz w:val="22"/>
          </w:rPr>
          <w:t>NP-1/3</w:t>
        </w:r>
      </w:hyperlink>
      <w:r w:rsidRPr="00356FC1">
        <w:rPr>
          <w:kern w:val="22"/>
          <w:szCs w:val="22"/>
        </w:rPr>
        <w:t xml:space="preserve"> on monitoring and reporting. In paragraph 6 of the decision, they requested the Executive Secretary to consolidate information contained in the interim national reports of Parties received and information published in the ABS Clearing-House for the consideration of </w:t>
      </w:r>
      <w:r w:rsidR="00E30700" w:rsidRPr="00356FC1">
        <w:rPr>
          <w:kern w:val="22"/>
          <w:szCs w:val="22"/>
        </w:rPr>
        <w:t>the Parties to the Protocol</w:t>
      </w:r>
      <w:r w:rsidRPr="00356FC1">
        <w:rPr>
          <w:kern w:val="22"/>
          <w:szCs w:val="22"/>
        </w:rPr>
        <w:t xml:space="preserve"> </w:t>
      </w:r>
      <w:r w:rsidR="00C53760" w:rsidRPr="00356FC1">
        <w:rPr>
          <w:kern w:val="22"/>
          <w:szCs w:val="22"/>
        </w:rPr>
        <w:t xml:space="preserve">at </w:t>
      </w:r>
      <w:r w:rsidR="00E33480" w:rsidRPr="00356FC1">
        <w:rPr>
          <w:kern w:val="22"/>
          <w:szCs w:val="22"/>
        </w:rPr>
        <w:t>their</w:t>
      </w:r>
      <w:r w:rsidR="00C53760" w:rsidRPr="00356FC1">
        <w:rPr>
          <w:kern w:val="22"/>
          <w:szCs w:val="22"/>
        </w:rPr>
        <w:t xml:space="preserve"> third meeting</w:t>
      </w:r>
      <w:r w:rsidRPr="00356FC1">
        <w:rPr>
          <w:kern w:val="22"/>
          <w:szCs w:val="22"/>
        </w:rPr>
        <w:t>, as a contribution to the assessment and review of the effectiveness of the Protocol.</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At its first meeting, the Compliance Committee </w:t>
      </w:r>
      <w:r w:rsidR="00260B80" w:rsidRPr="00356FC1">
        <w:rPr>
          <w:kern w:val="22"/>
          <w:szCs w:val="22"/>
        </w:rPr>
        <w:t xml:space="preserve">decided </w:t>
      </w:r>
      <w:r w:rsidRPr="00356FC1">
        <w:rPr>
          <w:kern w:val="22"/>
          <w:szCs w:val="22"/>
        </w:rPr>
        <w:t xml:space="preserve">that, at its next meeting, it would review systemic issues of general non-compliance on the basis of the analysis of the interim national reports and the information on the ABS Clearing-House that the Executive Secretary </w:t>
      </w:r>
      <w:r w:rsidR="00F23049">
        <w:rPr>
          <w:kern w:val="22"/>
          <w:szCs w:val="22"/>
        </w:rPr>
        <w:t>had been</w:t>
      </w:r>
      <w:r w:rsidR="00F23049" w:rsidRPr="00356FC1">
        <w:rPr>
          <w:kern w:val="22"/>
          <w:szCs w:val="22"/>
        </w:rPr>
        <w:t xml:space="preserve"> </w:t>
      </w:r>
      <w:r w:rsidRPr="00356FC1">
        <w:rPr>
          <w:kern w:val="22"/>
          <w:szCs w:val="22"/>
        </w:rPr>
        <w:t>requested to prepare in decision NP</w:t>
      </w:r>
      <w:r w:rsidR="00C53760" w:rsidRPr="00356FC1">
        <w:rPr>
          <w:kern w:val="22"/>
          <w:szCs w:val="22"/>
        </w:rPr>
        <w:noBreakHyphen/>
      </w:r>
      <w:r w:rsidRPr="00356FC1">
        <w:rPr>
          <w:kern w:val="22"/>
          <w:szCs w:val="22"/>
        </w:rPr>
        <w:t>1/3</w:t>
      </w:r>
      <w:r w:rsidR="00F23049">
        <w:rPr>
          <w:kern w:val="22"/>
          <w:szCs w:val="22"/>
        </w:rPr>
        <w:t>,</w:t>
      </w:r>
      <w:r w:rsidR="00F23049" w:rsidRPr="00F23049">
        <w:rPr>
          <w:kern w:val="22"/>
          <w:szCs w:val="22"/>
        </w:rPr>
        <w:t xml:space="preserve"> </w:t>
      </w:r>
      <w:r w:rsidR="00F23049" w:rsidRPr="002145A3">
        <w:rPr>
          <w:kern w:val="22"/>
          <w:szCs w:val="22"/>
        </w:rPr>
        <w:t>para</w:t>
      </w:r>
      <w:r w:rsidR="00F23049">
        <w:rPr>
          <w:kern w:val="22"/>
          <w:szCs w:val="22"/>
        </w:rPr>
        <w:t>. 6</w:t>
      </w:r>
      <w:r w:rsidRPr="00356FC1">
        <w:rPr>
          <w:kern w:val="22"/>
          <w:szCs w:val="22"/>
        </w:rPr>
        <w:t>.</w:t>
      </w:r>
      <w:r w:rsidRPr="00356FC1">
        <w:rPr>
          <w:rStyle w:val="FootnoteReference"/>
          <w:kern w:val="22"/>
          <w:szCs w:val="22"/>
        </w:rPr>
        <w:footnoteReference w:id="5"/>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The Committee also “considered its possible contribution in the assessment and review of the Protocol (Article 31), including the review of procedures and mechanisms provided for in section G of the compliance procedures and mechanisms. It recognized that the assessment and review was coming at an early stage and that, although it was premature to define a specific role of the Committee in that process, it could provide information and findings on compliance with the Protocol”.</w:t>
      </w:r>
      <w:r w:rsidRPr="00356FC1">
        <w:rPr>
          <w:rStyle w:val="FootnoteReference"/>
          <w:kern w:val="22"/>
          <w:szCs w:val="22"/>
        </w:rPr>
        <w:footnoteReference w:id="6"/>
      </w:r>
      <w:r w:rsidRPr="00356FC1">
        <w:rPr>
          <w:kern w:val="22"/>
          <w:szCs w:val="22"/>
        </w:rPr>
        <w:t xml:space="preserve"> The Committee did not adopt a recommendation to </w:t>
      </w:r>
      <w:r w:rsidR="00E30700" w:rsidRPr="00356FC1">
        <w:rPr>
          <w:kern w:val="22"/>
          <w:szCs w:val="22"/>
        </w:rPr>
        <w:t>the Parties to the Protocol</w:t>
      </w:r>
      <w:r w:rsidRPr="00356FC1">
        <w:rPr>
          <w:kern w:val="22"/>
          <w:szCs w:val="22"/>
        </w:rPr>
        <w:t xml:space="preserve"> on this matter.</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At its second meeting, </w:t>
      </w:r>
      <w:r w:rsidR="00E30700" w:rsidRPr="00356FC1">
        <w:rPr>
          <w:kern w:val="22"/>
          <w:szCs w:val="22"/>
        </w:rPr>
        <w:t>the Parties to the Protocol</w:t>
      </w:r>
      <w:r w:rsidRPr="00356FC1">
        <w:rPr>
          <w:kern w:val="22"/>
          <w:szCs w:val="22"/>
        </w:rPr>
        <w:t xml:space="preserve"> adopted decision </w:t>
      </w:r>
      <w:hyperlink r:id="rId23" w:history="1">
        <w:r w:rsidRPr="00356FC1">
          <w:rPr>
            <w:rStyle w:val="Hyperlink"/>
            <w:kern w:val="22"/>
            <w:sz w:val="22"/>
            <w:szCs w:val="22"/>
          </w:rPr>
          <w:t>NP-2/4</w:t>
        </w:r>
      </w:hyperlink>
      <w:r w:rsidRPr="00356FC1">
        <w:rPr>
          <w:kern w:val="22"/>
          <w:szCs w:val="22"/>
        </w:rPr>
        <w:t xml:space="preserve"> on assessment and review of the effectiveness of the Protocol</w:t>
      </w:r>
      <w:r w:rsidR="009A413C">
        <w:rPr>
          <w:kern w:val="22"/>
          <w:szCs w:val="22"/>
        </w:rPr>
        <w:t>,</w:t>
      </w:r>
      <w:r w:rsidRPr="00356FC1">
        <w:rPr>
          <w:kern w:val="22"/>
          <w:szCs w:val="22"/>
        </w:rPr>
        <w:t xml:space="preserve"> in which it decided on the process for conducting the first assessment and review of the Protocol. In paragraph 5 of the decision, </w:t>
      </w:r>
      <w:r w:rsidR="00E30700" w:rsidRPr="00356FC1">
        <w:rPr>
          <w:kern w:val="22"/>
          <w:szCs w:val="22"/>
        </w:rPr>
        <w:t>the Parties to the Protocol</w:t>
      </w:r>
      <w:r w:rsidRPr="00356FC1">
        <w:rPr>
          <w:kern w:val="22"/>
          <w:szCs w:val="22"/>
        </w:rPr>
        <w:t xml:space="preserve"> requested the Compliance Committee to provide inputs to the first assessment and review of the Protocol in the form of information and findings on general issues of compliance and recommendations to assist in addressing challenges to the implementation of the Protocol. The Subsidiary Body on Implementation </w:t>
      </w:r>
      <w:r w:rsidR="009A413C">
        <w:rPr>
          <w:kern w:val="22"/>
          <w:szCs w:val="22"/>
        </w:rPr>
        <w:t>at its</w:t>
      </w:r>
      <w:r w:rsidR="009A413C" w:rsidRPr="009A413C">
        <w:rPr>
          <w:kern w:val="22"/>
          <w:szCs w:val="22"/>
        </w:rPr>
        <w:t xml:space="preserve"> </w:t>
      </w:r>
      <w:r w:rsidR="009A413C" w:rsidRPr="002145A3">
        <w:rPr>
          <w:kern w:val="22"/>
          <w:szCs w:val="22"/>
        </w:rPr>
        <w:t>second meeting</w:t>
      </w:r>
      <w:r w:rsidR="009A413C" w:rsidRPr="00356FC1">
        <w:rPr>
          <w:kern w:val="22"/>
          <w:szCs w:val="22"/>
        </w:rPr>
        <w:t xml:space="preserve"> </w:t>
      </w:r>
      <w:r w:rsidRPr="00356FC1">
        <w:rPr>
          <w:kern w:val="22"/>
          <w:szCs w:val="22"/>
        </w:rPr>
        <w:t xml:space="preserve">will then review the analysis and synthesis of information, taking into account the inputs from the Compliance Committee, and submit its findings and recommendations to </w:t>
      </w:r>
      <w:r w:rsidR="00E30700" w:rsidRPr="00356FC1">
        <w:rPr>
          <w:kern w:val="22"/>
          <w:szCs w:val="22"/>
        </w:rPr>
        <w:t>the Parties to the Protocol</w:t>
      </w:r>
      <w:r w:rsidR="009A413C">
        <w:rPr>
          <w:kern w:val="22"/>
          <w:szCs w:val="22"/>
        </w:rPr>
        <w:t xml:space="preserve"> at their</w:t>
      </w:r>
      <w:r w:rsidR="009A413C" w:rsidRPr="009A413C">
        <w:rPr>
          <w:kern w:val="22"/>
          <w:szCs w:val="22"/>
        </w:rPr>
        <w:t xml:space="preserve"> </w:t>
      </w:r>
      <w:r w:rsidR="009A413C" w:rsidRPr="002145A3">
        <w:rPr>
          <w:kern w:val="22"/>
          <w:szCs w:val="22"/>
        </w:rPr>
        <w:t>the third meeting</w:t>
      </w:r>
      <w:r w:rsidRPr="00356FC1">
        <w:rPr>
          <w:kern w:val="22"/>
          <w:szCs w:val="22"/>
        </w:rPr>
        <w:t>.</w:t>
      </w:r>
    </w:p>
    <w:p w:rsidR="00B5513E" w:rsidRPr="0066015A" w:rsidRDefault="00B5513E" w:rsidP="0066015A">
      <w:pPr>
        <w:pStyle w:val="Heading2longmultiline"/>
        <w:suppressLineNumbers/>
        <w:tabs>
          <w:tab w:val="clear" w:pos="720"/>
          <w:tab w:val="left" w:pos="900"/>
        </w:tabs>
        <w:suppressAutoHyphens/>
        <w:kinsoku w:val="0"/>
        <w:overflowPunct w:val="0"/>
        <w:autoSpaceDE w:val="0"/>
        <w:autoSpaceDN w:val="0"/>
        <w:ind w:left="0" w:right="0" w:firstLine="0"/>
        <w:jc w:val="center"/>
        <w:rPr>
          <w:i w:val="0"/>
          <w:iCs w:val="0"/>
          <w:snapToGrid w:val="0"/>
          <w:kern w:val="22"/>
          <w:szCs w:val="22"/>
        </w:rPr>
      </w:pPr>
      <w:proofErr w:type="gramStart"/>
      <w:r w:rsidRPr="0066015A">
        <w:rPr>
          <w:i w:val="0"/>
          <w:iCs w:val="0"/>
          <w:snapToGrid w:val="0"/>
          <w:kern w:val="22"/>
          <w:szCs w:val="22"/>
        </w:rPr>
        <w:t>NP-2/7.</w:t>
      </w:r>
      <w:proofErr w:type="gramEnd"/>
      <w:r w:rsidRPr="0066015A">
        <w:rPr>
          <w:i w:val="0"/>
          <w:iCs w:val="0"/>
          <w:snapToGrid w:val="0"/>
          <w:kern w:val="22"/>
          <w:szCs w:val="22"/>
        </w:rPr>
        <w:t xml:space="preserve"> </w:t>
      </w:r>
      <w:r w:rsidRPr="0066015A">
        <w:rPr>
          <w:i w:val="0"/>
          <w:iCs w:val="0"/>
          <w:snapToGrid w:val="0"/>
          <w:kern w:val="22"/>
          <w:szCs w:val="22"/>
        </w:rPr>
        <w:tab/>
        <w:t>Use of the term “indigenous peoples and local communities”</w:t>
      </w:r>
    </w:p>
    <w:p w:rsidR="00B5513E" w:rsidRPr="0066015A" w:rsidRDefault="00B5513E" w:rsidP="0066015A">
      <w:pPr>
        <w:pStyle w:val="Para10"/>
        <w:numPr>
          <w:ilvl w:val="0"/>
          <w:numId w:val="14"/>
        </w:numPr>
        <w:suppressLineNumbers/>
        <w:tabs>
          <w:tab w:val="clear" w:pos="644"/>
        </w:tabs>
        <w:suppressAutoHyphens/>
        <w:kinsoku w:val="0"/>
        <w:overflowPunct w:val="0"/>
        <w:autoSpaceDE w:val="0"/>
        <w:autoSpaceDN w:val="0"/>
        <w:spacing w:before="120" w:after="120"/>
        <w:ind w:left="0"/>
        <w:rPr>
          <w:snapToGrid w:val="0"/>
          <w:kern w:val="22"/>
          <w:szCs w:val="22"/>
        </w:rPr>
      </w:pPr>
      <w:r w:rsidRPr="0066015A">
        <w:rPr>
          <w:snapToGrid w:val="0"/>
          <w:kern w:val="22"/>
          <w:szCs w:val="22"/>
        </w:rPr>
        <w:t xml:space="preserve">In 2014, following a recommendation from the United Nations Permanent Forum on Indigenous Issues, the Conference of the Parties to the Convention adopted decision </w:t>
      </w:r>
      <w:hyperlink r:id="rId24" w:history="1">
        <w:r w:rsidRPr="0066015A">
          <w:rPr>
            <w:rStyle w:val="Hyperlink"/>
            <w:snapToGrid w:val="0"/>
            <w:kern w:val="22"/>
            <w:sz w:val="22"/>
            <w:szCs w:val="22"/>
          </w:rPr>
          <w:t>XII/12</w:t>
        </w:r>
        <w:r w:rsidR="00610F72">
          <w:rPr>
            <w:rStyle w:val="Hyperlink"/>
            <w:snapToGrid w:val="0"/>
            <w:kern w:val="22"/>
            <w:sz w:val="22"/>
            <w:szCs w:val="22"/>
          </w:rPr>
          <w:t> </w:t>
        </w:r>
        <w:r w:rsidRPr="0066015A">
          <w:rPr>
            <w:rStyle w:val="Hyperlink"/>
            <w:snapToGrid w:val="0"/>
            <w:kern w:val="22"/>
            <w:sz w:val="22"/>
            <w:szCs w:val="22"/>
          </w:rPr>
          <w:t>F</w:t>
        </w:r>
      </w:hyperlink>
      <w:r w:rsidRPr="0066015A">
        <w:rPr>
          <w:snapToGrid w:val="0"/>
          <w:kern w:val="22"/>
          <w:szCs w:val="22"/>
        </w:rPr>
        <w:t>. Among other things, the Parties decided to use the terminology “indigenous peoples and local communities” in future decisions and secondary documents under the Convention, as appropriate (para</w:t>
      </w:r>
      <w:r w:rsidR="00C53760" w:rsidRPr="0066015A">
        <w:rPr>
          <w:snapToGrid w:val="0"/>
          <w:kern w:val="22"/>
          <w:szCs w:val="22"/>
        </w:rPr>
        <w:t>.</w:t>
      </w:r>
      <w:r w:rsidR="00610F72">
        <w:rPr>
          <w:snapToGrid w:val="0"/>
          <w:kern w:val="22"/>
          <w:szCs w:val="22"/>
        </w:rPr>
        <w:t> </w:t>
      </w:r>
      <w:r w:rsidRPr="0066015A">
        <w:rPr>
          <w:snapToGrid w:val="0"/>
          <w:kern w:val="22"/>
          <w:szCs w:val="22"/>
        </w:rPr>
        <w:t>1).</w:t>
      </w:r>
    </w:p>
    <w:p w:rsidR="00B5513E" w:rsidRPr="0066015A" w:rsidRDefault="00B5513E" w:rsidP="0066015A">
      <w:pPr>
        <w:pStyle w:val="Para10"/>
        <w:numPr>
          <w:ilvl w:val="0"/>
          <w:numId w:val="14"/>
        </w:numPr>
        <w:suppressLineNumbers/>
        <w:tabs>
          <w:tab w:val="clear" w:pos="644"/>
        </w:tabs>
        <w:suppressAutoHyphens/>
        <w:kinsoku w:val="0"/>
        <w:overflowPunct w:val="0"/>
        <w:autoSpaceDE w:val="0"/>
        <w:autoSpaceDN w:val="0"/>
        <w:spacing w:before="120" w:after="120"/>
        <w:ind w:left="0"/>
        <w:rPr>
          <w:snapToGrid w:val="0"/>
          <w:kern w:val="22"/>
          <w:szCs w:val="22"/>
        </w:rPr>
      </w:pPr>
      <w:r w:rsidRPr="0066015A">
        <w:rPr>
          <w:snapToGrid w:val="0"/>
          <w:kern w:val="22"/>
          <w:szCs w:val="22"/>
        </w:rPr>
        <w:lastRenderedPageBreak/>
        <w:t xml:space="preserve">In 2015, the Ad hoc Open-ended Inter-sessional Working Group on Article 8(j) and Related Provisions of the Convention </w:t>
      </w:r>
      <w:r w:rsidR="00471153">
        <w:rPr>
          <w:snapToGrid w:val="0"/>
          <w:kern w:val="22"/>
          <w:szCs w:val="22"/>
        </w:rPr>
        <w:t>at its</w:t>
      </w:r>
      <w:r w:rsidR="00471153" w:rsidRPr="00471153">
        <w:rPr>
          <w:snapToGrid w:val="0"/>
          <w:kern w:val="22"/>
          <w:szCs w:val="22"/>
        </w:rPr>
        <w:t xml:space="preserve"> </w:t>
      </w:r>
      <w:r w:rsidR="00471153" w:rsidRPr="002145A3">
        <w:rPr>
          <w:snapToGrid w:val="0"/>
          <w:kern w:val="22"/>
          <w:szCs w:val="22"/>
        </w:rPr>
        <w:t>the ninth meeting</w:t>
      </w:r>
      <w:r w:rsidR="00471153" w:rsidRPr="00356FC1">
        <w:rPr>
          <w:snapToGrid w:val="0"/>
          <w:kern w:val="22"/>
          <w:szCs w:val="22"/>
        </w:rPr>
        <w:t xml:space="preserve"> </w:t>
      </w:r>
      <w:r w:rsidRPr="0066015A">
        <w:rPr>
          <w:snapToGrid w:val="0"/>
          <w:kern w:val="22"/>
          <w:szCs w:val="22"/>
        </w:rPr>
        <w:t xml:space="preserve">recommended that the Conference of the Parties invite the </w:t>
      </w:r>
      <w:r w:rsidR="00D36D9F" w:rsidRPr="000A2461">
        <w:rPr>
          <w:snapToGrid w:val="0"/>
          <w:kern w:val="22"/>
        </w:rPr>
        <w:t>Conference of the Parties serving as the</w:t>
      </w:r>
      <w:r w:rsidR="00D36D9F" w:rsidRPr="00356FC1">
        <w:rPr>
          <w:snapToGrid w:val="0"/>
          <w:kern w:val="22"/>
          <w:szCs w:val="22"/>
        </w:rPr>
        <w:t xml:space="preserve"> </w:t>
      </w:r>
      <w:r w:rsidR="00C53760" w:rsidRPr="0066015A">
        <w:rPr>
          <w:snapToGrid w:val="0"/>
          <w:kern w:val="22"/>
          <w:szCs w:val="22"/>
        </w:rPr>
        <w:t xml:space="preserve">meeting of the Parties to </w:t>
      </w:r>
      <w:r w:rsidRPr="0066015A">
        <w:rPr>
          <w:snapToGrid w:val="0"/>
          <w:kern w:val="22"/>
          <w:szCs w:val="22"/>
        </w:rPr>
        <w:t xml:space="preserve">the Nagoya Protocol to consider taking a decision to apply, </w:t>
      </w:r>
      <w:r w:rsidRPr="0066015A">
        <w:rPr>
          <w:iCs/>
          <w:snapToGrid w:val="0"/>
          <w:kern w:val="22"/>
          <w:szCs w:val="22"/>
        </w:rPr>
        <w:t>mutatis mutandis</w:t>
      </w:r>
      <w:r w:rsidRPr="0066015A">
        <w:rPr>
          <w:snapToGrid w:val="0"/>
          <w:kern w:val="22"/>
          <w:szCs w:val="22"/>
        </w:rPr>
        <w:t>, decision XII/12</w:t>
      </w:r>
      <w:r w:rsidR="00D30614" w:rsidRPr="00356FC1">
        <w:rPr>
          <w:snapToGrid w:val="0"/>
          <w:kern w:val="22"/>
          <w:szCs w:val="22"/>
        </w:rPr>
        <w:t> </w:t>
      </w:r>
      <w:r w:rsidRPr="0066015A">
        <w:rPr>
          <w:snapToGrid w:val="0"/>
          <w:kern w:val="22"/>
          <w:szCs w:val="22"/>
        </w:rPr>
        <w:t>F of the Conference of the Parties (</w:t>
      </w:r>
      <w:hyperlink r:id="rId25" w:history="1">
        <w:r w:rsidRPr="0066015A">
          <w:rPr>
            <w:rStyle w:val="Hyperlink"/>
            <w:snapToGrid w:val="0"/>
            <w:sz w:val="22"/>
          </w:rPr>
          <w:t>recommendation 9/4</w:t>
        </w:r>
      </w:hyperlink>
      <w:r w:rsidRPr="0066015A">
        <w:rPr>
          <w:snapToGrid w:val="0"/>
          <w:kern w:val="22"/>
          <w:szCs w:val="22"/>
        </w:rPr>
        <w:t xml:space="preserve">). At its thirteenth meeting, the Conference of the Parties made the invitation to the </w:t>
      </w:r>
      <w:r w:rsidR="00C53760" w:rsidRPr="0066015A">
        <w:rPr>
          <w:snapToGrid w:val="0"/>
          <w:kern w:val="22"/>
          <w:szCs w:val="22"/>
        </w:rPr>
        <w:t>Parties to</w:t>
      </w:r>
      <w:r w:rsidRPr="0066015A">
        <w:rPr>
          <w:snapToGrid w:val="0"/>
          <w:kern w:val="22"/>
          <w:szCs w:val="22"/>
        </w:rPr>
        <w:t xml:space="preserve"> the Nagoya Protocol (decision </w:t>
      </w:r>
      <w:hyperlink r:id="rId26" w:history="1">
        <w:r w:rsidRPr="0066015A">
          <w:rPr>
            <w:rStyle w:val="Hyperlink"/>
            <w:snapToGrid w:val="0"/>
            <w:kern w:val="22"/>
            <w:sz w:val="22"/>
            <w:szCs w:val="22"/>
          </w:rPr>
          <w:t>XIII/19</w:t>
        </w:r>
        <w:r w:rsidR="00C53760" w:rsidRPr="0066015A">
          <w:rPr>
            <w:rStyle w:val="Hyperlink"/>
            <w:snapToGrid w:val="0"/>
            <w:kern w:val="22"/>
            <w:sz w:val="22"/>
            <w:szCs w:val="22"/>
          </w:rPr>
          <w:t> </w:t>
        </w:r>
        <w:r w:rsidRPr="0066015A">
          <w:rPr>
            <w:rStyle w:val="Hyperlink"/>
            <w:snapToGrid w:val="0"/>
            <w:kern w:val="22"/>
            <w:sz w:val="22"/>
            <w:szCs w:val="22"/>
          </w:rPr>
          <w:t>C</w:t>
        </w:r>
      </w:hyperlink>
      <w:r w:rsidRPr="0066015A">
        <w:rPr>
          <w:snapToGrid w:val="0"/>
          <w:kern w:val="22"/>
          <w:szCs w:val="22"/>
        </w:rPr>
        <w:t xml:space="preserve">). The invitation was taken up by </w:t>
      </w:r>
      <w:r w:rsidR="00584A41" w:rsidRPr="00C4499A">
        <w:rPr>
          <w:snapToGrid w:val="0"/>
          <w:kern w:val="22"/>
          <w:szCs w:val="22"/>
        </w:rPr>
        <w:t>the Parties to the Protocol</w:t>
      </w:r>
      <w:r w:rsidR="00584A41">
        <w:rPr>
          <w:snapToGrid w:val="0"/>
          <w:kern w:val="22"/>
          <w:szCs w:val="22"/>
        </w:rPr>
        <w:t xml:space="preserve"> at its</w:t>
      </w:r>
      <w:r w:rsidR="001609F8" w:rsidRPr="0066015A">
        <w:rPr>
          <w:snapToGrid w:val="0"/>
          <w:kern w:val="22"/>
          <w:szCs w:val="22"/>
        </w:rPr>
        <w:t xml:space="preserve"> second meeting</w:t>
      </w:r>
      <w:r w:rsidR="00584A41">
        <w:rPr>
          <w:snapToGrid w:val="0"/>
          <w:kern w:val="22"/>
          <w:szCs w:val="22"/>
        </w:rPr>
        <w:t>,</w:t>
      </w:r>
      <w:r w:rsidRPr="0066015A">
        <w:rPr>
          <w:snapToGrid w:val="0"/>
          <w:kern w:val="22"/>
          <w:szCs w:val="22"/>
        </w:rPr>
        <w:t xml:space="preserve"> which </w:t>
      </w:r>
      <w:r w:rsidR="00584A41">
        <w:rPr>
          <w:snapToGrid w:val="0"/>
          <w:kern w:val="22"/>
          <w:szCs w:val="22"/>
        </w:rPr>
        <w:t xml:space="preserve">resulted in the </w:t>
      </w:r>
      <w:r w:rsidRPr="0066015A">
        <w:rPr>
          <w:snapToGrid w:val="0"/>
          <w:kern w:val="22"/>
          <w:szCs w:val="22"/>
        </w:rPr>
        <w:t>adopt</w:t>
      </w:r>
      <w:r w:rsidR="00584A41">
        <w:rPr>
          <w:snapToGrid w:val="0"/>
          <w:kern w:val="22"/>
          <w:szCs w:val="22"/>
        </w:rPr>
        <w:t>ion of</w:t>
      </w:r>
      <w:r w:rsidRPr="0066015A">
        <w:rPr>
          <w:snapToGrid w:val="0"/>
          <w:kern w:val="22"/>
          <w:szCs w:val="22"/>
        </w:rPr>
        <w:t xml:space="preserve"> decision </w:t>
      </w:r>
      <w:hyperlink r:id="rId27" w:history="1">
        <w:r w:rsidRPr="0066015A">
          <w:rPr>
            <w:rStyle w:val="Hyperlink"/>
            <w:snapToGrid w:val="0"/>
            <w:kern w:val="22"/>
            <w:sz w:val="22"/>
            <w:szCs w:val="22"/>
          </w:rPr>
          <w:t>NP-2/7</w:t>
        </w:r>
      </w:hyperlink>
      <w:r w:rsidR="00584A41">
        <w:rPr>
          <w:snapToGrid w:val="0"/>
          <w:kern w:val="22"/>
          <w:szCs w:val="22"/>
        </w:rPr>
        <w:t>,</w:t>
      </w:r>
      <w:r w:rsidRPr="0066015A">
        <w:rPr>
          <w:snapToGrid w:val="0"/>
          <w:kern w:val="22"/>
          <w:szCs w:val="22"/>
        </w:rPr>
        <w:t xml:space="preserve"> wherein it decided to apply, </w:t>
      </w:r>
      <w:r w:rsidRPr="0066015A">
        <w:rPr>
          <w:iCs/>
          <w:snapToGrid w:val="0"/>
          <w:kern w:val="22"/>
          <w:szCs w:val="22"/>
        </w:rPr>
        <w:t>mutatis mutandis,</w:t>
      </w:r>
      <w:r w:rsidRPr="0066015A">
        <w:rPr>
          <w:snapToGrid w:val="0"/>
          <w:kern w:val="22"/>
          <w:szCs w:val="22"/>
        </w:rPr>
        <w:t xml:space="preserve"> decision XII/12</w:t>
      </w:r>
      <w:r w:rsidR="00B41243">
        <w:rPr>
          <w:snapToGrid w:val="0"/>
          <w:kern w:val="22"/>
          <w:szCs w:val="22"/>
        </w:rPr>
        <w:t> </w:t>
      </w:r>
      <w:r w:rsidRPr="0066015A">
        <w:rPr>
          <w:snapToGrid w:val="0"/>
          <w:kern w:val="22"/>
          <w:szCs w:val="22"/>
        </w:rPr>
        <w:t>F of the Conference of the Parties to the Convention on the use of the terminology “indigenous peoples and local communities”.</w:t>
      </w:r>
    </w:p>
    <w:p w:rsidR="00B5513E" w:rsidRPr="0066015A" w:rsidRDefault="00B5513E" w:rsidP="0066015A">
      <w:pPr>
        <w:pStyle w:val="Para10"/>
        <w:numPr>
          <w:ilvl w:val="0"/>
          <w:numId w:val="14"/>
        </w:numPr>
        <w:suppressLineNumbers/>
        <w:tabs>
          <w:tab w:val="clear" w:pos="644"/>
        </w:tabs>
        <w:suppressAutoHyphens/>
        <w:kinsoku w:val="0"/>
        <w:overflowPunct w:val="0"/>
        <w:autoSpaceDE w:val="0"/>
        <w:autoSpaceDN w:val="0"/>
        <w:spacing w:before="120" w:after="120"/>
        <w:ind w:left="0"/>
        <w:rPr>
          <w:snapToGrid w:val="0"/>
          <w:kern w:val="22"/>
          <w:szCs w:val="22"/>
        </w:rPr>
      </w:pPr>
      <w:r w:rsidRPr="0066015A">
        <w:rPr>
          <w:snapToGrid w:val="0"/>
          <w:kern w:val="22"/>
          <w:szCs w:val="22"/>
        </w:rPr>
        <w:t xml:space="preserve">Accordingly, the terminology “indigenous peoples and local communities” was reflected in the other decisions of the </w:t>
      </w:r>
      <w:r w:rsidR="001609F8" w:rsidRPr="0066015A">
        <w:rPr>
          <w:snapToGrid w:val="0"/>
          <w:kern w:val="22"/>
          <w:szCs w:val="22"/>
        </w:rPr>
        <w:t>Parties to</w:t>
      </w:r>
      <w:r w:rsidRPr="0066015A">
        <w:rPr>
          <w:snapToGrid w:val="0"/>
          <w:kern w:val="22"/>
          <w:szCs w:val="22"/>
        </w:rPr>
        <w:t xml:space="preserve"> the Nagoya Protocol</w:t>
      </w:r>
      <w:r w:rsidR="00DE3583">
        <w:rPr>
          <w:snapToGrid w:val="0"/>
          <w:kern w:val="22"/>
          <w:szCs w:val="22"/>
        </w:rPr>
        <w:t>,</w:t>
      </w:r>
      <w:r w:rsidRPr="0066015A">
        <w:rPr>
          <w:snapToGrid w:val="0"/>
          <w:kern w:val="22"/>
          <w:szCs w:val="22"/>
        </w:rPr>
        <w:t xml:space="preserve"> including in the rules of procedure for the meetings of the Compliance Committee as contained in the annex to decision </w:t>
      </w:r>
      <w:hyperlink r:id="rId28" w:history="1">
        <w:r w:rsidRPr="0066015A">
          <w:rPr>
            <w:rStyle w:val="Hyperlink"/>
            <w:snapToGrid w:val="0"/>
            <w:kern w:val="22"/>
            <w:sz w:val="22"/>
            <w:szCs w:val="22"/>
          </w:rPr>
          <w:t>NP-2/3</w:t>
        </w:r>
      </w:hyperlink>
      <w:r w:rsidRPr="0066015A">
        <w:rPr>
          <w:snapToGrid w:val="0"/>
          <w:kern w:val="22"/>
          <w:szCs w:val="22"/>
        </w:rPr>
        <w:t>. References to “indigenous and local community observer” now refer to “indigenous peoples and local community observer”.</w:t>
      </w:r>
    </w:p>
    <w:p w:rsidR="00B5513E" w:rsidRPr="0066015A" w:rsidRDefault="00565151" w:rsidP="0066015A">
      <w:pPr>
        <w:pStyle w:val="Para10"/>
        <w:keepNext/>
        <w:keepLines/>
        <w:suppressLineNumbers/>
        <w:tabs>
          <w:tab w:val="clear" w:pos="644"/>
        </w:tabs>
        <w:suppressAutoHyphens/>
        <w:kinsoku w:val="0"/>
        <w:overflowPunct w:val="0"/>
        <w:autoSpaceDE w:val="0"/>
        <w:autoSpaceDN w:val="0"/>
        <w:spacing w:before="120" w:after="120"/>
        <w:ind w:left="1980" w:right="866" w:hanging="993"/>
        <w:jc w:val="left"/>
        <w:rPr>
          <w:rFonts w:ascii="Times New Roman Bold" w:hAnsi="Times New Roman Bold" w:cs="Times New Roman Bold"/>
          <w:b/>
          <w:caps/>
          <w:snapToGrid w:val="0"/>
          <w:kern w:val="22"/>
          <w:szCs w:val="22"/>
        </w:rPr>
      </w:pPr>
      <w:r w:rsidRPr="0066015A">
        <w:rPr>
          <w:rFonts w:ascii="Times New Roman Bold" w:hAnsi="Times New Roman Bold" w:cs="Times New Roman Bold"/>
          <w:b/>
          <w:caps/>
          <w:snapToGrid w:val="0"/>
          <w:kern w:val="22"/>
          <w:szCs w:val="22"/>
        </w:rPr>
        <w:t>IV.</w:t>
      </w:r>
      <w:r w:rsidRPr="0066015A">
        <w:rPr>
          <w:rFonts w:ascii="Times New Roman Bold" w:hAnsi="Times New Roman Bold" w:cs="Times New Roman Bold"/>
          <w:b/>
          <w:caps/>
          <w:snapToGrid w:val="0"/>
          <w:kern w:val="22"/>
          <w:szCs w:val="22"/>
        </w:rPr>
        <w:tab/>
        <w:t>Activities of the Compliance Committee during the period prior to the third meeting of the Parties</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rPr>
        <w:t xml:space="preserve">As described in paragraph 18 above, the Committee had agreed that it would review systemic issues of general non-compliance at its second meeting. This has now been supplemented by the request from </w:t>
      </w:r>
      <w:r w:rsidR="0048732A" w:rsidRPr="009A72A5">
        <w:rPr>
          <w:kern w:val="22"/>
        </w:rPr>
        <w:t>the Parties to the Protocol</w:t>
      </w:r>
      <w:r w:rsidR="0048732A">
        <w:rPr>
          <w:kern w:val="22"/>
        </w:rPr>
        <w:t xml:space="preserve"> at their</w:t>
      </w:r>
      <w:r w:rsidR="001609F8" w:rsidRPr="00356FC1">
        <w:rPr>
          <w:kern w:val="22"/>
        </w:rPr>
        <w:t xml:space="preserve"> second meeting</w:t>
      </w:r>
      <w:r w:rsidRPr="00356FC1">
        <w:rPr>
          <w:kern w:val="22"/>
        </w:rPr>
        <w:t xml:space="preserve"> to provide inputs to the first assessment and review of the Protocol as outlined in paragraph 22 above. Accordingly, the Committee </w:t>
      </w:r>
      <w:r w:rsidR="009E243A">
        <w:rPr>
          <w:kern w:val="22"/>
        </w:rPr>
        <w:t>at its second meeting</w:t>
      </w:r>
      <w:r w:rsidR="009E243A" w:rsidRPr="002145A3">
        <w:rPr>
          <w:kern w:val="22"/>
        </w:rPr>
        <w:t xml:space="preserve"> </w:t>
      </w:r>
      <w:r w:rsidRPr="00356FC1">
        <w:rPr>
          <w:kern w:val="22"/>
        </w:rPr>
        <w:t xml:space="preserve">may focus on an assessment of the outcomes of </w:t>
      </w:r>
      <w:r w:rsidR="001609F8" w:rsidRPr="00356FC1">
        <w:rPr>
          <w:kern w:val="22"/>
        </w:rPr>
        <w:t xml:space="preserve">the second meeting of </w:t>
      </w:r>
      <w:r w:rsidR="00E30700" w:rsidRPr="00356FC1">
        <w:rPr>
          <w:kern w:val="22"/>
        </w:rPr>
        <w:t>the Parties to the Protocol</w:t>
      </w:r>
      <w:r w:rsidRPr="00356FC1">
        <w:rPr>
          <w:kern w:val="22"/>
        </w:rPr>
        <w:t xml:space="preserve"> relating to compliance (i.e. discussion of this document) and a review of general issues of compliance, including as an input to the first assessment and review of the Protocol.</w:t>
      </w:r>
    </w:p>
    <w:p w:rsidR="00B5513E" w:rsidRPr="0066015A" w:rsidRDefault="00B5513E" w:rsidP="0066015A">
      <w:pPr>
        <w:pStyle w:val="HEADING"/>
        <w:suppressLineNumbers/>
        <w:suppressAutoHyphens/>
        <w:kinsoku w:val="0"/>
        <w:overflowPunct w:val="0"/>
        <w:autoSpaceDE w:val="0"/>
        <w:autoSpaceDN w:val="0"/>
        <w:spacing w:before="120"/>
        <w:rPr>
          <w:rFonts w:ascii="Times New Roman Bold" w:hAnsi="Times New Roman Bold" w:cs="Times New Roman Bold"/>
          <w:caps w:val="0"/>
          <w:snapToGrid w:val="0"/>
          <w:kern w:val="22"/>
          <w:szCs w:val="22"/>
        </w:rPr>
      </w:pPr>
      <w:r w:rsidRPr="0066015A">
        <w:rPr>
          <w:rFonts w:ascii="Times New Roman Bold" w:hAnsi="Times New Roman Bold" w:cs="Times New Roman Bold"/>
          <w:caps w:val="0"/>
          <w:snapToGrid w:val="0"/>
          <w:kern w:val="22"/>
          <w:szCs w:val="22"/>
        </w:rPr>
        <w:t>V.</w:t>
      </w:r>
      <w:r w:rsidRPr="0066015A">
        <w:rPr>
          <w:rFonts w:ascii="Times New Roman Bold" w:hAnsi="Times New Roman Bold" w:cs="Times New Roman Bold"/>
          <w:caps w:val="0"/>
          <w:snapToGrid w:val="0"/>
          <w:kern w:val="22"/>
          <w:szCs w:val="22"/>
        </w:rPr>
        <w:tab/>
      </w:r>
      <w:r w:rsidR="00285BF8" w:rsidRPr="0066015A">
        <w:rPr>
          <w:rFonts w:ascii="Times New Roman Bold" w:hAnsi="Times New Roman Bold" w:cs="Times New Roman Bold"/>
          <w:snapToGrid w:val="0"/>
          <w:kern w:val="22"/>
          <w:szCs w:val="22"/>
        </w:rPr>
        <w:t>Membership</w:t>
      </w:r>
    </w:p>
    <w:p w:rsidR="00B5513E" w:rsidRPr="00356FC1" w:rsidRDefault="00B5513E" w:rsidP="0066015A">
      <w:pPr>
        <w:pStyle w:val="Para1"/>
        <w:keepNext/>
        <w:keepLines/>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As the Committee had noted at its last meeting, the term of five members came to an end on 31</w:t>
      </w:r>
      <w:r w:rsidR="001D4057">
        <w:rPr>
          <w:kern w:val="22"/>
          <w:szCs w:val="22"/>
        </w:rPr>
        <w:t> </w:t>
      </w:r>
      <w:r w:rsidRPr="00356FC1">
        <w:rPr>
          <w:kern w:val="22"/>
          <w:szCs w:val="22"/>
        </w:rPr>
        <w:t xml:space="preserve">December 2016. Accordingly, </w:t>
      </w:r>
      <w:r w:rsidR="00E30700" w:rsidRPr="00356FC1">
        <w:rPr>
          <w:kern w:val="22"/>
          <w:szCs w:val="22"/>
        </w:rPr>
        <w:t>the Parties to the Protocol</w:t>
      </w:r>
      <w:r w:rsidR="001609F8" w:rsidRPr="00356FC1">
        <w:rPr>
          <w:kern w:val="22"/>
          <w:szCs w:val="22"/>
        </w:rPr>
        <w:t xml:space="preserve"> at </w:t>
      </w:r>
      <w:r w:rsidR="001D4057">
        <w:rPr>
          <w:kern w:val="22"/>
          <w:szCs w:val="22"/>
        </w:rPr>
        <w:t>their</w:t>
      </w:r>
      <w:r w:rsidR="001609F8" w:rsidRPr="00356FC1">
        <w:rPr>
          <w:kern w:val="22"/>
          <w:szCs w:val="22"/>
        </w:rPr>
        <w:t xml:space="preserve"> second meeting</w:t>
      </w:r>
      <w:r w:rsidRPr="00356FC1">
        <w:rPr>
          <w:kern w:val="22"/>
          <w:szCs w:val="22"/>
        </w:rPr>
        <w:t xml:space="preserve"> elected or re-elected the following members to serve on the Compliance Committee:</w:t>
      </w:r>
    </w:p>
    <w:p w:rsidR="00B5513E" w:rsidRPr="0066015A" w:rsidRDefault="00B5513E" w:rsidP="0066015A">
      <w:pPr>
        <w:suppressLineNumbers/>
        <w:tabs>
          <w:tab w:val="left" w:pos="1260"/>
        </w:tabs>
        <w:suppressAutoHyphens/>
        <w:kinsoku w:val="0"/>
        <w:overflowPunct w:val="0"/>
        <w:autoSpaceDE w:val="0"/>
        <w:autoSpaceDN w:val="0"/>
        <w:ind w:firstLine="720"/>
        <w:outlineLvl w:val="0"/>
        <w:rPr>
          <w:snapToGrid w:val="0"/>
          <w:kern w:val="22"/>
          <w:szCs w:val="22"/>
        </w:rPr>
      </w:pPr>
      <w:r w:rsidRPr="0066015A">
        <w:rPr>
          <w:bCs/>
          <w:iCs/>
          <w:snapToGrid w:val="0"/>
          <w:kern w:val="22"/>
          <w:szCs w:val="22"/>
        </w:rPr>
        <w:t>(a)</w:t>
      </w:r>
      <w:r w:rsidRPr="0066015A">
        <w:rPr>
          <w:b/>
          <w:bCs/>
          <w:iCs/>
          <w:snapToGrid w:val="0"/>
          <w:kern w:val="22"/>
          <w:szCs w:val="22"/>
        </w:rPr>
        <w:tab/>
      </w:r>
      <w:r w:rsidRPr="0066015A">
        <w:rPr>
          <w:i/>
          <w:iCs/>
          <w:snapToGrid w:val="0"/>
          <w:kern w:val="22"/>
          <w:szCs w:val="22"/>
        </w:rPr>
        <w:t>Africa</w:t>
      </w:r>
      <w:r w:rsidRPr="0066015A">
        <w:rPr>
          <w:snapToGrid w:val="0"/>
          <w:kern w:val="22"/>
          <w:szCs w:val="22"/>
        </w:rPr>
        <w:t xml:space="preserve"> – </w:t>
      </w:r>
      <w:r w:rsidRPr="0066015A">
        <w:rPr>
          <w:snapToGrid w:val="0"/>
          <w:kern w:val="22"/>
        </w:rPr>
        <w:t xml:space="preserve">Mr. </w:t>
      </w:r>
      <w:r w:rsidRPr="0066015A">
        <w:rPr>
          <w:noProof/>
          <w:snapToGrid w:val="0"/>
          <w:kern w:val="22"/>
        </w:rPr>
        <w:t>Mike Ipanga Mwaku</w:t>
      </w:r>
      <w:r w:rsidRPr="0066015A">
        <w:rPr>
          <w:snapToGrid w:val="0"/>
          <w:kern w:val="22"/>
        </w:rPr>
        <w:t xml:space="preserve"> (Democratic Republic of the Congo)</w:t>
      </w:r>
      <w:r w:rsidRPr="0066015A">
        <w:rPr>
          <w:snapToGrid w:val="0"/>
          <w:kern w:val="22"/>
          <w:szCs w:val="22"/>
        </w:rPr>
        <w:t>;</w:t>
      </w:r>
    </w:p>
    <w:p w:rsidR="00B5513E" w:rsidRPr="0066015A" w:rsidRDefault="00B5513E" w:rsidP="0066015A">
      <w:pPr>
        <w:suppressLineNumbers/>
        <w:tabs>
          <w:tab w:val="left" w:pos="1260"/>
        </w:tabs>
        <w:suppressAutoHyphens/>
        <w:kinsoku w:val="0"/>
        <w:overflowPunct w:val="0"/>
        <w:autoSpaceDE w:val="0"/>
        <w:autoSpaceDN w:val="0"/>
        <w:ind w:firstLine="720"/>
        <w:outlineLvl w:val="0"/>
        <w:rPr>
          <w:snapToGrid w:val="0"/>
          <w:kern w:val="22"/>
          <w:szCs w:val="22"/>
        </w:rPr>
      </w:pPr>
      <w:r w:rsidRPr="0066015A">
        <w:rPr>
          <w:bCs/>
          <w:iCs/>
          <w:snapToGrid w:val="0"/>
          <w:kern w:val="22"/>
          <w:szCs w:val="22"/>
        </w:rPr>
        <w:t>(b)</w:t>
      </w:r>
      <w:r w:rsidRPr="0066015A">
        <w:rPr>
          <w:b/>
          <w:bCs/>
          <w:iCs/>
          <w:snapToGrid w:val="0"/>
          <w:kern w:val="22"/>
          <w:szCs w:val="22"/>
        </w:rPr>
        <w:tab/>
      </w:r>
      <w:r w:rsidRPr="0066015A">
        <w:rPr>
          <w:i/>
          <w:iCs/>
          <w:snapToGrid w:val="0"/>
          <w:kern w:val="22"/>
          <w:szCs w:val="22"/>
        </w:rPr>
        <w:t>Asia and the Pacific</w:t>
      </w:r>
      <w:r w:rsidRPr="0066015A">
        <w:rPr>
          <w:snapToGrid w:val="0"/>
          <w:kern w:val="22"/>
          <w:szCs w:val="22"/>
        </w:rPr>
        <w:t xml:space="preserve"> </w:t>
      </w:r>
      <w:r w:rsidRPr="0066015A">
        <w:rPr>
          <w:bCs/>
          <w:snapToGrid w:val="0"/>
          <w:kern w:val="22"/>
          <w:szCs w:val="22"/>
        </w:rPr>
        <w:t>–</w:t>
      </w:r>
      <w:r w:rsidRPr="0066015A">
        <w:rPr>
          <w:bCs/>
          <w:i/>
          <w:iCs/>
          <w:snapToGrid w:val="0"/>
          <w:kern w:val="22"/>
          <w:szCs w:val="22"/>
        </w:rPr>
        <w:t xml:space="preserve"> </w:t>
      </w:r>
      <w:r w:rsidRPr="0066015A">
        <w:rPr>
          <w:snapToGrid w:val="0"/>
          <w:kern w:val="22"/>
        </w:rPr>
        <w:t xml:space="preserve">Mr. </w:t>
      </w:r>
      <w:r w:rsidRPr="0066015A">
        <w:rPr>
          <w:noProof/>
          <w:snapToGrid w:val="0"/>
          <w:kern w:val="22"/>
        </w:rPr>
        <w:t>Qin Tianbao</w:t>
      </w:r>
      <w:r w:rsidRPr="0066015A">
        <w:rPr>
          <w:snapToGrid w:val="0"/>
          <w:kern w:val="22"/>
        </w:rPr>
        <w:t xml:space="preserve"> (China)</w:t>
      </w:r>
      <w:r w:rsidRPr="0066015A">
        <w:rPr>
          <w:snapToGrid w:val="0"/>
          <w:kern w:val="22"/>
          <w:szCs w:val="22"/>
        </w:rPr>
        <w:t>;</w:t>
      </w:r>
    </w:p>
    <w:p w:rsidR="00B5513E" w:rsidRPr="0066015A" w:rsidRDefault="00B5513E" w:rsidP="0066015A">
      <w:pPr>
        <w:suppressLineNumbers/>
        <w:tabs>
          <w:tab w:val="left" w:pos="1260"/>
        </w:tabs>
        <w:suppressAutoHyphens/>
        <w:kinsoku w:val="0"/>
        <w:overflowPunct w:val="0"/>
        <w:autoSpaceDE w:val="0"/>
        <w:autoSpaceDN w:val="0"/>
        <w:ind w:firstLine="720"/>
        <w:rPr>
          <w:snapToGrid w:val="0"/>
          <w:kern w:val="22"/>
          <w:szCs w:val="22"/>
        </w:rPr>
      </w:pPr>
      <w:r w:rsidRPr="0066015A">
        <w:rPr>
          <w:bCs/>
          <w:iCs/>
          <w:snapToGrid w:val="0"/>
          <w:kern w:val="22"/>
          <w:szCs w:val="22"/>
        </w:rPr>
        <w:t>(c)</w:t>
      </w:r>
      <w:r w:rsidRPr="0066015A">
        <w:rPr>
          <w:b/>
          <w:bCs/>
          <w:iCs/>
          <w:snapToGrid w:val="0"/>
          <w:kern w:val="22"/>
          <w:szCs w:val="22"/>
        </w:rPr>
        <w:tab/>
      </w:r>
      <w:r w:rsidRPr="0066015A">
        <w:rPr>
          <w:i/>
          <w:iCs/>
          <w:snapToGrid w:val="0"/>
          <w:kern w:val="22"/>
          <w:szCs w:val="22"/>
        </w:rPr>
        <w:t>CEE</w:t>
      </w:r>
      <w:r w:rsidRPr="0066015A">
        <w:rPr>
          <w:snapToGrid w:val="0"/>
          <w:kern w:val="22"/>
          <w:szCs w:val="22"/>
        </w:rPr>
        <w:t xml:space="preserve"> –</w:t>
      </w:r>
      <w:r w:rsidRPr="0066015A">
        <w:rPr>
          <w:b/>
          <w:bCs/>
          <w:i/>
          <w:iCs/>
          <w:snapToGrid w:val="0"/>
          <w:kern w:val="22"/>
          <w:szCs w:val="22"/>
        </w:rPr>
        <w:t xml:space="preserve"> </w:t>
      </w:r>
      <w:r w:rsidRPr="0066015A">
        <w:rPr>
          <w:snapToGrid w:val="0"/>
          <w:kern w:val="22"/>
        </w:rPr>
        <w:t xml:space="preserve">Ms. </w:t>
      </w:r>
      <w:r w:rsidRPr="0066015A">
        <w:rPr>
          <w:noProof/>
          <w:snapToGrid w:val="0"/>
          <w:kern w:val="22"/>
        </w:rPr>
        <w:t>Elzbieta Martyniuk</w:t>
      </w:r>
      <w:r w:rsidRPr="0066015A">
        <w:rPr>
          <w:snapToGrid w:val="0"/>
          <w:kern w:val="22"/>
        </w:rPr>
        <w:t xml:space="preserve"> (Poland)</w:t>
      </w:r>
      <w:r w:rsidRPr="0066015A">
        <w:rPr>
          <w:snapToGrid w:val="0"/>
          <w:kern w:val="22"/>
          <w:szCs w:val="22"/>
        </w:rPr>
        <w:t>;</w:t>
      </w:r>
    </w:p>
    <w:p w:rsidR="00B5513E" w:rsidRPr="0066015A" w:rsidRDefault="00B5513E" w:rsidP="0066015A">
      <w:pPr>
        <w:suppressLineNumbers/>
        <w:tabs>
          <w:tab w:val="left" w:pos="1260"/>
        </w:tabs>
        <w:suppressAutoHyphens/>
        <w:kinsoku w:val="0"/>
        <w:overflowPunct w:val="0"/>
        <w:autoSpaceDE w:val="0"/>
        <w:autoSpaceDN w:val="0"/>
        <w:ind w:firstLine="720"/>
        <w:outlineLvl w:val="0"/>
        <w:rPr>
          <w:snapToGrid w:val="0"/>
          <w:kern w:val="22"/>
          <w:szCs w:val="22"/>
        </w:rPr>
      </w:pPr>
      <w:r w:rsidRPr="0066015A">
        <w:rPr>
          <w:bCs/>
          <w:iCs/>
          <w:snapToGrid w:val="0"/>
          <w:kern w:val="22"/>
          <w:szCs w:val="22"/>
        </w:rPr>
        <w:t>(d)</w:t>
      </w:r>
      <w:r w:rsidRPr="0066015A">
        <w:rPr>
          <w:b/>
          <w:bCs/>
          <w:iCs/>
          <w:snapToGrid w:val="0"/>
          <w:kern w:val="22"/>
          <w:szCs w:val="22"/>
        </w:rPr>
        <w:tab/>
      </w:r>
      <w:r w:rsidRPr="0066015A">
        <w:rPr>
          <w:i/>
          <w:iCs/>
          <w:snapToGrid w:val="0"/>
          <w:kern w:val="22"/>
          <w:szCs w:val="22"/>
        </w:rPr>
        <w:t>GRULAC</w:t>
      </w:r>
      <w:r w:rsidRPr="0066015A">
        <w:rPr>
          <w:snapToGrid w:val="0"/>
          <w:kern w:val="22"/>
          <w:szCs w:val="22"/>
        </w:rPr>
        <w:t xml:space="preserve"> –</w:t>
      </w:r>
      <w:r w:rsidRPr="0066015A">
        <w:rPr>
          <w:b/>
          <w:bCs/>
          <w:i/>
          <w:iCs/>
          <w:snapToGrid w:val="0"/>
          <w:kern w:val="22"/>
          <w:szCs w:val="22"/>
        </w:rPr>
        <w:t xml:space="preserve"> </w:t>
      </w:r>
      <w:r w:rsidRPr="0066015A">
        <w:rPr>
          <w:snapToGrid w:val="0"/>
          <w:kern w:val="22"/>
        </w:rPr>
        <w:t xml:space="preserve">Ms. </w:t>
      </w:r>
      <w:r w:rsidRPr="0066015A">
        <w:rPr>
          <w:noProof/>
          <w:snapToGrid w:val="0"/>
          <w:kern w:val="22"/>
        </w:rPr>
        <w:t>Teresa Cruz</w:t>
      </w:r>
      <w:r w:rsidRPr="0066015A">
        <w:rPr>
          <w:snapToGrid w:val="0"/>
          <w:kern w:val="22"/>
        </w:rPr>
        <w:t xml:space="preserve"> (Cuba)</w:t>
      </w:r>
      <w:r w:rsidRPr="0066015A">
        <w:rPr>
          <w:snapToGrid w:val="0"/>
          <w:kern w:val="22"/>
          <w:szCs w:val="22"/>
        </w:rPr>
        <w:t>;</w:t>
      </w:r>
    </w:p>
    <w:p w:rsidR="00B5513E" w:rsidRPr="0066015A" w:rsidRDefault="00B5513E" w:rsidP="0066015A">
      <w:pPr>
        <w:suppressLineNumbers/>
        <w:tabs>
          <w:tab w:val="left" w:pos="1260"/>
        </w:tabs>
        <w:suppressAutoHyphens/>
        <w:kinsoku w:val="0"/>
        <w:overflowPunct w:val="0"/>
        <w:autoSpaceDE w:val="0"/>
        <w:autoSpaceDN w:val="0"/>
        <w:ind w:firstLine="720"/>
        <w:outlineLvl w:val="0"/>
        <w:rPr>
          <w:snapToGrid w:val="0"/>
          <w:kern w:val="22"/>
          <w:szCs w:val="22"/>
        </w:rPr>
      </w:pPr>
      <w:r w:rsidRPr="0066015A">
        <w:rPr>
          <w:bCs/>
          <w:iCs/>
          <w:snapToGrid w:val="0"/>
          <w:kern w:val="22"/>
          <w:szCs w:val="22"/>
        </w:rPr>
        <w:t>(e)</w:t>
      </w:r>
      <w:r w:rsidRPr="0066015A">
        <w:rPr>
          <w:b/>
          <w:bCs/>
          <w:iCs/>
          <w:snapToGrid w:val="0"/>
          <w:kern w:val="22"/>
          <w:szCs w:val="22"/>
        </w:rPr>
        <w:tab/>
      </w:r>
      <w:r w:rsidRPr="0066015A">
        <w:rPr>
          <w:i/>
          <w:iCs/>
          <w:snapToGrid w:val="0"/>
          <w:kern w:val="22"/>
          <w:szCs w:val="22"/>
        </w:rPr>
        <w:t>WEOG</w:t>
      </w:r>
      <w:r w:rsidRPr="0066015A">
        <w:rPr>
          <w:snapToGrid w:val="0"/>
          <w:kern w:val="22"/>
          <w:szCs w:val="22"/>
        </w:rPr>
        <w:t xml:space="preserve"> –</w:t>
      </w:r>
      <w:r w:rsidRPr="0066015A">
        <w:rPr>
          <w:b/>
          <w:bCs/>
          <w:i/>
          <w:iCs/>
          <w:snapToGrid w:val="0"/>
          <w:kern w:val="22"/>
          <w:szCs w:val="22"/>
        </w:rPr>
        <w:t xml:space="preserve"> </w:t>
      </w:r>
      <w:r w:rsidRPr="0066015A">
        <w:rPr>
          <w:snapToGrid w:val="0"/>
          <w:kern w:val="22"/>
        </w:rPr>
        <w:t xml:space="preserve">Mr. </w:t>
      </w:r>
      <w:r w:rsidRPr="0066015A">
        <w:rPr>
          <w:noProof/>
          <w:snapToGrid w:val="0"/>
          <w:kern w:val="22"/>
        </w:rPr>
        <w:t>Markus Schröder</w:t>
      </w:r>
      <w:r w:rsidRPr="0066015A">
        <w:rPr>
          <w:snapToGrid w:val="0"/>
          <w:kern w:val="22"/>
        </w:rPr>
        <w:t xml:space="preserve"> (Germany)</w:t>
      </w:r>
      <w:r w:rsidRPr="0066015A">
        <w:rPr>
          <w:snapToGrid w:val="0"/>
          <w:kern w:val="22"/>
          <w:szCs w:val="22"/>
        </w:rPr>
        <w:t>.</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 xml:space="preserve">In February 2018, Mr. </w:t>
      </w:r>
      <w:r w:rsidRPr="0066015A">
        <w:rPr>
          <w:noProof/>
          <w:kern w:val="22"/>
          <w:szCs w:val="22"/>
        </w:rPr>
        <w:t>Ipanga Mwaku</w:t>
      </w:r>
      <w:r w:rsidRPr="00356FC1">
        <w:rPr>
          <w:kern w:val="22"/>
          <w:szCs w:val="22"/>
        </w:rPr>
        <w:t xml:space="preserve"> informed the Secretariat that he was resigning from the Committee. Accordingly, the Secretariat turned to the replacement for the Africa</w:t>
      </w:r>
      <w:r w:rsidR="00B14748">
        <w:rPr>
          <w:kern w:val="22"/>
          <w:szCs w:val="22"/>
        </w:rPr>
        <w:t>n</w:t>
      </w:r>
      <w:r w:rsidRPr="00356FC1">
        <w:rPr>
          <w:kern w:val="22"/>
          <w:szCs w:val="22"/>
        </w:rPr>
        <w:t xml:space="preserve"> region, Ms. </w:t>
      </w:r>
      <w:r w:rsidRPr="0066015A">
        <w:rPr>
          <w:noProof/>
          <w:kern w:val="22"/>
          <w:szCs w:val="22"/>
        </w:rPr>
        <w:t>Kauna Schroeder</w:t>
      </w:r>
      <w:r w:rsidRPr="00356FC1">
        <w:rPr>
          <w:kern w:val="22"/>
          <w:szCs w:val="22"/>
        </w:rPr>
        <w:t>, who had been elected by the Conference of the Parties serving as the meeting of the Parties to the Protocol pursuant to section B, paragraph 3, of the compliance procedures and mechanisms (</w:t>
      </w:r>
      <w:r w:rsidR="00B14748" w:rsidRPr="00793EC7">
        <w:rPr>
          <w:kern w:val="22"/>
          <w:szCs w:val="22"/>
        </w:rPr>
        <w:t xml:space="preserve">decision </w:t>
      </w:r>
      <w:hyperlink r:id="rId29" w:history="1">
        <w:r w:rsidR="00B14748" w:rsidRPr="00793EC7">
          <w:rPr>
            <w:rStyle w:val="Hyperlink"/>
            <w:kern w:val="22"/>
            <w:sz w:val="22"/>
            <w:szCs w:val="22"/>
          </w:rPr>
          <w:t>NP-1/4</w:t>
        </w:r>
      </w:hyperlink>
      <w:r w:rsidR="00B14748">
        <w:rPr>
          <w:kern w:val="22"/>
          <w:szCs w:val="22"/>
        </w:rPr>
        <w:t xml:space="preserve">, </w:t>
      </w:r>
      <w:r w:rsidRPr="00356FC1">
        <w:rPr>
          <w:kern w:val="22"/>
          <w:szCs w:val="22"/>
        </w:rPr>
        <w:t xml:space="preserve">annex). Ms. Schroeder will continue with the rest of Mr. </w:t>
      </w:r>
      <w:r w:rsidRPr="0066015A">
        <w:rPr>
          <w:noProof/>
          <w:kern w:val="22"/>
          <w:szCs w:val="22"/>
        </w:rPr>
        <w:t>Ipanga Mwaku</w:t>
      </w:r>
      <w:r w:rsidRPr="00356FC1">
        <w:rPr>
          <w:kern w:val="22"/>
          <w:szCs w:val="22"/>
        </w:rPr>
        <w:t>’s term on the Compliance Committee.</w:t>
      </w:r>
    </w:p>
    <w:p w:rsidR="00B5513E" w:rsidRPr="00356FC1"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356FC1">
        <w:rPr>
          <w:kern w:val="22"/>
          <w:szCs w:val="22"/>
        </w:rPr>
        <w:t>Accordingly, the composition of the Committee is as follows:</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Ayman Tharwat Abdel Aziz</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Naritiana Rakotoniaina Ranaivoson</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Kauna Schroeder</w:t>
      </w:r>
      <w:r w:rsidRPr="0066015A">
        <w:rPr>
          <w:snapToGrid w:val="0"/>
          <w:kern w:val="22"/>
          <w:szCs w:val="22"/>
        </w:rPr>
        <w:t xml:space="preserve"> (31 December 2020)</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Luther M. Rangreji</w:t>
      </w:r>
      <w:r w:rsidRPr="0066015A">
        <w:rPr>
          <w:snapToGrid w:val="0"/>
          <w:kern w:val="22"/>
        </w:rPr>
        <w:t xml:space="preserve"> </w:t>
      </w:r>
      <w:r w:rsidRPr="0066015A">
        <w:rPr>
          <w:snapToGrid w:val="0"/>
          <w:kern w:val="22"/>
          <w:szCs w:val="22"/>
        </w:rPr>
        <w:t>(31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Clark Peteru</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Qin Tianbao</w:t>
      </w:r>
      <w:r w:rsidRPr="0066015A">
        <w:rPr>
          <w:snapToGrid w:val="0"/>
          <w:kern w:val="22"/>
          <w:szCs w:val="22"/>
        </w:rPr>
        <w:t xml:space="preserve"> (31 December 2020)</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Elena Makeyeva</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Elvana Ramaj</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Elzbieta Martyniuk</w:t>
      </w:r>
      <w:r w:rsidRPr="0066015A">
        <w:rPr>
          <w:snapToGrid w:val="0"/>
          <w:kern w:val="22"/>
          <w:szCs w:val="22"/>
        </w:rPr>
        <w:t xml:space="preserve"> (31 December 2020)</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Teresa Cruz</w:t>
      </w:r>
      <w:r w:rsidRPr="0066015A">
        <w:rPr>
          <w:snapToGrid w:val="0"/>
          <w:kern w:val="22"/>
          <w:szCs w:val="22"/>
        </w:rPr>
        <w:t xml:space="preserve"> (31 December 2020)</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Norma Munguía Aldaraca</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Andrés Valladolid Cavero</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lastRenderedPageBreak/>
        <w:t xml:space="preserve">Mr. </w:t>
      </w:r>
      <w:r w:rsidRPr="0066015A">
        <w:rPr>
          <w:noProof/>
          <w:snapToGrid w:val="0"/>
          <w:kern w:val="22"/>
        </w:rPr>
        <w:t>Kaspar Sollberger</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Ms. </w:t>
      </w:r>
      <w:r w:rsidRPr="0066015A">
        <w:rPr>
          <w:noProof/>
          <w:snapToGrid w:val="0"/>
          <w:kern w:val="22"/>
        </w:rPr>
        <w:t>Helge Elisabeth Zeitler</w:t>
      </w:r>
      <w:r w:rsidRPr="0066015A">
        <w:rPr>
          <w:snapToGrid w:val="0"/>
          <w:kern w:val="22"/>
          <w:szCs w:val="22"/>
        </w:rPr>
        <w:t xml:space="preserve">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Markus Schröder</w:t>
      </w:r>
      <w:r w:rsidRPr="0066015A">
        <w:rPr>
          <w:snapToGrid w:val="0"/>
          <w:kern w:val="22"/>
          <w:szCs w:val="22"/>
        </w:rPr>
        <w:t xml:space="preserve"> (31 December 2020)</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Preston D. Hardison</w:t>
      </w:r>
      <w:r w:rsidRPr="0066015A">
        <w:rPr>
          <w:snapToGrid w:val="0"/>
          <w:kern w:val="22"/>
        </w:rPr>
        <w:t xml:space="preserve"> (</w:t>
      </w:r>
      <w:r w:rsidRPr="0066015A">
        <w:rPr>
          <w:snapToGrid w:val="0"/>
          <w:kern w:val="22"/>
          <w:szCs w:val="22"/>
        </w:rPr>
        <w:t xml:space="preserve">indigenous peoples and local community </w:t>
      </w:r>
      <w:r w:rsidRPr="0066015A">
        <w:rPr>
          <w:snapToGrid w:val="0"/>
          <w:kern w:val="22"/>
        </w:rPr>
        <w:t>observer) (31 December 2018)</w:t>
      </w:r>
    </w:p>
    <w:p w:rsidR="00B5513E" w:rsidRPr="0066015A"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66015A">
        <w:rPr>
          <w:snapToGrid w:val="0"/>
          <w:kern w:val="22"/>
        </w:rPr>
        <w:t xml:space="preserve">Mr. </w:t>
      </w:r>
      <w:r w:rsidRPr="0066015A">
        <w:rPr>
          <w:noProof/>
          <w:snapToGrid w:val="0"/>
          <w:kern w:val="22"/>
        </w:rPr>
        <w:t>Onel Masardule Arias</w:t>
      </w:r>
      <w:r w:rsidRPr="0066015A">
        <w:rPr>
          <w:snapToGrid w:val="0"/>
          <w:kern w:val="22"/>
        </w:rPr>
        <w:t xml:space="preserve"> (</w:t>
      </w:r>
      <w:r w:rsidRPr="0066015A">
        <w:rPr>
          <w:snapToGrid w:val="0"/>
          <w:kern w:val="22"/>
          <w:szCs w:val="22"/>
        </w:rPr>
        <w:t xml:space="preserve">indigenous peoples and local community </w:t>
      </w:r>
      <w:r w:rsidRPr="0066015A">
        <w:rPr>
          <w:snapToGrid w:val="0"/>
          <w:kern w:val="22"/>
        </w:rPr>
        <w:t>observer) (31 December 2018).</w:t>
      </w:r>
    </w:p>
    <w:p w:rsidR="00B5513E" w:rsidRPr="0066015A" w:rsidRDefault="00B5513E" w:rsidP="0066015A">
      <w:pPr>
        <w:pStyle w:val="HEADING"/>
        <w:suppressLineNumbers/>
        <w:suppressAutoHyphens/>
        <w:kinsoku w:val="0"/>
        <w:overflowPunct w:val="0"/>
        <w:autoSpaceDE w:val="0"/>
        <w:autoSpaceDN w:val="0"/>
        <w:spacing w:before="120"/>
        <w:rPr>
          <w:rFonts w:ascii="Times New Roman Bold" w:hAnsi="Times New Roman Bold" w:cs="Times New Roman Bold"/>
          <w:caps w:val="0"/>
          <w:snapToGrid w:val="0"/>
          <w:kern w:val="22"/>
          <w:szCs w:val="22"/>
        </w:rPr>
      </w:pPr>
      <w:r w:rsidRPr="0066015A">
        <w:rPr>
          <w:rFonts w:ascii="Times New Roman Bold" w:hAnsi="Times New Roman Bold" w:cs="Times New Roman Bold"/>
          <w:caps w:val="0"/>
          <w:snapToGrid w:val="0"/>
          <w:kern w:val="22"/>
          <w:szCs w:val="22"/>
        </w:rPr>
        <w:t>V.</w:t>
      </w:r>
      <w:r w:rsidRPr="0066015A">
        <w:rPr>
          <w:rFonts w:ascii="Times New Roman Bold" w:hAnsi="Times New Roman Bold" w:cs="Times New Roman Bold"/>
          <w:caps w:val="0"/>
          <w:snapToGrid w:val="0"/>
          <w:kern w:val="22"/>
          <w:szCs w:val="22"/>
        </w:rPr>
        <w:tab/>
      </w:r>
      <w:r w:rsidR="00BC69BE" w:rsidRPr="0066015A">
        <w:rPr>
          <w:rFonts w:ascii="Times New Roman Bold" w:hAnsi="Times New Roman Bold" w:cs="Times New Roman Bold"/>
          <w:snapToGrid w:val="0"/>
          <w:kern w:val="22"/>
          <w:szCs w:val="22"/>
        </w:rPr>
        <w:t>Conclusion</w:t>
      </w:r>
    </w:p>
    <w:p w:rsidR="00B5513E" w:rsidRPr="00356FC1" w:rsidRDefault="00B5513E" w:rsidP="0066015A">
      <w:pPr>
        <w:pStyle w:val="Para1"/>
        <w:numPr>
          <w:ilvl w:val="0"/>
          <w:numId w:val="0"/>
        </w:numPr>
        <w:suppressLineNumbers/>
        <w:suppressAutoHyphens/>
        <w:kinsoku w:val="0"/>
        <w:overflowPunct w:val="0"/>
        <w:autoSpaceDE w:val="0"/>
        <w:autoSpaceDN w:val="0"/>
        <w:rPr>
          <w:kern w:val="22"/>
          <w:szCs w:val="22"/>
        </w:rPr>
      </w:pPr>
      <w:r w:rsidRPr="00356FC1">
        <w:rPr>
          <w:kern w:val="22"/>
          <w:szCs w:val="22"/>
        </w:rPr>
        <w:t>31.</w:t>
      </w:r>
      <w:r w:rsidRPr="00356FC1">
        <w:rPr>
          <w:kern w:val="22"/>
          <w:szCs w:val="22"/>
        </w:rPr>
        <w:tab/>
      </w:r>
      <w:r w:rsidR="007317E5" w:rsidRPr="00356FC1">
        <w:rPr>
          <w:kern w:val="22"/>
          <w:szCs w:val="22"/>
        </w:rPr>
        <w:t xml:space="preserve">At their </w:t>
      </w:r>
      <w:r w:rsidRPr="00356FC1">
        <w:rPr>
          <w:kern w:val="22"/>
          <w:szCs w:val="22"/>
        </w:rPr>
        <w:t>second meeting</w:t>
      </w:r>
      <w:r w:rsidR="007317E5" w:rsidRPr="00356FC1">
        <w:rPr>
          <w:kern w:val="22"/>
          <w:szCs w:val="22"/>
        </w:rPr>
        <w:t>,</w:t>
      </w:r>
      <w:r w:rsidRPr="00356FC1">
        <w:rPr>
          <w:kern w:val="22"/>
          <w:szCs w:val="22"/>
        </w:rPr>
        <w:t xml:space="preserve"> the Parties to the Protocol considered most of the recommendations of the Committee favourably. The table in the annex below shows how the recommendations were </w:t>
      </w:r>
      <w:proofErr w:type="gramStart"/>
      <w:r w:rsidRPr="00356FC1">
        <w:rPr>
          <w:kern w:val="22"/>
          <w:szCs w:val="22"/>
        </w:rPr>
        <w:t>considered,</w:t>
      </w:r>
      <w:proofErr w:type="gramEnd"/>
      <w:r w:rsidRPr="00356FC1">
        <w:rPr>
          <w:kern w:val="22"/>
          <w:szCs w:val="22"/>
        </w:rPr>
        <w:t xml:space="preserve"> accepted and included in decisions of </w:t>
      </w:r>
      <w:r w:rsidR="00E30700" w:rsidRPr="00356FC1">
        <w:rPr>
          <w:kern w:val="22"/>
          <w:szCs w:val="22"/>
        </w:rPr>
        <w:t>the Parties to the Protocol</w:t>
      </w:r>
      <w:r w:rsidRPr="00356FC1">
        <w:rPr>
          <w:kern w:val="22"/>
          <w:szCs w:val="22"/>
        </w:rPr>
        <w:t xml:space="preserve"> under the items to which they were considered to be relevant.</w:t>
      </w:r>
    </w:p>
    <w:p w:rsidR="00000000" w:rsidRPr="0066015A" w:rsidRDefault="0066015A" w:rsidP="0066015A">
      <w:pPr>
        <w:pStyle w:val="Para10"/>
        <w:suppressLineNumbers/>
        <w:tabs>
          <w:tab w:val="clear" w:pos="644"/>
        </w:tabs>
        <w:suppressAutoHyphens/>
        <w:kinsoku w:val="0"/>
        <w:overflowPunct w:val="0"/>
        <w:autoSpaceDE w:val="0"/>
        <w:autoSpaceDN w:val="0"/>
        <w:spacing w:before="120" w:after="120"/>
        <w:ind w:left="0"/>
        <w:jc w:val="center"/>
        <w:rPr>
          <w:i/>
          <w:iCs/>
          <w:snapToGrid w:val="0"/>
          <w:kern w:val="22"/>
          <w:szCs w:val="22"/>
        </w:rPr>
        <w:sectPr w:rsidR="00000000" w:rsidRPr="0066015A" w:rsidSect="0066015A">
          <w:headerReference w:type="even" r:id="rId30"/>
          <w:headerReference w:type="default" r:id="rId31"/>
          <w:pgSz w:w="12240" w:h="15840" w:code="1"/>
          <w:pgMar w:top="1021" w:right="1151" w:bottom="1140" w:left="1151" w:header="461" w:footer="720" w:gutter="0"/>
          <w:cols w:space="720"/>
          <w:titlePg/>
          <w:docGrid w:linePitch="299"/>
        </w:sectPr>
      </w:pPr>
    </w:p>
    <w:p w:rsidR="00B5513E" w:rsidRPr="0066015A" w:rsidRDefault="00B5513E" w:rsidP="0066015A">
      <w:pPr>
        <w:pStyle w:val="Para10"/>
        <w:suppressLineNumbers/>
        <w:tabs>
          <w:tab w:val="clear" w:pos="644"/>
        </w:tabs>
        <w:suppressAutoHyphens/>
        <w:kinsoku w:val="0"/>
        <w:overflowPunct w:val="0"/>
        <w:autoSpaceDE w:val="0"/>
        <w:autoSpaceDN w:val="0"/>
        <w:spacing w:after="120"/>
        <w:ind w:left="0"/>
        <w:jc w:val="center"/>
        <w:rPr>
          <w:i/>
          <w:iCs/>
          <w:snapToGrid w:val="0"/>
          <w:kern w:val="22"/>
          <w:szCs w:val="22"/>
        </w:rPr>
      </w:pPr>
      <w:r w:rsidRPr="0066015A">
        <w:rPr>
          <w:i/>
          <w:iCs/>
          <w:snapToGrid w:val="0"/>
          <w:kern w:val="22"/>
          <w:szCs w:val="22"/>
        </w:rPr>
        <w:lastRenderedPageBreak/>
        <w:t>Annex</w:t>
      </w:r>
    </w:p>
    <w:p w:rsidR="00B5513E" w:rsidRPr="0066015A" w:rsidRDefault="00050AB6" w:rsidP="0066015A">
      <w:pPr>
        <w:pStyle w:val="Para10"/>
        <w:suppressLineNumbers/>
        <w:tabs>
          <w:tab w:val="clear" w:pos="644"/>
        </w:tabs>
        <w:suppressAutoHyphens/>
        <w:kinsoku w:val="0"/>
        <w:overflowPunct w:val="0"/>
        <w:autoSpaceDE w:val="0"/>
        <w:autoSpaceDN w:val="0"/>
        <w:spacing w:before="120" w:after="120"/>
        <w:ind w:left="0"/>
        <w:jc w:val="center"/>
        <w:rPr>
          <w:rFonts w:ascii="Times New Roman Bold" w:hAnsi="Times New Roman Bold" w:cs="Times New Roman Bold"/>
          <w:b/>
          <w:bCs/>
          <w:caps/>
          <w:snapToGrid w:val="0"/>
          <w:kern w:val="22"/>
          <w:szCs w:val="22"/>
        </w:rPr>
      </w:pPr>
      <w:r w:rsidRPr="0066015A">
        <w:rPr>
          <w:rFonts w:ascii="Times New Roman Bold" w:hAnsi="Times New Roman Bold" w:cs="Times New Roman Bold"/>
          <w:b/>
          <w:bCs/>
          <w:caps/>
          <w:snapToGrid w:val="0"/>
          <w:kern w:val="22"/>
          <w:szCs w:val="22"/>
        </w:rPr>
        <w:t>Extent of integration of the recommendations of the Compliance Committee into the decisions of the Conference of the Parties serving as the meeting of the Partie</w:t>
      </w:r>
      <w:r w:rsidR="00035F21" w:rsidRPr="0066015A">
        <w:rPr>
          <w:rFonts w:ascii="Times New Roman Bold" w:hAnsi="Times New Roman Bold" w:cs="Times New Roman Bold"/>
          <w:b/>
          <w:bCs/>
          <w:caps/>
          <w:snapToGrid w:val="0"/>
          <w:kern w:val="22"/>
          <w:szCs w:val="22"/>
        </w:rPr>
        <w:t>s to the Nagoya Protocol at</w:t>
      </w:r>
      <w:r w:rsidR="00035F21">
        <w:rPr>
          <w:rFonts w:ascii="Times New Roman Bold" w:hAnsi="Times New Roman Bold" w:cs="Times New Roman Bold"/>
          <w:b/>
          <w:bCs/>
          <w:caps/>
          <w:snapToGrid w:val="0"/>
          <w:kern w:val="22"/>
          <w:szCs w:val="22"/>
        </w:rPr>
        <w:t> </w:t>
      </w:r>
      <w:r w:rsidR="00035F21" w:rsidRPr="0066015A">
        <w:rPr>
          <w:rFonts w:ascii="Times New Roman Bold" w:hAnsi="Times New Roman Bold" w:cs="Times New Roman Bold"/>
          <w:b/>
          <w:bCs/>
          <w:caps/>
          <w:snapToGrid w:val="0"/>
          <w:kern w:val="22"/>
          <w:szCs w:val="22"/>
        </w:rPr>
        <w:t>its</w:t>
      </w:r>
      <w:r w:rsidR="00035F21">
        <w:rPr>
          <w:rFonts w:ascii="Times New Roman Bold" w:hAnsi="Times New Roman Bold" w:cs="Times New Roman Bold"/>
          <w:b/>
          <w:bCs/>
          <w:caps/>
          <w:snapToGrid w:val="0"/>
          <w:kern w:val="22"/>
          <w:szCs w:val="22"/>
        </w:rPr>
        <w:t> </w:t>
      </w:r>
      <w:r w:rsidRPr="0066015A">
        <w:rPr>
          <w:rFonts w:ascii="Times New Roman Bold" w:hAnsi="Times New Roman Bold" w:cs="Times New Roman Bold"/>
          <w:b/>
          <w:bCs/>
          <w:caps/>
          <w:snapToGrid w:val="0"/>
          <w:kern w:val="22"/>
          <w:szCs w:val="22"/>
        </w:rPr>
        <w:t>second</w:t>
      </w:r>
      <w:r w:rsidRPr="00356FC1">
        <w:rPr>
          <w:rFonts w:ascii="Times New Roman Bold" w:hAnsi="Times New Roman Bold" w:cs="Times New Roman Bold"/>
          <w:b/>
          <w:bCs/>
          <w:caps/>
          <w:snapToGrid w:val="0"/>
          <w:kern w:val="22"/>
          <w:szCs w:val="22"/>
        </w:rPr>
        <w:t> </w:t>
      </w:r>
      <w:r w:rsidRPr="0066015A">
        <w:rPr>
          <w:rFonts w:ascii="Times New Roman Bold" w:hAnsi="Times New Roman Bold" w:cs="Times New Roman Bold"/>
          <w:b/>
          <w:bCs/>
          <w:caps/>
          <w:snapToGrid w:val="0"/>
          <w:kern w:val="22"/>
          <w:szCs w:val="22"/>
        </w:rPr>
        <w:t>meeting</w:t>
      </w:r>
      <w:r w:rsidR="00B5513E" w:rsidRPr="0066015A">
        <w:rPr>
          <w:rStyle w:val="FootnoteReference"/>
          <w:rFonts w:ascii="Times New Roman Bold" w:hAnsi="Times New Roman Bold" w:cs="Times New Roman Bold"/>
          <w:b/>
          <w:bCs/>
          <w:caps/>
          <w:snapToGrid w:val="0"/>
          <w:kern w:val="22"/>
          <w:szCs w:val="22"/>
        </w:rPr>
        <w:footnoteReference w:id="7"/>
      </w: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0"/>
        <w:gridCol w:w="4849"/>
        <w:gridCol w:w="4593"/>
      </w:tblGrid>
      <w:tr w:rsidR="00B5513E" w:rsidRPr="00356FC1" w:rsidTr="0066015A">
        <w:trPr>
          <w:cantSplit/>
          <w:tblHeader/>
          <w:jc w:val="center"/>
        </w:trPr>
        <w:tc>
          <w:tcPr>
            <w:tcW w:w="4720" w:type="dxa"/>
            <w:tcBorders>
              <w:bottom w:val="single" w:sz="4" w:space="0" w:color="auto"/>
            </w:tcBorders>
            <w:tcMar>
              <w:top w:w="115" w:type="dxa"/>
              <w:left w:w="115" w:type="dxa"/>
              <w:bottom w:w="115" w:type="dxa"/>
              <w:right w:w="115" w:type="dxa"/>
            </w:tcMar>
          </w:tcPr>
          <w:p w:rsidR="00B5513E" w:rsidRPr="0066015A" w:rsidRDefault="00B5513E" w:rsidP="0066015A">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66015A">
              <w:rPr>
                <w:rFonts w:eastAsia="Calibri"/>
                <w:i/>
                <w:iCs/>
                <w:snapToGrid w:val="0"/>
                <w:kern w:val="22"/>
                <w:szCs w:val="22"/>
              </w:rPr>
              <w:t>Recommendations of the Committee</w:t>
            </w:r>
          </w:p>
          <w:p w:rsidR="00B5513E" w:rsidRPr="0066015A" w:rsidRDefault="00B5513E" w:rsidP="0066015A">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66015A">
              <w:rPr>
                <w:rFonts w:eastAsia="Calibri"/>
                <w:i/>
                <w:iCs/>
                <w:snapToGrid w:val="0"/>
                <w:kern w:val="22"/>
                <w:szCs w:val="22"/>
              </w:rPr>
              <w:t>(UNEP/CBD/NP/COP-MOP/2/4</w:t>
            </w:r>
            <w:r w:rsidR="00050AB6" w:rsidRPr="0066015A">
              <w:rPr>
                <w:rFonts w:eastAsia="Calibri"/>
                <w:i/>
                <w:iCs/>
                <w:snapToGrid w:val="0"/>
                <w:kern w:val="22"/>
                <w:szCs w:val="22"/>
              </w:rPr>
              <w:t xml:space="preserve">, </w:t>
            </w:r>
            <w:r w:rsidR="00892B96" w:rsidRPr="0066015A">
              <w:rPr>
                <w:rFonts w:eastAsia="Calibri"/>
                <w:i/>
                <w:iCs/>
                <w:snapToGrid w:val="0"/>
                <w:kern w:val="22"/>
                <w:szCs w:val="22"/>
              </w:rPr>
              <w:t>annexes </w:t>
            </w:r>
            <w:r w:rsidR="00050AB6" w:rsidRPr="0066015A">
              <w:rPr>
                <w:rFonts w:eastAsia="Calibri"/>
                <w:i/>
                <w:iCs/>
                <w:snapToGrid w:val="0"/>
                <w:kern w:val="22"/>
                <w:szCs w:val="22"/>
              </w:rPr>
              <w:t>I and II</w:t>
            </w:r>
            <w:r w:rsidRPr="0066015A">
              <w:rPr>
                <w:rFonts w:eastAsia="Calibri"/>
                <w:i/>
                <w:iCs/>
                <w:snapToGrid w:val="0"/>
                <w:kern w:val="22"/>
                <w:szCs w:val="22"/>
              </w:rPr>
              <w:t>)</w:t>
            </w:r>
          </w:p>
        </w:tc>
        <w:tc>
          <w:tcPr>
            <w:tcW w:w="4849" w:type="dxa"/>
            <w:tcBorders>
              <w:bottom w:val="single" w:sz="4" w:space="0" w:color="auto"/>
            </w:tcBorders>
            <w:tcMar>
              <w:top w:w="115" w:type="dxa"/>
              <w:left w:w="115" w:type="dxa"/>
              <w:bottom w:w="115" w:type="dxa"/>
              <w:right w:w="115" w:type="dxa"/>
            </w:tcMar>
          </w:tcPr>
          <w:p w:rsidR="00B5513E" w:rsidRPr="0066015A" w:rsidRDefault="00053CAF" w:rsidP="0066015A">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66015A">
              <w:rPr>
                <w:rFonts w:eastAsia="Calibri"/>
                <w:i/>
                <w:iCs/>
                <w:snapToGrid w:val="0"/>
                <w:kern w:val="22"/>
                <w:szCs w:val="22"/>
              </w:rPr>
              <w:t xml:space="preserve">Decision of the </w:t>
            </w:r>
            <w:r w:rsidR="00E30700" w:rsidRPr="0066015A">
              <w:rPr>
                <w:rFonts w:eastAsia="Calibri"/>
                <w:i/>
                <w:iCs/>
                <w:snapToGrid w:val="0"/>
                <w:kern w:val="22"/>
                <w:szCs w:val="22"/>
              </w:rPr>
              <w:t>Parties to the Protocol</w:t>
            </w:r>
            <w:r w:rsidRPr="0066015A">
              <w:rPr>
                <w:rFonts w:eastAsia="Calibri"/>
                <w:i/>
                <w:iCs/>
                <w:snapToGrid w:val="0"/>
                <w:kern w:val="22"/>
                <w:szCs w:val="22"/>
              </w:rPr>
              <w:t xml:space="preserve"> at their second meeting</w:t>
            </w:r>
          </w:p>
        </w:tc>
        <w:tc>
          <w:tcPr>
            <w:tcW w:w="4593" w:type="dxa"/>
            <w:tcBorders>
              <w:bottom w:val="single" w:sz="4" w:space="0" w:color="auto"/>
            </w:tcBorders>
            <w:tcMar>
              <w:top w:w="115" w:type="dxa"/>
              <w:left w:w="115" w:type="dxa"/>
              <w:bottom w:w="115" w:type="dxa"/>
              <w:right w:w="115" w:type="dxa"/>
            </w:tcMar>
          </w:tcPr>
          <w:p w:rsidR="00B5513E" w:rsidRPr="0066015A" w:rsidRDefault="00B5513E" w:rsidP="0066015A">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66015A">
              <w:rPr>
                <w:rFonts w:eastAsia="Calibri"/>
                <w:i/>
                <w:iCs/>
                <w:snapToGrid w:val="0"/>
                <w:kern w:val="22"/>
                <w:szCs w:val="22"/>
              </w:rPr>
              <w:t>Remarks/clarifications</w:t>
            </w:r>
          </w:p>
        </w:tc>
      </w:tr>
      <w:tr w:rsidR="003727A0" w:rsidRPr="00356FC1" w:rsidTr="0066015A">
        <w:trPr>
          <w:cantSplit/>
          <w:jc w:val="center"/>
        </w:trPr>
        <w:tc>
          <w:tcPr>
            <w:tcW w:w="4720" w:type="dxa"/>
            <w:tcBorders>
              <w:bottom w:val="nil"/>
              <w:right w:val="single" w:sz="4" w:space="0" w:color="auto"/>
            </w:tcBorders>
            <w:tcMar>
              <w:top w:w="115" w:type="dxa"/>
              <w:left w:w="115" w:type="dxa"/>
              <w:bottom w:w="115" w:type="dxa"/>
              <w:right w:w="115" w:type="dxa"/>
            </w:tcMar>
          </w:tcPr>
          <w:p w:rsidR="003727A0" w:rsidRPr="00324DA2" w:rsidRDefault="003727A0" w:rsidP="003727A0">
            <w:pPr>
              <w:suppressLineNumbers/>
              <w:suppressAutoHyphens/>
              <w:kinsoku w:val="0"/>
              <w:overflowPunct w:val="0"/>
              <w:autoSpaceDE w:val="0"/>
              <w:autoSpaceDN w:val="0"/>
              <w:adjustRightInd w:val="0"/>
              <w:jc w:val="left"/>
              <w:rPr>
                <w:snapToGrid w:val="0"/>
                <w:kern w:val="22"/>
                <w:szCs w:val="22"/>
              </w:rPr>
            </w:pPr>
            <w:r w:rsidRPr="00324DA2">
              <w:rPr>
                <w:snapToGrid w:val="0"/>
                <w:kern w:val="22"/>
                <w:szCs w:val="22"/>
              </w:rPr>
              <w:t>The Compliance Committee recommends that the Conference of the Parties serving as the meeting</w:t>
            </w:r>
          </w:p>
          <w:p w:rsidR="003727A0" w:rsidRPr="00356FC1" w:rsidRDefault="003727A0" w:rsidP="003727A0">
            <w:pPr>
              <w:suppressLineNumbers/>
              <w:suppressAutoHyphens/>
              <w:kinsoku w:val="0"/>
              <w:overflowPunct w:val="0"/>
              <w:autoSpaceDE w:val="0"/>
              <w:autoSpaceDN w:val="0"/>
              <w:adjustRightInd w:val="0"/>
              <w:jc w:val="left"/>
              <w:rPr>
                <w:snapToGrid w:val="0"/>
                <w:kern w:val="22"/>
                <w:szCs w:val="22"/>
              </w:rPr>
            </w:pPr>
            <w:r w:rsidRPr="00324DA2">
              <w:rPr>
                <w:snapToGrid w:val="0"/>
                <w:kern w:val="22"/>
                <w:szCs w:val="22"/>
              </w:rPr>
              <w:t>of the Parties to the Nagoya Protocol decide, at its second meeting, to:</w:t>
            </w:r>
          </w:p>
        </w:tc>
        <w:tc>
          <w:tcPr>
            <w:tcW w:w="4849" w:type="dxa"/>
            <w:tcBorders>
              <w:left w:val="single" w:sz="4" w:space="0" w:color="auto"/>
              <w:bottom w:val="nil"/>
              <w:right w:val="single" w:sz="4" w:space="0" w:color="auto"/>
            </w:tcBorders>
            <w:tcMar>
              <w:top w:w="115" w:type="dxa"/>
              <w:left w:w="115" w:type="dxa"/>
              <w:bottom w:w="115" w:type="dxa"/>
              <w:right w:w="115" w:type="dxa"/>
            </w:tcMar>
          </w:tcPr>
          <w:p w:rsidR="003727A0" w:rsidRPr="008131D0" w:rsidRDefault="003727A0" w:rsidP="003727A0">
            <w:pPr>
              <w:pStyle w:val="Para10"/>
              <w:suppressLineNumbers/>
              <w:tabs>
                <w:tab w:val="clear" w:pos="644"/>
              </w:tabs>
              <w:suppressAutoHyphens/>
              <w:kinsoku w:val="0"/>
              <w:overflowPunct w:val="0"/>
              <w:autoSpaceDE w:val="0"/>
              <w:autoSpaceDN w:val="0"/>
              <w:ind w:left="0"/>
              <w:jc w:val="left"/>
              <w:rPr>
                <w:rFonts w:eastAsia="Calibri"/>
                <w:b/>
                <w:snapToGrid w:val="0"/>
                <w:kern w:val="22"/>
                <w:szCs w:val="22"/>
              </w:rPr>
            </w:pPr>
            <w:r w:rsidRPr="008131D0">
              <w:rPr>
                <w:rFonts w:eastAsia="Calibri"/>
                <w:b/>
                <w:snapToGrid w:val="0"/>
                <w:kern w:val="22"/>
                <w:szCs w:val="22"/>
              </w:rPr>
              <w:t>NP-2/3. Report of the Compliance Committee (Article 30)</w:t>
            </w:r>
          </w:p>
          <w:p w:rsidR="003727A0" w:rsidRPr="008131D0" w:rsidRDefault="003727A0" w:rsidP="003727A0">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p w:rsidR="003727A0" w:rsidRPr="00356FC1" w:rsidRDefault="003727A0" w:rsidP="003727A0">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8131D0">
              <w:rPr>
                <w:i/>
                <w:snapToGrid w:val="0"/>
                <w:kern w:val="22"/>
              </w:rPr>
              <w:t>The Conference of the Parties serving as the meeting of the Parties to the Nagoya Protocol,</w:t>
            </w:r>
          </w:p>
        </w:tc>
        <w:tc>
          <w:tcPr>
            <w:tcW w:w="4593" w:type="dxa"/>
            <w:tcBorders>
              <w:left w:val="single" w:sz="4" w:space="0" w:color="auto"/>
              <w:bottom w:val="nil"/>
            </w:tcBorders>
            <w:tcMar>
              <w:top w:w="115" w:type="dxa"/>
              <w:left w:w="115" w:type="dxa"/>
              <w:bottom w:w="115" w:type="dxa"/>
              <w:right w:w="115" w:type="dxa"/>
            </w:tcMar>
          </w:tcPr>
          <w:p w:rsidR="003727A0" w:rsidRPr="00356FC1" w:rsidRDefault="003727A0"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tc>
      </w:tr>
      <w:tr w:rsidR="003727A0" w:rsidRPr="00356FC1" w:rsidTr="0066015A">
        <w:trPr>
          <w:cantSplit/>
          <w:jc w:val="center"/>
        </w:trPr>
        <w:tc>
          <w:tcPr>
            <w:tcW w:w="4720" w:type="dxa"/>
            <w:tcBorders>
              <w:top w:val="nil"/>
              <w:bottom w:val="nil"/>
              <w:right w:val="single" w:sz="4" w:space="0" w:color="auto"/>
            </w:tcBorders>
            <w:tcMar>
              <w:top w:w="115" w:type="dxa"/>
              <w:left w:w="115" w:type="dxa"/>
              <w:bottom w:w="115" w:type="dxa"/>
              <w:right w:w="115" w:type="dxa"/>
            </w:tcMar>
          </w:tcPr>
          <w:p w:rsidR="003727A0" w:rsidRPr="00356FC1" w:rsidRDefault="003727A0">
            <w:pPr>
              <w:suppressLineNumbers/>
              <w:suppressAutoHyphens/>
              <w:kinsoku w:val="0"/>
              <w:overflowPunct w:val="0"/>
              <w:autoSpaceDE w:val="0"/>
              <w:autoSpaceDN w:val="0"/>
              <w:adjustRightInd w:val="0"/>
              <w:jc w:val="left"/>
              <w:rPr>
                <w:snapToGrid w:val="0"/>
                <w:kern w:val="22"/>
                <w:szCs w:val="22"/>
              </w:rPr>
            </w:pPr>
            <w:r w:rsidRPr="00B406B1">
              <w:rPr>
                <w:iCs/>
                <w:snapToGrid w:val="0"/>
                <w:kern w:val="22"/>
                <w:szCs w:val="22"/>
              </w:rPr>
              <w:t xml:space="preserve">1. </w:t>
            </w:r>
            <w:r w:rsidRPr="00B406B1">
              <w:rPr>
                <w:i/>
                <w:snapToGrid w:val="0"/>
                <w:kern w:val="22"/>
              </w:rPr>
              <w:t>Approve</w:t>
            </w:r>
            <w:r w:rsidRPr="00B406B1">
              <w:rPr>
                <w:snapToGrid w:val="0"/>
                <w:kern w:val="22"/>
              </w:rPr>
              <w:t xml:space="preserve"> the rules of procedure for the meetings of the Compliance Committee under the Nagoya Protocol as annexed to the present decision;</w:t>
            </w:r>
          </w:p>
        </w:tc>
        <w:tc>
          <w:tcPr>
            <w:tcW w:w="4849" w:type="dxa"/>
            <w:tcBorders>
              <w:top w:val="nil"/>
              <w:left w:val="single" w:sz="4" w:space="0" w:color="auto"/>
              <w:bottom w:val="nil"/>
              <w:right w:val="single" w:sz="4" w:space="0" w:color="auto"/>
            </w:tcBorders>
            <w:tcMar>
              <w:top w:w="115" w:type="dxa"/>
              <w:left w:w="115" w:type="dxa"/>
              <w:bottom w:w="115" w:type="dxa"/>
              <w:right w:w="115" w:type="dxa"/>
            </w:tcMar>
          </w:tcPr>
          <w:p w:rsidR="003727A0" w:rsidRPr="00356FC1" w:rsidRDefault="003727A0">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53739C">
              <w:rPr>
                <w:rFonts w:eastAsia="Calibri"/>
                <w:snapToGrid w:val="0"/>
                <w:kern w:val="22"/>
                <w:szCs w:val="22"/>
              </w:rPr>
              <w:t xml:space="preserve">1. </w:t>
            </w:r>
            <w:r w:rsidRPr="0053739C">
              <w:rPr>
                <w:rFonts w:eastAsia="Calibri"/>
                <w:i/>
                <w:snapToGrid w:val="0"/>
                <w:kern w:val="22"/>
                <w:szCs w:val="22"/>
              </w:rPr>
              <w:t>Approves</w:t>
            </w:r>
            <w:r w:rsidRPr="0053739C">
              <w:rPr>
                <w:rFonts w:eastAsia="Calibri"/>
                <w:snapToGrid w:val="0"/>
                <w:kern w:val="22"/>
                <w:szCs w:val="22"/>
              </w:rPr>
              <w:t xml:space="preserve"> the rules of procedure for the meetings of the Compliance Committee under the Nagoya Protocol as annexed to the present decision;</w:t>
            </w:r>
          </w:p>
        </w:tc>
        <w:tc>
          <w:tcPr>
            <w:tcW w:w="4593" w:type="dxa"/>
            <w:tcBorders>
              <w:top w:val="nil"/>
              <w:left w:val="single" w:sz="4" w:space="0" w:color="auto"/>
              <w:bottom w:val="nil"/>
            </w:tcBorders>
            <w:tcMar>
              <w:top w:w="115" w:type="dxa"/>
              <w:left w:w="115" w:type="dxa"/>
              <w:bottom w:w="115" w:type="dxa"/>
              <w:right w:w="115" w:type="dxa"/>
            </w:tcMar>
          </w:tcPr>
          <w:p w:rsidR="003727A0" w:rsidRPr="00356FC1" w:rsidRDefault="003727A0"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894765">
              <w:rPr>
                <w:rFonts w:eastAsia="Calibri"/>
                <w:snapToGrid w:val="0"/>
                <w:kern w:val="22"/>
                <w:szCs w:val="22"/>
              </w:rPr>
              <w:t>The recommendation was adopted with some changes to the rules of procedure as outlined below.</w:t>
            </w:r>
          </w:p>
        </w:tc>
      </w:tr>
      <w:tr w:rsidR="0046500B" w:rsidRPr="00356FC1" w:rsidTr="0066015A">
        <w:trPr>
          <w:cantSplit/>
          <w:jc w:val="center"/>
        </w:trPr>
        <w:tc>
          <w:tcPr>
            <w:tcW w:w="4720" w:type="dxa"/>
            <w:tcBorders>
              <w:top w:val="nil"/>
              <w:bottom w:val="single" w:sz="4" w:space="0" w:color="auto"/>
              <w:right w:val="single" w:sz="4" w:space="0" w:color="auto"/>
            </w:tcBorders>
            <w:tcMar>
              <w:top w:w="115" w:type="dxa"/>
              <w:left w:w="115" w:type="dxa"/>
              <w:bottom w:w="115" w:type="dxa"/>
              <w:right w:w="115" w:type="dxa"/>
            </w:tcMar>
          </w:tcPr>
          <w:p w:rsidR="0046500B" w:rsidRPr="00356FC1" w:rsidRDefault="0046500B" w:rsidP="00356FC1">
            <w:pPr>
              <w:suppressLineNumbers/>
              <w:suppressAutoHyphens/>
              <w:kinsoku w:val="0"/>
              <w:overflowPunct w:val="0"/>
              <w:autoSpaceDE w:val="0"/>
              <w:autoSpaceDN w:val="0"/>
              <w:adjustRightInd w:val="0"/>
              <w:jc w:val="left"/>
              <w:rPr>
                <w:snapToGrid w:val="0"/>
                <w:kern w:val="22"/>
                <w:szCs w:val="22"/>
              </w:rPr>
            </w:pPr>
            <w:r w:rsidRPr="00D56E76">
              <w:rPr>
                <w:snapToGrid w:val="0"/>
                <w:kern w:val="22"/>
                <w:szCs w:val="22"/>
              </w:rPr>
              <w:t xml:space="preserve">2. </w:t>
            </w:r>
            <w:r w:rsidRPr="00D56E76">
              <w:rPr>
                <w:i/>
                <w:snapToGrid w:val="0"/>
                <w:kern w:val="22"/>
              </w:rPr>
              <w:t>Note</w:t>
            </w:r>
            <w:r w:rsidRPr="00D56E76">
              <w:rPr>
                <w:snapToGrid w:val="0"/>
                <w:kern w:val="22"/>
              </w:rPr>
              <w:t xml:space="preserve"> that implementation of the Protocol is still in its early stages, wherein it is important to focus on enabling Parties to implement the Protocol, and therefore the need for and modalities of support to address challenges related to compliance with the provisions of the Protocol with a view to making effective use of the compliance mechanism cannot yet be fully assessed;</w:t>
            </w:r>
          </w:p>
        </w:tc>
        <w:tc>
          <w:tcPr>
            <w:tcW w:w="4849" w:type="dxa"/>
            <w:tcBorders>
              <w:top w:val="nil"/>
              <w:left w:val="single" w:sz="4" w:space="0" w:color="auto"/>
              <w:bottom w:val="single" w:sz="4" w:space="0" w:color="auto"/>
              <w:right w:val="single" w:sz="4" w:space="0" w:color="auto"/>
            </w:tcBorders>
            <w:tcMar>
              <w:top w:w="115" w:type="dxa"/>
              <w:left w:w="115" w:type="dxa"/>
              <w:bottom w:w="115" w:type="dxa"/>
              <w:right w:w="115" w:type="dxa"/>
            </w:tcMar>
          </w:tcPr>
          <w:p w:rsidR="0046500B" w:rsidRPr="00356FC1" w:rsidRDefault="0046500B"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66015A">
              <w:rPr>
                <w:rFonts w:eastAsia="Calibri"/>
                <w:iCs/>
                <w:snapToGrid w:val="0"/>
                <w:kern w:val="22"/>
                <w:szCs w:val="22"/>
              </w:rPr>
              <w:t xml:space="preserve">2. </w:t>
            </w:r>
            <w:r w:rsidRPr="001B09E1">
              <w:rPr>
                <w:rFonts w:eastAsia="Calibri"/>
                <w:i/>
                <w:snapToGrid w:val="0"/>
                <w:kern w:val="22"/>
                <w:szCs w:val="22"/>
              </w:rPr>
              <w:t>Notes</w:t>
            </w:r>
            <w:r w:rsidRPr="001B09E1">
              <w:rPr>
                <w:rFonts w:eastAsia="Calibri"/>
                <w:snapToGrid w:val="0"/>
                <w:kern w:val="22"/>
                <w:szCs w:val="22"/>
              </w:rPr>
              <w:t xml:space="preserve"> that implementation of the Protocol is still in its early stages, wherein it is important to focus on enabling Parties to implement the Protocol, and therefore the need for and modalities of support to address challenges related to compliance with the provisions of the Protocol with a view to making effective use of the compliance mechanism cannot yet be fully assessed;</w:t>
            </w:r>
          </w:p>
        </w:tc>
        <w:tc>
          <w:tcPr>
            <w:tcW w:w="4593" w:type="dxa"/>
            <w:tcBorders>
              <w:top w:val="nil"/>
              <w:left w:val="single" w:sz="4" w:space="0" w:color="auto"/>
              <w:bottom w:val="single" w:sz="4" w:space="0" w:color="auto"/>
            </w:tcBorders>
            <w:tcMar>
              <w:top w:w="115" w:type="dxa"/>
              <w:left w:w="115" w:type="dxa"/>
              <w:bottom w:w="115" w:type="dxa"/>
              <w:right w:w="115" w:type="dxa"/>
            </w:tcMar>
          </w:tcPr>
          <w:p w:rsidR="0046500B" w:rsidRPr="00356FC1" w:rsidRDefault="0046500B">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AA4431">
              <w:rPr>
                <w:rFonts w:eastAsia="Calibri"/>
                <w:snapToGrid w:val="0"/>
                <w:kern w:val="22"/>
                <w:szCs w:val="22"/>
              </w:rPr>
              <w:t>Recommendation adopted with no changes</w:t>
            </w:r>
          </w:p>
        </w:tc>
      </w:tr>
      <w:tr w:rsidR="001B25B2" w:rsidRPr="00356FC1" w:rsidTr="0066015A">
        <w:trPr>
          <w:cantSplit/>
          <w:jc w:val="center"/>
        </w:trPr>
        <w:tc>
          <w:tcPr>
            <w:tcW w:w="4720" w:type="dxa"/>
            <w:tcBorders>
              <w:bottom w:val="nil"/>
            </w:tcBorders>
            <w:tcMar>
              <w:top w:w="115" w:type="dxa"/>
              <w:left w:w="115" w:type="dxa"/>
              <w:bottom w:w="115" w:type="dxa"/>
              <w:right w:w="115" w:type="dxa"/>
            </w:tcMar>
          </w:tcPr>
          <w:p w:rsidR="001B25B2" w:rsidRPr="00356FC1" w:rsidRDefault="001B25B2" w:rsidP="00356FC1">
            <w:pPr>
              <w:suppressLineNumbers/>
              <w:suppressAutoHyphens/>
              <w:kinsoku w:val="0"/>
              <w:overflowPunct w:val="0"/>
              <w:autoSpaceDE w:val="0"/>
              <w:autoSpaceDN w:val="0"/>
              <w:adjustRightInd w:val="0"/>
              <w:jc w:val="left"/>
              <w:rPr>
                <w:snapToGrid w:val="0"/>
                <w:kern w:val="22"/>
                <w:szCs w:val="22"/>
              </w:rPr>
            </w:pPr>
            <w:r w:rsidRPr="00CF3B18">
              <w:rPr>
                <w:snapToGrid w:val="0"/>
                <w:kern w:val="22"/>
                <w:szCs w:val="22"/>
              </w:rPr>
              <w:lastRenderedPageBreak/>
              <w:t xml:space="preserve">3. </w:t>
            </w:r>
            <w:r w:rsidRPr="00CF3B18">
              <w:rPr>
                <w:i/>
                <w:snapToGrid w:val="0"/>
                <w:kern w:val="22"/>
              </w:rPr>
              <w:t>Decide</w:t>
            </w:r>
            <w:r w:rsidRPr="00CF3B18">
              <w:rPr>
                <w:snapToGrid w:val="0"/>
                <w:kern w:val="22"/>
              </w:rPr>
              <w:t xml:space="preserve"> that the Compliance Committee shall reassess the need for and modalities of support as provided for in paragraph 2(b) of decision NP-1/4 at a future meeting in the light of the experience gained by the Committee in carrying out its functions and further developments in implementation of the Protocol;</w:t>
            </w:r>
          </w:p>
        </w:tc>
        <w:tc>
          <w:tcPr>
            <w:tcW w:w="4849" w:type="dxa"/>
            <w:tcBorders>
              <w:bottom w:val="nil"/>
            </w:tcBorders>
            <w:tcMar>
              <w:top w:w="115" w:type="dxa"/>
              <w:left w:w="115" w:type="dxa"/>
              <w:bottom w:w="115" w:type="dxa"/>
              <w:right w:w="115" w:type="dxa"/>
            </w:tcMar>
          </w:tcPr>
          <w:p w:rsidR="001B25B2" w:rsidRPr="00356FC1" w:rsidRDefault="001B25B2"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66015A">
              <w:rPr>
                <w:rFonts w:eastAsia="Calibri"/>
                <w:iCs/>
                <w:snapToGrid w:val="0"/>
                <w:kern w:val="22"/>
                <w:szCs w:val="22"/>
              </w:rPr>
              <w:t xml:space="preserve">3. </w:t>
            </w:r>
            <w:r w:rsidRPr="00F14A4E">
              <w:rPr>
                <w:rFonts w:eastAsia="Calibri"/>
                <w:i/>
                <w:snapToGrid w:val="0"/>
                <w:kern w:val="22"/>
                <w:szCs w:val="22"/>
              </w:rPr>
              <w:t>Decides</w:t>
            </w:r>
            <w:r w:rsidRPr="00F14A4E">
              <w:rPr>
                <w:rFonts w:eastAsia="Calibri"/>
                <w:snapToGrid w:val="0"/>
                <w:kern w:val="22"/>
                <w:szCs w:val="22"/>
              </w:rPr>
              <w:t xml:space="preserve"> that the Compliance Committee shall reassess the need for and modalities of support as provided for in paragraph 2(b) of decision NP-1/4 at a future meeting in the light of the experience gained by the Committee in carrying out its functions and further developments in implementation of the Protocol, </w:t>
            </w:r>
            <w:r w:rsidRPr="00F14A4E">
              <w:rPr>
                <w:rFonts w:eastAsia="Calibri"/>
                <w:b/>
                <w:snapToGrid w:val="0"/>
                <w:kern w:val="22"/>
                <w:szCs w:val="22"/>
              </w:rPr>
              <w:t>and with a view to contributing to the assessment and review of the Protocol’s effectiveness as required</w:t>
            </w:r>
            <w:r w:rsidRPr="00F14A4E">
              <w:rPr>
                <w:rFonts w:eastAsia="Calibri"/>
                <w:snapToGrid w:val="0"/>
                <w:kern w:val="22"/>
                <w:szCs w:val="22"/>
              </w:rPr>
              <w:t>;</w:t>
            </w:r>
          </w:p>
        </w:tc>
        <w:tc>
          <w:tcPr>
            <w:tcW w:w="4593" w:type="dxa"/>
            <w:tcBorders>
              <w:bottom w:val="nil"/>
            </w:tcBorders>
            <w:tcMar>
              <w:top w:w="115" w:type="dxa"/>
              <w:left w:w="115" w:type="dxa"/>
              <w:bottom w:w="115" w:type="dxa"/>
              <w:right w:w="115" w:type="dxa"/>
            </w:tcMar>
          </w:tcPr>
          <w:p w:rsidR="001B25B2" w:rsidRPr="00356FC1" w:rsidRDefault="005B26E3"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 xml:space="preserve">Recommendation adopted with the addition of the last phrase </w:t>
            </w:r>
            <w:r>
              <w:rPr>
                <w:rFonts w:eastAsia="Calibri"/>
                <w:snapToGrid w:val="0"/>
                <w:kern w:val="22"/>
                <w:szCs w:val="22"/>
              </w:rPr>
              <w:t>“</w:t>
            </w:r>
            <w:r w:rsidRPr="002145A3">
              <w:rPr>
                <w:rFonts w:eastAsia="Calibri"/>
                <w:snapToGrid w:val="0"/>
                <w:kern w:val="22"/>
                <w:szCs w:val="22"/>
              </w:rPr>
              <w:t>with a view to contributing to the assessment and review of the Protocol’s effectiveness as required</w:t>
            </w:r>
            <w:r>
              <w:rPr>
                <w:rFonts w:eastAsia="Calibri"/>
                <w:snapToGrid w:val="0"/>
                <w:kern w:val="22"/>
                <w:szCs w:val="22"/>
              </w:rPr>
              <w:t>”</w:t>
            </w:r>
            <w:r w:rsidRPr="002145A3">
              <w:rPr>
                <w:rFonts w:eastAsia="Calibri"/>
                <w:snapToGrid w:val="0"/>
                <w:kern w:val="22"/>
                <w:szCs w:val="22"/>
              </w:rPr>
              <w:t>. This addition links reassessing the need for and modalities of support with a future assessment and review of the Protocol.</w:t>
            </w:r>
          </w:p>
        </w:tc>
      </w:tr>
      <w:tr w:rsidR="00982D6C" w:rsidRPr="00356FC1" w:rsidTr="0066015A">
        <w:trPr>
          <w:cantSplit/>
          <w:jc w:val="center"/>
        </w:trPr>
        <w:tc>
          <w:tcPr>
            <w:tcW w:w="4720" w:type="dxa"/>
            <w:tcBorders>
              <w:top w:val="nil"/>
              <w:bottom w:val="nil"/>
            </w:tcBorders>
            <w:tcMar>
              <w:top w:w="115" w:type="dxa"/>
              <w:left w:w="115" w:type="dxa"/>
              <w:bottom w:w="115" w:type="dxa"/>
              <w:right w:w="115" w:type="dxa"/>
            </w:tcMar>
          </w:tcPr>
          <w:p w:rsidR="00982D6C" w:rsidRPr="00356FC1" w:rsidRDefault="00982D6C" w:rsidP="0066015A">
            <w:pPr>
              <w:keepNext/>
              <w:keepLines/>
              <w:suppressLineNumbers/>
              <w:suppressAutoHyphens/>
              <w:kinsoku w:val="0"/>
              <w:overflowPunct w:val="0"/>
              <w:autoSpaceDE w:val="0"/>
              <w:autoSpaceDN w:val="0"/>
              <w:adjustRightInd w:val="0"/>
              <w:jc w:val="left"/>
              <w:rPr>
                <w:snapToGrid w:val="0"/>
                <w:kern w:val="22"/>
                <w:szCs w:val="22"/>
              </w:rPr>
            </w:pPr>
            <w:r w:rsidRPr="002145A3">
              <w:rPr>
                <w:snapToGrid w:val="0"/>
                <w:kern w:val="22"/>
                <w:szCs w:val="22"/>
              </w:rPr>
              <w:t xml:space="preserve">4. </w:t>
            </w:r>
            <w:r w:rsidRPr="002145A3">
              <w:rPr>
                <w:i/>
                <w:snapToGrid w:val="0"/>
                <w:kern w:val="22"/>
              </w:rPr>
              <w:t>Underline</w:t>
            </w:r>
            <w:r w:rsidRPr="002145A3">
              <w:rPr>
                <w:snapToGrid w:val="0"/>
                <w:kern w:val="22"/>
              </w:rPr>
              <w:t xml:space="preserve"> the importance of the timely submission of the interim national reports in line with paragraph 4(c) of decision NP-1/3 and encourage Parties to include information in their interim national reports on difficulties and challenges related to implementation of the Protocol;</w:t>
            </w:r>
          </w:p>
        </w:tc>
        <w:tc>
          <w:tcPr>
            <w:tcW w:w="4849" w:type="dxa"/>
            <w:tcBorders>
              <w:top w:val="nil"/>
              <w:bottom w:val="nil"/>
            </w:tcBorders>
            <w:tcMar>
              <w:top w:w="115" w:type="dxa"/>
              <w:left w:w="115" w:type="dxa"/>
              <w:bottom w:w="115" w:type="dxa"/>
              <w:right w:w="115" w:type="dxa"/>
            </w:tcMar>
          </w:tcPr>
          <w:p w:rsidR="00982D6C" w:rsidRPr="00356FC1" w:rsidRDefault="00FF6E8E">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Pr>
                <w:rFonts w:eastAsia="Calibri"/>
                <w:b/>
                <w:i/>
                <w:snapToGrid w:val="0"/>
                <w:kern w:val="22"/>
                <w:szCs w:val="22"/>
              </w:rPr>
              <w:t xml:space="preserve">4. </w:t>
            </w:r>
            <w:r w:rsidRPr="002145A3">
              <w:rPr>
                <w:rFonts w:eastAsia="Calibri"/>
                <w:b/>
                <w:i/>
                <w:snapToGrid w:val="0"/>
                <w:kern w:val="22"/>
                <w:szCs w:val="22"/>
              </w:rPr>
              <w:t>Urges</w:t>
            </w:r>
            <w:r w:rsidRPr="002145A3">
              <w:rPr>
                <w:rFonts w:eastAsia="Calibri"/>
                <w:b/>
                <w:snapToGrid w:val="0"/>
                <w:kern w:val="22"/>
                <w:szCs w:val="22"/>
              </w:rPr>
              <w:t xml:space="preserve"> Parties to submit in a timely manner</w:t>
            </w:r>
            <w:r w:rsidRPr="002145A3">
              <w:rPr>
                <w:rFonts w:eastAsia="Calibri"/>
                <w:snapToGrid w:val="0"/>
                <w:kern w:val="22"/>
                <w:szCs w:val="22"/>
              </w:rPr>
              <w:t xml:space="preserve"> the interim national reports in line with paragraph 4(c) of decision NP-1/3 and </w:t>
            </w:r>
            <w:r w:rsidRPr="002145A3">
              <w:rPr>
                <w:rFonts w:eastAsia="Calibri"/>
                <w:i/>
                <w:snapToGrid w:val="0"/>
                <w:kern w:val="22"/>
                <w:szCs w:val="22"/>
              </w:rPr>
              <w:t>encourages</w:t>
            </w:r>
            <w:r w:rsidRPr="002145A3">
              <w:rPr>
                <w:rFonts w:eastAsia="Calibri"/>
                <w:snapToGrid w:val="0"/>
                <w:kern w:val="22"/>
                <w:szCs w:val="22"/>
              </w:rPr>
              <w:t xml:space="preserve"> Parties to include information in their interim national reports on difficulties and challenges related to implementation of the Protocol.</w:t>
            </w:r>
          </w:p>
        </w:tc>
        <w:tc>
          <w:tcPr>
            <w:tcW w:w="4593" w:type="dxa"/>
            <w:tcBorders>
              <w:top w:val="nil"/>
              <w:bottom w:val="nil"/>
            </w:tcBorders>
            <w:tcMar>
              <w:top w:w="115" w:type="dxa"/>
              <w:left w:w="115" w:type="dxa"/>
              <w:bottom w:w="115" w:type="dxa"/>
              <w:right w:w="115" w:type="dxa"/>
            </w:tcMar>
          </w:tcPr>
          <w:p w:rsidR="00982D6C" w:rsidRPr="00356FC1" w:rsidRDefault="00D90BA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snapToGrid w:val="0"/>
                <w:kern w:val="22"/>
                <w:szCs w:val="22"/>
              </w:rPr>
              <w:t>The first part of the recommendation was changed and directed at Parties who are urged to submit their interim national reports in a timely manner.</w:t>
            </w:r>
          </w:p>
        </w:tc>
      </w:tr>
      <w:tr w:rsidR="0055221A" w:rsidRPr="00356FC1" w:rsidTr="0066015A">
        <w:trPr>
          <w:cantSplit/>
          <w:jc w:val="center"/>
        </w:trPr>
        <w:tc>
          <w:tcPr>
            <w:tcW w:w="4720" w:type="dxa"/>
            <w:tcBorders>
              <w:top w:val="nil"/>
              <w:bottom w:val="single" w:sz="4" w:space="0" w:color="auto"/>
            </w:tcBorders>
            <w:tcMar>
              <w:top w:w="115" w:type="dxa"/>
              <w:left w:w="115" w:type="dxa"/>
              <w:bottom w:w="115" w:type="dxa"/>
              <w:right w:w="115" w:type="dxa"/>
            </w:tcMar>
          </w:tcPr>
          <w:p w:rsidR="0055221A" w:rsidRPr="00E7329A" w:rsidRDefault="0055221A" w:rsidP="0066015A">
            <w:pPr>
              <w:suppressLineNumbers/>
              <w:suppressAutoHyphens/>
              <w:kinsoku w:val="0"/>
              <w:overflowPunct w:val="0"/>
              <w:autoSpaceDE w:val="0"/>
              <w:autoSpaceDN w:val="0"/>
              <w:adjustRightInd w:val="0"/>
              <w:jc w:val="left"/>
              <w:rPr>
                <w:snapToGrid w:val="0"/>
                <w:kern w:val="22"/>
                <w:szCs w:val="22"/>
              </w:rPr>
            </w:pPr>
            <w:r w:rsidRPr="00E7329A">
              <w:rPr>
                <w:b/>
                <w:snapToGrid w:val="0"/>
                <w:kern w:val="22"/>
                <w:szCs w:val="22"/>
              </w:rPr>
              <w:t xml:space="preserve">Annex I. Rules of </w:t>
            </w:r>
            <w:r w:rsidR="000B4F55">
              <w:rPr>
                <w:b/>
                <w:snapToGrid w:val="0"/>
                <w:kern w:val="22"/>
                <w:szCs w:val="22"/>
              </w:rPr>
              <w:t>p</w:t>
            </w:r>
            <w:r w:rsidRPr="00E7329A">
              <w:rPr>
                <w:b/>
                <w:snapToGrid w:val="0"/>
                <w:kern w:val="22"/>
                <w:szCs w:val="22"/>
              </w:rPr>
              <w:t xml:space="preserve">rocedure for the </w:t>
            </w:r>
            <w:r w:rsidR="000B4F55">
              <w:rPr>
                <w:b/>
                <w:snapToGrid w:val="0"/>
                <w:kern w:val="22"/>
                <w:szCs w:val="22"/>
              </w:rPr>
              <w:t>m</w:t>
            </w:r>
            <w:r w:rsidRPr="00E7329A">
              <w:rPr>
                <w:b/>
                <w:snapToGrid w:val="0"/>
                <w:kern w:val="22"/>
                <w:szCs w:val="22"/>
              </w:rPr>
              <w:t>eetings of the Compliance Committee under the Nagoya Protocol</w:t>
            </w:r>
          </w:p>
          <w:p w:rsidR="0055221A" w:rsidRPr="00E7329A" w:rsidRDefault="0055221A" w:rsidP="0055221A">
            <w:pPr>
              <w:suppressLineNumbers/>
              <w:suppressAutoHyphens/>
              <w:kinsoku w:val="0"/>
              <w:overflowPunct w:val="0"/>
              <w:autoSpaceDE w:val="0"/>
              <w:autoSpaceDN w:val="0"/>
              <w:adjustRightInd w:val="0"/>
              <w:jc w:val="left"/>
              <w:rPr>
                <w:snapToGrid w:val="0"/>
                <w:kern w:val="22"/>
                <w:szCs w:val="22"/>
              </w:rPr>
            </w:pPr>
          </w:p>
          <w:p w:rsidR="0055221A" w:rsidRPr="00E7329A" w:rsidRDefault="0055221A" w:rsidP="0055221A">
            <w:pPr>
              <w:suppressLineNumbers/>
              <w:suppressAutoHyphens/>
              <w:kinsoku w:val="0"/>
              <w:overflowPunct w:val="0"/>
              <w:autoSpaceDE w:val="0"/>
              <w:autoSpaceDN w:val="0"/>
              <w:adjustRightInd w:val="0"/>
              <w:jc w:val="left"/>
              <w:rPr>
                <w:snapToGrid w:val="0"/>
                <w:kern w:val="22"/>
              </w:rPr>
            </w:pPr>
            <w:r w:rsidRPr="00E7329A">
              <w:rPr>
                <w:snapToGrid w:val="0"/>
                <w:kern w:val="22"/>
              </w:rPr>
              <w:t xml:space="preserve">Rule 3. </w:t>
            </w:r>
          </w:p>
          <w:p w:rsidR="0055221A" w:rsidRPr="00E7329A" w:rsidRDefault="0055221A" w:rsidP="0055221A">
            <w:pPr>
              <w:suppressLineNumbers/>
              <w:suppressAutoHyphens/>
              <w:kinsoku w:val="0"/>
              <w:overflowPunct w:val="0"/>
              <w:autoSpaceDE w:val="0"/>
              <w:autoSpaceDN w:val="0"/>
              <w:adjustRightInd w:val="0"/>
              <w:jc w:val="left"/>
              <w:rPr>
                <w:snapToGrid w:val="0"/>
                <w:kern w:val="22"/>
              </w:rPr>
            </w:pPr>
            <w:r w:rsidRPr="00E7329A">
              <w:rPr>
                <w:snapToGrid w:val="0"/>
                <w:kern w:val="22"/>
              </w:rPr>
              <w:t>For the purposes of these rules: […]</w:t>
            </w:r>
          </w:p>
          <w:p w:rsidR="0055221A" w:rsidRPr="00356FC1" w:rsidRDefault="0055221A" w:rsidP="0055221A">
            <w:pPr>
              <w:suppressLineNumbers/>
              <w:suppressAutoHyphens/>
              <w:kinsoku w:val="0"/>
              <w:overflowPunct w:val="0"/>
              <w:autoSpaceDE w:val="0"/>
              <w:autoSpaceDN w:val="0"/>
              <w:adjustRightInd w:val="0"/>
              <w:jc w:val="left"/>
              <w:rPr>
                <w:snapToGrid w:val="0"/>
                <w:kern w:val="22"/>
                <w:szCs w:val="22"/>
              </w:rPr>
            </w:pPr>
            <w:r w:rsidRPr="00E7329A">
              <w:rPr>
                <w:snapToGrid w:val="0"/>
                <w:kern w:val="22"/>
              </w:rPr>
              <w:t>(g) “Indigenous and local community observer” means a representative of indigenous and local communities elected in accordance with paragraph 2 of section B of the annex to decision NP-1/4 or their replacement elected in accordance with paragraph 3 of section B of the annex to decision NP-1/4;</w:t>
            </w:r>
          </w:p>
        </w:tc>
        <w:tc>
          <w:tcPr>
            <w:tcW w:w="4849" w:type="dxa"/>
            <w:tcBorders>
              <w:top w:val="nil"/>
              <w:bottom w:val="single" w:sz="4" w:space="0" w:color="auto"/>
            </w:tcBorders>
            <w:tcMar>
              <w:top w:w="115" w:type="dxa"/>
              <w:left w:w="115" w:type="dxa"/>
              <w:bottom w:w="115" w:type="dxa"/>
              <w:right w:w="115" w:type="dxa"/>
            </w:tcMar>
          </w:tcPr>
          <w:p w:rsidR="0055221A" w:rsidRPr="002145A3" w:rsidRDefault="0055221A" w:rsidP="0066015A">
            <w:pPr>
              <w:pStyle w:val="Para10"/>
              <w:suppressLineNumbers/>
              <w:tabs>
                <w:tab w:val="clear" w:pos="644"/>
              </w:tabs>
              <w:suppressAutoHyphens/>
              <w:kinsoku w:val="0"/>
              <w:overflowPunct w:val="0"/>
              <w:autoSpaceDE w:val="0"/>
              <w:autoSpaceDN w:val="0"/>
              <w:ind w:left="0"/>
              <w:jc w:val="left"/>
              <w:rPr>
                <w:rFonts w:eastAsia="Calibri"/>
                <w:b/>
                <w:snapToGrid w:val="0"/>
                <w:kern w:val="22"/>
                <w:szCs w:val="22"/>
              </w:rPr>
            </w:pPr>
            <w:r w:rsidRPr="002145A3">
              <w:rPr>
                <w:rFonts w:eastAsia="Calibri"/>
                <w:b/>
                <w:snapToGrid w:val="0"/>
                <w:kern w:val="22"/>
                <w:szCs w:val="22"/>
              </w:rPr>
              <w:t xml:space="preserve">Annex. Rules of </w:t>
            </w:r>
            <w:r w:rsidR="000B4F55">
              <w:rPr>
                <w:rFonts w:eastAsia="Calibri"/>
                <w:b/>
                <w:snapToGrid w:val="0"/>
                <w:kern w:val="22"/>
                <w:szCs w:val="22"/>
              </w:rPr>
              <w:t>p</w:t>
            </w:r>
            <w:r w:rsidRPr="002145A3">
              <w:rPr>
                <w:rFonts w:eastAsia="Calibri"/>
                <w:b/>
                <w:snapToGrid w:val="0"/>
                <w:kern w:val="22"/>
                <w:szCs w:val="22"/>
              </w:rPr>
              <w:t xml:space="preserve">rocedure for the </w:t>
            </w:r>
            <w:r w:rsidR="000B4F55">
              <w:rPr>
                <w:rFonts w:eastAsia="Calibri"/>
                <w:b/>
                <w:snapToGrid w:val="0"/>
                <w:kern w:val="22"/>
                <w:szCs w:val="22"/>
              </w:rPr>
              <w:t>m</w:t>
            </w:r>
            <w:r w:rsidRPr="002145A3">
              <w:rPr>
                <w:rFonts w:eastAsia="Calibri"/>
                <w:b/>
                <w:snapToGrid w:val="0"/>
                <w:kern w:val="22"/>
                <w:szCs w:val="22"/>
              </w:rPr>
              <w:t>eetings of the Compliance Committee under the Nagoya Protocol</w:t>
            </w:r>
          </w:p>
          <w:p w:rsidR="0055221A" w:rsidRPr="002145A3" w:rsidRDefault="0055221A" w:rsidP="0055221A">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p w:rsidR="0055221A" w:rsidRPr="002145A3" w:rsidRDefault="0055221A" w:rsidP="0055221A">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 xml:space="preserve">Rule 3. </w:t>
            </w:r>
          </w:p>
          <w:p w:rsidR="0055221A" w:rsidRPr="002145A3" w:rsidRDefault="0055221A" w:rsidP="0055221A">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For the purposes of these rules: […]</w:t>
            </w:r>
          </w:p>
          <w:p w:rsidR="0055221A" w:rsidRPr="00356FC1" w:rsidRDefault="0055221A" w:rsidP="0055221A">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 xml:space="preserve">(g) “Indigenous </w:t>
            </w:r>
            <w:r w:rsidRPr="002145A3">
              <w:rPr>
                <w:rFonts w:eastAsia="Calibri"/>
                <w:b/>
                <w:snapToGrid w:val="0"/>
                <w:kern w:val="22"/>
                <w:szCs w:val="22"/>
              </w:rPr>
              <w:t>peoples</w:t>
            </w:r>
            <w:r w:rsidRPr="002145A3">
              <w:rPr>
                <w:rFonts w:eastAsia="Calibri"/>
                <w:snapToGrid w:val="0"/>
                <w:kern w:val="22"/>
                <w:szCs w:val="22"/>
              </w:rPr>
              <w:t xml:space="preserve"> and local community observer” means a representative of indigenous </w:t>
            </w:r>
            <w:r w:rsidRPr="002145A3">
              <w:rPr>
                <w:rFonts w:eastAsia="Calibri"/>
                <w:b/>
                <w:snapToGrid w:val="0"/>
                <w:kern w:val="22"/>
                <w:szCs w:val="22"/>
              </w:rPr>
              <w:t>peoples</w:t>
            </w:r>
            <w:r w:rsidRPr="002145A3">
              <w:rPr>
                <w:rFonts w:eastAsia="Calibri"/>
                <w:snapToGrid w:val="0"/>
                <w:kern w:val="22"/>
                <w:szCs w:val="22"/>
              </w:rPr>
              <w:t xml:space="preserve"> and local communities elected in accordance with paragraph 2 of section B of the annex to decision NP-1/4 or their replacement elected in accordance with paragraph 3 of section B of the annex to decision NP-1/4;</w:t>
            </w:r>
          </w:p>
        </w:tc>
        <w:tc>
          <w:tcPr>
            <w:tcW w:w="4593" w:type="dxa"/>
            <w:tcBorders>
              <w:top w:val="nil"/>
              <w:bottom w:val="single" w:sz="4" w:space="0" w:color="auto"/>
            </w:tcBorders>
            <w:tcMar>
              <w:top w:w="115" w:type="dxa"/>
              <w:left w:w="115" w:type="dxa"/>
              <w:bottom w:w="115" w:type="dxa"/>
              <w:right w:w="115" w:type="dxa"/>
            </w:tcMar>
          </w:tcPr>
          <w:p w:rsidR="0055221A" w:rsidRPr="00356FC1" w:rsidRDefault="00AD1BE0">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snapToGrid w:val="0"/>
                <w:kern w:val="22"/>
                <w:szCs w:val="22"/>
              </w:rPr>
              <w:t>With the adoption of decision NP-2/7 on use of the term “indigenous peoples and local communities”, references to “indigenous and local community” in the rules of procedure were changed to “indigenous peoples and local community”. In addition to affecting para. 3(g) of the rules of procedure as reflected here, this change was also made in rules 5, 7, 10 and 11 as well as the title of section G. These other parts of the rules of procedure have not been reproduced in this table unless other changes were also made to the text by the Parties to the Protocol.</w:t>
            </w:r>
          </w:p>
        </w:tc>
      </w:tr>
      <w:tr w:rsidR="00DC0A98" w:rsidRPr="00356FC1" w:rsidTr="0066015A">
        <w:trPr>
          <w:cantSplit/>
          <w:jc w:val="center"/>
        </w:trPr>
        <w:tc>
          <w:tcPr>
            <w:tcW w:w="4720" w:type="dxa"/>
            <w:tcBorders>
              <w:bottom w:val="nil"/>
            </w:tcBorders>
            <w:tcMar>
              <w:top w:w="115" w:type="dxa"/>
              <w:left w:w="115" w:type="dxa"/>
              <w:bottom w:w="115" w:type="dxa"/>
              <w:right w:w="115" w:type="dxa"/>
            </w:tcMar>
          </w:tcPr>
          <w:p w:rsidR="00DC0A98" w:rsidRPr="002145A3" w:rsidRDefault="00DC0A98" w:rsidP="00DC0A98">
            <w:pPr>
              <w:suppressLineNumbers/>
              <w:suppressAutoHyphens/>
              <w:kinsoku w:val="0"/>
              <w:overflowPunct w:val="0"/>
              <w:autoSpaceDE w:val="0"/>
              <w:autoSpaceDN w:val="0"/>
              <w:adjustRightInd w:val="0"/>
              <w:jc w:val="left"/>
              <w:rPr>
                <w:snapToGrid w:val="0"/>
                <w:kern w:val="22"/>
                <w:szCs w:val="22"/>
              </w:rPr>
            </w:pPr>
            <w:r w:rsidRPr="002145A3">
              <w:rPr>
                <w:snapToGrid w:val="0"/>
                <w:kern w:val="22"/>
                <w:szCs w:val="22"/>
              </w:rPr>
              <w:lastRenderedPageBreak/>
              <w:t>Rule 10.</w:t>
            </w:r>
          </w:p>
          <w:p w:rsidR="00DC0A98" w:rsidRPr="00356FC1" w:rsidRDefault="00DC0A98" w:rsidP="00DC0A98">
            <w:pPr>
              <w:suppressLineNumbers/>
              <w:suppressAutoHyphens/>
              <w:kinsoku w:val="0"/>
              <w:overflowPunct w:val="0"/>
              <w:autoSpaceDE w:val="0"/>
              <w:autoSpaceDN w:val="0"/>
              <w:adjustRightInd w:val="0"/>
              <w:jc w:val="left"/>
              <w:rPr>
                <w:snapToGrid w:val="0"/>
                <w:kern w:val="22"/>
                <w:szCs w:val="22"/>
              </w:rPr>
            </w:pPr>
            <w:r w:rsidRPr="002145A3">
              <w:rPr>
                <w:snapToGrid w:val="0"/>
                <w:kern w:val="22"/>
              </w:rPr>
              <w:t>The term of office of a member and an indigenous and local community observer shall commence on 1 January of the calendar year immediately following his or her election and shall end on 31 December two or four years thereafter, as applicable.</w:t>
            </w:r>
          </w:p>
        </w:tc>
        <w:tc>
          <w:tcPr>
            <w:tcW w:w="4849" w:type="dxa"/>
            <w:tcBorders>
              <w:bottom w:val="nil"/>
            </w:tcBorders>
            <w:tcMar>
              <w:top w:w="115" w:type="dxa"/>
              <w:left w:w="115" w:type="dxa"/>
              <w:bottom w:w="115" w:type="dxa"/>
              <w:right w:w="115" w:type="dxa"/>
            </w:tcMar>
          </w:tcPr>
          <w:p w:rsidR="00522721" w:rsidRPr="002145A3" w:rsidRDefault="00522721" w:rsidP="0052272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Rule 10</w:t>
            </w:r>
          </w:p>
          <w:p w:rsidR="00DC0A98" w:rsidRPr="00356FC1" w:rsidRDefault="00522721" w:rsidP="0052272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 xml:space="preserve">The term of office of a member and an indigenous peoples and local community observer shall commence on 1 January of the calendar year immediately following his or her election and shall end on 31 December </w:t>
            </w:r>
            <w:r w:rsidRPr="002145A3">
              <w:rPr>
                <w:rFonts w:eastAsia="Calibri"/>
                <w:b/>
                <w:snapToGrid w:val="0"/>
                <w:kern w:val="22"/>
                <w:szCs w:val="22"/>
              </w:rPr>
              <w:t>four years thereafter</w:t>
            </w:r>
            <w:r w:rsidRPr="002145A3">
              <w:rPr>
                <w:rFonts w:eastAsia="Calibri"/>
                <w:snapToGrid w:val="0"/>
                <w:kern w:val="22"/>
                <w:szCs w:val="22"/>
              </w:rPr>
              <w:t>.</w:t>
            </w:r>
          </w:p>
        </w:tc>
        <w:tc>
          <w:tcPr>
            <w:tcW w:w="4593" w:type="dxa"/>
            <w:tcBorders>
              <w:bottom w:val="nil"/>
            </w:tcBorders>
            <w:tcMar>
              <w:top w:w="115" w:type="dxa"/>
              <w:left w:w="115" w:type="dxa"/>
              <w:bottom w:w="115" w:type="dxa"/>
              <w:right w:w="115" w:type="dxa"/>
            </w:tcMar>
          </w:tcPr>
          <w:p w:rsidR="00DC0A98" w:rsidRPr="00356FC1" w:rsidRDefault="00D06FAC"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snapToGrid w:val="0"/>
                <w:kern w:val="22"/>
                <w:szCs w:val="22"/>
              </w:rPr>
              <w:t xml:space="preserve">Given that half terms (i.e. two-year terms) were only foreseen for the intersessional period following the </w:t>
            </w:r>
            <w:r>
              <w:rPr>
                <w:snapToGrid w:val="0"/>
                <w:kern w:val="22"/>
                <w:szCs w:val="22"/>
              </w:rPr>
              <w:t xml:space="preserve">first meeting of the </w:t>
            </w:r>
            <w:r w:rsidRPr="002145A3">
              <w:rPr>
                <w:snapToGrid w:val="0"/>
                <w:kern w:val="22"/>
                <w:szCs w:val="22"/>
              </w:rPr>
              <w:t>Parties to the Protocol (see para. 5, section B of the compliance procedures and mechanisms as contained in the annex to decision NP-1/4), the language concerning terms of office ending after two years was removed as this will no longer be applicable or relevant in the future.</w:t>
            </w:r>
          </w:p>
        </w:tc>
      </w:tr>
      <w:tr w:rsidR="000E5002" w:rsidRPr="00356FC1" w:rsidTr="0066015A">
        <w:trPr>
          <w:cantSplit/>
          <w:jc w:val="center"/>
        </w:trPr>
        <w:tc>
          <w:tcPr>
            <w:tcW w:w="4720" w:type="dxa"/>
            <w:tcBorders>
              <w:top w:val="nil"/>
              <w:bottom w:val="single" w:sz="4" w:space="0" w:color="auto"/>
            </w:tcBorders>
            <w:tcMar>
              <w:top w:w="115" w:type="dxa"/>
              <w:left w:w="115" w:type="dxa"/>
              <w:bottom w:w="115" w:type="dxa"/>
              <w:right w:w="115" w:type="dxa"/>
            </w:tcMar>
          </w:tcPr>
          <w:p w:rsidR="000E5002" w:rsidRPr="002145A3" w:rsidRDefault="000E5002" w:rsidP="000E5002">
            <w:pPr>
              <w:suppressLineNumbers/>
              <w:suppressAutoHyphens/>
              <w:kinsoku w:val="0"/>
              <w:overflowPunct w:val="0"/>
              <w:autoSpaceDE w:val="0"/>
              <w:autoSpaceDN w:val="0"/>
              <w:adjustRightInd w:val="0"/>
              <w:jc w:val="left"/>
              <w:rPr>
                <w:snapToGrid w:val="0"/>
                <w:kern w:val="22"/>
                <w:szCs w:val="22"/>
              </w:rPr>
            </w:pPr>
            <w:r w:rsidRPr="002145A3">
              <w:rPr>
                <w:snapToGrid w:val="0"/>
                <w:kern w:val="22"/>
                <w:szCs w:val="22"/>
              </w:rPr>
              <w:t>Rule 11.</w:t>
            </w:r>
          </w:p>
          <w:p w:rsidR="000E5002" w:rsidRPr="00356FC1" w:rsidDel="000E5002" w:rsidRDefault="000E5002" w:rsidP="000E5002">
            <w:pPr>
              <w:suppressLineNumbers/>
              <w:suppressAutoHyphens/>
              <w:kinsoku w:val="0"/>
              <w:overflowPunct w:val="0"/>
              <w:autoSpaceDE w:val="0"/>
              <w:autoSpaceDN w:val="0"/>
              <w:adjustRightInd w:val="0"/>
              <w:jc w:val="left"/>
              <w:rPr>
                <w:snapToGrid w:val="0"/>
                <w:kern w:val="22"/>
                <w:szCs w:val="22"/>
              </w:rPr>
            </w:pPr>
            <w:r w:rsidRPr="002145A3">
              <w:rPr>
                <w:snapToGrid w:val="0"/>
                <w:kern w:val="22"/>
              </w:rPr>
              <w:t>1. Each member of the Committee shall, with respect to any matter that is under consideration by the Committee, avoid conflicts of interest. Where a member finds himself or herself faced with a conflict of interest, that member shall bring the issue to the attention of the Committee before consideration of that particular matter. The member concerned shall not participate in the deliberations and the taking of decisions by the Committee in relation to that matter.</w:t>
            </w:r>
          </w:p>
        </w:tc>
        <w:tc>
          <w:tcPr>
            <w:tcW w:w="4849" w:type="dxa"/>
            <w:tcBorders>
              <w:top w:val="nil"/>
              <w:bottom w:val="single" w:sz="4" w:space="0" w:color="auto"/>
            </w:tcBorders>
            <w:tcMar>
              <w:top w:w="115" w:type="dxa"/>
              <w:left w:w="115" w:type="dxa"/>
              <w:bottom w:w="115" w:type="dxa"/>
              <w:right w:w="115" w:type="dxa"/>
            </w:tcMar>
          </w:tcPr>
          <w:p w:rsidR="00E97821" w:rsidRPr="002145A3" w:rsidRDefault="00E97821" w:rsidP="00E9782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Rule 11</w:t>
            </w:r>
          </w:p>
          <w:p w:rsidR="000E5002" w:rsidRPr="00356FC1" w:rsidDel="000E5002" w:rsidRDefault="00E97821" w:rsidP="00E9782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 xml:space="preserve">1. Each member of the Committee </w:t>
            </w:r>
            <w:r w:rsidRPr="002145A3">
              <w:rPr>
                <w:rFonts w:eastAsia="Calibri"/>
                <w:b/>
                <w:snapToGrid w:val="0"/>
                <w:kern w:val="22"/>
                <w:szCs w:val="22"/>
              </w:rPr>
              <w:t>and the indigenous peoples and local community observers</w:t>
            </w:r>
            <w:r w:rsidRPr="002145A3">
              <w:rPr>
                <w:rFonts w:eastAsia="Calibri"/>
                <w:snapToGrid w:val="0"/>
                <w:kern w:val="22"/>
                <w:szCs w:val="22"/>
              </w:rPr>
              <w:t xml:space="preserve"> shall, with respect to any matter that is under consideration by the Committee, avoid conflicts of interest. Where a member </w:t>
            </w:r>
            <w:r w:rsidRPr="002145A3">
              <w:rPr>
                <w:rFonts w:eastAsia="Calibri"/>
                <w:b/>
                <w:snapToGrid w:val="0"/>
                <w:kern w:val="22"/>
                <w:szCs w:val="22"/>
              </w:rPr>
              <w:t>or indigenous peoples and local community observer</w:t>
            </w:r>
            <w:r w:rsidRPr="002145A3">
              <w:rPr>
                <w:rFonts w:eastAsia="Calibri"/>
                <w:snapToGrid w:val="0"/>
                <w:kern w:val="22"/>
                <w:szCs w:val="22"/>
              </w:rPr>
              <w:t xml:space="preserve"> finds himself or herself faced with a conflict of interest, that member </w:t>
            </w:r>
            <w:r w:rsidRPr="002145A3">
              <w:rPr>
                <w:rFonts w:eastAsia="Calibri"/>
                <w:b/>
                <w:snapToGrid w:val="0"/>
                <w:kern w:val="22"/>
                <w:szCs w:val="22"/>
              </w:rPr>
              <w:t>or indigenous peoples and local community observer</w:t>
            </w:r>
            <w:r w:rsidRPr="002145A3">
              <w:rPr>
                <w:rFonts w:eastAsia="Calibri"/>
                <w:snapToGrid w:val="0"/>
                <w:kern w:val="22"/>
                <w:szCs w:val="22"/>
              </w:rPr>
              <w:t xml:space="preserve"> shall bring the issue to the attention of the Committee before consideration of that particular matter. The member </w:t>
            </w:r>
            <w:r w:rsidRPr="002145A3">
              <w:rPr>
                <w:rFonts w:eastAsia="Calibri"/>
                <w:b/>
                <w:snapToGrid w:val="0"/>
                <w:kern w:val="22"/>
                <w:szCs w:val="22"/>
              </w:rPr>
              <w:t>or indigenous peoples and local community observer</w:t>
            </w:r>
            <w:r w:rsidRPr="002145A3">
              <w:rPr>
                <w:rFonts w:eastAsia="Calibri"/>
                <w:snapToGrid w:val="0"/>
                <w:kern w:val="22"/>
                <w:szCs w:val="22"/>
              </w:rPr>
              <w:t xml:space="preserve"> concerned shall not participate in the deliberations and the taking of decisions by the Committee in relation to that matter.</w:t>
            </w:r>
          </w:p>
        </w:tc>
        <w:tc>
          <w:tcPr>
            <w:tcW w:w="4593" w:type="dxa"/>
            <w:tcBorders>
              <w:top w:val="nil"/>
              <w:bottom w:val="single" w:sz="4" w:space="0" w:color="auto"/>
            </w:tcBorders>
            <w:tcMar>
              <w:top w:w="115" w:type="dxa"/>
              <w:left w:w="115" w:type="dxa"/>
              <w:bottom w:w="115" w:type="dxa"/>
              <w:right w:w="115" w:type="dxa"/>
            </w:tcMar>
          </w:tcPr>
          <w:p w:rsidR="000E5002" w:rsidRPr="00356FC1" w:rsidDel="000E5002" w:rsidRDefault="007139CE"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snapToGrid w:val="0"/>
                <w:kern w:val="22"/>
                <w:szCs w:val="22"/>
              </w:rPr>
              <w:t>As proposed by the Committee, rule 11 on conflict of interest only addressed the possibility of a conflict of interest for a member of the Committee. The rule was revised to also include the possibility of a conflict of interest for an indigenous peoples and local community observer.</w:t>
            </w:r>
          </w:p>
        </w:tc>
      </w:tr>
      <w:tr w:rsidR="009B7083" w:rsidRPr="00356FC1" w:rsidTr="0066015A">
        <w:trPr>
          <w:cantSplit/>
          <w:jc w:val="center"/>
        </w:trPr>
        <w:tc>
          <w:tcPr>
            <w:tcW w:w="4720" w:type="dxa"/>
            <w:tcBorders>
              <w:top w:val="single" w:sz="4" w:space="0" w:color="auto"/>
              <w:bottom w:val="nil"/>
            </w:tcBorders>
            <w:tcMar>
              <w:top w:w="115" w:type="dxa"/>
              <w:left w:w="115" w:type="dxa"/>
              <w:bottom w:w="115" w:type="dxa"/>
              <w:right w:w="115" w:type="dxa"/>
            </w:tcMar>
          </w:tcPr>
          <w:p w:rsidR="006D35E3" w:rsidRPr="002145A3" w:rsidRDefault="006D35E3" w:rsidP="006D35E3">
            <w:pPr>
              <w:suppressLineNumbers/>
              <w:suppressAutoHyphens/>
              <w:kinsoku w:val="0"/>
              <w:overflowPunct w:val="0"/>
              <w:autoSpaceDE w:val="0"/>
              <w:autoSpaceDN w:val="0"/>
              <w:adjustRightInd w:val="0"/>
              <w:jc w:val="left"/>
              <w:rPr>
                <w:snapToGrid w:val="0"/>
                <w:kern w:val="22"/>
              </w:rPr>
            </w:pPr>
            <w:r w:rsidRPr="002145A3">
              <w:rPr>
                <w:snapToGrid w:val="0"/>
                <w:kern w:val="22"/>
              </w:rPr>
              <w:lastRenderedPageBreak/>
              <w:t xml:space="preserve">2. A “conflict of interest” refers to any current interest that could: </w:t>
            </w:r>
          </w:p>
          <w:p w:rsidR="006D35E3" w:rsidRPr="002145A3" w:rsidRDefault="006D35E3" w:rsidP="006D35E3">
            <w:pPr>
              <w:suppressLineNumbers/>
              <w:suppressAutoHyphens/>
              <w:kinsoku w:val="0"/>
              <w:overflowPunct w:val="0"/>
              <w:autoSpaceDE w:val="0"/>
              <w:autoSpaceDN w:val="0"/>
              <w:adjustRightInd w:val="0"/>
              <w:jc w:val="left"/>
              <w:rPr>
                <w:snapToGrid w:val="0"/>
                <w:kern w:val="22"/>
              </w:rPr>
            </w:pPr>
            <w:r w:rsidRPr="002145A3">
              <w:rPr>
                <w:snapToGrid w:val="0"/>
                <w:kern w:val="22"/>
              </w:rPr>
              <w:t xml:space="preserve">(a) Significantly impair the individual’s objectivity as a Committee member; </w:t>
            </w:r>
          </w:p>
          <w:p w:rsidR="009B7083" w:rsidRPr="00356FC1" w:rsidDel="000E5002" w:rsidRDefault="006D35E3" w:rsidP="006D35E3">
            <w:pPr>
              <w:suppressLineNumbers/>
              <w:suppressAutoHyphens/>
              <w:kinsoku w:val="0"/>
              <w:overflowPunct w:val="0"/>
              <w:autoSpaceDE w:val="0"/>
              <w:autoSpaceDN w:val="0"/>
              <w:adjustRightInd w:val="0"/>
              <w:jc w:val="left"/>
              <w:rPr>
                <w:snapToGrid w:val="0"/>
                <w:kern w:val="22"/>
                <w:szCs w:val="22"/>
              </w:rPr>
            </w:pPr>
            <w:r w:rsidRPr="002145A3">
              <w:rPr>
                <w:snapToGrid w:val="0"/>
                <w:kern w:val="22"/>
              </w:rPr>
              <w:t>(b) Create an unfair advantage for any person or organization.</w:t>
            </w:r>
          </w:p>
        </w:tc>
        <w:tc>
          <w:tcPr>
            <w:tcW w:w="4849" w:type="dxa"/>
            <w:tcBorders>
              <w:top w:val="single" w:sz="4" w:space="0" w:color="auto"/>
              <w:bottom w:val="nil"/>
            </w:tcBorders>
            <w:tcMar>
              <w:top w:w="115" w:type="dxa"/>
              <w:left w:w="115" w:type="dxa"/>
              <w:bottom w:w="115" w:type="dxa"/>
              <w:right w:w="115" w:type="dxa"/>
            </w:tcMar>
          </w:tcPr>
          <w:p w:rsidR="006D35E3" w:rsidRPr="002145A3" w:rsidRDefault="006D35E3" w:rsidP="006D35E3">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2. A “conflict of interest” refers to any current interest that could:</w:t>
            </w:r>
          </w:p>
          <w:p w:rsidR="006D35E3" w:rsidRPr="002145A3" w:rsidRDefault="006D35E3" w:rsidP="006D35E3">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 xml:space="preserve">(a) Significantly impair the individual’s objectivity as a Committee member </w:t>
            </w:r>
            <w:r w:rsidRPr="002145A3">
              <w:rPr>
                <w:rFonts w:eastAsia="Calibri"/>
                <w:b/>
                <w:snapToGrid w:val="0"/>
                <w:kern w:val="22"/>
                <w:szCs w:val="22"/>
              </w:rPr>
              <w:t>or indigenous peoples and local community observer</w:t>
            </w:r>
            <w:r w:rsidRPr="002145A3">
              <w:rPr>
                <w:rFonts w:eastAsia="Calibri"/>
                <w:snapToGrid w:val="0"/>
                <w:kern w:val="22"/>
                <w:szCs w:val="22"/>
              </w:rPr>
              <w:t>;</w:t>
            </w:r>
          </w:p>
          <w:p w:rsidR="009B7083" w:rsidRPr="00356FC1" w:rsidDel="000E5002" w:rsidRDefault="006D35E3" w:rsidP="006D35E3">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2145A3">
              <w:rPr>
                <w:rFonts w:eastAsia="Calibri"/>
                <w:snapToGrid w:val="0"/>
                <w:kern w:val="22"/>
                <w:szCs w:val="22"/>
              </w:rPr>
              <w:t>(b) Create an unfair advantage for any person or organization.</w:t>
            </w:r>
          </w:p>
        </w:tc>
        <w:tc>
          <w:tcPr>
            <w:tcW w:w="4593" w:type="dxa"/>
            <w:tcBorders>
              <w:top w:val="single" w:sz="4" w:space="0" w:color="auto"/>
              <w:bottom w:val="nil"/>
            </w:tcBorders>
            <w:tcMar>
              <w:top w:w="115" w:type="dxa"/>
              <w:left w:w="115" w:type="dxa"/>
              <w:bottom w:w="115" w:type="dxa"/>
              <w:right w:w="115" w:type="dxa"/>
            </w:tcMar>
          </w:tcPr>
          <w:p w:rsidR="009B7083" w:rsidRPr="00356FC1" w:rsidDel="000E5002" w:rsidRDefault="009B7083"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tc>
      </w:tr>
      <w:tr w:rsidR="00B5513E" w:rsidRPr="00356FC1" w:rsidTr="0066015A">
        <w:trPr>
          <w:cantSplit/>
          <w:jc w:val="center"/>
        </w:trPr>
        <w:tc>
          <w:tcPr>
            <w:tcW w:w="4720" w:type="dxa"/>
            <w:tcBorders>
              <w:top w:val="nil"/>
            </w:tcBorders>
            <w:tcMar>
              <w:top w:w="115" w:type="dxa"/>
              <w:left w:w="115" w:type="dxa"/>
              <w:bottom w:w="115" w:type="dxa"/>
              <w:right w:w="115" w:type="dxa"/>
            </w:tcMar>
          </w:tcPr>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r w:rsidRPr="0066015A">
              <w:rPr>
                <w:snapToGrid w:val="0"/>
                <w:kern w:val="22"/>
                <w:szCs w:val="22"/>
              </w:rPr>
              <w:t>Rule 14.</w:t>
            </w:r>
          </w:p>
          <w:p w:rsidR="00B5513E" w:rsidRPr="0066015A" w:rsidRDefault="00B5513E" w:rsidP="0066015A">
            <w:pPr>
              <w:suppressLineNumbers/>
              <w:suppressAutoHyphens/>
              <w:kinsoku w:val="0"/>
              <w:overflowPunct w:val="0"/>
              <w:autoSpaceDE w:val="0"/>
              <w:autoSpaceDN w:val="0"/>
              <w:adjustRightInd w:val="0"/>
              <w:jc w:val="left"/>
              <w:rPr>
                <w:i/>
                <w:snapToGrid w:val="0"/>
                <w:kern w:val="22"/>
                <w:szCs w:val="22"/>
              </w:rPr>
            </w:pPr>
            <w:r w:rsidRPr="0066015A">
              <w:rPr>
                <w:snapToGrid w:val="0"/>
                <w:kern w:val="22"/>
              </w:rPr>
              <w:t>Electronic means of communication may be used by the Committee for the purpose of conducting informal consultations on issues under consideration as well as for decision-making.</w:t>
            </w:r>
          </w:p>
        </w:tc>
        <w:tc>
          <w:tcPr>
            <w:tcW w:w="4849" w:type="dxa"/>
            <w:tcBorders>
              <w:top w:val="nil"/>
            </w:tcBorders>
            <w:tcMar>
              <w:top w:w="115" w:type="dxa"/>
              <w:left w:w="115" w:type="dxa"/>
              <w:bottom w:w="115" w:type="dxa"/>
              <w:right w:w="115" w:type="dxa"/>
            </w:tcMar>
          </w:tcPr>
          <w:p w:rsidR="00B5513E" w:rsidRPr="0066015A" w:rsidRDefault="00B5513E" w:rsidP="0066015A">
            <w:pPr>
              <w:pStyle w:val="Default"/>
              <w:suppressLineNumbers/>
              <w:suppressAutoHyphens/>
              <w:kinsoku w:val="0"/>
              <w:overflowPunct w:val="0"/>
              <w:rPr>
                <w:snapToGrid w:val="0"/>
                <w:kern w:val="22"/>
                <w:sz w:val="22"/>
                <w:szCs w:val="22"/>
                <w:lang w:val="en-GB"/>
              </w:rPr>
            </w:pPr>
            <w:r w:rsidRPr="0066015A">
              <w:rPr>
                <w:snapToGrid w:val="0"/>
                <w:kern w:val="22"/>
                <w:sz w:val="22"/>
                <w:szCs w:val="22"/>
                <w:lang w:val="en-GB"/>
              </w:rPr>
              <w:t>Rule 14.</w:t>
            </w:r>
          </w:p>
          <w:p w:rsidR="00B5513E" w:rsidRPr="0066015A" w:rsidRDefault="00B5513E" w:rsidP="0066015A">
            <w:pPr>
              <w:pStyle w:val="Default"/>
              <w:suppressLineNumbers/>
              <w:suppressAutoHyphens/>
              <w:kinsoku w:val="0"/>
              <w:overflowPunct w:val="0"/>
              <w:spacing w:after="249"/>
              <w:rPr>
                <w:snapToGrid w:val="0"/>
                <w:kern w:val="22"/>
                <w:sz w:val="22"/>
                <w:szCs w:val="22"/>
                <w:lang w:val="en-GB"/>
              </w:rPr>
            </w:pPr>
            <w:r w:rsidRPr="0066015A">
              <w:rPr>
                <w:snapToGrid w:val="0"/>
                <w:kern w:val="22"/>
                <w:sz w:val="22"/>
                <w:szCs w:val="22"/>
                <w:lang w:val="en-GB"/>
              </w:rPr>
              <w:t xml:space="preserve">Electronic means of communication may be used by the Committee for the purpose of conducting informal consultations on issues under consideration as well as for decision-making </w:t>
            </w:r>
            <w:r w:rsidRPr="0066015A">
              <w:rPr>
                <w:b/>
                <w:snapToGrid w:val="0"/>
                <w:kern w:val="22"/>
                <w:sz w:val="22"/>
                <w:szCs w:val="22"/>
                <w:lang w:val="en-GB"/>
              </w:rPr>
              <w:t>except for substantive decisions such as on submissions relating to issues of compliance and non-compliance with the provisions of the Protocol</w:t>
            </w:r>
            <w:r w:rsidRPr="0066015A">
              <w:rPr>
                <w:snapToGrid w:val="0"/>
                <w:kern w:val="22"/>
                <w:sz w:val="22"/>
                <w:szCs w:val="22"/>
                <w:lang w:val="en-GB"/>
              </w:rPr>
              <w:t>.</w:t>
            </w:r>
          </w:p>
        </w:tc>
        <w:tc>
          <w:tcPr>
            <w:tcW w:w="4593" w:type="dxa"/>
            <w:tcBorders>
              <w:top w:val="nil"/>
              <w:bottom w:val="single" w:sz="4" w:space="0" w:color="auto"/>
            </w:tcBorders>
            <w:tcMar>
              <w:top w:w="115" w:type="dxa"/>
              <w:left w:w="115" w:type="dxa"/>
              <w:bottom w:w="115" w:type="dxa"/>
              <w:right w:w="115" w:type="dxa"/>
            </w:tcMar>
          </w:tcPr>
          <w:p w:rsidR="00B5513E" w:rsidRPr="0066015A" w:rsidRDefault="00B5513E" w:rsidP="0066015A">
            <w:pPr>
              <w:pStyle w:val="Para10"/>
              <w:suppressLineNumbers/>
              <w:tabs>
                <w:tab w:val="clear" w:pos="644"/>
              </w:tabs>
              <w:suppressAutoHyphens/>
              <w:kinsoku w:val="0"/>
              <w:overflowPunct w:val="0"/>
              <w:autoSpaceDE w:val="0"/>
              <w:autoSpaceDN w:val="0"/>
              <w:ind w:left="0"/>
              <w:jc w:val="left"/>
              <w:rPr>
                <w:snapToGrid w:val="0"/>
                <w:kern w:val="22"/>
                <w:szCs w:val="22"/>
              </w:rPr>
            </w:pPr>
            <w:r w:rsidRPr="0066015A">
              <w:rPr>
                <w:snapToGrid w:val="0"/>
                <w:kern w:val="22"/>
                <w:szCs w:val="22"/>
              </w:rPr>
              <w:t xml:space="preserve">As proposed by the Committee, rule 14 would have enabled the Committee to use electronic means of communication for decision-making. </w:t>
            </w:r>
            <w:r w:rsidR="003D585D">
              <w:rPr>
                <w:snapToGrid w:val="0"/>
                <w:kern w:val="22"/>
                <w:szCs w:val="22"/>
              </w:rPr>
              <w:t>T</w:t>
            </w:r>
            <w:r w:rsidR="00E30700" w:rsidRPr="00356FC1">
              <w:rPr>
                <w:snapToGrid w:val="0"/>
                <w:kern w:val="22"/>
                <w:szCs w:val="22"/>
              </w:rPr>
              <w:t>he Parties to the Protocol</w:t>
            </w:r>
            <w:r w:rsidRPr="0066015A">
              <w:rPr>
                <w:snapToGrid w:val="0"/>
                <w:kern w:val="22"/>
                <w:szCs w:val="22"/>
              </w:rPr>
              <w:t xml:space="preserve"> qualified this rule by excluding “substantive decisions such as on submissions relating to issues of compliance and non-compliance with the provisions of the Protocol” from the possibility of using electronic means of communication for decision-making.</w:t>
            </w:r>
          </w:p>
        </w:tc>
      </w:tr>
      <w:tr w:rsidR="00B5513E" w:rsidRPr="00356FC1" w:rsidTr="0066015A">
        <w:trPr>
          <w:cantSplit/>
          <w:jc w:val="center"/>
        </w:trPr>
        <w:tc>
          <w:tcPr>
            <w:tcW w:w="4720" w:type="dxa"/>
            <w:tcMar>
              <w:top w:w="115" w:type="dxa"/>
              <w:left w:w="115" w:type="dxa"/>
              <w:bottom w:w="115" w:type="dxa"/>
              <w:right w:w="115" w:type="dxa"/>
            </w:tcMar>
          </w:tcPr>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p>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p>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p>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p>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r w:rsidRPr="0066015A">
              <w:rPr>
                <w:snapToGrid w:val="0"/>
                <w:kern w:val="22"/>
                <w:szCs w:val="22"/>
              </w:rPr>
              <w:t xml:space="preserve">5. </w:t>
            </w:r>
            <w:r w:rsidRPr="0066015A">
              <w:rPr>
                <w:i/>
                <w:snapToGrid w:val="0"/>
                <w:kern w:val="22"/>
              </w:rPr>
              <w:t>Encourage</w:t>
            </w:r>
            <w:r w:rsidRPr="0066015A">
              <w:rPr>
                <w:snapToGrid w:val="0"/>
                <w:kern w:val="22"/>
              </w:rPr>
              <w:t xml:space="preserve"> Parties to make available information to the Access and Benefit-Sharing Clearing-House in accordance with the obligations in Article 14, paragraph 2, of the Protocol;</w:t>
            </w:r>
          </w:p>
        </w:tc>
        <w:tc>
          <w:tcPr>
            <w:tcW w:w="4849" w:type="dxa"/>
            <w:tcMar>
              <w:top w:w="115" w:type="dxa"/>
              <w:left w:w="115" w:type="dxa"/>
              <w:bottom w:w="115" w:type="dxa"/>
              <w:right w:w="115" w:type="dxa"/>
            </w:tcMar>
          </w:tcPr>
          <w:p w:rsidR="00B5513E" w:rsidRPr="0066015A" w:rsidRDefault="00B5513E" w:rsidP="0066015A">
            <w:pPr>
              <w:pStyle w:val="Para10"/>
              <w:suppressLineNumbers/>
              <w:tabs>
                <w:tab w:val="clear" w:pos="644"/>
              </w:tabs>
              <w:suppressAutoHyphens/>
              <w:kinsoku w:val="0"/>
              <w:overflowPunct w:val="0"/>
              <w:autoSpaceDE w:val="0"/>
              <w:autoSpaceDN w:val="0"/>
              <w:ind w:left="0" w:firstLine="32"/>
              <w:jc w:val="left"/>
              <w:rPr>
                <w:b/>
                <w:snapToGrid w:val="0"/>
                <w:kern w:val="22"/>
                <w:szCs w:val="22"/>
              </w:rPr>
            </w:pPr>
            <w:r w:rsidRPr="0066015A">
              <w:rPr>
                <w:rFonts w:eastAsia="Calibri"/>
                <w:b/>
                <w:snapToGrid w:val="0"/>
                <w:kern w:val="22"/>
                <w:szCs w:val="22"/>
              </w:rPr>
              <w:t xml:space="preserve">NP-2/2. </w:t>
            </w:r>
            <w:r w:rsidRPr="0066015A">
              <w:rPr>
                <w:b/>
                <w:snapToGrid w:val="0"/>
                <w:kern w:val="22"/>
                <w:szCs w:val="22"/>
              </w:rPr>
              <w:t>The Access and Benefit-sharing Clearing-House and information-sharing (Article</w:t>
            </w:r>
            <w:r w:rsidR="003E1367">
              <w:rPr>
                <w:b/>
                <w:snapToGrid w:val="0"/>
                <w:kern w:val="22"/>
                <w:szCs w:val="22"/>
              </w:rPr>
              <w:t> </w:t>
            </w:r>
            <w:r w:rsidRPr="0066015A">
              <w:rPr>
                <w:b/>
                <w:snapToGrid w:val="0"/>
                <w:kern w:val="22"/>
                <w:szCs w:val="22"/>
              </w:rPr>
              <w:t>14)</w:t>
            </w:r>
          </w:p>
          <w:p w:rsidR="00B5513E" w:rsidRPr="0066015A" w:rsidRDefault="00B5513E" w:rsidP="0066015A">
            <w:pPr>
              <w:pStyle w:val="Para10"/>
              <w:suppressLineNumbers/>
              <w:tabs>
                <w:tab w:val="clear" w:pos="644"/>
              </w:tabs>
              <w:suppressAutoHyphens/>
              <w:kinsoku w:val="0"/>
              <w:overflowPunct w:val="0"/>
              <w:autoSpaceDE w:val="0"/>
              <w:autoSpaceDN w:val="0"/>
              <w:ind w:left="0" w:firstLine="32"/>
              <w:jc w:val="left"/>
              <w:rPr>
                <w:b/>
                <w:snapToGrid w:val="0"/>
                <w:kern w:val="22"/>
                <w:szCs w:val="22"/>
              </w:rPr>
            </w:pPr>
          </w:p>
          <w:p w:rsidR="00B5513E" w:rsidRPr="0066015A" w:rsidRDefault="00B5513E" w:rsidP="0066015A">
            <w:pPr>
              <w:pStyle w:val="Para10"/>
              <w:suppressLineNumbers/>
              <w:tabs>
                <w:tab w:val="clear" w:pos="644"/>
              </w:tabs>
              <w:suppressAutoHyphens/>
              <w:kinsoku w:val="0"/>
              <w:overflowPunct w:val="0"/>
              <w:autoSpaceDE w:val="0"/>
              <w:autoSpaceDN w:val="0"/>
              <w:ind w:left="0" w:firstLine="32"/>
              <w:jc w:val="left"/>
              <w:rPr>
                <w:rFonts w:eastAsia="Calibri"/>
                <w:snapToGrid w:val="0"/>
                <w:kern w:val="22"/>
                <w:szCs w:val="22"/>
              </w:rPr>
            </w:pPr>
            <w:r w:rsidRPr="0066015A">
              <w:rPr>
                <w:snapToGrid w:val="0"/>
                <w:kern w:val="22"/>
                <w:szCs w:val="22"/>
              </w:rPr>
              <w:t xml:space="preserve">11. </w:t>
            </w:r>
            <w:r w:rsidRPr="0066015A">
              <w:rPr>
                <w:i/>
                <w:snapToGrid w:val="0"/>
                <w:kern w:val="22"/>
                <w:szCs w:val="22"/>
              </w:rPr>
              <w:t>Urges</w:t>
            </w:r>
            <w:r w:rsidRPr="0066015A">
              <w:rPr>
                <w:snapToGrid w:val="0"/>
                <w:kern w:val="22"/>
                <w:szCs w:val="22"/>
              </w:rPr>
              <w:t xml:space="preserve"> Parties that have not yet done so to publish all mandatory information available at the national level on the Access and Benefit-sharing Clearing-House, in accordance with the obligations in Article 14, paragraph 2, of the Protocol as soon as possible, and to ensure that the information published is complete and relevant and kept up-to-date, with a view to having all existing information available in the Access and Benefit-sharing Clearing-House by the third meeting of the Conference of the Parties serving as the meeting of the Parties to the Nagoya Protocol;</w:t>
            </w:r>
          </w:p>
        </w:tc>
        <w:tc>
          <w:tcPr>
            <w:tcW w:w="4593" w:type="dxa"/>
            <w:tcMar>
              <w:top w:w="115" w:type="dxa"/>
              <w:left w:w="115" w:type="dxa"/>
              <w:bottom w:w="115" w:type="dxa"/>
              <w:right w:w="115" w:type="dxa"/>
            </w:tcMar>
          </w:tcPr>
          <w:p w:rsidR="00B5513E" w:rsidRPr="0066015A" w:rsidRDefault="00B5513E" w:rsidP="0066015A">
            <w:pPr>
              <w:pStyle w:val="Para10"/>
              <w:suppressLineNumbers/>
              <w:tabs>
                <w:tab w:val="clear" w:pos="644"/>
              </w:tabs>
              <w:suppressAutoHyphens/>
              <w:kinsoku w:val="0"/>
              <w:overflowPunct w:val="0"/>
              <w:autoSpaceDE w:val="0"/>
              <w:autoSpaceDN w:val="0"/>
              <w:ind w:left="0" w:firstLine="720"/>
              <w:jc w:val="left"/>
              <w:rPr>
                <w:rFonts w:eastAsia="Calibri"/>
                <w:snapToGrid w:val="0"/>
                <w:kern w:val="22"/>
                <w:szCs w:val="22"/>
              </w:rPr>
            </w:pPr>
          </w:p>
          <w:p w:rsidR="00B5513E" w:rsidRPr="0066015A" w:rsidRDefault="00B5513E" w:rsidP="0066015A">
            <w:pPr>
              <w:pStyle w:val="Para10"/>
              <w:suppressLineNumbers/>
              <w:tabs>
                <w:tab w:val="clear" w:pos="644"/>
              </w:tabs>
              <w:suppressAutoHyphens/>
              <w:kinsoku w:val="0"/>
              <w:overflowPunct w:val="0"/>
              <w:autoSpaceDE w:val="0"/>
              <w:autoSpaceDN w:val="0"/>
              <w:ind w:left="0" w:firstLine="720"/>
              <w:jc w:val="left"/>
              <w:rPr>
                <w:rFonts w:eastAsia="Calibri"/>
                <w:snapToGrid w:val="0"/>
                <w:kern w:val="22"/>
                <w:szCs w:val="22"/>
              </w:rPr>
            </w:pPr>
          </w:p>
          <w:p w:rsidR="00B5513E" w:rsidRPr="0066015A" w:rsidRDefault="00B5513E" w:rsidP="0066015A">
            <w:pPr>
              <w:pStyle w:val="Para10"/>
              <w:suppressLineNumbers/>
              <w:tabs>
                <w:tab w:val="clear" w:pos="644"/>
              </w:tabs>
              <w:suppressAutoHyphens/>
              <w:kinsoku w:val="0"/>
              <w:overflowPunct w:val="0"/>
              <w:autoSpaceDE w:val="0"/>
              <w:autoSpaceDN w:val="0"/>
              <w:ind w:left="0" w:firstLine="720"/>
              <w:jc w:val="left"/>
              <w:rPr>
                <w:rFonts w:eastAsia="Calibri"/>
                <w:snapToGrid w:val="0"/>
                <w:kern w:val="22"/>
                <w:szCs w:val="22"/>
              </w:rPr>
            </w:pPr>
          </w:p>
          <w:p w:rsidR="00B5513E" w:rsidRPr="0066015A" w:rsidRDefault="00B5513E" w:rsidP="0066015A">
            <w:pPr>
              <w:pStyle w:val="Para10"/>
              <w:suppressLineNumbers/>
              <w:tabs>
                <w:tab w:val="clear" w:pos="644"/>
              </w:tabs>
              <w:suppressAutoHyphens/>
              <w:kinsoku w:val="0"/>
              <w:overflowPunct w:val="0"/>
              <w:autoSpaceDE w:val="0"/>
              <w:autoSpaceDN w:val="0"/>
              <w:ind w:left="0" w:firstLine="720"/>
              <w:jc w:val="left"/>
              <w:rPr>
                <w:rFonts w:eastAsia="Calibri"/>
                <w:snapToGrid w:val="0"/>
                <w:kern w:val="22"/>
                <w:szCs w:val="22"/>
              </w:rPr>
            </w:pPr>
          </w:p>
          <w:p w:rsidR="00B5513E" w:rsidRPr="0066015A" w:rsidRDefault="00B5513E" w:rsidP="0066015A">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66015A">
              <w:rPr>
                <w:rFonts w:eastAsia="Calibri"/>
                <w:snapToGrid w:val="0"/>
                <w:kern w:val="22"/>
                <w:szCs w:val="22"/>
              </w:rPr>
              <w:t>This language follows the proposal in the elements for a draft decision in the document on the ABS Clearing-House (UNEP/CBD/NP/COP-MOP/2/3), which reflected the same idea as the recommendation from the Compliance Committee.</w:t>
            </w:r>
          </w:p>
        </w:tc>
      </w:tr>
      <w:tr w:rsidR="00B5513E" w:rsidRPr="00356FC1" w:rsidTr="0066015A">
        <w:trPr>
          <w:cantSplit/>
          <w:jc w:val="center"/>
        </w:trPr>
        <w:tc>
          <w:tcPr>
            <w:tcW w:w="4720" w:type="dxa"/>
            <w:tcMar>
              <w:top w:w="115" w:type="dxa"/>
              <w:left w:w="115" w:type="dxa"/>
              <w:bottom w:w="115" w:type="dxa"/>
              <w:right w:w="115" w:type="dxa"/>
            </w:tcMar>
          </w:tcPr>
          <w:p w:rsidR="00B5513E" w:rsidRPr="0066015A" w:rsidRDefault="00B5513E" w:rsidP="0066015A">
            <w:pPr>
              <w:suppressLineNumbers/>
              <w:suppressAutoHyphens/>
              <w:kinsoku w:val="0"/>
              <w:overflowPunct w:val="0"/>
              <w:autoSpaceDE w:val="0"/>
              <w:autoSpaceDN w:val="0"/>
              <w:adjustRightInd w:val="0"/>
              <w:jc w:val="left"/>
              <w:rPr>
                <w:snapToGrid w:val="0"/>
                <w:kern w:val="22"/>
                <w:szCs w:val="22"/>
              </w:rPr>
            </w:pPr>
            <w:r w:rsidRPr="0066015A">
              <w:rPr>
                <w:snapToGrid w:val="0"/>
                <w:kern w:val="22"/>
                <w:szCs w:val="22"/>
              </w:rPr>
              <w:t xml:space="preserve">6. </w:t>
            </w:r>
            <w:r w:rsidRPr="0066015A">
              <w:rPr>
                <w:i/>
                <w:snapToGrid w:val="0"/>
                <w:kern w:val="22"/>
              </w:rPr>
              <w:t>Recommend</w:t>
            </w:r>
            <w:r w:rsidRPr="0066015A">
              <w:rPr>
                <w:snapToGrid w:val="0"/>
                <w:kern w:val="22"/>
              </w:rPr>
              <w:t xml:space="preserve"> that the Conference of the Parties, in adopting its guidance to the financial mechanism with respect to support for the implementation of the Nagoya Protocol, invite the Global Environment Facility to provide funding for eligible Parties for the preparation of their interim national reports under the Nagoya Protocol in line with Article 29 of the Protocol and decision NP-1/3;</w:t>
            </w:r>
          </w:p>
        </w:tc>
        <w:tc>
          <w:tcPr>
            <w:tcW w:w="4849" w:type="dxa"/>
            <w:tcMar>
              <w:top w:w="115" w:type="dxa"/>
              <w:left w:w="115" w:type="dxa"/>
              <w:bottom w:w="115" w:type="dxa"/>
              <w:right w:w="115" w:type="dxa"/>
            </w:tcMar>
          </w:tcPr>
          <w:p w:rsidR="00B5513E" w:rsidRPr="0066015A" w:rsidRDefault="00231364" w:rsidP="0066015A">
            <w:pPr>
              <w:pStyle w:val="Para10"/>
              <w:suppressLineNumbers/>
              <w:tabs>
                <w:tab w:val="clear" w:pos="644"/>
              </w:tabs>
              <w:suppressAutoHyphens/>
              <w:kinsoku w:val="0"/>
              <w:overflowPunct w:val="0"/>
              <w:autoSpaceDE w:val="0"/>
              <w:autoSpaceDN w:val="0"/>
              <w:ind w:left="0" w:firstLine="32"/>
              <w:jc w:val="left"/>
              <w:rPr>
                <w:b/>
                <w:snapToGrid w:val="0"/>
                <w:kern w:val="22"/>
                <w:szCs w:val="22"/>
              </w:rPr>
            </w:pPr>
            <w:r>
              <w:rPr>
                <w:rFonts w:eastAsia="Calibri"/>
                <w:b/>
                <w:snapToGrid w:val="0"/>
                <w:kern w:val="22"/>
                <w:szCs w:val="22"/>
              </w:rPr>
              <w:t xml:space="preserve">Conference of the Parties decision </w:t>
            </w:r>
            <w:r w:rsidR="00B5513E" w:rsidRPr="0066015A">
              <w:rPr>
                <w:rFonts w:eastAsia="Calibri"/>
                <w:b/>
                <w:snapToGrid w:val="0"/>
                <w:kern w:val="22"/>
                <w:szCs w:val="22"/>
              </w:rPr>
              <w:t xml:space="preserve">XIII/21. </w:t>
            </w:r>
            <w:r w:rsidR="00B5513E" w:rsidRPr="0066015A">
              <w:rPr>
                <w:b/>
                <w:snapToGrid w:val="0"/>
                <w:kern w:val="22"/>
                <w:szCs w:val="22"/>
              </w:rPr>
              <w:t>The financial mechanism</w:t>
            </w:r>
          </w:p>
          <w:p w:rsidR="00B5513E" w:rsidRPr="0066015A" w:rsidRDefault="00B5513E" w:rsidP="0066015A">
            <w:pPr>
              <w:pStyle w:val="Para10"/>
              <w:suppressLineNumbers/>
              <w:tabs>
                <w:tab w:val="clear" w:pos="644"/>
              </w:tabs>
              <w:suppressAutoHyphens/>
              <w:kinsoku w:val="0"/>
              <w:overflowPunct w:val="0"/>
              <w:autoSpaceDE w:val="0"/>
              <w:autoSpaceDN w:val="0"/>
              <w:ind w:left="0" w:firstLine="32"/>
              <w:jc w:val="left"/>
              <w:rPr>
                <w:bCs/>
                <w:snapToGrid w:val="0"/>
                <w:kern w:val="22"/>
                <w:szCs w:val="22"/>
              </w:rPr>
            </w:pPr>
          </w:p>
          <w:p w:rsidR="00B5513E" w:rsidRPr="0066015A" w:rsidRDefault="00B5513E" w:rsidP="0066015A">
            <w:pPr>
              <w:pStyle w:val="Para10"/>
              <w:suppressLineNumbers/>
              <w:tabs>
                <w:tab w:val="clear" w:pos="644"/>
              </w:tabs>
              <w:suppressAutoHyphens/>
              <w:kinsoku w:val="0"/>
              <w:overflowPunct w:val="0"/>
              <w:autoSpaceDE w:val="0"/>
              <w:autoSpaceDN w:val="0"/>
              <w:ind w:left="0" w:firstLine="32"/>
              <w:jc w:val="left"/>
              <w:rPr>
                <w:rFonts w:eastAsia="Calibri"/>
                <w:bCs/>
                <w:snapToGrid w:val="0"/>
                <w:kern w:val="22"/>
                <w:szCs w:val="22"/>
              </w:rPr>
            </w:pPr>
            <w:r w:rsidRPr="0066015A">
              <w:rPr>
                <w:bCs/>
                <w:snapToGrid w:val="0"/>
                <w:kern w:val="22"/>
                <w:szCs w:val="22"/>
              </w:rPr>
              <w:t xml:space="preserve">38. </w:t>
            </w:r>
            <w:r w:rsidRPr="0066015A">
              <w:rPr>
                <w:bCs/>
                <w:i/>
                <w:snapToGrid w:val="0"/>
                <w:kern w:val="22"/>
                <w:szCs w:val="22"/>
              </w:rPr>
              <w:t>Invites</w:t>
            </w:r>
            <w:r w:rsidRPr="0066015A">
              <w:rPr>
                <w:bCs/>
                <w:snapToGrid w:val="0"/>
                <w:kern w:val="22"/>
                <w:szCs w:val="22"/>
              </w:rPr>
              <w:t xml:space="preserve"> the Global Environment Facility to provide </w:t>
            </w:r>
            <w:r w:rsidRPr="0066015A">
              <w:rPr>
                <w:b/>
                <w:snapToGrid w:val="0"/>
                <w:kern w:val="22"/>
                <w:szCs w:val="22"/>
              </w:rPr>
              <w:t>support</w:t>
            </w:r>
            <w:r w:rsidRPr="0066015A">
              <w:rPr>
                <w:bCs/>
                <w:snapToGrid w:val="0"/>
                <w:kern w:val="22"/>
                <w:szCs w:val="22"/>
              </w:rPr>
              <w:t xml:space="preserve"> to eligible Parties for interim national reports under the Nagoya Protocol.</w:t>
            </w:r>
          </w:p>
        </w:tc>
        <w:tc>
          <w:tcPr>
            <w:tcW w:w="4593" w:type="dxa"/>
            <w:tcBorders>
              <w:bottom w:val="single" w:sz="4" w:space="0" w:color="auto"/>
            </w:tcBorders>
            <w:tcMar>
              <w:top w:w="115" w:type="dxa"/>
              <w:left w:w="115" w:type="dxa"/>
              <w:bottom w:w="115" w:type="dxa"/>
              <w:right w:w="115" w:type="dxa"/>
            </w:tcMar>
          </w:tcPr>
          <w:p w:rsidR="00B5513E" w:rsidRPr="0066015A" w:rsidRDefault="00B5513E" w:rsidP="0066015A">
            <w:pPr>
              <w:pStyle w:val="Para10"/>
              <w:suppressLineNumbers/>
              <w:tabs>
                <w:tab w:val="clear" w:pos="644"/>
              </w:tabs>
              <w:suppressAutoHyphens/>
              <w:kinsoku w:val="0"/>
              <w:overflowPunct w:val="0"/>
              <w:autoSpaceDE w:val="0"/>
              <w:autoSpaceDN w:val="0"/>
              <w:ind w:left="0"/>
              <w:jc w:val="left"/>
              <w:rPr>
                <w:rFonts w:eastAsia="Calibri"/>
                <w:bCs/>
                <w:snapToGrid w:val="0"/>
                <w:kern w:val="22"/>
                <w:szCs w:val="22"/>
              </w:rPr>
            </w:pPr>
            <w:r w:rsidRPr="0066015A">
              <w:rPr>
                <w:rFonts w:eastAsia="Calibri"/>
                <w:bCs/>
                <w:snapToGrid w:val="0"/>
                <w:kern w:val="22"/>
                <w:szCs w:val="22"/>
              </w:rPr>
              <w:t xml:space="preserve">Guidance on the Nagoya Protocol was provided to the financial mechanism in decision XIII/21 of the Conference of the Parties to the Convention. The language largely follows the recommendation of the Compliance Committee with some minor changes. The word </w:t>
            </w:r>
            <w:r w:rsidR="006C5FCE" w:rsidRPr="0066015A">
              <w:rPr>
                <w:rFonts w:eastAsia="Calibri"/>
                <w:bCs/>
                <w:snapToGrid w:val="0"/>
                <w:kern w:val="22"/>
                <w:szCs w:val="22"/>
              </w:rPr>
              <w:t>“</w:t>
            </w:r>
            <w:r w:rsidRPr="0066015A">
              <w:rPr>
                <w:rFonts w:eastAsia="Calibri"/>
                <w:bCs/>
                <w:snapToGrid w:val="0"/>
                <w:kern w:val="22"/>
                <w:szCs w:val="22"/>
              </w:rPr>
              <w:t>funding</w:t>
            </w:r>
            <w:r w:rsidR="006C5FCE" w:rsidRPr="0066015A">
              <w:rPr>
                <w:rFonts w:eastAsia="Calibri"/>
                <w:bCs/>
                <w:snapToGrid w:val="0"/>
                <w:kern w:val="22"/>
                <w:szCs w:val="22"/>
              </w:rPr>
              <w:t>”</w:t>
            </w:r>
            <w:r w:rsidRPr="0066015A">
              <w:rPr>
                <w:rFonts w:eastAsia="Calibri"/>
                <w:bCs/>
                <w:snapToGrid w:val="0"/>
                <w:kern w:val="22"/>
                <w:szCs w:val="22"/>
              </w:rPr>
              <w:t xml:space="preserve"> was replaced with </w:t>
            </w:r>
            <w:r w:rsidR="006C5FCE" w:rsidRPr="0066015A">
              <w:rPr>
                <w:rFonts w:eastAsia="Calibri"/>
                <w:bCs/>
                <w:snapToGrid w:val="0"/>
                <w:kern w:val="22"/>
                <w:szCs w:val="22"/>
              </w:rPr>
              <w:t>“</w:t>
            </w:r>
            <w:r w:rsidRPr="0066015A">
              <w:rPr>
                <w:rFonts w:eastAsia="Calibri"/>
                <w:bCs/>
                <w:snapToGrid w:val="0"/>
                <w:kern w:val="22"/>
                <w:szCs w:val="22"/>
              </w:rPr>
              <w:t>support</w:t>
            </w:r>
            <w:r w:rsidR="006C5FCE" w:rsidRPr="0066015A">
              <w:rPr>
                <w:rFonts w:eastAsia="Calibri"/>
                <w:bCs/>
                <w:snapToGrid w:val="0"/>
                <w:kern w:val="22"/>
                <w:szCs w:val="22"/>
              </w:rPr>
              <w:t>”</w:t>
            </w:r>
            <w:r w:rsidRPr="0066015A">
              <w:rPr>
                <w:rFonts w:eastAsia="Calibri"/>
                <w:bCs/>
                <w:snapToGrid w:val="0"/>
                <w:kern w:val="22"/>
                <w:szCs w:val="22"/>
              </w:rPr>
              <w:t xml:space="preserve">, the reference to </w:t>
            </w:r>
            <w:r w:rsidR="00B60F33">
              <w:rPr>
                <w:rFonts w:eastAsia="Calibri"/>
                <w:bCs/>
                <w:snapToGrid w:val="0"/>
                <w:kern w:val="22"/>
                <w:szCs w:val="22"/>
              </w:rPr>
              <w:t>“</w:t>
            </w:r>
            <w:r w:rsidRPr="0066015A">
              <w:rPr>
                <w:rFonts w:eastAsia="Calibri"/>
                <w:bCs/>
                <w:snapToGrid w:val="0"/>
                <w:kern w:val="22"/>
                <w:szCs w:val="22"/>
              </w:rPr>
              <w:t>preparation</w:t>
            </w:r>
            <w:r w:rsidR="00B60F33">
              <w:rPr>
                <w:rFonts w:eastAsia="Calibri"/>
                <w:bCs/>
                <w:snapToGrid w:val="0"/>
                <w:kern w:val="22"/>
                <w:szCs w:val="22"/>
              </w:rPr>
              <w:t>”</w:t>
            </w:r>
            <w:r w:rsidRPr="0066015A">
              <w:rPr>
                <w:rFonts w:eastAsia="Calibri"/>
                <w:bCs/>
                <w:snapToGrid w:val="0"/>
                <w:kern w:val="22"/>
                <w:szCs w:val="22"/>
              </w:rPr>
              <w:t xml:space="preserve"> was deleted as were references to the source of the reporting requirements in Article 29 and decision NP-1/3.</w:t>
            </w:r>
          </w:p>
        </w:tc>
      </w:tr>
    </w:tbl>
    <w:p w:rsidR="00B5513E" w:rsidRPr="0066015A" w:rsidRDefault="00B5513E" w:rsidP="0066015A">
      <w:pPr>
        <w:suppressLineNumbers/>
        <w:tabs>
          <w:tab w:val="left" w:pos="7320"/>
        </w:tabs>
        <w:suppressAutoHyphens/>
        <w:kinsoku w:val="0"/>
        <w:overflowPunct w:val="0"/>
        <w:autoSpaceDE w:val="0"/>
        <w:autoSpaceDN w:val="0"/>
        <w:rPr>
          <w:snapToGrid w:val="0"/>
          <w:kern w:val="22"/>
        </w:rPr>
      </w:pPr>
    </w:p>
    <w:p w:rsidR="00B5513E" w:rsidRPr="0066015A" w:rsidRDefault="00B5513E" w:rsidP="0066015A">
      <w:pPr>
        <w:suppressLineNumbers/>
        <w:tabs>
          <w:tab w:val="left" w:pos="7320"/>
        </w:tabs>
        <w:suppressAutoHyphens/>
        <w:kinsoku w:val="0"/>
        <w:overflowPunct w:val="0"/>
        <w:autoSpaceDE w:val="0"/>
        <w:autoSpaceDN w:val="0"/>
        <w:jc w:val="center"/>
        <w:rPr>
          <w:snapToGrid w:val="0"/>
          <w:kern w:val="22"/>
        </w:rPr>
      </w:pPr>
      <w:r w:rsidRPr="0066015A">
        <w:rPr>
          <w:snapToGrid w:val="0"/>
          <w:kern w:val="22"/>
        </w:rPr>
        <w:t>__________</w:t>
      </w:r>
    </w:p>
    <w:p w:rsidR="00B3369F" w:rsidRPr="0066015A" w:rsidRDefault="00B3369F" w:rsidP="0066015A">
      <w:pPr>
        <w:suppressLineNumbers/>
        <w:suppressAutoHyphens/>
        <w:kinsoku w:val="0"/>
        <w:overflowPunct w:val="0"/>
        <w:autoSpaceDE w:val="0"/>
        <w:autoSpaceDN w:val="0"/>
        <w:rPr>
          <w:snapToGrid w:val="0"/>
          <w:kern w:val="22"/>
        </w:rPr>
      </w:pPr>
    </w:p>
    <w:sectPr w:rsidR="00B3369F" w:rsidRPr="0066015A" w:rsidSect="0066015A">
      <w:headerReference w:type="even" r:id="rId32"/>
      <w:headerReference w:type="default" r:id="rId33"/>
      <w:pgSz w:w="15840" w:h="12240" w:orient="landscape"/>
      <w:pgMar w:top="1389" w:right="567" w:bottom="1389" w:left="1134"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80" w:rsidRDefault="00EF7480" w:rsidP="00CF1848">
      <w:r>
        <w:separator/>
      </w:r>
    </w:p>
  </w:endnote>
  <w:endnote w:type="continuationSeparator" w:id="0">
    <w:p w:rsidR="00EF7480" w:rsidRDefault="00EF748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80" w:rsidRDefault="00EF7480" w:rsidP="00CF1848">
      <w:r>
        <w:separator/>
      </w:r>
    </w:p>
  </w:footnote>
  <w:footnote w:type="continuationSeparator" w:id="0">
    <w:p w:rsidR="00EF7480" w:rsidRDefault="00EF7480" w:rsidP="00CF1848">
      <w:r>
        <w:continuationSeparator/>
      </w:r>
    </w:p>
  </w:footnote>
  <w:footnote w:id="1">
    <w:p w:rsidR="00B5513E" w:rsidRPr="0066015A" w:rsidRDefault="00B5513E" w:rsidP="0066015A">
      <w:pPr>
        <w:pStyle w:val="FootnoteText"/>
        <w:keepLines w:val="0"/>
        <w:kinsoku w:val="0"/>
        <w:overflowPunct w:val="0"/>
        <w:autoSpaceDE w:val="0"/>
        <w:autoSpaceDN w:val="0"/>
        <w:adjustRightInd w:val="0"/>
        <w:snapToGrid w:val="0"/>
        <w:ind w:firstLine="0"/>
        <w:jc w:val="left"/>
        <w:rPr>
          <w:kern w:val="18"/>
          <w:szCs w:val="18"/>
        </w:rPr>
      </w:pPr>
      <w:r w:rsidRPr="0066015A">
        <w:rPr>
          <w:rStyle w:val="FootnoteReference"/>
          <w:kern w:val="18"/>
          <w:sz w:val="18"/>
          <w:szCs w:val="18"/>
        </w:rPr>
        <w:footnoteRef/>
      </w:r>
      <w:r w:rsidRPr="0066015A">
        <w:rPr>
          <w:kern w:val="18"/>
          <w:szCs w:val="18"/>
        </w:rPr>
        <w:t xml:space="preserve"> </w:t>
      </w:r>
      <w:hyperlink r:id="rId1" w:history="1">
        <w:proofErr w:type="gramStart"/>
        <w:r w:rsidRPr="0066015A">
          <w:rPr>
            <w:rStyle w:val="Hyperlink"/>
            <w:szCs w:val="18"/>
          </w:rPr>
          <w:t>UNEP/CBD/NP/COP-MOP/2/4</w:t>
        </w:r>
      </w:hyperlink>
      <w:r w:rsidRPr="0066015A">
        <w:rPr>
          <w:kern w:val="18"/>
          <w:szCs w:val="18"/>
        </w:rPr>
        <w:t>.</w:t>
      </w:r>
      <w:proofErr w:type="gramEnd"/>
    </w:p>
  </w:footnote>
  <w:footnote w:id="2">
    <w:p w:rsidR="00B5513E" w:rsidRPr="007D6A21" w:rsidRDefault="00B5513E" w:rsidP="0066015A">
      <w:pPr>
        <w:kinsoku w:val="0"/>
        <w:overflowPunct w:val="0"/>
        <w:autoSpaceDE w:val="0"/>
        <w:autoSpaceDN w:val="0"/>
        <w:adjustRightInd w:val="0"/>
        <w:snapToGrid w:val="0"/>
        <w:spacing w:after="60"/>
        <w:jc w:val="left"/>
        <w:rPr>
          <w:kern w:val="18"/>
          <w:sz w:val="18"/>
          <w:szCs w:val="18"/>
        </w:rPr>
      </w:pPr>
      <w:r w:rsidRPr="0066015A">
        <w:rPr>
          <w:rStyle w:val="FootnoteReference"/>
          <w:kern w:val="18"/>
          <w:sz w:val="18"/>
          <w:szCs w:val="18"/>
        </w:rPr>
        <w:footnoteRef/>
      </w:r>
      <w:r w:rsidRPr="007D6A21">
        <w:rPr>
          <w:kern w:val="18"/>
          <w:sz w:val="18"/>
          <w:szCs w:val="18"/>
        </w:rPr>
        <w:t xml:space="preserve"> See </w:t>
      </w:r>
      <w:hyperlink r:id="rId2" w:history="1">
        <w:r w:rsidRPr="0066015A">
          <w:rPr>
            <w:rStyle w:val="Hyperlink"/>
          </w:rPr>
          <w:t>CBD/NP/MOP/2/13</w:t>
        </w:r>
      </w:hyperlink>
      <w:r w:rsidRPr="007D6A21">
        <w:rPr>
          <w:kern w:val="18"/>
          <w:sz w:val="18"/>
          <w:szCs w:val="18"/>
        </w:rPr>
        <w:t>, paras. 27-31.</w:t>
      </w:r>
    </w:p>
  </w:footnote>
  <w:footnote w:id="3">
    <w:p w:rsidR="00B5513E" w:rsidRPr="0066015A" w:rsidRDefault="00B5513E" w:rsidP="0066015A">
      <w:pPr>
        <w:kinsoku w:val="0"/>
        <w:overflowPunct w:val="0"/>
        <w:autoSpaceDE w:val="0"/>
        <w:autoSpaceDN w:val="0"/>
        <w:adjustRightInd w:val="0"/>
        <w:snapToGrid w:val="0"/>
        <w:spacing w:after="60"/>
        <w:jc w:val="left"/>
        <w:rPr>
          <w:rStyle w:val="FootnoteReference"/>
          <w:kern w:val="18"/>
          <w:sz w:val="18"/>
          <w:szCs w:val="18"/>
          <w:vertAlign w:val="baseline"/>
        </w:rPr>
      </w:pPr>
      <w:r w:rsidRPr="0066015A">
        <w:rPr>
          <w:rStyle w:val="FootnoteReference"/>
          <w:kern w:val="18"/>
          <w:sz w:val="18"/>
          <w:szCs w:val="18"/>
        </w:rPr>
        <w:footnoteRef/>
      </w:r>
      <w:r w:rsidRPr="0066015A">
        <w:rPr>
          <w:rStyle w:val="FootnoteReference"/>
          <w:kern w:val="18"/>
          <w:sz w:val="18"/>
          <w:szCs w:val="18"/>
        </w:rPr>
        <w:t xml:space="preserve"> </w:t>
      </w:r>
      <w:r w:rsidRPr="0066015A">
        <w:rPr>
          <w:rStyle w:val="FootnoteReference"/>
          <w:kern w:val="18"/>
          <w:sz w:val="18"/>
          <w:szCs w:val="18"/>
          <w:vertAlign w:val="baseline"/>
        </w:rPr>
        <w:t>Ibid., paras. 51-60.</w:t>
      </w:r>
    </w:p>
  </w:footnote>
  <w:footnote w:id="4">
    <w:p w:rsidR="00B5513E" w:rsidRPr="0066015A" w:rsidRDefault="00B5513E" w:rsidP="0066015A">
      <w:pPr>
        <w:kinsoku w:val="0"/>
        <w:overflowPunct w:val="0"/>
        <w:autoSpaceDE w:val="0"/>
        <w:autoSpaceDN w:val="0"/>
        <w:adjustRightInd w:val="0"/>
        <w:snapToGrid w:val="0"/>
        <w:spacing w:after="60"/>
        <w:jc w:val="left"/>
        <w:rPr>
          <w:rStyle w:val="FootnoteReference"/>
          <w:kern w:val="18"/>
          <w:sz w:val="18"/>
          <w:szCs w:val="18"/>
          <w:vertAlign w:val="baseline"/>
        </w:rPr>
      </w:pPr>
      <w:r w:rsidRPr="0066015A">
        <w:rPr>
          <w:rStyle w:val="FootnoteReference"/>
          <w:kern w:val="18"/>
          <w:sz w:val="18"/>
          <w:szCs w:val="18"/>
        </w:rPr>
        <w:footnoteRef/>
      </w:r>
      <w:r w:rsidRPr="0066015A">
        <w:rPr>
          <w:rStyle w:val="FootnoteReference"/>
          <w:kern w:val="18"/>
          <w:sz w:val="18"/>
          <w:szCs w:val="18"/>
        </w:rPr>
        <w:t xml:space="preserve"> </w:t>
      </w:r>
      <w:r w:rsidRPr="0066015A">
        <w:rPr>
          <w:rStyle w:val="FootnoteReference"/>
          <w:kern w:val="18"/>
          <w:sz w:val="18"/>
          <w:szCs w:val="18"/>
          <w:vertAlign w:val="baseline"/>
        </w:rPr>
        <w:t>Ibid., paras. 61-70.</w:t>
      </w:r>
    </w:p>
  </w:footnote>
  <w:footnote w:id="5">
    <w:p w:rsidR="00B5513E" w:rsidRPr="0066015A" w:rsidRDefault="00B5513E" w:rsidP="0066015A">
      <w:pPr>
        <w:pStyle w:val="FootnoteText"/>
        <w:keepLines w:val="0"/>
        <w:kinsoku w:val="0"/>
        <w:overflowPunct w:val="0"/>
        <w:autoSpaceDE w:val="0"/>
        <w:autoSpaceDN w:val="0"/>
        <w:adjustRightInd w:val="0"/>
        <w:snapToGrid w:val="0"/>
        <w:ind w:firstLine="0"/>
        <w:jc w:val="left"/>
        <w:rPr>
          <w:kern w:val="18"/>
          <w:szCs w:val="18"/>
        </w:rPr>
      </w:pPr>
      <w:r w:rsidRPr="0066015A">
        <w:rPr>
          <w:rStyle w:val="FootnoteReference"/>
          <w:kern w:val="18"/>
          <w:sz w:val="18"/>
          <w:szCs w:val="18"/>
        </w:rPr>
        <w:footnoteRef/>
      </w:r>
      <w:r w:rsidRPr="0066015A">
        <w:rPr>
          <w:kern w:val="18"/>
          <w:szCs w:val="18"/>
        </w:rPr>
        <w:t xml:space="preserve"> </w:t>
      </w:r>
      <w:r w:rsidR="00E7747A">
        <w:rPr>
          <w:kern w:val="18"/>
          <w:szCs w:val="18"/>
        </w:rPr>
        <w:t>See</w:t>
      </w:r>
      <w:r w:rsidRPr="0066015A">
        <w:rPr>
          <w:kern w:val="18"/>
          <w:szCs w:val="18"/>
        </w:rPr>
        <w:t xml:space="preserve"> </w:t>
      </w:r>
      <w:hyperlink r:id="rId3" w:history="1">
        <w:r w:rsidRPr="0066015A">
          <w:rPr>
            <w:rStyle w:val="Hyperlink"/>
            <w:kern w:val="18"/>
            <w:szCs w:val="18"/>
          </w:rPr>
          <w:t>UNEP/CBD/NP/COP-MOP/2/4</w:t>
        </w:r>
      </w:hyperlink>
      <w:r w:rsidR="00E7747A">
        <w:rPr>
          <w:kern w:val="18"/>
          <w:szCs w:val="18"/>
        </w:rPr>
        <w:t>,</w:t>
      </w:r>
      <w:r w:rsidR="00E7747A" w:rsidRPr="00E7747A">
        <w:rPr>
          <w:kern w:val="18"/>
          <w:szCs w:val="18"/>
        </w:rPr>
        <w:t xml:space="preserve"> </w:t>
      </w:r>
      <w:r w:rsidR="00E7747A">
        <w:rPr>
          <w:kern w:val="18"/>
          <w:szCs w:val="18"/>
        </w:rPr>
        <w:t>p</w:t>
      </w:r>
      <w:r w:rsidR="00E7747A" w:rsidRPr="00DC6070">
        <w:rPr>
          <w:kern w:val="18"/>
          <w:szCs w:val="18"/>
        </w:rPr>
        <w:t>ara</w:t>
      </w:r>
      <w:r w:rsidR="00E7747A">
        <w:rPr>
          <w:kern w:val="18"/>
          <w:szCs w:val="18"/>
        </w:rPr>
        <w:t>.</w:t>
      </w:r>
      <w:r w:rsidR="00E7747A" w:rsidRPr="00DC6070">
        <w:rPr>
          <w:kern w:val="18"/>
          <w:szCs w:val="18"/>
        </w:rPr>
        <w:t xml:space="preserve"> 20</w:t>
      </w:r>
      <w:r w:rsidRPr="0066015A">
        <w:rPr>
          <w:kern w:val="18"/>
          <w:szCs w:val="18"/>
        </w:rPr>
        <w:t>.</w:t>
      </w:r>
    </w:p>
  </w:footnote>
  <w:footnote w:id="6">
    <w:p w:rsidR="00B5513E" w:rsidRPr="0066015A" w:rsidRDefault="00B5513E" w:rsidP="0066015A">
      <w:pPr>
        <w:pStyle w:val="FootnoteText"/>
        <w:keepLines w:val="0"/>
        <w:kinsoku w:val="0"/>
        <w:overflowPunct w:val="0"/>
        <w:autoSpaceDE w:val="0"/>
        <w:autoSpaceDN w:val="0"/>
        <w:adjustRightInd w:val="0"/>
        <w:snapToGrid w:val="0"/>
        <w:ind w:firstLine="0"/>
        <w:jc w:val="left"/>
        <w:rPr>
          <w:kern w:val="18"/>
          <w:szCs w:val="18"/>
        </w:rPr>
      </w:pPr>
      <w:r w:rsidRPr="0066015A">
        <w:rPr>
          <w:rStyle w:val="FootnoteReference"/>
          <w:kern w:val="18"/>
          <w:sz w:val="18"/>
          <w:szCs w:val="18"/>
        </w:rPr>
        <w:footnoteRef/>
      </w:r>
      <w:r w:rsidRPr="0066015A">
        <w:rPr>
          <w:kern w:val="18"/>
          <w:szCs w:val="18"/>
        </w:rPr>
        <w:t xml:space="preserve"> </w:t>
      </w:r>
      <w:proofErr w:type="gramStart"/>
      <w:r w:rsidR="00E7747A">
        <w:rPr>
          <w:kern w:val="18"/>
          <w:szCs w:val="18"/>
        </w:rPr>
        <w:t>Ibid.,</w:t>
      </w:r>
      <w:proofErr w:type="gramEnd"/>
      <w:r w:rsidR="00E7747A">
        <w:rPr>
          <w:kern w:val="18"/>
          <w:szCs w:val="18"/>
        </w:rPr>
        <w:t xml:space="preserve"> para.</w:t>
      </w:r>
      <w:r w:rsidR="00E7747A" w:rsidRPr="0066015A">
        <w:rPr>
          <w:kern w:val="18"/>
          <w:szCs w:val="18"/>
        </w:rPr>
        <w:t xml:space="preserve"> </w:t>
      </w:r>
      <w:r w:rsidRPr="0066015A">
        <w:rPr>
          <w:kern w:val="18"/>
          <w:szCs w:val="18"/>
        </w:rPr>
        <w:t>25.</w:t>
      </w:r>
    </w:p>
  </w:footnote>
  <w:footnote w:id="7">
    <w:p w:rsidR="00B5513E" w:rsidRPr="0066015A" w:rsidRDefault="00B5513E" w:rsidP="0066015A">
      <w:pPr>
        <w:pStyle w:val="FootnoteText"/>
        <w:keepLines w:val="0"/>
        <w:kinsoku w:val="0"/>
        <w:overflowPunct w:val="0"/>
        <w:autoSpaceDE w:val="0"/>
        <w:autoSpaceDN w:val="0"/>
        <w:adjustRightInd w:val="0"/>
        <w:snapToGrid w:val="0"/>
        <w:ind w:firstLine="0"/>
        <w:jc w:val="left"/>
        <w:rPr>
          <w:kern w:val="18"/>
          <w:szCs w:val="18"/>
          <w:lang w:val="en-CA"/>
        </w:rPr>
      </w:pPr>
      <w:r w:rsidRPr="0066015A">
        <w:rPr>
          <w:rStyle w:val="FootnoteReference"/>
          <w:kern w:val="18"/>
          <w:sz w:val="18"/>
          <w:szCs w:val="18"/>
        </w:rPr>
        <w:footnoteRef/>
      </w:r>
      <w:r w:rsidRPr="0066015A">
        <w:rPr>
          <w:kern w:val="18"/>
          <w:szCs w:val="18"/>
        </w:rPr>
        <w:t xml:space="preserve"> </w:t>
      </w:r>
      <w:r w:rsidRPr="0066015A">
        <w:rPr>
          <w:kern w:val="18"/>
          <w:szCs w:val="18"/>
          <w:lang w:val="en-CA"/>
        </w:rPr>
        <w:t xml:space="preserve">Changes introduced by </w:t>
      </w:r>
      <w:r w:rsidR="00B704C6">
        <w:rPr>
          <w:kern w:val="18"/>
          <w:szCs w:val="18"/>
          <w:lang w:val="en-CA"/>
        </w:rPr>
        <w:t>the Parties to the Protocol</w:t>
      </w:r>
      <w:r w:rsidRPr="0066015A">
        <w:rPr>
          <w:kern w:val="18"/>
          <w:szCs w:val="18"/>
          <w:lang w:val="en-CA"/>
        </w:rPr>
        <w:t xml:space="preserve"> to the wording of the recommendations of the Committee appear in bold in the second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3E" w:rsidRPr="0011129E" w:rsidRDefault="00B5513E" w:rsidP="00AC26FA">
    <w:pPr>
      <w:rPr>
        <w:noProof/>
      </w:rPr>
    </w:pPr>
    <w:r w:rsidRPr="0011129E">
      <w:rPr>
        <w:noProof/>
      </w:rPr>
      <w:t>CBD/</w:t>
    </w:r>
    <w:r>
      <w:rPr>
        <w:noProof/>
      </w:rPr>
      <w:t>NP</w:t>
    </w:r>
    <w:r w:rsidRPr="0011129E">
      <w:rPr>
        <w:noProof/>
      </w:rPr>
      <w:t>/CC/2/</w:t>
    </w:r>
    <w:r w:rsidRPr="004F0DAA">
      <w:rPr>
        <w:noProof/>
      </w:rPr>
      <w:t>2</w:t>
    </w:r>
  </w:p>
  <w:p w:rsidR="00B5513E" w:rsidRPr="0011129E" w:rsidRDefault="00B5513E" w:rsidP="0011129E">
    <w:pPr>
      <w:tabs>
        <w:tab w:val="left" w:pos="6379"/>
      </w:tabs>
      <w:rPr>
        <w:noProof/>
      </w:rPr>
    </w:pPr>
    <w:r w:rsidRPr="0011129E">
      <w:rPr>
        <w:noProof/>
      </w:rPr>
      <w:t xml:space="preserve">Page </w:t>
    </w:r>
    <w:r w:rsidRPr="0011129E">
      <w:rPr>
        <w:noProof/>
      </w:rPr>
      <w:fldChar w:fldCharType="begin"/>
    </w:r>
    <w:r w:rsidRPr="0011129E">
      <w:rPr>
        <w:noProof/>
      </w:rPr>
      <w:instrText xml:space="preserve">PAGE  </w:instrText>
    </w:r>
    <w:r w:rsidRPr="0011129E">
      <w:rPr>
        <w:noProof/>
      </w:rPr>
      <w:fldChar w:fldCharType="separate"/>
    </w:r>
    <w:r w:rsidR="0066015A">
      <w:rPr>
        <w:noProof/>
      </w:rPr>
      <w:t>4</w:t>
    </w:r>
    <w:r w:rsidRPr="0011129E">
      <w:rPr>
        <w:noProof/>
      </w:rPr>
      <w:fldChar w:fldCharType="end"/>
    </w:r>
  </w:p>
  <w:p w:rsidR="00B5513E" w:rsidRPr="0011129E" w:rsidRDefault="00B5513E" w:rsidP="0011129E">
    <w:pPr>
      <w:tabs>
        <w:tab w:val="left" w:pos="6379"/>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3E" w:rsidRPr="006642E1" w:rsidRDefault="00B5513E" w:rsidP="0011129E">
    <w:pPr>
      <w:jc w:val="right"/>
      <w:rPr>
        <w:noProof/>
        <w:lang w:val="fr-CA"/>
      </w:rPr>
    </w:pPr>
    <w:r w:rsidRPr="006642E1">
      <w:rPr>
        <w:noProof/>
        <w:lang w:val="fr-CA"/>
      </w:rPr>
      <w:t>CBD/</w:t>
    </w:r>
    <w:r>
      <w:rPr>
        <w:noProof/>
        <w:lang w:val="fr-CA"/>
      </w:rPr>
      <w:t>NP</w:t>
    </w:r>
    <w:r w:rsidRPr="006642E1">
      <w:rPr>
        <w:noProof/>
        <w:lang w:val="fr-CA"/>
      </w:rPr>
      <w:t>/CC/2/</w:t>
    </w:r>
    <w:r w:rsidRPr="004F0DAA">
      <w:rPr>
        <w:noProof/>
        <w:lang w:val="fr-CA"/>
      </w:rPr>
      <w:t>2</w:t>
    </w:r>
  </w:p>
  <w:p w:rsidR="00B5513E" w:rsidRPr="006642E1" w:rsidRDefault="00B5513E" w:rsidP="0011129E">
    <w:pPr>
      <w:jc w:val="right"/>
      <w:rPr>
        <w:noProof/>
        <w:lang w:val="fr-CA"/>
      </w:rPr>
    </w:pPr>
    <w:r w:rsidRPr="006642E1">
      <w:rPr>
        <w:noProof/>
        <w:lang w:val="fr-CA"/>
      </w:rPr>
      <w:t xml:space="preserve">Page </w:t>
    </w:r>
    <w:r w:rsidRPr="0011129E">
      <w:rPr>
        <w:noProof/>
      </w:rPr>
      <w:fldChar w:fldCharType="begin"/>
    </w:r>
    <w:r w:rsidRPr="006642E1">
      <w:rPr>
        <w:noProof/>
        <w:lang w:val="fr-CA"/>
      </w:rPr>
      <w:instrText xml:space="preserve">PAGE  </w:instrText>
    </w:r>
    <w:r w:rsidRPr="0011129E">
      <w:rPr>
        <w:noProof/>
      </w:rPr>
      <w:fldChar w:fldCharType="separate"/>
    </w:r>
    <w:r w:rsidR="0066015A">
      <w:rPr>
        <w:noProof/>
      </w:rPr>
      <w:t>5</w:t>
    </w:r>
    <w:r w:rsidRPr="0011129E">
      <w:rPr>
        <w:noProof/>
      </w:rPr>
      <w:fldChar w:fldCharType="end"/>
    </w:r>
  </w:p>
  <w:p w:rsidR="00B5513E" w:rsidRPr="006642E1" w:rsidRDefault="00B5513E" w:rsidP="0011129E">
    <w:pPr>
      <w:jc w:val="right"/>
      <w:rPr>
        <w:noProof/>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B5513E" w:rsidP="0066015A">
        <w:pPr>
          <w:pStyle w:val="Header"/>
          <w:tabs>
            <w:tab w:val="clear" w:pos="4320"/>
            <w:tab w:val="clear" w:pos="8640"/>
          </w:tabs>
          <w:kinsoku w:val="0"/>
          <w:overflowPunct w:val="0"/>
          <w:autoSpaceDE w:val="0"/>
          <w:autoSpaceDN w:val="0"/>
          <w:jc w:val="left"/>
          <w:rPr>
            <w:noProof/>
          </w:rPr>
        </w:pPr>
        <w:r>
          <w:rPr>
            <w:noProof/>
          </w:rPr>
          <w:t>CBD/NP/CC/2/2</w:t>
        </w:r>
      </w:p>
    </w:sdtContent>
  </w:sdt>
  <w:p w:rsidR="00534681" w:rsidRDefault="00534681" w:rsidP="0066015A">
    <w:pPr>
      <w:pStyle w:val="Header"/>
      <w:tabs>
        <w:tab w:val="clear" w:pos="4320"/>
        <w:tab w:val="clear" w:pos="8640"/>
      </w:tabs>
      <w:kinsoku w:val="0"/>
      <w:overflowPunct w:val="0"/>
      <w:autoSpaceDE w:val="0"/>
      <w:autoSpaceDN w:val="0"/>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66015A">
      <w:rPr>
        <w:noProof/>
      </w:rPr>
      <w:t>10</w:t>
    </w:r>
    <w:r>
      <w:rPr>
        <w:noProof/>
      </w:rPr>
      <w:fldChar w:fldCharType="end"/>
    </w:r>
  </w:p>
  <w:p w:rsidR="00534681" w:rsidRDefault="00534681" w:rsidP="0066015A">
    <w:pPr>
      <w:pStyle w:val="Header"/>
      <w:tabs>
        <w:tab w:val="clear" w:pos="4320"/>
        <w:tab w:val="clear" w:pos="8640"/>
      </w:tabs>
      <w:kinsoku w:val="0"/>
      <w:overflowPunct w:val="0"/>
      <w:autoSpaceDE w:val="0"/>
      <w:autoSpaceDN w:val="0"/>
      <w:jc w:val="lef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B5513E" w:rsidP="0066015A">
        <w:pPr>
          <w:pStyle w:val="Header"/>
          <w:tabs>
            <w:tab w:val="clear" w:pos="4320"/>
            <w:tab w:val="clear" w:pos="8640"/>
          </w:tabs>
          <w:kinsoku w:val="0"/>
          <w:overflowPunct w:val="0"/>
          <w:autoSpaceDE w:val="0"/>
          <w:autoSpaceDN w:val="0"/>
          <w:jc w:val="right"/>
          <w:rPr>
            <w:noProof/>
          </w:rPr>
        </w:pPr>
        <w:r>
          <w:rPr>
            <w:noProof/>
          </w:rPr>
          <w:t>CBD/NP/CC/2/2</w:t>
        </w:r>
      </w:p>
    </w:sdtContent>
  </w:sdt>
  <w:p w:rsidR="009505C9" w:rsidRDefault="009505C9" w:rsidP="0066015A">
    <w:pPr>
      <w:pStyle w:val="Header"/>
      <w:tabs>
        <w:tab w:val="clear" w:pos="4320"/>
        <w:tab w:val="clear" w:pos="8640"/>
      </w:tabs>
      <w:kinsoku w:val="0"/>
      <w:overflowPunct w:val="0"/>
      <w:autoSpaceDE w:val="0"/>
      <w:autoSpaceDN w:val="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66015A">
      <w:rPr>
        <w:noProof/>
      </w:rPr>
      <w:t>9</w:t>
    </w:r>
    <w:r>
      <w:rPr>
        <w:noProof/>
      </w:rPr>
      <w:fldChar w:fldCharType="end"/>
    </w:r>
  </w:p>
  <w:p w:rsidR="009505C9" w:rsidRDefault="009505C9" w:rsidP="0066015A">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6EE23244"/>
    <w:multiLevelType w:val="multilevel"/>
    <w:tmpl w:val="FD6A64C8"/>
    <w:lvl w:ilvl="0">
      <w:start w:val="1"/>
      <w:numFmt w:val="decimal"/>
      <w:lvlText w:val="%1."/>
      <w:lvlJc w:val="left"/>
      <w:pPr>
        <w:tabs>
          <w:tab w:val="num" w:pos="644"/>
        </w:tabs>
        <w:ind w:left="284"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1"/>
  </w:num>
  <w:num w:numId="8">
    <w:abstractNumId w:val="4"/>
    <w:lvlOverride w:ilvl="0">
      <w:startOverride w:val="1"/>
    </w:lvlOverride>
  </w:num>
  <w:num w:numId="9">
    <w:abstractNumId w:val="7"/>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35F21"/>
    <w:rsid w:val="00050AB6"/>
    <w:rsid w:val="00053CAF"/>
    <w:rsid w:val="000602BA"/>
    <w:rsid w:val="000830E5"/>
    <w:rsid w:val="000A0AC1"/>
    <w:rsid w:val="000A7E89"/>
    <w:rsid w:val="000B4F55"/>
    <w:rsid w:val="000B52CC"/>
    <w:rsid w:val="000D4003"/>
    <w:rsid w:val="000E5002"/>
    <w:rsid w:val="000E673A"/>
    <w:rsid w:val="000F1ADB"/>
    <w:rsid w:val="000F74F5"/>
    <w:rsid w:val="00105372"/>
    <w:rsid w:val="001073A5"/>
    <w:rsid w:val="00131E7A"/>
    <w:rsid w:val="001609F8"/>
    <w:rsid w:val="00164545"/>
    <w:rsid w:val="00167131"/>
    <w:rsid w:val="00172AF6"/>
    <w:rsid w:val="00176CEE"/>
    <w:rsid w:val="001B25B2"/>
    <w:rsid w:val="001B51F8"/>
    <w:rsid w:val="001C083C"/>
    <w:rsid w:val="001D1111"/>
    <w:rsid w:val="001D1877"/>
    <w:rsid w:val="001D4057"/>
    <w:rsid w:val="001D5DD2"/>
    <w:rsid w:val="001F364D"/>
    <w:rsid w:val="00231364"/>
    <w:rsid w:val="00232498"/>
    <w:rsid w:val="00260B80"/>
    <w:rsid w:val="00264758"/>
    <w:rsid w:val="00285BF8"/>
    <w:rsid w:val="002900FA"/>
    <w:rsid w:val="002E34CB"/>
    <w:rsid w:val="00306016"/>
    <w:rsid w:val="003342AD"/>
    <w:rsid w:val="00356FC1"/>
    <w:rsid w:val="003727A0"/>
    <w:rsid w:val="00372F74"/>
    <w:rsid w:val="003A3116"/>
    <w:rsid w:val="003B108A"/>
    <w:rsid w:val="003D585D"/>
    <w:rsid w:val="003E1367"/>
    <w:rsid w:val="004110D0"/>
    <w:rsid w:val="00415390"/>
    <w:rsid w:val="0041738D"/>
    <w:rsid w:val="00456635"/>
    <w:rsid w:val="004644C2"/>
    <w:rsid w:val="0046500B"/>
    <w:rsid w:val="00471153"/>
    <w:rsid w:val="00483AA2"/>
    <w:rsid w:val="0048732A"/>
    <w:rsid w:val="004C6E80"/>
    <w:rsid w:val="0050335E"/>
    <w:rsid w:val="00522721"/>
    <w:rsid w:val="005276F5"/>
    <w:rsid w:val="00532259"/>
    <w:rsid w:val="00534681"/>
    <w:rsid w:val="0055221A"/>
    <w:rsid w:val="00565151"/>
    <w:rsid w:val="005736CF"/>
    <w:rsid w:val="00584A41"/>
    <w:rsid w:val="005852D9"/>
    <w:rsid w:val="005901DC"/>
    <w:rsid w:val="00596CBB"/>
    <w:rsid w:val="005A666F"/>
    <w:rsid w:val="005B26E3"/>
    <w:rsid w:val="005C12A2"/>
    <w:rsid w:val="005C4209"/>
    <w:rsid w:val="00610F72"/>
    <w:rsid w:val="00633F89"/>
    <w:rsid w:val="006345DF"/>
    <w:rsid w:val="00645742"/>
    <w:rsid w:val="0066015A"/>
    <w:rsid w:val="00660370"/>
    <w:rsid w:val="00662764"/>
    <w:rsid w:val="00673DF3"/>
    <w:rsid w:val="00682BD7"/>
    <w:rsid w:val="006C5FCE"/>
    <w:rsid w:val="006D35E3"/>
    <w:rsid w:val="00706F6E"/>
    <w:rsid w:val="007139CE"/>
    <w:rsid w:val="00717D88"/>
    <w:rsid w:val="007317E5"/>
    <w:rsid w:val="007379FE"/>
    <w:rsid w:val="0074401B"/>
    <w:rsid w:val="00746292"/>
    <w:rsid w:val="00757432"/>
    <w:rsid w:val="00764BCD"/>
    <w:rsid w:val="00773294"/>
    <w:rsid w:val="007942D3"/>
    <w:rsid w:val="007A6E81"/>
    <w:rsid w:val="007B6C09"/>
    <w:rsid w:val="007D6A21"/>
    <w:rsid w:val="007E09DA"/>
    <w:rsid w:val="007E2E61"/>
    <w:rsid w:val="007F670A"/>
    <w:rsid w:val="00804626"/>
    <w:rsid w:val="008160D8"/>
    <w:rsid w:val="008178B6"/>
    <w:rsid w:val="00821589"/>
    <w:rsid w:val="00844B70"/>
    <w:rsid w:val="00877B8B"/>
    <w:rsid w:val="008819FB"/>
    <w:rsid w:val="00892B96"/>
    <w:rsid w:val="008A0B52"/>
    <w:rsid w:val="008A31B4"/>
    <w:rsid w:val="008A744A"/>
    <w:rsid w:val="008D14F7"/>
    <w:rsid w:val="008E0C6B"/>
    <w:rsid w:val="008F7E61"/>
    <w:rsid w:val="00926398"/>
    <w:rsid w:val="009505C9"/>
    <w:rsid w:val="009800B9"/>
    <w:rsid w:val="00982D6C"/>
    <w:rsid w:val="009904F2"/>
    <w:rsid w:val="009A413C"/>
    <w:rsid w:val="009B7083"/>
    <w:rsid w:val="009E243A"/>
    <w:rsid w:val="00A0375E"/>
    <w:rsid w:val="00A506A1"/>
    <w:rsid w:val="00A5256D"/>
    <w:rsid w:val="00A7238B"/>
    <w:rsid w:val="00AD1BE0"/>
    <w:rsid w:val="00B0730F"/>
    <w:rsid w:val="00B14748"/>
    <w:rsid w:val="00B1489E"/>
    <w:rsid w:val="00B17F65"/>
    <w:rsid w:val="00B20488"/>
    <w:rsid w:val="00B3369F"/>
    <w:rsid w:val="00B363DD"/>
    <w:rsid w:val="00B41243"/>
    <w:rsid w:val="00B46CBE"/>
    <w:rsid w:val="00B5513E"/>
    <w:rsid w:val="00B60F33"/>
    <w:rsid w:val="00B61B52"/>
    <w:rsid w:val="00B704C6"/>
    <w:rsid w:val="00B7104B"/>
    <w:rsid w:val="00B85082"/>
    <w:rsid w:val="00BA243E"/>
    <w:rsid w:val="00BB75BD"/>
    <w:rsid w:val="00BC69BE"/>
    <w:rsid w:val="00BD0DF8"/>
    <w:rsid w:val="00BF1642"/>
    <w:rsid w:val="00C20C27"/>
    <w:rsid w:val="00C501C8"/>
    <w:rsid w:val="00C53760"/>
    <w:rsid w:val="00C633B3"/>
    <w:rsid w:val="00C9161D"/>
    <w:rsid w:val="00CA19FE"/>
    <w:rsid w:val="00CA69C8"/>
    <w:rsid w:val="00CD6FE0"/>
    <w:rsid w:val="00CD732A"/>
    <w:rsid w:val="00CE0864"/>
    <w:rsid w:val="00CF1115"/>
    <w:rsid w:val="00CF1848"/>
    <w:rsid w:val="00D020F3"/>
    <w:rsid w:val="00D06FAC"/>
    <w:rsid w:val="00D30614"/>
    <w:rsid w:val="00D36D9F"/>
    <w:rsid w:val="00D46E8A"/>
    <w:rsid w:val="00D76A18"/>
    <w:rsid w:val="00D80866"/>
    <w:rsid w:val="00D90BA1"/>
    <w:rsid w:val="00D92244"/>
    <w:rsid w:val="00D924AB"/>
    <w:rsid w:val="00DA3CEC"/>
    <w:rsid w:val="00DA644C"/>
    <w:rsid w:val="00DB4C56"/>
    <w:rsid w:val="00DC0A98"/>
    <w:rsid w:val="00DD118C"/>
    <w:rsid w:val="00DD27E6"/>
    <w:rsid w:val="00DD4488"/>
    <w:rsid w:val="00DE3583"/>
    <w:rsid w:val="00E14D7B"/>
    <w:rsid w:val="00E30700"/>
    <w:rsid w:val="00E33480"/>
    <w:rsid w:val="00E42902"/>
    <w:rsid w:val="00E66235"/>
    <w:rsid w:val="00E7063C"/>
    <w:rsid w:val="00E7747A"/>
    <w:rsid w:val="00E83C24"/>
    <w:rsid w:val="00E97821"/>
    <w:rsid w:val="00EA0C18"/>
    <w:rsid w:val="00EE1719"/>
    <w:rsid w:val="00EE7EE9"/>
    <w:rsid w:val="00EF7194"/>
    <w:rsid w:val="00EF7480"/>
    <w:rsid w:val="00F23049"/>
    <w:rsid w:val="00F7743D"/>
    <w:rsid w:val="00F90EFC"/>
    <w:rsid w:val="00F94774"/>
    <w:rsid w:val="00FA48E0"/>
    <w:rsid w:val="00FC53DB"/>
    <w:rsid w:val="00FF6E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B17F65"/>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Default">
    <w:name w:val="Default"/>
    <w:rsid w:val="00B5513E"/>
    <w:pPr>
      <w:autoSpaceDE w:val="0"/>
      <w:autoSpaceDN w:val="0"/>
      <w:adjustRightInd w:val="0"/>
    </w:pPr>
    <w:rPr>
      <w:rFonts w:ascii="Times New Roman" w:eastAsia="Times New Roman" w:hAnsi="Times New Roman" w:cs="Times New Roman"/>
      <w:color w:val="000000"/>
      <w:lang w:val="en-CA" w:eastAsia="ko-KR"/>
    </w:rPr>
  </w:style>
  <w:style w:type="paragraph" w:customStyle="1" w:styleId="Para10">
    <w:name w:val="Para 1"/>
    <w:basedOn w:val="Normal"/>
    <w:rsid w:val="00B5513E"/>
    <w:pPr>
      <w:tabs>
        <w:tab w:val="num" w:pos="644"/>
      </w:tabs>
      <w:ind w:left="284"/>
    </w:pPr>
  </w:style>
  <w:style w:type="character" w:customStyle="1" w:styleId="UnresolvedMention">
    <w:name w:val="Unresolved Mention"/>
    <w:basedOn w:val="DefaultParagraphFont"/>
    <w:uiPriority w:val="99"/>
    <w:semiHidden/>
    <w:unhideWhenUsed/>
    <w:rsid w:val="00C537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B17F65"/>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Default">
    <w:name w:val="Default"/>
    <w:rsid w:val="00B5513E"/>
    <w:pPr>
      <w:autoSpaceDE w:val="0"/>
      <w:autoSpaceDN w:val="0"/>
      <w:adjustRightInd w:val="0"/>
    </w:pPr>
    <w:rPr>
      <w:rFonts w:ascii="Times New Roman" w:eastAsia="Times New Roman" w:hAnsi="Times New Roman" w:cs="Times New Roman"/>
      <w:color w:val="000000"/>
      <w:lang w:val="en-CA" w:eastAsia="ko-KR"/>
    </w:rPr>
  </w:style>
  <w:style w:type="paragraph" w:customStyle="1" w:styleId="Para10">
    <w:name w:val="Para 1"/>
    <w:basedOn w:val="Normal"/>
    <w:rsid w:val="00B5513E"/>
    <w:pPr>
      <w:tabs>
        <w:tab w:val="num" w:pos="644"/>
      </w:tabs>
      <w:ind w:left="284"/>
    </w:pPr>
  </w:style>
  <w:style w:type="character" w:customStyle="1" w:styleId="UnresolvedMention">
    <w:name w:val="Unresolved Mention"/>
    <w:basedOn w:val="DefaultParagraphFont"/>
    <w:uiPriority w:val="99"/>
    <w:semiHidden/>
    <w:unhideWhenUsed/>
    <w:rsid w:val="00C53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meetings/abs/np-mop-02/official/np-mop-02-01-rev1-en.pdf" TargetMode="External"/><Relationship Id="rId18" Type="http://schemas.openxmlformats.org/officeDocument/2006/relationships/hyperlink" Target="https://www.cbd.int/doc/decisions/np-mop-02/np-mop-02-dec-02-en.pdf" TargetMode="External"/><Relationship Id="rId26" Type="http://schemas.openxmlformats.org/officeDocument/2006/relationships/hyperlink" Target="https://www.cbd.int/doc/decisions/cop-13/cop-13-dec-19-en.pdf" TargetMode="External"/><Relationship Id="rId3" Type="http://schemas.openxmlformats.org/officeDocument/2006/relationships/numbering" Target="numbering.xml"/><Relationship Id="rId21" Type="http://schemas.openxmlformats.org/officeDocument/2006/relationships/hyperlink" Target="https://www.cbd.int/doc/decisions/cop-12/cop-12-dec-30-en.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bd.int/doc/meetings/abs/np-mop-02/official/np-mop-02-03-en.pdf" TargetMode="External"/><Relationship Id="rId25" Type="http://schemas.openxmlformats.org/officeDocument/2006/relationships/hyperlink" Target="https://www.cbd.int/doc/recommendations/wg8j-09/wg8j-09-rec-04-en.pdf"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bd.int/doc/decisions/np-mop-01/np-mop-01-dec-04-en.pdf" TargetMode="External"/><Relationship Id="rId20" Type="http://schemas.openxmlformats.org/officeDocument/2006/relationships/hyperlink" Target="https://www.cbd.int/doc/decisions/cop-13/cop-13-dec-21-en.pdf" TargetMode="External"/><Relationship Id="rId29" Type="http://schemas.openxmlformats.org/officeDocument/2006/relationships/hyperlink" Target="https://www.cbd.int/doc/decisions/np-mop-01/np-mop-01-dec-04-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bd.int/doc/decisions/cop-12/cop-12-dec-12-en.pdf" TargetMode="External"/><Relationship Id="rId32" Type="http://schemas.openxmlformats.org/officeDocument/2006/relationships/header" Target="header3.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cbd.int/doc/decisions/np-mop-02/np-mop-02-dec-07-en.pdf" TargetMode="External"/><Relationship Id="rId23" Type="http://schemas.openxmlformats.org/officeDocument/2006/relationships/hyperlink" Target="https://www.cbd.int/doc/decisions/np-mop-02/np-mop-02-dec-04-en.pdf" TargetMode="External"/><Relationship Id="rId28" Type="http://schemas.openxmlformats.org/officeDocument/2006/relationships/hyperlink" Target="https://www.cbd.int/doc/decisions/np-mop-02/np-mop-02-dec-03-en.pdf"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cbd.int/doc/decisions/np-mop-01/np-mop-01-dec-03-en.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np-mop-02/np-mop-02-dec-03-en.pdf" TargetMode="External"/><Relationship Id="rId22" Type="http://schemas.openxmlformats.org/officeDocument/2006/relationships/hyperlink" Target="https://www.cbd.int/doc/decisions/np-mop-01/np-mop-01-dec-03-en.pdf" TargetMode="External"/><Relationship Id="rId27" Type="http://schemas.openxmlformats.org/officeDocument/2006/relationships/hyperlink" Target="https://www.cbd.int/doc/decisions/np-mop-02/np-mop-02-dec-07-en.pdf"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abs/np-mop-02/official/np-mop-02-04-en.pdf" TargetMode="External"/><Relationship Id="rId2" Type="http://schemas.openxmlformats.org/officeDocument/2006/relationships/hyperlink" Target="https://www.cbd.int/doc/c/f855/789d/200667e78e1ed87395b2c896/np-mop-02-13-en.pdf" TargetMode="External"/><Relationship Id="rId1" Type="http://schemas.openxmlformats.org/officeDocument/2006/relationships/hyperlink" Target="https://www.cbd.int/doc/meetings/abs/np-mop-02/official/np-mop-02-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2563C"/>
    <w:rsid w:val="00204ED8"/>
    <w:rsid w:val="00500A2B"/>
    <w:rsid w:val="0058288D"/>
    <w:rsid w:val="005E1DAB"/>
    <w:rsid w:val="0061507A"/>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30880-4645-4516-8A6F-43C04DAE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Review of the outcomes of the second meeting of the Conference of the Parties serving as the meeting of the Parties to the Nagoya Protocol regarding items relevant to compliance</vt:lpstr>
    </vt:vector>
  </TitlesOfParts>
  <Company>SCBD</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outcomes of the second meeting of the Conference of the Parties serving as the meeting of the Parties to the Nagoya Protocol regarding items relevant to compliance</dc:title>
  <dc:subject>CBD/NP/CC/2/2</dc:subject>
  <dc:creator>SCBD</dc:creator>
  <cp:lastModifiedBy>Orestes Plasencia</cp:lastModifiedBy>
  <cp:revision>2</cp:revision>
  <cp:lastPrinted>2018-04-04T14:36:00Z</cp:lastPrinted>
  <dcterms:created xsi:type="dcterms:W3CDTF">2018-04-04T14:44:00Z</dcterms:created>
  <dcterms:modified xsi:type="dcterms:W3CDTF">2018-04-04T14:44:00Z</dcterms:modified>
  <cp:contentStatus>GENERAL</cp:contentStatus>
</cp:coreProperties>
</file>