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C4A6F" w:rsidRPr="00A508D7" w14:paraId="30A467D5" w14:textId="77777777" w:rsidTr="00030395">
        <w:trPr>
          <w:trHeight w:val="709"/>
        </w:trPr>
        <w:tc>
          <w:tcPr>
            <w:tcW w:w="976" w:type="dxa"/>
            <w:tcBorders>
              <w:bottom w:val="single" w:sz="12" w:space="0" w:color="auto"/>
            </w:tcBorders>
          </w:tcPr>
          <w:p w14:paraId="428C2BD2" w14:textId="77777777" w:rsidR="005C4A6F" w:rsidRPr="00A508D7" w:rsidRDefault="005C4A6F" w:rsidP="00030395">
            <w:pPr>
              <w:suppressLineNumbers/>
              <w:suppressAutoHyphens/>
              <w:kinsoku w:val="0"/>
              <w:overflowPunct w:val="0"/>
              <w:autoSpaceDE w:val="0"/>
              <w:autoSpaceDN w:val="0"/>
              <w:rPr>
                <w:snapToGrid w:val="0"/>
                <w:kern w:val="22"/>
              </w:rPr>
            </w:pPr>
            <w:bookmarkStart w:id="0" w:name="_Hlk527726492"/>
            <w:r w:rsidRPr="00A508D7">
              <w:rPr>
                <w:noProof/>
                <w:snapToGrid w:val="0"/>
                <w:kern w:val="22"/>
                <w:lang w:eastAsia="fr-FR"/>
              </w:rPr>
              <w:drawing>
                <wp:inline distT="0" distB="0" distL="0" distR="0" wp14:anchorId="72F320F6" wp14:editId="7444607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679F327" w14:textId="77777777" w:rsidR="005C4A6F" w:rsidRPr="00A508D7" w:rsidRDefault="005C4A6F" w:rsidP="00030395">
            <w:pPr>
              <w:suppressLineNumbers/>
              <w:suppressAutoHyphens/>
              <w:kinsoku w:val="0"/>
              <w:overflowPunct w:val="0"/>
              <w:autoSpaceDE w:val="0"/>
              <w:autoSpaceDN w:val="0"/>
              <w:rPr>
                <w:snapToGrid w:val="0"/>
                <w:kern w:val="22"/>
              </w:rPr>
            </w:pPr>
            <w:r w:rsidRPr="00A508D7">
              <w:rPr>
                <w:noProof/>
                <w:snapToGrid w:val="0"/>
                <w:kern w:val="22"/>
                <w:lang w:eastAsia="fr-FR"/>
              </w:rPr>
              <w:drawing>
                <wp:inline distT="0" distB="0" distL="0" distR="0" wp14:anchorId="7E36CDF6" wp14:editId="178850E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F71ED2B" w14:textId="77777777" w:rsidR="005C4A6F" w:rsidRPr="00A508D7" w:rsidRDefault="005C4A6F" w:rsidP="00030395">
            <w:pPr>
              <w:suppressLineNumbers/>
              <w:suppressAutoHyphens/>
              <w:kinsoku w:val="0"/>
              <w:overflowPunct w:val="0"/>
              <w:autoSpaceDE w:val="0"/>
              <w:autoSpaceDN w:val="0"/>
              <w:jc w:val="right"/>
              <w:rPr>
                <w:rFonts w:ascii="Arial" w:hAnsi="Arial" w:cs="Arial"/>
                <w:b/>
                <w:snapToGrid w:val="0"/>
                <w:kern w:val="22"/>
                <w:sz w:val="32"/>
                <w:szCs w:val="32"/>
              </w:rPr>
            </w:pPr>
            <w:r w:rsidRPr="00A508D7">
              <w:rPr>
                <w:rFonts w:ascii="Arial" w:eastAsia="Arial" w:hAnsi="Arial" w:cs="Arial"/>
                <w:b/>
                <w:snapToGrid w:val="0"/>
                <w:kern w:val="22"/>
                <w:sz w:val="32"/>
                <w:szCs w:val="32"/>
                <w:lang w:bidi="fr-FR"/>
              </w:rPr>
              <w:t>CBD</w:t>
            </w:r>
          </w:p>
        </w:tc>
      </w:tr>
      <w:bookmarkEnd w:id="0"/>
      <w:tr w:rsidR="005C4A6F" w:rsidRPr="00A508D7" w14:paraId="4A8AB3E4" w14:textId="77777777" w:rsidTr="00030395">
        <w:tc>
          <w:tcPr>
            <w:tcW w:w="6117" w:type="dxa"/>
            <w:gridSpan w:val="2"/>
            <w:tcBorders>
              <w:top w:val="single" w:sz="12" w:space="0" w:color="auto"/>
              <w:bottom w:val="single" w:sz="36" w:space="0" w:color="auto"/>
            </w:tcBorders>
            <w:vAlign w:val="center"/>
          </w:tcPr>
          <w:p w14:paraId="2E302EB9" w14:textId="5984761D" w:rsidR="005C4A6F" w:rsidRPr="00A508D7" w:rsidRDefault="00E10E7A" w:rsidP="00030395">
            <w:pPr>
              <w:suppressLineNumbers/>
              <w:suppressAutoHyphens/>
              <w:kinsoku w:val="0"/>
              <w:overflowPunct w:val="0"/>
              <w:autoSpaceDE w:val="0"/>
              <w:autoSpaceDN w:val="0"/>
              <w:rPr>
                <w:snapToGrid w:val="0"/>
                <w:kern w:val="22"/>
              </w:rPr>
            </w:pPr>
            <w:r w:rsidRPr="00BF7F7B">
              <w:rPr>
                <w:noProof/>
                <w:szCs w:val="22"/>
                <w:lang w:eastAsia="fr-FR"/>
              </w:rPr>
              <w:drawing>
                <wp:inline distT="0" distB="0" distL="0" distR="0" wp14:anchorId="49B41193" wp14:editId="1C13027B">
                  <wp:extent cx="2860675" cy="1068705"/>
                  <wp:effectExtent l="0" t="0" r="0" b="0"/>
                  <wp:docPr id="7" name="Image 2"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BD_logo_fr-CMYK-black [Conver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10687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97D289B" w14:textId="77777777" w:rsidR="005C4A6F" w:rsidRPr="009547AA" w:rsidRDefault="005C4A6F" w:rsidP="00030395">
            <w:pPr>
              <w:suppressLineNumbers/>
              <w:suppressAutoHyphens/>
              <w:kinsoku w:val="0"/>
              <w:overflowPunct w:val="0"/>
              <w:autoSpaceDE w:val="0"/>
              <w:autoSpaceDN w:val="0"/>
              <w:ind w:left="1215"/>
              <w:rPr>
                <w:rFonts w:ascii="Times New Roman" w:hAnsi="Times New Roman" w:cs="Times New Roman"/>
                <w:snapToGrid w:val="0"/>
                <w:kern w:val="22"/>
                <w:szCs w:val="22"/>
                <w:lang w:val="en-AU"/>
              </w:rPr>
            </w:pPr>
            <w:r w:rsidRPr="009547AA">
              <w:rPr>
                <w:rFonts w:ascii="Times New Roman" w:eastAsia="Times New Roman" w:hAnsi="Times New Roman" w:cs="Times New Roman"/>
                <w:snapToGrid w:val="0"/>
                <w:kern w:val="22"/>
                <w:szCs w:val="22"/>
                <w:lang w:val="en-AU" w:bidi="fr-FR"/>
              </w:rPr>
              <w:t>Distr.</w:t>
            </w:r>
          </w:p>
          <w:p w14:paraId="218B7B08" w14:textId="789F44F6" w:rsidR="005C4A6F" w:rsidRPr="009547AA" w:rsidRDefault="00FD5889" w:rsidP="00030395">
            <w:pPr>
              <w:suppressLineNumbers/>
              <w:suppressAutoHyphens/>
              <w:kinsoku w:val="0"/>
              <w:overflowPunct w:val="0"/>
              <w:autoSpaceDE w:val="0"/>
              <w:autoSpaceDN w:val="0"/>
              <w:ind w:left="1215"/>
              <w:rPr>
                <w:rFonts w:ascii="Times New Roman" w:hAnsi="Times New Roman" w:cs="Times New Roman"/>
                <w:snapToGrid w:val="0"/>
                <w:kern w:val="22"/>
                <w:szCs w:val="22"/>
                <w:lang w:val="en-AU"/>
              </w:rPr>
            </w:pPr>
            <w:sdt>
              <w:sdtPr>
                <w:rPr>
                  <w:rFonts w:cs="Times New Roman"/>
                  <w:snapToGrid w:val="0"/>
                  <w:kern w:val="22"/>
                  <w:lang w:val="en-AU" w:bidi="fr-FR"/>
                </w:rPr>
                <w:alias w:val="Status"/>
                <w:tag w:val=""/>
                <w:id w:val="307985777"/>
                <w:placeholder>
                  <w:docPart w:val="CB1E491EAE164F319D99980A0FAC6A3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A55D2" w:rsidRPr="009547AA">
                  <w:rPr>
                    <w:rFonts w:ascii="Times New Roman" w:hAnsi="Times New Roman" w:cs="Times New Roman"/>
                    <w:snapToGrid w:val="0"/>
                    <w:kern w:val="22"/>
                    <w:lang w:val="en-AU" w:bidi="fr-FR"/>
                  </w:rPr>
                  <w:t>GENERAL</w:t>
                </w:r>
                <w:r w:rsidR="002C7C66" w:rsidRPr="009547AA">
                  <w:rPr>
                    <w:rFonts w:ascii="Times New Roman" w:hAnsi="Times New Roman" w:cs="Times New Roman"/>
                    <w:snapToGrid w:val="0"/>
                    <w:kern w:val="22"/>
                    <w:lang w:val="en-AU" w:bidi="fr-FR"/>
                  </w:rPr>
                  <w:t>E</w:t>
                </w:r>
              </w:sdtContent>
            </w:sdt>
          </w:p>
          <w:p w14:paraId="7EFBA8A3" w14:textId="77777777" w:rsidR="005C4A6F" w:rsidRPr="009547AA" w:rsidRDefault="005C4A6F" w:rsidP="00030395">
            <w:pPr>
              <w:suppressLineNumbers/>
              <w:suppressAutoHyphens/>
              <w:kinsoku w:val="0"/>
              <w:overflowPunct w:val="0"/>
              <w:autoSpaceDE w:val="0"/>
              <w:autoSpaceDN w:val="0"/>
              <w:ind w:left="1215"/>
              <w:rPr>
                <w:rFonts w:ascii="Times New Roman" w:hAnsi="Times New Roman" w:cs="Times New Roman"/>
                <w:snapToGrid w:val="0"/>
                <w:kern w:val="22"/>
                <w:szCs w:val="22"/>
                <w:lang w:val="en-AU"/>
              </w:rPr>
            </w:pPr>
          </w:p>
          <w:p w14:paraId="1781610A" w14:textId="68DCF0BB" w:rsidR="005C4A6F" w:rsidRPr="009547AA" w:rsidRDefault="00FD5889" w:rsidP="00030395">
            <w:pPr>
              <w:suppressLineNumbers/>
              <w:suppressAutoHyphens/>
              <w:kinsoku w:val="0"/>
              <w:overflowPunct w:val="0"/>
              <w:autoSpaceDE w:val="0"/>
              <w:autoSpaceDN w:val="0"/>
              <w:ind w:left="1215"/>
              <w:rPr>
                <w:rFonts w:ascii="Times New Roman" w:hAnsi="Times New Roman" w:cs="Times New Roman"/>
                <w:snapToGrid w:val="0"/>
                <w:kern w:val="22"/>
                <w:szCs w:val="22"/>
                <w:lang w:val="en-AU"/>
              </w:rPr>
            </w:pPr>
            <w:sdt>
              <w:sdtPr>
                <w:rPr>
                  <w:rFonts w:cs="Times New Roman"/>
                  <w:snapToGrid w:val="0"/>
                  <w:kern w:val="22"/>
                  <w:szCs w:val="22"/>
                  <w:lang w:val="en-AU"/>
                </w:rPr>
                <w:alias w:val="Subject"/>
                <w:tag w:val=""/>
                <w:id w:val="2137136483"/>
                <w:placeholder>
                  <w:docPart w:val="BE8EBC3B429546578C0FF529C16641FD"/>
                </w:placeholder>
                <w:dataBinding w:prefixMappings="xmlns:ns0='http://purl.org/dc/elements/1.1/' xmlns:ns1='http://schemas.openxmlformats.org/package/2006/metadata/core-properties' " w:xpath="/ns1:coreProperties[1]/ns0:subject[1]" w:storeItemID="{6C3C8BC8-F283-45AE-878A-BAB7291924A1}"/>
                <w:text/>
              </w:sdtPr>
              <w:sdtEndPr/>
              <w:sdtContent>
                <w:r w:rsidR="009A55D2" w:rsidRPr="009547AA">
                  <w:rPr>
                    <w:rFonts w:ascii="Times New Roman" w:hAnsi="Times New Roman" w:cs="Times New Roman"/>
                    <w:snapToGrid w:val="0"/>
                    <w:kern w:val="22"/>
                    <w:szCs w:val="22"/>
                    <w:lang w:val="en-AU" w:bidi="fr-FR"/>
                  </w:rPr>
                  <w:t>CBD/CP/MOP/9/13</w:t>
                </w:r>
              </w:sdtContent>
            </w:sdt>
          </w:p>
          <w:p w14:paraId="59747ECB" w14:textId="77777777" w:rsidR="005C4A6F" w:rsidRPr="00A508D7" w:rsidRDefault="005C4A6F" w:rsidP="00030395">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A508D7">
              <w:rPr>
                <w:rFonts w:ascii="Times New Roman" w:eastAsia="Times New Roman" w:hAnsi="Times New Roman" w:cs="Times New Roman"/>
                <w:snapToGrid w:val="0"/>
                <w:kern w:val="22"/>
                <w:szCs w:val="22"/>
                <w:lang w:bidi="fr-FR"/>
              </w:rPr>
              <w:t>29 novembre 2018</w:t>
            </w:r>
          </w:p>
          <w:p w14:paraId="65311A7E" w14:textId="77777777" w:rsidR="005C4A6F" w:rsidRPr="00A508D7" w:rsidRDefault="005C4A6F" w:rsidP="00030395">
            <w:pPr>
              <w:suppressLineNumbers/>
              <w:suppressAutoHyphens/>
              <w:kinsoku w:val="0"/>
              <w:overflowPunct w:val="0"/>
              <w:autoSpaceDE w:val="0"/>
              <w:autoSpaceDN w:val="0"/>
              <w:ind w:left="1215"/>
              <w:rPr>
                <w:rFonts w:ascii="Times New Roman" w:hAnsi="Times New Roman" w:cs="Times New Roman"/>
                <w:snapToGrid w:val="0"/>
                <w:kern w:val="22"/>
                <w:szCs w:val="22"/>
              </w:rPr>
            </w:pPr>
          </w:p>
          <w:p w14:paraId="27D2516E" w14:textId="77777777" w:rsidR="005C4A6F" w:rsidRPr="00A508D7" w:rsidRDefault="005C4A6F" w:rsidP="00030395">
            <w:pPr>
              <w:suppressLineNumbers/>
              <w:suppressAutoHyphens/>
              <w:kinsoku w:val="0"/>
              <w:overflowPunct w:val="0"/>
              <w:autoSpaceDE w:val="0"/>
              <w:autoSpaceDN w:val="0"/>
              <w:ind w:left="1215"/>
              <w:rPr>
                <w:rFonts w:ascii="Times New Roman" w:hAnsi="Times New Roman" w:cs="Times New Roman"/>
                <w:snapToGrid w:val="0"/>
                <w:kern w:val="22"/>
                <w:szCs w:val="22"/>
              </w:rPr>
            </w:pPr>
            <w:r w:rsidRPr="00A508D7">
              <w:rPr>
                <w:rFonts w:ascii="Times New Roman" w:eastAsia="Times New Roman" w:hAnsi="Times New Roman" w:cs="Times New Roman"/>
                <w:snapToGrid w:val="0"/>
                <w:kern w:val="22"/>
                <w:szCs w:val="22"/>
                <w:lang w:bidi="fr-FR"/>
              </w:rPr>
              <w:t>FRANÇAIS</w:t>
            </w:r>
            <w:r w:rsidRPr="00A508D7">
              <w:rPr>
                <w:rFonts w:ascii="Times New Roman" w:eastAsia="Times New Roman" w:hAnsi="Times New Roman" w:cs="Times New Roman"/>
                <w:snapToGrid w:val="0"/>
                <w:kern w:val="22"/>
                <w:szCs w:val="22"/>
                <w:lang w:bidi="fr-FR"/>
              </w:rPr>
              <w:br/>
              <w:t>ORIGINAL : ANGLAIS</w:t>
            </w:r>
          </w:p>
        </w:tc>
      </w:tr>
    </w:tbl>
    <w:p w14:paraId="4623FDE1" w14:textId="77777777" w:rsidR="005C4A6F" w:rsidRPr="00A508D7" w:rsidRDefault="005C4A6F" w:rsidP="00C50461">
      <w:pPr>
        <w:pStyle w:val="Cornernotation"/>
        <w:suppressLineNumbers/>
        <w:suppressAutoHyphens/>
        <w:kinsoku w:val="0"/>
        <w:overflowPunct w:val="0"/>
        <w:autoSpaceDE w:val="0"/>
        <w:autoSpaceDN w:val="0"/>
        <w:spacing w:before="60"/>
        <w:ind w:left="142" w:right="3780" w:hanging="142"/>
        <w:rPr>
          <w:rFonts w:cs="Times New Roman"/>
          <w:snapToGrid w:val="0"/>
          <w:kern w:val="22"/>
        </w:rPr>
      </w:pPr>
      <w:r w:rsidRPr="00A508D7">
        <w:rPr>
          <w:rFonts w:cs="Times New Roman"/>
          <w:snapToGrid w:val="0"/>
          <w:kern w:val="22"/>
          <w:lang w:bidi="fr-FR"/>
        </w:rPr>
        <w:t>CONFÉRENCE DES PARTIES À LA CONVENTION SUR LA DIVERSITÉ BIOLOGIQUE SIÉGEANT EN TANT QUE RÉUNION DES PARTIES AU PROTOCOLE DE CARTAGENA SUR LA PRÉVENTION DES RISQUES BIOTECHNOLOGIQUES</w:t>
      </w:r>
    </w:p>
    <w:p w14:paraId="6DCF8896" w14:textId="1D96D28F" w:rsidR="005C4A6F" w:rsidRPr="00A508D7" w:rsidRDefault="002F0B9E" w:rsidP="005C4A6F">
      <w:pPr>
        <w:pStyle w:val="Cornernotation"/>
        <w:suppressLineNumbers/>
        <w:suppressAutoHyphens/>
        <w:kinsoku w:val="0"/>
        <w:overflowPunct w:val="0"/>
        <w:autoSpaceDE w:val="0"/>
        <w:autoSpaceDN w:val="0"/>
        <w:ind w:left="0" w:right="4512" w:firstLine="0"/>
        <w:rPr>
          <w:rFonts w:cs="Times New Roman"/>
          <w:snapToGrid w:val="0"/>
          <w:kern w:val="22"/>
        </w:rPr>
      </w:pPr>
      <w:r>
        <w:rPr>
          <w:rFonts w:cs="Times New Roman"/>
          <w:snapToGrid w:val="0"/>
          <w:kern w:val="22"/>
          <w:lang w:bidi="fr-FR"/>
        </w:rPr>
        <w:t xml:space="preserve">Neuvième </w:t>
      </w:r>
      <w:r w:rsidR="005C4A6F" w:rsidRPr="00A508D7">
        <w:rPr>
          <w:rFonts w:cs="Times New Roman"/>
          <w:snapToGrid w:val="0"/>
          <w:kern w:val="22"/>
          <w:lang w:bidi="fr-FR"/>
        </w:rPr>
        <w:t>réunion</w:t>
      </w:r>
    </w:p>
    <w:p w14:paraId="4DB7D941" w14:textId="505F4752" w:rsidR="005C4A6F" w:rsidRPr="00A508D7" w:rsidRDefault="00924637" w:rsidP="005C4A6F">
      <w:pPr>
        <w:suppressLineNumbers/>
        <w:suppressAutoHyphens/>
        <w:kinsoku w:val="0"/>
        <w:overflowPunct w:val="0"/>
        <w:autoSpaceDE w:val="0"/>
        <w:autoSpaceDN w:val="0"/>
        <w:rPr>
          <w:rFonts w:cs="Times New Roman"/>
          <w:snapToGrid w:val="0"/>
          <w:kern w:val="22"/>
          <w:szCs w:val="22"/>
          <w:lang w:eastAsia="nb-NO"/>
        </w:rPr>
      </w:pPr>
      <w:bookmarkStart w:id="1" w:name="_Hlk505863673"/>
      <w:proofErr w:type="spellStart"/>
      <w:r>
        <w:rPr>
          <w:rFonts w:cs="Times New Roman"/>
          <w:snapToGrid w:val="0"/>
          <w:kern w:val="22"/>
          <w:szCs w:val="22"/>
          <w:lang w:bidi="fr-FR"/>
        </w:rPr>
        <w:t>Charm</w:t>
      </w:r>
      <w:proofErr w:type="spellEnd"/>
      <w:r>
        <w:rPr>
          <w:rFonts w:cs="Times New Roman"/>
          <w:snapToGrid w:val="0"/>
          <w:kern w:val="22"/>
          <w:szCs w:val="22"/>
          <w:lang w:bidi="fr-FR"/>
        </w:rPr>
        <w:t xml:space="preserve"> El-C</w:t>
      </w:r>
      <w:r w:rsidR="005C4A6F" w:rsidRPr="00A508D7">
        <w:rPr>
          <w:rFonts w:cs="Times New Roman"/>
          <w:snapToGrid w:val="0"/>
          <w:kern w:val="22"/>
          <w:szCs w:val="22"/>
          <w:lang w:bidi="fr-FR"/>
        </w:rPr>
        <w:t>heikh</w:t>
      </w:r>
      <w:bookmarkEnd w:id="1"/>
      <w:r w:rsidR="002F0B9E">
        <w:rPr>
          <w:rFonts w:cs="Times New Roman"/>
          <w:snapToGrid w:val="0"/>
          <w:kern w:val="22"/>
          <w:szCs w:val="22"/>
          <w:lang w:bidi="fr-FR"/>
        </w:rPr>
        <w:t>, Égypte, 17-29 Nov</w:t>
      </w:r>
      <w:r w:rsidR="005C4A6F" w:rsidRPr="00A508D7">
        <w:rPr>
          <w:rFonts w:cs="Times New Roman"/>
          <w:snapToGrid w:val="0"/>
          <w:kern w:val="22"/>
          <w:szCs w:val="22"/>
          <w:lang w:bidi="fr-FR"/>
        </w:rPr>
        <w:t>embre 2018</w:t>
      </w:r>
    </w:p>
    <w:p w14:paraId="1A00F877" w14:textId="77777777" w:rsidR="00004A22" w:rsidRDefault="00004A22">
      <w:pPr>
        <w:jc w:val="left"/>
        <w:rPr>
          <w:snapToGrid w:val="0"/>
          <w:kern w:val="22"/>
          <w:szCs w:val="22"/>
        </w:rPr>
      </w:pPr>
    </w:p>
    <w:p w14:paraId="2716DA40" w14:textId="77777777" w:rsidR="00F910D6" w:rsidRDefault="00F910D6">
      <w:pPr>
        <w:jc w:val="left"/>
        <w:rPr>
          <w:snapToGrid w:val="0"/>
          <w:kern w:val="22"/>
          <w:szCs w:val="22"/>
        </w:rPr>
      </w:pPr>
    </w:p>
    <w:p w14:paraId="16132FC4" w14:textId="0B9AC15B" w:rsidR="00004A22" w:rsidRPr="00E10E7A" w:rsidRDefault="00E10E7A" w:rsidP="00F910D6">
      <w:pPr>
        <w:jc w:val="center"/>
        <w:rPr>
          <w:b/>
          <w:bCs/>
          <w:iCs/>
          <w:caps/>
          <w:snapToGrid w:val="0"/>
          <w:color w:val="000000"/>
          <w:kern w:val="22"/>
          <w:szCs w:val="22"/>
        </w:rPr>
      </w:pPr>
      <w:r>
        <w:rPr>
          <w:b/>
          <w:bCs/>
          <w:iCs/>
          <w:caps/>
          <w:snapToGrid w:val="0"/>
          <w:color w:val="000000"/>
          <w:kern w:val="22"/>
          <w:szCs w:val="22"/>
        </w:rPr>
        <w:t>RAPPORT DE LA CONF</w:t>
      </w:r>
      <w:r>
        <w:rPr>
          <w:rFonts w:cs="Times New Roman"/>
          <w:b/>
          <w:bCs/>
          <w:iCs/>
          <w:caps/>
          <w:snapToGrid w:val="0"/>
          <w:color w:val="000000"/>
          <w:kern w:val="22"/>
          <w:szCs w:val="22"/>
        </w:rPr>
        <w:t>É</w:t>
      </w:r>
      <w:r>
        <w:rPr>
          <w:b/>
          <w:bCs/>
          <w:iCs/>
          <w:caps/>
          <w:snapToGrid w:val="0"/>
          <w:color w:val="000000"/>
          <w:kern w:val="22"/>
          <w:szCs w:val="22"/>
        </w:rPr>
        <w:t>RENCE DES PARTIES SI</w:t>
      </w:r>
      <w:r>
        <w:rPr>
          <w:rFonts w:cs="Times New Roman"/>
          <w:b/>
          <w:bCs/>
          <w:iCs/>
          <w:caps/>
          <w:snapToGrid w:val="0"/>
          <w:color w:val="000000"/>
          <w:kern w:val="22"/>
          <w:szCs w:val="22"/>
        </w:rPr>
        <w:t>É</w:t>
      </w:r>
      <w:r>
        <w:rPr>
          <w:b/>
          <w:bCs/>
          <w:iCs/>
          <w:caps/>
          <w:snapToGrid w:val="0"/>
          <w:color w:val="000000"/>
          <w:kern w:val="22"/>
          <w:szCs w:val="22"/>
        </w:rPr>
        <w:t>GEANT EN TANT QUE R</w:t>
      </w:r>
      <w:r>
        <w:rPr>
          <w:rFonts w:cs="Times New Roman"/>
          <w:b/>
          <w:bCs/>
          <w:iCs/>
          <w:caps/>
          <w:snapToGrid w:val="0"/>
          <w:color w:val="000000"/>
          <w:kern w:val="22"/>
          <w:szCs w:val="22"/>
        </w:rPr>
        <w:t>É</w:t>
      </w:r>
      <w:r>
        <w:rPr>
          <w:b/>
          <w:bCs/>
          <w:iCs/>
          <w:caps/>
          <w:snapToGrid w:val="0"/>
          <w:color w:val="000000"/>
          <w:kern w:val="22"/>
          <w:szCs w:val="22"/>
        </w:rPr>
        <w:t>UNION DES PARTIES AU PROTOCOLE DE CARTAGENA SUR LA PR</w:t>
      </w:r>
      <w:r>
        <w:rPr>
          <w:rFonts w:cs="Times New Roman"/>
          <w:b/>
          <w:bCs/>
          <w:iCs/>
          <w:caps/>
          <w:snapToGrid w:val="0"/>
          <w:color w:val="000000"/>
          <w:kern w:val="22"/>
          <w:szCs w:val="22"/>
        </w:rPr>
        <w:t>É</w:t>
      </w:r>
      <w:r>
        <w:rPr>
          <w:b/>
          <w:bCs/>
          <w:iCs/>
          <w:caps/>
          <w:snapToGrid w:val="0"/>
          <w:color w:val="000000"/>
          <w:kern w:val="22"/>
          <w:szCs w:val="22"/>
        </w:rPr>
        <w:t>VENTION DES RISQUES BIOTECHNOLOGIQUES SUR SA NEUVI</w:t>
      </w:r>
      <w:r>
        <w:rPr>
          <w:rFonts w:cs="Times New Roman"/>
          <w:b/>
          <w:bCs/>
          <w:iCs/>
          <w:caps/>
          <w:snapToGrid w:val="0"/>
          <w:color w:val="000000"/>
          <w:kern w:val="22"/>
          <w:szCs w:val="22"/>
        </w:rPr>
        <w:t>È</w:t>
      </w:r>
      <w:r>
        <w:rPr>
          <w:b/>
          <w:bCs/>
          <w:iCs/>
          <w:caps/>
          <w:snapToGrid w:val="0"/>
          <w:color w:val="000000"/>
          <w:kern w:val="22"/>
          <w:szCs w:val="22"/>
        </w:rPr>
        <w:t>ME R</w:t>
      </w:r>
      <w:r>
        <w:rPr>
          <w:rFonts w:cs="Times New Roman"/>
          <w:b/>
          <w:bCs/>
          <w:iCs/>
          <w:caps/>
          <w:snapToGrid w:val="0"/>
          <w:color w:val="000000"/>
          <w:kern w:val="22"/>
          <w:szCs w:val="22"/>
        </w:rPr>
        <w:t>É</w:t>
      </w:r>
      <w:r>
        <w:rPr>
          <w:b/>
          <w:bCs/>
          <w:iCs/>
          <w:caps/>
          <w:snapToGrid w:val="0"/>
          <w:color w:val="000000"/>
          <w:kern w:val="22"/>
          <w:szCs w:val="22"/>
        </w:rPr>
        <w:t>UNION</w:t>
      </w:r>
    </w:p>
    <w:p w14:paraId="791C333D" w14:textId="77777777" w:rsidR="00004A22" w:rsidRPr="00E10E7A" w:rsidRDefault="00004A22" w:rsidP="00004A22">
      <w:pPr>
        <w:spacing w:before="120" w:after="120"/>
        <w:ind w:firstLine="567"/>
        <w:jc w:val="left"/>
        <w:rPr>
          <w:rFonts w:eastAsia="Malgun Gothic"/>
          <w:szCs w:val="22"/>
        </w:rPr>
      </w:pPr>
    </w:p>
    <w:p w14:paraId="15198F9A" w14:textId="70D79019" w:rsidR="00004A22" w:rsidRPr="00004A22" w:rsidRDefault="00004A22" w:rsidP="00004A22">
      <w:pPr>
        <w:pBdr>
          <w:top w:val="single" w:sz="4" w:space="1" w:color="auto"/>
          <w:left w:val="single" w:sz="4" w:space="4" w:color="auto"/>
          <w:bottom w:val="single" w:sz="4" w:space="1" w:color="auto"/>
          <w:right w:val="single" w:sz="4" w:space="4" w:color="auto"/>
        </w:pBdr>
        <w:spacing w:before="120" w:after="120"/>
        <w:ind w:firstLine="567"/>
        <w:jc w:val="left"/>
        <w:rPr>
          <w:rFonts w:eastAsia="Malgun Gothic"/>
          <w:szCs w:val="22"/>
        </w:rPr>
      </w:pPr>
      <w:r w:rsidRPr="00004A22">
        <w:rPr>
          <w:rFonts w:eastAsia="Malgun Gothic"/>
          <w:szCs w:val="22"/>
        </w:rPr>
        <w:t xml:space="preserve">La Conférence des Parties à la Convention sur la diversité biologique siégeant en tant que </w:t>
      </w:r>
      <w:r>
        <w:rPr>
          <w:rFonts w:eastAsia="Malgun Gothic"/>
          <w:szCs w:val="22"/>
        </w:rPr>
        <w:t>ré</w:t>
      </w:r>
      <w:r w:rsidRPr="00004A22">
        <w:rPr>
          <w:rFonts w:eastAsia="Malgun Gothic"/>
          <w:szCs w:val="22"/>
        </w:rPr>
        <w:t xml:space="preserve">union des Parties au Protocole de Cartagena </w:t>
      </w:r>
      <w:r>
        <w:rPr>
          <w:rFonts w:eastAsia="Malgun Gothic"/>
          <w:szCs w:val="22"/>
        </w:rPr>
        <w:t>sur la prévention des risques biotechnologiques a tenu sa neuvième réunion à</w:t>
      </w:r>
      <w:r w:rsidRPr="00004A22">
        <w:rPr>
          <w:rFonts w:eastAsia="Malgun Gothic"/>
          <w:szCs w:val="22"/>
        </w:rPr>
        <w:t xml:space="preserve"> </w:t>
      </w:r>
      <w:proofErr w:type="spellStart"/>
      <w:r w:rsidR="00924637">
        <w:rPr>
          <w:snapToGrid w:val="0"/>
          <w:kern w:val="22"/>
          <w:szCs w:val="22"/>
          <w:lang w:eastAsia="nb-NO"/>
        </w:rPr>
        <w:t>Charm</w:t>
      </w:r>
      <w:proofErr w:type="spellEnd"/>
      <w:r w:rsidR="00924637">
        <w:rPr>
          <w:snapToGrid w:val="0"/>
          <w:kern w:val="22"/>
          <w:szCs w:val="22"/>
          <w:lang w:eastAsia="nb-NO"/>
        </w:rPr>
        <w:t xml:space="preserve"> El-C</w:t>
      </w:r>
      <w:r w:rsidRPr="00004A22">
        <w:rPr>
          <w:snapToGrid w:val="0"/>
          <w:kern w:val="22"/>
          <w:szCs w:val="22"/>
          <w:lang w:eastAsia="nb-NO"/>
        </w:rPr>
        <w:t>heikh, Egypt</w:t>
      </w:r>
      <w:r>
        <w:rPr>
          <w:snapToGrid w:val="0"/>
          <w:kern w:val="22"/>
          <w:szCs w:val="22"/>
          <w:lang w:eastAsia="nb-NO"/>
        </w:rPr>
        <w:t>e, du 17 au 29 novembre</w:t>
      </w:r>
      <w:r w:rsidRPr="00004A22">
        <w:rPr>
          <w:snapToGrid w:val="0"/>
          <w:kern w:val="22"/>
          <w:szCs w:val="22"/>
          <w:lang w:eastAsia="nb-NO"/>
        </w:rPr>
        <w:t xml:space="preserve"> 2018</w:t>
      </w:r>
      <w:r w:rsidRPr="00004A22">
        <w:rPr>
          <w:rFonts w:eastAsia="Malgun Gothic"/>
          <w:szCs w:val="22"/>
        </w:rPr>
        <w:t xml:space="preserve">. Elle a adopté 16 décisions, </w:t>
      </w:r>
      <w:r>
        <w:rPr>
          <w:rFonts w:eastAsia="Malgun Gothic"/>
          <w:szCs w:val="22"/>
        </w:rPr>
        <w:t>contenues</w:t>
      </w:r>
      <w:r w:rsidRPr="00004A22">
        <w:rPr>
          <w:rFonts w:eastAsia="Malgun Gothic"/>
          <w:szCs w:val="22"/>
        </w:rPr>
        <w:t xml:space="preserve"> dans le </w:t>
      </w:r>
      <w:r>
        <w:rPr>
          <w:rFonts w:eastAsia="Malgun Gothic"/>
          <w:szCs w:val="22"/>
        </w:rPr>
        <w:t>chapitre I du présent rap</w:t>
      </w:r>
      <w:r w:rsidRPr="00004A22">
        <w:rPr>
          <w:rFonts w:eastAsia="Malgun Gothic"/>
          <w:szCs w:val="22"/>
        </w:rPr>
        <w:t>port.</w:t>
      </w:r>
    </w:p>
    <w:p w14:paraId="211668B5" w14:textId="3648CCBF" w:rsidR="00C50461" w:rsidRPr="00004A22" w:rsidRDefault="00004A22" w:rsidP="006B735C">
      <w:pPr>
        <w:pBdr>
          <w:top w:val="single" w:sz="4" w:space="1" w:color="auto"/>
          <w:left w:val="single" w:sz="4" w:space="4" w:color="auto"/>
          <w:bottom w:val="single" w:sz="4" w:space="1" w:color="auto"/>
          <w:right w:val="single" w:sz="4" w:space="4" w:color="auto"/>
        </w:pBdr>
        <w:ind w:firstLine="567"/>
        <w:jc w:val="left"/>
        <w:rPr>
          <w:snapToGrid w:val="0"/>
          <w:kern w:val="22"/>
          <w:szCs w:val="22"/>
        </w:rPr>
      </w:pPr>
      <w:r w:rsidRPr="00004A22">
        <w:rPr>
          <w:rFonts w:eastAsia="Malgun Gothic"/>
          <w:szCs w:val="22"/>
        </w:rPr>
        <w:t xml:space="preserve">Le compte rendu de la </w:t>
      </w:r>
      <w:r>
        <w:rPr>
          <w:rFonts w:eastAsia="Malgun Gothic"/>
          <w:szCs w:val="22"/>
        </w:rPr>
        <w:t>ré</w:t>
      </w:r>
      <w:r w:rsidRPr="00004A22">
        <w:rPr>
          <w:rFonts w:eastAsia="Malgun Gothic"/>
          <w:szCs w:val="22"/>
        </w:rPr>
        <w:t xml:space="preserve">union </w:t>
      </w:r>
      <w:r>
        <w:rPr>
          <w:rFonts w:eastAsia="Malgun Gothic"/>
          <w:szCs w:val="22"/>
        </w:rPr>
        <w:t>figure dans le chapitre II du rap</w:t>
      </w:r>
      <w:r w:rsidRPr="00004A22">
        <w:rPr>
          <w:rFonts w:eastAsia="Malgun Gothic"/>
          <w:szCs w:val="22"/>
        </w:rPr>
        <w:t>port.</w:t>
      </w:r>
      <w:r w:rsidRPr="00004A22">
        <w:rPr>
          <w:snapToGrid w:val="0"/>
          <w:kern w:val="22"/>
          <w:szCs w:val="22"/>
        </w:rPr>
        <w:t xml:space="preserve"> </w:t>
      </w:r>
      <w:r w:rsidR="00C50461" w:rsidRPr="00004A22">
        <w:rPr>
          <w:snapToGrid w:val="0"/>
          <w:kern w:val="22"/>
          <w:szCs w:val="22"/>
        </w:rPr>
        <w:br w:type="page"/>
      </w:r>
    </w:p>
    <w:p w14:paraId="721A88B6" w14:textId="77777777" w:rsidR="0088228E" w:rsidRDefault="0088228E">
      <w:pPr>
        <w:jc w:val="left"/>
        <w:rPr>
          <w:rFonts w:cs="Times New Roman"/>
          <w:i/>
          <w:snapToGrid w:val="0"/>
          <w:kern w:val="22"/>
          <w:szCs w:val="22"/>
        </w:rPr>
      </w:pPr>
    </w:p>
    <w:p w14:paraId="0FABAE04" w14:textId="77777777" w:rsidR="00004A22" w:rsidRPr="00E10E7A" w:rsidRDefault="00004A22">
      <w:pPr>
        <w:jc w:val="left"/>
        <w:rPr>
          <w:rFonts w:cs="Times New Roman"/>
          <w:i/>
          <w:snapToGrid w:val="0"/>
          <w:kern w:val="22"/>
          <w:szCs w:val="22"/>
        </w:rPr>
      </w:pPr>
      <w:r w:rsidRPr="00E10E7A">
        <w:rPr>
          <w:rFonts w:cs="Times New Roman"/>
          <w:i/>
          <w:snapToGrid w:val="0"/>
          <w:kern w:val="22"/>
          <w:szCs w:val="22"/>
        </w:rPr>
        <w:t>Table des matières</w:t>
      </w:r>
    </w:p>
    <w:p w14:paraId="45BFEAF4" w14:textId="77777777" w:rsidR="00004A22" w:rsidRDefault="00004A22">
      <w:pPr>
        <w:jc w:val="left"/>
        <w:rPr>
          <w:rFonts w:cs="Times New Roman"/>
          <w:snapToGrid w:val="0"/>
          <w:kern w:val="22"/>
          <w:szCs w:val="22"/>
        </w:rPr>
      </w:pPr>
    </w:p>
    <w:sdt>
      <w:sdtPr>
        <w:rPr>
          <w:rFonts w:ascii="Times New Roman" w:eastAsia="MS Mincho" w:hAnsi="Times New Roman" w:cs="Times New Roman"/>
          <w:color w:val="auto"/>
          <w:sz w:val="16"/>
          <w:szCs w:val="16"/>
          <w:lang w:val="fr-FR"/>
        </w:rPr>
        <w:id w:val="-1898271201"/>
        <w:docPartObj>
          <w:docPartGallery w:val="Table of Contents"/>
          <w:docPartUnique/>
        </w:docPartObj>
      </w:sdtPr>
      <w:sdtEndPr>
        <w:rPr>
          <w:rFonts w:cs="Angsana New"/>
          <w:b/>
          <w:bCs/>
          <w:noProof/>
          <w:sz w:val="22"/>
          <w:szCs w:val="24"/>
        </w:rPr>
      </w:sdtEndPr>
      <w:sdtContent>
        <w:p w14:paraId="1FB7955D" w14:textId="18E70794" w:rsidR="004E0AE0" w:rsidRPr="0088228E" w:rsidRDefault="004E0AE0">
          <w:pPr>
            <w:pStyle w:val="TOCHeading"/>
            <w:rPr>
              <w:rFonts w:ascii="Times New Roman" w:hAnsi="Times New Roman" w:cs="Times New Roman"/>
              <w:sz w:val="16"/>
              <w:szCs w:val="16"/>
            </w:rPr>
          </w:pPr>
        </w:p>
        <w:p w14:paraId="06BC9B8C" w14:textId="77777777" w:rsidR="0088228E" w:rsidRDefault="004E0AE0" w:rsidP="00895415">
          <w:pPr>
            <w:pStyle w:val="TOC1"/>
            <w:rPr>
              <w:rFonts w:asciiTheme="minorHAnsi" w:eastAsiaTheme="minorEastAsia" w:hAnsiTheme="minorHAnsi" w:cstheme="minorBidi"/>
              <w:lang w:eastAsia="fr-FR"/>
            </w:rPr>
          </w:pPr>
          <w:r>
            <w:rPr>
              <w:b/>
              <w:bCs/>
            </w:rPr>
            <w:fldChar w:fldCharType="begin"/>
          </w:r>
          <w:r>
            <w:rPr>
              <w:b/>
              <w:bCs/>
            </w:rPr>
            <w:instrText xml:space="preserve"> TOC \o "1-3" \h \z \u </w:instrText>
          </w:r>
          <w:r>
            <w:rPr>
              <w:b/>
              <w:bCs/>
            </w:rPr>
            <w:fldChar w:fldCharType="separate"/>
          </w:r>
          <w:hyperlink w:anchor="_Toc7428840" w:history="1">
            <w:r w:rsidR="0088228E" w:rsidRPr="000E42FA">
              <w:rPr>
                <w:rStyle w:val="Hyperlink"/>
                <w:rFonts w:cs="Times New Roman"/>
                <w:b/>
                <w:snapToGrid w:val="0"/>
                <w:kern w:val="22"/>
              </w:rPr>
              <w:t>I.</w:t>
            </w:r>
            <w:r w:rsidR="0088228E">
              <w:rPr>
                <w:rFonts w:asciiTheme="minorHAnsi" w:eastAsiaTheme="minorEastAsia" w:hAnsiTheme="minorHAnsi" w:cstheme="minorBidi"/>
                <w:lang w:eastAsia="fr-FR"/>
              </w:rPr>
              <w:tab/>
            </w:r>
            <w:r w:rsidR="0088228E" w:rsidRPr="000E42FA">
              <w:rPr>
                <w:rStyle w:val="Hyperlink"/>
                <w:rFonts w:cs="Times New Roman"/>
                <w:b/>
                <w:snapToGrid w:val="0"/>
                <w:kern w:val="22"/>
              </w:rPr>
              <w:t>DÉCISIONS</w:t>
            </w:r>
            <w:r w:rsidR="0088228E">
              <w:rPr>
                <w:webHidden/>
              </w:rPr>
              <w:tab/>
            </w:r>
            <w:r w:rsidR="0088228E">
              <w:rPr>
                <w:webHidden/>
              </w:rPr>
              <w:fldChar w:fldCharType="begin"/>
            </w:r>
            <w:r w:rsidR="0088228E">
              <w:rPr>
                <w:webHidden/>
              </w:rPr>
              <w:instrText xml:space="preserve"> PAGEREF _Toc7428840 \h </w:instrText>
            </w:r>
            <w:r w:rsidR="0088228E">
              <w:rPr>
                <w:webHidden/>
              </w:rPr>
            </w:r>
            <w:r w:rsidR="0088228E">
              <w:rPr>
                <w:webHidden/>
              </w:rPr>
              <w:fldChar w:fldCharType="separate"/>
            </w:r>
            <w:r w:rsidR="001E43F6">
              <w:rPr>
                <w:webHidden/>
              </w:rPr>
              <w:t>4</w:t>
            </w:r>
            <w:r w:rsidR="0088228E">
              <w:rPr>
                <w:webHidden/>
              </w:rPr>
              <w:fldChar w:fldCharType="end"/>
            </w:r>
          </w:hyperlink>
        </w:p>
        <w:p w14:paraId="0CA7FA91" w14:textId="77777777" w:rsidR="0088228E" w:rsidRDefault="00FD5889" w:rsidP="0088228E">
          <w:pPr>
            <w:pStyle w:val="TOC2"/>
            <w:rPr>
              <w:rFonts w:asciiTheme="minorHAnsi" w:eastAsiaTheme="minorEastAsia" w:hAnsiTheme="minorHAnsi" w:cstheme="minorBidi"/>
              <w:lang w:eastAsia="fr-FR"/>
            </w:rPr>
          </w:pPr>
          <w:hyperlink w:anchor="_Toc7428841" w:history="1">
            <w:r w:rsidR="0088228E" w:rsidRPr="000E42FA">
              <w:rPr>
                <w:rStyle w:val="Hyperlink"/>
                <w:kern w:val="22"/>
              </w:rPr>
              <w:t>9/1.</w:t>
            </w:r>
            <w:r w:rsidR="0088228E">
              <w:rPr>
                <w:rFonts w:asciiTheme="minorHAnsi" w:eastAsiaTheme="minorEastAsia" w:hAnsiTheme="minorHAnsi" w:cstheme="minorBidi"/>
                <w:lang w:eastAsia="fr-FR"/>
              </w:rPr>
              <w:tab/>
            </w:r>
            <w:r w:rsidR="0088228E" w:rsidRPr="000E42FA">
              <w:rPr>
                <w:rStyle w:val="Hyperlink"/>
                <w:kern w:val="22"/>
              </w:rPr>
              <w:t>Respect des obligations</w:t>
            </w:r>
            <w:r w:rsidR="0088228E">
              <w:rPr>
                <w:webHidden/>
              </w:rPr>
              <w:tab/>
            </w:r>
            <w:r w:rsidR="0088228E">
              <w:rPr>
                <w:webHidden/>
              </w:rPr>
              <w:fldChar w:fldCharType="begin"/>
            </w:r>
            <w:r w:rsidR="0088228E">
              <w:rPr>
                <w:webHidden/>
              </w:rPr>
              <w:instrText xml:space="preserve"> PAGEREF _Toc7428841 \h </w:instrText>
            </w:r>
            <w:r w:rsidR="0088228E">
              <w:rPr>
                <w:webHidden/>
              </w:rPr>
            </w:r>
            <w:r w:rsidR="0088228E">
              <w:rPr>
                <w:webHidden/>
              </w:rPr>
              <w:fldChar w:fldCharType="separate"/>
            </w:r>
            <w:r w:rsidR="001E43F6">
              <w:rPr>
                <w:webHidden/>
              </w:rPr>
              <w:t>4</w:t>
            </w:r>
            <w:r w:rsidR="0088228E">
              <w:rPr>
                <w:webHidden/>
              </w:rPr>
              <w:fldChar w:fldCharType="end"/>
            </w:r>
          </w:hyperlink>
        </w:p>
        <w:p w14:paraId="234442B3" w14:textId="77777777" w:rsidR="0088228E" w:rsidRDefault="00FD5889" w:rsidP="0088228E">
          <w:pPr>
            <w:pStyle w:val="TOC2"/>
            <w:rPr>
              <w:rFonts w:asciiTheme="minorHAnsi" w:eastAsiaTheme="minorEastAsia" w:hAnsiTheme="minorHAnsi" w:cstheme="minorBidi"/>
              <w:lang w:eastAsia="fr-FR"/>
            </w:rPr>
          </w:pPr>
          <w:hyperlink w:anchor="_Toc7428842" w:history="1">
            <w:r w:rsidR="0088228E" w:rsidRPr="000E42FA">
              <w:rPr>
                <w:rStyle w:val="Hyperlink"/>
              </w:rPr>
              <w:t xml:space="preserve">9/2.    </w:t>
            </w:r>
            <w:r w:rsidR="0088228E">
              <w:rPr>
                <w:rFonts w:asciiTheme="minorHAnsi" w:eastAsiaTheme="minorEastAsia" w:hAnsiTheme="minorHAnsi" w:cstheme="minorBidi"/>
                <w:lang w:eastAsia="fr-FR"/>
              </w:rPr>
              <w:tab/>
            </w:r>
            <w:r w:rsidR="0088228E" w:rsidRPr="000E42FA">
              <w:rPr>
                <w:rStyle w:val="Hyperlink"/>
              </w:rPr>
              <w:t>F</w:t>
            </w:r>
            <w:r w:rsidR="0088228E" w:rsidRPr="000E42FA">
              <w:rPr>
                <w:rStyle w:val="Hyperlink"/>
                <w:lang w:val="fr-CA"/>
              </w:rPr>
              <w:t>onctionnement et activités du Centre d’échange pour la prévention des risques biotechnologiques (article 20)</w:t>
            </w:r>
            <w:r w:rsidR="0088228E">
              <w:rPr>
                <w:webHidden/>
              </w:rPr>
              <w:tab/>
            </w:r>
            <w:r w:rsidR="0088228E">
              <w:rPr>
                <w:webHidden/>
              </w:rPr>
              <w:fldChar w:fldCharType="begin"/>
            </w:r>
            <w:r w:rsidR="0088228E">
              <w:rPr>
                <w:webHidden/>
              </w:rPr>
              <w:instrText xml:space="preserve"> PAGEREF _Toc7428842 \h </w:instrText>
            </w:r>
            <w:r w:rsidR="0088228E">
              <w:rPr>
                <w:webHidden/>
              </w:rPr>
            </w:r>
            <w:r w:rsidR="0088228E">
              <w:rPr>
                <w:webHidden/>
              </w:rPr>
              <w:fldChar w:fldCharType="separate"/>
            </w:r>
            <w:r w:rsidR="001E43F6">
              <w:rPr>
                <w:webHidden/>
              </w:rPr>
              <w:t>6</w:t>
            </w:r>
            <w:r w:rsidR="0088228E">
              <w:rPr>
                <w:webHidden/>
              </w:rPr>
              <w:fldChar w:fldCharType="end"/>
            </w:r>
          </w:hyperlink>
        </w:p>
        <w:p w14:paraId="0CBFA572" w14:textId="77777777" w:rsidR="0088228E" w:rsidRDefault="00FD5889" w:rsidP="0088228E">
          <w:pPr>
            <w:pStyle w:val="TOC2"/>
            <w:rPr>
              <w:rFonts w:asciiTheme="minorHAnsi" w:eastAsiaTheme="minorEastAsia" w:hAnsiTheme="minorHAnsi" w:cstheme="minorBidi"/>
              <w:lang w:eastAsia="fr-FR"/>
            </w:rPr>
          </w:pPr>
          <w:hyperlink w:anchor="_Toc7428843" w:history="1">
            <w:r w:rsidR="0088228E" w:rsidRPr="000E42FA">
              <w:rPr>
                <w:rStyle w:val="Hyperlink"/>
                <w:rFonts w:cs="Times New Roman"/>
                <w:kern w:val="22"/>
                <w:lang w:val="fr-CA"/>
              </w:rPr>
              <w:t xml:space="preserve">9/3. </w:t>
            </w:r>
            <w:r w:rsidR="0088228E">
              <w:rPr>
                <w:rFonts w:asciiTheme="minorHAnsi" w:eastAsiaTheme="minorEastAsia" w:hAnsiTheme="minorHAnsi" w:cstheme="minorBidi"/>
                <w:lang w:eastAsia="fr-FR"/>
              </w:rPr>
              <w:tab/>
            </w:r>
            <w:r w:rsidR="0088228E" w:rsidRPr="000E42FA">
              <w:rPr>
                <w:rStyle w:val="Hyperlink"/>
                <w:rFonts w:cs="Times New Roman"/>
                <w:kern w:val="22"/>
                <w:lang w:val="fr-CA"/>
              </w:rPr>
              <w:t>Renforcement des capacités (article 22)</w:t>
            </w:r>
            <w:r w:rsidR="0088228E">
              <w:rPr>
                <w:webHidden/>
              </w:rPr>
              <w:tab/>
            </w:r>
            <w:r w:rsidR="0088228E">
              <w:rPr>
                <w:webHidden/>
              </w:rPr>
              <w:fldChar w:fldCharType="begin"/>
            </w:r>
            <w:r w:rsidR="0088228E">
              <w:rPr>
                <w:webHidden/>
              </w:rPr>
              <w:instrText xml:space="preserve"> PAGEREF _Toc7428843 \h </w:instrText>
            </w:r>
            <w:r w:rsidR="0088228E">
              <w:rPr>
                <w:webHidden/>
              </w:rPr>
            </w:r>
            <w:r w:rsidR="0088228E">
              <w:rPr>
                <w:webHidden/>
              </w:rPr>
              <w:fldChar w:fldCharType="separate"/>
            </w:r>
            <w:r w:rsidR="001E43F6">
              <w:rPr>
                <w:webHidden/>
              </w:rPr>
              <w:t>8</w:t>
            </w:r>
            <w:r w:rsidR="0088228E">
              <w:rPr>
                <w:webHidden/>
              </w:rPr>
              <w:fldChar w:fldCharType="end"/>
            </w:r>
          </w:hyperlink>
        </w:p>
        <w:p w14:paraId="2F3AC6C7" w14:textId="748730B4" w:rsidR="0088228E" w:rsidRDefault="00FD5889" w:rsidP="0088228E">
          <w:pPr>
            <w:pStyle w:val="TOC2"/>
            <w:rPr>
              <w:rFonts w:asciiTheme="minorHAnsi" w:eastAsiaTheme="minorEastAsia" w:hAnsiTheme="minorHAnsi" w:cstheme="minorBidi"/>
              <w:lang w:eastAsia="fr-FR"/>
            </w:rPr>
          </w:pPr>
          <w:hyperlink w:anchor="_Toc7428844" w:history="1">
            <w:r w:rsidR="0088228E" w:rsidRPr="000E42FA">
              <w:rPr>
                <w:rStyle w:val="Hyperlink"/>
              </w:rPr>
              <w:t xml:space="preserve">9/4.   </w:t>
            </w:r>
            <w:r w:rsidR="0088228E">
              <w:rPr>
                <w:rStyle w:val="Hyperlink"/>
              </w:rPr>
              <w:tab/>
            </w:r>
            <w:r w:rsidR="0088228E" w:rsidRPr="000E42FA">
              <w:rPr>
                <w:rStyle w:val="Hyperlink"/>
              </w:rPr>
              <w:t>Questions relatives au mécanisme de financement et aux ressources financières (article 28)</w:t>
            </w:r>
            <w:r w:rsidR="0088228E">
              <w:rPr>
                <w:webHidden/>
              </w:rPr>
              <w:tab/>
            </w:r>
            <w:r w:rsidR="0088228E">
              <w:rPr>
                <w:webHidden/>
              </w:rPr>
              <w:tab/>
            </w:r>
            <w:r w:rsidR="0088228E">
              <w:rPr>
                <w:webHidden/>
              </w:rPr>
              <w:fldChar w:fldCharType="begin"/>
            </w:r>
            <w:r w:rsidR="0088228E">
              <w:rPr>
                <w:webHidden/>
              </w:rPr>
              <w:instrText xml:space="preserve"> PAGEREF _Toc7428844 \h </w:instrText>
            </w:r>
            <w:r w:rsidR="0088228E">
              <w:rPr>
                <w:webHidden/>
              </w:rPr>
            </w:r>
            <w:r w:rsidR="0088228E">
              <w:rPr>
                <w:webHidden/>
              </w:rPr>
              <w:fldChar w:fldCharType="separate"/>
            </w:r>
            <w:r w:rsidR="001E43F6">
              <w:rPr>
                <w:webHidden/>
              </w:rPr>
              <w:t>12</w:t>
            </w:r>
            <w:r w:rsidR="0088228E">
              <w:rPr>
                <w:webHidden/>
              </w:rPr>
              <w:fldChar w:fldCharType="end"/>
            </w:r>
          </w:hyperlink>
        </w:p>
        <w:p w14:paraId="7CE89B41" w14:textId="77777777" w:rsidR="0088228E" w:rsidRDefault="00FD5889" w:rsidP="0088228E">
          <w:pPr>
            <w:pStyle w:val="TOC2"/>
            <w:rPr>
              <w:rFonts w:asciiTheme="minorHAnsi" w:eastAsiaTheme="minorEastAsia" w:hAnsiTheme="minorHAnsi" w:cstheme="minorBidi"/>
              <w:lang w:eastAsia="fr-FR"/>
            </w:rPr>
          </w:pPr>
          <w:hyperlink w:anchor="_Toc7428845" w:history="1">
            <w:r w:rsidR="0088228E" w:rsidRPr="000E42FA">
              <w:rPr>
                <w:rStyle w:val="Hyperlink"/>
                <w:kern w:val="22"/>
              </w:rPr>
              <w:t>9/5.</w:t>
            </w:r>
            <w:r w:rsidR="0088228E">
              <w:rPr>
                <w:rFonts w:asciiTheme="minorHAnsi" w:eastAsiaTheme="minorEastAsia" w:hAnsiTheme="minorHAnsi" w:cstheme="minorBidi"/>
                <w:lang w:eastAsia="fr-FR"/>
              </w:rPr>
              <w:tab/>
            </w:r>
            <w:r w:rsidR="0088228E" w:rsidRPr="000E42FA">
              <w:rPr>
                <w:rStyle w:val="Hyperlink"/>
                <w:kern w:val="22"/>
              </w:rPr>
              <w:t>Suivi et établissement de rapports (article 33)</w:t>
            </w:r>
            <w:r w:rsidR="0088228E">
              <w:rPr>
                <w:webHidden/>
              </w:rPr>
              <w:tab/>
            </w:r>
            <w:r w:rsidR="0088228E">
              <w:rPr>
                <w:webHidden/>
              </w:rPr>
              <w:fldChar w:fldCharType="begin"/>
            </w:r>
            <w:r w:rsidR="0088228E">
              <w:rPr>
                <w:webHidden/>
              </w:rPr>
              <w:instrText xml:space="preserve"> PAGEREF _Toc7428845 \h </w:instrText>
            </w:r>
            <w:r w:rsidR="0088228E">
              <w:rPr>
                <w:webHidden/>
              </w:rPr>
            </w:r>
            <w:r w:rsidR="0088228E">
              <w:rPr>
                <w:webHidden/>
              </w:rPr>
              <w:fldChar w:fldCharType="separate"/>
            </w:r>
            <w:r w:rsidR="001E43F6">
              <w:rPr>
                <w:webHidden/>
              </w:rPr>
              <w:t>13</w:t>
            </w:r>
            <w:r w:rsidR="0088228E">
              <w:rPr>
                <w:webHidden/>
              </w:rPr>
              <w:fldChar w:fldCharType="end"/>
            </w:r>
          </w:hyperlink>
        </w:p>
        <w:p w14:paraId="0298FA16" w14:textId="77777777" w:rsidR="0088228E" w:rsidRDefault="00FD5889" w:rsidP="0088228E">
          <w:pPr>
            <w:pStyle w:val="TOC2"/>
            <w:rPr>
              <w:rFonts w:asciiTheme="minorHAnsi" w:eastAsiaTheme="minorEastAsia" w:hAnsiTheme="minorHAnsi" w:cstheme="minorBidi"/>
              <w:lang w:eastAsia="fr-FR"/>
            </w:rPr>
          </w:pPr>
          <w:hyperlink w:anchor="_Toc7428846" w:history="1">
            <w:r w:rsidR="0088228E" w:rsidRPr="000E42FA">
              <w:rPr>
                <w:rStyle w:val="Hyperlink"/>
                <w:lang w:val="fr-CA"/>
              </w:rPr>
              <w:t xml:space="preserve">9/6. </w:t>
            </w:r>
            <w:r w:rsidR="0088228E">
              <w:rPr>
                <w:rFonts w:asciiTheme="minorHAnsi" w:eastAsiaTheme="minorEastAsia" w:hAnsiTheme="minorHAnsi" w:cstheme="minorBidi"/>
                <w:lang w:eastAsia="fr-FR"/>
              </w:rPr>
              <w:tab/>
            </w:r>
            <w:r w:rsidR="0088228E" w:rsidRPr="000E42FA">
              <w:rPr>
                <w:rStyle w:val="Hyperlink"/>
                <w:lang w:val="fr-CA"/>
              </w:rPr>
              <w:t>Évaluation et examen de l’efficacité du Protocole de Cartagena (article 35)</w:t>
            </w:r>
            <w:r w:rsidR="0088228E">
              <w:rPr>
                <w:webHidden/>
              </w:rPr>
              <w:tab/>
            </w:r>
            <w:r w:rsidR="0088228E">
              <w:rPr>
                <w:webHidden/>
              </w:rPr>
              <w:fldChar w:fldCharType="begin"/>
            </w:r>
            <w:r w:rsidR="0088228E">
              <w:rPr>
                <w:webHidden/>
              </w:rPr>
              <w:instrText xml:space="preserve"> PAGEREF _Toc7428846 \h </w:instrText>
            </w:r>
            <w:r w:rsidR="0088228E">
              <w:rPr>
                <w:webHidden/>
              </w:rPr>
            </w:r>
            <w:r w:rsidR="0088228E">
              <w:rPr>
                <w:webHidden/>
              </w:rPr>
              <w:fldChar w:fldCharType="separate"/>
            </w:r>
            <w:r w:rsidR="001E43F6">
              <w:rPr>
                <w:webHidden/>
              </w:rPr>
              <w:t>48</w:t>
            </w:r>
            <w:r w:rsidR="0088228E">
              <w:rPr>
                <w:webHidden/>
              </w:rPr>
              <w:fldChar w:fldCharType="end"/>
            </w:r>
          </w:hyperlink>
        </w:p>
        <w:p w14:paraId="41BEE001" w14:textId="77777777" w:rsidR="0088228E" w:rsidRDefault="00FD5889" w:rsidP="0088228E">
          <w:pPr>
            <w:pStyle w:val="TOC2"/>
            <w:rPr>
              <w:rFonts w:asciiTheme="minorHAnsi" w:eastAsiaTheme="minorEastAsia" w:hAnsiTheme="minorHAnsi" w:cstheme="minorBidi"/>
              <w:lang w:eastAsia="fr-FR"/>
            </w:rPr>
          </w:pPr>
          <w:hyperlink w:anchor="_Toc7428847" w:history="1">
            <w:r w:rsidR="0088228E" w:rsidRPr="000E42FA">
              <w:rPr>
                <w:rStyle w:val="Hyperlink"/>
                <w:rFonts w:eastAsia="Malgun Gothic"/>
                <w:lang w:eastAsia="x-none"/>
              </w:rPr>
              <w:t>9/7.</w:t>
            </w:r>
            <w:r w:rsidR="0088228E">
              <w:rPr>
                <w:rFonts w:asciiTheme="minorHAnsi" w:eastAsiaTheme="minorEastAsia" w:hAnsiTheme="minorHAnsi" w:cstheme="minorBidi"/>
                <w:lang w:eastAsia="fr-FR"/>
              </w:rPr>
              <w:tab/>
            </w:r>
            <w:r w:rsidR="0088228E" w:rsidRPr="000E42FA">
              <w:rPr>
                <w:rStyle w:val="Hyperlink"/>
                <w:rFonts w:eastAsia="Malgun Gothic"/>
                <w:lang w:eastAsia="x-none"/>
              </w:rPr>
              <w:t>Préparation du texte donnant suite au Plan stratégique pour la diversité biologique 2011-2020 et au Plan stratégique du Protocole de Cartagena sur la prévention des risques biotechnologiques 2011-2020</w:t>
            </w:r>
            <w:r w:rsidR="0088228E">
              <w:rPr>
                <w:webHidden/>
              </w:rPr>
              <w:tab/>
            </w:r>
            <w:r w:rsidR="0088228E">
              <w:rPr>
                <w:webHidden/>
              </w:rPr>
              <w:fldChar w:fldCharType="begin"/>
            </w:r>
            <w:r w:rsidR="0088228E">
              <w:rPr>
                <w:webHidden/>
              </w:rPr>
              <w:instrText xml:space="preserve"> PAGEREF _Toc7428847 \h </w:instrText>
            </w:r>
            <w:r w:rsidR="0088228E">
              <w:rPr>
                <w:webHidden/>
              </w:rPr>
            </w:r>
            <w:r w:rsidR="0088228E">
              <w:rPr>
                <w:webHidden/>
              </w:rPr>
              <w:fldChar w:fldCharType="separate"/>
            </w:r>
            <w:r w:rsidR="001E43F6">
              <w:rPr>
                <w:webHidden/>
              </w:rPr>
              <w:t>49</w:t>
            </w:r>
            <w:r w:rsidR="0088228E">
              <w:rPr>
                <w:webHidden/>
              </w:rPr>
              <w:fldChar w:fldCharType="end"/>
            </w:r>
          </w:hyperlink>
        </w:p>
        <w:p w14:paraId="52A4612E" w14:textId="77777777" w:rsidR="0088228E" w:rsidRDefault="00FD5889" w:rsidP="0088228E">
          <w:pPr>
            <w:pStyle w:val="TOC2"/>
            <w:rPr>
              <w:rFonts w:asciiTheme="minorHAnsi" w:eastAsiaTheme="minorEastAsia" w:hAnsiTheme="minorHAnsi" w:cstheme="minorBidi"/>
              <w:lang w:eastAsia="fr-FR"/>
            </w:rPr>
          </w:pPr>
          <w:hyperlink w:anchor="_Toc7428848" w:history="1">
            <w:r w:rsidR="0088228E" w:rsidRPr="000E42FA">
              <w:rPr>
                <w:rStyle w:val="Hyperlink"/>
                <w:caps/>
                <w:kern w:val="22"/>
              </w:rPr>
              <w:t>9/8.</w:t>
            </w:r>
            <w:r w:rsidR="0088228E">
              <w:rPr>
                <w:rFonts w:asciiTheme="minorHAnsi" w:eastAsiaTheme="minorEastAsia" w:hAnsiTheme="minorHAnsi" w:cstheme="minorBidi"/>
                <w:lang w:eastAsia="fr-FR"/>
              </w:rPr>
              <w:tab/>
            </w:r>
            <w:r w:rsidR="0088228E" w:rsidRPr="000E42FA">
              <w:rPr>
                <w:rStyle w:val="Hyperlink"/>
                <w:kern w:val="22"/>
              </w:rPr>
              <w:t>Examen de l’expérience de tenue de réunions concomitantes de la Conférence des Parties à la Convention, de la Conférence des Parties siégeant en tant que réunion des Parties au Protocole de Cartagena et de la Conférence des Parties siégeant en tant que réunion des Parties au Protocole de Nagoya</w:t>
            </w:r>
            <w:r w:rsidR="0088228E">
              <w:rPr>
                <w:webHidden/>
              </w:rPr>
              <w:tab/>
            </w:r>
            <w:r w:rsidR="0088228E">
              <w:rPr>
                <w:webHidden/>
              </w:rPr>
              <w:fldChar w:fldCharType="begin"/>
            </w:r>
            <w:r w:rsidR="0088228E">
              <w:rPr>
                <w:webHidden/>
              </w:rPr>
              <w:instrText xml:space="preserve"> PAGEREF _Toc7428848 \h </w:instrText>
            </w:r>
            <w:r w:rsidR="0088228E">
              <w:rPr>
                <w:webHidden/>
              </w:rPr>
            </w:r>
            <w:r w:rsidR="0088228E">
              <w:rPr>
                <w:webHidden/>
              </w:rPr>
              <w:fldChar w:fldCharType="separate"/>
            </w:r>
            <w:r w:rsidR="001E43F6">
              <w:rPr>
                <w:webHidden/>
              </w:rPr>
              <w:t>52</w:t>
            </w:r>
            <w:r w:rsidR="0088228E">
              <w:rPr>
                <w:webHidden/>
              </w:rPr>
              <w:fldChar w:fldCharType="end"/>
            </w:r>
          </w:hyperlink>
        </w:p>
        <w:p w14:paraId="0730F1E3" w14:textId="77777777" w:rsidR="0088228E" w:rsidRDefault="00FD5889" w:rsidP="0088228E">
          <w:pPr>
            <w:pStyle w:val="TOC2"/>
            <w:rPr>
              <w:rFonts w:asciiTheme="minorHAnsi" w:eastAsiaTheme="minorEastAsia" w:hAnsiTheme="minorHAnsi" w:cstheme="minorBidi"/>
              <w:lang w:eastAsia="fr-FR"/>
            </w:rPr>
          </w:pPr>
          <w:hyperlink w:anchor="_Toc7428849" w:history="1">
            <w:r w:rsidR="0088228E" w:rsidRPr="000E42FA">
              <w:rPr>
                <w:rStyle w:val="Hyperlink"/>
                <w:caps/>
                <w:lang w:val="fr-CA"/>
              </w:rPr>
              <w:t>9/9.</w:t>
            </w:r>
            <w:r w:rsidR="0088228E">
              <w:rPr>
                <w:rFonts w:asciiTheme="minorHAnsi" w:eastAsiaTheme="minorEastAsia" w:hAnsiTheme="minorHAnsi" w:cstheme="minorBidi"/>
                <w:lang w:eastAsia="fr-FR"/>
              </w:rPr>
              <w:tab/>
            </w:r>
            <w:r w:rsidR="0088228E" w:rsidRPr="000E42FA">
              <w:rPr>
                <w:rStyle w:val="Hyperlink"/>
                <w:lang w:val="fr-CA"/>
              </w:rPr>
              <w:t>Renforcement de l’intégration au titre de la Convention et de ses Protocoles concernant les dispositions relatives à la prévention des risques biotechnologiques</w:t>
            </w:r>
            <w:r w:rsidR="0088228E">
              <w:rPr>
                <w:webHidden/>
              </w:rPr>
              <w:tab/>
            </w:r>
            <w:r w:rsidR="0088228E">
              <w:rPr>
                <w:webHidden/>
              </w:rPr>
              <w:fldChar w:fldCharType="begin"/>
            </w:r>
            <w:r w:rsidR="0088228E">
              <w:rPr>
                <w:webHidden/>
              </w:rPr>
              <w:instrText xml:space="preserve"> PAGEREF _Toc7428849 \h </w:instrText>
            </w:r>
            <w:r w:rsidR="0088228E">
              <w:rPr>
                <w:webHidden/>
              </w:rPr>
            </w:r>
            <w:r w:rsidR="0088228E">
              <w:rPr>
                <w:webHidden/>
              </w:rPr>
              <w:fldChar w:fldCharType="separate"/>
            </w:r>
            <w:r w:rsidR="001E43F6">
              <w:rPr>
                <w:webHidden/>
              </w:rPr>
              <w:t>54</w:t>
            </w:r>
            <w:r w:rsidR="0088228E">
              <w:rPr>
                <w:webHidden/>
              </w:rPr>
              <w:fldChar w:fldCharType="end"/>
            </w:r>
          </w:hyperlink>
        </w:p>
        <w:p w14:paraId="7BBC5293" w14:textId="77777777" w:rsidR="0088228E" w:rsidRDefault="00FD5889" w:rsidP="0088228E">
          <w:pPr>
            <w:pStyle w:val="TOC2"/>
            <w:rPr>
              <w:rFonts w:asciiTheme="minorHAnsi" w:eastAsiaTheme="minorEastAsia" w:hAnsiTheme="minorHAnsi" w:cstheme="minorBidi"/>
              <w:lang w:eastAsia="fr-FR"/>
            </w:rPr>
          </w:pPr>
          <w:hyperlink w:anchor="_Toc7428850" w:history="1">
            <w:r w:rsidR="0088228E" w:rsidRPr="000E42FA">
              <w:rPr>
                <w:rStyle w:val="Hyperlink"/>
                <w:caps/>
                <w:kern w:val="22"/>
              </w:rPr>
              <w:t>9/10.</w:t>
            </w:r>
            <w:r w:rsidR="0088228E">
              <w:rPr>
                <w:rFonts w:asciiTheme="minorHAnsi" w:eastAsiaTheme="minorEastAsia" w:hAnsiTheme="minorHAnsi" w:cstheme="minorBidi"/>
                <w:lang w:eastAsia="fr-FR"/>
              </w:rPr>
              <w:tab/>
            </w:r>
            <w:r w:rsidR="0088228E" w:rsidRPr="000E42FA">
              <w:rPr>
                <w:rStyle w:val="Hyperlink"/>
                <w:kern w:val="22"/>
              </w:rPr>
              <w:t>Procédure pour éviter ou gérer les conflits d’intérêts au sein des groupes d’experts</w:t>
            </w:r>
            <w:r w:rsidR="0088228E">
              <w:rPr>
                <w:webHidden/>
              </w:rPr>
              <w:tab/>
            </w:r>
            <w:r w:rsidR="0088228E">
              <w:rPr>
                <w:webHidden/>
              </w:rPr>
              <w:fldChar w:fldCharType="begin"/>
            </w:r>
            <w:r w:rsidR="0088228E">
              <w:rPr>
                <w:webHidden/>
              </w:rPr>
              <w:instrText xml:space="preserve"> PAGEREF _Toc7428850 \h </w:instrText>
            </w:r>
            <w:r w:rsidR="0088228E">
              <w:rPr>
                <w:webHidden/>
              </w:rPr>
            </w:r>
            <w:r w:rsidR="0088228E">
              <w:rPr>
                <w:webHidden/>
              </w:rPr>
              <w:fldChar w:fldCharType="separate"/>
            </w:r>
            <w:r w:rsidR="001E43F6">
              <w:rPr>
                <w:webHidden/>
              </w:rPr>
              <w:t>55</w:t>
            </w:r>
            <w:r w:rsidR="0088228E">
              <w:rPr>
                <w:webHidden/>
              </w:rPr>
              <w:fldChar w:fldCharType="end"/>
            </w:r>
          </w:hyperlink>
        </w:p>
        <w:p w14:paraId="02B8CBB0" w14:textId="77777777" w:rsidR="0088228E" w:rsidRDefault="00FD5889" w:rsidP="0088228E">
          <w:pPr>
            <w:pStyle w:val="TOC2"/>
            <w:rPr>
              <w:rFonts w:asciiTheme="minorHAnsi" w:eastAsiaTheme="minorEastAsia" w:hAnsiTheme="minorHAnsi" w:cstheme="minorBidi"/>
              <w:lang w:eastAsia="fr-FR"/>
            </w:rPr>
          </w:pPr>
          <w:hyperlink w:anchor="_Toc7428851" w:history="1">
            <w:r w:rsidR="0088228E" w:rsidRPr="000E42FA">
              <w:rPr>
                <w:rStyle w:val="Hyperlink"/>
                <w:lang w:val="fr-CA"/>
              </w:rPr>
              <w:t>9/11.</w:t>
            </w:r>
            <w:r w:rsidR="0088228E">
              <w:rPr>
                <w:rFonts w:asciiTheme="minorHAnsi" w:eastAsiaTheme="minorEastAsia" w:hAnsiTheme="minorHAnsi" w:cstheme="minorBidi"/>
                <w:lang w:eastAsia="fr-FR"/>
              </w:rPr>
              <w:tab/>
            </w:r>
            <w:r w:rsidR="0088228E" w:rsidRPr="000E42FA">
              <w:rPr>
                <w:rStyle w:val="Hyperlink"/>
                <w:lang w:val="fr-CA"/>
              </w:rPr>
              <w:t>Mouvements transfrontières non intentionnels et mesures d’urgence (article 17)</w:t>
            </w:r>
            <w:r w:rsidR="0088228E">
              <w:rPr>
                <w:webHidden/>
              </w:rPr>
              <w:tab/>
            </w:r>
            <w:r w:rsidR="0088228E">
              <w:rPr>
                <w:webHidden/>
              </w:rPr>
              <w:fldChar w:fldCharType="begin"/>
            </w:r>
            <w:r w:rsidR="0088228E">
              <w:rPr>
                <w:webHidden/>
              </w:rPr>
              <w:instrText xml:space="preserve"> PAGEREF _Toc7428851 \h </w:instrText>
            </w:r>
            <w:r w:rsidR="0088228E">
              <w:rPr>
                <w:webHidden/>
              </w:rPr>
            </w:r>
            <w:r w:rsidR="0088228E">
              <w:rPr>
                <w:webHidden/>
              </w:rPr>
              <w:fldChar w:fldCharType="separate"/>
            </w:r>
            <w:r w:rsidR="001E43F6">
              <w:rPr>
                <w:webHidden/>
              </w:rPr>
              <w:t>56</w:t>
            </w:r>
            <w:r w:rsidR="0088228E">
              <w:rPr>
                <w:webHidden/>
              </w:rPr>
              <w:fldChar w:fldCharType="end"/>
            </w:r>
          </w:hyperlink>
        </w:p>
        <w:p w14:paraId="066AE333" w14:textId="77777777" w:rsidR="0088228E" w:rsidRDefault="00FD5889" w:rsidP="0088228E">
          <w:pPr>
            <w:pStyle w:val="TOC2"/>
            <w:rPr>
              <w:rFonts w:asciiTheme="minorHAnsi" w:eastAsiaTheme="minorEastAsia" w:hAnsiTheme="minorHAnsi" w:cstheme="minorBidi"/>
              <w:lang w:eastAsia="fr-FR"/>
            </w:rPr>
          </w:pPr>
          <w:hyperlink w:anchor="_Toc7428852" w:history="1">
            <w:r w:rsidR="0088228E" w:rsidRPr="000E42FA">
              <w:rPr>
                <w:rStyle w:val="Hyperlink"/>
                <w:caps/>
                <w:kern w:val="22"/>
              </w:rPr>
              <w:t>9/12.</w:t>
            </w:r>
            <w:r w:rsidR="0088228E">
              <w:rPr>
                <w:rFonts w:asciiTheme="minorHAnsi" w:eastAsiaTheme="minorEastAsia" w:hAnsiTheme="minorHAnsi" w:cstheme="minorBidi"/>
                <w:lang w:eastAsia="fr-FR"/>
              </w:rPr>
              <w:tab/>
            </w:r>
            <w:r w:rsidR="0088228E" w:rsidRPr="000E42FA">
              <w:rPr>
                <w:rStyle w:val="Hyperlink"/>
                <w:kern w:val="22"/>
              </w:rPr>
              <w:t>Transit et utilisations en milieu confiné d’organismes vivants modifiés (article 6)</w:t>
            </w:r>
            <w:r w:rsidR="0088228E">
              <w:rPr>
                <w:webHidden/>
              </w:rPr>
              <w:tab/>
            </w:r>
            <w:r w:rsidR="0088228E">
              <w:rPr>
                <w:webHidden/>
              </w:rPr>
              <w:fldChar w:fldCharType="begin"/>
            </w:r>
            <w:r w:rsidR="0088228E">
              <w:rPr>
                <w:webHidden/>
              </w:rPr>
              <w:instrText xml:space="preserve"> PAGEREF _Toc7428852 \h </w:instrText>
            </w:r>
            <w:r w:rsidR="0088228E">
              <w:rPr>
                <w:webHidden/>
              </w:rPr>
            </w:r>
            <w:r w:rsidR="0088228E">
              <w:rPr>
                <w:webHidden/>
              </w:rPr>
              <w:fldChar w:fldCharType="separate"/>
            </w:r>
            <w:r w:rsidR="001E43F6">
              <w:rPr>
                <w:webHidden/>
              </w:rPr>
              <w:t>58</w:t>
            </w:r>
            <w:r w:rsidR="0088228E">
              <w:rPr>
                <w:webHidden/>
              </w:rPr>
              <w:fldChar w:fldCharType="end"/>
            </w:r>
          </w:hyperlink>
        </w:p>
        <w:p w14:paraId="4D9AE136" w14:textId="77777777" w:rsidR="0088228E" w:rsidRDefault="00FD5889" w:rsidP="0088228E">
          <w:pPr>
            <w:pStyle w:val="TOC2"/>
            <w:rPr>
              <w:rFonts w:asciiTheme="minorHAnsi" w:eastAsiaTheme="minorEastAsia" w:hAnsiTheme="minorHAnsi" w:cstheme="minorBidi"/>
              <w:lang w:eastAsia="fr-FR"/>
            </w:rPr>
          </w:pPr>
          <w:hyperlink w:anchor="_Toc7428853" w:history="1">
            <w:r w:rsidR="0088228E" w:rsidRPr="000E42FA">
              <w:rPr>
                <w:rStyle w:val="Hyperlink"/>
                <w:rFonts w:eastAsia="Malgun Gothic"/>
                <w:lang w:eastAsia="x-none"/>
              </w:rPr>
              <w:t>9/13.</w:t>
            </w:r>
            <w:r w:rsidR="0088228E">
              <w:rPr>
                <w:rFonts w:asciiTheme="minorHAnsi" w:eastAsiaTheme="minorEastAsia" w:hAnsiTheme="minorHAnsi" w:cstheme="minorBidi"/>
                <w:lang w:eastAsia="fr-FR"/>
              </w:rPr>
              <w:tab/>
            </w:r>
            <w:r w:rsidR="0088228E" w:rsidRPr="000E42FA">
              <w:rPr>
                <w:rStyle w:val="Hyperlink"/>
                <w:rFonts w:eastAsia="Malgun Gothic"/>
                <w:lang w:eastAsia="x-none"/>
              </w:rPr>
              <w:t>Evaluation des risques et gestion des risques (articles 15 et 16)</w:t>
            </w:r>
            <w:r w:rsidR="0088228E">
              <w:rPr>
                <w:webHidden/>
              </w:rPr>
              <w:tab/>
            </w:r>
            <w:r w:rsidR="0088228E">
              <w:rPr>
                <w:webHidden/>
              </w:rPr>
              <w:fldChar w:fldCharType="begin"/>
            </w:r>
            <w:r w:rsidR="0088228E">
              <w:rPr>
                <w:webHidden/>
              </w:rPr>
              <w:instrText xml:space="preserve"> PAGEREF _Toc7428853 \h </w:instrText>
            </w:r>
            <w:r w:rsidR="0088228E">
              <w:rPr>
                <w:webHidden/>
              </w:rPr>
            </w:r>
            <w:r w:rsidR="0088228E">
              <w:rPr>
                <w:webHidden/>
              </w:rPr>
              <w:fldChar w:fldCharType="separate"/>
            </w:r>
            <w:r w:rsidR="001E43F6">
              <w:rPr>
                <w:webHidden/>
              </w:rPr>
              <w:t>59</w:t>
            </w:r>
            <w:r w:rsidR="0088228E">
              <w:rPr>
                <w:webHidden/>
              </w:rPr>
              <w:fldChar w:fldCharType="end"/>
            </w:r>
          </w:hyperlink>
        </w:p>
        <w:p w14:paraId="49BEC29A" w14:textId="77777777" w:rsidR="0088228E" w:rsidRDefault="00FD5889" w:rsidP="0088228E">
          <w:pPr>
            <w:pStyle w:val="TOC2"/>
            <w:rPr>
              <w:rFonts w:asciiTheme="minorHAnsi" w:eastAsiaTheme="minorEastAsia" w:hAnsiTheme="minorHAnsi" w:cstheme="minorBidi"/>
              <w:lang w:eastAsia="fr-FR"/>
            </w:rPr>
          </w:pPr>
          <w:hyperlink w:anchor="_Toc7428854" w:history="1">
            <w:r w:rsidR="0088228E" w:rsidRPr="000E42FA">
              <w:rPr>
                <w:rStyle w:val="Hyperlink"/>
                <w:caps/>
                <w:kern w:val="22"/>
              </w:rPr>
              <w:t>9/14.</w:t>
            </w:r>
            <w:r w:rsidR="0088228E">
              <w:rPr>
                <w:rFonts w:asciiTheme="minorHAnsi" w:eastAsiaTheme="minorEastAsia" w:hAnsiTheme="minorHAnsi" w:cstheme="minorBidi"/>
                <w:lang w:eastAsia="fr-FR"/>
              </w:rPr>
              <w:tab/>
            </w:r>
            <w:r w:rsidR="0088228E" w:rsidRPr="000E42FA">
              <w:rPr>
                <w:rStyle w:val="Hyperlink"/>
                <w:kern w:val="22"/>
              </w:rPr>
              <w:t>Considérations socioéconomiques (article 26)</w:t>
            </w:r>
            <w:r w:rsidR="0088228E">
              <w:rPr>
                <w:webHidden/>
              </w:rPr>
              <w:tab/>
            </w:r>
            <w:r w:rsidR="0088228E">
              <w:rPr>
                <w:webHidden/>
              </w:rPr>
              <w:fldChar w:fldCharType="begin"/>
            </w:r>
            <w:r w:rsidR="0088228E">
              <w:rPr>
                <w:webHidden/>
              </w:rPr>
              <w:instrText xml:space="preserve"> PAGEREF _Toc7428854 \h </w:instrText>
            </w:r>
            <w:r w:rsidR="0088228E">
              <w:rPr>
                <w:webHidden/>
              </w:rPr>
            </w:r>
            <w:r w:rsidR="0088228E">
              <w:rPr>
                <w:webHidden/>
              </w:rPr>
              <w:fldChar w:fldCharType="separate"/>
            </w:r>
            <w:r w:rsidR="001E43F6">
              <w:rPr>
                <w:webHidden/>
              </w:rPr>
              <w:t>62</w:t>
            </w:r>
            <w:r w:rsidR="0088228E">
              <w:rPr>
                <w:webHidden/>
              </w:rPr>
              <w:fldChar w:fldCharType="end"/>
            </w:r>
          </w:hyperlink>
        </w:p>
        <w:p w14:paraId="363C7160" w14:textId="77777777" w:rsidR="0088228E" w:rsidRDefault="00FD5889" w:rsidP="0088228E">
          <w:pPr>
            <w:pStyle w:val="TOC2"/>
            <w:rPr>
              <w:rFonts w:asciiTheme="minorHAnsi" w:eastAsiaTheme="minorEastAsia" w:hAnsiTheme="minorHAnsi" w:cstheme="minorBidi"/>
              <w:lang w:eastAsia="fr-FR"/>
            </w:rPr>
          </w:pPr>
          <w:hyperlink w:anchor="_Toc7428855" w:history="1">
            <w:r w:rsidR="0088228E" w:rsidRPr="000E42FA">
              <w:rPr>
                <w:rStyle w:val="Hyperlink"/>
              </w:rPr>
              <w:t>9/15.</w:t>
            </w:r>
            <w:r w:rsidR="0088228E">
              <w:rPr>
                <w:rFonts w:asciiTheme="minorHAnsi" w:eastAsiaTheme="minorEastAsia" w:hAnsiTheme="minorHAnsi" w:cstheme="minorBidi"/>
                <w:lang w:eastAsia="fr-FR"/>
              </w:rPr>
              <w:tab/>
            </w:r>
            <w:r w:rsidR="0088228E" w:rsidRPr="000E42FA">
              <w:rPr>
                <w:rStyle w:val="Hyperlink"/>
              </w:rPr>
              <w:t>Protocole additionnel de Nagoya – Kuala Lumpur sur la responsabilité et la réparation</w:t>
            </w:r>
            <w:r w:rsidR="0088228E">
              <w:rPr>
                <w:webHidden/>
              </w:rPr>
              <w:tab/>
            </w:r>
            <w:r w:rsidR="0088228E">
              <w:rPr>
                <w:webHidden/>
              </w:rPr>
              <w:fldChar w:fldCharType="begin"/>
            </w:r>
            <w:r w:rsidR="0088228E">
              <w:rPr>
                <w:webHidden/>
              </w:rPr>
              <w:instrText xml:space="preserve"> PAGEREF _Toc7428855 \h </w:instrText>
            </w:r>
            <w:r w:rsidR="0088228E">
              <w:rPr>
                <w:webHidden/>
              </w:rPr>
            </w:r>
            <w:r w:rsidR="0088228E">
              <w:rPr>
                <w:webHidden/>
              </w:rPr>
              <w:fldChar w:fldCharType="separate"/>
            </w:r>
            <w:r w:rsidR="001E43F6">
              <w:rPr>
                <w:webHidden/>
              </w:rPr>
              <w:t>64</w:t>
            </w:r>
            <w:r w:rsidR="0088228E">
              <w:rPr>
                <w:webHidden/>
              </w:rPr>
              <w:fldChar w:fldCharType="end"/>
            </w:r>
          </w:hyperlink>
        </w:p>
        <w:p w14:paraId="47D64B23" w14:textId="77777777" w:rsidR="0088228E" w:rsidRDefault="00FD5889" w:rsidP="00895415">
          <w:pPr>
            <w:pStyle w:val="TOC1"/>
            <w:rPr>
              <w:rFonts w:asciiTheme="minorHAnsi" w:eastAsiaTheme="minorEastAsia" w:hAnsiTheme="minorHAnsi" w:cstheme="minorBidi"/>
              <w:lang w:eastAsia="fr-FR"/>
            </w:rPr>
          </w:pPr>
          <w:hyperlink w:anchor="_Toc7428856" w:history="1">
            <w:r w:rsidR="0088228E" w:rsidRPr="000E42FA">
              <w:rPr>
                <w:rStyle w:val="Hyperlink"/>
                <w:snapToGrid w:val="0"/>
                <w:kern w:val="22"/>
              </w:rPr>
              <w:t>9/16.</w:t>
            </w:r>
            <w:r w:rsidR="0088228E">
              <w:rPr>
                <w:rFonts w:asciiTheme="minorHAnsi" w:eastAsiaTheme="minorEastAsia" w:hAnsiTheme="minorHAnsi" w:cstheme="minorBidi"/>
                <w:lang w:eastAsia="fr-FR"/>
              </w:rPr>
              <w:tab/>
            </w:r>
            <w:r w:rsidR="0088228E" w:rsidRPr="000E42FA">
              <w:rPr>
                <w:rStyle w:val="Hyperlink"/>
                <w:snapToGrid w:val="0"/>
                <w:kern w:val="22"/>
              </w:rPr>
              <w:t>Programme de travail et budget (Protocole de Cartagena)</w:t>
            </w:r>
            <w:r w:rsidR="0088228E">
              <w:rPr>
                <w:webHidden/>
              </w:rPr>
              <w:tab/>
            </w:r>
            <w:r w:rsidR="0088228E">
              <w:rPr>
                <w:webHidden/>
              </w:rPr>
              <w:fldChar w:fldCharType="begin"/>
            </w:r>
            <w:r w:rsidR="0088228E">
              <w:rPr>
                <w:webHidden/>
              </w:rPr>
              <w:instrText xml:space="preserve"> PAGEREF _Toc7428856 \h </w:instrText>
            </w:r>
            <w:r w:rsidR="0088228E">
              <w:rPr>
                <w:webHidden/>
              </w:rPr>
            </w:r>
            <w:r w:rsidR="0088228E">
              <w:rPr>
                <w:webHidden/>
              </w:rPr>
              <w:fldChar w:fldCharType="separate"/>
            </w:r>
            <w:r w:rsidR="001E43F6">
              <w:rPr>
                <w:webHidden/>
              </w:rPr>
              <w:t>65</w:t>
            </w:r>
            <w:r w:rsidR="0088228E">
              <w:rPr>
                <w:webHidden/>
              </w:rPr>
              <w:fldChar w:fldCharType="end"/>
            </w:r>
          </w:hyperlink>
        </w:p>
        <w:p w14:paraId="030D60B3" w14:textId="77777777" w:rsidR="0088228E" w:rsidRDefault="00FD5889" w:rsidP="00895415">
          <w:pPr>
            <w:pStyle w:val="TOC1"/>
            <w:rPr>
              <w:rFonts w:asciiTheme="minorHAnsi" w:eastAsiaTheme="minorEastAsia" w:hAnsiTheme="minorHAnsi" w:cstheme="minorBidi"/>
              <w:lang w:eastAsia="fr-FR"/>
            </w:rPr>
          </w:pPr>
          <w:hyperlink w:anchor="_Toc7428857" w:history="1">
            <w:r w:rsidR="0088228E" w:rsidRPr="00895415">
              <w:rPr>
                <w:rStyle w:val="Hyperlink"/>
                <w:rFonts w:cs="Times New Roman"/>
                <w:b/>
                <w:snapToGrid w:val="0"/>
                <w:kern w:val="22"/>
              </w:rPr>
              <w:t>II.</w:t>
            </w:r>
            <w:r w:rsidR="0088228E" w:rsidRPr="00895415">
              <w:rPr>
                <w:rFonts w:asciiTheme="minorHAnsi" w:eastAsiaTheme="minorEastAsia" w:hAnsiTheme="minorHAnsi" w:cstheme="minorBidi"/>
                <w:b/>
                <w:lang w:eastAsia="fr-FR"/>
              </w:rPr>
              <w:tab/>
            </w:r>
            <w:r w:rsidR="0088228E" w:rsidRPr="00895415">
              <w:rPr>
                <w:rStyle w:val="Hyperlink"/>
                <w:rFonts w:cs="Times New Roman"/>
                <w:b/>
                <w:snapToGrid w:val="0"/>
                <w:kern w:val="22"/>
                <w:lang w:bidi="fr-FR"/>
              </w:rPr>
              <w:t>COMPTE RENDU DE LA RÉUNION</w:t>
            </w:r>
            <w:r w:rsidR="0088228E">
              <w:rPr>
                <w:webHidden/>
              </w:rPr>
              <w:tab/>
            </w:r>
            <w:r w:rsidR="0088228E">
              <w:rPr>
                <w:webHidden/>
              </w:rPr>
              <w:fldChar w:fldCharType="begin"/>
            </w:r>
            <w:r w:rsidR="0088228E">
              <w:rPr>
                <w:webHidden/>
              </w:rPr>
              <w:instrText xml:space="preserve"> PAGEREF _Toc7428857 \h </w:instrText>
            </w:r>
            <w:r w:rsidR="0088228E">
              <w:rPr>
                <w:webHidden/>
              </w:rPr>
            </w:r>
            <w:r w:rsidR="0088228E">
              <w:rPr>
                <w:webHidden/>
              </w:rPr>
              <w:fldChar w:fldCharType="separate"/>
            </w:r>
            <w:r w:rsidR="001E43F6">
              <w:rPr>
                <w:webHidden/>
              </w:rPr>
              <w:t>74</w:t>
            </w:r>
            <w:r w:rsidR="0088228E">
              <w:rPr>
                <w:webHidden/>
              </w:rPr>
              <w:fldChar w:fldCharType="end"/>
            </w:r>
          </w:hyperlink>
        </w:p>
        <w:p w14:paraId="3343647B" w14:textId="435E0406" w:rsidR="0088228E" w:rsidRDefault="00FD5889" w:rsidP="00895415">
          <w:pPr>
            <w:pStyle w:val="TOC1"/>
            <w:rPr>
              <w:rFonts w:asciiTheme="minorHAnsi" w:eastAsiaTheme="minorEastAsia" w:hAnsiTheme="minorHAnsi" w:cstheme="minorBidi"/>
              <w:lang w:eastAsia="fr-FR"/>
            </w:rPr>
          </w:pPr>
          <w:hyperlink w:anchor="_Toc7428858" w:history="1">
            <w:r w:rsidR="0088228E" w:rsidRPr="000E42FA">
              <w:rPr>
                <w:rStyle w:val="Hyperlink"/>
                <w:snapToGrid w:val="0"/>
                <w:lang w:bidi="fr-FR"/>
              </w:rPr>
              <w:t>Point 1.</w:t>
            </w:r>
            <w:r w:rsidR="0088228E">
              <w:rPr>
                <w:rFonts w:asciiTheme="minorHAnsi" w:eastAsiaTheme="minorEastAsia" w:hAnsiTheme="minorHAnsi" w:cstheme="minorBidi"/>
                <w:lang w:eastAsia="fr-FR"/>
              </w:rPr>
              <w:tab/>
            </w:r>
            <w:r w:rsidR="0088228E" w:rsidRPr="000E42FA">
              <w:rPr>
                <w:rStyle w:val="Hyperlink"/>
                <w:snapToGrid w:val="0"/>
                <w:lang w:bidi="fr-FR"/>
              </w:rPr>
              <w:t>Ouverture de la r</w:t>
            </w:r>
            <w:r w:rsidR="00895415">
              <w:rPr>
                <w:rStyle w:val="Hyperlink"/>
                <w:rFonts w:cs="Times New Roman"/>
                <w:snapToGrid w:val="0"/>
                <w:kern w:val="22"/>
                <w:lang w:bidi="fr-FR"/>
              </w:rPr>
              <w:t>é</w:t>
            </w:r>
            <w:r w:rsidR="0088228E" w:rsidRPr="000E42FA">
              <w:rPr>
                <w:rStyle w:val="Hyperlink"/>
                <w:snapToGrid w:val="0"/>
                <w:lang w:bidi="fr-FR"/>
              </w:rPr>
              <w:t>union</w:t>
            </w:r>
            <w:r w:rsidR="0088228E">
              <w:rPr>
                <w:webHidden/>
              </w:rPr>
              <w:tab/>
            </w:r>
            <w:r w:rsidR="0088228E">
              <w:rPr>
                <w:webHidden/>
              </w:rPr>
              <w:fldChar w:fldCharType="begin"/>
            </w:r>
            <w:r w:rsidR="0088228E">
              <w:rPr>
                <w:webHidden/>
              </w:rPr>
              <w:instrText xml:space="preserve"> PAGEREF _Toc7428858 \h </w:instrText>
            </w:r>
            <w:r w:rsidR="0088228E">
              <w:rPr>
                <w:webHidden/>
              </w:rPr>
            </w:r>
            <w:r w:rsidR="0088228E">
              <w:rPr>
                <w:webHidden/>
              </w:rPr>
              <w:fldChar w:fldCharType="separate"/>
            </w:r>
            <w:r w:rsidR="001E43F6">
              <w:rPr>
                <w:webHidden/>
              </w:rPr>
              <w:t>75</w:t>
            </w:r>
            <w:r w:rsidR="0088228E">
              <w:rPr>
                <w:webHidden/>
              </w:rPr>
              <w:fldChar w:fldCharType="end"/>
            </w:r>
          </w:hyperlink>
        </w:p>
        <w:p w14:paraId="3B729808" w14:textId="77777777" w:rsidR="0088228E" w:rsidRDefault="00FD5889" w:rsidP="00895415">
          <w:pPr>
            <w:pStyle w:val="TOC1"/>
            <w:rPr>
              <w:rFonts w:asciiTheme="minorHAnsi" w:eastAsiaTheme="minorEastAsia" w:hAnsiTheme="minorHAnsi" w:cstheme="minorBidi"/>
              <w:lang w:eastAsia="fr-FR"/>
            </w:rPr>
          </w:pPr>
          <w:hyperlink w:anchor="_Toc7428859" w:history="1">
            <w:r w:rsidR="0088228E" w:rsidRPr="000E42FA">
              <w:rPr>
                <w:rStyle w:val="Hyperlink"/>
                <w:snapToGrid w:val="0"/>
                <w:lang w:bidi="fr-FR"/>
              </w:rPr>
              <w:t>Point 2.</w:t>
            </w:r>
            <w:r w:rsidR="0088228E">
              <w:rPr>
                <w:rFonts w:asciiTheme="minorHAnsi" w:eastAsiaTheme="minorEastAsia" w:hAnsiTheme="minorHAnsi" w:cstheme="minorBidi"/>
                <w:lang w:eastAsia="fr-FR"/>
              </w:rPr>
              <w:tab/>
            </w:r>
            <w:r w:rsidR="0088228E" w:rsidRPr="000E42FA">
              <w:rPr>
                <w:rStyle w:val="Hyperlink"/>
                <w:snapToGrid w:val="0"/>
                <w:lang w:bidi="fr-FR"/>
              </w:rPr>
              <w:t>Questions d'organisation</w:t>
            </w:r>
            <w:r w:rsidR="0088228E">
              <w:rPr>
                <w:webHidden/>
              </w:rPr>
              <w:tab/>
            </w:r>
            <w:r w:rsidR="0088228E">
              <w:rPr>
                <w:webHidden/>
              </w:rPr>
              <w:fldChar w:fldCharType="begin"/>
            </w:r>
            <w:r w:rsidR="0088228E">
              <w:rPr>
                <w:webHidden/>
              </w:rPr>
              <w:instrText xml:space="preserve"> PAGEREF _Toc7428859 \h </w:instrText>
            </w:r>
            <w:r w:rsidR="0088228E">
              <w:rPr>
                <w:webHidden/>
              </w:rPr>
            </w:r>
            <w:r w:rsidR="0088228E">
              <w:rPr>
                <w:webHidden/>
              </w:rPr>
              <w:fldChar w:fldCharType="separate"/>
            </w:r>
            <w:r w:rsidR="001E43F6">
              <w:rPr>
                <w:webHidden/>
              </w:rPr>
              <w:t>76</w:t>
            </w:r>
            <w:r w:rsidR="0088228E">
              <w:rPr>
                <w:webHidden/>
              </w:rPr>
              <w:fldChar w:fldCharType="end"/>
            </w:r>
          </w:hyperlink>
        </w:p>
        <w:p w14:paraId="363F311D" w14:textId="2298E830" w:rsidR="0088228E" w:rsidRDefault="00FD5889" w:rsidP="00895415">
          <w:pPr>
            <w:pStyle w:val="TOC1"/>
            <w:rPr>
              <w:rFonts w:asciiTheme="minorHAnsi" w:eastAsiaTheme="minorEastAsia" w:hAnsiTheme="minorHAnsi" w:cstheme="minorBidi"/>
              <w:lang w:eastAsia="fr-FR"/>
            </w:rPr>
          </w:pPr>
          <w:hyperlink w:anchor="_Toc7428860" w:history="1">
            <w:r w:rsidR="0088228E" w:rsidRPr="000E42FA">
              <w:rPr>
                <w:rStyle w:val="Hyperlink"/>
                <w:lang w:bidi="fr-FR"/>
              </w:rPr>
              <w:t>Point 3.</w:t>
            </w:r>
            <w:r w:rsidR="0088228E">
              <w:rPr>
                <w:rFonts w:asciiTheme="minorHAnsi" w:eastAsiaTheme="minorEastAsia" w:hAnsiTheme="minorHAnsi" w:cstheme="minorBidi"/>
                <w:lang w:eastAsia="fr-FR"/>
              </w:rPr>
              <w:tab/>
            </w:r>
            <w:r w:rsidR="0088228E" w:rsidRPr="000E42FA">
              <w:rPr>
                <w:rStyle w:val="Hyperlink"/>
                <w:lang w:bidi="fr-FR"/>
              </w:rPr>
              <w:t>Rapport sur les pouvoirs des repr</w:t>
            </w:r>
            <w:r w:rsidR="00895415">
              <w:rPr>
                <w:rStyle w:val="Hyperlink"/>
                <w:rFonts w:cs="Times New Roman"/>
                <w:kern w:val="22"/>
                <w:lang w:bidi="fr-FR"/>
              </w:rPr>
              <w:t>é</w:t>
            </w:r>
            <w:r w:rsidR="0088228E" w:rsidRPr="000E42FA">
              <w:rPr>
                <w:rStyle w:val="Hyperlink"/>
                <w:lang w:bidi="fr-FR"/>
              </w:rPr>
              <w:t xml:space="preserve">sentants </w:t>
            </w:r>
            <w:r w:rsidR="00895415">
              <w:rPr>
                <w:rStyle w:val="Hyperlink"/>
                <w:rFonts w:cs="Times New Roman"/>
                <w:kern w:val="22"/>
                <w:lang w:bidi="fr-FR"/>
              </w:rPr>
              <w:t>à</w:t>
            </w:r>
            <w:r w:rsidR="0088228E" w:rsidRPr="000E42FA">
              <w:rPr>
                <w:rStyle w:val="Hyperlink"/>
                <w:lang w:bidi="fr-FR"/>
              </w:rPr>
              <w:t xml:space="preserve"> la neuvi</w:t>
            </w:r>
            <w:r w:rsidR="00895415">
              <w:rPr>
                <w:rStyle w:val="Hyperlink"/>
                <w:rFonts w:cs="Times New Roman"/>
                <w:kern w:val="22"/>
                <w:lang w:bidi="fr-FR"/>
              </w:rPr>
              <w:t>è</w:t>
            </w:r>
            <w:r w:rsidR="0088228E" w:rsidRPr="000E42FA">
              <w:rPr>
                <w:rStyle w:val="Hyperlink"/>
                <w:lang w:bidi="fr-FR"/>
              </w:rPr>
              <w:t>me r</w:t>
            </w:r>
            <w:r w:rsidR="00895415">
              <w:rPr>
                <w:rStyle w:val="Hyperlink"/>
                <w:rFonts w:cs="Times New Roman"/>
                <w:kern w:val="22"/>
                <w:lang w:bidi="fr-FR"/>
              </w:rPr>
              <w:t>é</w:t>
            </w:r>
            <w:r w:rsidR="0088228E" w:rsidRPr="000E42FA">
              <w:rPr>
                <w:rStyle w:val="Hyperlink"/>
                <w:lang w:bidi="fr-FR"/>
              </w:rPr>
              <w:t>union de la Conf</w:t>
            </w:r>
            <w:r w:rsidR="00895415">
              <w:rPr>
                <w:rStyle w:val="Hyperlink"/>
                <w:rFonts w:cs="Times New Roman"/>
                <w:kern w:val="22"/>
                <w:lang w:bidi="fr-FR"/>
              </w:rPr>
              <w:t>é</w:t>
            </w:r>
            <w:r w:rsidR="0088228E" w:rsidRPr="000E42FA">
              <w:rPr>
                <w:rStyle w:val="Hyperlink"/>
                <w:lang w:bidi="fr-FR"/>
              </w:rPr>
              <w:t>rence des Parties si</w:t>
            </w:r>
            <w:r w:rsidR="00895415">
              <w:rPr>
                <w:rStyle w:val="Hyperlink"/>
                <w:rFonts w:cs="Times New Roman"/>
                <w:kern w:val="22"/>
                <w:lang w:bidi="fr-FR"/>
              </w:rPr>
              <w:t>é</w:t>
            </w:r>
            <w:r w:rsidR="0088228E" w:rsidRPr="000E42FA">
              <w:rPr>
                <w:rStyle w:val="Hyperlink"/>
                <w:lang w:bidi="fr-FR"/>
              </w:rPr>
              <w:t>geant en tant que r</w:t>
            </w:r>
            <w:r w:rsidR="00895415">
              <w:rPr>
                <w:rStyle w:val="Hyperlink"/>
                <w:rFonts w:cs="Times New Roman"/>
                <w:kern w:val="22"/>
                <w:lang w:bidi="fr-FR"/>
              </w:rPr>
              <w:t>é</w:t>
            </w:r>
            <w:r w:rsidR="0088228E" w:rsidRPr="000E42FA">
              <w:rPr>
                <w:rStyle w:val="Hyperlink"/>
                <w:lang w:bidi="fr-FR"/>
              </w:rPr>
              <w:t>union des Parties au Protocole de Cartagena</w:t>
            </w:r>
            <w:r w:rsidR="0088228E">
              <w:rPr>
                <w:webHidden/>
              </w:rPr>
              <w:tab/>
            </w:r>
            <w:r w:rsidR="0088228E">
              <w:rPr>
                <w:webHidden/>
              </w:rPr>
              <w:fldChar w:fldCharType="begin"/>
            </w:r>
            <w:r w:rsidR="0088228E">
              <w:rPr>
                <w:webHidden/>
              </w:rPr>
              <w:instrText xml:space="preserve"> PAGEREF _Toc7428860 \h </w:instrText>
            </w:r>
            <w:r w:rsidR="0088228E">
              <w:rPr>
                <w:webHidden/>
              </w:rPr>
            </w:r>
            <w:r w:rsidR="0088228E">
              <w:rPr>
                <w:webHidden/>
              </w:rPr>
              <w:fldChar w:fldCharType="separate"/>
            </w:r>
            <w:r w:rsidR="001E43F6">
              <w:rPr>
                <w:webHidden/>
              </w:rPr>
              <w:t>78</w:t>
            </w:r>
            <w:r w:rsidR="0088228E">
              <w:rPr>
                <w:webHidden/>
              </w:rPr>
              <w:fldChar w:fldCharType="end"/>
            </w:r>
          </w:hyperlink>
        </w:p>
        <w:p w14:paraId="314C06F1" w14:textId="77777777" w:rsidR="0088228E" w:rsidRDefault="00FD5889" w:rsidP="00895415">
          <w:pPr>
            <w:pStyle w:val="TOC1"/>
            <w:rPr>
              <w:rFonts w:asciiTheme="minorHAnsi" w:eastAsiaTheme="minorEastAsia" w:hAnsiTheme="minorHAnsi" w:cstheme="minorBidi"/>
              <w:lang w:eastAsia="fr-FR"/>
            </w:rPr>
          </w:pPr>
          <w:hyperlink w:anchor="_Toc7428861" w:history="1">
            <w:r w:rsidR="0088228E" w:rsidRPr="000E42FA">
              <w:rPr>
                <w:rStyle w:val="Hyperlink"/>
                <w:lang w:bidi="fr-FR"/>
              </w:rPr>
              <w:t>Point 4.</w:t>
            </w:r>
            <w:r w:rsidR="0088228E">
              <w:rPr>
                <w:rFonts w:asciiTheme="minorHAnsi" w:eastAsiaTheme="minorEastAsia" w:hAnsiTheme="minorHAnsi" w:cstheme="minorBidi"/>
                <w:lang w:eastAsia="fr-FR"/>
              </w:rPr>
              <w:tab/>
            </w:r>
            <w:r w:rsidR="0088228E" w:rsidRPr="000E42FA">
              <w:rPr>
                <w:rStyle w:val="Hyperlink"/>
                <w:lang w:bidi="fr-FR"/>
              </w:rPr>
              <w:t>Rapports des organes subsidiaires</w:t>
            </w:r>
            <w:r w:rsidR="0088228E">
              <w:rPr>
                <w:webHidden/>
              </w:rPr>
              <w:tab/>
            </w:r>
            <w:r w:rsidR="0088228E">
              <w:rPr>
                <w:webHidden/>
              </w:rPr>
              <w:fldChar w:fldCharType="begin"/>
            </w:r>
            <w:r w:rsidR="0088228E">
              <w:rPr>
                <w:webHidden/>
              </w:rPr>
              <w:instrText xml:space="preserve"> PAGEREF _Toc7428861 \h </w:instrText>
            </w:r>
            <w:r w:rsidR="0088228E">
              <w:rPr>
                <w:webHidden/>
              </w:rPr>
            </w:r>
            <w:r w:rsidR="0088228E">
              <w:rPr>
                <w:webHidden/>
              </w:rPr>
              <w:fldChar w:fldCharType="separate"/>
            </w:r>
            <w:r w:rsidR="001E43F6">
              <w:rPr>
                <w:webHidden/>
              </w:rPr>
              <w:t>79</w:t>
            </w:r>
            <w:r w:rsidR="0088228E">
              <w:rPr>
                <w:webHidden/>
              </w:rPr>
              <w:fldChar w:fldCharType="end"/>
            </w:r>
          </w:hyperlink>
        </w:p>
        <w:p w14:paraId="4CB32A7C" w14:textId="0D49BFA5" w:rsidR="0088228E" w:rsidRDefault="00FD5889" w:rsidP="00895415">
          <w:pPr>
            <w:pStyle w:val="TOC1"/>
            <w:rPr>
              <w:rFonts w:asciiTheme="minorHAnsi" w:eastAsiaTheme="minorEastAsia" w:hAnsiTheme="minorHAnsi" w:cstheme="minorBidi"/>
              <w:lang w:eastAsia="fr-FR"/>
            </w:rPr>
          </w:pPr>
          <w:hyperlink w:anchor="_Toc7428862" w:history="1">
            <w:r w:rsidR="0088228E" w:rsidRPr="000E42FA">
              <w:rPr>
                <w:rStyle w:val="Hyperlink"/>
                <w:snapToGrid w:val="0"/>
                <w:lang w:bidi="fr-FR"/>
              </w:rPr>
              <w:t>Point 5.</w:t>
            </w:r>
            <w:r w:rsidR="0088228E">
              <w:rPr>
                <w:rFonts w:asciiTheme="minorHAnsi" w:eastAsiaTheme="minorEastAsia" w:hAnsiTheme="minorHAnsi" w:cstheme="minorBidi"/>
                <w:lang w:eastAsia="fr-FR"/>
              </w:rPr>
              <w:tab/>
            </w:r>
            <w:r w:rsidR="0088228E" w:rsidRPr="000E42FA">
              <w:rPr>
                <w:rStyle w:val="Hyperlink"/>
                <w:snapToGrid w:val="0"/>
                <w:lang w:bidi="fr-FR"/>
              </w:rPr>
              <w:t>Rapport du Comité charg</w:t>
            </w:r>
            <w:r w:rsidR="00895415">
              <w:rPr>
                <w:rStyle w:val="Hyperlink"/>
                <w:rFonts w:cs="Times New Roman"/>
                <w:snapToGrid w:val="0"/>
                <w:lang w:bidi="fr-FR"/>
              </w:rPr>
              <w:t>é</w:t>
            </w:r>
            <w:r w:rsidR="0088228E" w:rsidRPr="000E42FA">
              <w:rPr>
                <w:rStyle w:val="Hyperlink"/>
                <w:snapToGrid w:val="0"/>
                <w:lang w:bidi="fr-FR"/>
              </w:rPr>
              <w:t xml:space="preserve"> du respect des obligations</w:t>
            </w:r>
            <w:r w:rsidR="0088228E">
              <w:rPr>
                <w:webHidden/>
              </w:rPr>
              <w:tab/>
            </w:r>
            <w:r w:rsidR="0088228E">
              <w:rPr>
                <w:webHidden/>
              </w:rPr>
              <w:fldChar w:fldCharType="begin"/>
            </w:r>
            <w:r w:rsidR="0088228E">
              <w:rPr>
                <w:webHidden/>
              </w:rPr>
              <w:instrText xml:space="preserve"> PAGEREF _Toc7428862 \h </w:instrText>
            </w:r>
            <w:r w:rsidR="0088228E">
              <w:rPr>
                <w:webHidden/>
              </w:rPr>
            </w:r>
            <w:r w:rsidR="0088228E">
              <w:rPr>
                <w:webHidden/>
              </w:rPr>
              <w:fldChar w:fldCharType="separate"/>
            </w:r>
            <w:r w:rsidR="001E43F6">
              <w:rPr>
                <w:webHidden/>
              </w:rPr>
              <w:t>79</w:t>
            </w:r>
            <w:r w:rsidR="0088228E">
              <w:rPr>
                <w:webHidden/>
              </w:rPr>
              <w:fldChar w:fldCharType="end"/>
            </w:r>
          </w:hyperlink>
        </w:p>
        <w:p w14:paraId="1071B636" w14:textId="71D7EFE2" w:rsidR="0088228E" w:rsidRDefault="00FD5889" w:rsidP="00895415">
          <w:pPr>
            <w:pStyle w:val="TOC1"/>
            <w:rPr>
              <w:rFonts w:asciiTheme="minorHAnsi" w:eastAsiaTheme="minorEastAsia" w:hAnsiTheme="minorHAnsi" w:cstheme="minorBidi"/>
              <w:lang w:eastAsia="fr-FR"/>
            </w:rPr>
          </w:pPr>
          <w:hyperlink w:anchor="_Toc7428863" w:history="1">
            <w:r w:rsidR="0088228E" w:rsidRPr="000E42FA">
              <w:rPr>
                <w:rStyle w:val="Hyperlink"/>
                <w:lang w:bidi="fr-FR"/>
              </w:rPr>
              <w:t>P</w:t>
            </w:r>
            <w:r w:rsidR="00895415" w:rsidRPr="000E42FA">
              <w:rPr>
                <w:rStyle w:val="Hyperlink"/>
                <w:lang w:bidi="fr-FR"/>
              </w:rPr>
              <w:t xml:space="preserve">oint </w:t>
            </w:r>
            <w:r w:rsidR="0088228E" w:rsidRPr="000E42FA">
              <w:rPr>
                <w:rStyle w:val="Hyperlink"/>
                <w:lang w:bidi="fr-FR"/>
              </w:rPr>
              <w:t xml:space="preserve">6. </w:t>
            </w:r>
            <w:r w:rsidR="00895415">
              <w:rPr>
                <w:rStyle w:val="Hyperlink"/>
                <w:lang w:bidi="fr-FR"/>
              </w:rPr>
              <w:tab/>
            </w:r>
            <w:r w:rsidR="0088228E" w:rsidRPr="000E42FA">
              <w:rPr>
                <w:rStyle w:val="Hyperlink"/>
                <w:lang w:bidi="fr-FR"/>
              </w:rPr>
              <w:t>Administration du Protocole et budget des Fonds d’affectation sp</w:t>
            </w:r>
            <w:r w:rsidR="00895415">
              <w:rPr>
                <w:rStyle w:val="Hyperlink"/>
                <w:rFonts w:cs="Times New Roman"/>
                <w:kern w:val="22"/>
                <w:lang w:bidi="fr-FR"/>
              </w:rPr>
              <w:t>é</w:t>
            </w:r>
            <w:r w:rsidR="0088228E" w:rsidRPr="000E42FA">
              <w:rPr>
                <w:rStyle w:val="Hyperlink"/>
                <w:lang w:bidi="fr-FR"/>
              </w:rPr>
              <w:t>ciale</w:t>
            </w:r>
            <w:r w:rsidR="0088228E">
              <w:rPr>
                <w:webHidden/>
              </w:rPr>
              <w:tab/>
            </w:r>
            <w:r w:rsidR="0088228E">
              <w:rPr>
                <w:webHidden/>
              </w:rPr>
              <w:fldChar w:fldCharType="begin"/>
            </w:r>
            <w:r w:rsidR="0088228E">
              <w:rPr>
                <w:webHidden/>
              </w:rPr>
              <w:instrText xml:space="preserve"> PAGEREF _Toc7428863 \h </w:instrText>
            </w:r>
            <w:r w:rsidR="0088228E">
              <w:rPr>
                <w:webHidden/>
              </w:rPr>
            </w:r>
            <w:r w:rsidR="0088228E">
              <w:rPr>
                <w:webHidden/>
              </w:rPr>
              <w:fldChar w:fldCharType="separate"/>
            </w:r>
            <w:r w:rsidR="001E43F6">
              <w:rPr>
                <w:webHidden/>
              </w:rPr>
              <w:t>81</w:t>
            </w:r>
            <w:r w:rsidR="0088228E">
              <w:rPr>
                <w:webHidden/>
              </w:rPr>
              <w:fldChar w:fldCharType="end"/>
            </w:r>
          </w:hyperlink>
        </w:p>
        <w:p w14:paraId="7567DCF4" w14:textId="5E7125E5" w:rsidR="0088228E" w:rsidRDefault="00FD5889" w:rsidP="00895415">
          <w:pPr>
            <w:pStyle w:val="TOC1"/>
            <w:rPr>
              <w:rFonts w:asciiTheme="minorHAnsi" w:eastAsiaTheme="minorEastAsia" w:hAnsiTheme="minorHAnsi" w:cstheme="minorBidi"/>
              <w:lang w:eastAsia="fr-FR"/>
            </w:rPr>
          </w:pPr>
          <w:hyperlink w:anchor="_Toc7428864" w:history="1">
            <w:r w:rsidR="00895415">
              <w:rPr>
                <w:rStyle w:val="Hyperlink"/>
                <w:lang w:bidi="fr-FR"/>
              </w:rPr>
              <w:t>P</w:t>
            </w:r>
            <w:r w:rsidR="0088228E" w:rsidRPr="000E42FA">
              <w:rPr>
                <w:rStyle w:val="Hyperlink"/>
                <w:lang w:bidi="fr-FR"/>
              </w:rPr>
              <w:t xml:space="preserve">oint 7. </w:t>
            </w:r>
            <w:r w:rsidR="0088228E">
              <w:rPr>
                <w:rFonts w:asciiTheme="minorHAnsi" w:eastAsiaTheme="minorEastAsia" w:hAnsiTheme="minorHAnsi" w:cstheme="minorBidi"/>
                <w:lang w:eastAsia="fr-FR"/>
              </w:rPr>
              <w:tab/>
            </w:r>
            <w:r w:rsidR="0088228E" w:rsidRPr="000E42FA">
              <w:rPr>
                <w:rStyle w:val="Hyperlink"/>
                <w:kern w:val="22"/>
                <w:lang w:bidi="fr-FR"/>
              </w:rPr>
              <w:t>Questions relatives au m</w:t>
            </w:r>
            <w:r w:rsidR="006B735C">
              <w:rPr>
                <w:rStyle w:val="Hyperlink"/>
                <w:rFonts w:cs="Times New Roman"/>
                <w:kern w:val="22"/>
                <w:lang w:bidi="fr-FR"/>
              </w:rPr>
              <w:t>é</w:t>
            </w:r>
            <w:r w:rsidR="0088228E" w:rsidRPr="000E42FA">
              <w:rPr>
                <w:rStyle w:val="Hyperlink"/>
                <w:kern w:val="22"/>
                <w:lang w:bidi="fr-FR"/>
              </w:rPr>
              <w:t>canisme de financement et aux ressources financi</w:t>
            </w:r>
            <w:r w:rsidR="00895415">
              <w:rPr>
                <w:rStyle w:val="Hyperlink"/>
                <w:rFonts w:cs="Times New Roman"/>
                <w:kern w:val="22"/>
                <w:lang w:bidi="fr-FR"/>
              </w:rPr>
              <w:t>è</w:t>
            </w:r>
            <w:r w:rsidR="00895415">
              <w:rPr>
                <w:rStyle w:val="Hyperlink"/>
                <w:kern w:val="22"/>
                <w:lang w:bidi="fr-FR"/>
              </w:rPr>
              <w:t>res (article </w:t>
            </w:r>
            <w:r w:rsidR="0088228E" w:rsidRPr="000E42FA">
              <w:rPr>
                <w:rStyle w:val="Hyperlink"/>
                <w:kern w:val="22"/>
                <w:lang w:bidi="fr-FR"/>
              </w:rPr>
              <w:t>28)</w:t>
            </w:r>
            <w:r w:rsidR="0088228E">
              <w:rPr>
                <w:webHidden/>
              </w:rPr>
              <w:tab/>
            </w:r>
            <w:r w:rsidR="0088228E">
              <w:rPr>
                <w:webHidden/>
              </w:rPr>
              <w:fldChar w:fldCharType="begin"/>
            </w:r>
            <w:r w:rsidR="0088228E">
              <w:rPr>
                <w:webHidden/>
              </w:rPr>
              <w:instrText xml:space="preserve"> PAGEREF _Toc7428864 \h </w:instrText>
            </w:r>
            <w:r w:rsidR="0088228E">
              <w:rPr>
                <w:webHidden/>
              </w:rPr>
            </w:r>
            <w:r w:rsidR="0088228E">
              <w:rPr>
                <w:webHidden/>
              </w:rPr>
              <w:fldChar w:fldCharType="separate"/>
            </w:r>
            <w:r w:rsidR="001E43F6">
              <w:rPr>
                <w:webHidden/>
              </w:rPr>
              <w:t>81</w:t>
            </w:r>
            <w:r w:rsidR="0088228E">
              <w:rPr>
                <w:webHidden/>
              </w:rPr>
              <w:fldChar w:fldCharType="end"/>
            </w:r>
          </w:hyperlink>
        </w:p>
        <w:p w14:paraId="2C946458" w14:textId="7038836E" w:rsidR="0088228E" w:rsidRDefault="00FD5889" w:rsidP="00895415">
          <w:pPr>
            <w:pStyle w:val="TOC1"/>
            <w:rPr>
              <w:rFonts w:asciiTheme="minorHAnsi" w:eastAsiaTheme="minorEastAsia" w:hAnsiTheme="minorHAnsi" w:cstheme="minorBidi"/>
              <w:lang w:eastAsia="fr-FR"/>
            </w:rPr>
          </w:pPr>
          <w:hyperlink w:anchor="_Toc7428865" w:history="1">
            <w:r w:rsidR="00895415">
              <w:rPr>
                <w:rStyle w:val="Hyperlink"/>
                <w:lang w:bidi="fr-FR"/>
              </w:rPr>
              <w:t>P</w:t>
            </w:r>
            <w:r w:rsidR="0088228E" w:rsidRPr="000E42FA">
              <w:rPr>
                <w:rStyle w:val="Hyperlink"/>
                <w:lang w:bidi="fr-FR"/>
              </w:rPr>
              <w:t xml:space="preserve">oint 8. </w:t>
            </w:r>
            <w:r w:rsidR="0088228E">
              <w:rPr>
                <w:rFonts w:asciiTheme="minorHAnsi" w:eastAsiaTheme="minorEastAsia" w:hAnsiTheme="minorHAnsi" w:cstheme="minorBidi"/>
                <w:lang w:eastAsia="fr-FR"/>
              </w:rPr>
              <w:tab/>
            </w:r>
            <w:r w:rsidR="0088228E" w:rsidRPr="000E42FA">
              <w:rPr>
                <w:rStyle w:val="Hyperlink"/>
                <w:kern w:val="22"/>
                <w:lang w:bidi="fr-FR"/>
              </w:rPr>
              <w:t>Renforcement des capacit</w:t>
            </w:r>
            <w:r w:rsidR="00895415">
              <w:rPr>
                <w:rStyle w:val="Hyperlink"/>
                <w:rFonts w:cs="Times New Roman"/>
                <w:kern w:val="22"/>
                <w:lang w:bidi="fr-FR"/>
              </w:rPr>
              <w:t>é</w:t>
            </w:r>
            <w:r w:rsidR="00895415">
              <w:rPr>
                <w:rStyle w:val="Hyperlink"/>
                <w:kern w:val="22"/>
                <w:lang w:bidi="fr-FR"/>
              </w:rPr>
              <w:t>s (a</w:t>
            </w:r>
            <w:r w:rsidR="0088228E" w:rsidRPr="000E42FA">
              <w:rPr>
                <w:rStyle w:val="Hyperlink"/>
                <w:kern w:val="22"/>
                <w:lang w:bidi="fr-FR"/>
              </w:rPr>
              <w:t>rticle 22)</w:t>
            </w:r>
            <w:r w:rsidR="0088228E">
              <w:rPr>
                <w:webHidden/>
              </w:rPr>
              <w:tab/>
            </w:r>
            <w:r w:rsidR="0088228E">
              <w:rPr>
                <w:webHidden/>
              </w:rPr>
              <w:fldChar w:fldCharType="begin"/>
            </w:r>
            <w:r w:rsidR="0088228E">
              <w:rPr>
                <w:webHidden/>
              </w:rPr>
              <w:instrText xml:space="preserve"> PAGEREF _Toc7428865 \h </w:instrText>
            </w:r>
            <w:r w:rsidR="0088228E">
              <w:rPr>
                <w:webHidden/>
              </w:rPr>
            </w:r>
            <w:r w:rsidR="0088228E">
              <w:rPr>
                <w:webHidden/>
              </w:rPr>
              <w:fldChar w:fldCharType="separate"/>
            </w:r>
            <w:r w:rsidR="001E43F6">
              <w:rPr>
                <w:webHidden/>
              </w:rPr>
              <w:t>82</w:t>
            </w:r>
            <w:r w:rsidR="0088228E">
              <w:rPr>
                <w:webHidden/>
              </w:rPr>
              <w:fldChar w:fldCharType="end"/>
            </w:r>
          </w:hyperlink>
        </w:p>
        <w:p w14:paraId="53DA466E" w14:textId="61F26AEC" w:rsidR="0088228E" w:rsidRDefault="00FD5889" w:rsidP="00895415">
          <w:pPr>
            <w:pStyle w:val="TOC1"/>
            <w:rPr>
              <w:rFonts w:asciiTheme="minorHAnsi" w:eastAsiaTheme="minorEastAsia" w:hAnsiTheme="minorHAnsi" w:cstheme="minorBidi"/>
              <w:lang w:eastAsia="fr-FR"/>
            </w:rPr>
          </w:pPr>
          <w:hyperlink w:anchor="_Toc7428866" w:history="1">
            <w:r w:rsidR="00895415">
              <w:rPr>
                <w:rStyle w:val="Hyperlink"/>
                <w:lang w:bidi="fr-FR"/>
              </w:rPr>
              <w:t>P</w:t>
            </w:r>
            <w:r w:rsidR="0088228E" w:rsidRPr="000E42FA">
              <w:rPr>
                <w:rStyle w:val="Hyperlink"/>
                <w:lang w:bidi="fr-FR"/>
              </w:rPr>
              <w:t xml:space="preserve">oint 9. </w:t>
            </w:r>
            <w:r w:rsidR="0088228E">
              <w:rPr>
                <w:rFonts w:asciiTheme="minorHAnsi" w:eastAsiaTheme="minorEastAsia" w:hAnsiTheme="minorHAnsi" w:cstheme="minorBidi"/>
                <w:lang w:eastAsia="fr-FR"/>
              </w:rPr>
              <w:tab/>
            </w:r>
            <w:r w:rsidR="0088228E" w:rsidRPr="000E42FA">
              <w:rPr>
                <w:rStyle w:val="Hyperlink"/>
                <w:kern w:val="22"/>
                <w:lang w:bidi="fr-FR"/>
              </w:rPr>
              <w:t>Fonctionnement et activit</w:t>
            </w:r>
            <w:r w:rsidR="00895415">
              <w:rPr>
                <w:rStyle w:val="Hyperlink"/>
                <w:rFonts w:cs="Times New Roman"/>
                <w:kern w:val="22"/>
                <w:lang w:bidi="fr-FR"/>
              </w:rPr>
              <w:t>é</w:t>
            </w:r>
            <w:r w:rsidR="0088228E" w:rsidRPr="000E42FA">
              <w:rPr>
                <w:rStyle w:val="Hyperlink"/>
                <w:kern w:val="22"/>
                <w:lang w:bidi="fr-FR"/>
              </w:rPr>
              <w:t>s du Centre d’</w:t>
            </w:r>
            <w:r w:rsidR="00895415">
              <w:rPr>
                <w:rStyle w:val="Hyperlink"/>
                <w:rFonts w:cs="Times New Roman"/>
                <w:kern w:val="22"/>
                <w:lang w:bidi="fr-FR"/>
              </w:rPr>
              <w:t>é</w:t>
            </w:r>
            <w:r w:rsidR="0088228E" w:rsidRPr="000E42FA">
              <w:rPr>
                <w:rStyle w:val="Hyperlink"/>
                <w:kern w:val="22"/>
                <w:lang w:bidi="fr-FR"/>
              </w:rPr>
              <w:t>change pour la pr</w:t>
            </w:r>
            <w:r w:rsidR="00895415">
              <w:rPr>
                <w:rStyle w:val="Hyperlink"/>
                <w:rFonts w:cs="Times New Roman"/>
                <w:kern w:val="22"/>
                <w:lang w:bidi="fr-FR"/>
              </w:rPr>
              <w:t>é</w:t>
            </w:r>
            <w:r w:rsidR="0088228E" w:rsidRPr="000E42FA">
              <w:rPr>
                <w:rStyle w:val="Hyperlink"/>
                <w:kern w:val="22"/>
                <w:lang w:bidi="fr-FR"/>
              </w:rPr>
              <w:t xml:space="preserve">vention </w:t>
            </w:r>
            <w:r w:rsidR="00895415">
              <w:rPr>
                <w:rStyle w:val="Hyperlink"/>
                <w:kern w:val="22"/>
                <w:lang w:bidi="fr-FR"/>
              </w:rPr>
              <w:t>des risques biotechnologiques (a</w:t>
            </w:r>
            <w:r w:rsidR="0088228E" w:rsidRPr="000E42FA">
              <w:rPr>
                <w:rStyle w:val="Hyperlink"/>
                <w:kern w:val="22"/>
                <w:lang w:bidi="fr-FR"/>
              </w:rPr>
              <w:t>rticle 20)</w:t>
            </w:r>
            <w:r w:rsidR="0088228E">
              <w:rPr>
                <w:webHidden/>
              </w:rPr>
              <w:tab/>
            </w:r>
            <w:r w:rsidR="0088228E">
              <w:rPr>
                <w:webHidden/>
              </w:rPr>
              <w:fldChar w:fldCharType="begin"/>
            </w:r>
            <w:r w:rsidR="0088228E">
              <w:rPr>
                <w:webHidden/>
              </w:rPr>
              <w:instrText xml:space="preserve"> PAGEREF _Toc7428866 \h </w:instrText>
            </w:r>
            <w:r w:rsidR="0088228E">
              <w:rPr>
                <w:webHidden/>
              </w:rPr>
            </w:r>
            <w:r w:rsidR="0088228E">
              <w:rPr>
                <w:webHidden/>
              </w:rPr>
              <w:fldChar w:fldCharType="separate"/>
            </w:r>
            <w:r w:rsidR="001E43F6">
              <w:rPr>
                <w:webHidden/>
              </w:rPr>
              <w:t>82</w:t>
            </w:r>
            <w:r w:rsidR="0088228E">
              <w:rPr>
                <w:webHidden/>
              </w:rPr>
              <w:fldChar w:fldCharType="end"/>
            </w:r>
          </w:hyperlink>
        </w:p>
        <w:p w14:paraId="77CCC838" w14:textId="7DD8B19F" w:rsidR="0088228E" w:rsidRDefault="00FD5889" w:rsidP="00895415">
          <w:pPr>
            <w:pStyle w:val="TOC1"/>
            <w:rPr>
              <w:rFonts w:asciiTheme="minorHAnsi" w:eastAsiaTheme="minorEastAsia" w:hAnsiTheme="minorHAnsi" w:cstheme="minorBidi"/>
              <w:lang w:eastAsia="fr-FR"/>
            </w:rPr>
          </w:pPr>
          <w:hyperlink w:anchor="_Toc7428867" w:history="1">
            <w:r w:rsidR="0088228E" w:rsidRPr="000E42FA">
              <w:rPr>
                <w:rStyle w:val="Hyperlink"/>
                <w:lang w:bidi="fr-FR"/>
              </w:rPr>
              <w:t>P</w:t>
            </w:r>
            <w:r w:rsidR="00895415" w:rsidRPr="000E42FA">
              <w:rPr>
                <w:rStyle w:val="Hyperlink"/>
                <w:lang w:bidi="fr-FR"/>
              </w:rPr>
              <w:t>oint</w:t>
            </w:r>
            <w:r w:rsidR="0088228E" w:rsidRPr="000E42FA">
              <w:rPr>
                <w:rStyle w:val="Hyperlink"/>
                <w:lang w:bidi="fr-FR"/>
              </w:rPr>
              <w:t xml:space="preserve"> 10. </w:t>
            </w:r>
            <w:r w:rsidR="0088228E">
              <w:rPr>
                <w:rFonts w:asciiTheme="minorHAnsi" w:eastAsiaTheme="minorEastAsia" w:hAnsiTheme="minorHAnsi" w:cstheme="minorBidi"/>
                <w:lang w:eastAsia="fr-FR"/>
              </w:rPr>
              <w:tab/>
            </w:r>
            <w:r w:rsidR="0088228E" w:rsidRPr="000E42FA">
              <w:rPr>
                <w:rStyle w:val="Hyperlink"/>
                <w:kern w:val="22"/>
                <w:lang w:bidi="fr-FR"/>
              </w:rPr>
              <w:t xml:space="preserve">Suivi et </w:t>
            </w:r>
            <w:r w:rsidR="00895415">
              <w:rPr>
                <w:rStyle w:val="Hyperlink"/>
                <w:rFonts w:cs="Times New Roman"/>
                <w:kern w:val="22"/>
                <w:lang w:bidi="fr-FR"/>
              </w:rPr>
              <w:t>é</w:t>
            </w:r>
            <w:r w:rsidR="0088228E" w:rsidRPr="000E42FA">
              <w:rPr>
                <w:rStyle w:val="Hyperlink"/>
                <w:kern w:val="22"/>
                <w:lang w:bidi="fr-FR"/>
              </w:rPr>
              <w:t xml:space="preserve">tablissement des rapports (article 33) et </w:t>
            </w:r>
            <w:r w:rsidR="00895415">
              <w:rPr>
                <w:rStyle w:val="Hyperlink"/>
                <w:rFonts w:cs="Times New Roman"/>
                <w:kern w:val="22"/>
                <w:lang w:bidi="fr-FR"/>
              </w:rPr>
              <w:t>é</w:t>
            </w:r>
            <w:r w:rsidR="0088228E" w:rsidRPr="000E42FA">
              <w:rPr>
                <w:rStyle w:val="Hyperlink"/>
                <w:kern w:val="22"/>
                <w:lang w:bidi="fr-FR"/>
              </w:rPr>
              <w:t>valuation et examen de l'efficacit</w:t>
            </w:r>
            <w:r w:rsidR="00895415">
              <w:rPr>
                <w:rStyle w:val="Hyperlink"/>
                <w:rFonts w:cs="Times New Roman"/>
                <w:kern w:val="22"/>
                <w:lang w:bidi="fr-FR"/>
              </w:rPr>
              <w:t>é</w:t>
            </w:r>
            <w:r w:rsidR="0088228E" w:rsidRPr="000E42FA">
              <w:rPr>
                <w:rStyle w:val="Hyperlink"/>
                <w:kern w:val="22"/>
                <w:lang w:bidi="fr-FR"/>
              </w:rPr>
              <w:t xml:space="preserve"> du Protocole (article 35)</w:t>
            </w:r>
            <w:r w:rsidR="0088228E">
              <w:rPr>
                <w:webHidden/>
              </w:rPr>
              <w:tab/>
            </w:r>
            <w:r w:rsidR="0088228E">
              <w:rPr>
                <w:webHidden/>
              </w:rPr>
              <w:fldChar w:fldCharType="begin"/>
            </w:r>
            <w:r w:rsidR="0088228E">
              <w:rPr>
                <w:webHidden/>
              </w:rPr>
              <w:instrText xml:space="preserve"> PAGEREF _Toc7428867 \h </w:instrText>
            </w:r>
            <w:r w:rsidR="0088228E">
              <w:rPr>
                <w:webHidden/>
              </w:rPr>
            </w:r>
            <w:r w:rsidR="0088228E">
              <w:rPr>
                <w:webHidden/>
              </w:rPr>
              <w:fldChar w:fldCharType="separate"/>
            </w:r>
            <w:r w:rsidR="001E43F6">
              <w:rPr>
                <w:webHidden/>
              </w:rPr>
              <w:t>83</w:t>
            </w:r>
            <w:r w:rsidR="0088228E">
              <w:rPr>
                <w:webHidden/>
              </w:rPr>
              <w:fldChar w:fldCharType="end"/>
            </w:r>
          </w:hyperlink>
        </w:p>
        <w:p w14:paraId="0629F985" w14:textId="17666E7F" w:rsidR="0088228E" w:rsidRDefault="00FD5889" w:rsidP="00895415">
          <w:pPr>
            <w:pStyle w:val="TOC1"/>
            <w:rPr>
              <w:rFonts w:asciiTheme="minorHAnsi" w:eastAsiaTheme="minorEastAsia" w:hAnsiTheme="minorHAnsi" w:cstheme="minorBidi"/>
              <w:lang w:eastAsia="fr-FR"/>
            </w:rPr>
          </w:pPr>
          <w:hyperlink w:anchor="_Toc7428868" w:history="1">
            <w:r w:rsidR="00895415">
              <w:rPr>
                <w:rStyle w:val="Hyperlink"/>
                <w:lang w:bidi="fr-FR"/>
              </w:rPr>
              <w:t>Point</w:t>
            </w:r>
            <w:r w:rsidR="0088228E" w:rsidRPr="000E42FA">
              <w:rPr>
                <w:rStyle w:val="Hyperlink"/>
                <w:lang w:bidi="fr-FR"/>
              </w:rPr>
              <w:t xml:space="preserve"> 11. </w:t>
            </w:r>
            <w:r w:rsidR="0088228E">
              <w:rPr>
                <w:rFonts w:asciiTheme="minorHAnsi" w:eastAsiaTheme="minorEastAsia" w:hAnsiTheme="minorHAnsi" w:cstheme="minorBidi"/>
                <w:lang w:eastAsia="fr-FR"/>
              </w:rPr>
              <w:tab/>
            </w:r>
            <w:r w:rsidR="0088228E" w:rsidRPr="000E42FA">
              <w:rPr>
                <w:rStyle w:val="Hyperlink"/>
                <w:kern w:val="22"/>
                <w:lang w:bidi="fr-FR"/>
              </w:rPr>
              <w:t>Renforcement de l’int</w:t>
            </w:r>
            <w:r w:rsidR="00895415">
              <w:rPr>
                <w:rStyle w:val="Hyperlink"/>
                <w:rFonts w:cs="Times New Roman"/>
                <w:kern w:val="22"/>
                <w:lang w:bidi="fr-FR"/>
              </w:rPr>
              <w:t>é</w:t>
            </w:r>
            <w:r w:rsidR="0088228E" w:rsidRPr="000E42FA">
              <w:rPr>
                <w:rStyle w:val="Hyperlink"/>
                <w:kern w:val="22"/>
                <w:lang w:bidi="fr-FR"/>
              </w:rPr>
              <w:t xml:space="preserve">gration au titre de la Convention et de ses Protocoles concernant les dispositions relatives </w:t>
            </w:r>
            <w:r w:rsidR="00895415">
              <w:rPr>
                <w:rStyle w:val="Hyperlink"/>
                <w:rFonts w:cs="Times New Roman"/>
                <w:kern w:val="22"/>
                <w:lang w:bidi="fr-FR"/>
              </w:rPr>
              <w:t>à</w:t>
            </w:r>
            <w:r w:rsidR="0088228E" w:rsidRPr="000E42FA">
              <w:rPr>
                <w:rStyle w:val="Hyperlink"/>
                <w:kern w:val="22"/>
                <w:lang w:bidi="fr-FR"/>
              </w:rPr>
              <w:t xml:space="preserve"> la pr</w:t>
            </w:r>
            <w:r w:rsidR="00895415">
              <w:rPr>
                <w:rStyle w:val="Hyperlink"/>
                <w:rFonts w:cs="Times New Roman"/>
                <w:kern w:val="22"/>
                <w:lang w:bidi="fr-FR"/>
              </w:rPr>
              <w:t>é</w:t>
            </w:r>
            <w:r w:rsidR="0088228E" w:rsidRPr="000E42FA">
              <w:rPr>
                <w:rStyle w:val="Hyperlink"/>
                <w:kern w:val="22"/>
                <w:lang w:bidi="fr-FR"/>
              </w:rPr>
              <w:t>vention des risques biotechnologiques.</w:t>
            </w:r>
            <w:r w:rsidR="0088228E">
              <w:rPr>
                <w:webHidden/>
              </w:rPr>
              <w:tab/>
            </w:r>
            <w:r w:rsidR="0088228E">
              <w:rPr>
                <w:webHidden/>
              </w:rPr>
              <w:fldChar w:fldCharType="begin"/>
            </w:r>
            <w:r w:rsidR="0088228E">
              <w:rPr>
                <w:webHidden/>
              </w:rPr>
              <w:instrText xml:space="preserve"> PAGEREF _Toc7428868 \h </w:instrText>
            </w:r>
            <w:r w:rsidR="0088228E">
              <w:rPr>
                <w:webHidden/>
              </w:rPr>
            </w:r>
            <w:r w:rsidR="0088228E">
              <w:rPr>
                <w:webHidden/>
              </w:rPr>
              <w:fldChar w:fldCharType="separate"/>
            </w:r>
            <w:r w:rsidR="001E43F6">
              <w:rPr>
                <w:webHidden/>
              </w:rPr>
              <w:t>84</w:t>
            </w:r>
            <w:r w:rsidR="0088228E">
              <w:rPr>
                <w:webHidden/>
              </w:rPr>
              <w:fldChar w:fldCharType="end"/>
            </w:r>
          </w:hyperlink>
        </w:p>
        <w:p w14:paraId="13560975" w14:textId="6EC205E0" w:rsidR="0088228E" w:rsidRDefault="00FD5889" w:rsidP="00895415">
          <w:pPr>
            <w:pStyle w:val="TOC1"/>
            <w:rPr>
              <w:rFonts w:asciiTheme="minorHAnsi" w:eastAsiaTheme="minorEastAsia" w:hAnsiTheme="minorHAnsi" w:cstheme="minorBidi"/>
              <w:lang w:eastAsia="fr-FR"/>
            </w:rPr>
          </w:pPr>
          <w:hyperlink w:anchor="_Toc7428869" w:history="1">
            <w:r w:rsidR="00895415">
              <w:rPr>
                <w:rStyle w:val="Hyperlink"/>
                <w:lang w:bidi="fr-FR"/>
              </w:rPr>
              <w:t>Point</w:t>
            </w:r>
            <w:r w:rsidR="0088228E" w:rsidRPr="000E42FA">
              <w:rPr>
                <w:rStyle w:val="Hyperlink"/>
                <w:lang w:bidi="fr-FR"/>
              </w:rPr>
              <w:t xml:space="preserve"> 12. </w:t>
            </w:r>
            <w:r w:rsidR="0088228E">
              <w:rPr>
                <w:rFonts w:asciiTheme="minorHAnsi" w:eastAsiaTheme="minorEastAsia" w:hAnsiTheme="minorHAnsi" w:cstheme="minorBidi"/>
                <w:lang w:eastAsia="fr-FR"/>
              </w:rPr>
              <w:tab/>
            </w:r>
            <w:r w:rsidR="0088228E" w:rsidRPr="000E42FA">
              <w:rPr>
                <w:rStyle w:val="Hyperlink"/>
                <w:kern w:val="22"/>
                <w:lang w:bidi="fr-FR"/>
              </w:rPr>
              <w:t>Coop</w:t>
            </w:r>
            <w:r w:rsidR="00895415">
              <w:rPr>
                <w:rStyle w:val="Hyperlink"/>
                <w:rFonts w:cs="Times New Roman"/>
                <w:kern w:val="22"/>
                <w:lang w:bidi="fr-FR"/>
              </w:rPr>
              <w:t>é</w:t>
            </w:r>
            <w:r w:rsidR="0088228E" w:rsidRPr="000E42FA">
              <w:rPr>
                <w:rStyle w:val="Hyperlink"/>
                <w:kern w:val="22"/>
                <w:lang w:bidi="fr-FR"/>
              </w:rPr>
              <w:t>ration avec d'autres organisations, conventions et initiatives</w:t>
            </w:r>
            <w:r w:rsidR="0088228E">
              <w:rPr>
                <w:webHidden/>
              </w:rPr>
              <w:tab/>
            </w:r>
            <w:r w:rsidR="0088228E">
              <w:rPr>
                <w:webHidden/>
              </w:rPr>
              <w:fldChar w:fldCharType="begin"/>
            </w:r>
            <w:r w:rsidR="0088228E">
              <w:rPr>
                <w:webHidden/>
              </w:rPr>
              <w:instrText xml:space="preserve"> PAGEREF _Toc7428869 \h </w:instrText>
            </w:r>
            <w:r w:rsidR="0088228E">
              <w:rPr>
                <w:webHidden/>
              </w:rPr>
            </w:r>
            <w:r w:rsidR="0088228E">
              <w:rPr>
                <w:webHidden/>
              </w:rPr>
              <w:fldChar w:fldCharType="separate"/>
            </w:r>
            <w:r w:rsidR="001E43F6">
              <w:rPr>
                <w:webHidden/>
              </w:rPr>
              <w:t>85</w:t>
            </w:r>
            <w:r w:rsidR="0088228E">
              <w:rPr>
                <w:webHidden/>
              </w:rPr>
              <w:fldChar w:fldCharType="end"/>
            </w:r>
          </w:hyperlink>
        </w:p>
        <w:p w14:paraId="66B59270" w14:textId="29A7AC40" w:rsidR="0088228E" w:rsidRDefault="00FD5889" w:rsidP="00895415">
          <w:pPr>
            <w:pStyle w:val="TOC1"/>
            <w:rPr>
              <w:rFonts w:asciiTheme="minorHAnsi" w:eastAsiaTheme="minorEastAsia" w:hAnsiTheme="minorHAnsi" w:cstheme="minorBidi"/>
              <w:lang w:eastAsia="fr-FR"/>
            </w:rPr>
          </w:pPr>
          <w:hyperlink w:anchor="_Toc7428870" w:history="1">
            <w:r w:rsidR="00895415">
              <w:rPr>
                <w:rStyle w:val="Hyperlink"/>
                <w:lang w:bidi="fr-FR"/>
              </w:rPr>
              <w:t>Point 13. E</w:t>
            </w:r>
            <w:r w:rsidR="0088228E" w:rsidRPr="000E42FA">
              <w:rPr>
                <w:rStyle w:val="Hyperlink"/>
                <w:lang w:bidi="fr-FR"/>
              </w:rPr>
              <w:t>xamen de</w:t>
            </w:r>
            <w:r w:rsidR="0088228E" w:rsidRPr="000E42FA">
              <w:rPr>
                <w:rStyle w:val="Hyperlink"/>
                <w:kern w:val="22"/>
                <w:lang w:bidi="fr-FR"/>
              </w:rPr>
              <w:t xml:space="preserve"> l’efficacit</w:t>
            </w:r>
            <w:r w:rsidR="00895415">
              <w:rPr>
                <w:rStyle w:val="Hyperlink"/>
                <w:rFonts w:cs="Times New Roman"/>
                <w:kern w:val="22"/>
                <w:lang w:bidi="fr-FR"/>
              </w:rPr>
              <w:t>é</w:t>
            </w:r>
            <w:r w:rsidR="0088228E" w:rsidRPr="000E42FA">
              <w:rPr>
                <w:rStyle w:val="Hyperlink"/>
                <w:kern w:val="22"/>
                <w:lang w:bidi="fr-FR"/>
              </w:rPr>
              <w:t xml:space="preserve"> des structures et des processus au titre de la Convention et de ses Protocoles</w:t>
            </w:r>
            <w:r w:rsidR="0088228E">
              <w:rPr>
                <w:webHidden/>
              </w:rPr>
              <w:tab/>
            </w:r>
            <w:r w:rsidR="0088228E">
              <w:rPr>
                <w:webHidden/>
              </w:rPr>
              <w:fldChar w:fldCharType="begin"/>
            </w:r>
            <w:r w:rsidR="0088228E">
              <w:rPr>
                <w:webHidden/>
              </w:rPr>
              <w:instrText xml:space="preserve"> PAGEREF _Toc7428870 \h </w:instrText>
            </w:r>
            <w:r w:rsidR="0088228E">
              <w:rPr>
                <w:webHidden/>
              </w:rPr>
            </w:r>
            <w:r w:rsidR="0088228E">
              <w:rPr>
                <w:webHidden/>
              </w:rPr>
              <w:fldChar w:fldCharType="separate"/>
            </w:r>
            <w:r w:rsidR="001E43F6">
              <w:rPr>
                <w:webHidden/>
              </w:rPr>
              <w:t>85</w:t>
            </w:r>
            <w:r w:rsidR="0088228E">
              <w:rPr>
                <w:webHidden/>
              </w:rPr>
              <w:fldChar w:fldCharType="end"/>
            </w:r>
          </w:hyperlink>
        </w:p>
        <w:p w14:paraId="37D2D7BF" w14:textId="09E2D304" w:rsidR="0088228E" w:rsidRDefault="00FD5889" w:rsidP="00895415">
          <w:pPr>
            <w:pStyle w:val="TOC1"/>
            <w:rPr>
              <w:rFonts w:asciiTheme="minorHAnsi" w:eastAsiaTheme="minorEastAsia" w:hAnsiTheme="minorHAnsi" w:cstheme="minorBidi"/>
              <w:lang w:eastAsia="fr-FR"/>
            </w:rPr>
          </w:pPr>
          <w:hyperlink w:anchor="_Toc7428873" w:history="1">
            <w:r w:rsidR="00E72F2E">
              <w:rPr>
                <w:rStyle w:val="Hyperlink"/>
                <w:lang w:bidi="fr-FR"/>
              </w:rPr>
              <w:t>Point</w:t>
            </w:r>
            <w:r w:rsidR="0088228E" w:rsidRPr="000E42FA">
              <w:rPr>
                <w:rStyle w:val="Hyperlink"/>
                <w:lang w:bidi="fr-FR"/>
              </w:rPr>
              <w:t xml:space="preserve"> 14.</w:t>
            </w:r>
            <w:r w:rsidR="0088228E">
              <w:rPr>
                <w:rFonts w:asciiTheme="minorHAnsi" w:eastAsiaTheme="minorEastAsia" w:hAnsiTheme="minorHAnsi" w:cstheme="minorBidi"/>
                <w:lang w:eastAsia="fr-FR"/>
              </w:rPr>
              <w:tab/>
            </w:r>
            <w:r w:rsidR="0088228E" w:rsidRPr="000E42FA">
              <w:rPr>
                <w:rStyle w:val="Hyperlink"/>
                <w:lang w:bidi="fr-FR"/>
              </w:rPr>
              <w:t>Pr</w:t>
            </w:r>
            <w:r w:rsidR="00E72F2E">
              <w:rPr>
                <w:rStyle w:val="Hyperlink"/>
                <w:rFonts w:cs="Times New Roman"/>
                <w:kern w:val="22"/>
                <w:lang w:bidi="fr-FR"/>
              </w:rPr>
              <w:t>é</w:t>
            </w:r>
            <w:r w:rsidR="0088228E" w:rsidRPr="000E42FA">
              <w:rPr>
                <w:rStyle w:val="Hyperlink"/>
                <w:lang w:bidi="fr-FR"/>
              </w:rPr>
              <w:t>paration du texte donnant suite au Plan strat</w:t>
            </w:r>
            <w:r w:rsidR="00E72F2E">
              <w:rPr>
                <w:rStyle w:val="Hyperlink"/>
                <w:rFonts w:cs="Times New Roman"/>
                <w:kern w:val="22"/>
                <w:lang w:bidi="fr-FR"/>
              </w:rPr>
              <w:t>é</w:t>
            </w:r>
            <w:r w:rsidR="0088228E" w:rsidRPr="000E42FA">
              <w:rPr>
                <w:rStyle w:val="Hyperlink"/>
                <w:lang w:bidi="fr-FR"/>
              </w:rPr>
              <w:t>gique pour la diversit</w:t>
            </w:r>
            <w:r w:rsidR="00E72F2E">
              <w:rPr>
                <w:rStyle w:val="Hyperlink"/>
                <w:rFonts w:cs="Times New Roman"/>
                <w:kern w:val="22"/>
                <w:lang w:bidi="fr-FR"/>
              </w:rPr>
              <w:t>é</w:t>
            </w:r>
            <w:r w:rsidR="0088228E" w:rsidRPr="000E42FA">
              <w:rPr>
                <w:rStyle w:val="Hyperlink"/>
                <w:lang w:bidi="fr-FR"/>
              </w:rPr>
              <w:t xml:space="preserve"> biologique 2011-2020 et au Plan strat</w:t>
            </w:r>
            <w:r w:rsidR="00E72F2E">
              <w:rPr>
                <w:rStyle w:val="Hyperlink"/>
                <w:rFonts w:cs="Times New Roman"/>
                <w:kern w:val="22"/>
                <w:lang w:bidi="fr-FR"/>
              </w:rPr>
              <w:t>é</w:t>
            </w:r>
            <w:r w:rsidR="0088228E" w:rsidRPr="000E42FA">
              <w:rPr>
                <w:rStyle w:val="Hyperlink"/>
                <w:lang w:bidi="fr-FR"/>
              </w:rPr>
              <w:t>gique du Protocole de Cartagena sur la pr</w:t>
            </w:r>
            <w:r w:rsidR="00E72F2E">
              <w:rPr>
                <w:rStyle w:val="Hyperlink"/>
                <w:rFonts w:cs="Times New Roman"/>
                <w:kern w:val="22"/>
                <w:lang w:bidi="fr-FR"/>
              </w:rPr>
              <w:t>é</w:t>
            </w:r>
            <w:r w:rsidR="0088228E" w:rsidRPr="000E42FA">
              <w:rPr>
                <w:rStyle w:val="Hyperlink"/>
                <w:lang w:bidi="fr-FR"/>
              </w:rPr>
              <w:t>vention des risques biotechnologiques 2011-2020</w:t>
            </w:r>
            <w:r w:rsidR="0088228E">
              <w:rPr>
                <w:webHidden/>
              </w:rPr>
              <w:tab/>
            </w:r>
            <w:r w:rsidR="0088228E">
              <w:rPr>
                <w:webHidden/>
              </w:rPr>
              <w:fldChar w:fldCharType="begin"/>
            </w:r>
            <w:r w:rsidR="0088228E">
              <w:rPr>
                <w:webHidden/>
              </w:rPr>
              <w:instrText xml:space="preserve"> PAGEREF _Toc7428873 \h </w:instrText>
            </w:r>
            <w:r w:rsidR="0088228E">
              <w:rPr>
                <w:webHidden/>
              </w:rPr>
            </w:r>
            <w:r w:rsidR="0088228E">
              <w:rPr>
                <w:webHidden/>
              </w:rPr>
              <w:fldChar w:fldCharType="separate"/>
            </w:r>
            <w:r w:rsidR="001E43F6">
              <w:rPr>
                <w:webHidden/>
              </w:rPr>
              <w:t>86</w:t>
            </w:r>
            <w:r w:rsidR="0088228E">
              <w:rPr>
                <w:webHidden/>
              </w:rPr>
              <w:fldChar w:fldCharType="end"/>
            </w:r>
          </w:hyperlink>
        </w:p>
        <w:p w14:paraId="2EAB9DAB" w14:textId="524804FA" w:rsidR="0088228E" w:rsidRDefault="00FD5889" w:rsidP="00895415">
          <w:pPr>
            <w:pStyle w:val="TOC1"/>
            <w:rPr>
              <w:rFonts w:asciiTheme="minorHAnsi" w:eastAsiaTheme="minorEastAsia" w:hAnsiTheme="minorHAnsi" w:cstheme="minorBidi"/>
              <w:lang w:eastAsia="fr-FR"/>
            </w:rPr>
          </w:pPr>
          <w:hyperlink w:anchor="_Toc7428874" w:history="1">
            <w:r w:rsidR="00895415">
              <w:rPr>
                <w:rStyle w:val="Hyperlink"/>
                <w:lang w:bidi="fr-FR"/>
              </w:rPr>
              <w:t>Point</w:t>
            </w:r>
            <w:r w:rsidR="0088228E" w:rsidRPr="000E42FA">
              <w:rPr>
                <w:rStyle w:val="Hyperlink"/>
                <w:lang w:bidi="fr-FR"/>
              </w:rPr>
              <w:t xml:space="preserve"> 15. </w:t>
            </w:r>
            <w:r w:rsidR="0088228E">
              <w:rPr>
                <w:rFonts w:asciiTheme="minorHAnsi" w:eastAsiaTheme="minorEastAsia" w:hAnsiTheme="minorHAnsi" w:cstheme="minorBidi"/>
                <w:lang w:eastAsia="fr-FR"/>
              </w:rPr>
              <w:tab/>
            </w:r>
            <w:r w:rsidR="0088228E" w:rsidRPr="000E42FA">
              <w:rPr>
                <w:rStyle w:val="Hyperlink"/>
                <w:kern w:val="22"/>
                <w:lang w:bidi="fr-FR"/>
              </w:rPr>
              <w:t>Évaluation des r</w:t>
            </w:r>
            <w:r w:rsidR="00895415">
              <w:rPr>
                <w:rStyle w:val="Hyperlink"/>
                <w:kern w:val="22"/>
                <w:lang w:bidi="fr-FR"/>
              </w:rPr>
              <w:t>isques et gestion des risques (a</w:t>
            </w:r>
            <w:r w:rsidR="0088228E" w:rsidRPr="000E42FA">
              <w:rPr>
                <w:rStyle w:val="Hyperlink"/>
                <w:kern w:val="22"/>
                <w:lang w:bidi="fr-FR"/>
              </w:rPr>
              <w:t>rticles 15 et 16)</w:t>
            </w:r>
            <w:r w:rsidR="0088228E">
              <w:rPr>
                <w:webHidden/>
              </w:rPr>
              <w:tab/>
            </w:r>
            <w:r w:rsidR="0088228E">
              <w:rPr>
                <w:webHidden/>
              </w:rPr>
              <w:fldChar w:fldCharType="begin"/>
            </w:r>
            <w:r w:rsidR="0088228E">
              <w:rPr>
                <w:webHidden/>
              </w:rPr>
              <w:instrText xml:space="preserve"> PAGEREF _Toc7428874 \h </w:instrText>
            </w:r>
            <w:r w:rsidR="0088228E">
              <w:rPr>
                <w:webHidden/>
              </w:rPr>
            </w:r>
            <w:r w:rsidR="0088228E">
              <w:rPr>
                <w:webHidden/>
              </w:rPr>
              <w:fldChar w:fldCharType="separate"/>
            </w:r>
            <w:r w:rsidR="001E43F6">
              <w:rPr>
                <w:webHidden/>
              </w:rPr>
              <w:t>87</w:t>
            </w:r>
            <w:r w:rsidR="0088228E">
              <w:rPr>
                <w:webHidden/>
              </w:rPr>
              <w:fldChar w:fldCharType="end"/>
            </w:r>
          </w:hyperlink>
        </w:p>
        <w:p w14:paraId="08CC7673" w14:textId="378CC4E4" w:rsidR="0088228E" w:rsidRDefault="00FD5889" w:rsidP="00895415">
          <w:pPr>
            <w:pStyle w:val="TOC1"/>
            <w:rPr>
              <w:rFonts w:asciiTheme="minorHAnsi" w:eastAsiaTheme="minorEastAsia" w:hAnsiTheme="minorHAnsi" w:cstheme="minorBidi"/>
              <w:lang w:eastAsia="fr-FR"/>
            </w:rPr>
          </w:pPr>
          <w:hyperlink w:anchor="_Toc7428875" w:history="1">
            <w:r w:rsidR="00895415">
              <w:rPr>
                <w:rStyle w:val="Hyperlink"/>
                <w:lang w:bidi="fr-FR"/>
              </w:rPr>
              <w:t>Point</w:t>
            </w:r>
            <w:r w:rsidR="0088228E" w:rsidRPr="000E42FA">
              <w:rPr>
                <w:rStyle w:val="Hyperlink"/>
                <w:lang w:bidi="fr-FR"/>
              </w:rPr>
              <w:t xml:space="preserve"> 16. </w:t>
            </w:r>
            <w:r w:rsidR="0088228E">
              <w:rPr>
                <w:rFonts w:asciiTheme="minorHAnsi" w:eastAsiaTheme="minorEastAsia" w:hAnsiTheme="minorHAnsi" w:cstheme="minorBidi"/>
                <w:lang w:eastAsia="fr-FR"/>
              </w:rPr>
              <w:tab/>
            </w:r>
            <w:r w:rsidR="0088228E" w:rsidRPr="000E42FA">
              <w:rPr>
                <w:rStyle w:val="Hyperlink"/>
                <w:kern w:val="22"/>
                <w:lang w:bidi="fr-FR"/>
              </w:rPr>
              <w:t>Mouvements transfronti</w:t>
            </w:r>
            <w:r w:rsidR="00895415">
              <w:rPr>
                <w:rStyle w:val="Hyperlink"/>
                <w:rFonts w:cs="Times New Roman"/>
                <w:kern w:val="22"/>
                <w:lang w:bidi="fr-FR"/>
              </w:rPr>
              <w:t>è</w:t>
            </w:r>
            <w:r w:rsidR="0088228E" w:rsidRPr="000E42FA">
              <w:rPr>
                <w:rStyle w:val="Hyperlink"/>
                <w:kern w:val="22"/>
                <w:lang w:bidi="fr-FR"/>
              </w:rPr>
              <w:t>res non inten</w:t>
            </w:r>
            <w:r w:rsidR="00895415">
              <w:rPr>
                <w:rStyle w:val="Hyperlink"/>
                <w:kern w:val="22"/>
                <w:lang w:bidi="fr-FR"/>
              </w:rPr>
              <w:t>tionnels et mesures d’urgence (a</w:t>
            </w:r>
            <w:r w:rsidR="0088228E" w:rsidRPr="000E42FA">
              <w:rPr>
                <w:rStyle w:val="Hyperlink"/>
                <w:kern w:val="22"/>
                <w:lang w:bidi="fr-FR"/>
              </w:rPr>
              <w:t>rticle 17)</w:t>
            </w:r>
            <w:r w:rsidR="0088228E">
              <w:rPr>
                <w:webHidden/>
              </w:rPr>
              <w:tab/>
            </w:r>
            <w:r w:rsidR="0088228E">
              <w:rPr>
                <w:webHidden/>
              </w:rPr>
              <w:fldChar w:fldCharType="begin"/>
            </w:r>
            <w:r w:rsidR="0088228E">
              <w:rPr>
                <w:webHidden/>
              </w:rPr>
              <w:instrText xml:space="preserve"> PAGEREF _Toc7428875 \h </w:instrText>
            </w:r>
            <w:r w:rsidR="0088228E">
              <w:rPr>
                <w:webHidden/>
              </w:rPr>
            </w:r>
            <w:r w:rsidR="0088228E">
              <w:rPr>
                <w:webHidden/>
              </w:rPr>
              <w:fldChar w:fldCharType="separate"/>
            </w:r>
            <w:r w:rsidR="001E43F6">
              <w:rPr>
                <w:webHidden/>
              </w:rPr>
              <w:t>88</w:t>
            </w:r>
            <w:r w:rsidR="0088228E">
              <w:rPr>
                <w:webHidden/>
              </w:rPr>
              <w:fldChar w:fldCharType="end"/>
            </w:r>
          </w:hyperlink>
        </w:p>
        <w:p w14:paraId="26E8DEA3" w14:textId="25ACD65A" w:rsidR="0088228E" w:rsidRDefault="00FD5889" w:rsidP="00895415">
          <w:pPr>
            <w:pStyle w:val="TOC1"/>
            <w:rPr>
              <w:rFonts w:asciiTheme="minorHAnsi" w:eastAsiaTheme="minorEastAsia" w:hAnsiTheme="minorHAnsi" w:cstheme="minorBidi"/>
              <w:lang w:eastAsia="fr-FR"/>
            </w:rPr>
          </w:pPr>
          <w:hyperlink w:anchor="_Toc7428876" w:history="1">
            <w:r w:rsidR="00895415">
              <w:rPr>
                <w:rStyle w:val="Hyperlink"/>
                <w:lang w:bidi="fr-FR"/>
              </w:rPr>
              <w:t>Point</w:t>
            </w:r>
            <w:r w:rsidR="0088228E" w:rsidRPr="000E42FA">
              <w:rPr>
                <w:rStyle w:val="Hyperlink"/>
                <w:lang w:bidi="fr-FR"/>
              </w:rPr>
              <w:t xml:space="preserve"> 17. </w:t>
            </w:r>
            <w:r w:rsidR="0088228E">
              <w:rPr>
                <w:rFonts w:asciiTheme="minorHAnsi" w:eastAsiaTheme="minorEastAsia" w:hAnsiTheme="minorHAnsi" w:cstheme="minorBidi"/>
                <w:lang w:eastAsia="fr-FR"/>
              </w:rPr>
              <w:tab/>
            </w:r>
            <w:r w:rsidR="0088228E" w:rsidRPr="000E42FA">
              <w:rPr>
                <w:rStyle w:val="Hyperlink"/>
                <w:kern w:val="22"/>
                <w:lang w:bidi="fr-FR"/>
              </w:rPr>
              <w:t>Transit et utilisations en milieu confin</w:t>
            </w:r>
            <w:r w:rsidR="00895415">
              <w:rPr>
                <w:rStyle w:val="Hyperlink"/>
                <w:rFonts w:cs="Times New Roman"/>
                <w:kern w:val="22"/>
                <w:lang w:bidi="fr-FR"/>
              </w:rPr>
              <w:t>é</w:t>
            </w:r>
            <w:r w:rsidR="0088228E" w:rsidRPr="000E42FA">
              <w:rPr>
                <w:rStyle w:val="Hyperlink"/>
                <w:kern w:val="22"/>
                <w:lang w:bidi="fr-FR"/>
              </w:rPr>
              <w:t xml:space="preserve"> d'organismes vivants modifi</w:t>
            </w:r>
            <w:r w:rsidR="00895415">
              <w:rPr>
                <w:rStyle w:val="Hyperlink"/>
                <w:rFonts w:cs="Times New Roman"/>
                <w:kern w:val="22"/>
                <w:lang w:bidi="fr-FR"/>
              </w:rPr>
              <w:t>é</w:t>
            </w:r>
            <w:r w:rsidR="0088228E" w:rsidRPr="000E42FA">
              <w:rPr>
                <w:rStyle w:val="Hyperlink"/>
                <w:kern w:val="22"/>
                <w:lang w:bidi="fr-FR"/>
              </w:rPr>
              <w:t>s (article 6)</w:t>
            </w:r>
            <w:r w:rsidR="0088228E">
              <w:rPr>
                <w:webHidden/>
              </w:rPr>
              <w:tab/>
            </w:r>
            <w:r w:rsidR="0088228E">
              <w:rPr>
                <w:webHidden/>
              </w:rPr>
              <w:fldChar w:fldCharType="begin"/>
            </w:r>
            <w:r w:rsidR="0088228E">
              <w:rPr>
                <w:webHidden/>
              </w:rPr>
              <w:instrText xml:space="preserve"> PAGEREF _Toc7428876 \h </w:instrText>
            </w:r>
            <w:r w:rsidR="0088228E">
              <w:rPr>
                <w:webHidden/>
              </w:rPr>
            </w:r>
            <w:r w:rsidR="0088228E">
              <w:rPr>
                <w:webHidden/>
              </w:rPr>
              <w:fldChar w:fldCharType="separate"/>
            </w:r>
            <w:r w:rsidR="001E43F6">
              <w:rPr>
                <w:webHidden/>
              </w:rPr>
              <w:t>89</w:t>
            </w:r>
            <w:r w:rsidR="0088228E">
              <w:rPr>
                <w:webHidden/>
              </w:rPr>
              <w:fldChar w:fldCharType="end"/>
            </w:r>
          </w:hyperlink>
        </w:p>
        <w:p w14:paraId="4EB1EA48" w14:textId="09E01751" w:rsidR="0088228E" w:rsidRDefault="00FD5889" w:rsidP="00895415">
          <w:pPr>
            <w:pStyle w:val="TOC1"/>
            <w:rPr>
              <w:rFonts w:asciiTheme="minorHAnsi" w:eastAsiaTheme="minorEastAsia" w:hAnsiTheme="minorHAnsi" w:cstheme="minorBidi"/>
              <w:lang w:eastAsia="fr-FR"/>
            </w:rPr>
          </w:pPr>
          <w:hyperlink w:anchor="_Toc7428877" w:history="1">
            <w:r w:rsidR="00895415">
              <w:rPr>
                <w:rStyle w:val="Hyperlink"/>
                <w:lang w:bidi="fr-FR"/>
              </w:rPr>
              <w:t>Point</w:t>
            </w:r>
            <w:r w:rsidR="0088228E" w:rsidRPr="000E42FA">
              <w:rPr>
                <w:rStyle w:val="Hyperlink"/>
                <w:lang w:bidi="fr-FR"/>
              </w:rPr>
              <w:t xml:space="preserve"> 18. </w:t>
            </w:r>
            <w:r w:rsidR="0088228E" w:rsidRPr="000E42FA">
              <w:rPr>
                <w:rStyle w:val="Hyperlink"/>
                <w:kern w:val="22"/>
                <w:lang w:bidi="fr-FR"/>
              </w:rPr>
              <w:t>Consid</w:t>
            </w:r>
            <w:r w:rsidR="00895415">
              <w:rPr>
                <w:rStyle w:val="Hyperlink"/>
                <w:rFonts w:cs="Times New Roman"/>
                <w:kern w:val="22"/>
                <w:lang w:bidi="fr-FR"/>
              </w:rPr>
              <w:t>é</w:t>
            </w:r>
            <w:r w:rsidR="0088228E" w:rsidRPr="000E42FA">
              <w:rPr>
                <w:rStyle w:val="Hyperlink"/>
                <w:kern w:val="22"/>
                <w:lang w:bidi="fr-FR"/>
              </w:rPr>
              <w:t>rations socio</w:t>
            </w:r>
            <w:r w:rsidR="00895415">
              <w:rPr>
                <w:rStyle w:val="Hyperlink"/>
                <w:rFonts w:cs="Times New Roman"/>
                <w:kern w:val="22"/>
                <w:lang w:bidi="fr-FR"/>
              </w:rPr>
              <w:t>é</w:t>
            </w:r>
            <w:r w:rsidR="00895415">
              <w:rPr>
                <w:rStyle w:val="Hyperlink"/>
                <w:kern w:val="22"/>
                <w:lang w:bidi="fr-FR"/>
              </w:rPr>
              <w:t>conomiques (a</w:t>
            </w:r>
            <w:r w:rsidR="0088228E" w:rsidRPr="000E42FA">
              <w:rPr>
                <w:rStyle w:val="Hyperlink"/>
                <w:kern w:val="22"/>
                <w:lang w:bidi="fr-FR"/>
              </w:rPr>
              <w:t>rticle 26)</w:t>
            </w:r>
            <w:r w:rsidR="0088228E">
              <w:rPr>
                <w:webHidden/>
              </w:rPr>
              <w:tab/>
            </w:r>
            <w:r w:rsidR="0088228E">
              <w:rPr>
                <w:webHidden/>
              </w:rPr>
              <w:fldChar w:fldCharType="begin"/>
            </w:r>
            <w:r w:rsidR="0088228E">
              <w:rPr>
                <w:webHidden/>
              </w:rPr>
              <w:instrText xml:space="preserve"> PAGEREF _Toc7428877 \h </w:instrText>
            </w:r>
            <w:r w:rsidR="0088228E">
              <w:rPr>
                <w:webHidden/>
              </w:rPr>
            </w:r>
            <w:r w:rsidR="0088228E">
              <w:rPr>
                <w:webHidden/>
              </w:rPr>
              <w:fldChar w:fldCharType="separate"/>
            </w:r>
            <w:r w:rsidR="001E43F6">
              <w:rPr>
                <w:webHidden/>
              </w:rPr>
              <w:t>90</w:t>
            </w:r>
            <w:r w:rsidR="0088228E">
              <w:rPr>
                <w:webHidden/>
              </w:rPr>
              <w:fldChar w:fldCharType="end"/>
            </w:r>
          </w:hyperlink>
        </w:p>
        <w:p w14:paraId="1A75A88C" w14:textId="4DD77926" w:rsidR="0088228E" w:rsidRDefault="00FD5889" w:rsidP="00895415">
          <w:pPr>
            <w:pStyle w:val="TOC1"/>
            <w:rPr>
              <w:rFonts w:asciiTheme="minorHAnsi" w:eastAsiaTheme="minorEastAsia" w:hAnsiTheme="minorHAnsi" w:cstheme="minorBidi"/>
              <w:lang w:eastAsia="fr-FR"/>
            </w:rPr>
          </w:pPr>
          <w:hyperlink w:anchor="_Toc7428878" w:history="1">
            <w:r w:rsidR="00895415">
              <w:rPr>
                <w:rStyle w:val="Hyperlink"/>
                <w:lang w:bidi="fr-FR"/>
              </w:rPr>
              <w:t>Point</w:t>
            </w:r>
            <w:r w:rsidR="0088228E" w:rsidRPr="000E42FA">
              <w:rPr>
                <w:rStyle w:val="Hyperlink"/>
                <w:lang w:bidi="fr-FR"/>
              </w:rPr>
              <w:t xml:space="preserve"> 19. </w:t>
            </w:r>
            <w:r w:rsidR="0088228E">
              <w:rPr>
                <w:rFonts w:asciiTheme="minorHAnsi" w:eastAsiaTheme="minorEastAsia" w:hAnsiTheme="minorHAnsi" w:cstheme="minorBidi"/>
                <w:lang w:eastAsia="fr-FR"/>
              </w:rPr>
              <w:tab/>
            </w:r>
            <w:r w:rsidR="0088228E" w:rsidRPr="000E42FA">
              <w:rPr>
                <w:rStyle w:val="Hyperlink"/>
                <w:kern w:val="22"/>
                <w:lang w:bidi="fr-FR"/>
              </w:rPr>
              <w:t>Protocole additionnel de Nagoya-Kuala Lumpur sur la responsabilit</w:t>
            </w:r>
            <w:r w:rsidR="00895415">
              <w:rPr>
                <w:rStyle w:val="Hyperlink"/>
                <w:rFonts w:cs="Times New Roman"/>
                <w:kern w:val="22"/>
                <w:lang w:bidi="fr-FR"/>
              </w:rPr>
              <w:t>é</w:t>
            </w:r>
            <w:r w:rsidR="0088228E" w:rsidRPr="000E42FA">
              <w:rPr>
                <w:rStyle w:val="Hyperlink"/>
                <w:kern w:val="22"/>
                <w:lang w:bidi="fr-FR"/>
              </w:rPr>
              <w:t xml:space="preserve"> et la r</w:t>
            </w:r>
            <w:r w:rsidR="00895415">
              <w:rPr>
                <w:rStyle w:val="Hyperlink"/>
                <w:rFonts w:cs="Times New Roman"/>
                <w:kern w:val="22"/>
                <w:lang w:bidi="fr-FR"/>
              </w:rPr>
              <w:t>é</w:t>
            </w:r>
            <w:r w:rsidR="0088228E" w:rsidRPr="000E42FA">
              <w:rPr>
                <w:rStyle w:val="Hyperlink"/>
                <w:kern w:val="22"/>
                <w:lang w:bidi="fr-FR"/>
              </w:rPr>
              <w:t>paration</w:t>
            </w:r>
            <w:r w:rsidR="0088228E">
              <w:rPr>
                <w:webHidden/>
              </w:rPr>
              <w:tab/>
            </w:r>
            <w:r w:rsidR="0088228E">
              <w:rPr>
                <w:webHidden/>
              </w:rPr>
              <w:fldChar w:fldCharType="begin"/>
            </w:r>
            <w:r w:rsidR="0088228E">
              <w:rPr>
                <w:webHidden/>
              </w:rPr>
              <w:instrText xml:space="preserve"> PAGEREF _Toc7428878 \h </w:instrText>
            </w:r>
            <w:r w:rsidR="0088228E">
              <w:rPr>
                <w:webHidden/>
              </w:rPr>
            </w:r>
            <w:r w:rsidR="0088228E">
              <w:rPr>
                <w:webHidden/>
              </w:rPr>
              <w:fldChar w:fldCharType="separate"/>
            </w:r>
            <w:r w:rsidR="001E43F6">
              <w:rPr>
                <w:webHidden/>
              </w:rPr>
              <w:t>90</w:t>
            </w:r>
            <w:r w:rsidR="0088228E">
              <w:rPr>
                <w:webHidden/>
              </w:rPr>
              <w:fldChar w:fldCharType="end"/>
            </w:r>
          </w:hyperlink>
        </w:p>
        <w:p w14:paraId="2ECFB4EA" w14:textId="017E6543" w:rsidR="0088228E" w:rsidRDefault="00FD5889" w:rsidP="00895415">
          <w:pPr>
            <w:pStyle w:val="TOC1"/>
            <w:rPr>
              <w:rFonts w:asciiTheme="minorHAnsi" w:eastAsiaTheme="minorEastAsia" w:hAnsiTheme="minorHAnsi" w:cstheme="minorBidi"/>
              <w:lang w:eastAsia="fr-FR"/>
            </w:rPr>
          </w:pPr>
          <w:hyperlink w:anchor="_Toc7428879" w:history="1">
            <w:r w:rsidR="00895415">
              <w:rPr>
                <w:rStyle w:val="Hyperlink"/>
                <w:snapToGrid w:val="0"/>
                <w:lang w:bidi="fr-FR"/>
              </w:rPr>
              <w:t>Point</w:t>
            </w:r>
            <w:r w:rsidR="0088228E" w:rsidRPr="000E42FA">
              <w:rPr>
                <w:rStyle w:val="Hyperlink"/>
                <w:snapToGrid w:val="0"/>
                <w:lang w:bidi="fr-FR"/>
              </w:rPr>
              <w:t xml:space="preserve"> 20.</w:t>
            </w:r>
            <w:r w:rsidR="0088228E">
              <w:rPr>
                <w:rFonts w:asciiTheme="minorHAnsi" w:eastAsiaTheme="minorEastAsia" w:hAnsiTheme="minorHAnsi" w:cstheme="minorBidi"/>
                <w:lang w:eastAsia="fr-FR"/>
              </w:rPr>
              <w:tab/>
            </w:r>
            <w:r w:rsidR="00895415">
              <w:rPr>
                <w:rStyle w:val="Hyperlink"/>
                <w:snapToGrid w:val="0"/>
                <w:lang w:bidi="fr-FR"/>
              </w:rPr>
              <w:t>Q</w:t>
            </w:r>
            <w:r w:rsidR="0088228E" w:rsidRPr="000E42FA">
              <w:rPr>
                <w:rStyle w:val="Hyperlink"/>
                <w:snapToGrid w:val="0"/>
                <w:lang w:bidi="fr-FR"/>
              </w:rPr>
              <w:t>uestions diverses</w:t>
            </w:r>
            <w:r w:rsidR="0088228E">
              <w:rPr>
                <w:webHidden/>
              </w:rPr>
              <w:tab/>
            </w:r>
            <w:r w:rsidR="0088228E">
              <w:rPr>
                <w:webHidden/>
              </w:rPr>
              <w:fldChar w:fldCharType="begin"/>
            </w:r>
            <w:r w:rsidR="0088228E">
              <w:rPr>
                <w:webHidden/>
              </w:rPr>
              <w:instrText xml:space="preserve"> PAGEREF _Toc7428879 \h </w:instrText>
            </w:r>
            <w:r w:rsidR="0088228E">
              <w:rPr>
                <w:webHidden/>
              </w:rPr>
            </w:r>
            <w:r w:rsidR="0088228E">
              <w:rPr>
                <w:webHidden/>
              </w:rPr>
              <w:fldChar w:fldCharType="separate"/>
            </w:r>
            <w:r w:rsidR="001E43F6">
              <w:rPr>
                <w:webHidden/>
              </w:rPr>
              <w:t>91</w:t>
            </w:r>
            <w:r w:rsidR="0088228E">
              <w:rPr>
                <w:webHidden/>
              </w:rPr>
              <w:fldChar w:fldCharType="end"/>
            </w:r>
          </w:hyperlink>
        </w:p>
        <w:p w14:paraId="715C355E" w14:textId="2811F335" w:rsidR="0088228E" w:rsidRDefault="00FD5889" w:rsidP="00895415">
          <w:pPr>
            <w:pStyle w:val="TOC1"/>
            <w:rPr>
              <w:rFonts w:asciiTheme="minorHAnsi" w:eastAsiaTheme="minorEastAsia" w:hAnsiTheme="minorHAnsi" w:cstheme="minorBidi"/>
              <w:lang w:eastAsia="fr-FR"/>
            </w:rPr>
          </w:pPr>
          <w:hyperlink w:anchor="_Toc7428880" w:history="1">
            <w:r w:rsidR="00895415">
              <w:rPr>
                <w:rStyle w:val="Hyperlink"/>
                <w:lang w:bidi="fr-FR"/>
              </w:rPr>
              <w:t>Point</w:t>
            </w:r>
            <w:r w:rsidR="0088228E" w:rsidRPr="000E42FA">
              <w:rPr>
                <w:rStyle w:val="Hyperlink"/>
                <w:lang w:bidi="fr-FR"/>
              </w:rPr>
              <w:t xml:space="preserve"> 21.</w:t>
            </w:r>
            <w:r w:rsidR="0088228E">
              <w:rPr>
                <w:rFonts w:asciiTheme="minorHAnsi" w:eastAsiaTheme="minorEastAsia" w:hAnsiTheme="minorHAnsi" w:cstheme="minorBidi"/>
                <w:lang w:eastAsia="fr-FR"/>
              </w:rPr>
              <w:tab/>
            </w:r>
            <w:r w:rsidR="0088228E" w:rsidRPr="000E42FA">
              <w:rPr>
                <w:rStyle w:val="Hyperlink"/>
                <w:lang w:bidi="fr-FR"/>
              </w:rPr>
              <w:t>Adoption du rapport</w:t>
            </w:r>
            <w:r w:rsidR="0088228E">
              <w:rPr>
                <w:webHidden/>
              </w:rPr>
              <w:tab/>
            </w:r>
            <w:r w:rsidR="0088228E">
              <w:rPr>
                <w:webHidden/>
              </w:rPr>
              <w:fldChar w:fldCharType="begin"/>
            </w:r>
            <w:r w:rsidR="0088228E">
              <w:rPr>
                <w:webHidden/>
              </w:rPr>
              <w:instrText xml:space="preserve"> PAGEREF _Toc7428880 \h </w:instrText>
            </w:r>
            <w:r w:rsidR="0088228E">
              <w:rPr>
                <w:webHidden/>
              </w:rPr>
            </w:r>
            <w:r w:rsidR="0088228E">
              <w:rPr>
                <w:webHidden/>
              </w:rPr>
              <w:fldChar w:fldCharType="separate"/>
            </w:r>
            <w:r w:rsidR="001E43F6">
              <w:rPr>
                <w:webHidden/>
              </w:rPr>
              <w:t>91</w:t>
            </w:r>
            <w:r w:rsidR="0088228E">
              <w:rPr>
                <w:webHidden/>
              </w:rPr>
              <w:fldChar w:fldCharType="end"/>
            </w:r>
          </w:hyperlink>
        </w:p>
        <w:p w14:paraId="79785879" w14:textId="62950176" w:rsidR="0088228E" w:rsidRDefault="00FD5889" w:rsidP="00895415">
          <w:pPr>
            <w:pStyle w:val="TOC1"/>
            <w:rPr>
              <w:rFonts w:asciiTheme="minorHAnsi" w:eastAsiaTheme="minorEastAsia" w:hAnsiTheme="minorHAnsi" w:cstheme="minorBidi"/>
              <w:lang w:eastAsia="fr-FR"/>
            </w:rPr>
          </w:pPr>
          <w:hyperlink w:anchor="_Toc7428881" w:history="1">
            <w:r w:rsidR="00895415">
              <w:rPr>
                <w:rStyle w:val="Hyperlink"/>
                <w:lang w:bidi="fr-FR"/>
              </w:rPr>
              <w:t>Point</w:t>
            </w:r>
            <w:r w:rsidR="0088228E" w:rsidRPr="000E42FA">
              <w:rPr>
                <w:rStyle w:val="Hyperlink"/>
                <w:lang w:bidi="fr-FR"/>
              </w:rPr>
              <w:t xml:space="preserve"> 22.</w:t>
            </w:r>
            <w:r w:rsidR="0088228E">
              <w:rPr>
                <w:rFonts w:asciiTheme="minorHAnsi" w:eastAsiaTheme="minorEastAsia" w:hAnsiTheme="minorHAnsi" w:cstheme="minorBidi"/>
                <w:lang w:eastAsia="fr-FR"/>
              </w:rPr>
              <w:tab/>
            </w:r>
            <w:r w:rsidR="0088228E" w:rsidRPr="000E42FA">
              <w:rPr>
                <w:rStyle w:val="Hyperlink"/>
                <w:lang w:bidi="fr-FR"/>
              </w:rPr>
              <w:t>Cl</w:t>
            </w:r>
            <w:r w:rsidR="00895415">
              <w:rPr>
                <w:rStyle w:val="Hyperlink"/>
                <w:rFonts w:cs="Times New Roman"/>
                <w:lang w:bidi="fr-FR"/>
              </w:rPr>
              <w:t>ô</w:t>
            </w:r>
            <w:r w:rsidR="0088228E" w:rsidRPr="000E42FA">
              <w:rPr>
                <w:rStyle w:val="Hyperlink"/>
                <w:lang w:bidi="fr-FR"/>
              </w:rPr>
              <w:t>ture de la r</w:t>
            </w:r>
            <w:r w:rsidR="00895415">
              <w:rPr>
                <w:rStyle w:val="Hyperlink"/>
                <w:rFonts w:cs="Times New Roman"/>
                <w:snapToGrid w:val="0"/>
                <w:kern w:val="22"/>
                <w:lang w:bidi="fr-FR"/>
              </w:rPr>
              <w:t>é</w:t>
            </w:r>
            <w:r w:rsidR="0088228E" w:rsidRPr="000E42FA">
              <w:rPr>
                <w:rStyle w:val="Hyperlink"/>
                <w:lang w:bidi="fr-FR"/>
              </w:rPr>
              <w:t>union</w:t>
            </w:r>
            <w:r w:rsidR="0088228E">
              <w:rPr>
                <w:webHidden/>
              </w:rPr>
              <w:tab/>
            </w:r>
            <w:r w:rsidR="0088228E">
              <w:rPr>
                <w:webHidden/>
              </w:rPr>
              <w:fldChar w:fldCharType="begin"/>
            </w:r>
            <w:r w:rsidR="0088228E">
              <w:rPr>
                <w:webHidden/>
              </w:rPr>
              <w:instrText xml:space="preserve"> PAGEREF _Toc7428881 \h </w:instrText>
            </w:r>
            <w:r w:rsidR="0088228E">
              <w:rPr>
                <w:webHidden/>
              </w:rPr>
            </w:r>
            <w:r w:rsidR="0088228E">
              <w:rPr>
                <w:webHidden/>
              </w:rPr>
              <w:fldChar w:fldCharType="separate"/>
            </w:r>
            <w:r w:rsidR="001E43F6">
              <w:rPr>
                <w:webHidden/>
              </w:rPr>
              <w:t>91</w:t>
            </w:r>
            <w:r w:rsidR="0088228E">
              <w:rPr>
                <w:webHidden/>
              </w:rPr>
              <w:fldChar w:fldCharType="end"/>
            </w:r>
          </w:hyperlink>
        </w:p>
        <w:p w14:paraId="60E9D20C" w14:textId="66E44F33" w:rsidR="004E0AE0" w:rsidRDefault="004E0AE0">
          <w:r>
            <w:rPr>
              <w:b/>
              <w:bCs/>
              <w:noProof/>
            </w:rPr>
            <w:fldChar w:fldCharType="end"/>
          </w:r>
        </w:p>
      </w:sdtContent>
    </w:sdt>
    <w:p w14:paraId="6EA57757" w14:textId="77777777" w:rsidR="00004A22" w:rsidRDefault="00004A22">
      <w:pPr>
        <w:jc w:val="left"/>
        <w:rPr>
          <w:rFonts w:cs="Times New Roman"/>
          <w:snapToGrid w:val="0"/>
          <w:kern w:val="22"/>
          <w:szCs w:val="22"/>
        </w:rPr>
      </w:pPr>
    </w:p>
    <w:p w14:paraId="4AF87D33" w14:textId="77777777" w:rsidR="00E10E7A" w:rsidRDefault="00E10E7A">
      <w:pPr>
        <w:jc w:val="left"/>
        <w:rPr>
          <w:rFonts w:cs="Times New Roman"/>
          <w:snapToGrid w:val="0"/>
          <w:kern w:val="22"/>
          <w:szCs w:val="22"/>
        </w:rPr>
      </w:pPr>
    </w:p>
    <w:p w14:paraId="39E7EFC2" w14:textId="77777777" w:rsidR="00E10E7A" w:rsidRDefault="00E10E7A">
      <w:pPr>
        <w:jc w:val="left"/>
        <w:rPr>
          <w:rFonts w:cs="Times New Roman"/>
          <w:snapToGrid w:val="0"/>
          <w:kern w:val="22"/>
          <w:szCs w:val="22"/>
        </w:rPr>
      </w:pPr>
    </w:p>
    <w:p w14:paraId="5CE0499A" w14:textId="77777777" w:rsidR="00004A22" w:rsidRDefault="00004A22">
      <w:pPr>
        <w:jc w:val="left"/>
        <w:rPr>
          <w:rFonts w:cs="Times New Roman"/>
          <w:snapToGrid w:val="0"/>
          <w:kern w:val="22"/>
          <w:szCs w:val="22"/>
        </w:rPr>
      </w:pPr>
    </w:p>
    <w:p w14:paraId="237482AC" w14:textId="77777777" w:rsidR="00004A22" w:rsidRDefault="00004A22">
      <w:pPr>
        <w:jc w:val="left"/>
        <w:rPr>
          <w:rFonts w:cs="Times New Roman"/>
          <w:snapToGrid w:val="0"/>
          <w:kern w:val="22"/>
          <w:szCs w:val="22"/>
        </w:rPr>
      </w:pPr>
    </w:p>
    <w:p w14:paraId="0847C284" w14:textId="77777777" w:rsidR="00004A22" w:rsidRDefault="00004A22">
      <w:pPr>
        <w:jc w:val="left"/>
        <w:rPr>
          <w:rFonts w:cs="Times New Roman"/>
          <w:snapToGrid w:val="0"/>
          <w:kern w:val="22"/>
          <w:szCs w:val="22"/>
        </w:rPr>
      </w:pPr>
      <w:r>
        <w:rPr>
          <w:rFonts w:cs="Times New Roman"/>
          <w:snapToGrid w:val="0"/>
          <w:kern w:val="22"/>
          <w:szCs w:val="22"/>
        </w:rPr>
        <w:br w:type="page"/>
      </w:r>
    </w:p>
    <w:p w14:paraId="10A12329" w14:textId="30534726" w:rsidR="00004A22" w:rsidRDefault="00E10E7A" w:rsidP="00A92C6A">
      <w:pPr>
        <w:pStyle w:val="ListParagraph"/>
        <w:numPr>
          <w:ilvl w:val="0"/>
          <w:numId w:val="19"/>
        </w:numPr>
        <w:jc w:val="center"/>
        <w:outlineLvl w:val="0"/>
        <w:rPr>
          <w:rFonts w:cs="Times New Roman"/>
          <w:b/>
          <w:snapToGrid w:val="0"/>
          <w:kern w:val="22"/>
          <w:szCs w:val="22"/>
        </w:rPr>
      </w:pPr>
      <w:bookmarkStart w:id="2" w:name="_Toc7428840"/>
      <w:r>
        <w:rPr>
          <w:rFonts w:cs="Times New Roman"/>
          <w:b/>
          <w:snapToGrid w:val="0"/>
          <w:kern w:val="22"/>
          <w:szCs w:val="22"/>
        </w:rPr>
        <w:lastRenderedPageBreak/>
        <w:t>DÉ</w:t>
      </w:r>
      <w:r w:rsidR="00004A22" w:rsidRPr="00004A22">
        <w:rPr>
          <w:rFonts w:cs="Times New Roman"/>
          <w:b/>
          <w:snapToGrid w:val="0"/>
          <w:kern w:val="22"/>
          <w:szCs w:val="22"/>
        </w:rPr>
        <w:t>CISIONS</w:t>
      </w:r>
      <w:bookmarkEnd w:id="2"/>
    </w:p>
    <w:p w14:paraId="72CBA787" w14:textId="77777777" w:rsidR="00004A22" w:rsidRDefault="00004A22" w:rsidP="00004A22">
      <w:pPr>
        <w:jc w:val="left"/>
        <w:rPr>
          <w:rFonts w:cs="Times New Roman"/>
          <w:b/>
          <w:snapToGrid w:val="0"/>
          <w:kern w:val="22"/>
          <w:szCs w:val="22"/>
        </w:rPr>
      </w:pPr>
    </w:p>
    <w:p w14:paraId="5CC33862" w14:textId="3B6D92D2" w:rsidR="00741BCC" w:rsidRPr="00A92C6A" w:rsidRDefault="00E83799" w:rsidP="00A92C6A">
      <w:pPr>
        <w:pStyle w:val="Heading2"/>
        <w:spacing w:after="240"/>
        <w:rPr>
          <w:kern w:val="22"/>
          <w:szCs w:val="22"/>
        </w:rPr>
      </w:pPr>
      <w:bookmarkStart w:id="3" w:name="_Toc7428841"/>
      <w:r w:rsidRPr="00A92C6A">
        <w:rPr>
          <w:kern w:val="22"/>
          <w:szCs w:val="22"/>
        </w:rPr>
        <w:t>9/1.</w:t>
      </w:r>
      <w:r w:rsidR="00E10E7A" w:rsidRPr="00A92C6A">
        <w:rPr>
          <w:kern w:val="22"/>
          <w:szCs w:val="22"/>
        </w:rPr>
        <w:tab/>
        <w:t>Respect des obligations</w:t>
      </w:r>
      <w:bookmarkEnd w:id="3"/>
    </w:p>
    <w:p w14:paraId="4856E20A" w14:textId="77777777" w:rsidR="00741BCC" w:rsidRPr="00083AE3" w:rsidRDefault="00741BCC" w:rsidP="00741BCC">
      <w:pPr>
        <w:shd w:val="clear" w:color="auto" w:fill="FFFFFF" w:themeFill="background1"/>
        <w:spacing w:before="120" w:after="120"/>
        <w:ind w:firstLine="720"/>
        <w:rPr>
          <w:iCs/>
          <w:kern w:val="22"/>
          <w:szCs w:val="22"/>
        </w:rPr>
      </w:pPr>
      <w:r w:rsidRPr="00083AE3">
        <w:rPr>
          <w:i/>
          <w:kern w:val="22"/>
          <w:szCs w:val="22"/>
        </w:rPr>
        <w:t xml:space="preserve">La Conférence des Parties siégeant en tant que réunion des Parties au Protocole de </w:t>
      </w:r>
      <w:r w:rsidRPr="00083AE3">
        <w:rPr>
          <w:i/>
          <w:iCs/>
          <w:kern w:val="22"/>
          <w:szCs w:val="22"/>
          <w:lang w:eastAsia="ko-KR"/>
        </w:rPr>
        <w:t>Cartagena sur la prévention des risques biotechnologiques</w:t>
      </w:r>
      <w:r w:rsidRPr="00083AE3">
        <w:rPr>
          <w:i/>
          <w:kern w:val="22"/>
          <w:szCs w:val="22"/>
        </w:rPr>
        <w:t>,</w:t>
      </w:r>
    </w:p>
    <w:p w14:paraId="482A7CB0" w14:textId="77777777" w:rsidR="00741BCC" w:rsidRPr="00083AE3" w:rsidRDefault="00741BCC" w:rsidP="00741BCC">
      <w:pPr>
        <w:spacing w:after="120"/>
        <w:ind w:firstLine="720"/>
        <w:rPr>
          <w:kern w:val="22"/>
          <w:szCs w:val="22"/>
        </w:rPr>
      </w:pPr>
      <w:r w:rsidRPr="00083AE3">
        <w:rPr>
          <w:i/>
          <w:kern w:val="22"/>
          <w:szCs w:val="22"/>
        </w:rPr>
        <w:t xml:space="preserve">Se félicitant </w:t>
      </w:r>
      <w:r w:rsidRPr="00083AE3">
        <w:rPr>
          <w:kern w:val="22"/>
          <w:szCs w:val="22"/>
        </w:rPr>
        <w:t xml:space="preserve">des activités entreprises par le Comité chargé du respect des obligations au cours de la dernière période biennale, conformément à son rôle de soutien à l’application du Protocole de Cartagena sur la prévention des risques biotechnologiques, et </w:t>
      </w:r>
      <w:r w:rsidRPr="00083AE3">
        <w:rPr>
          <w:i/>
          <w:kern w:val="22"/>
          <w:szCs w:val="22"/>
        </w:rPr>
        <w:t xml:space="preserve">prenant note </w:t>
      </w:r>
      <w:r w:rsidRPr="00083AE3">
        <w:rPr>
          <w:kern w:val="22"/>
          <w:szCs w:val="22"/>
        </w:rPr>
        <w:t>de ses recommandations figurant à l’annexe de son rapport</w:t>
      </w:r>
      <w:r w:rsidRPr="00083AE3">
        <w:rPr>
          <w:kern w:val="22"/>
          <w:szCs w:val="22"/>
          <w:vertAlign w:val="superscript"/>
        </w:rPr>
        <w:footnoteReference w:id="2"/>
      </w:r>
      <w:r w:rsidRPr="00083AE3">
        <w:rPr>
          <w:kern w:val="22"/>
          <w:szCs w:val="22"/>
        </w:rPr>
        <w:t xml:space="preserve">, </w:t>
      </w:r>
    </w:p>
    <w:p w14:paraId="20FE4AB9"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 xml:space="preserve">Rappelle </w:t>
      </w:r>
      <w:r>
        <w:rPr>
          <w:snapToGrid w:val="0"/>
          <w:kern w:val="22"/>
          <w:szCs w:val="18"/>
        </w:rPr>
        <w:t xml:space="preserve">aux Parties la </w:t>
      </w:r>
      <w:r w:rsidRPr="00083AE3">
        <w:rPr>
          <w:snapToGrid w:val="0"/>
          <w:kern w:val="22"/>
          <w:szCs w:val="18"/>
        </w:rPr>
        <w:t>responsabilité et l’obligation qui leur incombent de prendre les mesures nécessaires et pertinentes, notamment d’un point de vue juridique et administratif, pour appliquer le Protocole;</w:t>
      </w:r>
    </w:p>
    <w:p w14:paraId="56856C6E"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Rappelle également</w:t>
      </w:r>
      <w:r>
        <w:rPr>
          <w:snapToGrid w:val="0"/>
          <w:kern w:val="22"/>
          <w:szCs w:val="18"/>
        </w:rPr>
        <w:t xml:space="preserve"> aux</w:t>
      </w:r>
      <w:r w:rsidRPr="00083AE3">
        <w:rPr>
          <w:snapToGrid w:val="0"/>
          <w:kern w:val="22"/>
          <w:szCs w:val="18"/>
        </w:rPr>
        <w:t xml:space="preserve"> Parties l’obligat</w:t>
      </w:r>
      <w:r>
        <w:rPr>
          <w:snapToGrid w:val="0"/>
          <w:kern w:val="22"/>
          <w:szCs w:val="18"/>
        </w:rPr>
        <w:t>ion qui leur incombe d’assurer un suivi de</w:t>
      </w:r>
      <w:r w:rsidRPr="00083AE3">
        <w:rPr>
          <w:snapToGrid w:val="0"/>
          <w:kern w:val="22"/>
          <w:szCs w:val="18"/>
        </w:rPr>
        <w:t xml:space="preserve"> l’application des dispositions fixées par le Protocole, conformément à l’article 33;</w:t>
      </w:r>
    </w:p>
    <w:p w14:paraId="579D8DE7"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 xml:space="preserve">Rappelle </w:t>
      </w:r>
      <w:r w:rsidRPr="00083AE3">
        <w:rPr>
          <w:snapToGrid w:val="0"/>
          <w:kern w:val="22"/>
          <w:szCs w:val="18"/>
        </w:rPr>
        <w:t>que les Parties ayant du mal à respecter une ou plusieurs obligations fixées par le Protocole sont encouragées à demander l’assistance du Comité</w:t>
      </w:r>
      <w:r>
        <w:rPr>
          <w:snapToGrid w:val="0"/>
          <w:kern w:val="22"/>
          <w:szCs w:val="18"/>
        </w:rPr>
        <w:t xml:space="preserve"> chargé du respect des obligations</w:t>
      </w:r>
      <w:r w:rsidRPr="00083AE3">
        <w:rPr>
          <w:snapToGrid w:val="0"/>
          <w:kern w:val="22"/>
          <w:szCs w:val="18"/>
        </w:rPr>
        <w:t>;</w:t>
      </w:r>
    </w:p>
    <w:p w14:paraId="5259BDDE"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Prie</w:t>
      </w:r>
      <w:r w:rsidRPr="00083AE3">
        <w:rPr>
          <w:snapToGrid w:val="0"/>
          <w:kern w:val="22"/>
          <w:szCs w:val="18"/>
        </w:rPr>
        <w:t xml:space="preserve"> les Parties de collaborer sans réserve lorsqu’elles sont invitées à fournir des informations sur leur respect des obligations fixées par le Protocole;</w:t>
      </w:r>
    </w:p>
    <w:p w14:paraId="57D5DD84"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Invite</w:t>
      </w:r>
      <w:r w:rsidRPr="00083AE3">
        <w:rPr>
          <w:snapToGrid w:val="0"/>
          <w:kern w:val="22"/>
          <w:szCs w:val="18"/>
        </w:rPr>
        <w:t xml:space="preserve"> les Parties qui ont accompli des progrès dans le r</w:t>
      </w:r>
      <w:r>
        <w:rPr>
          <w:snapToGrid w:val="0"/>
          <w:kern w:val="22"/>
          <w:szCs w:val="18"/>
        </w:rPr>
        <w:t>espect de certaines obligations</w:t>
      </w:r>
      <w:r w:rsidRPr="00083AE3">
        <w:rPr>
          <w:snapToGrid w:val="0"/>
          <w:kern w:val="22"/>
          <w:szCs w:val="18"/>
        </w:rPr>
        <w:t xml:space="preserve"> à communiquer des informations pertinentes sur les circonstances qui les ont permis, dans les </w:t>
      </w:r>
      <w:r>
        <w:rPr>
          <w:snapToGrid w:val="0"/>
          <w:kern w:val="22"/>
          <w:szCs w:val="18"/>
        </w:rPr>
        <w:t>champs</w:t>
      </w:r>
      <w:r w:rsidRPr="00083AE3">
        <w:rPr>
          <w:snapToGrid w:val="0"/>
          <w:kern w:val="22"/>
          <w:szCs w:val="18"/>
        </w:rPr>
        <w:t xml:space="preserve"> </w:t>
      </w:r>
      <w:r>
        <w:rPr>
          <w:rFonts w:eastAsia="SimSun"/>
          <w:snapToGrid w:val="0"/>
          <w:kern w:val="22"/>
          <w:szCs w:val="18"/>
          <w:lang w:eastAsia="zh-CN"/>
        </w:rPr>
        <w:t>à texte libre du modèle de rapport pour le quatrième rapport</w:t>
      </w:r>
      <w:r w:rsidRPr="00083AE3">
        <w:rPr>
          <w:rFonts w:eastAsia="SimSun"/>
          <w:snapToGrid w:val="0"/>
          <w:kern w:val="22"/>
          <w:szCs w:val="18"/>
          <w:lang w:eastAsia="zh-CN"/>
        </w:rPr>
        <w:t xml:space="preserve"> </w:t>
      </w:r>
      <w:r>
        <w:rPr>
          <w:snapToGrid w:val="0"/>
          <w:kern w:val="22"/>
          <w:szCs w:val="18"/>
        </w:rPr>
        <w:t>national</w:t>
      </w:r>
      <w:r w:rsidRPr="00083AE3">
        <w:rPr>
          <w:snapToGrid w:val="0"/>
          <w:kern w:val="22"/>
          <w:szCs w:val="18"/>
        </w:rPr>
        <w:t xml:space="preserve"> ou dans le cadre des coopérations bilatérales ou régionales;</w:t>
      </w:r>
    </w:p>
    <w:p w14:paraId="429FF20F"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 xml:space="preserve">Encourage </w:t>
      </w:r>
      <w:r w:rsidRPr="00083AE3">
        <w:rPr>
          <w:snapToGrid w:val="0"/>
          <w:kern w:val="22"/>
          <w:szCs w:val="18"/>
        </w:rPr>
        <w:t>les</w:t>
      </w:r>
      <w:r>
        <w:rPr>
          <w:snapToGrid w:val="0"/>
          <w:kern w:val="22"/>
          <w:szCs w:val="18"/>
        </w:rPr>
        <w:t xml:space="preserve"> Parties à utiliser les champs</w:t>
      </w:r>
      <w:r w:rsidRPr="00083AE3">
        <w:rPr>
          <w:snapToGrid w:val="0"/>
          <w:kern w:val="22"/>
          <w:szCs w:val="18"/>
        </w:rPr>
        <w:t xml:space="preserve"> </w:t>
      </w:r>
      <w:r w:rsidRPr="00083AE3">
        <w:rPr>
          <w:rFonts w:eastAsia="SimSun"/>
          <w:snapToGrid w:val="0"/>
          <w:kern w:val="22"/>
          <w:szCs w:val="18"/>
          <w:lang w:eastAsia="zh-CN"/>
        </w:rPr>
        <w:t xml:space="preserve">à texte libre du modèle de rapport </w:t>
      </w:r>
      <w:r>
        <w:rPr>
          <w:rFonts w:eastAsia="SimSun"/>
          <w:snapToGrid w:val="0"/>
          <w:kern w:val="22"/>
          <w:szCs w:val="18"/>
          <w:lang w:eastAsia="zh-CN"/>
        </w:rPr>
        <w:t xml:space="preserve">pour le quatrième rapport national, afin de </w:t>
      </w:r>
      <w:r w:rsidRPr="00083AE3">
        <w:rPr>
          <w:rFonts w:eastAsia="SimSun"/>
          <w:snapToGrid w:val="0"/>
          <w:kern w:val="22"/>
          <w:szCs w:val="18"/>
          <w:lang w:eastAsia="zh-CN"/>
        </w:rPr>
        <w:t xml:space="preserve">fournir des explications sur les réponses apportées, et </w:t>
      </w:r>
      <w:r w:rsidRPr="00083AE3">
        <w:rPr>
          <w:rFonts w:eastAsia="SimSun"/>
          <w:i/>
          <w:snapToGrid w:val="0"/>
          <w:kern w:val="22"/>
          <w:szCs w:val="18"/>
          <w:lang w:eastAsia="zh-CN"/>
        </w:rPr>
        <w:t>invite</w:t>
      </w:r>
      <w:r w:rsidRPr="00083AE3">
        <w:rPr>
          <w:rFonts w:eastAsia="SimSun"/>
          <w:snapToGrid w:val="0"/>
          <w:kern w:val="22"/>
          <w:szCs w:val="18"/>
          <w:lang w:eastAsia="zh-CN"/>
        </w:rPr>
        <w:t xml:space="preserve"> les Parties </w:t>
      </w:r>
      <w:r w:rsidRPr="00083AE3">
        <w:rPr>
          <w:snapToGrid w:val="0"/>
          <w:kern w:val="22"/>
          <w:szCs w:val="18"/>
        </w:rPr>
        <w:t xml:space="preserve">ayant du mal à </w:t>
      </w:r>
      <w:r>
        <w:rPr>
          <w:snapToGrid w:val="0"/>
          <w:kern w:val="22"/>
          <w:szCs w:val="18"/>
        </w:rPr>
        <w:t>respecter certaines obligations</w:t>
      </w:r>
      <w:r w:rsidRPr="00083AE3">
        <w:rPr>
          <w:snapToGrid w:val="0"/>
          <w:kern w:val="22"/>
          <w:szCs w:val="18"/>
        </w:rPr>
        <w:t xml:space="preserve"> à communiquer des informations sur les obstacles rencontrés da</w:t>
      </w:r>
      <w:r>
        <w:rPr>
          <w:snapToGrid w:val="0"/>
          <w:kern w:val="22"/>
          <w:szCs w:val="18"/>
        </w:rPr>
        <w:t>ns les champs à texte libre du modèle de rapport pour le quatrième rapport national</w:t>
      </w:r>
      <w:r w:rsidRPr="00083AE3">
        <w:rPr>
          <w:snapToGrid w:val="0"/>
          <w:kern w:val="22"/>
          <w:szCs w:val="18"/>
        </w:rPr>
        <w:t>;</w:t>
      </w:r>
    </w:p>
    <w:p w14:paraId="0D1612E0"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22"/>
        </w:rPr>
        <w:t>Prend note</w:t>
      </w:r>
      <w:r w:rsidRPr="00083AE3">
        <w:rPr>
          <w:snapToGrid w:val="0"/>
          <w:kern w:val="22"/>
          <w:szCs w:val="22"/>
        </w:rPr>
        <w:t xml:space="preserve"> avec satisfaction des efforts déployés par les Parties pour respecter l’obligation qui leur incombe au titre du Protocole de fournir des informations au Centre d’échange pour la prévention des risques biotechnologiques;</w:t>
      </w:r>
    </w:p>
    <w:p w14:paraId="22DEE4A8"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Invite instamment</w:t>
      </w:r>
      <w:r w:rsidRPr="00083AE3">
        <w:rPr>
          <w:snapToGrid w:val="0"/>
          <w:kern w:val="22"/>
          <w:szCs w:val="18"/>
        </w:rPr>
        <w:t xml:space="preserve"> les Parties à adresser, en temps voulu, toutes les informations requises au Centre d’échange pour la prévention des risques biotechnologiques, en particulier les évaluations de risques et les décisions finales relatives au premier mouvement intentionnel transfrontière d’organismes </w:t>
      </w:r>
      <w:r w:rsidRPr="00083AE3">
        <w:rPr>
          <w:rFonts w:eastAsia="SimSun"/>
          <w:snapToGrid w:val="0"/>
          <w:kern w:val="22"/>
          <w:szCs w:val="22"/>
          <w:lang w:eastAsia="zh-CN"/>
        </w:rPr>
        <w:t>vivants modifiés destinés à être introduits intentionnellement d</w:t>
      </w:r>
      <w:r>
        <w:rPr>
          <w:rFonts w:eastAsia="SimSun"/>
          <w:snapToGrid w:val="0"/>
          <w:kern w:val="22"/>
          <w:szCs w:val="22"/>
          <w:lang w:eastAsia="zh-CN"/>
        </w:rPr>
        <w:t>ans l’environnement, notamment l</w:t>
      </w:r>
      <w:r w:rsidRPr="00083AE3">
        <w:rPr>
          <w:rFonts w:eastAsia="SimSun"/>
          <w:snapToGrid w:val="0"/>
          <w:kern w:val="22"/>
          <w:szCs w:val="22"/>
          <w:lang w:eastAsia="zh-CN"/>
        </w:rPr>
        <w:t>es organismes vivants modifiés destinés à des essais sur le terrain;</w:t>
      </w:r>
    </w:p>
    <w:p w14:paraId="5BF6CD3B"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 xml:space="preserve">Rappelle </w:t>
      </w:r>
      <w:r w:rsidRPr="00083AE3">
        <w:rPr>
          <w:snapToGrid w:val="0"/>
          <w:kern w:val="22"/>
          <w:szCs w:val="18"/>
        </w:rPr>
        <w:t>aux Parties la nécessité de mettre continuellement à jour les coordonnées de leurs correspondants nationaux sur le site du Centre d’échange pour la prévention des risques biotechnologiques;</w:t>
      </w:r>
    </w:p>
    <w:p w14:paraId="262C4639"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Invite instamment</w:t>
      </w:r>
      <w:r>
        <w:rPr>
          <w:snapToGrid w:val="0"/>
          <w:kern w:val="22"/>
          <w:szCs w:val="18"/>
        </w:rPr>
        <w:t xml:space="preserve"> les Pa</w:t>
      </w:r>
      <w:r w:rsidRPr="00083AE3">
        <w:rPr>
          <w:snapToGrid w:val="0"/>
          <w:kern w:val="22"/>
          <w:szCs w:val="18"/>
        </w:rPr>
        <w:t>rties à coordonner, à l’échelle nationale, les informations fournies dans les rapports nationaux et au Centre d’échange pour la prévention des risques biotechnologiques, afin d</w:t>
      </w:r>
      <w:r>
        <w:rPr>
          <w:snapToGrid w:val="0"/>
          <w:kern w:val="22"/>
          <w:szCs w:val="18"/>
        </w:rPr>
        <w:t xml:space="preserve">’éviter toute incohérence, et </w:t>
      </w:r>
      <w:r w:rsidRPr="00CA5CD2">
        <w:rPr>
          <w:i/>
          <w:snapToGrid w:val="0"/>
          <w:kern w:val="22"/>
          <w:szCs w:val="18"/>
        </w:rPr>
        <w:t>encourage</w:t>
      </w:r>
      <w:r>
        <w:rPr>
          <w:snapToGrid w:val="0"/>
          <w:kern w:val="22"/>
          <w:szCs w:val="18"/>
        </w:rPr>
        <w:t xml:space="preserve"> une</w:t>
      </w:r>
      <w:r w:rsidRPr="00083AE3">
        <w:rPr>
          <w:snapToGrid w:val="0"/>
          <w:kern w:val="22"/>
          <w:szCs w:val="18"/>
        </w:rPr>
        <w:t xml:space="preserve"> communication entre les correspondants nationaux et les autorités nationales compétentes;</w:t>
      </w:r>
    </w:p>
    <w:p w14:paraId="0B8EC0DE"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lastRenderedPageBreak/>
        <w:t xml:space="preserve">Rappelle </w:t>
      </w:r>
      <w:r>
        <w:rPr>
          <w:snapToGrid w:val="0"/>
          <w:kern w:val="22"/>
          <w:szCs w:val="18"/>
        </w:rPr>
        <w:t xml:space="preserve">aux </w:t>
      </w:r>
      <w:r w:rsidRPr="00083AE3">
        <w:rPr>
          <w:snapToGrid w:val="0"/>
          <w:kern w:val="22"/>
          <w:szCs w:val="18"/>
        </w:rPr>
        <w:t>Parties l’importance de nouer un dialogue constructif avec l’ensemble des parties prenantes, y compris les entreprises industrielles, le grand public, les peuples autochtones et communautés locales, et les femmes, afin d’assurer l’application effective du Protocole;</w:t>
      </w:r>
    </w:p>
    <w:p w14:paraId="7E89B50C"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Encourage</w:t>
      </w:r>
      <w:r w:rsidRPr="00083AE3">
        <w:rPr>
          <w:snapToGrid w:val="0"/>
          <w:kern w:val="22"/>
          <w:szCs w:val="18"/>
        </w:rPr>
        <w:t xml:space="preserve"> les Parties à intégrer la </w:t>
      </w:r>
      <w:r w:rsidRPr="00083AE3">
        <w:rPr>
          <w:kern w:val="22"/>
          <w:szCs w:val="18"/>
          <w:lang w:eastAsia="en-CA"/>
        </w:rPr>
        <w:t xml:space="preserve">prévention des risques biotechnologiques </w:t>
      </w:r>
      <w:r w:rsidRPr="00083AE3">
        <w:rPr>
          <w:snapToGrid w:val="0"/>
          <w:kern w:val="22"/>
          <w:szCs w:val="18"/>
        </w:rPr>
        <w:t>dans leurs systèmes éducatifs;</w:t>
      </w:r>
    </w:p>
    <w:p w14:paraId="03F39A9A"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Invite instamment</w:t>
      </w:r>
      <w:r w:rsidRPr="00083AE3">
        <w:rPr>
          <w:snapToGrid w:val="0"/>
          <w:kern w:val="22"/>
          <w:szCs w:val="18"/>
        </w:rPr>
        <w:t xml:space="preserve"> les Parties et</w:t>
      </w:r>
      <w:r w:rsidRPr="00083AE3">
        <w:rPr>
          <w:i/>
          <w:snapToGrid w:val="0"/>
          <w:kern w:val="22"/>
          <w:szCs w:val="18"/>
        </w:rPr>
        <w:t xml:space="preserve"> invite</w:t>
      </w:r>
      <w:r w:rsidRPr="00083AE3">
        <w:rPr>
          <w:snapToGrid w:val="0"/>
          <w:kern w:val="22"/>
          <w:szCs w:val="18"/>
        </w:rPr>
        <w:t xml:space="preserve"> les autres gouvernements à fournir des financements volontaires, afin d’aider les Parties </w:t>
      </w:r>
      <w:r>
        <w:rPr>
          <w:snapToGrid w:val="0"/>
          <w:kern w:val="22"/>
          <w:szCs w:val="18"/>
        </w:rPr>
        <w:t xml:space="preserve">qui ont été </w:t>
      </w:r>
      <w:r w:rsidRPr="00083AE3">
        <w:rPr>
          <w:snapToGrid w:val="0"/>
          <w:kern w:val="22"/>
          <w:szCs w:val="18"/>
        </w:rPr>
        <w:t xml:space="preserve">priées par le Comité d’élaborer et de mettre en œuvre des plans d’action sur </w:t>
      </w:r>
      <w:r w:rsidRPr="00083AE3">
        <w:rPr>
          <w:snapToGrid w:val="0"/>
          <w:kern w:val="22"/>
          <w:szCs w:val="22"/>
        </w:rPr>
        <w:t>le respect des obligations;</w:t>
      </w:r>
    </w:p>
    <w:p w14:paraId="337EC88F" w14:textId="77777777" w:rsidR="00741BCC" w:rsidRPr="00083AE3" w:rsidRDefault="00741BCC" w:rsidP="00741BCC">
      <w:pPr>
        <w:numPr>
          <w:ilvl w:val="0"/>
          <w:numId w:val="13"/>
        </w:numPr>
        <w:tabs>
          <w:tab w:val="clear" w:pos="360"/>
        </w:tabs>
        <w:spacing w:before="120" w:after="120"/>
        <w:ind w:firstLine="709"/>
        <w:rPr>
          <w:snapToGrid w:val="0"/>
          <w:kern w:val="22"/>
          <w:szCs w:val="18"/>
        </w:rPr>
      </w:pPr>
      <w:r w:rsidRPr="00083AE3">
        <w:rPr>
          <w:i/>
          <w:snapToGrid w:val="0"/>
          <w:kern w:val="22"/>
          <w:szCs w:val="18"/>
        </w:rPr>
        <w:t>Encourage</w:t>
      </w:r>
      <w:r w:rsidRPr="00083AE3">
        <w:rPr>
          <w:snapToGrid w:val="0"/>
          <w:kern w:val="22"/>
          <w:szCs w:val="18"/>
        </w:rPr>
        <w:t xml:space="preserve"> les Parties à consacrer des crédits à la </w:t>
      </w:r>
      <w:r w:rsidRPr="00083AE3">
        <w:rPr>
          <w:kern w:val="22"/>
          <w:szCs w:val="18"/>
          <w:lang w:eastAsia="en-CA"/>
        </w:rPr>
        <w:t xml:space="preserve">prévention des risques biotechnologiques </w:t>
      </w:r>
      <w:r w:rsidRPr="00083AE3">
        <w:rPr>
          <w:snapToGrid w:val="0"/>
          <w:kern w:val="22"/>
          <w:szCs w:val="18"/>
        </w:rPr>
        <w:t>dans leurs budgets nationaux, dans la mesure du possible;</w:t>
      </w:r>
    </w:p>
    <w:p w14:paraId="21E0DBC9" w14:textId="77777777" w:rsidR="00741BCC" w:rsidRPr="00083AE3" w:rsidRDefault="00741BCC" w:rsidP="00741BCC">
      <w:pPr>
        <w:numPr>
          <w:ilvl w:val="0"/>
          <w:numId w:val="13"/>
        </w:numPr>
        <w:tabs>
          <w:tab w:val="clear" w:pos="360"/>
          <w:tab w:val="num" w:pos="709"/>
        </w:tabs>
        <w:spacing w:before="120" w:after="120"/>
        <w:ind w:firstLine="709"/>
        <w:rPr>
          <w:snapToGrid w:val="0"/>
          <w:szCs w:val="18"/>
        </w:rPr>
      </w:pPr>
      <w:r w:rsidRPr="00083AE3">
        <w:rPr>
          <w:i/>
          <w:snapToGrid w:val="0"/>
          <w:szCs w:val="18"/>
        </w:rPr>
        <w:t>Constate avec regret</w:t>
      </w:r>
      <w:r w:rsidRPr="00083AE3">
        <w:rPr>
          <w:snapToGrid w:val="0"/>
          <w:szCs w:val="18"/>
        </w:rPr>
        <w:t xml:space="preserve"> qu’une Partie n’a pas remis ses rapports nationaux pendant plusieurs cycles d’établissement de rapports;</w:t>
      </w:r>
    </w:p>
    <w:p w14:paraId="4A5C6C96" w14:textId="77777777" w:rsidR="00741BCC" w:rsidRPr="00083AE3" w:rsidRDefault="00741BCC" w:rsidP="00741BCC">
      <w:pPr>
        <w:numPr>
          <w:ilvl w:val="0"/>
          <w:numId w:val="13"/>
        </w:numPr>
        <w:tabs>
          <w:tab w:val="clear" w:pos="360"/>
          <w:tab w:val="num" w:pos="709"/>
        </w:tabs>
        <w:spacing w:before="120" w:after="120"/>
        <w:ind w:firstLine="709"/>
        <w:rPr>
          <w:snapToGrid w:val="0"/>
          <w:szCs w:val="18"/>
        </w:rPr>
      </w:pPr>
      <w:r w:rsidRPr="00083AE3">
        <w:rPr>
          <w:i/>
          <w:snapToGrid w:val="0"/>
          <w:szCs w:val="18"/>
        </w:rPr>
        <w:t>Constate également</w:t>
      </w:r>
      <w:r w:rsidRPr="00083AE3">
        <w:rPr>
          <w:snapToGrid w:val="0"/>
          <w:szCs w:val="18"/>
        </w:rPr>
        <w:t xml:space="preserve"> que le Comité chargé du respect des obligations et la Secrétaire exécutive ont contacté la Partie dont il est question au paragraphe 15 ci-dessus à de multiples occasions, conformément à la décision BS-V/1, en lui offra</w:t>
      </w:r>
      <w:r>
        <w:rPr>
          <w:snapToGrid w:val="0"/>
          <w:szCs w:val="18"/>
        </w:rPr>
        <w:t xml:space="preserve">nt notamment une assistance à la préparation de </w:t>
      </w:r>
      <w:r w:rsidRPr="00083AE3">
        <w:rPr>
          <w:snapToGrid w:val="0"/>
          <w:szCs w:val="18"/>
        </w:rPr>
        <w:t>ses rapports;</w:t>
      </w:r>
    </w:p>
    <w:p w14:paraId="56BE83AB" w14:textId="77777777" w:rsidR="00741BCC" w:rsidRPr="00083AE3" w:rsidRDefault="00741BCC" w:rsidP="00741BCC">
      <w:pPr>
        <w:numPr>
          <w:ilvl w:val="0"/>
          <w:numId w:val="13"/>
        </w:numPr>
        <w:tabs>
          <w:tab w:val="clear" w:pos="360"/>
          <w:tab w:val="num" w:pos="709"/>
        </w:tabs>
        <w:spacing w:before="120" w:after="120"/>
        <w:ind w:firstLine="709"/>
        <w:rPr>
          <w:snapToGrid w:val="0"/>
          <w:szCs w:val="18"/>
        </w:rPr>
      </w:pPr>
      <w:r w:rsidRPr="00083AE3">
        <w:rPr>
          <w:i/>
          <w:snapToGrid w:val="0"/>
          <w:szCs w:val="18"/>
        </w:rPr>
        <w:t xml:space="preserve">Demande </w:t>
      </w:r>
      <w:r w:rsidRPr="00083AE3">
        <w:rPr>
          <w:snapToGrid w:val="0"/>
          <w:szCs w:val="18"/>
        </w:rPr>
        <w:t>à la Partie dont il est question au paragraphe 15 ci-dessus de remettre son troisième rapport national de toute urgence;</w:t>
      </w:r>
    </w:p>
    <w:p w14:paraId="65CE1468" w14:textId="77777777" w:rsidR="00741BCC" w:rsidRPr="00083AE3" w:rsidRDefault="00741BCC" w:rsidP="00741BCC">
      <w:pPr>
        <w:numPr>
          <w:ilvl w:val="0"/>
          <w:numId w:val="13"/>
        </w:numPr>
        <w:tabs>
          <w:tab w:val="clear" w:pos="360"/>
          <w:tab w:val="num" w:pos="709"/>
        </w:tabs>
        <w:spacing w:before="120" w:after="360"/>
        <w:ind w:firstLine="709"/>
        <w:rPr>
          <w:snapToGrid w:val="0"/>
          <w:szCs w:val="18"/>
        </w:rPr>
      </w:pPr>
      <w:r w:rsidRPr="00083AE3">
        <w:rPr>
          <w:i/>
          <w:snapToGrid w:val="0"/>
          <w:szCs w:val="18"/>
        </w:rPr>
        <w:t>Encourage</w:t>
      </w:r>
      <w:r w:rsidRPr="00083AE3">
        <w:rPr>
          <w:iCs/>
          <w:snapToGrid w:val="0"/>
          <w:szCs w:val="18"/>
        </w:rPr>
        <w:t xml:space="preserve"> la</w:t>
      </w:r>
      <w:r w:rsidRPr="00083AE3">
        <w:rPr>
          <w:snapToGrid w:val="0"/>
          <w:szCs w:val="18"/>
        </w:rPr>
        <w:t xml:space="preserve"> Partie dont il est question au paragraphe 15 ci-dessus à demander l’assistance du Comité chargé du respect des obligations, conformément à la décision BS-V/1, si elle a bes</w:t>
      </w:r>
      <w:r>
        <w:rPr>
          <w:snapToGrid w:val="0"/>
          <w:szCs w:val="18"/>
        </w:rPr>
        <w:t>oin d’une aide pour préparer ses</w:t>
      </w:r>
      <w:r w:rsidRPr="00083AE3">
        <w:rPr>
          <w:snapToGrid w:val="0"/>
          <w:szCs w:val="18"/>
        </w:rPr>
        <w:t xml:space="preserve"> rapport</w:t>
      </w:r>
      <w:r>
        <w:rPr>
          <w:snapToGrid w:val="0"/>
          <w:szCs w:val="18"/>
        </w:rPr>
        <w:t>s</w:t>
      </w:r>
      <w:r w:rsidRPr="00083AE3">
        <w:rPr>
          <w:snapToGrid w:val="0"/>
          <w:szCs w:val="18"/>
        </w:rPr>
        <w:t>.</w:t>
      </w:r>
    </w:p>
    <w:p w14:paraId="060B6EE7" w14:textId="77777777" w:rsidR="00741BCC" w:rsidRDefault="00741BCC">
      <w:pPr>
        <w:jc w:val="left"/>
        <w:rPr>
          <w:rFonts w:cs="Times New Roman"/>
          <w:b/>
          <w:snapToGrid w:val="0"/>
          <w:kern w:val="22"/>
          <w:szCs w:val="22"/>
        </w:rPr>
      </w:pPr>
      <w:r>
        <w:rPr>
          <w:rFonts w:cs="Times New Roman"/>
          <w:b/>
          <w:snapToGrid w:val="0"/>
          <w:kern w:val="22"/>
          <w:szCs w:val="22"/>
        </w:rPr>
        <w:br w:type="page"/>
      </w:r>
    </w:p>
    <w:p w14:paraId="137E45F0" w14:textId="7463FAF3" w:rsidR="00741BCC" w:rsidRPr="00A92C6A" w:rsidRDefault="00741BCC" w:rsidP="00A92C6A">
      <w:pPr>
        <w:pStyle w:val="Heading2"/>
        <w:tabs>
          <w:tab w:val="clear" w:pos="720"/>
          <w:tab w:val="left" w:pos="851"/>
        </w:tabs>
        <w:spacing w:after="240"/>
        <w:ind w:left="851" w:hanging="709"/>
        <w:jc w:val="left"/>
        <w:rPr>
          <w:bCs w:val="0"/>
          <w:caps/>
          <w:lang w:val="fr-CA"/>
        </w:rPr>
      </w:pPr>
      <w:bookmarkStart w:id="4" w:name="_Toc7428842"/>
      <w:r w:rsidRPr="00A92C6A">
        <w:rPr>
          <w:bCs w:val="0"/>
        </w:rPr>
        <w:lastRenderedPageBreak/>
        <w:t xml:space="preserve">9/2.    </w:t>
      </w:r>
      <w:r w:rsidR="007A0534" w:rsidRPr="00A92C6A">
        <w:rPr>
          <w:bCs w:val="0"/>
        </w:rPr>
        <w:tab/>
      </w:r>
      <w:r w:rsidRPr="00A92C6A">
        <w:rPr>
          <w:bCs w:val="0"/>
        </w:rPr>
        <w:t>F</w:t>
      </w:r>
      <w:r w:rsidRPr="00A92C6A">
        <w:rPr>
          <w:bCs w:val="0"/>
          <w:lang w:val="fr-CA"/>
        </w:rPr>
        <w:t>onctionnement et activités du Centre d’échange pour la prévention des risques biotechnologiques (article 20)</w:t>
      </w:r>
      <w:bookmarkEnd w:id="4"/>
    </w:p>
    <w:p w14:paraId="6E4DB272" w14:textId="77777777" w:rsidR="00741BCC" w:rsidRPr="0057031B" w:rsidRDefault="00741BCC" w:rsidP="00741BCC">
      <w:pPr>
        <w:pStyle w:val="Para1"/>
        <w:numPr>
          <w:ilvl w:val="0"/>
          <w:numId w:val="0"/>
        </w:numPr>
        <w:suppressLineNumbers/>
        <w:suppressAutoHyphens/>
        <w:ind w:firstLine="709"/>
        <w:rPr>
          <w:rStyle w:val="None"/>
          <w:i/>
          <w:iCs/>
          <w:lang w:val="fr-CA"/>
        </w:rPr>
      </w:pPr>
      <w:r w:rsidRPr="0057031B">
        <w:rPr>
          <w:rStyle w:val="None"/>
          <w:i/>
          <w:iCs/>
          <w:lang w:val="fr-CA"/>
        </w:rPr>
        <w:t>La Conférence des Parties siégeant en tant que réunion des Parties au Protocole de Cartagena sur la prévention des risques biotechnologiques,</w:t>
      </w:r>
    </w:p>
    <w:p w14:paraId="35C3AA56" w14:textId="77777777" w:rsidR="00741BCC" w:rsidRPr="00D7251C" w:rsidRDefault="00741BCC" w:rsidP="00741BCC">
      <w:pPr>
        <w:pStyle w:val="Para1"/>
        <w:numPr>
          <w:ilvl w:val="0"/>
          <w:numId w:val="0"/>
        </w:numPr>
        <w:suppressLineNumbers/>
        <w:suppressAutoHyphens/>
        <w:ind w:firstLine="709"/>
        <w:rPr>
          <w:rStyle w:val="None"/>
          <w:i/>
          <w:iCs/>
          <w:lang w:val="fr-CA"/>
        </w:rPr>
      </w:pPr>
      <w:r w:rsidRPr="0057031B">
        <w:rPr>
          <w:rStyle w:val="None"/>
          <w:i/>
          <w:iCs/>
          <w:lang w:val="fr-CA"/>
        </w:rPr>
        <w:t xml:space="preserve">Notant avec préoccupation </w:t>
      </w:r>
      <w:r w:rsidRPr="0057031B">
        <w:rPr>
          <w:rStyle w:val="None"/>
          <w:iCs/>
          <w:lang w:val="fr-CA"/>
        </w:rPr>
        <w:t xml:space="preserve">que certaines activités importantes visées dans la décision </w:t>
      </w:r>
      <w:hyperlink r:id="rId12" w:history="1">
        <w:r w:rsidRPr="00E7224B">
          <w:rPr>
            <w:rStyle w:val="Hyperlink"/>
            <w:iCs/>
            <w:lang w:val="fr-CA"/>
          </w:rPr>
          <w:t>CP-VIII/2</w:t>
        </w:r>
      </w:hyperlink>
      <w:r w:rsidRPr="0057031B">
        <w:rPr>
          <w:rStyle w:val="None"/>
          <w:iCs/>
          <w:lang w:val="fr-CA"/>
        </w:rPr>
        <w:t xml:space="preserve"> n</w:t>
      </w:r>
      <w:r>
        <w:rPr>
          <w:rStyle w:val="None"/>
          <w:iCs/>
          <w:lang w:val="fr-CA"/>
        </w:rPr>
        <w:t>’</w:t>
      </w:r>
      <w:r w:rsidRPr="0057031B">
        <w:rPr>
          <w:rStyle w:val="None"/>
          <w:iCs/>
          <w:lang w:val="fr-CA"/>
        </w:rPr>
        <w:t>ont pas été mises en œuvre</w:t>
      </w:r>
      <w:r w:rsidRPr="00D7251C">
        <w:rPr>
          <w:lang w:val="fr-CA"/>
        </w:rPr>
        <w:t>,</w:t>
      </w:r>
    </w:p>
    <w:p w14:paraId="2E6A86E0" w14:textId="77777777" w:rsidR="00741BCC" w:rsidRPr="0057031B" w:rsidRDefault="00741BCC" w:rsidP="004C7DBD">
      <w:pPr>
        <w:pStyle w:val="Para1"/>
        <w:numPr>
          <w:ilvl w:val="0"/>
          <w:numId w:val="21"/>
        </w:numPr>
        <w:snapToGrid w:val="0"/>
        <w:ind w:left="0" w:firstLine="720"/>
        <w:rPr>
          <w:lang w:val="fr-CA"/>
        </w:rPr>
      </w:pPr>
      <w:r>
        <w:rPr>
          <w:rStyle w:val="None"/>
          <w:i/>
          <w:iCs/>
          <w:lang w:val="fr-CA"/>
        </w:rPr>
        <w:t xml:space="preserve">Accueille avec </w:t>
      </w:r>
      <w:r w:rsidRPr="0057031B">
        <w:rPr>
          <w:rStyle w:val="None"/>
          <w:i/>
          <w:iCs/>
          <w:lang w:val="fr-CA"/>
        </w:rPr>
        <w:t xml:space="preserve">satisfaction </w:t>
      </w:r>
      <w:r w:rsidRPr="0057031B">
        <w:rPr>
          <w:rStyle w:val="None"/>
          <w:lang w:val="fr-CA"/>
        </w:rPr>
        <w:t xml:space="preserve">les efforts déployés avec constance par les </w:t>
      </w:r>
      <w:r w:rsidRPr="0057031B">
        <w:rPr>
          <w:lang w:val="fr-CA"/>
        </w:rPr>
        <w:t>Parties, les autres gouvernements et les organisations concernées, afin d</w:t>
      </w:r>
      <w:r>
        <w:rPr>
          <w:lang w:val="fr-CA"/>
        </w:rPr>
        <w:t>’</w:t>
      </w:r>
      <w:r w:rsidRPr="0057031B">
        <w:rPr>
          <w:lang w:val="fr-CA"/>
        </w:rPr>
        <w:t>appuyer la mise en œuvre du Centre d</w:t>
      </w:r>
      <w:r>
        <w:rPr>
          <w:lang w:val="fr-CA"/>
        </w:rPr>
        <w:t>’</w:t>
      </w:r>
      <w:r w:rsidRPr="0057031B">
        <w:rPr>
          <w:lang w:val="fr-CA"/>
        </w:rPr>
        <w:t>échange pour la prévention des risques b</w:t>
      </w:r>
      <w:r>
        <w:rPr>
          <w:lang w:val="fr-CA"/>
        </w:rPr>
        <w:t>iotechnologiques, et de mener à bien</w:t>
      </w:r>
      <w:r w:rsidRPr="0057031B">
        <w:rPr>
          <w:lang w:val="fr-CA"/>
        </w:rPr>
        <w:t xml:space="preserve"> les activités de renforcement des capacités correspondantes, et les </w:t>
      </w:r>
      <w:r w:rsidRPr="0057031B">
        <w:rPr>
          <w:i/>
          <w:iCs/>
          <w:lang w:val="fr-CA"/>
        </w:rPr>
        <w:t>invite</w:t>
      </w:r>
      <w:r w:rsidRPr="0057031B">
        <w:rPr>
          <w:lang w:val="fr-CA"/>
        </w:rPr>
        <w:t xml:space="preserve"> </w:t>
      </w:r>
      <w:r>
        <w:rPr>
          <w:lang w:val="fr-CA"/>
        </w:rPr>
        <w:t>à poursuivre ces efforts, en vue</w:t>
      </w:r>
      <w:r w:rsidRPr="0057031B">
        <w:rPr>
          <w:lang w:val="fr-CA"/>
        </w:rPr>
        <w:t xml:space="preserve"> de consolider la contribution du Centre d</w:t>
      </w:r>
      <w:r>
        <w:rPr>
          <w:lang w:val="fr-CA"/>
        </w:rPr>
        <w:t>’</w:t>
      </w:r>
      <w:r w:rsidRPr="0057031B">
        <w:rPr>
          <w:lang w:val="fr-CA"/>
        </w:rPr>
        <w:t>échange pour la prévention des risques biot</w:t>
      </w:r>
      <w:r>
        <w:rPr>
          <w:lang w:val="fr-CA"/>
        </w:rPr>
        <w:t>echnologiques à l’application</w:t>
      </w:r>
      <w:r w:rsidRPr="0057031B">
        <w:rPr>
          <w:lang w:val="fr-CA"/>
        </w:rPr>
        <w:t xml:space="preserve"> du Protocole de Cartagena</w:t>
      </w:r>
      <w:r>
        <w:rPr>
          <w:lang w:val="fr-CA"/>
        </w:rPr>
        <w:t xml:space="preserve"> sur la prévention des risques biotechnologiques</w:t>
      </w:r>
      <w:r w:rsidRPr="0057031B">
        <w:rPr>
          <w:lang w:val="fr-CA"/>
        </w:rPr>
        <w:t>;</w:t>
      </w:r>
    </w:p>
    <w:p w14:paraId="47C50CDA" w14:textId="77777777" w:rsidR="00741BCC" w:rsidRPr="00D7251C" w:rsidRDefault="00741BCC" w:rsidP="005863B9">
      <w:pPr>
        <w:pStyle w:val="Para1"/>
        <w:numPr>
          <w:ilvl w:val="0"/>
          <w:numId w:val="48"/>
        </w:numPr>
        <w:tabs>
          <w:tab w:val="clear" w:pos="360"/>
        </w:tabs>
        <w:ind w:firstLine="709"/>
        <w:rPr>
          <w:rStyle w:val="None"/>
          <w:lang w:val="fr-CA"/>
        </w:rPr>
      </w:pPr>
      <w:r w:rsidRPr="0057031B">
        <w:rPr>
          <w:rStyle w:val="None"/>
          <w:i/>
          <w:iCs/>
          <w:lang w:val="fr-CA"/>
        </w:rPr>
        <w:t>Accueille avec satisfaction</w:t>
      </w:r>
      <w:r w:rsidRPr="0057031B">
        <w:rPr>
          <w:rStyle w:val="None"/>
          <w:lang w:val="fr-CA"/>
        </w:rPr>
        <w:t xml:space="preserve"> la mise en œuvre du </w:t>
      </w:r>
      <w:r>
        <w:rPr>
          <w:lang w:val="fr-CA"/>
        </w:rPr>
        <w:t xml:space="preserve">« Projet de </w:t>
      </w:r>
      <w:r w:rsidRPr="0057031B">
        <w:rPr>
          <w:lang w:val="fr-CA"/>
        </w:rPr>
        <w:t>renforcement des capacités d</w:t>
      </w:r>
      <w:r>
        <w:rPr>
          <w:lang w:val="fr-CA"/>
        </w:rPr>
        <w:t>urable</w:t>
      </w:r>
      <w:r w:rsidRPr="0057031B">
        <w:rPr>
          <w:lang w:val="fr-CA"/>
        </w:rPr>
        <w:t xml:space="preserve"> </w:t>
      </w:r>
      <w:r>
        <w:rPr>
          <w:lang w:val="fr-CA"/>
        </w:rPr>
        <w:t>pour une participation effective au</w:t>
      </w:r>
      <w:r w:rsidRPr="0057031B">
        <w:rPr>
          <w:lang w:val="fr-CA"/>
        </w:rPr>
        <w:t xml:space="preserve"> Centre d</w:t>
      </w:r>
      <w:r>
        <w:rPr>
          <w:lang w:val="fr-CA"/>
        </w:rPr>
        <w:t xml:space="preserve">’échange pour </w:t>
      </w:r>
      <w:r w:rsidRPr="0057031B">
        <w:rPr>
          <w:lang w:val="fr-CA"/>
        </w:rPr>
        <w:t>la prévention des risques biotechnologi</w:t>
      </w:r>
      <w:r>
        <w:rPr>
          <w:lang w:val="fr-CA"/>
        </w:rPr>
        <w:t>ques » (projet CEPRB III) du</w:t>
      </w:r>
      <w:r w:rsidRPr="0057031B">
        <w:rPr>
          <w:lang w:val="fr-CA"/>
        </w:rPr>
        <w:t xml:space="preserve"> Programme des Nations Unies pour l</w:t>
      </w:r>
      <w:r>
        <w:rPr>
          <w:lang w:val="fr-CA"/>
        </w:rPr>
        <w:t>’environnement et du</w:t>
      </w:r>
      <w:r w:rsidRPr="0057031B">
        <w:rPr>
          <w:lang w:val="fr-CA"/>
        </w:rPr>
        <w:t xml:space="preserve"> Fonds pour l</w:t>
      </w:r>
      <w:r>
        <w:rPr>
          <w:lang w:val="fr-CA"/>
        </w:rPr>
        <w:t>’</w:t>
      </w:r>
      <w:r w:rsidRPr="0057031B">
        <w:rPr>
          <w:lang w:val="fr-CA"/>
        </w:rPr>
        <w:t xml:space="preserve">environnement mondial, et </w:t>
      </w:r>
      <w:r w:rsidRPr="0057031B">
        <w:rPr>
          <w:i/>
          <w:lang w:val="fr-CA"/>
        </w:rPr>
        <w:t>invite</w:t>
      </w:r>
      <w:r w:rsidRPr="0057031B">
        <w:rPr>
          <w:lang w:val="fr-CA"/>
        </w:rPr>
        <w:t xml:space="preserve"> le Programme des Nations Unies pour l</w:t>
      </w:r>
      <w:r>
        <w:rPr>
          <w:lang w:val="fr-CA"/>
        </w:rPr>
        <w:t>’</w:t>
      </w:r>
      <w:r w:rsidRPr="0057031B">
        <w:rPr>
          <w:lang w:val="fr-CA"/>
        </w:rPr>
        <w:t>environne</w:t>
      </w:r>
      <w:r>
        <w:rPr>
          <w:lang w:val="fr-CA"/>
        </w:rPr>
        <w:t>ment à continuer de faciliter une collaboration régionale et un</w:t>
      </w:r>
      <w:r w:rsidRPr="0057031B">
        <w:rPr>
          <w:lang w:val="fr-CA"/>
        </w:rPr>
        <w:t xml:space="preserve"> renforcement des capacités en ce qui concerne l</w:t>
      </w:r>
      <w:r>
        <w:rPr>
          <w:lang w:val="fr-CA"/>
        </w:rPr>
        <w:t>’</w:t>
      </w:r>
      <w:r w:rsidRPr="0057031B">
        <w:rPr>
          <w:lang w:val="fr-CA"/>
        </w:rPr>
        <w:t>utilisation du Centre d</w:t>
      </w:r>
      <w:r>
        <w:rPr>
          <w:lang w:val="fr-CA"/>
        </w:rPr>
        <w:t>’</w:t>
      </w:r>
      <w:r w:rsidRPr="0057031B">
        <w:rPr>
          <w:lang w:val="fr-CA"/>
        </w:rPr>
        <w:t>échange pour la prévention des risques biotechnologiques</w:t>
      </w:r>
      <w:r w:rsidRPr="00D7251C">
        <w:rPr>
          <w:rStyle w:val="None"/>
          <w:lang w:val="fr-CA"/>
        </w:rPr>
        <w:t>;</w:t>
      </w:r>
    </w:p>
    <w:p w14:paraId="6D8AD9FD" w14:textId="77777777" w:rsidR="00741BCC" w:rsidRPr="00D7251C" w:rsidRDefault="00741BCC" w:rsidP="00741BCC">
      <w:pPr>
        <w:pStyle w:val="Para1"/>
        <w:numPr>
          <w:ilvl w:val="0"/>
          <w:numId w:val="13"/>
        </w:numPr>
        <w:suppressLineNumbers/>
        <w:suppressAutoHyphens/>
        <w:snapToGrid w:val="0"/>
        <w:ind w:firstLine="720"/>
        <w:rPr>
          <w:lang w:val="fr-CA"/>
        </w:rPr>
      </w:pPr>
      <w:r w:rsidRPr="0057031B">
        <w:rPr>
          <w:rStyle w:val="None"/>
          <w:i/>
          <w:iCs/>
          <w:lang w:val="fr-CA"/>
        </w:rPr>
        <w:t>Décide</w:t>
      </w:r>
      <w:r w:rsidRPr="0057031B">
        <w:rPr>
          <w:rStyle w:val="None"/>
          <w:lang w:val="fr-CA"/>
        </w:rPr>
        <w:t xml:space="preserve"> que le Comité consultatif informel sur le Centre d</w:t>
      </w:r>
      <w:r>
        <w:rPr>
          <w:rStyle w:val="None"/>
          <w:lang w:val="fr-CA"/>
        </w:rPr>
        <w:t>’</w:t>
      </w:r>
      <w:r w:rsidRPr="0057031B">
        <w:rPr>
          <w:rStyle w:val="None"/>
          <w:lang w:val="fr-CA"/>
        </w:rPr>
        <w:t xml:space="preserve">échange pour la prévention des risques biotechnologiques tiendra au moins une réunion, ainsi que des </w:t>
      </w:r>
      <w:r w:rsidRPr="0057031B">
        <w:rPr>
          <w:lang w:val="fr-CA"/>
        </w:rPr>
        <w:t>discussions informelles en ligne, selon qu</w:t>
      </w:r>
      <w:r>
        <w:rPr>
          <w:lang w:val="fr-CA"/>
        </w:rPr>
        <w:t>e de besoin</w:t>
      </w:r>
      <w:r w:rsidRPr="0057031B">
        <w:rPr>
          <w:lang w:val="fr-CA"/>
        </w:rPr>
        <w:t>, et rendra compte des résultats de ses travaux à la Conférence des Parties siégeant en tant que réunion des Parties au Protocole de Cartagena à sa dixième réunion</w:t>
      </w:r>
      <w:r w:rsidRPr="00D7251C">
        <w:rPr>
          <w:lang w:val="fr-CA"/>
        </w:rPr>
        <w:t>;</w:t>
      </w:r>
    </w:p>
    <w:p w14:paraId="02D9B41A" w14:textId="77777777" w:rsidR="00741BCC" w:rsidRPr="00D7251C" w:rsidRDefault="00741BCC" w:rsidP="00741BCC">
      <w:pPr>
        <w:pStyle w:val="Para1"/>
        <w:numPr>
          <w:ilvl w:val="0"/>
          <w:numId w:val="13"/>
        </w:numPr>
        <w:suppressLineNumbers/>
        <w:suppressAutoHyphens/>
        <w:snapToGrid w:val="0"/>
        <w:ind w:firstLine="720"/>
        <w:rPr>
          <w:lang w:val="fr-CA"/>
        </w:rPr>
      </w:pPr>
      <w:r w:rsidRPr="0057031B">
        <w:rPr>
          <w:rStyle w:val="None"/>
          <w:i/>
          <w:iCs/>
          <w:lang w:val="fr-CA"/>
        </w:rPr>
        <w:t>Approuve</w:t>
      </w:r>
      <w:r w:rsidRPr="0057031B">
        <w:rPr>
          <w:rStyle w:val="None"/>
          <w:lang w:val="fr-CA"/>
        </w:rPr>
        <w:t xml:space="preserve"> les modalités de fonctionnement communes du Centre d</w:t>
      </w:r>
      <w:r>
        <w:rPr>
          <w:rStyle w:val="None"/>
          <w:lang w:val="fr-CA"/>
        </w:rPr>
        <w:t>’</w:t>
      </w:r>
      <w:r w:rsidRPr="0057031B">
        <w:rPr>
          <w:rStyle w:val="None"/>
          <w:lang w:val="fr-CA"/>
        </w:rPr>
        <w:t xml:space="preserve">échange de la </w:t>
      </w:r>
      <w:r w:rsidRPr="0057031B">
        <w:rPr>
          <w:lang w:val="fr-CA"/>
        </w:rPr>
        <w:t>Convention, du Centre d</w:t>
      </w:r>
      <w:r>
        <w:rPr>
          <w:lang w:val="fr-CA"/>
        </w:rPr>
        <w:t>’</w:t>
      </w:r>
      <w:r w:rsidRPr="0057031B">
        <w:rPr>
          <w:lang w:val="fr-CA"/>
        </w:rPr>
        <w:t>échange pour la prévention des risques biotechnologiques et du Centre d</w:t>
      </w:r>
      <w:r>
        <w:rPr>
          <w:lang w:val="fr-CA"/>
        </w:rPr>
        <w:t>’</w:t>
      </w:r>
      <w:r w:rsidRPr="0057031B">
        <w:rPr>
          <w:lang w:val="fr-CA"/>
        </w:rPr>
        <w:t>échange sur l</w:t>
      </w:r>
      <w:r>
        <w:rPr>
          <w:lang w:val="fr-CA"/>
        </w:rPr>
        <w:t>’</w:t>
      </w:r>
      <w:r w:rsidRPr="0057031B">
        <w:rPr>
          <w:lang w:val="fr-CA"/>
        </w:rPr>
        <w:t>accès et le</w:t>
      </w:r>
      <w:r>
        <w:rPr>
          <w:lang w:val="fr-CA"/>
        </w:rPr>
        <w:t xml:space="preserve"> partage des avantages, figurant dans</w:t>
      </w:r>
      <w:r w:rsidRPr="0057031B">
        <w:rPr>
          <w:lang w:val="fr-CA"/>
        </w:rPr>
        <w:t xml:space="preserve"> l</w:t>
      </w:r>
      <w:r>
        <w:rPr>
          <w:lang w:val="fr-CA"/>
        </w:rPr>
        <w:t>’annexe à</w:t>
      </w:r>
      <w:r w:rsidRPr="0057031B">
        <w:rPr>
          <w:lang w:val="fr-CA"/>
        </w:rPr>
        <w:t xml:space="preserve"> la décision</w:t>
      </w:r>
      <w:r>
        <w:rPr>
          <w:lang w:val="fr-CA"/>
        </w:rPr>
        <w:t> 14/25</w:t>
      </w:r>
      <w:r w:rsidRPr="0057031B">
        <w:rPr>
          <w:lang w:val="fr-CA"/>
        </w:rPr>
        <w:t xml:space="preserve"> </w:t>
      </w:r>
      <w:r>
        <w:rPr>
          <w:lang w:val="fr-CA"/>
        </w:rPr>
        <w:t xml:space="preserve">de la Conférence des Parties, </w:t>
      </w:r>
      <w:r w:rsidRPr="0057031B">
        <w:rPr>
          <w:lang w:val="fr-CA"/>
        </w:rPr>
        <w:t xml:space="preserve">qui sont complémentaires des </w:t>
      </w:r>
      <w:r w:rsidRPr="0057031B">
        <w:rPr>
          <w:rStyle w:val="None"/>
          <w:lang w:val="fr-CA"/>
        </w:rPr>
        <w:t xml:space="preserve">modalités de fonctionnement du </w:t>
      </w:r>
      <w:r w:rsidRPr="0057031B">
        <w:rPr>
          <w:lang w:val="fr-CA"/>
        </w:rPr>
        <w:t>Centre d</w:t>
      </w:r>
      <w:r>
        <w:rPr>
          <w:lang w:val="fr-CA"/>
        </w:rPr>
        <w:t>’</w:t>
      </w:r>
      <w:r w:rsidRPr="0057031B">
        <w:rPr>
          <w:lang w:val="fr-CA"/>
        </w:rPr>
        <w:t>échange pour la préventio</w:t>
      </w:r>
      <w:r>
        <w:rPr>
          <w:lang w:val="fr-CA"/>
        </w:rPr>
        <w:t>n des risques biotechnologiques adoptées dans</w:t>
      </w:r>
      <w:r w:rsidRPr="0057031B">
        <w:rPr>
          <w:lang w:val="fr-CA"/>
        </w:rPr>
        <w:t xml:space="preserve"> la décision </w:t>
      </w:r>
      <w:hyperlink r:id="rId13" w:history="1">
        <w:r w:rsidRPr="0057031B">
          <w:rPr>
            <w:rStyle w:val="Hyperlink0"/>
            <w:rFonts w:eastAsiaTheme="majorEastAsia"/>
            <w:lang w:val="fr-CA"/>
          </w:rPr>
          <w:t>BS-I/3</w:t>
        </w:r>
      </w:hyperlink>
      <w:r>
        <w:rPr>
          <w:lang w:val="fr-CA"/>
        </w:rPr>
        <w:t>;</w:t>
      </w:r>
    </w:p>
    <w:p w14:paraId="74DF0037" w14:textId="77777777" w:rsidR="00741BCC" w:rsidRPr="00D7251C" w:rsidRDefault="00741BCC" w:rsidP="00741BCC">
      <w:pPr>
        <w:pStyle w:val="Para1"/>
        <w:numPr>
          <w:ilvl w:val="0"/>
          <w:numId w:val="13"/>
        </w:numPr>
        <w:suppressLineNumbers/>
        <w:suppressAutoHyphens/>
        <w:snapToGrid w:val="0"/>
        <w:ind w:firstLine="720"/>
        <w:rPr>
          <w:lang w:val="fr-CA"/>
        </w:rPr>
      </w:pPr>
      <w:r w:rsidRPr="0057031B">
        <w:rPr>
          <w:rStyle w:val="None"/>
          <w:i/>
          <w:iCs/>
          <w:lang w:val="fr-CA"/>
        </w:rPr>
        <w:t>Rappelle</w:t>
      </w:r>
      <w:r w:rsidRPr="0057031B">
        <w:rPr>
          <w:rStyle w:val="None"/>
          <w:lang w:val="fr-CA"/>
        </w:rPr>
        <w:t xml:space="preserve"> la décision CP-VIII/2, et </w:t>
      </w:r>
      <w:r w:rsidRPr="0057031B">
        <w:rPr>
          <w:rStyle w:val="None"/>
          <w:i/>
          <w:iCs/>
          <w:lang w:val="fr-CA"/>
        </w:rPr>
        <w:t>prie</w:t>
      </w:r>
      <w:r w:rsidRPr="0057031B">
        <w:rPr>
          <w:rStyle w:val="None"/>
          <w:lang w:val="fr-CA"/>
        </w:rPr>
        <w:t xml:space="preserve"> la Secrétaire exécutive de donner suite, de toute urgence, aux demandes formulées dans cette décision, et, en particulier, de </w:t>
      </w:r>
      <w:r w:rsidRPr="00D7251C">
        <w:rPr>
          <w:lang w:val="fr-CA"/>
        </w:rPr>
        <w:t>:</w:t>
      </w:r>
    </w:p>
    <w:p w14:paraId="2A1835B8" w14:textId="77777777" w:rsidR="00741BCC" w:rsidRPr="0057031B" w:rsidRDefault="00741BCC" w:rsidP="00741BCC">
      <w:pPr>
        <w:pStyle w:val="Para1"/>
        <w:numPr>
          <w:ilvl w:val="0"/>
          <w:numId w:val="0"/>
        </w:numPr>
        <w:ind w:firstLine="709"/>
        <w:rPr>
          <w:lang w:val="fr-CA"/>
        </w:rPr>
      </w:pPr>
      <w:r w:rsidRPr="0057031B">
        <w:rPr>
          <w:lang w:val="fr-CA"/>
        </w:rPr>
        <w:t>a)</w:t>
      </w:r>
      <w:r w:rsidRPr="0057031B">
        <w:rPr>
          <w:lang w:val="fr-CA"/>
        </w:rPr>
        <w:tab/>
        <w:t>S</w:t>
      </w:r>
      <w:r>
        <w:rPr>
          <w:lang w:val="fr-CA"/>
        </w:rPr>
        <w:t>’</w:t>
      </w:r>
      <w:r w:rsidRPr="0057031B">
        <w:rPr>
          <w:lang w:val="fr-CA"/>
        </w:rPr>
        <w:t>assurer que des ressources humaines et financières suffisantes et spécifiques sont affectées à l</w:t>
      </w:r>
      <w:r>
        <w:rPr>
          <w:lang w:val="fr-CA"/>
        </w:rPr>
        <w:t>’</w:t>
      </w:r>
      <w:r w:rsidRPr="0057031B">
        <w:rPr>
          <w:lang w:val="fr-CA"/>
        </w:rPr>
        <w:t>amélioration et à la maintenance du Centre d</w:t>
      </w:r>
      <w:r>
        <w:rPr>
          <w:lang w:val="fr-CA"/>
        </w:rPr>
        <w:t>’</w:t>
      </w:r>
      <w:r w:rsidRPr="0057031B">
        <w:rPr>
          <w:lang w:val="fr-CA"/>
        </w:rPr>
        <w:t>échange pour la préventio</w:t>
      </w:r>
      <w:r>
        <w:rPr>
          <w:lang w:val="fr-CA"/>
        </w:rPr>
        <w:t>n des risques biotechnologiques</w:t>
      </w:r>
      <w:r w:rsidRPr="0057031B">
        <w:rPr>
          <w:lang w:val="fr-CA"/>
        </w:rPr>
        <w:t>;</w:t>
      </w:r>
    </w:p>
    <w:p w14:paraId="7DD1A86F" w14:textId="77777777" w:rsidR="00741BCC" w:rsidRPr="0057031B" w:rsidRDefault="00741BCC" w:rsidP="00741BCC">
      <w:pPr>
        <w:pStyle w:val="Para1"/>
        <w:numPr>
          <w:ilvl w:val="0"/>
          <w:numId w:val="0"/>
        </w:numPr>
        <w:ind w:firstLine="709"/>
        <w:rPr>
          <w:lang w:val="fr-CA"/>
        </w:rPr>
      </w:pPr>
      <w:r w:rsidRPr="0057031B">
        <w:rPr>
          <w:lang w:val="fr-CA"/>
        </w:rPr>
        <w:t>b)</w:t>
      </w:r>
      <w:r w:rsidRPr="0057031B">
        <w:rPr>
          <w:lang w:val="fr-CA"/>
        </w:rPr>
        <w:tab/>
        <w:t>Terminer le transfert du Centre d</w:t>
      </w:r>
      <w:r>
        <w:rPr>
          <w:lang w:val="fr-CA"/>
        </w:rPr>
        <w:t>’</w:t>
      </w:r>
      <w:r w:rsidRPr="0057031B">
        <w:rPr>
          <w:lang w:val="fr-CA"/>
        </w:rPr>
        <w:t>échange</w:t>
      </w:r>
      <w:r>
        <w:rPr>
          <w:lang w:val="fr-CA"/>
        </w:rPr>
        <w:t xml:space="preserve"> pour la prévention des risques </w:t>
      </w:r>
      <w:r w:rsidRPr="0057031B">
        <w:rPr>
          <w:lang w:val="fr-CA"/>
        </w:rPr>
        <w:t>biotechnologiques v</w:t>
      </w:r>
      <w:r>
        <w:rPr>
          <w:lang w:val="fr-CA"/>
        </w:rPr>
        <w:t>ers sa nouvelle plateforme et</w:t>
      </w:r>
      <w:r w:rsidRPr="0057031B">
        <w:rPr>
          <w:lang w:val="fr-CA"/>
        </w:rPr>
        <w:t xml:space="preserve"> continuer à collaborer avec d</w:t>
      </w:r>
      <w:r>
        <w:rPr>
          <w:lang w:val="fr-CA"/>
        </w:rPr>
        <w:t>’</w:t>
      </w:r>
      <w:r w:rsidRPr="0057031B">
        <w:rPr>
          <w:lang w:val="fr-CA"/>
        </w:rPr>
        <w:t>autres gestionnaires de bases de données et de plates-formes sur la prévention des risques biotechnologiques;</w:t>
      </w:r>
    </w:p>
    <w:p w14:paraId="6F37AD4C" w14:textId="77777777" w:rsidR="00741BCC" w:rsidRPr="0057031B" w:rsidRDefault="00741BCC" w:rsidP="00741BCC">
      <w:pPr>
        <w:pStyle w:val="Para1"/>
        <w:numPr>
          <w:ilvl w:val="0"/>
          <w:numId w:val="0"/>
        </w:numPr>
        <w:ind w:firstLine="709"/>
        <w:rPr>
          <w:lang w:val="fr-CA"/>
        </w:rPr>
      </w:pPr>
      <w:r w:rsidRPr="0057031B">
        <w:rPr>
          <w:lang w:val="fr-CA"/>
        </w:rPr>
        <w:t>c)</w:t>
      </w:r>
      <w:r w:rsidRPr="0057031B">
        <w:rPr>
          <w:lang w:val="fr-CA"/>
        </w:rPr>
        <w:tab/>
        <w:t>Continuer à améliorer le portail central du Centre d</w:t>
      </w:r>
      <w:r>
        <w:rPr>
          <w:lang w:val="fr-CA"/>
        </w:rPr>
        <w:t>’</w:t>
      </w:r>
      <w:r w:rsidRPr="0057031B">
        <w:rPr>
          <w:lang w:val="fr-CA"/>
        </w:rPr>
        <w:t xml:space="preserve">échange pour la prévention des risques biotechnologiques </w:t>
      </w:r>
      <w:r>
        <w:rPr>
          <w:lang w:val="fr-CA"/>
        </w:rPr>
        <w:t xml:space="preserve">et </w:t>
      </w:r>
      <w:r w:rsidRPr="0057031B">
        <w:rPr>
          <w:lang w:val="fr-CA"/>
        </w:rPr>
        <w:t>donner suite aux recommandations formulées par le Comité consultatif informel sur le Centre d</w:t>
      </w:r>
      <w:r>
        <w:rPr>
          <w:lang w:val="fr-CA"/>
        </w:rPr>
        <w:t>’</w:t>
      </w:r>
      <w:r w:rsidRPr="0057031B">
        <w:rPr>
          <w:lang w:val="fr-CA"/>
        </w:rPr>
        <w:t>échange pour la prévention des risques biotechnologiques à sa dixième réunion;</w:t>
      </w:r>
    </w:p>
    <w:p w14:paraId="460029EE" w14:textId="77777777" w:rsidR="00741BCC" w:rsidRPr="00D7251C" w:rsidRDefault="00741BCC" w:rsidP="00741BCC">
      <w:pPr>
        <w:pStyle w:val="Para1"/>
        <w:numPr>
          <w:ilvl w:val="0"/>
          <w:numId w:val="0"/>
        </w:numPr>
        <w:ind w:firstLine="709"/>
        <w:rPr>
          <w:lang w:val="fr-CA"/>
        </w:rPr>
      </w:pPr>
      <w:r w:rsidRPr="0057031B">
        <w:rPr>
          <w:lang w:val="fr-CA"/>
        </w:rPr>
        <w:t>d)</w:t>
      </w:r>
      <w:r w:rsidRPr="0057031B">
        <w:rPr>
          <w:lang w:val="fr-CA"/>
        </w:rPr>
        <w:tab/>
        <w:t>Faciliter l</w:t>
      </w:r>
      <w:r>
        <w:rPr>
          <w:lang w:val="fr-CA"/>
        </w:rPr>
        <w:t>’</w:t>
      </w:r>
      <w:r w:rsidRPr="0057031B">
        <w:rPr>
          <w:lang w:val="fr-CA"/>
        </w:rPr>
        <w:t>élaboration de séries de matériel de formation, notamment en ligne, en collaboration avec le Programme des Nations Unies pour l</w:t>
      </w:r>
      <w:r>
        <w:rPr>
          <w:lang w:val="fr-CA"/>
        </w:rPr>
        <w:t>’</w:t>
      </w:r>
      <w:r w:rsidRPr="0057031B">
        <w:rPr>
          <w:lang w:val="fr-CA"/>
        </w:rPr>
        <w:t>environnement, dans le cadre du projet CEPRB III, en se fondant sur la nouvelle plateforme et l</w:t>
      </w:r>
      <w:r>
        <w:rPr>
          <w:lang w:val="fr-CA"/>
        </w:rPr>
        <w:t>’</w:t>
      </w:r>
      <w:r w:rsidRPr="0057031B">
        <w:rPr>
          <w:lang w:val="fr-CA"/>
        </w:rPr>
        <w:t>interface</w:t>
      </w:r>
      <w:r>
        <w:rPr>
          <w:lang w:val="fr-CA"/>
        </w:rPr>
        <w:t xml:space="preserve"> d’utilisateurs;</w:t>
      </w:r>
    </w:p>
    <w:p w14:paraId="0F5569E7" w14:textId="77777777" w:rsidR="00741BCC" w:rsidRPr="00D7251C" w:rsidRDefault="00741BCC" w:rsidP="00741BCC">
      <w:pPr>
        <w:pStyle w:val="Para1"/>
        <w:numPr>
          <w:ilvl w:val="0"/>
          <w:numId w:val="13"/>
        </w:numPr>
        <w:suppressLineNumbers/>
        <w:suppressAutoHyphens/>
        <w:snapToGrid w:val="0"/>
        <w:ind w:firstLine="720"/>
        <w:rPr>
          <w:rStyle w:val="None"/>
          <w:i/>
          <w:iCs/>
          <w:lang w:val="fr-CA"/>
        </w:rPr>
      </w:pPr>
      <w:r w:rsidRPr="0057031B">
        <w:rPr>
          <w:rStyle w:val="None"/>
          <w:i/>
          <w:iCs/>
          <w:lang w:val="fr-CA"/>
        </w:rPr>
        <w:t>Invite</w:t>
      </w:r>
      <w:r w:rsidRPr="0057031B">
        <w:rPr>
          <w:rStyle w:val="None"/>
          <w:lang w:val="fr-CA"/>
        </w:rPr>
        <w:t xml:space="preserve"> les </w:t>
      </w:r>
      <w:r w:rsidRPr="0057031B">
        <w:rPr>
          <w:lang w:val="fr-CA"/>
        </w:rPr>
        <w:t>Parties, les autres gouvernements et les organisations concernées à soumettre à la Secrétaire exécutive leurs vue</w:t>
      </w:r>
      <w:r>
        <w:rPr>
          <w:lang w:val="fr-CA"/>
        </w:rPr>
        <w:t>s sur les changements résultant du transfert et des améliorations mentionné</w:t>
      </w:r>
      <w:r w:rsidRPr="0057031B">
        <w:rPr>
          <w:lang w:val="fr-CA"/>
        </w:rPr>
        <w:t>s au paragra</w:t>
      </w:r>
      <w:r>
        <w:rPr>
          <w:lang w:val="fr-CA"/>
        </w:rPr>
        <w:t xml:space="preserve">phe 5 ci-dessus, notamment en ce qui concerne </w:t>
      </w:r>
      <w:r w:rsidRPr="0057031B">
        <w:rPr>
          <w:lang w:val="fr-CA"/>
        </w:rPr>
        <w:t>la procédure d</w:t>
      </w:r>
      <w:r>
        <w:rPr>
          <w:lang w:val="fr-CA"/>
        </w:rPr>
        <w:t>’</w:t>
      </w:r>
      <w:r w:rsidRPr="0057031B">
        <w:rPr>
          <w:lang w:val="fr-CA"/>
        </w:rPr>
        <w:t>enregistrement des informations, les outils d</w:t>
      </w:r>
      <w:r>
        <w:rPr>
          <w:lang w:val="fr-CA"/>
        </w:rPr>
        <w:t>’</w:t>
      </w:r>
      <w:r w:rsidRPr="0057031B">
        <w:rPr>
          <w:lang w:val="fr-CA"/>
        </w:rPr>
        <w:t xml:space="preserve">analyse applicables aux résultats des recherches, et les représentations graphiques des données, et </w:t>
      </w:r>
      <w:r w:rsidRPr="0057031B">
        <w:rPr>
          <w:i/>
          <w:iCs/>
          <w:lang w:val="fr-CA"/>
        </w:rPr>
        <w:t>prie</w:t>
      </w:r>
      <w:r w:rsidRPr="0057031B">
        <w:rPr>
          <w:lang w:val="fr-CA"/>
        </w:rPr>
        <w:t xml:space="preserve"> la Secrétaire exécutive de</w:t>
      </w:r>
      <w:r>
        <w:rPr>
          <w:lang w:val="fr-CA"/>
        </w:rPr>
        <w:t xml:space="preserve"> tenir compte de ces vues pour continuer d’améliorer le</w:t>
      </w:r>
      <w:r w:rsidRPr="0057031B">
        <w:rPr>
          <w:lang w:val="fr-CA"/>
        </w:rPr>
        <w:t xml:space="preserve"> Centre d</w:t>
      </w:r>
      <w:r>
        <w:rPr>
          <w:lang w:val="fr-CA"/>
        </w:rPr>
        <w:t xml:space="preserve">’échange </w:t>
      </w:r>
      <w:r>
        <w:rPr>
          <w:lang w:val="fr-CA"/>
        </w:rPr>
        <w:lastRenderedPageBreak/>
        <w:t>pour</w:t>
      </w:r>
      <w:r w:rsidRPr="0057031B">
        <w:rPr>
          <w:lang w:val="fr-CA"/>
        </w:rPr>
        <w:t xml:space="preserve"> la prévention des risques biotechnologiques, et de soumettre un rapport aux fins d</w:t>
      </w:r>
      <w:r>
        <w:rPr>
          <w:lang w:val="fr-CA"/>
        </w:rPr>
        <w:t>’</w:t>
      </w:r>
      <w:r w:rsidRPr="0057031B">
        <w:rPr>
          <w:lang w:val="fr-CA"/>
        </w:rPr>
        <w:t>examen par la Conférence des Parties siégeant en tant que réunion des Parties au Protocole à sa dixième réunion</w:t>
      </w:r>
      <w:r w:rsidRPr="00D7251C">
        <w:rPr>
          <w:rStyle w:val="None"/>
          <w:iCs/>
          <w:lang w:val="fr-CA"/>
        </w:rPr>
        <w:t>;</w:t>
      </w:r>
    </w:p>
    <w:p w14:paraId="5ACC7F9C" w14:textId="77777777" w:rsidR="00741BCC" w:rsidRPr="006F1064" w:rsidRDefault="00741BCC" w:rsidP="00741BCC">
      <w:pPr>
        <w:pStyle w:val="Para1"/>
        <w:numPr>
          <w:ilvl w:val="0"/>
          <w:numId w:val="13"/>
        </w:numPr>
        <w:ind w:firstLine="709"/>
        <w:rPr>
          <w:rStyle w:val="None"/>
          <w:lang w:val="fr-CA"/>
        </w:rPr>
      </w:pPr>
      <w:r w:rsidRPr="00E6360D">
        <w:rPr>
          <w:rStyle w:val="None"/>
          <w:i/>
          <w:lang w:val="fr-CA"/>
        </w:rPr>
        <w:t>Prie</w:t>
      </w:r>
      <w:r w:rsidRPr="0057031B">
        <w:rPr>
          <w:rStyle w:val="None"/>
          <w:iCs/>
          <w:lang w:val="fr-CA"/>
        </w:rPr>
        <w:t xml:space="preserve"> </w:t>
      </w:r>
      <w:r>
        <w:rPr>
          <w:rStyle w:val="None"/>
          <w:iCs/>
          <w:lang w:val="fr-CA"/>
        </w:rPr>
        <w:t xml:space="preserve">la Secrétaire exécutive d’étudier </w:t>
      </w:r>
      <w:r>
        <w:rPr>
          <w:rStyle w:val="None"/>
          <w:iCs/>
          <w:noProof/>
          <w:lang w:val="fr-CA"/>
        </w:rPr>
        <w:t xml:space="preserve">comment </w:t>
      </w:r>
      <w:r w:rsidRPr="0057031B">
        <w:rPr>
          <w:rStyle w:val="None"/>
          <w:iCs/>
          <w:noProof/>
          <w:lang w:val="fr-CA"/>
        </w:rPr>
        <w:t>l</w:t>
      </w:r>
      <w:r>
        <w:rPr>
          <w:rStyle w:val="None"/>
          <w:iCs/>
          <w:noProof/>
          <w:lang w:val="fr-CA"/>
        </w:rPr>
        <w:t>’O</w:t>
      </w:r>
      <w:r w:rsidRPr="0057031B">
        <w:rPr>
          <w:rStyle w:val="None"/>
          <w:iCs/>
          <w:noProof/>
          <w:lang w:val="fr-CA"/>
        </w:rPr>
        <w:t>util Bioland</w:t>
      </w:r>
      <w:r>
        <w:rPr>
          <w:rStyle w:val="None"/>
          <w:iCs/>
          <w:noProof/>
          <w:lang w:val="fr-CA"/>
        </w:rPr>
        <w:t xml:space="preserve"> pour les</w:t>
      </w:r>
      <w:r>
        <w:rPr>
          <w:rStyle w:val="None"/>
          <w:iCs/>
          <w:lang w:val="fr-CA"/>
        </w:rPr>
        <w:t xml:space="preserve"> c</w:t>
      </w:r>
      <w:r w:rsidRPr="0057031B">
        <w:rPr>
          <w:rStyle w:val="None"/>
          <w:iCs/>
          <w:lang w:val="fr-CA"/>
        </w:rPr>
        <w:t>entre</w:t>
      </w:r>
      <w:r>
        <w:rPr>
          <w:rStyle w:val="None"/>
          <w:iCs/>
          <w:lang w:val="fr-CA"/>
        </w:rPr>
        <w:t>s</w:t>
      </w:r>
      <w:r w:rsidRPr="0057031B">
        <w:rPr>
          <w:rStyle w:val="None"/>
          <w:iCs/>
          <w:lang w:val="fr-CA"/>
        </w:rPr>
        <w:t xml:space="preserve"> d</w:t>
      </w:r>
      <w:r>
        <w:rPr>
          <w:rStyle w:val="None"/>
          <w:iCs/>
          <w:lang w:val="fr-CA"/>
        </w:rPr>
        <w:t>’</w:t>
      </w:r>
      <w:r w:rsidRPr="0057031B">
        <w:rPr>
          <w:rStyle w:val="None"/>
          <w:iCs/>
          <w:lang w:val="fr-CA"/>
        </w:rPr>
        <w:t xml:space="preserve">échange </w:t>
      </w:r>
      <w:r>
        <w:rPr>
          <w:rStyle w:val="None"/>
          <w:iCs/>
          <w:lang w:val="fr-CA"/>
        </w:rPr>
        <w:t>nationaux s</w:t>
      </w:r>
      <w:r w:rsidRPr="0057031B">
        <w:rPr>
          <w:rStyle w:val="None"/>
          <w:iCs/>
          <w:lang w:val="fr-CA"/>
        </w:rPr>
        <w:t>ur la prévention des risques biotechnologiques</w:t>
      </w:r>
      <w:r>
        <w:rPr>
          <w:rStyle w:val="None"/>
          <w:iCs/>
          <w:lang w:val="fr-CA"/>
        </w:rPr>
        <w:t xml:space="preserve"> pourrait être utilisé pour faciliter l’échange d’informations relatives à la prévention des risques biotechnologiques.</w:t>
      </w:r>
    </w:p>
    <w:p w14:paraId="21BC72EE" w14:textId="62C5E4AD" w:rsidR="00896373" w:rsidRDefault="00741BCC" w:rsidP="00E83799">
      <w:pPr>
        <w:jc w:val="left"/>
        <w:rPr>
          <w:rFonts w:cs="Times New Roman"/>
          <w:b/>
          <w:snapToGrid w:val="0"/>
          <w:kern w:val="22"/>
          <w:szCs w:val="22"/>
          <w:lang w:val="fr-CA"/>
        </w:rPr>
      </w:pPr>
      <w:r>
        <w:rPr>
          <w:rFonts w:cs="Times New Roman"/>
          <w:b/>
          <w:snapToGrid w:val="0"/>
          <w:kern w:val="22"/>
          <w:szCs w:val="22"/>
          <w:lang w:val="fr-CA"/>
        </w:rPr>
        <w:br w:type="page"/>
      </w:r>
    </w:p>
    <w:p w14:paraId="5CE2AC98" w14:textId="3A9F36F0" w:rsidR="00E83799" w:rsidRPr="005863B9" w:rsidRDefault="00E83799" w:rsidP="005863B9">
      <w:pPr>
        <w:pStyle w:val="Heading2"/>
        <w:spacing w:after="240"/>
        <w:rPr>
          <w:rFonts w:cs="Times New Roman"/>
          <w:kern w:val="22"/>
          <w:szCs w:val="22"/>
          <w:lang w:val="fr-CA"/>
        </w:rPr>
      </w:pPr>
      <w:bookmarkStart w:id="5" w:name="_Toc7428843"/>
      <w:r w:rsidRPr="005863B9">
        <w:rPr>
          <w:rFonts w:cs="Times New Roman"/>
          <w:kern w:val="22"/>
          <w:szCs w:val="22"/>
          <w:lang w:val="fr-CA"/>
        </w:rPr>
        <w:lastRenderedPageBreak/>
        <w:t>9/3.</w:t>
      </w:r>
      <w:r w:rsidR="007A0534" w:rsidRPr="005863B9">
        <w:rPr>
          <w:rFonts w:cs="Times New Roman"/>
          <w:kern w:val="22"/>
          <w:szCs w:val="22"/>
          <w:lang w:val="fr-CA"/>
        </w:rPr>
        <w:t xml:space="preserve"> </w:t>
      </w:r>
      <w:r w:rsidR="007A0534" w:rsidRPr="005863B9">
        <w:rPr>
          <w:rFonts w:cs="Times New Roman"/>
          <w:kern w:val="22"/>
          <w:szCs w:val="22"/>
          <w:lang w:val="fr-CA"/>
        </w:rPr>
        <w:tab/>
        <w:t>Renforcement des capacités (article 22)</w:t>
      </w:r>
      <w:bookmarkEnd w:id="5"/>
    </w:p>
    <w:p w14:paraId="5591D7D2" w14:textId="77777777" w:rsidR="00896373" w:rsidRPr="00414731" w:rsidRDefault="00896373" w:rsidP="00896373">
      <w:pPr>
        <w:pStyle w:val="Para1"/>
        <w:numPr>
          <w:ilvl w:val="0"/>
          <w:numId w:val="0"/>
        </w:numPr>
        <w:suppressLineNumbers/>
        <w:suppressAutoHyphens/>
        <w:kinsoku w:val="0"/>
        <w:overflowPunct w:val="0"/>
        <w:autoSpaceDE w:val="0"/>
        <w:autoSpaceDN w:val="0"/>
        <w:adjustRightInd w:val="0"/>
        <w:snapToGrid w:val="0"/>
        <w:ind w:firstLine="709"/>
        <w:rPr>
          <w:i/>
          <w:snapToGrid/>
        </w:rPr>
      </w:pPr>
      <w:r w:rsidRPr="00414731">
        <w:rPr>
          <w:i/>
          <w:snapToGrid/>
        </w:rPr>
        <w:t xml:space="preserve">La Conférence des Parties siégeant en tant que </w:t>
      </w:r>
      <w:r>
        <w:rPr>
          <w:i/>
          <w:snapToGrid/>
        </w:rPr>
        <w:t>réunion des Parties au Pro</w:t>
      </w:r>
      <w:r w:rsidRPr="00414731">
        <w:rPr>
          <w:i/>
          <w:snapToGrid/>
        </w:rPr>
        <w:t xml:space="preserve">tocole de Cartagena </w:t>
      </w:r>
      <w:r>
        <w:rPr>
          <w:i/>
          <w:snapToGrid/>
        </w:rPr>
        <w:t>sur la prévention des risques biotechnologiques</w:t>
      </w:r>
      <w:r w:rsidRPr="00414731">
        <w:rPr>
          <w:i/>
          <w:snapToGrid/>
        </w:rPr>
        <w:t>,</w:t>
      </w:r>
    </w:p>
    <w:p w14:paraId="57117871" w14:textId="77777777" w:rsidR="00896373" w:rsidRPr="006D00FB" w:rsidRDefault="00896373" w:rsidP="00896373">
      <w:pPr>
        <w:pStyle w:val="Para1"/>
        <w:numPr>
          <w:ilvl w:val="0"/>
          <w:numId w:val="0"/>
        </w:numPr>
        <w:suppressLineNumbers/>
        <w:suppressAutoHyphens/>
        <w:kinsoku w:val="0"/>
        <w:overflowPunct w:val="0"/>
        <w:autoSpaceDE w:val="0"/>
        <w:autoSpaceDN w:val="0"/>
        <w:adjustRightInd w:val="0"/>
        <w:snapToGrid w:val="0"/>
        <w:ind w:left="720"/>
        <w:rPr>
          <w:snapToGrid/>
        </w:rPr>
      </w:pPr>
      <w:r w:rsidRPr="008A3B21">
        <w:rPr>
          <w:i/>
          <w:iCs/>
          <w:snapToGrid/>
        </w:rPr>
        <w:t xml:space="preserve">Rappelant </w:t>
      </w:r>
      <w:r w:rsidRPr="008A3B21">
        <w:rPr>
          <w:snapToGrid/>
        </w:rPr>
        <w:t xml:space="preserve">les décisions </w:t>
      </w:r>
      <w:hyperlink r:id="rId14" w:history="1">
        <w:r w:rsidRPr="006D00FB">
          <w:rPr>
            <w:rStyle w:val="Hyperlink"/>
            <w:snapToGrid/>
          </w:rPr>
          <w:t>BS-VI/3</w:t>
        </w:r>
      </w:hyperlink>
      <w:r w:rsidRPr="006D00FB">
        <w:rPr>
          <w:snapToGrid/>
        </w:rPr>
        <w:t xml:space="preserve"> et </w:t>
      </w:r>
      <w:hyperlink r:id="rId15" w:history="1">
        <w:r w:rsidRPr="006D00FB">
          <w:rPr>
            <w:rStyle w:val="Hyperlink"/>
            <w:snapToGrid/>
          </w:rPr>
          <w:t>CP-VIII/3</w:t>
        </w:r>
      </w:hyperlink>
      <w:r w:rsidRPr="006D00FB">
        <w:rPr>
          <w:snapToGrid/>
        </w:rPr>
        <w:t>,</w:t>
      </w:r>
    </w:p>
    <w:p w14:paraId="54466922" w14:textId="77777777" w:rsidR="00896373" w:rsidRPr="008A3B21" w:rsidRDefault="00896373" w:rsidP="004C7DBD">
      <w:pPr>
        <w:pStyle w:val="Para1"/>
        <w:numPr>
          <w:ilvl w:val="0"/>
          <w:numId w:val="22"/>
        </w:numPr>
        <w:suppressLineNumbers/>
        <w:tabs>
          <w:tab w:val="clear" w:pos="360"/>
          <w:tab w:val="num" w:pos="0"/>
        </w:tabs>
        <w:suppressAutoHyphens/>
        <w:kinsoku w:val="0"/>
        <w:overflowPunct w:val="0"/>
        <w:autoSpaceDE w:val="0"/>
        <w:autoSpaceDN w:val="0"/>
        <w:adjustRightInd w:val="0"/>
        <w:snapToGrid w:val="0"/>
        <w:ind w:firstLine="709"/>
        <w:rPr>
          <w:snapToGrid/>
        </w:rPr>
      </w:pPr>
      <w:r w:rsidRPr="008A3B21">
        <w:rPr>
          <w:i/>
        </w:rPr>
        <w:t>Prend note</w:t>
      </w:r>
      <w:r w:rsidRPr="008A3B21">
        <w:t xml:space="preserve"> du rapport d'activité sur la mise en œuvre du plan d'action à court terme (2017-2020) pour améliorer et appuyer le renfo</w:t>
      </w:r>
      <w:r>
        <w:t xml:space="preserve">rcement des capacités en vue </w:t>
      </w:r>
      <w:r w:rsidRPr="008A3B21">
        <w:t xml:space="preserve">de l’application de la </w:t>
      </w:r>
      <w:r>
        <w:t>Convention et de ses P</w:t>
      </w:r>
      <w:r w:rsidRPr="008A3B21">
        <w:t>rotocoles</w:t>
      </w:r>
      <w:r w:rsidRPr="007A0534">
        <w:rPr>
          <w:rStyle w:val="StyleFootnoteReferencenumberFootnoteReferenceSuperscript-EF"/>
          <w:snapToGrid/>
          <w:sz w:val="20"/>
          <w:szCs w:val="20"/>
        </w:rPr>
        <w:footnoteReference w:id="3"/>
      </w:r>
      <w:r>
        <w:t>;</w:t>
      </w:r>
    </w:p>
    <w:p w14:paraId="2C3C0E47" w14:textId="77777777" w:rsidR="00896373" w:rsidRPr="00D2711C" w:rsidRDefault="00896373" w:rsidP="00896373">
      <w:pPr>
        <w:pStyle w:val="Para1"/>
        <w:numPr>
          <w:ilvl w:val="0"/>
          <w:numId w:val="13"/>
        </w:numPr>
        <w:suppressLineNumbers/>
        <w:suppressAutoHyphens/>
        <w:kinsoku w:val="0"/>
        <w:overflowPunct w:val="0"/>
        <w:autoSpaceDE w:val="0"/>
        <w:autoSpaceDN w:val="0"/>
        <w:adjustRightInd w:val="0"/>
        <w:snapToGrid w:val="0"/>
        <w:ind w:firstLine="720"/>
        <w:rPr>
          <w:snapToGrid/>
        </w:rPr>
      </w:pPr>
      <w:r w:rsidRPr="00D2711C">
        <w:rPr>
          <w:i/>
          <w:snapToGrid/>
        </w:rPr>
        <w:t>Prend note également</w:t>
      </w:r>
      <w:r>
        <w:rPr>
          <w:snapToGrid/>
        </w:rPr>
        <w:t xml:space="preserve"> des progrès accomplis dans la mise en œuvre du Cadre et P</w:t>
      </w:r>
      <w:r w:rsidRPr="00D2711C">
        <w:rPr>
          <w:snapToGrid/>
        </w:rPr>
        <w:t xml:space="preserve">lan d’action </w:t>
      </w:r>
      <w:r>
        <w:rPr>
          <w:snapToGrid/>
        </w:rPr>
        <w:t xml:space="preserve">pour le renforcement des capacités en vue de l’application effective du </w:t>
      </w:r>
      <w:r w:rsidRPr="00D2711C">
        <w:rPr>
          <w:lang w:eastAsia="x-none"/>
        </w:rPr>
        <w:t>Protocole de Cartagena sur la prévention des risques biotechnologiques</w:t>
      </w:r>
      <w:r>
        <w:rPr>
          <w:lang w:eastAsia="x-none"/>
        </w:rPr>
        <w:t xml:space="preserve"> (2012-2020)</w:t>
      </w:r>
      <w:r w:rsidRPr="007A0534">
        <w:rPr>
          <w:rStyle w:val="FootnoteReference"/>
          <w:sz w:val="20"/>
          <w:szCs w:val="20"/>
          <w:vertAlign w:val="superscript"/>
          <w:lang w:eastAsia="x-none"/>
        </w:rPr>
        <w:footnoteReference w:id="4"/>
      </w:r>
      <w:r>
        <w:rPr>
          <w:lang w:eastAsia="x-none"/>
        </w:rPr>
        <w:t>;</w:t>
      </w:r>
    </w:p>
    <w:p w14:paraId="16FC73DD" w14:textId="77777777" w:rsidR="00896373" w:rsidRPr="00D2711C" w:rsidRDefault="00896373" w:rsidP="00896373">
      <w:pPr>
        <w:pStyle w:val="Para1"/>
        <w:numPr>
          <w:ilvl w:val="0"/>
          <w:numId w:val="13"/>
        </w:numPr>
        <w:suppressLineNumbers/>
        <w:suppressAutoHyphens/>
        <w:kinsoku w:val="0"/>
        <w:overflowPunct w:val="0"/>
        <w:autoSpaceDE w:val="0"/>
        <w:autoSpaceDN w:val="0"/>
        <w:adjustRightInd w:val="0"/>
        <w:snapToGrid w:val="0"/>
        <w:ind w:firstLine="720"/>
        <w:rPr>
          <w:snapToGrid/>
        </w:rPr>
      </w:pPr>
      <w:r w:rsidRPr="00D2711C">
        <w:rPr>
          <w:i/>
        </w:rPr>
        <w:t xml:space="preserve">Prie instamment </w:t>
      </w:r>
      <w:r w:rsidRPr="00D2711C">
        <w:t xml:space="preserve">les Parties, </w:t>
      </w:r>
      <w:r>
        <w:t>pendant le reste</w:t>
      </w:r>
      <w:r w:rsidRPr="00D2711C">
        <w:t xml:space="preserve"> de la pé</w:t>
      </w:r>
      <w:r>
        <w:t>riode couverte par le Cadre et P</w:t>
      </w:r>
      <w:r w:rsidRPr="00D2711C">
        <w:t>lan d’action, d’accorder un</w:t>
      </w:r>
      <w:r>
        <w:t xml:space="preserve">e priorité et de cibler, selon qu’il convient, </w:t>
      </w:r>
      <w:r w:rsidRPr="00D2711C">
        <w:t>les objectifs o</w:t>
      </w:r>
      <w:r>
        <w:t>pérationnels relatifs à</w:t>
      </w:r>
      <w:r w:rsidRPr="00D2711C">
        <w:t xml:space="preserve"> l’élaboration d’une législation</w:t>
      </w:r>
      <w:r>
        <w:t xml:space="preserve"> </w:t>
      </w:r>
      <w:r w:rsidRPr="00D2711C">
        <w:t>national</w:t>
      </w:r>
      <w:r>
        <w:t>e sur la prévention des risques biotechnologiques, l’évaluation des risques</w:t>
      </w:r>
      <w:r w:rsidRPr="00D2711C">
        <w:t xml:space="preserve">, </w:t>
      </w:r>
      <w:r>
        <w:t>la détection et l’</w:t>
      </w:r>
      <w:r w:rsidRPr="00D2711C">
        <w:t xml:space="preserve">identification </w:t>
      </w:r>
      <w:r>
        <w:t xml:space="preserve">des organismes vivants modifiés, et la sensibilisation, l’éducation et la </w:t>
      </w:r>
      <w:r w:rsidRPr="00D2711C">
        <w:t>participation</w:t>
      </w:r>
      <w:r>
        <w:t xml:space="preserve"> du public, et</w:t>
      </w:r>
      <w:r w:rsidRPr="00D2711C">
        <w:t xml:space="preserve"> </w:t>
      </w:r>
      <w:r>
        <w:rPr>
          <w:i/>
        </w:rPr>
        <w:t>prend</w:t>
      </w:r>
      <w:r w:rsidRPr="00D2711C">
        <w:rPr>
          <w:i/>
        </w:rPr>
        <w:t xml:space="preserve"> note</w:t>
      </w:r>
      <w:r>
        <w:t xml:space="preserve"> de l’</w:t>
      </w:r>
      <w:r w:rsidRPr="00D2711C">
        <w:t xml:space="preserve">importance </w:t>
      </w:r>
      <w:r>
        <w:t>de l’intégration de la prévention des risques biotechnologiques et du partage</w:t>
      </w:r>
      <w:r w:rsidRPr="00D2711C">
        <w:t xml:space="preserve"> </w:t>
      </w:r>
      <w:r>
        <w:t>d’</w:t>
      </w:r>
      <w:r w:rsidRPr="00D2711C">
        <w:t>information</w:t>
      </w:r>
      <w:r>
        <w:t>s et d’expériences</w:t>
      </w:r>
      <w:r w:rsidRPr="00D2711C">
        <w:t xml:space="preserve"> </w:t>
      </w:r>
      <w:r>
        <w:t>afin d’améliorer davantage les cadres nationaux sur la prévention des risques biotechnologiques</w:t>
      </w:r>
      <w:r w:rsidRPr="00D2711C">
        <w:t xml:space="preserve"> </w:t>
      </w:r>
      <w:r>
        <w:t>pendant le reste de la période couverte par le Cadre et Plan d’action et par la suite;</w:t>
      </w:r>
    </w:p>
    <w:p w14:paraId="6DF5B65B" w14:textId="77777777" w:rsidR="00896373" w:rsidRPr="00D2711C" w:rsidRDefault="00896373" w:rsidP="00896373">
      <w:pPr>
        <w:pStyle w:val="Para1"/>
        <w:numPr>
          <w:ilvl w:val="0"/>
          <w:numId w:val="13"/>
        </w:numPr>
        <w:suppressLineNumbers/>
        <w:suppressAutoHyphens/>
        <w:kinsoku w:val="0"/>
        <w:overflowPunct w:val="0"/>
        <w:autoSpaceDE w:val="0"/>
        <w:autoSpaceDN w:val="0"/>
        <w:adjustRightInd w:val="0"/>
        <w:snapToGrid w:val="0"/>
        <w:ind w:firstLine="720"/>
      </w:pPr>
      <w:r w:rsidRPr="00D2711C">
        <w:rPr>
          <w:i/>
        </w:rPr>
        <w:t>Prie instamment également</w:t>
      </w:r>
      <w:r w:rsidRPr="00D2711C">
        <w:t xml:space="preserve"> les Parties d’accorder une priorité</w:t>
      </w:r>
      <w:r>
        <w:t>, selon qu’il convient,</w:t>
      </w:r>
      <w:r w:rsidRPr="00D2711C">
        <w:t xml:space="preserve"> aux activités de </w:t>
      </w:r>
      <w:r>
        <w:t>renforcement des capacités en matière de responsabilité et de</w:t>
      </w:r>
      <w:r w:rsidRPr="00D2711C">
        <w:t xml:space="preserve"> </w:t>
      </w:r>
      <w:r>
        <w:t>ré</w:t>
      </w:r>
      <w:r w:rsidRPr="00D2711C">
        <w:t>paration, tell</w:t>
      </w:r>
      <w:r>
        <w:t>e</w:t>
      </w:r>
      <w:r w:rsidRPr="00D2711C">
        <w:t>s qu’</w:t>
      </w:r>
      <w:r>
        <w:t>énonc</w:t>
      </w:r>
      <w:r w:rsidRPr="00D2711C">
        <w:t>ées dans le domaine d’</w:t>
      </w:r>
      <w:r>
        <w:t>intervention 4 du Cadre et P</w:t>
      </w:r>
      <w:r w:rsidRPr="00D2711C">
        <w:t>lan d’action, pendant le reste de la période couverte par le Cadre et Plan d’action, eu é</w:t>
      </w:r>
      <w:r>
        <w:t>gard à l’</w:t>
      </w:r>
      <w:r w:rsidRPr="00D2711C">
        <w:t xml:space="preserve">entrée en vigueur </w:t>
      </w:r>
      <w:r>
        <w:t xml:space="preserve">récente </w:t>
      </w:r>
      <w:r w:rsidRPr="00D2711C">
        <w:t xml:space="preserve">du Protocole additionnel </w:t>
      </w:r>
      <w:r>
        <w:t xml:space="preserve">de </w:t>
      </w:r>
      <w:r w:rsidRPr="00D2711C">
        <w:t xml:space="preserve">Nagoya – Kuala Lumpur </w:t>
      </w:r>
      <w:r>
        <w:t>sur la responsabilité et la réparation;</w:t>
      </w:r>
    </w:p>
    <w:p w14:paraId="0661AF6F" w14:textId="77777777" w:rsidR="00896373" w:rsidRPr="00D2711C" w:rsidRDefault="00896373" w:rsidP="00896373">
      <w:pPr>
        <w:pStyle w:val="Para1"/>
        <w:numPr>
          <w:ilvl w:val="0"/>
          <w:numId w:val="13"/>
        </w:numPr>
        <w:suppressLineNumbers/>
        <w:suppressAutoHyphens/>
        <w:kinsoku w:val="0"/>
        <w:overflowPunct w:val="0"/>
        <w:autoSpaceDE w:val="0"/>
        <w:autoSpaceDN w:val="0"/>
        <w:adjustRightInd w:val="0"/>
        <w:snapToGrid w:val="0"/>
        <w:ind w:firstLine="720"/>
      </w:pPr>
      <w:r w:rsidRPr="00D2711C">
        <w:rPr>
          <w:i/>
        </w:rPr>
        <w:t xml:space="preserve">Invite </w:t>
      </w:r>
      <w:r w:rsidRPr="00D2711C">
        <w:t xml:space="preserve">les Parties, les autres gouvernements et les organisations compétentes qui </w:t>
      </w:r>
      <w:r>
        <w:t>son</w:t>
      </w:r>
      <w:r w:rsidRPr="00D2711C">
        <w:t>t</w:t>
      </w:r>
      <w:r>
        <w:t xml:space="preserve"> </w:t>
      </w:r>
      <w:r w:rsidRPr="00D2711C">
        <w:t>en mesure de le f</w:t>
      </w:r>
      <w:r>
        <w:t>aire à</w:t>
      </w:r>
      <w:r w:rsidRPr="00D2711C">
        <w:t xml:space="preserve"> fournir une assi</w:t>
      </w:r>
      <w:r>
        <w:t>stance financière et technique supplémentaire</w:t>
      </w:r>
      <w:r w:rsidRPr="00D2711C">
        <w:t xml:space="preserve"> pour permettre aux pays en développement </w:t>
      </w:r>
      <w:r>
        <w:t>Parties, en particulie</w:t>
      </w:r>
      <w:r w:rsidRPr="00D2711C">
        <w:t>r</w:t>
      </w:r>
      <w:r>
        <w:t xml:space="preserve"> les pays les moins avancés et les petits Etats insulaires en développement parmi eux, et aux Parties à</w:t>
      </w:r>
      <w:r w:rsidRPr="00D2711C">
        <w:t xml:space="preserve"> </w:t>
      </w:r>
      <w:r>
        <w:t>économie e</w:t>
      </w:r>
      <w:r w:rsidRPr="00D2711C">
        <w:t xml:space="preserve">n transition, </w:t>
      </w:r>
      <w:r>
        <w:t>de mettre en œuvre plus avant le Cadre et Plan d’action ;</w:t>
      </w:r>
    </w:p>
    <w:p w14:paraId="6C93D7DD" w14:textId="77777777" w:rsidR="00896373" w:rsidRPr="00172E35" w:rsidRDefault="00896373" w:rsidP="00896373">
      <w:pPr>
        <w:pStyle w:val="Para1"/>
        <w:numPr>
          <w:ilvl w:val="0"/>
          <w:numId w:val="13"/>
        </w:numPr>
        <w:suppressLineNumbers/>
        <w:suppressAutoHyphens/>
        <w:kinsoku w:val="0"/>
        <w:overflowPunct w:val="0"/>
        <w:autoSpaceDE w:val="0"/>
        <w:autoSpaceDN w:val="0"/>
        <w:adjustRightInd w:val="0"/>
        <w:snapToGrid w:val="0"/>
        <w:ind w:firstLine="720"/>
        <w:rPr>
          <w:snapToGrid/>
        </w:rPr>
      </w:pPr>
      <w:r w:rsidRPr="00172E35">
        <w:rPr>
          <w:i/>
          <w:snapToGrid/>
        </w:rPr>
        <w:t>Prend note</w:t>
      </w:r>
      <w:r w:rsidRPr="00172E35">
        <w:rPr>
          <w:snapToGrid/>
        </w:rPr>
        <w:t xml:space="preserve"> des résultats de la douzième réunion du Groupe de liaison sur le renforcement des capacités pour la prévention des risques biotechnologiques,</w:t>
      </w:r>
      <w:r>
        <w:rPr>
          <w:i/>
          <w:snapToGrid/>
        </w:rPr>
        <w:t xml:space="preserve"> reconnaît</w:t>
      </w:r>
      <w:r w:rsidRPr="00172E35">
        <w:rPr>
          <w:snapToGrid/>
        </w:rPr>
        <w:t xml:space="preserve"> la nécessité d’élaborer un plan d’action spécifique pour le renforcement des capacités en vue de l’application du </w:t>
      </w:r>
      <w:r w:rsidRPr="00172E35">
        <w:t xml:space="preserve">Protocole de Cartagena et de son Protocole additionnel, </w:t>
      </w:r>
      <w:r>
        <w:t xml:space="preserve">qui soit </w:t>
      </w:r>
      <w:r w:rsidRPr="00172E35">
        <w:t>compatible avec le texte qui donnera suite au Plan stratégique du Protocole de Cartagena sur la prévention des risques biotechnologiques</w:t>
      </w:r>
      <w:r>
        <w:t xml:space="preserve">, et complémentaire du cadre stratégique à long terme pour le renforcement des capacités après </w:t>
      </w:r>
      <w:r w:rsidRPr="00172E35">
        <w:rPr>
          <w:snapToGrid/>
        </w:rPr>
        <w:t>2020</w:t>
      </w:r>
      <w:r>
        <w:rPr>
          <w:snapToGrid/>
        </w:rPr>
        <w:t>,</w:t>
      </w:r>
      <w:r>
        <w:t xml:space="preserve"> et </w:t>
      </w:r>
      <w:r>
        <w:rPr>
          <w:i/>
        </w:rPr>
        <w:t>accueille</w:t>
      </w:r>
      <w:r>
        <w:t xml:space="preserve"> </w:t>
      </w:r>
      <w:r w:rsidRPr="00D82EE9">
        <w:rPr>
          <w:i/>
        </w:rPr>
        <w:t>avec satisfaction</w:t>
      </w:r>
      <w:r>
        <w:t xml:space="preserve"> le calendrier indicatif des activités concernant l’élaboration du plan d’action spécifique, qui figure à l’annexe de la présente décision;</w:t>
      </w:r>
    </w:p>
    <w:p w14:paraId="7ECD2F5E" w14:textId="77777777" w:rsidR="00896373" w:rsidRPr="00BB71A9" w:rsidRDefault="00896373" w:rsidP="00896373">
      <w:pPr>
        <w:pStyle w:val="Para1"/>
        <w:numPr>
          <w:ilvl w:val="0"/>
          <w:numId w:val="13"/>
        </w:numPr>
        <w:suppressLineNumbers/>
        <w:suppressAutoHyphens/>
        <w:kinsoku w:val="0"/>
        <w:overflowPunct w:val="0"/>
        <w:autoSpaceDE w:val="0"/>
        <w:autoSpaceDN w:val="0"/>
        <w:adjustRightInd w:val="0"/>
        <w:snapToGrid w:val="0"/>
        <w:ind w:firstLine="720"/>
        <w:rPr>
          <w:snapToGrid/>
        </w:rPr>
      </w:pPr>
      <w:r w:rsidRPr="00BB71A9">
        <w:rPr>
          <w:i/>
        </w:rPr>
        <w:t xml:space="preserve">Prend </w:t>
      </w:r>
      <w:r w:rsidRPr="00BB71A9">
        <w:rPr>
          <w:i/>
          <w:iCs/>
        </w:rPr>
        <w:t>note</w:t>
      </w:r>
      <w:r>
        <w:t xml:space="preserve"> de la décision 14/24,</w:t>
      </w:r>
      <w:r w:rsidRPr="00BB71A9">
        <w:t xml:space="preserve"> dans laquelle la Conférence des Parties </w:t>
      </w:r>
      <w:r>
        <w:t xml:space="preserve">a </w:t>
      </w:r>
      <w:r w:rsidRPr="00BB71A9">
        <w:rPr>
          <w:snapToGrid/>
          <w:kern w:val="20"/>
        </w:rPr>
        <w:t>demandé à la Secrétaire exécutive de commander une étude, dans la limite d</w:t>
      </w:r>
      <w:r>
        <w:rPr>
          <w:snapToGrid/>
          <w:kern w:val="20"/>
        </w:rPr>
        <w:t xml:space="preserve">es ressources disponibles, en vue de </w:t>
      </w:r>
      <w:r w:rsidRPr="00BB71A9">
        <w:rPr>
          <w:snapToGrid/>
          <w:kern w:val="20"/>
        </w:rPr>
        <w:t xml:space="preserve">fournir une base d’information pour l’élaboration d’un cadre stratégique à long terme pour le renforcement des capacités après 2020, </w:t>
      </w:r>
      <w:r w:rsidRPr="00D82EE9">
        <w:rPr>
          <w:i/>
          <w:snapToGrid/>
          <w:kern w:val="20"/>
        </w:rPr>
        <w:t>accueille favorablement</w:t>
      </w:r>
      <w:r w:rsidRPr="00BB71A9">
        <w:rPr>
          <w:snapToGrid/>
          <w:kern w:val="20"/>
        </w:rPr>
        <w:t xml:space="preserve"> le mandat pour cette étude qui figure dans l’annexe à cette </w:t>
      </w:r>
      <w:r>
        <w:rPr>
          <w:snapToGrid/>
          <w:kern w:val="20"/>
        </w:rPr>
        <w:t>dé</w:t>
      </w:r>
      <w:r w:rsidRPr="00BB71A9">
        <w:rPr>
          <w:snapToGrid/>
          <w:kern w:val="20"/>
        </w:rPr>
        <w:t xml:space="preserve">cision, et </w:t>
      </w:r>
      <w:r w:rsidRPr="00BB71A9">
        <w:rPr>
          <w:i/>
          <w:snapToGrid/>
          <w:kern w:val="20"/>
        </w:rPr>
        <w:t>demande</w:t>
      </w:r>
      <w:r>
        <w:rPr>
          <w:snapToGrid/>
          <w:kern w:val="20"/>
        </w:rPr>
        <w:t xml:space="preserve"> que les aspects relatifs au </w:t>
      </w:r>
      <w:r w:rsidRPr="00BB71A9">
        <w:rPr>
          <w:snapToGrid/>
          <w:kern w:val="20"/>
        </w:rPr>
        <w:t>Protocole de Cartagena soient examinés dans cette étude</w:t>
      </w:r>
      <w:r>
        <w:t>;</w:t>
      </w:r>
    </w:p>
    <w:p w14:paraId="209F338B" w14:textId="77777777" w:rsidR="00896373" w:rsidRPr="00BB71A9" w:rsidRDefault="00896373" w:rsidP="00896373">
      <w:pPr>
        <w:pStyle w:val="Para1"/>
        <w:numPr>
          <w:ilvl w:val="0"/>
          <w:numId w:val="13"/>
        </w:numPr>
        <w:suppressLineNumbers/>
        <w:tabs>
          <w:tab w:val="clear" w:pos="360"/>
        </w:tabs>
        <w:suppressAutoHyphens/>
        <w:kinsoku w:val="0"/>
        <w:overflowPunct w:val="0"/>
        <w:autoSpaceDE w:val="0"/>
        <w:autoSpaceDN w:val="0"/>
        <w:adjustRightInd w:val="0"/>
        <w:snapToGrid w:val="0"/>
        <w:ind w:firstLine="720"/>
        <w:rPr>
          <w:snapToGrid/>
        </w:rPr>
      </w:pPr>
      <w:r w:rsidRPr="00BB71A9">
        <w:rPr>
          <w:i/>
          <w:snapToGrid/>
          <w:kern w:val="20"/>
        </w:rPr>
        <w:t>Invite</w:t>
      </w:r>
      <w:r w:rsidRPr="00BB71A9">
        <w:rPr>
          <w:snapToGrid/>
          <w:kern w:val="20"/>
        </w:rPr>
        <w:t xml:space="preserve"> les Parties, les peuples autochtones et communautés locales et les organisations compétentes à communiquer à la Secrétaire exécutive leurs observations et leurs propositions sur les </w:t>
      </w:r>
      <w:r w:rsidRPr="00BB71A9">
        <w:rPr>
          <w:snapToGrid/>
          <w:kern w:val="20"/>
        </w:rPr>
        <w:lastRenderedPageBreak/>
        <w:t xml:space="preserve">éléments éventuels </w:t>
      </w:r>
      <w:r>
        <w:rPr>
          <w:snapToGrid/>
        </w:rPr>
        <w:t>du cadre stratégique</w:t>
      </w:r>
      <w:r w:rsidRPr="00BB71A9">
        <w:t xml:space="preserve"> </w:t>
      </w:r>
      <w:r>
        <w:t xml:space="preserve">à long terme </w:t>
      </w:r>
      <w:r w:rsidRPr="00BB71A9">
        <w:t>pou</w:t>
      </w:r>
      <w:r>
        <w:t xml:space="preserve">r le renforcement des capacités après 2020, ainsi que les éléments éventuels d’un plan d’action spécifique pour le renforcement des capacités en matière de </w:t>
      </w:r>
      <w:r w:rsidRPr="00BB71A9">
        <w:t>prévention des risques biotechnologiques</w:t>
      </w:r>
      <w:r>
        <w:t xml:space="preserve">, couvrant le </w:t>
      </w:r>
      <w:r w:rsidRPr="00BB71A9">
        <w:t xml:space="preserve">Protocole de Cartagena </w:t>
      </w:r>
      <w:r>
        <w:t>et son Protocole additionnel;</w:t>
      </w:r>
    </w:p>
    <w:p w14:paraId="168921DB" w14:textId="77777777" w:rsidR="00896373" w:rsidRPr="00BB71A9" w:rsidRDefault="00896373" w:rsidP="00896373">
      <w:pPr>
        <w:pStyle w:val="Para1"/>
        <w:numPr>
          <w:ilvl w:val="0"/>
          <w:numId w:val="13"/>
        </w:numPr>
        <w:suppressLineNumbers/>
        <w:suppressAutoHyphens/>
        <w:kinsoku w:val="0"/>
        <w:overflowPunct w:val="0"/>
        <w:autoSpaceDE w:val="0"/>
        <w:autoSpaceDN w:val="0"/>
        <w:adjustRightInd w:val="0"/>
        <w:snapToGrid w:val="0"/>
        <w:ind w:firstLine="720"/>
        <w:rPr>
          <w:snapToGrid/>
        </w:rPr>
      </w:pPr>
      <w:r w:rsidRPr="00BB71A9">
        <w:rPr>
          <w:i/>
          <w:snapToGrid/>
          <w:kern w:val="20"/>
        </w:rPr>
        <w:t>Invite aussi</w:t>
      </w:r>
      <w:r w:rsidRPr="00BB71A9">
        <w:rPr>
          <w:snapToGrid/>
          <w:kern w:val="20"/>
        </w:rPr>
        <w:t xml:space="preserve"> les Parties, les peuples autochtones et communautés locales et les organisations compétentes à participer aux ateliers consultatifs et aux forums de discussion en ligne consacrés au projet de cadre stratégique à long terme pour le renforcement des capacités après 2020, en parallèle au processus d’élaboration du cadre mondial de la biodiversité pour l’après-2020</w:t>
      </w:r>
      <w:r>
        <w:rPr>
          <w:snapToGrid/>
        </w:rPr>
        <w:t>;</w:t>
      </w:r>
    </w:p>
    <w:p w14:paraId="25E4978A" w14:textId="77777777" w:rsidR="00896373" w:rsidRPr="00BB71A9" w:rsidRDefault="00896373" w:rsidP="00896373">
      <w:pPr>
        <w:pStyle w:val="Para1"/>
        <w:numPr>
          <w:ilvl w:val="0"/>
          <w:numId w:val="13"/>
        </w:numPr>
        <w:suppressLineNumbers/>
        <w:suppressAutoHyphens/>
        <w:kinsoku w:val="0"/>
        <w:overflowPunct w:val="0"/>
        <w:autoSpaceDE w:val="0"/>
        <w:autoSpaceDN w:val="0"/>
        <w:adjustRightInd w:val="0"/>
        <w:snapToGrid w:val="0"/>
        <w:ind w:firstLine="720"/>
        <w:rPr>
          <w:snapToGrid/>
        </w:rPr>
      </w:pPr>
      <w:r w:rsidRPr="00BB71A9">
        <w:rPr>
          <w:i/>
          <w:snapToGrid/>
          <w:kern w:val="20"/>
        </w:rPr>
        <w:t xml:space="preserve">Prie </w:t>
      </w:r>
      <w:r w:rsidRPr="00BB71A9">
        <w:rPr>
          <w:snapToGrid/>
          <w:kern w:val="20"/>
        </w:rPr>
        <w:t>le Groupe de liaison su</w:t>
      </w:r>
      <w:r>
        <w:rPr>
          <w:snapToGrid/>
          <w:kern w:val="20"/>
        </w:rPr>
        <w:t xml:space="preserve">r le Protocole de Cartagena </w:t>
      </w:r>
      <w:r w:rsidRPr="00BB71A9">
        <w:rPr>
          <w:snapToGrid/>
          <w:kern w:val="20"/>
        </w:rPr>
        <w:t>pour la prévention des risques biotechnologiques</w:t>
      </w:r>
      <w:r w:rsidRPr="00155BE5">
        <w:rPr>
          <w:rStyle w:val="FootnoteReference"/>
          <w:snapToGrid/>
          <w:kern w:val="20"/>
          <w:sz w:val="22"/>
          <w:vertAlign w:val="superscript"/>
        </w:rPr>
        <w:footnoteReference w:id="5"/>
      </w:r>
      <w:r w:rsidRPr="00BB71A9">
        <w:rPr>
          <w:snapToGrid/>
          <w:kern w:val="20"/>
        </w:rPr>
        <w:t xml:space="preserve">, à sa treizième réunion, de contribuer à l’élaboration : </w:t>
      </w:r>
      <w:r w:rsidRPr="00BB71A9">
        <w:t>a) du projet de p</w:t>
      </w:r>
      <w:r>
        <w:t>lan d’action pour le renforcement des capacités en vue de l’application du</w:t>
      </w:r>
      <w:r w:rsidRPr="00BB71A9">
        <w:t xml:space="preserve"> Protocole de Cartagena</w:t>
      </w:r>
      <w:r>
        <w:t xml:space="preserve"> et de son</w:t>
      </w:r>
      <w:r w:rsidRPr="00BB71A9">
        <w:t xml:space="preserve"> </w:t>
      </w:r>
      <w:r>
        <w:t xml:space="preserve">Protocole additionnel; </w:t>
      </w:r>
      <w:r w:rsidRPr="00BB71A9">
        <w:t xml:space="preserve">b) </w:t>
      </w:r>
      <w:r w:rsidRPr="00BB71A9">
        <w:rPr>
          <w:snapToGrid/>
          <w:kern w:val="20"/>
        </w:rPr>
        <w:t xml:space="preserve">du projet de cadre stratégique à long terme pour le </w:t>
      </w:r>
      <w:r>
        <w:rPr>
          <w:snapToGrid/>
          <w:kern w:val="20"/>
        </w:rPr>
        <w:t xml:space="preserve">renforcement des capacités après </w:t>
      </w:r>
      <w:r w:rsidRPr="00BB71A9">
        <w:rPr>
          <w:snapToGrid/>
          <w:kern w:val="20"/>
        </w:rPr>
        <w:t>2020</w:t>
      </w:r>
      <w:r>
        <w:rPr>
          <w:snapToGrid/>
          <w:kern w:val="20"/>
        </w:rPr>
        <w:t xml:space="preserve">, selon qu’il convient et, à sa quatorzième </w:t>
      </w:r>
      <w:r w:rsidRPr="00BB71A9">
        <w:rPr>
          <w:color w:val="000000" w:themeColor="text1"/>
        </w:rPr>
        <w:t xml:space="preserve">réunion, </w:t>
      </w:r>
      <w:r>
        <w:rPr>
          <w:color w:val="000000" w:themeColor="text1"/>
        </w:rPr>
        <w:t>d’examiner le projet final de</w:t>
      </w:r>
      <w:r w:rsidRPr="00BB71A9">
        <w:t xml:space="preserve"> p</w:t>
      </w:r>
      <w:r>
        <w:t>lan d’action pour le renforcement des capacités en matière de</w:t>
      </w:r>
      <w:r w:rsidRPr="00BB71A9">
        <w:t xml:space="preserve"> prévention des risques biotechnologiques, </w:t>
      </w:r>
      <w:r>
        <w:t xml:space="preserve">compte tenu des </w:t>
      </w:r>
      <w:r w:rsidRPr="00BB71A9">
        <w:t>information</w:t>
      </w:r>
      <w:r>
        <w:t>s fournies dans les quatrième rapports nationaux au titre du</w:t>
      </w:r>
      <w:r w:rsidRPr="00BB71A9">
        <w:t xml:space="preserve"> Protocole de Cartagena</w:t>
      </w:r>
      <w:r>
        <w:rPr>
          <w:color w:val="000000" w:themeColor="text1"/>
        </w:rPr>
        <w:t>;</w:t>
      </w:r>
    </w:p>
    <w:p w14:paraId="4D965FD3" w14:textId="77777777" w:rsidR="00896373" w:rsidRDefault="00896373" w:rsidP="00896373">
      <w:pPr>
        <w:pStyle w:val="Para1"/>
        <w:numPr>
          <w:ilvl w:val="0"/>
          <w:numId w:val="13"/>
        </w:numPr>
        <w:suppressLineNumbers/>
        <w:tabs>
          <w:tab w:val="clear" w:pos="360"/>
        </w:tabs>
        <w:suppressAutoHyphens/>
        <w:kinsoku w:val="0"/>
        <w:overflowPunct w:val="0"/>
        <w:autoSpaceDE w:val="0"/>
        <w:autoSpaceDN w:val="0"/>
        <w:adjustRightInd w:val="0"/>
        <w:snapToGrid w:val="0"/>
        <w:ind w:firstLine="709"/>
        <w:rPr>
          <w:snapToGrid/>
        </w:rPr>
      </w:pPr>
      <w:r w:rsidRPr="00271DBB">
        <w:rPr>
          <w:i/>
          <w:snapToGrid/>
          <w:kern w:val="20"/>
        </w:rPr>
        <w:t>Prie</w:t>
      </w:r>
      <w:r>
        <w:rPr>
          <w:snapToGrid/>
          <w:kern w:val="20"/>
        </w:rPr>
        <w:t xml:space="preserve"> la Secrétaire exécutive de :</w:t>
      </w:r>
      <w:r>
        <w:rPr>
          <w:snapToGrid/>
        </w:rPr>
        <w:t xml:space="preserve"> </w:t>
      </w:r>
    </w:p>
    <w:p w14:paraId="1CE70190" w14:textId="77777777" w:rsidR="00896373" w:rsidRDefault="00896373" w:rsidP="00896373">
      <w:pPr>
        <w:pStyle w:val="Para1"/>
        <w:numPr>
          <w:ilvl w:val="0"/>
          <w:numId w:val="0"/>
        </w:numPr>
        <w:suppressLineNumbers/>
        <w:suppressAutoHyphens/>
        <w:kinsoku w:val="0"/>
        <w:overflowPunct w:val="0"/>
        <w:autoSpaceDE w:val="0"/>
        <w:autoSpaceDN w:val="0"/>
        <w:adjustRightInd w:val="0"/>
        <w:snapToGrid w:val="0"/>
        <w:ind w:firstLine="709"/>
        <w:rPr>
          <w:snapToGrid/>
        </w:rPr>
      </w:pPr>
      <w:r>
        <w:rPr>
          <w:snapToGrid/>
        </w:rPr>
        <w:t>a)</w:t>
      </w:r>
      <w:r>
        <w:rPr>
          <w:snapToGrid/>
        </w:rPr>
        <w:tab/>
        <w:t>Consolider les points de vue et les suggestions des Parties, des peuples autochtones et communautés locales et des organisations compétentes, mentionnés au paragraphe 8 ci-dessus;</w:t>
      </w:r>
    </w:p>
    <w:p w14:paraId="6533B7F8" w14:textId="77777777" w:rsidR="00896373" w:rsidRDefault="00896373" w:rsidP="00896373">
      <w:pPr>
        <w:pStyle w:val="Para1"/>
        <w:numPr>
          <w:ilvl w:val="0"/>
          <w:numId w:val="0"/>
        </w:numPr>
        <w:suppressLineNumbers/>
        <w:suppressAutoHyphens/>
        <w:kinsoku w:val="0"/>
        <w:overflowPunct w:val="0"/>
        <w:autoSpaceDE w:val="0"/>
        <w:autoSpaceDN w:val="0"/>
        <w:adjustRightInd w:val="0"/>
        <w:snapToGrid w:val="0"/>
        <w:ind w:firstLine="709"/>
        <w:rPr>
          <w:snapToGrid/>
        </w:rPr>
      </w:pPr>
      <w:r>
        <w:rPr>
          <w:snapToGrid/>
        </w:rPr>
        <w:t>b)</w:t>
      </w:r>
      <w:r>
        <w:rPr>
          <w:snapToGrid/>
        </w:rPr>
        <w:tab/>
      </w:r>
      <w:r>
        <w:t>A</w:t>
      </w:r>
      <w:r w:rsidRPr="00172E35">
        <w:t>ssurer un niveau de participat</w:t>
      </w:r>
      <w:r>
        <w:t xml:space="preserve">ion suffisant d’experts en matière de </w:t>
      </w:r>
      <w:r w:rsidRPr="00172E35">
        <w:t xml:space="preserve">prévention des risques biotechnologiques, </w:t>
      </w:r>
      <w:r>
        <w:t xml:space="preserve">y compris ceux qui disposent d’une expertise concernant le </w:t>
      </w:r>
      <w:r w:rsidRPr="00172E35">
        <w:t xml:space="preserve">Protocole additionnel, </w:t>
      </w:r>
      <w:r>
        <w:t xml:space="preserve">lors des </w:t>
      </w:r>
      <w:r w:rsidRPr="00172E35">
        <w:t>consultations</w:t>
      </w:r>
      <w:r>
        <w:t xml:space="preserve"> menées pendant toute la durée de l’élaboration du cadre stratégique pour le renforcement des capacités après </w:t>
      </w:r>
      <w:r w:rsidRPr="00172E35">
        <w:rPr>
          <w:snapToGrid/>
        </w:rPr>
        <w:t>2020</w:t>
      </w:r>
      <w:r>
        <w:rPr>
          <w:snapToGrid/>
        </w:rPr>
        <w:t>;</w:t>
      </w:r>
    </w:p>
    <w:p w14:paraId="0C2589F3" w14:textId="77777777" w:rsidR="00896373" w:rsidRPr="00271DBB" w:rsidRDefault="00896373" w:rsidP="00896373">
      <w:pPr>
        <w:pStyle w:val="Para1"/>
        <w:numPr>
          <w:ilvl w:val="0"/>
          <w:numId w:val="0"/>
        </w:numPr>
        <w:suppressLineNumbers/>
        <w:suppressAutoHyphens/>
        <w:kinsoku w:val="0"/>
        <w:overflowPunct w:val="0"/>
        <w:autoSpaceDE w:val="0"/>
        <w:autoSpaceDN w:val="0"/>
        <w:adjustRightInd w:val="0"/>
        <w:snapToGrid w:val="0"/>
        <w:ind w:firstLine="709"/>
        <w:rPr>
          <w:snapToGrid/>
        </w:rPr>
      </w:pPr>
      <w:r>
        <w:rPr>
          <w:snapToGrid/>
        </w:rPr>
        <w:t>c)</w:t>
      </w:r>
      <w:r>
        <w:rPr>
          <w:snapToGrid/>
        </w:rPr>
        <w:tab/>
        <w:t>Présenter : i) un</w:t>
      </w:r>
      <w:r w:rsidRPr="00271DBB">
        <w:rPr>
          <w:snapToGrid/>
        </w:rPr>
        <w:t xml:space="preserve"> </w:t>
      </w:r>
      <w:r w:rsidRPr="00BB71A9">
        <w:t>projet de p</w:t>
      </w:r>
      <w:r>
        <w:t>lan d’action pour le renforcement des capacités en vue de l’application du</w:t>
      </w:r>
      <w:r w:rsidRPr="00BB71A9">
        <w:t xml:space="preserve"> </w:t>
      </w:r>
      <w:r w:rsidRPr="00271DBB">
        <w:t>Protocole de Cartagena</w:t>
      </w:r>
      <w:r>
        <w:t xml:space="preserve"> et de son</w:t>
      </w:r>
      <w:r w:rsidRPr="00271DBB">
        <w:t xml:space="preserve"> Protocole additionnel</w:t>
      </w:r>
      <w:r>
        <w:rPr>
          <w:snapToGrid/>
        </w:rPr>
        <w:t>; ii)</w:t>
      </w:r>
      <w:r w:rsidRPr="00271DBB">
        <w:rPr>
          <w:snapToGrid/>
        </w:rPr>
        <w:t xml:space="preserve"> </w:t>
      </w:r>
      <w:r w:rsidRPr="00271DBB">
        <w:rPr>
          <w:snapToGrid/>
          <w:kern w:val="20"/>
        </w:rPr>
        <w:t>un projet de cadre stratégique à long terme pour le renforcement des capacités après 2020</w:t>
      </w:r>
      <w:r w:rsidRPr="00155BE5">
        <w:rPr>
          <w:rStyle w:val="FootnoteReference"/>
          <w:snapToGrid/>
          <w:kern w:val="20"/>
          <w:sz w:val="20"/>
          <w:szCs w:val="20"/>
          <w:vertAlign w:val="superscript"/>
        </w:rPr>
        <w:footnoteReference w:id="6"/>
      </w:r>
      <w:r w:rsidRPr="00271DBB">
        <w:rPr>
          <w:snapToGrid/>
        </w:rPr>
        <w:t xml:space="preserve">, </w:t>
      </w:r>
      <w:r>
        <w:rPr>
          <w:snapToGrid/>
          <w:kern w:val="20"/>
        </w:rPr>
        <w:t>pour examen par l’</w:t>
      </w:r>
      <w:r w:rsidRPr="00271DBB">
        <w:rPr>
          <w:snapToGrid/>
          <w:kern w:val="20"/>
        </w:rPr>
        <w:t>Organe subsidiaire chargé de</w:t>
      </w:r>
      <w:r>
        <w:rPr>
          <w:snapToGrid/>
          <w:kern w:val="20"/>
        </w:rPr>
        <w:t xml:space="preserve"> </w:t>
      </w:r>
      <w:r w:rsidRPr="00271DBB">
        <w:rPr>
          <w:snapToGrid/>
          <w:kern w:val="20"/>
        </w:rPr>
        <w:t>l'application à sa troisième réunion</w:t>
      </w:r>
      <w:r>
        <w:rPr>
          <w:snapToGrid/>
          <w:kern w:val="20"/>
        </w:rPr>
        <w:t>,</w:t>
      </w:r>
      <w:r w:rsidRPr="00271DBB">
        <w:rPr>
          <w:snapToGrid/>
          <w:kern w:val="20"/>
        </w:rPr>
        <w:t xml:space="preserve"> et pour examen ultérieur par la Conférence des Parties siégeant en tant que réunion des Parties </w:t>
      </w:r>
      <w:r w:rsidRPr="00271DBB">
        <w:t>au Protocole de Cartagena sur la prévention des risques biotechnologiques à sa dixième réunion</w:t>
      </w:r>
      <w:r>
        <w:rPr>
          <w:snapToGrid/>
        </w:rPr>
        <w:t>;</w:t>
      </w:r>
    </w:p>
    <w:p w14:paraId="1729F57D" w14:textId="77777777" w:rsidR="00896373" w:rsidRPr="00B90F86" w:rsidRDefault="00896373" w:rsidP="00896373">
      <w:pPr>
        <w:pStyle w:val="Para1"/>
        <w:numPr>
          <w:ilvl w:val="0"/>
          <w:numId w:val="13"/>
        </w:numPr>
        <w:tabs>
          <w:tab w:val="clear" w:pos="360"/>
          <w:tab w:val="num" w:pos="720"/>
        </w:tabs>
        <w:ind w:firstLine="720"/>
      </w:pPr>
      <w:r w:rsidRPr="00172E35">
        <w:rPr>
          <w:i/>
        </w:rPr>
        <w:t xml:space="preserve">Prie également </w:t>
      </w:r>
      <w:r w:rsidRPr="00172E35">
        <w:t xml:space="preserve">la Secrétaire exécutive, dans la limite des ressources disponibles et en collaboration avec les </w:t>
      </w:r>
      <w:r>
        <w:t>organis</w:t>
      </w:r>
      <w:r w:rsidRPr="00172E35">
        <w:t>ations</w:t>
      </w:r>
      <w:r>
        <w:t xml:space="preserve"> compétentes, de faciliter et d’appuyer la mise en œuvre des activités de renforcement des capacités prioritaires pour faciliter l’application du</w:t>
      </w:r>
      <w:r w:rsidRPr="00172E35">
        <w:t xml:space="preserve"> Protocole</w:t>
      </w:r>
      <w:r>
        <w:t xml:space="preserve">, telles qu’indiquées dans le Cadre et Plan d’action pour le renforcement des capacités en vue de l’application effective du </w:t>
      </w:r>
      <w:r w:rsidRPr="00172E35">
        <w:rPr>
          <w:lang w:eastAsia="x-none"/>
        </w:rPr>
        <w:t>Protocole de Cartagena sur la prévention des risques biotechnologiques</w:t>
      </w:r>
      <w:r w:rsidRPr="00172E35">
        <w:t xml:space="preserve"> (2012-2020), </w:t>
      </w:r>
      <w:r>
        <w:t>lequel figure dans l’</w:t>
      </w:r>
      <w:r w:rsidRPr="00172E35">
        <w:t>annex</w:t>
      </w:r>
      <w:r>
        <w:t xml:space="preserve">e I à la </w:t>
      </w:r>
      <w:r w:rsidRPr="00172E35">
        <w:t xml:space="preserve">décision BS-VI/3, </w:t>
      </w:r>
      <w:r>
        <w:t xml:space="preserve">et conformément au Plan d’action à court terme </w:t>
      </w:r>
      <w:r w:rsidRPr="00172E35">
        <w:t xml:space="preserve">(2017-2020) </w:t>
      </w:r>
      <w:r>
        <w:t>pour améliorer et appuyer le renforcement des capacités en vue de l’application de la Convention et de ses P</w:t>
      </w:r>
      <w:r w:rsidRPr="00172E35">
        <w:t>rotocol</w:t>
      </w:r>
      <w:r>
        <w:t>e</w:t>
      </w:r>
      <w:r w:rsidRPr="00172E35">
        <w:t>s</w:t>
      </w:r>
      <w:r>
        <w:t>, lequel figure dans l’annexe à la</w:t>
      </w:r>
      <w:r w:rsidRPr="00172E35">
        <w:t xml:space="preserve"> </w:t>
      </w:r>
      <w:r w:rsidRPr="00172E35">
        <w:rPr>
          <w:bCs/>
          <w:iCs/>
        </w:rPr>
        <w:t>décision</w:t>
      </w:r>
      <w:r>
        <w:rPr>
          <w:bCs/>
          <w:iCs/>
        </w:rPr>
        <w:t xml:space="preserve"> XIII/23 de la Conférence des Parties.</w:t>
      </w:r>
    </w:p>
    <w:p w14:paraId="3FBB7774" w14:textId="77777777" w:rsidR="00896373" w:rsidRPr="001A1250" w:rsidRDefault="00896373" w:rsidP="00896373">
      <w:pPr>
        <w:pStyle w:val="Para1"/>
        <w:numPr>
          <w:ilvl w:val="0"/>
          <w:numId w:val="0"/>
        </w:numPr>
        <w:ind w:left="720"/>
      </w:pPr>
    </w:p>
    <w:p w14:paraId="15E27C14" w14:textId="77777777" w:rsidR="00896373" w:rsidRPr="00E86C5A" w:rsidRDefault="00896373" w:rsidP="00896373">
      <w:pPr>
        <w:suppressLineNumbers/>
        <w:suppressAutoHyphens/>
        <w:kinsoku w:val="0"/>
        <w:overflowPunct w:val="0"/>
        <w:autoSpaceDE w:val="0"/>
        <w:autoSpaceDN w:val="0"/>
        <w:snapToGrid w:val="0"/>
        <w:spacing w:before="120" w:after="120"/>
        <w:jc w:val="center"/>
        <w:rPr>
          <w:i/>
          <w:snapToGrid w:val="0"/>
          <w:kern w:val="22"/>
          <w:szCs w:val="22"/>
          <w:lang w:eastAsia="en-CA"/>
        </w:rPr>
      </w:pPr>
      <w:r w:rsidRPr="00E86C5A">
        <w:rPr>
          <w:i/>
          <w:snapToGrid w:val="0"/>
          <w:kern w:val="22"/>
          <w:szCs w:val="22"/>
          <w:lang w:eastAsia="en-CA"/>
        </w:rPr>
        <w:t>Annexe</w:t>
      </w:r>
    </w:p>
    <w:p w14:paraId="2CBEC410" w14:textId="77777777" w:rsidR="00896373" w:rsidRPr="00E86C5A" w:rsidRDefault="00896373" w:rsidP="00896373">
      <w:pPr>
        <w:keepNext/>
        <w:suppressLineNumbers/>
        <w:suppressAutoHyphens/>
        <w:spacing w:before="120" w:after="240"/>
        <w:jc w:val="center"/>
        <w:rPr>
          <w:rFonts w:eastAsia="Calibri"/>
          <w:snapToGrid w:val="0"/>
          <w:color w:val="000000"/>
          <w:kern w:val="22"/>
          <w:szCs w:val="22"/>
          <w:lang w:eastAsia="x-none"/>
        </w:rPr>
      </w:pPr>
      <w:r w:rsidRPr="00E86C5A">
        <w:rPr>
          <w:rFonts w:eastAsia="Calibri"/>
          <w:b/>
          <w:iCs/>
          <w:snapToGrid w:val="0"/>
          <w:color w:val="000000"/>
          <w:kern w:val="22"/>
          <w:szCs w:val="22"/>
          <w:lang w:eastAsia="x-none"/>
        </w:rPr>
        <w:t>CALENDRIER INDICATIF DES ACTIVITÉS</w:t>
      </w:r>
    </w:p>
    <w:p w14:paraId="2D746784" w14:textId="77777777" w:rsidR="00896373" w:rsidRPr="00E86C5A" w:rsidRDefault="00896373" w:rsidP="00896373">
      <w:pPr>
        <w:pStyle w:val="Para1"/>
        <w:numPr>
          <w:ilvl w:val="0"/>
          <w:numId w:val="0"/>
        </w:numPr>
        <w:suppressLineNumbers/>
        <w:suppressAutoHyphens/>
        <w:kinsoku w:val="0"/>
        <w:overflowPunct w:val="0"/>
        <w:autoSpaceDE w:val="0"/>
        <w:autoSpaceDN w:val="0"/>
        <w:adjustRightInd w:val="0"/>
        <w:snapToGrid w:val="0"/>
        <w:rPr>
          <w:snapToGrid/>
        </w:rPr>
      </w:pPr>
      <w:r w:rsidRPr="00E86C5A">
        <w:rPr>
          <w:snapToGrid/>
        </w:rPr>
        <w:tab/>
        <w:t>Le pr</w:t>
      </w:r>
      <w:r>
        <w:rPr>
          <w:snapToGrid/>
        </w:rPr>
        <w:t xml:space="preserve">ocessus d’élaboration d’un plan </w:t>
      </w:r>
      <w:r w:rsidRPr="00E86C5A">
        <w:rPr>
          <w:snapToGrid/>
        </w:rPr>
        <w:t>d’action spécifique pour le renforcement des capacités en vue de l’appli</w:t>
      </w:r>
      <w:r>
        <w:rPr>
          <w:snapToGrid/>
        </w:rPr>
        <w:t>c</w:t>
      </w:r>
      <w:r w:rsidRPr="00E86C5A">
        <w:rPr>
          <w:snapToGrid/>
        </w:rPr>
        <w:t>ation du Protocole de Cartagena et de son Protocole additionnel</w:t>
      </w:r>
      <w:r>
        <w:rPr>
          <w:snapToGrid/>
        </w:rPr>
        <w:t>,</w:t>
      </w:r>
      <w:r w:rsidRPr="00E86C5A">
        <w:rPr>
          <w:snapToGrid/>
        </w:rPr>
        <w:t xml:space="preserve"> </w:t>
      </w:r>
      <w:r>
        <w:rPr>
          <w:snapToGrid/>
        </w:rPr>
        <w:t xml:space="preserve">qui soit compatible avec le texte qui donnera suite au Plan stratégique du Protocole de Cartagena sur la prévention des risques biotechnologique, et complémentaire </w:t>
      </w:r>
      <w:r>
        <w:t xml:space="preserve">du cadre stratégique à long terme pour le renforcement des capacités </w:t>
      </w:r>
      <w:r>
        <w:lastRenderedPageBreak/>
        <w:t xml:space="preserve">après </w:t>
      </w:r>
      <w:r w:rsidRPr="00172E35">
        <w:rPr>
          <w:snapToGrid/>
        </w:rPr>
        <w:t>2020</w:t>
      </w:r>
      <w:r>
        <w:rPr>
          <w:snapToGrid/>
        </w:rPr>
        <w:t xml:space="preserve">, comprendra les activités suivantes, qui seront alignées sur le calendrier d’élaboration du texte qui donnera suite au Plan stratégique pour la diversité biologique </w:t>
      </w:r>
      <w:r w:rsidRPr="00E86C5A">
        <w:rPr>
          <w:snapToGrid/>
        </w:rPr>
        <w:t>2011-2020:</w:t>
      </w:r>
    </w:p>
    <w:p w14:paraId="65B3F44A" w14:textId="77777777" w:rsidR="00896373" w:rsidRPr="001A1250" w:rsidRDefault="00896373" w:rsidP="00896373">
      <w:pPr>
        <w:pStyle w:val="Para1"/>
        <w:numPr>
          <w:ilvl w:val="0"/>
          <w:numId w:val="0"/>
        </w:numPr>
        <w:suppressLineNumbers/>
        <w:suppressAutoHyphens/>
        <w:kinsoku w:val="0"/>
        <w:overflowPunct w:val="0"/>
        <w:autoSpaceDE w:val="0"/>
        <w:autoSpaceDN w:val="0"/>
        <w:adjustRightInd w:val="0"/>
        <w:snapToGrid w:val="0"/>
        <w:rPr>
          <w:snapToGrid/>
        </w:rPr>
      </w:pPr>
    </w:p>
    <w:tbl>
      <w:tblPr>
        <w:tblW w:w="9598" w:type="dxa"/>
        <w:jc w:val="center"/>
        <w:tblLook w:val="01E0" w:firstRow="1" w:lastRow="1" w:firstColumn="1" w:lastColumn="1" w:noHBand="0" w:noVBand="0"/>
      </w:tblPr>
      <w:tblGrid>
        <w:gridCol w:w="5238"/>
        <w:gridCol w:w="1667"/>
        <w:gridCol w:w="2693"/>
      </w:tblGrid>
      <w:tr w:rsidR="00896373" w:rsidRPr="009F6245" w14:paraId="28E553C5" w14:textId="77777777" w:rsidTr="009137A8">
        <w:trPr>
          <w:cantSplit/>
          <w:tblHeader/>
          <w:jc w:val="center"/>
        </w:trPr>
        <w:tc>
          <w:tcPr>
            <w:tcW w:w="5238" w:type="dxa"/>
          </w:tcPr>
          <w:p w14:paraId="43AFA3B5"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i/>
                <w:snapToGrid/>
              </w:rPr>
            </w:pPr>
            <w:r w:rsidRPr="009F6245">
              <w:rPr>
                <w:i/>
                <w:snapToGrid/>
              </w:rPr>
              <w:t>Activité/Tâche</w:t>
            </w:r>
          </w:p>
        </w:tc>
        <w:tc>
          <w:tcPr>
            <w:tcW w:w="1667" w:type="dxa"/>
          </w:tcPr>
          <w:p w14:paraId="44283504"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i/>
                <w:snapToGrid/>
              </w:rPr>
            </w:pPr>
            <w:r>
              <w:rPr>
                <w:i/>
                <w:snapToGrid/>
              </w:rPr>
              <w:t>Calendrier</w:t>
            </w:r>
          </w:p>
        </w:tc>
        <w:tc>
          <w:tcPr>
            <w:tcW w:w="2693" w:type="dxa"/>
          </w:tcPr>
          <w:p w14:paraId="5586A142"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i/>
                <w:snapToGrid/>
              </w:rPr>
            </w:pPr>
            <w:r w:rsidRPr="009F6245">
              <w:rPr>
                <w:i/>
                <w:snapToGrid/>
              </w:rPr>
              <w:t>Responsabilité</w:t>
            </w:r>
          </w:p>
        </w:tc>
      </w:tr>
      <w:tr w:rsidR="00896373" w:rsidRPr="00854769" w14:paraId="4A912873" w14:textId="77777777" w:rsidTr="009137A8">
        <w:trPr>
          <w:cantSplit/>
          <w:jc w:val="center"/>
        </w:trPr>
        <w:tc>
          <w:tcPr>
            <w:tcW w:w="5238" w:type="dxa"/>
          </w:tcPr>
          <w:p w14:paraId="00CB6A89" w14:textId="77777777" w:rsidR="00896373" w:rsidRPr="009F6245" w:rsidRDefault="00896373" w:rsidP="009137A8">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9F6245">
              <w:rPr>
                <w:snapToGrid/>
              </w:rPr>
              <w:t>1.</w:t>
            </w:r>
            <w:r w:rsidRPr="009F6245">
              <w:rPr>
                <w:snapToGrid/>
              </w:rPr>
              <w:tab/>
              <w:t xml:space="preserve">Invitation </w:t>
            </w:r>
            <w:r>
              <w:rPr>
                <w:snapToGrid/>
              </w:rPr>
              <w:t>des</w:t>
            </w:r>
            <w:r w:rsidRPr="009F6245">
              <w:rPr>
                <w:snapToGrid/>
              </w:rPr>
              <w:t xml:space="preserve"> Parties</w:t>
            </w:r>
            <w:r>
              <w:rPr>
                <w:snapToGrid/>
              </w:rPr>
              <w:t xml:space="preserve"> au Protocole de Cartagena, des peuples autochtones et communautés locales et des organisations compétentes à communiquer des points de vue et des suggestions sur les éléments éventuels d’un plan d’action spécifique pour le renforcement des capacités en matière de prévention des risques biotechnologiques, couvrant le Protocole de Cartagena et son Protocole additionnel, et compilation de ces informations par le Secrétariat</w:t>
            </w:r>
          </w:p>
        </w:tc>
        <w:tc>
          <w:tcPr>
            <w:tcW w:w="1667" w:type="dxa"/>
          </w:tcPr>
          <w:p w14:paraId="16C2C591"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Pr>
                <w:snapToGrid/>
              </w:rPr>
              <w:t>Dé</w:t>
            </w:r>
            <w:r w:rsidRPr="009F6245">
              <w:rPr>
                <w:snapToGrid/>
              </w:rPr>
              <w:t>c</w:t>
            </w:r>
            <w:r>
              <w:rPr>
                <w:snapToGrid/>
              </w:rPr>
              <w:t>.</w:t>
            </w:r>
            <w:r w:rsidRPr="009F6245">
              <w:rPr>
                <w:snapToGrid/>
              </w:rPr>
              <w:t xml:space="preserve"> 2018 -</w:t>
            </w:r>
          </w:p>
          <w:p w14:paraId="4921FD34"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Pr>
                <w:snapToGrid/>
              </w:rPr>
              <w:t>fév.</w:t>
            </w:r>
            <w:r w:rsidRPr="009F6245">
              <w:rPr>
                <w:snapToGrid/>
              </w:rPr>
              <w:t xml:space="preserve"> 2019</w:t>
            </w:r>
          </w:p>
        </w:tc>
        <w:tc>
          <w:tcPr>
            <w:tcW w:w="2693" w:type="dxa"/>
          </w:tcPr>
          <w:p w14:paraId="37FB9BB4"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Pr>
                <w:snapToGrid/>
              </w:rPr>
              <w:t>Secré</w:t>
            </w:r>
            <w:r w:rsidRPr="009F6245">
              <w:rPr>
                <w:snapToGrid/>
              </w:rPr>
              <w:t>tar</w:t>
            </w:r>
            <w:r>
              <w:rPr>
                <w:snapToGrid/>
              </w:rPr>
              <w:t>iat; Parties, peuples autochtones et communautés locales, et organisations compétentes</w:t>
            </w:r>
            <w:r w:rsidRPr="009F6245">
              <w:rPr>
                <w:snapToGrid/>
              </w:rPr>
              <w:t xml:space="preserve"> </w:t>
            </w:r>
          </w:p>
        </w:tc>
      </w:tr>
      <w:tr w:rsidR="00896373" w:rsidRPr="00022657" w14:paraId="789CD190" w14:textId="77777777" w:rsidTr="009137A8">
        <w:trPr>
          <w:cantSplit/>
          <w:jc w:val="center"/>
        </w:trPr>
        <w:tc>
          <w:tcPr>
            <w:tcW w:w="5238" w:type="dxa"/>
          </w:tcPr>
          <w:p w14:paraId="3DC9985F" w14:textId="77777777" w:rsidR="00896373" w:rsidRPr="009F6245" w:rsidRDefault="00896373" w:rsidP="009137A8">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9F6245">
              <w:rPr>
                <w:snapToGrid/>
              </w:rPr>
              <w:t xml:space="preserve">2.  </w:t>
            </w:r>
            <w:r>
              <w:rPr>
                <w:snapToGrid/>
              </w:rPr>
              <w:t>Contribution du Groupe de liaison à l’élaboration du projet de plan d’action pour le renforcement des capacités en vue de l’application du Protocole de Cartagena et de son Protocole additionnel, compte tenu des points de vues et des suggestions communiqués par les Parties</w:t>
            </w:r>
          </w:p>
        </w:tc>
        <w:tc>
          <w:tcPr>
            <w:tcW w:w="1667" w:type="dxa"/>
          </w:tcPr>
          <w:p w14:paraId="79E7511F"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9F6245">
              <w:rPr>
                <w:snapToGrid/>
              </w:rPr>
              <w:t>Mar</w:t>
            </w:r>
            <w:r>
              <w:rPr>
                <w:snapToGrid/>
              </w:rPr>
              <w:t>s-s</w:t>
            </w:r>
            <w:r w:rsidRPr="009F6245">
              <w:rPr>
                <w:snapToGrid/>
              </w:rPr>
              <w:t>ept</w:t>
            </w:r>
            <w:r>
              <w:rPr>
                <w:snapToGrid/>
              </w:rPr>
              <w:t>.</w:t>
            </w:r>
            <w:r w:rsidRPr="009F6245">
              <w:rPr>
                <w:snapToGrid/>
              </w:rPr>
              <w:t xml:space="preserve"> 2019</w:t>
            </w:r>
          </w:p>
        </w:tc>
        <w:tc>
          <w:tcPr>
            <w:tcW w:w="2693" w:type="dxa"/>
          </w:tcPr>
          <w:p w14:paraId="3A1FFF95"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Pr>
                <w:snapToGrid/>
              </w:rPr>
              <w:t>Groupe de liaison; Secré</w:t>
            </w:r>
            <w:r w:rsidRPr="009F6245">
              <w:rPr>
                <w:snapToGrid/>
              </w:rPr>
              <w:t>tariat</w:t>
            </w:r>
          </w:p>
        </w:tc>
      </w:tr>
      <w:tr w:rsidR="00896373" w:rsidRPr="009F6245" w14:paraId="1D023FE8" w14:textId="77777777" w:rsidTr="009137A8">
        <w:trPr>
          <w:cantSplit/>
          <w:jc w:val="center"/>
        </w:trPr>
        <w:tc>
          <w:tcPr>
            <w:tcW w:w="5238" w:type="dxa"/>
          </w:tcPr>
          <w:p w14:paraId="33208ABB" w14:textId="77777777" w:rsidR="00896373" w:rsidRPr="009F6245" w:rsidRDefault="00896373" w:rsidP="009137A8">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9F6245">
              <w:rPr>
                <w:snapToGrid/>
              </w:rPr>
              <w:t>3.</w:t>
            </w:r>
            <w:r w:rsidRPr="009F6245">
              <w:rPr>
                <w:snapToGrid/>
              </w:rPr>
              <w:tab/>
            </w:r>
            <w:r>
              <w:rPr>
                <w:snapToGrid/>
              </w:rPr>
              <w:t>Élaboration d’un projet de plan d’action pour le renforcement des capacités en vue de l’application du Protocole de Cartagena et de son Protocole additionnel</w:t>
            </w:r>
          </w:p>
        </w:tc>
        <w:tc>
          <w:tcPr>
            <w:tcW w:w="1667" w:type="dxa"/>
          </w:tcPr>
          <w:p w14:paraId="027706DF"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9F6245">
              <w:rPr>
                <w:snapToGrid/>
              </w:rPr>
              <w:t>Oct</w:t>
            </w:r>
            <w:r>
              <w:rPr>
                <w:snapToGrid/>
              </w:rPr>
              <w:t>.- déc.</w:t>
            </w:r>
            <w:r w:rsidRPr="009F6245">
              <w:rPr>
                <w:snapToGrid/>
              </w:rPr>
              <w:t xml:space="preserve"> 2019</w:t>
            </w:r>
          </w:p>
        </w:tc>
        <w:tc>
          <w:tcPr>
            <w:tcW w:w="2693" w:type="dxa"/>
          </w:tcPr>
          <w:p w14:paraId="2B4F51CF"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Pr>
                <w:snapToGrid/>
              </w:rPr>
              <w:t>Secré</w:t>
            </w:r>
            <w:r w:rsidRPr="009F6245">
              <w:rPr>
                <w:snapToGrid/>
              </w:rPr>
              <w:t>tariat</w:t>
            </w:r>
          </w:p>
        </w:tc>
      </w:tr>
      <w:tr w:rsidR="00896373" w:rsidRPr="00022657" w14:paraId="74CE0D26" w14:textId="77777777" w:rsidTr="009137A8">
        <w:trPr>
          <w:cantSplit/>
          <w:jc w:val="center"/>
        </w:trPr>
        <w:tc>
          <w:tcPr>
            <w:tcW w:w="5238" w:type="dxa"/>
          </w:tcPr>
          <w:p w14:paraId="7A5A5941" w14:textId="77777777" w:rsidR="00896373" w:rsidRPr="009F6245" w:rsidRDefault="00896373" w:rsidP="009137A8">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9F6245">
              <w:rPr>
                <w:snapToGrid/>
              </w:rPr>
              <w:t>4.</w:t>
            </w:r>
            <w:r w:rsidRPr="009F6245">
              <w:rPr>
                <w:snapToGrid/>
              </w:rPr>
              <w:tab/>
            </w:r>
            <w:r>
              <w:rPr>
                <w:snapToGrid/>
              </w:rPr>
              <w:t>Examen du projet de plan d’action pour le renforcement des capacités en matière de prévention des risques biotechnologiques par le Groupe de liaison, compte tenu des informations fournies dans les quatrièmes rapports nationaux au titre du Protocole de Cartagena</w:t>
            </w:r>
          </w:p>
        </w:tc>
        <w:tc>
          <w:tcPr>
            <w:tcW w:w="1667" w:type="dxa"/>
          </w:tcPr>
          <w:p w14:paraId="771F18BB"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Pr>
                <w:snapToGrid/>
              </w:rPr>
              <w:t>Fév.- m</w:t>
            </w:r>
            <w:r w:rsidRPr="009F6245">
              <w:rPr>
                <w:snapToGrid/>
              </w:rPr>
              <w:t>ar</w:t>
            </w:r>
            <w:r>
              <w:rPr>
                <w:snapToGrid/>
              </w:rPr>
              <w:t>s</w:t>
            </w:r>
            <w:r w:rsidRPr="009F6245">
              <w:rPr>
                <w:snapToGrid/>
              </w:rPr>
              <w:t xml:space="preserve"> 2020</w:t>
            </w:r>
          </w:p>
        </w:tc>
        <w:tc>
          <w:tcPr>
            <w:tcW w:w="2693" w:type="dxa"/>
          </w:tcPr>
          <w:p w14:paraId="7F04C387"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Pr>
                <w:snapToGrid/>
              </w:rPr>
              <w:t xml:space="preserve">Groupe de liaison </w:t>
            </w:r>
          </w:p>
        </w:tc>
      </w:tr>
      <w:tr w:rsidR="00896373" w:rsidRPr="00854769" w14:paraId="0A1E7F44" w14:textId="77777777" w:rsidTr="009137A8">
        <w:trPr>
          <w:cantSplit/>
          <w:trHeight w:val="1222"/>
          <w:jc w:val="center"/>
        </w:trPr>
        <w:tc>
          <w:tcPr>
            <w:tcW w:w="5238" w:type="dxa"/>
          </w:tcPr>
          <w:p w14:paraId="1FDB556E" w14:textId="77777777" w:rsidR="00896373" w:rsidRPr="009F6245" w:rsidRDefault="00896373" w:rsidP="009137A8">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3"/>
              </w:rPr>
            </w:pPr>
            <w:r w:rsidRPr="009F6245">
              <w:rPr>
                <w:snapToGrid/>
                <w:spacing w:val="-3"/>
              </w:rPr>
              <w:t>5.</w:t>
            </w:r>
            <w:r w:rsidRPr="009F6245">
              <w:rPr>
                <w:snapToGrid/>
                <w:spacing w:val="-3"/>
              </w:rPr>
              <w:tab/>
            </w:r>
            <w:r>
              <w:rPr>
                <w:snapToGrid/>
                <w:spacing w:val="-3"/>
              </w:rPr>
              <w:t>Notification invitant les Parties, les peuples autochtones et communautés locales et les organisations compétentes à communiquer leurs points de vue sur la version finale du projet de plan d’action pour le renforcement des capacités en vue de l’application du Protocole de Cartagena et de son Protocole additionnel, et compilation des points de vue par le Secrétariat</w:t>
            </w:r>
          </w:p>
        </w:tc>
        <w:tc>
          <w:tcPr>
            <w:tcW w:w="1667" w:type="dxa"/>
          </w:tcPr>
          <w:p w14:paraId="3C6922B8"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Pr>
                <w:snapToGrid/>
              </w:rPr>
              <w:t>Avril-mai</w:t>
            </w:r>
            <w:r w:rsidRPr="009F6245">
              <w:rPr>
                <w:snapToGrid/>
              </w:rPr>
              <w:t xml:space="preserve"> 2020</w:t>
            </w:r>
          </w:p>
          <w:p w14:paraId="2865CACE"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p>
        </w:tc>
        <w:tc>
          <w:tcPr>
            <w:tcW w:w="2693" w:type="dxa"/>
          </w:tcPr>
          <w:p w14:paraId="64221222"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Pr>
                <w:snapToGrid/>
              </w:rPr>
              <w:t>Secré</w:t>
            </w:r>
            <w:r w:rsidRPr="009F6245">
              <w:rPr>
                <w:snapToGrid/>
              </w:rPr>
              <w:t>tar</w:t>
            </w:r>
            <w:r>
              <w:rPr>
                <w:snapToGrid/>
              </w:rPr>
              <w:t>iat; Parties, peuples autochtones et communautés locales, et organisations compétentes</w:t>
            </w:r>
          </w:p>
        </w:tc>
      </w:tr>
      <w:tr w:rsidR="00896373" w:rsidRPr="00854769" w14:paraId="6D91E7D4" w14:textId="77777777" w:rsidTr="009137A8">
        <w:trPr>
          <w:cantSplit/>
          <w:jc w:val="center"/>
        </w:trPr>
        <w:tc>
          <w:tcPr>
            <w:tcW w:w="5238" w:type="dxa"/>
          </w:tcPr>
          <w:p w14:paraId="4F05102B" w14:textId="77777777" w:rsidR="00896373" w:rsidRPr="009F6245" w:rsidRDefault="00896373" w:rsidP="009137A8">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spacing w:val="-4"/>
              </w:rPr>
            </w:pPr>
            <w:r w:rsidRPr="009F6245">
              <w:rPr>
                <w:snapToGrid/>
                <w:spacing w:val="-4"/>
              </w:rPr>
              <w:t>6.</w:t>
            </w:r>
            <w:r w:rsidRPr="009F6245">
              <w:rPr>
                <w:snapToGrid/>
                <w:spacing w:val="-4"/>
              </w:rPr>
              <w:tab/>
            </w:r>
            <w:r>
              <w:rPr>
                <w:snapToGrid/>
                <w:spacing w:val="-4"/>
              </w:rPr>
              <w:t>Examen de la version finale du projet de plan d’action pour le renforcement des capacités en vue de l’application du Protocole de Cartagena et de son Protocole additionnel par l’Organe subsidiaire chargé de l’application à sa troisième réunion</w:t>
            </w:r>
          </w:p>
        </w:tc>
        <w:tc>
          <w:tcPr>
            <w:tcW w:w="1667" w:type="dxa"/>
          </w:tcPr>
          <w:p w14:paraId="104A31DE"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9F6245">
              <w:rPr>
                <w:snapToGrid/>
              </w:rPr>
              <w:t>Ju</w:t>
            </w:r>
            <w:r>
              <w:rPr>
                <w:snapToGrid/>
              </w:rPr>
              <w:t>i</w:t>
            </w:r>
            <w:r w:rsidRPr="009F6245">
              <w:rPr>
                <w:snapToGrid/>
              </w:rPr>
              <w:t>n 2020</w:t>
            </w:r>
          </w:p>
        </w:tc>
        <w:tc>
          <w:tcPr>
            <w:tcW w:w="2693" w:type="dxa"/>
          </w:tcPr>
          <w:p w14:paraId="0967C8E0"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Pr>
                <w:snapToGrid/>
              </w:rPr>
              <w:t>Troisième réunion de l’Organe subsidiaire chargé de l’application</w:t>
            </w:r>
          </w:p>
        </w:tc>
      </w:tr>
      <w:tr w:rsidR="00896373" w:rsidRPr="00854769" w14:paraId="75306ED7" w14:textId="77777777" w:rsidTr="009137A8">
        <w:trPr>
          <w:cantSplit/>
          <w:jc w:val="center"/>
        </w:trPr>
        <w:tc>
          <w:tcPr>
            <w:tcW w:w="5238" w:type="dxa"/>
          </w:tcPr>
          <w:p w14:paraId="1177A189" w14:textId="77777777" w:rsidR="00896373" w:rsidRPr="009F6245" w:rsidRDefault="00896373" w:rsidP="009137A8">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9F6245">
              <w:rPr>
                <w:snapToGrid/>
              </w:rPr>
              <w:lastRenderedPageBreak/>
              <w:t>7.</w:t>
            </w:r>
            <w:r w:rsidRPr="009F6245">
              <w:rPr>
                <w:snapToGrid/>
              </w:rPr>
              <w:tab/>
            </w:r>
            <w:r>
              <w:rPr>
                <w:snapToGrid/>
              </w:rPr>
              <w:t>Examen du projet de plan d’action par la Conférence des Parties siégeant en tant que réunion des Parties au Protocole de Cartagena sur la prévention des risques biotechnologiques aux fins d’adoption éventuelle, compte tenu de la recommandation de l’Organe subsidiaire chargé de l’application</w:t>
            </w:r>
          </w:p>
        </w:tc>
        <w:tc>
          <w:tcPr>
            <w:tcW w:w="1667" w:type="dxa"/>
          </w:tcPr>
          <w:p w14:paraId="357CBF70"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rPr>
                <w:snapToGrid/>
              </w:rPr>
            </w:pPr>
            <w:r>
              <w:rPr>
                <w:snapToGrid/>
              </w:rPr>
              <w:t>Octobre</w:t>
            </w:r>
            <w:r w:rsidRPr="009F6245">
              <w:rPr>
                <w:snapToGrid/>
              </w:rPr>
              <w:t xml:space="preserve"> 2020</w:t>
            </w:r>
          </w:p>
        </w:tc>
        <w:tc>
          <w:tcPr>
            <w:tcW w:w="2693" w:type="dxa"/>
          </w:tcPr>
          <w:p w14:paraId="0DC90E26" w14:textId="77777777" w:rsidR="00896373" w:rsidRPr="009F6245" w:rsidRDefault="00896373" w:rsidP="009137A8">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Pr>
                <w:snapToGrid/>
              </w:rPr>
              <w:t>Dixième réunion de la Conférence des Parties siégeant en tant que réunion des Parties au Protocole de Cartagena sur la prévention des risques biotechnologiques</w:t>
            </w:r>
          </w:p>
        </w:tc>
      </w:tr>
    </w:tbl>
    <w:p w14:paraId="5E19204B" w14:textId="77777777" w:rsidR="00896373" w:rsidRPr="009F6245" w:rsidRDefault="00896373" w:rsidP="00896373">
      <w:pPr>
        <w:jc w:val="center"/>
      </w:pPr>
    </w:p>
    <w:p w14:paraId="04F8D68F" w14:textId="345EE602" w:rsidR="00896373" w:rsidRDefault="00896373">
      <w:pPr>
        <w:jc w:val="left"/>
      </w:pPr>
      <w:r>
        <w:br w:type="page"/>
      </w:r>
    </w:p>
    <w:p w14:paraId="4E253CF6" w14:textId="1794AFDC" w:rsidR="00952749" w:rsidRPr="005863B9" w:rsidRDefault="00952749" w:rsidP="005863B9">
      <w:pPr>
        <w:pStyle w:val="Heading2"/>
        <w:spacing w:after="240"/>
        <w:rPr>
          <w:caps/>
          <w:lang w:val="fr-CA"/>
        </w:rPr>
      </w:pPr>
      <w:bookmarkStart w:id="6" w:name="_Toc7428844"/>
      <w:r w:rsidRPr="005863B9">
        <w:lastRenderedPageBreak/>
        <w:t xml:space="preserve">9/4.  </w:t>
      </w:r>
      <w:r w:rsidR="005863B9">
        <w:t xml:space="preserve"> </w:t>
      </w:r>
      <w:r w:rsidRPr="005863B9">
        <w:t>Questions relatives au mécanisme de financement et aux ressources financières (article 28)</w:t>
      </w:r>
      <w:bookmarkEnd w:id="6"/>
    </w:p>
    <w:p w14:paraId="05A091F9" w14:textId="77777777" w:rsidR="00952749" w:rsidRPr="00F76093" w:rsidRDefault="00952749" w:rsidP="00952749">
      <w:pPr>
        <w:shd w:val="clear" w:color="auto" w:fill="FFFFFF" w:themeFill="background1"/>
        <w:spacing w:before="120" w:after="120"/>
        <w:ind w:firstLine="720"/>
        <w:rPr>
          <w:iCs/>
          <w:kern w:val="22"/>
          <w:szCs w:val="22"/>
          <w:lang w:val="fr-CA"/>
        </w:rPr>
      </w:pPr>
      <w:r>
        <w:rPr>
          <w:i/>
          <w:kern w:val="22"/>
        </w:rPr>
        <w:t>La Conférence des Parties siégeant en tant que réunion des Parties au Pro</w:t>
      </w:r>
      <w:r>
        <w:rPr>
          <w:i/>
          <w:iCs/>
          <w:kern w:val="22"/>
          <w:lang w:eastAsia="ko-KR"/>
        </w:rPr>
        <w:t>tocole de Cartagena sur la prévention des risques biotechnologiques</w:t>
      </w:r>
      <w:r w:rsidRPr="00F76093">
        <w:rPr>
          <w:i/>
          <w:kern w:val="22"/>
          <w:szCs w:val="22"/>
          <w:lang w:val="fr-CA"/>
        </w:rPr>
        <w:t>,</w:t>
      </w:r>
    </w:p>
    <w:p w14:paraId="7C0CA072" w14:textId="77777777" w:rsidR="00952749" w:rsidRPr="00F76093" w:rsidRDefault="00952749" w:rsidP="004C7DBD">
      <w:pPr>
        <w:pStyle w:val="Para1"/>
        <w:numPr>
          <w:ilvl w:val="0"/>
          <w:numId w:val="23"/>
        </w:numPr>
        <w:autoSpaceDE w:val="0"/>
        <w:autoSpaceDN w:val="0"/>
        <w:adjustRightInd w:val="0"/>
        <w:snapToGrid w:val="0"/>
        <w:ind w:firstLine="720"/>
        <w:rPr>
          <w:lang w:val="fr-CA"/>
        </w:rPr>
      </w:pPr>
      <w:r w:rsidRPr="00C42B49">
        <w:rPr>
          <w:i/>
          <w:lang w:val="fr-CA"/>
        </w:rPr>
        <w:t>Prie instamment</w:t>
      </w:r>
      <w:r w:rsidRPr="00C42B49">
        <w:rPr>
          <w:lang w:val="fr-CA"/>
        </w:rPr>
        <w:t xml:space="preserve"> les Parties </w:t>
      </w:r>
      <w:r>
        <w:rPr>
          <w:lang w:val="fr-CA" w:eastAsia="en-CA"/>
        </w:rPr>
        <w:t>admissibles à un financement d’accorder une priorité</w:t>
      </w:r>
      <w:r w:rsidRPr="00C42B49">
        <w:rPr>
          <w:lang w:val="fr-CA" w:eastAsia="en-CA"/>
        </w:rPr>
        <w:t xml:space="preserve"> aux projets relatifs à la prévention des risques biotechnologiques lors de la programmation des allocations nationales effectu</w:t>
      </w:r>
      <w:r>
        <w:rPr>
          <w:lang w:val="fr-CA" w:eastAsia="en-CA"/>
        </w:rPr>
        <w:t xml:space="preserve">ées au titre du Système transparent </w:t>
      </w:r>
      <w:r w:rsidRPr="00C42B49">
        <w:rPr>
          <w:lang w:val="fr-CA" w:eastAsia="en-CA"/>
        </w:rPr>
        <w:t>d</w:t>
      </w:r>
      <w:r>
        <w:rPr>
          <w:lang w:val="fr-CA" w:eastAsia="en-CA"/>
        </w:rPr>
        <w:t>’</w:t>
      </w:r>
      <w:r w:rsidRPr="00C42B49">
        <w:rPr>
          <w:lang w:val="fr-CA" w:eastAsia="en-CA"/>
        </w:rPr>
        <w:t xml:space="preserve">allocation des ressources (STAR), dans le cadre de la </w:t>
      </w:r>
      <w:r w:rsidRPr="00C42B49">
        <w:rPr>
          <w:lang w:val="fr-CA"/>
        </w:rPr>
        <w:t>septi</w:t>
      </w:r>
      <w:r>
        <w:rPr>
          <w:lang w:val="fr-CA"/>
        </w:rPr>
        <w:t xml:space="preserve">ème période de reconstitution des ressources de la Caisse </w:t>
      </w:r>
      <w:r w:rsidRPr="00C42B49">
        <w:rPr>
          <w:lang w:val="fr-CA"/>
        </w:rPr>
        <w:t>du Fonds pour l</w:t>
      </w:r>
      <w:r>
        <w:rPr>
          <w:lang w:val="fr-CA"/>
        </w:rPr>
        <w:t>’</w:t>
      </w:r>
      <w:r w:rsidRPr="00C42B49">
        <w:rPr>
          <w:lang w:val="fr-CA"/>
        </w:rPr>
        <w:t>environn</w:t>
      </w:r>
      <w:r>
        <w:rPr>
          <w:lang w:val="fr-CA"/>
        </w:rPr>
        <w:t>ement mondial, compte tenu des</w:t>
      </w:r>
      <w:r w:rsidRPr="00C42B49">
        <w:rPr>
          <w:lang w:val="fr-CA"/>
        </w:rPr>
        <w:t xml:space="preserve"> obligations qui leur incombent au titre du Protocole de Cartagena</w:t>
      </w:r>
      <w:r>
        <w:rPr>
          <w:lang w:val="fr-CA"/>
        </w:rPr>
        <w:t xml:space="preserve"> sur la prévention des risques biotechnologiques</w:t>
      </w:r>
      <w:r w:rsidRPr="00C42B49">
        <w:rPr>
          <w:lang w:val="fr-CA"/>
        </w:rPr>
        <w:t xml:space="preserve">, du Plan stratégique du Protocole de Cartagena </w:t>
      </w:r>
      <w:r>
        <w:rPr>
          <w:lang w:val="fr-CA"/>
        </w:rPr>
        <w:t xml:space="preserve">sur la prévention des risques biotechnologiques </w:t>
      </w:r>
      <w:r w:rsidRPr="00C42B49">
        <w:rPr>
          <w:lang w:val="fr-CA"/>
        </w:rPr>
        <w:t>pour la période 2011-2020</w:t>
      </w:r>
      <w:r w:rsidRPr="00F0685C">
        <w:rPr>
          <w:rStyle w:val="FootnoteReference"/>
          <w:sz w:val="20"/>
          <w:szCs w:val="20"/>
          <w:vertAlign w:val="superscript"/>
          <w:lang w:val="fr-CA"/>
        </w:rPr>
        <w:footnoteReference w:id="7"/>
      </w:r>
      <w:r>
        <w:rPr>
          <w:lang w:val="fr-CA"/>
        </w:rPr>
        <w:t>,</w:t>
      </w:r>
      <w:r w:rsidRPr="00C42B49">
        <w:rPr>
          <w:lang w:val="fr-CA"/>
        </w:rPr>
        <w:t xml:space="preserve"> et des orientations de la Conférence des Parties </w:t>
      </w:r>
      <w:r>
        <w:rPr>
          <w:lang w:val="fr-CA"/>
        </w:rPr>
        <w:t>destinées au</w:t>
      </w:r>
      <w:r w:rsidRPr="00C42B49">
        <w:rPr>
          <w:lang w:val="fr-CA"/>
        </w:rPr>
        <w:t xml:space="preserve"> mécanisme de financement</w:t>
      </w:r>
      <w:r w:rsidRPr="00F76093">
        <w:rPr>
          <w:lang w:val="fr-CA"/>
        </w:rPr>
        <w:t>;</w:t>
      </w:r>
    </w:p>
    <w:p w14:paraId="0B742EF4" w14:textId="77777777" w:rsidR="00952749" w:rsidRPr="00F76093" w:rsidRDefault="00952749" w:rsidP="004C7DBD">
      <w:pPr>
        <w:pStyle w:val="Para1"/>
        <w:numPr>
          <w:ilvl w:val="0"/>
          <w:numId w:val="23"/>
        </w:numPr>
        <w:snapToGrid w:val="0"/>
        <w:ind w:firstLine="720"/>
        <w:rPr>
          <w:lang w:val="fr-CA"/>
        </w:rPr>
      </w:pPr>
      <w:r w:rsidRPr="00C42B49">
        <w:rPr>
          <w:i/>
          <w:lang w:val="fr-CA"/>
        </w:rPr>
        <w:t>Recommande</w:t>
      </w:r>
      <w:r w:rsidRPr="00C42B49">
        <w:rPr>
          <w:lang w:val="fr-CA"/>
        </w:rPr>
        <w:t xml:space="preserve"> que la Conférence des Parties</w:t>
      </w:r>
      <w:r>
        <w:rPr>
          <w:lang w:val="fr-CA"/>
        </w:rPr>
        <w:t>,</w:t>
      </w:r>
      <w:r w:rsidRPr="00C42B49">
        <w:rPr>
          <w:lang w:val="fr-CA"/>
        </w:rPr>
        <w:t xml:space="preserve"> lorsqu</w:t>
      </w:r>
      <w:r>
        <w:rPr>
          <w:lang w:val="fr-CA"/>
        </w:rPr>
        <w:t>’elle adopte</w:t>
      </w:r>
      <w:r w:rsidRPr="00C42B49">
        <w:rPr>
          <w:lang w:val="fr-CA"/>
        </w:rPr>
        <w:t xml:space="preserve"> ses orie</w:t>
      </w:r>
      <w:r>
        <w:rPr>
          <w:lang w:val="fr-CA"/>
        </w:rPr>
        <w:t>ntations à l’intention du</w:t>
      </w:r>
      <w:r w:rsidRPr="00C42B49">
        <w:rPr>
          <w:lang w:val="fr-CA"/>
        </w:rPr>
        <w:t xml:space="preserve"> mécanisme de financement</w:t>
      </w:r>
      <w:r>
        <w:rPr>
          <w:lang w:val="fr-CA"/>
        </w:rPr>
        <w:t xml:space="preserve"> concernant</w:t>
      </w:r>
      <w:r w:rsidRPr="00C42B49">
        <w:rPr>
          <w:lang w:val="fr-CA"/>
        </w:rPr>
        <w:t xml:space="preserve"> l</w:t>
      </w:r>
      <w:r>
        <w:rPr>
          <w:lang w:val="fr-CA"/>
        </w:rPr>
        <w:t>e soutien à l’application du Protocole, et compte tenu des recommandations du C</w:t>
      </w:r>
      <w:r w:rsidRPr="00C42B49">
        <w:rPr>
          <w:lang w:val="fr-CA"/>
        </w:rPr>
        <w:t xml:space="preserve">omité </w:t>
      </w:r>
      <w:r>
        <w:rPr>
          <w:lang w:val="fr-CA"/>
        </w:rPr>
        <w:t>chargé du respect des obligations</w:t>
      </w:r>
      <w:r w:rsidRPr="00F0685C">
        <w:rPr>
          <w:rStyle w:val="FootnoteReference"/>
          <w:sz w:val="20"/>
          <w:szCs w:val="20"/>
          <w:vertAlign w:val="superscript"/>
          <w:lang w:val="fr-CA"/>
        </w:rPr>
        <w:footnoteReference w:id="8"/>
      </w:r>
      <w:r w:rsidRPr="00C42B49">
        <w:rPr>
          <w:lang w:val="fr-CA"/>
        </w:rPr>
        <w:t xml:space="preserve">, </w:t>
      </w:r>
      <w:r w:rsidRPr="00F0685C">
        <w:rPr>
          <w:i/>
          <w:lang w:val="fr-CA"/>
        </w:rPr>
        <w:t>invite</w:t>
      </w:r>
      <w:r w:rsidRPr="00C42B49">
        <w:rPr>
          <w:lang w:val="fr-CA"/>
        </w:rPr>
        <w:t xml:space="preserve"> le Fonds pour l</w:t>
      </w:r>
      <w:r>
        <w:rPr>
          <w:lang w:val="fr-CA"/>
        </w:rPr>
        <w:t>’</w:t>
      </w:r>
      <w:r w:rsidRPr="00C42B49">
        <w:rPr>
          <w:lang w:val="fr-CA"/>
        </w:rPr>
        <w:t>environnement mondial</w:t>
      </w:r>
      <w:r>
        <w:rPr>
          <w:lang w:val="fr-CA"/>
        </w:rPr>
        <w:t xml:space="preserve"> à continuer de mettre à disposition des financements, </w:t>
      </w:r>
      <w:r w:rsidRPr="00C42B49">
        <w:rPr>
          <w:lang w:val="fr-CA"/>
        </w:rPr>
        <w:t>afin de :</w:t>
      </w:r>
    </w:p>
    <w:p w14:paraId="0339EBBC" w14:textId="77777777" w:rsidR="00952749" w:rsidRPr="00F76093" w:rsidRDefault="00952749" w:rsidP="004C7DBD">
      <w:pPr>
        <w:pStyle w:val="Para3"/>
        <w:numPr>
          <w:ilvl w:val="2"/>
          <w:numId w:val="24"/>
        </w:numPr>
        <w:tabs>
          <w:tab w:val="left" w:pos="720"/>
        </w:tabs>
        <w:spacing w:before="120" w:after="120"/>
        <w:ind w:left="0" w:firstLine="720"/>
        <w:rPr>
          <w:kern w:val="22"/>
          <w:szCs w:val="22"/>
          <w:lang w:val="fr-CA"/>
        </w:rPr>
      </w:pPr>
      <w:r w:rsidRPr="00C42B49">
        <w:rPr>
          <w:kern w:val="22"/>
          <w:lang w:val="fr-CA"/>
        </w:rPr>
        <w:t xml:space="preserve">Aider les Parties </w:t>
      </w:r>
      <w:r>
        <w:rPr>
          <w:kern w:val="22"/>
          <w:lang w:val="fr-CA" w:eastAsia="en-CA"/>
        </w:rPr>
        <w:t xml:space="preserve">admissibles </w:t>
      </w:r>
      <w:r w:rsidRPr="00C42B49">
        <w:rPr>
          <w:kern w:val="22"/>
          <w:lang w:val="fr-CA" w:eastAsia="en-CA"/>
        </w:rPr>
        <w:t>qui ne l</w:t>
      </w:r>
      <w:r>
        <w:rPr>
          <w:kern w:val="22"/>
          <w:lang w:val="fr-CA" w:eastAsia="en-CA"/>
        </w:rPr>
        <w:t>’ont pas encore fait à mettre en place</w:t>
      </w:r>
      <w:r w:rsidRPr="00C42B49">
        <w:rPr>
          <w:kern w:val="22"/>
          <w:lang w:val="fr-CA" w:eastAsia="en-CA"/>
        </w:rPr>
        <w:t xml:space="preserve"> toutes les mesures </w:t>
      </w:r>
      <w:r>
        <w:rPr>
          <w:kern w:val="22"/>
          <w:lang w:val="fr-CA" w:eastAsia="en-CA"/>
        </w:rPr>
        <w:t>requises pour appliquer</w:t>
      </w:r>
      <w:r w:rsidRPr="00C42B49">
        <w:rPr>
          <w:kern w:val="22"/>
          <w:lang w:val="fr-CA" w:eastAsia="en-CA"/>
        </w:rPr>
        <w:t xml:space="preserve"> le Protocole</w:t>
      </w:r>
      <w:r w:rsidRPr="00F76093">
        <w:rPr>
          <w:kern w:val="22"/>
          <w:szCs w:val="22"/>
          <w:lang w:val="fr-CA"/>
        </w:rPr>
        <w:t>;</w:t>
      </w:r>
    </w:p>
    <w:p w14:paraId="60153B66" w14:textId="77777777" w:rsidR="00952749" w:rsidRPr="00F76093" w:rsidRDefault="00952749" w:rsidP="004C7DBD">
      <w:pPr>
        <w:pStyle w:val="Para3"/>
        <w:numPr>
          <w:ilvl w:val="2"/>
          <w:numId w:val="24"/>
        </w:numPr>
        <w:tabs>
          <w:tab w:val="left" w:pos="720"/>
        </w:tabs>
        <w:spacing w:before="120" w:after="120"/>
        <w:ind w:left="0" w:firstLine="720"/>
        <w:rPr>
          <w:kern w:val="22"/>
          <w:szCs w:val="22"/>
          <w:lang w:val="fr-CA"/>
        </w:rPr>
      </w:pPr>
      <w:r w:rsidRPr="00C42B49">
        <w:rPr>
          <w:kern w:val="22"/>
          <w:lang w:val="fr-CA"/>
        </w:rPr>
        <w:t xml:space="preserve">Aider les Parties </w:t>
      </w:r>
      <w:r>
        <w:rPr>
          <w:kern w:val="22"/>
          <w:lang w:val="fr-CA" w:eastAsia="en-CA"/>
        </w:rPr>
        <w:t>admissibles</w:t>
      </w:r>
      <w:r w:rsidRPr="00C42B49">
        <w:rPr>
          <w:kern w:val="22"/>
          <w:lang w:val="fr-CA" w:eastAsia="en-CA"/>
        </w:rPr>
        <w:t xml:space="preserve"> à </w:t>
      </w:r>
      <w:r>
        <w:rPr>
          <w:kern w:val="22"/>
          <w:lang w:val="fr-CA" w:eastAsia="en-CA"/>
        </w:rPr>
        <w:t>s’acquitter de leurs obligations concernant l’</w:t>
      </w:r>
      <w:r w:rsidRPr="00C42B49">
        <w:rPr>
          <w:kern w:val="22"/>
          <w:lang w:val="fr-CA" w:eastAsia="en-CA"/>
        </w:rPr>
        <w:t>établissem</w:t>
      </w:r>
      <w:r>
        <w:rPr>
          <w:kern w:val="22"/>
          <w:lang w:val="fr-CA" w:eastAsia="en-CA"/>
        </w:rPr>
        <w:t>ent de rapports au titre du</w:t>
      </w:r>
      <w:r w:rsidRPr="00C42B49">
        <w:rPr>
          <w:kern w:val="22"/>
          <w:lang w:val="fr-CA" w:eastAsia="en-CA"/>
        </w:rPr>
        <w:t xml:space="preserve"> Pr</w:t>
      </w:r>
      <w:r>
        <w:rPr>
          <w:kern w:val="22"/>
          <w:lang w:val="fr-CA" w:eastAsia="en-CA"/>
        </w:rPr>
        <w:t>otocole, y compris la transmission</w:t>
      </w:r>
      <w:r w:rsidRPr="00C42B49">
        <w:rPr>
          <w:kern w:val="22"/>
          <w:lang w:val="fr-CA" w:eastAsia="en-CA"/>
        </w:rPr>
        <w:t xml:space="preserve"> de leurs quatrièmes rapports </w:t>
      </w:r>
      <w:r w:rsidRPr="00C42B49">
        <w:rPr>
          <w:kern w:val="22"/>
          <w:lang w:val="fr-CA"/>
        </w:rPr>
        <w:t>nationaux</w:t>
      </w:r>
      <w:r w:rsidRPr="00F76093">
        <w:rPr>
          <w:kern w:val="22"/>
          <w:szCs w:val="22"/>
          <w:lang w:val="fr-CA"/>
        </w:rPr>
        <w:t>;</w:t>
      </w:r>
    </w:p>
    <w:p w14:paraId="2994A96D" w14:textId="77777777" w:rsidR="00952749" w:rsidRPr="00F76093" w:rsidRDefault="00952749" w:rsidP="004C7DBD">
      <w:pPr>
        <w:pStyle w:val="Para3"/>
        <w:numPr>
          <w:ilvl w:val="2"/>
          <w:numId w:val="24"/>
        </w:numPr>
        <w:tabs>
          <w:tab w:val="left" w:pos="720"/>
        </w:tabs>
        <w:spacing w:before="120" w:after="120"/>
        <w:ind w:left="0" w:firstLine="720"/>
        <w:rPr>
          <w:kern w:val="22"/>
          <w:szCs w:val="22"/>
          <w:lang w:val="fr-CA"/>
        </w:rPr>
      </w:pPr>
      <w:r w:rsidRPr="00C42B49">
        <w:rPr>
          <w:kern w:val="22"/>
          <w:lang w:val="fr-CA"/>
        </w:rPr>
        <w:t>Aider les Parties à mettre en œuvre des plans d</w:t>
      </w:r>
      <w:r>
        <w:rPr>
          <w:kern w:val="22"/>
          <w:lang w:val="fr-CA"/>
        </w:rPr>
        <w:t>’</w:t>
      </w:r>
      <w:r w:rsidRPr="00C42B49">
        <w:rPr>
          <w:kern w:val="22"/>
          <w:lang w:val="fr-CA"/>
        </w:rPr>
        <w:t xml:space="preserve">action </w:t>
      </w:r>
      <w:r w:rsidRPr="00C42B49">
        <w:rPr>
          <w:kern w:val="22"/>
          <w:szCs w:val="22"/>
          <w:lang w:val="fr-CA"/>
        </w:rPr>
        <w:t xml:space="preserve">sur le respect des </w:t>
      </w:r>
      <w:r>
        <w:rPr>
          <w:kern w:val="22"/>
          <w:szCs w:val="22"/>
          <w:lang w:val="fr-CA"/>
        </w:rPr>
        <w:t>obligations concernant le</w:t>
      </w:r>
      <w:r w:rsidRPr="00C42B49">
        <w:rPr>
          <w:kern w:val="22"/>
          <w:szCs w:val="22"/>
          <w:lang w:val="fr-CA"/>
        </w:rPr>
        <w:t xml:space="preserve"> r</w:t>
      </w:r>
      <w:r>
        <w:rPr>
          <w:kern w:val="22"/>
          <w:szCs w:val="22"/>
          <w:lang w:val="fr-CA"/>
        </w:rPr>
        <w:t>espect des dispositions prévues au titre</w:t>
      </w:r>
      <w:r w:rsidRPr="00C42B49">
        <w:rPr>
          <w:kern w:val="22"/>
          <w:szCs w:val="22"/>
          <w:lang w:val="fr-CA"/>
        </w:rPr>
        <w:t xml:space="preserve"> du Protocole</w:t>
      </w:r>
      <w:r w:rsidRPr="00F76093">
        <w:rPr>
          <w:kern w:val="22"/>
          <w:szCs w:val="22"/>
          <w:lang w:val="fr-CA"/>
        </w:rPr>
        <w:t>;</w:t>
      </w:r>
    </w:p>
    <w:p w14:paraId="47347E42" w14:textId="77777777" w:rsidR="00952749" w:rsidRPr="00F76093" w:rsidRDefault="00952749" w:rsidP="004C7DBD">
      <w:pPr>
        <w:pStyle w:val="Para1"/>
        <w:numPr>
          <w:ilvl w:val="0"/>
          <w:numId w:val="23"/>
        </w:numPr>
        <w:snapToGrid w:val="0"/>
        <w:ind w:firstLine="720"/>
        <w:rPr>
          <w:lang w:val="fr-CA"/>
        </w:rPr>
      </w:pPr>
      <w:r w:rsidRPr="00C42B49">
        <w:rPr>
          <w:i/>
          <w:lang w:val="fr-CA"/>
        </w:rPr>
        <w:t>Prie instamment</w:t>
      </w:r>
      <w:r w:rsidRPr="00C42B49">
        <w:rPr>
          <w:lang w:val="fr-CA"/>
        </w:rPr>
        <w:t xml:space="preserve"> les Parties </w:t>
      </w:r>
      <w:r>
        <w:rPr>
          <w:lang w:val="fr-CA" w:eastAsia="en-CA"/>
        </w:rPr>
        <w:t>admissibles de nouer un dialogue</w:t>
      </w:r>
      <w:r w:rsidRPr="00C42B49">
        <w:rPr>
          <w:lang w:val="fr-CA" w:eastAsia="en-CA"/>
        </w:rPr>
        <w:t xml:space="preserve"> avec le Fonds pour l</w:t>
      </w:r>
      <w:r>
        <w:rPr>
          <w:lang w:val="fr-CA" w:eastAsia="en-CA"/>
        </w:rPr>
        <w:t xml:space="preserve">’environnement mondial, notamment au moyen d’une coordination </w:t>
      </w:r>
      <w:r w:rsidRPr="00C42B49">
        <w:rPr>
          <w:lang w:val="fr-CA" w:eastAsia="en-CA"/>
        </w:rPr>
        <w:t>avec leurs correspondants opérationnels pour le Fonds pour l</w:t>
      </w:r>
      <w:r>
        <w:rPr>
          <w:lang w:val="fr-CA" w:eastAsia="en-CA"/>
        </w:rPr>
        <w:t>’environnement mondial, de sorte qu’ils puissent avoir accès</w:t>
      </w:r>
      <w:r w:rsidRPr="00C42B49">
        <w:rPr>
          <w:lang w:val="fr-CA" w:eastAsia="en-CA"/>
        </w:rPr>
        <w:t xml:space="preserve"> aux financements disponibles pour la prévention des risques biotechnologiques</w:t>
      </w:r>
      <w:r>
        <w:rPr>
          <w:lang w:val="fr-CA"/>
        </w:rPr>
        <w:t>;</w:t>
      </w:r>
    </w:p>
    <w:p w14:paraId="43DC84A4" w14:textId="77777777" w:rsidR="00952749" w:rsidRPr="00F76093" w:rsidRDefault="00952749" w:rsidP="00952749">
      <w:pPr>
        <w:pStyle w:val="ListParagraph"/>
        <w:shd w:val="clear" w:color="auto" w:fill="FFFFFF" w:themeFill="background1"/>
        <w:spacing w:before="120" w:after="120"/>
        <w:ind w:left="0" w:firstLine="720"/>
        <w:rPr>
          <w:kern w:val="22"/>
          <w:szCs w:val="22"/>
          <w:lang w:val="fr-CA"/>
        </w:rPr>
      </w:pPr>
      <w:r w:rsidRPr="00F76093">
        <w:rPr>
          <w:kern w:val="22"/>
          <w:szCs w:val="22"/>
          <w:lang w:val="fr-CA"/>
        </w:rPr>
        <w:t>4.</w:t>
      </w:r>
      <w:r w:rsidRPr="00F76093">
        <w:rPr>
          <w:kern w:val="22"/>
          <w:szCs w:val="22"/>
          <w:lang w:val="fr-CA"/>
        </w:rPr>
        <w:tab/>
      </w:r>
      <w:r w:rsidRPr="00C42B49">
        <w:rPr>
          <w:i/>
          <w:kern w:val="22"/>
          <w:szCs w:val="22"/>
          <w:lang w:val="fr-CA"/>
        </w:rPr>
        <w:t>Accueille</w:t>
      </w:r>
      <w:r>
        <w:rPr>
          <w:i/>
          <w:kern w:val="22"/>
          <w:szCs w:val="22"/>
          <w:lang w:val="fr-CA"/>
        </w:rPr>
        <w:t xml:space="preserve"> avec satisfaction</w:t>
      </w:r>
      <w:r>
        <w:rPr>
          <w:kern w:val="22"/>
          <w:szCs w:val="22"/>
          <w:lang w:val="fr-CA"/>
        </w:rPr>
        <w:t xml:space="preserve"> la septième</w:t>
      </w:r>
      <w:r w:rsidRPr="00C42B49">
        <w:rPr>
          <w:kern w:val="22"/>
          <w:szCs w:val="22"/>
          <w:lang w:val="fr-CA"/>
        </w:rPr>
        <w:t xml:space="preserve"> reconstitution </w:t>
      </w:r>
      <w:r>
        <w:rPr>
          <w:kern w:val="22"/>
          <w:szCs w:val="22"/>
          <w:lang w:val="fr-CA"/>
        </w:rPr>
        <w:t xml:space="preserve">des ressources </w:t>
      </w:r>
      <w:r w:rsidRPr="00C42B49">
        <w:rPr>
          <w:kern w:val="22"/>
          <w:szCs w:val="22"/>
          <w:lang w:val="fr-CA"/>
        </w:rPr>
        <w:t>de la Caisse du Fonds pour l</w:t>
      </w:r>
      <w:r>
        <w:rPr>
          <w:kern w:val="22"/>
          <w:szCs w:val="22"/>
          <w:lang w:val="fr-CA"/>
        </w:rPr>
        <w:t>’</w:t>
      </w:r>
      <w:r w:rsidRPr="00C42B49">
        <w:rPr>
          <w:kern w:val="22"/>
          <w:szCs w:val="22"/>
          <w:lang w:val="fr-CA"/>
        </w:rPr>
        <w:t xml:space="preserve">environnement mondial et </w:t>
      </w:r>
      <w:r w:rsidRPr="006901F8">
        <w:rPr>
          <w:i/>
          <w:kern w:val="22"/>
          <w:szCs w:val="22"/>
          <w:lang w:val="fr-CA"/>
        </w:rPr>
        <w:t>exprime ses remerciements</w:t>
      </w:r>
      <w:r>
        <w:rPr>
          <w:kern w:val="22"/>
          <w:szCs w:val="22"/>
          <w:lang w:val="fr-CA"/>
        </w:rPr>
        <w:t xml:space="preserve"> aux pays qui ont contribué à la</w:t>
      </w:r>
      <w:r w:rsidRPr="00C42B49">
        <w:rPr>
          <w:kern w:val="22"/>
          <w:szCs w:val="22"/>
          <w:lang w:val="fr-CA"/>
        </w:rPr>
        <w:t xml:space="preserve"> septième reconstitution</w:t>
      </w:r>
      <w:r w:rsidRPr="00F76093">
        <w:rPr>
          <w:kern w:val="22"/>
          <w:szCs w:val="22"/>
          <w:lang w:val="fr-CA"/>
        </w:rPr>
        <w:t>;</w:t>
      </w:r>
    </w:p>
    <w:p w14:paraId="7DD9592C" w14:textId="77777777" w:rsidR="00952749" w:rsidRPr="00F76093" w:rsidRDefault="00952749" w:rsidP="00952749">
      <w:pPr>
        <w:pStyle w:val="ListParagraph"/>
        <w:shd w:val="clear" w:color="auto" w:fill="FFFFFF" w:themeFill="background1"/>
        <w:spacing w:before="120" w:after="120"/>
        <w:ind w:left="0" w:firstLine="720"/>
        <w:rPr>
          <w:kern w:val="22"/>
          <w:szCs w:val="22"/>
          <w:lang w:val="fr-CA"/>
        </w:rPr>
      </w:pPr>
      <w:r w:rsidRPr="00F76093">
        <w:rPr>
          <w:kern w:val="22"/>
          <w:szCs w:val="22"/>
          <w:lang w:val="fr-CA"/>
        </w:rPr>
        <w:t>5.</w:t>
      </w:r>
      <w:r w:rsidRPr="00F76093">
        <w:rPr>
          <w:kern w:val="22"/>
          <w:szCs w:val="22"/>
          <w:lang w:val="fr-CA"/>
        </w:rPr>
        <w:tab/>
      </w:r>
      <w:r w:rsidRPr="00C42B49">
        <w:rPr>
          <w:i/>
          <w:kern w:val="22"/>
          <w:szCs w:val="22"/>
          <w:lang w:val="fr-CA"/>
        </w:rPr>
        <w:t>Encourage</w:t>
      </w:r>
      <w:r w:rsidRPr="00C42B49">
        <w:rPr>
          <w:kern w:val="22"/>
          <w:szCs w:val="22"/>
          <w:lang w:val="fr-CA"/>
        </w:rPr>
        <w:t xml:space="preserve"> les Parties à coopérer aux niveaux régional et infrarégi</w:t>
      </w:r>
      <w:r>
        <w:rPr>
          <w:kern w:val="22"/>
          <w:szCs w:val="22"/>
          <w:lang w:val="fr-CA"/>
        </w:rPr>
        <w:t>onal, et à solliciter une aide</w:t>
      </w:r>
      <w:r w:rsidRPr="00C42B49">
        <w:rPr>
          <w:kern w:val="22"/>
          <w:szCs w:val="22"/>
          <w:lang w:val="fr-CA"/>
        </w:rPr>
        <w:t xml:space="preserve"> du Fonds pour l</w:t>
      </w:r>
      <w:r>
        <w:rPr>
          <w:kern w:val="22"/>
          <w:szCs w:val="22"/>
          <w:lang w:val="fr-CA"/>
        </w:rPr>
        <w:t>’</w:t>
      </w:r>
      <w:r w:rsidRPr="00C42B49">
        <w:rPr>
          <w:kern w:val="22"/>
          <w:szCs w:val="22"/>
          <w:lang w:val="fr-CA"/>
        </w:rPr>
        <w:t>environnement mondial pour des</w:t>
      </w:r>
      <w:r>
        <w:rPr>
          <w:kern w:val="22"/>
          <w:szCs w:val="22"/>
          <w:lang w:val="fr-CA"/>
        </w:rPr>
        <w:t xml:space="preserve"> projets conjoints, afin d’opti</w:t>
      </w:r>
      <w:r w:rsidRPr="00C42B49">
        <w:rPr>
          <w:kern w:val="22"/>
          <w:szCs w:val="22"/>
          <w:lang w:val="fr-CA"/>
        </w:rPr>
        <w:t>miser les sy</w:t>
      </w:r>
      <w:r>
        <w:rPr>
          <w:kern w:val="22"/>
          <w:szCs w:val="22"/>
          <w:lang w:val="fr-CA"/>
        </w:rPr>
        <w:t>nergies et les possibilités de partage rentable</w:t>
      </w:r>
      <w:r w:rsidRPr="00C42B49">
        <w:rPr>
          <w:kern w:val="22"/>
          <w:szCs w:val="22"/>
          <w:lang w:val="fr-CA"/>
        </w:rPr>
        <w:t xml:space="preserve"> des ressources, informations, expériences et expertise</w:t>
      </w:r>
      <w:r w:rsidRPr="00F76093">
        <w:rPr>
          <w:kern w:val="22"/>
          <w:szCs w:val="22"/>
          <w:lang w:val="fr-CA"/>
        </w:rPr>
        <w:t>.</w:t>
      </w:r>
    </w:p>
    <w:p w14:paraId="37AAA6A1" w14:textId="03EE4464" w:rsidR="00952749" w:rsidRDefault="00952749">
      <w:pPr>
        <w:jc w:val="left"/>
      </w:pPr>
      <w:r>
        <w:br w:type="page"/>
      </w:r>
    </w:p>
    <w:p w14:paraId="154BD92C" w14:textId="1E8983C3" w:rsidR="00952749" w:rsidRPr="004F61D0" w:rsidRDefault="00D611B3" w:rsidP="005863B9">
      <w:pPr>
        <w:pStyle w:val="Heading2"/>
        <w:rPr>
          <w:b w:val="0"/>
          <w:caps/>
          <w:szCs w:val="22"/>
          <w:lang w:val="fr-CA"/>
        </w:rPr>
      </w:pPr>
      <w:bookmarkStart w:id="7" w:name="_Toc7428845"/>
      <w:r w:rsidRPr="005863B9">
        <w:rPr>
          <w:kern w:val="22"/>
          <w:szCs w:val="22"/>
        </w:rPr>
        <w:lastRenderedPageBreak/>
        <w:t>9/5</w:t>
      </w:r>
      <w:r w:rsidR="00F0685C" w:rsidRPr="005863B9">
        <w:rPr>
          <w:kern w:val="22"/>
          <w:szCs w:val="22"/>
        </w:rPr>
        <w:t>.</w:t>
      </w:r>
      <w:r>
        <w:rPr>
          <w:b w:val="0"/>
          <w:kern w:val="22"/>
          <w:szCs w:val="22"/>
        </w:rPr>
        <w:tab/>
      </w:r>
      <w:r w:rsidRPr="005863B9">
        <w:rPr>
          <w:kern w:val="22"/>
          <w:szCs w:val="22"/>
        </w:rPr>
        <w:t>Suivi et établissement de rapports (article 33)</w:t>
      </w:r>
      <w:bookmarkEnd w:id="7"/>
      <w:r w:rsidR="00F0685C" w:rsidRPr="005863B9">
        <w:rPr>
          <w:kern w:val="22"/>
          <w:szCs w:val="22"/>
        </w:rPr>
        <w:tab/>
      </w:r>
    </w:p>
    <w:p w14:paraId="19D7294E" w14:textId="77777777" w:rsidR="00952749" w:rsidRPr="006C590E" w:rsidRDefault="00952749" w:rsidP="005863B9">
      <w:pPr>
        <w:pStyle w:val="Para1"/>
        <w:numPr>
          <w:ilvl w:val="0"/>
          <w:numId w:val="0"/>
        </w:numPr>
        <w:kinsoku w:val="0"/>
        <w:overflowPunct w:val="0"/>
        <w:autoSpaceDE w:val="0"/>
        <w:autoSpaceDN w:val="0"/>
        <w:spacing w:before="240"/>
        <w:ind w:firstLine="720"/>
        <w:rPr>
          <w:i/>
          <w:snapToGrid/>
        </w:rPr>
      </w:pPr>
      <w:r w:rsidRPr="006C590E">
        <w:rPr>
          <w:i/>
          <w:snapToGrid/>
        </w:rPr>
        <w:t>La Conférence des Parties siégeant en tant que réunion des Parties au Protocole de Cartagena sur la prévention des risques biotechnologiques,</w:t>
      </w:r>
    </w:p>
    <w:p w14:paraId="6E585147" w14:textId="77777777" w:rsidR="00952749" w:rsidRPr="006C590E" w:rsidRDefault="00952749" w:rsidP="00952749">
      <w:pPr>
        <w:pStyle w:val="Para1"/>
        <w:numPr>
          <w:ilvl w:val="0"/>
          <w:numId w:val="0"/>
        </w:numPr>
        <w:kinsoku w:val="0"/>
        <w:overflowPunct w:val="0"/>
        <w:autoSpaceDE w:val="0"/>
        <w:autoSpaceDN w:val="0"/>
        <w:ind w:firstLine="720"/>
        <w:rPr>
          <w:snapToGrid/>
        </w:rPr>
      </w:pPr>
      <w:r w:rsidRPr="006C590E">
        <w:rPr>
          <w:i/>
        </w:rPr>
        <w:t>Rappelant</w:t>
      </w:r>
      <w:r w:rsidRPr="006C590E">
        <w:t xml:space="preserve"> la décision </w:t>
      </w:r>
      <w:hyperlink r:id="rId16" w:history="1">
        <w:r w:rsidRPr="004F61D0">
          <w:rPr>
            <w:rStyle w:val="Hyperlink"/>
          </w:rPr>
          <w:t>CP-VIII/14</w:t>
        </w:r>
      </w:hyperlink>
      <w:r w:rsidRPr="006C590E">
        <w:t>, dans laquelle le Secrétaire exécutif</w:t>
      </w:r>
      <w:r>
        <w:t xml:space="preserve"> était prié d'élaborer un modèle de rapport</w:t>
      </w:r>
      <w:r w:rsidRPr="006C590E">
        <w:t xml:space="preserve"> révisé pour les quatrièmes rapports nationaux</w:t>
      </w:r>
      <w:r>
        <w:t>,</w:t>
      </w:r>
      <w:r w:rsidRPr="006C590E">
        <w:t xml:space="preserve"> en vue d'assurer la collecte d'informations complètes et précises</w:t>
      </w:r>
      <w:r>
        <w:t>,</w:t>
      </w:r>
      <w:r w:rsidRPr="006C590E">
        <w:t xml:space="preserve"> tout en s'efforçant de garantir l'applicabilité des informations de base, établies en vertu de la décision </w:t>
      </w:r>
      <w:hyperlink r:id="rId17" w:history="1">
        <w:r w:rsidRPr="004F61D0">
          <w:rPr>
            <w:rStyle w:val="Hyperlink"/>
          </w:rPr>
          <w:t>BS-VI/15</w:t>
        </w:r>
      </w:hyperlink>
      <w:r w:rsidRPr="006C590E">
        <w:rPr>
          <w:snapToGrid/>
        </w:rPr>
        <w:t>,</w:t>
      </w:r>
    </w:p>
    <w:p w14:paraId="4D32F69F" w14:textId="77777777" w:rsidR="00952749" w:rsidRPr="006C590E" w:rsidRDefault="00952749" w:rsidP="00952749">
      <w:pPr>
        <w:pStyle w:val="Para1"/>
        <w:numPr>
          <w:ilvl w:val="0"/>
          <w:numId w:val="0"/>
        </w:numPr>
        <w:kinsoku w:val="0"/>
        <w:overflowPunct w:val="0"/>
        <w:autoSpaceDE w:val="0"/>
        <w:autoSpaceDN w:val="0"/>
        <w:ind w:firstLine="720"/>
        <w:rPr>
          <w:snapToGrid/>
        </w:rPr>
      </w:pPr>
      <w:r w:rsidRPr="006C590E">
        <w:rPr>
          <w:i/>
        </w:rPr>
        <w:t>Accueillant avec satisfaction</w:t>
      </w:r>
      <w:r w:rsidRPr="006C590E">
        <w:t xml:space="preserve"> l'examen par l'Organe subsidiaire chargé de l'application</w:t>
      </w:r>
      <w:r>
        <w:t>,</w:t>
      </w:r>
      <w:r w:rsidRPr="006C590E">
        <w:t xml:space="preserve"> à sa deuxième réun</w:t>
      </w:r>
      <w:r>
        <w:t>ion, du projet de modèle de rapport</w:t>
      </w:r>
      <w:r w:rsidRPr="006C590E">
        <w:t xml:space="preserve"> r</w:t>
      </w:r>
      <w:r>
        <w:t>évisé</w:t>
      </w:r>
      <w:r w:rsidRPr="006C590E">
        <w:t xml:space="preserve"> pour le q</w:t>
      </w:r>
      <w:r>
        <w:t>uatrième rapport national, tel que proposé</w:t>
      </w:r>
      <w:r w:rsidRPr="006C590E">
        <w:t xml:space="preserve"> par la </w:t>
      </w:r>
      <w:r w:rsidRPr="006C590E">
        <w:rPr>
          <w:snapToGrid/>
        </w:rPr>
        <w:t>Secrétaire exécutive</w:t>
      </w:r>
      <w:r w:rsidRPr="00AE6843">
        <w:rPr>
          <w:rStyle w:val="FootnoteReference"/>
          <w:sz w:val="20"/>
          <w:szCs w:val="20"/>
          <w:vertAlign w:val="superscript"/>
        </w:rPr>
        <w:footnoteReference w:id="9"/>
      </w:r>
      <w:r w:rsidRPr="006C590E">
        <w:rPr>
          <w:snapToGrid/>
        </w:rPr>
        <w:t>,</w:t>
      </w:r>
    </w:p>
    <w:p w14:paraId="372C05E8" w14:textId="77777777" w:rsidR="00952749" w:rsidRPr="006C590E" w:rsidRDefault="00952749" w:rsidP="00952749">
      <w:pPr>
        <w:pStyle w:val="Para1"/>
        <w:numPr>
          <w:ilvl w:val="0"/>
          <w:numId w:val="0"/>
        </w:numPr>
        <w:kinsoku w:val="0"/>
        <w:overflowPunct w:val="0"/>
        <w:autoSpaceDE w:val="0"/>
        <w:autoSpaceDN w:val="0"/>
        <w:ind w:firstLine="720"/>
        <w:rPr>
          <w:snapToGrid/>
        </w:rPr>
      </w:pPr>
      <w:r w:rsidRPr="006C590E">
        <w:rPr>
          <w:i/>
        </w:rPr>
        <w:t xml:space="preserve">Reconnaissant </w:t>
      </w:r>
      <w:r w:rsidRPr="006C590E">
        <w:t>l’importance d’une plus grande harmonisation entre les rapports nationaux établis au titre de la Convention et de ses Protocoles, et d’un renforcement des synergies entre les conventions relatives à la diversité biologique et les conventions de Rio, ainsi que le Programme de développement durable à l’horizon 2030</w:t>
      </w:r>
      <w:r w:rsidRPr="00AE6843">
        <w:rPr>
          <w:rStyle w:val="FootnoteReference"/>
          <w:sz w:val="20"/>
          <w:szCs w:val="20"/>
          <w:vertAlign w:val="superscript"/>
        </w:rPr>
        <w:footnoteReference w:id="10"/>
      </w:r>
      <w:r w:rsidRPr="00AE6843">
        <w:rPr>
          <w:rStyle w:val="FootnoteReference"/>
          <w:sz w:val="20"/>
          <w:szCs w:val="20"/>
          <w:vertAlign w:val="superscript"/>
        </w:rPr>
        <w:t xml:space="preserve"> </w:t>
      </w:r>
      <w:r w:rsidRPr="006C590E">
        <w:t xml:space="preserve">et les outils de communication de données pour les Objectifs de développement durable, et </w:t>
      </w:r>
      <w:r w:rsidRPr="006C590E">
        <w:rPr>
          <w:i/>
        </w:rPr>
        <w:t>prenant note</w:t>
      </w:r>
      <w:r w:rsidRPr="006C590E">
        <w:t xml:space="preserve"> des progrès accomplis à ce jour en la matière,</w:t>
      </w:r>
    </w:p>
    <w:p w14:paraId="2EEB6E73" w14:textId="77777777" w:rsidR="00952749" w:rsidRPr="006C590E" w:rsidRDefault="00952749" w:rsidP="00952749">
      <w:pPr>
        <w:pStyle w:val="Para1"/>
        <w:numPr>
          <w:ilvl w:val="6"/>
          <w:numId w:val="13"/>
        </w:numPr>
        <w:tabs>
          <w:tab w:val="clear" w:pos="360"/>
          <w:tab w:val="num" w:pos="0"/>
        </w:tabs>
        <w:kinsoku w:val="0"/>
        <w:overflowPunct w:val="0"/>
        <w:autoSpaceDE w:val="0"/>
        <w:autoSpaceDN w:val="0"/>
        <w:spacing w:before="0"/>
        <w:ind w:left="0" w:firstLine="851"/>
      </w:pPr>
      <w:r w:rsidRPr="006C590E">
        <w:rPr>
          <w:i/>
        </w:rPr>
        <w:t>Accueille avec satisfaction</w:t>
      </w:r>
      <w:r>
        <w:t xml:space="preserve"> les troisièmes rapports </w:t>
      </w:r>
      <w:r w:rsidRPr="006C590E">
        <w:t xml:space="preserve">nationaux </w:t>
      </w:r>
      <w:r>
        <w:t>qui ont été remis récemment</w:t>
      </w:r>
      <w:r w:rsidRPr="006C590E">
        <w:t xml:space="preserve">, et </w:t>
      </w:r>
      <w:r w:rsidRPr="006C590E">
        <w:rPr>
          <w:i/>
        </w:rPr>
        <w:t xml:space="preserve">prie instamment </w:t>
      </w:r>
      <w:r w:rsidRPr="006C590E">
        <w:t>les Parties qui n</w:t>
      </w:r>
      <w:r>
        <w:t>e l’ont pas encore fait de trans</w:t>
      </w:r>
      <w:r w:rsidRPr="006C590E">
        <w:t>mettre leurs troisièmes rapports nationaux dans les plus brefs délais</w:t>
      </w:r>
      <w:r w:rsidRPr="00AE6843">
        <w:rPr>
          <w:rStyle w:val="FootnoteReference"/>
        </w:rPr>
        <w:footnoteReference w:id="11"/>
      </w:r>
      <w:r>
        <w:t>;</w:t>
      </w:r>
      <w:r w:rsidRPr="006C590E">
        <w:t xml:space="preserve"> </w:t>
      </w:r>
    </w:p>
    <w:p w14:paraId="18F8EB1A" w14:textId="77777777" w:rsidR="00952749" w:rsidRPr="006C590E" w:rsidRDefault="00952749" w:rsidP="00952749">
      <w:pPr>
        <w:pStyle w:val="Para1"/>
        <w:numPr>
          <w:ilvl w:val="6"/>
          <w:numId w:val="13"/>
        </w:numPr>
        <w:tabs>
          <w:tab w:val="clear" w:pos="360"/>
          <w:tab w:val="num" w:pos="0"/>
        </w:tabs>
        <w:kinsoku w:val="0"/>
        <w:overflowPunct w:val="0"/>
        <w:autoSpaceDE w:val="0"/>
        <w:autoSpaceDN w:val="0"/>
        <w:spacing w:before="0"/>
        <w:ind w:left="0" w:firstLine="851"/>
      </w:pPr>
      <w:r w:rsidRPr="006C590E">
        <w:rPr>
          <w:i/>
        </w:rPr>
        <w:t>Adopte</w:t>
      </w:r>
      <w:r>
        <w:t xml:space="preserve"> le modèle de rapport figurant dans l’annexe ci-dessous,</w:t>
      </w:r>
      <w:r w:rsidRPr="006C590E">
        <w:t xml:space="preserve"> et </w:t>
      </w:r>
      <w:r w:rsidRPr="006C590E">
        <w:rPr>
          <w:i/>
        </w:rPr>
        <w:t xml:space="preserve">demande </w:t>
      </w:r>
      <w:r w:rsidRPr="006C590E">
        <w:t>aux Parties de l'utiliser pour le quatrième rapport national sur l’application du Protocole de Cartagena sur la préventio</w:t>
      </w:r>
      <w:r>
        <w:t>n des risques biotechnologiques</w:t>
      </w:r>
      <w:r w:rsidRPr="006C590E">
        <w:t>;</w:t>
      </w:r>
    </w:p>
    <w:p w14:paraId="205FF633" w14:textId="77777777" w:rsidR="00952749" w:rsidRPr="006C590E" w:rsidRDefault="00952749" w:rsidP="00952749">
      <w:pPr>
        <w:pStyle w:val="Para1"/>
        <w:numPr>
          <w:ilvl w:val="6"/>
          <w:numId w:val="13"/>
        </w:numPr>
        <w:tabs>
          <w:tab w:val="clear" w:pos="360"/>
          <w:tab w:val="num" w:pos="0"/>
        </w:tabs>
        <w:kinsoku w:val="0"/>
        <w:overflowPunct w:val="0"/>
        <w:autoSpaceDE w:val="0"/>
        <w:autoSpaceDN w:val="0"/>
        <w:spacing w:before="0"/>
        <w:ind w:left="0" w:firstLine="851"/>
      </w:pPr>
      <w:r w:rsidRPr="006C590E">
        <w:rPr>
          <w:i/>
        </w:rPr>
        <w:t>Invite</w:t>
      </w:r>
      <w:r>
        <w:t xml:space="preserve"> les Parties à établi</w:t>
      </w:r>
      <w:r w:rsidRPr="006C590E">
        <w:t>r leurs rapports dans le cadre d'un processus de consultation impliquant toutes les parties prenantes nationales concernées, y compris les peuples autochtones et les comm</w:t>
      </w:r>
      <w:r>
        <w:t>unautés locales, selon qu’il convient</w:t>
      </w:r>
      <w:r w:rsidRPr="006C590E">
        <w:t>;</w:t>
      </w:r>
    </w:p>
    <w:p w14:paraId="1C74CD62" w14:textId="77777777" w:rsidR="00952749" w:rsidRDefault="00952749" w:rsidP="00952749">
      <w:pPr>
        <w:pStyle w:val="Para1"/>
        <w:numPr>
          <w:ilvl w:val="6"/>
          <w:numId w:val="13"/>
        </w:numPr>
        <w:tabs>
          <w:tab w:val="clear" w:pos="360"/>
          <w:tab w:val="num" w:pos="0"/>
        </w:tabs>
        <w:kinsoku w:val="0"/>
        <w:overflowPunct w:val="0"/>
        <w:autoSpaceDE w:val="0"/>
        <w:autoSpaceDN w:val="0"/>
        <w:spacing w:before="0"/>
        <w:ind w:left="0" w:firstLine="851"/>
      </w:pPr>
      <w:r w:rsidRPr="006C590E">
        <w:rPr>
          <w:i/>
        </w:rPr>
        <w:t>Encourage</w:t>
      </w:r>
      <w:r w:rsidRPr="006C590E">
        <w:t xml:space="preserve"> les Parties à répondre à toutes les questions posées dans le modèle de rapport, et </w:t>
      </w:r>
      <w:r w:rsidRPr="006C590E">
        <w:rPr>
          <w:i/>
        </w:rPr>
        <w:t>souligne</w:t>
      </w:r>
      <w:r>
        <w:t xml:space="preserve"> l'importance d’une remise en temps voulu</w:t>
      </w:r>
      <w:r w:rsidRPr="006C590E">
        <w:t xml:space="preserve"> des quatrièmes rapports nationaux</w:t>
      </w:r>
      <w:r>
        <w:t>,</w:t>
      </w:r>
      <w:r w:rsidRPr="006C590E">
        <w:t xml:space="preserve"> afin de faciliter le quatrième exercice d’évaluation et d’examen de l'efficacité du Protocole de Cartagena</w:t>
      </w:r>
      <w:r>
        <w:t>, ainsi que</w:t>
      </w:r>
      <w:r w:rsidRPr="006C590E">
        <w:t xml:space="preserve"> l'évaluation finale du Plan stratégique du Protocole de Cartagena sur la prévention des risques biotechnologi</w:t>
      </w:r>
      <w:r>
        <w:t>ques pour la période 2011-2020</w:t>
      </w:r>
      <w:r w:rsidRPr="006C590E">
        <w:rPr>
          <w:rStyle w:val="FootnoteReference"/>
          <w:rFonts w:eastAsiaTheme="majorEastAsia"/>
        </w:rPr>
        <w:footnoteReference w:id="12"/>
      </w:r>
      <w:r>
        <w:t>;</w:t>
      </w:r>
      <w:r w:rsidRPr="006C590E">
        <w:t xml:space="preserve"> </w:t>
      </w:r>
    </w:p>
    <w:p w14:paraId="47F7EDAF" w14:textId="77777777" w:rsidR="00952749" w:rsidRPr="008029A5" w:rsidRDefault="00952749" w:rsidP="00952749">
      <w:pPr>
        <w:pStyle w:val="Para1"/>
        <w:numPr>
          <w:ilvl w:val="6"/>
          <w:numId w:val="13"/>
        </w:numPr>
        <w:tabs>
          <w:tab w:val="clear" w:pos="360"/>
          <w:tab w:val="num" w:pos="0"/>
        </w:tabs>
        <w:kinsoku w:val="0"/>
        <w:overflowPunct w:val="0"/>
        <w:autoSpaceDE w:val="0"/>
        <w:autoSpaceDN w:val="0"/>
        <w:spacing w:before="0"/>
        <w:ind w:left="0" w:firstLine="851"/>
      </w:pPr>
      <w:r w:rsidRPr="008029A5">
        <w:rPr>
          <w:i/>
        </w:rPr>
        <w:t>Prie</w:t>
      </w:r>
      <w:r w:rsidRPr="008029A5">
        <w:t xml:space="preserve"> les Parties et </w:t>
      </w:r>
      <w:r w:rsidRPr="008029A5">
        <w:rPr>
          <w:i/>
        </w:rPr>
        <w:t>invite</w:t>
      </w:r>
      <w:r w:rsidRPr="008029A5">
        <w:t xml:space="preserve"> les autres gouvernements à transmettre au Secrétariat leur quatrième rapport nati</w:t>
      </w:r>
      <w:r>
        <w:t>onal sur l’application</w:t>
      </w:r>
      <w:r w:rsidRPr="008029A5">
        <w:t xml:space="preserve"> du Protocole de Cartagena sur la prévention des risques biotechnologiques </w:t>
      </w:r>
      <w:r w:rsidRPr="008029A5">
        <w:rPr>
          <w:snapToGrid/>
        </w:rPr>
        <w:t>:</w:t>
      </w:r>
    </w:p>
    <w:p w14:paraId="0D663E8D" w14:textId="77777777" w:rsidR="00952749" w:rsidRPr="006C590E" w:rsidRDefault="00952749" w:rsidP="00952749">
      <w:pPr>
        <w:pStyle w:val="Para1"/>
        <w:numPr>
          <w:ilvl w:val="0"/>
          <w:numId w:val="0"/>
        </w:numPr>
        <w:ind w:left="851"/>
      </w:pPr>
      <w:r w:rsidRPr="006C590E">
        <w:rPr>
          <w:snapToGrid/>
        </w:rPr>
        <w:t>a)</w:t>
      </w:r>
      <w:r w:rsidRPr="006C590E">
        <w:rPr>
          <w:snapToGrid/>
        </w:rPr>
        <w:tab/>
      </w:r>
      <w:r w:rsidRPr="006C590E">
        <w:t>Dans une lang</w:t>
      </w:r>
      <w:r>
        <w:t>ue officielle des Nations Unies</w:t>
      </w:r>
      <w:r w:rsidRPr="006C590E">
        <w:t>;</w:t>
      </w:r>
    </w:p>
    <w:p w14:paraId="5C5C293C" w14:textId="77777777" w:rsidR="001E43F6" w:rsidRDefault="00952749" w:rsidP="001E43F6">
      <w:pPr>
        <w:pStyle w:val="Para1"/>
        <w:numPr>
          <w:ilvl w:val="0"/>
          <w:numId w:val="0"/>
        </w:numPr>
        <w:ind w:firstLine="851"/>
      </w:pPr>
      <w:r w:rsidRPr="006C590E">
        <w:t>b)</w:t>
      </w:r>
      <w:r w:rsidRPr="006C590E">
        <w:tab/>
        <w:t>Douze mois avant la dixième réunion de la Conférence de</w:t>
      </w:r>
      <w:r>
        <w:t>s Parties siégeant en tant que r</w:t>
      </w:r>
      <w:r w:rsidRPr="006C590E">
        <w:t>éunion des Parties au Prot</w:t>
      </w:r>
      <w:r>
        <w:t>ocole, qui examinera le rapport</w:t>
      </w:r>
      <w:r w:rsidRPr="006C590E">
        <w:t>;</w:t>
      </w:r>
    </w:p>
    <w:p w14:paraId="3D7DC7A4" w14:textId="56A6CADF" w:rsidR="00952749" w:rsidRPr="006C590E" w:rsidRDefault="00952749" w:rsidP="001E43F6">
      <w:pPr>
        <w:pStyle w:val="Para1"/>
        <w:numPr>
          <w:ilvl w:val="0"/>
          <w:numId w:val="0"/>
        </w:numPr>
        <w:ind w:firstLine="851"/>
      </w:pPr>
      <w:r w:rsidRPr="006C590E">
        <w:t>c)</w:t>
      </w:r>
      <w:r w:rsidRPr="006C590E">
        <w:tab/>
        <w:t>De préférence en ligne via le Centre d'échange pour la prévention des risques biotechnologiques, ou hors ligne en utilisant le formulaire approprié qui sera mis à disposition par le Secrétariat à cet effet, dûment signé par l</w:t>
      </w:r>
      <w:r>
        <w:t>e correspondant national du Protocole de Cartagena</w:t>
      </w:r>
      <w:r w:rsidRPr="006C590E">
        <w:t>;</w:t>
      </w:r>
    </w:p>
    <w:p w14:paraId="1D60BABE" w14:textId="77777777" w:rsidR="00952749" w:rsidRDefault="00952749" w:rsidP="00302626">
      <w:pPr>
        <w:pStyle w:val="Para1"/>
        <w:numPr>
          <w:ilvl w:val="0"/>
          <w:numId w:val="0"/>
        </w:numPr>
        <w:ind w:firstLine="851"/>
      </w:pPr>
      <w:r w:rsidRPr="006C590E">
        <w:lastRenderedPageBreak/>
        <w:t>6.</w:t>
      </w:r>
      <w:r w:rsidRPr="006C590E">
        <w:tab/>
      </w:r>
      <w:r w:rsidRPr="006C590E">
        <w:rPr>
          <w:i/>
        </w:rPr>
        <w:t xml:space="preserve">Prie </w:t>
      </w:r>
      <w:r w:rsidRPr="006C590E">
        <w:t>la Secr</w:t>
      </w:r>
      <w:r>
        <w:t>étaire exécutive de continuer à</w:t>
      </w:r>
      <w:r w:rsidRPr="006C590E">
        <w:t xml:space="preserve"> mettre à disposition, dans l'outil de communication en ligne, l'option permettant d'afficher et de sélectionner les réponses fournies dans le </w:t>
      </w:r>
      <w:r>
        <w:t>précédent rapport national remis par la Partie concernée</w:t>
      </w:r>
      <w:r w:rsidRPr="006C590E">
        <w:t>;</w:t>
      </w:r>
    </w:p>
    <w:p w14:paraId="22E8CE89" w14:textId="77777777" w:rsidR="00952749" w:rsidRPr="006C590E" w:rsidRDefault="00952749" w:rsidP="00302626">
      <w:pPr>
        <w:pStyle w:val="Para1"/>
        <w:numPr>
          <w:ilvl w:val="0"/>
          <w:numId w:val="0"/>
        </w:numPr>
        <w:ind w:firstLine="851"/>
      </w:pPr>
      <w:r>
        <w:t>7.</w:t>
      </w:r>
      <w:r>
        <w:tab/>
      </w:r>
      <w:r w:rsidRPr="008029A5">
        <w:rPr>
          <w:i/>
          <w:iCs/>
        </w:rPr>
        <w:t>Prie également</w:t>
      </w:r>
      <w:r>
        <w:t xml:space="preserve"> la Secrétaire exécutive de continuer à faciliter la remise hors ligne des rapports nationaux;</w:t>
      </w:r>
    </w:p>
    <w:p w14:paraId="58482A7F" w14:textId="77777777" w:rsidR="00952749" w:rsidRDefault="00952749" w:rsidP="00302626">
      <w:pPr>
        <w:pStyle w:val="Para1"/>
        <w:numPr>
          <w:ilvl w:val="0"/>
          <w:numId w:val="0"/>
        </w:numPr>
        <w:ind w:firstLine="851"/>
      </w:pPr>
      <w:r>
        <w:t>8</w:t>
      </w:r>
      <w:r w:rsidRPr="006C590E">
        <w:t>.</w:t>
      </w:r>
      <w:r w:rsidRPr="006C590E">
        <w:tab/>
      </w:r>
      <w:r w:rsidRPr="006C590E">
        <w:rPr>
          <w:i/>
        </w:rPr>
        <w:t>Recommande</w:t>
      </w:r>
      <w:r>
        <w:t xml:space="preserve"> à </w:t>
      </w:r>
      <w:r w:rsidRPr="006C590E">
        <w:t>la Conf</w:t>
      </w:r>
      <w:r>
        <w:t>érence des Parties, lorsqu’elle adopte ses orientations à l’intention du mécanisme de financement, d’inviter</w:t>
      </w:r>
      <w:r w:rsidRPr="006C590E">
        <w:t xml:space="preserve"> le Fonds pour l'environnement mondial à mettre à la disposition des Parties admissibles, en temps opportun, des </w:t>
      </w:r>
      <w:r>
        <w:t xml:space="preserve">ressources financières pour </w:t>
      </w:r>
      <w:r w:rsidRPr="006C590E">
        <w:t xml:space="preserve">faciliter la préparation et la présentation de leurs quatrièmes rapports </w:t>
      </w:r>
      <w:r>
        <w:t>nationaux au titre du Protocole</w:t>
      </w:r>
      <w:r w:rsidRPr="006C590E">
        <w:t>;</w:t>
      </w:r>
    </w:p>
    <w:p w14:paraId="639323F9" w14:textId="77777777" w:rsidR="00952749" w:rsidRPr="00062F86" w:rsidRDefault="00952749" w:rsidP="00302626">
      <w:pPr>
        <w:pStyle w:val="Para1"/>
        <w:numPr>
          <w:ilvl w:val="0"/>
          <w:numId w:val="0"/>
        </w:numPr>
        <w:kinsoku w:val="0"/>
        <w:overflowPunct w:val="0"/>
        <w:autoSpaceDE w:val="0"/>
        <w:autoSpaceDN w:val="0"/>
        <w:ind w:firstLine="851"/>
        <w:rPr>
          <w:snapToGrid/>
          <w:lang w:val="fr-CA"/>
        </w:rPr>
      </w:pPr>
      <w:r>
        <w:rPr>
          <w:snapToGrid/>
        </w:rPr>
        <w:t>9</w:t>
      </w:r>
      <w:r w:rsidRPr="006C590E">
        <w:rPr>
          <w:snapToGrid/>
        </w:rPr>
        <w:t>.</w:t>
      </w:r>
      <w:r w:rsidRPr="006C590E">
        <w:rPr>
          <w:snapToGrid/>
        </w:rPr>
        <w:tab/>
      </w:r>
      <w:r w:rsidRPr="006C590E">
        <w:rPr>
          <w:i/>
        </w:rPr>
        <w:t>Accepte</w:t>
      </w:r>
      <w:r w:rsidRPr="006C590E">
        <w:rPr>
          <w:iCs/>
        </w:rPr>
        <w:t xml:space="preserve"> l’invitation qui lui a été faite par la Conférence des Parties à la </w:t>
      </w:r>
      <w:r>
        <w:t>Convention dans la décision 14/27</w:t>
      </w:r>
      <w:r w:rsidRPr="006C590E">
        <w:t xml:space="preserve">, et </w:t>
      </w:r>
      <w:r w:rsidRPr="00F1724E">
        <w:rPr>
          <w:i/>
          <w:iCs/>
        </w:rPr>
        <w:t>décide</w:t>
      </w:r>
      <w:r w:rsidRPr="00F1724E">
        <w:rPr>
          <w:i/>
        </w:rPr>
        <w:t xml:space="preserve"> </w:t>
      </w:r>
      <w:r w:rsidRPr="006C590E">
        <w:t>d’</w:t>
      </w:r>
      <w:r>
        <w:t>instaurer un cycle synchronisé d</w:t>
      </w:r>
      <w:r w:rsidRPr="006C590E">
        <w:t>’établissement des rapports nationaux à partir de 2023</w:t>
      </w:r>
      <w:r w:rsidRPr="006C590E">
        <w:rPr>
          <w:snapToGrid/>
        </w:rPr>
        <w:t>.</w:t>
      </w:r>
    </w:p>
    <w:p w14:paraId="1ED7FF7F" w14:textId="77777777" w:rsidR="00952749" w:rsidRPr="004F61D0" w:rsidRDefault="00952749" w:rsidP="00952749">
      <w:pPr>
        <w:pStyle w:val="Para1"/>
        <w:numPr>
          <w:ilvl w:val="0"/>
          <w:numId w:val="0"/>
        </w:numPr>
        <w:jc w:val="center"/>
      </w:pPr>
    </w:p>
    <w:p w14:paraId="5F715E29" w14:textId="77777777" w:rsidR="00952749" w:rsidRPr="004F61D0" w:rsidRDefault="00952749" w:rsidP="00952749">
      <w:pPr>
        <w:jc w:val="left"/>
        <w:rPr>
          <w:snapToGrid w:val="0"/>
          <w:szCs w:val="18"/>
        </w:rPr>
      </w:pPr>
      <w:r w:rsidRPr="004F61D0">
        <w:br w:type="page"/>
      </w:r>
    </w:p>
    <w:p w14:paraId="1B363F7C" w14:textId="77777777" w:rsidR="00952749" w:rsidRPr="004F61D0" w:rsidRDefault="00952749" w:rsidP="00952749">
      <w:pPr>
        <w:pStyle w:val="Para1"/>
        <w:numPr>
          <w:ilvl w:val="0"/>
          <w:numId w:val="0"/>
        </w:numPr>
        <w:kinsoku w:val="0"/>
        <w:overflowPunct w:val="0"/>
        <w:autoSpaceDE w:val="0"/>
        <w:autoSpaceDN w:val="0"/>
        <w:rPr>
          <w:snapToGrid/>
        </w:rPr>
      </w:pPr>
    </w:p>
    <w:p w14:paraId="0B2E43CE" w14:textId="77777777" w:rsidR="00952749" w:rsidRPr="006C590E" w:rsidRDefault="00952749" w:rsidP="005F2957">
      <w:pPr>
        <w:spacing w:after="120"/>
        <w:jc w:val="center"/>
        <w:rPr>
          <w:i/>
          <w:kern w:val="22"/>
          <w:sz w:val="20"/>
          <w:szCs w:val="20"/>
        </w:rPr>
      </w:pPr>
      <w:r w:rsidRPr="006C590E">
        <w:rPr>
          <w:i/>
          <w:kern w:val="22"/>
          <w:sz w:val="20"/>
          <w:szCs w:val="20"/>
        </w:rPr>
        <w:t>Annexe</w:t>
      </w:r>
    </w:p>
    <w:p w14:paraId="08EBDB74" w14:textId="77777777" w:rsidR="00952749" w:rsidRPr="006C590E" w:rsidRDefault="00952749" w:rsidP="00F910D6">
      <w:pPr>
        <w:jc w:val="center"/>
        <w:rPr>
          <w:b/>
          <w:bCs/>
          <w:iCs/>
          <w:caps/>
          <w:color w:val="000000"/>
          <w:kern w:val="22"/>
          <w:sz w:val="20"/>
          <w:szCs w:val="20"/>
        </w:rPr>
      </w:pPr>
      <w:r>
        <w:rPr>
          <w:rFonts w:eastAsia="Times New Roman Bold"/>
          <w:b/>
          <w:color w:val="000000"/>
          <w:kern w:val="22"/>
          <w:sz w:val="20"/>
          <w:szCs w:val="20"/>
          <w:lang w:bidi="fr-FR"/>
        </w:rPr>
        <w:t xml:space="preserve">PROJET DE MODÈLE RÉVISÉ POUR LE </w:t>
      </w:r>
      <w:r w:rsidRPr="006C590E">
        <w:rPr>
          <w:rFonts w:eastAsia="Times New Roman Bold"/>
          <w:b/>
          <w:color w:val="000000"/>
          <w:kern w:val="22"/>
          <w:sz w:val="20"/>
          <w:szCs w:val="20"/>
          <w:lang w:bidi="fr-FR"/>
        </w:rPr>
        <w:t>QUATRIÈME RAPPORT NATIONAL AU TITRE DU PROTOCOLE DE CARTAGENA SUR LA PRÉVENTION DES RISQUES BIOTECHNOLOGIQUE</w:t>
      </w:r>
      <w:r w:rsidRPr="006C590E">
        <w:rPr>
          <w:b/>
          <w:bCs/>
          <w:iCs/>
          <w:caps/>
          <w:color w:val="000000"/>
          <w:kern w:val="22"/>
          <w:sz w:val="20"/>
          <w:szCs w:val="20"/>
        </w:rPr>
        <w:t>S</w:t>
      </w:r>
    </w:p>
    <w:p w14:paraId="5B4EABA9" w14:textId="77777777" w:rsidR="00952749" w:rsidRPr="006C590E" w:rsidRDefault="00952749" w:rsidP="00F910D6">
      <w:pPr>
        <w:keepNext/>
        <w:suppressLineNumbers/>
        <w:shd w:val="clear" w:color="auto" w:fill="FFFFFF" w:themeFill="background1"/>
        <w:suppressAutoHyphens/>
        <w:kinsoku w:val="0"/>
        <w:overflowPunct w:val="0"/>
        <w:autoSpaceDE w:val="0"/>
        <w:autoSpaceDN w:val="0"/>
        <w:adjustRightInd w:val="0"/>
        <w:snapToGrid w:val="0"/>
        <w:spacing w:before="240" w:after="120"/>
        <w:jc w:val="center"/>
        <w:rPr>
          <w:rFonts w:eastAsia="Arial Unicode MS"/>
          <w:b/>
          <w:bCs/>
          <w:iCs/>
          <w:kern w:val="22"/>
          <w:sz w:val="20"/>
          <w:szCs w:val="20"/>
        </w:rPr>
      </w:pPr>
      <w:bookmarkStart w:id="8" w:name="_Toc56310567"/>
      <w:bookmarkStart w:id="9" w:name="_Toc56309722"/>
      <w:r w:rsidRPr="006C590E">
        <w:rPr>
          <w:rFonts w:eastAsia="Arial Unicode MS"/>
          <w:b/>
          <w:bCs/>
          <w:iCs/>
          <w:kern w:val="22"/>
          <w:sz w:val="20"/>
          <w:szCs w:val="20"/>
        </w:rPr>
        <w:t>Origine du rapport</w:t>
      </w:r>
      <w:bookmarkEnd w:id="8"/>
      <w:bookmarkEnd w:id="9"/>
    </w:p>
    <w:tbl>
      <w:tblPr>
        <w:tblW w:w="5038" w:type="pct"/>
        <w:tblLook w:val="01E0" w:firstRow="1" w:lastRow="1" w:firstColumn="1" w:lastColumn="1" w:noHBand="0" w:noVBand="0"/>
      </w:tblPr>
      <w:tblGrid>
        <w:gridCol w:w="4553"/>
        <w:gridCol w:w="4981"/>
      </w:tblGrid>
      <w:tr w:rsidR="00952749" w:rsidRPr="006C590E" w14:paraId="5B9155D2" w14:textId="77777777" w:rsidTr="009137A8">
        <w:trPr>
          <w:cantSplit/>
        </w:trPr>
        <w:tc>
          <w:tcPr>
            <w:tcW w:w="2388" w:type="pct"/>
            <w:vAlign w:val="center"/>
            <w:hideMark/>
          </w:tcPr>
          <w:p w14:paraId="741C46E9" w14:textId="77777777" w:rsidR="00952749" w:rsidRPr="006C590E" w:rsidRDefault="00952749" w:rsidP="004C7DBD">
            <w:pPr>
              <w:numPr>
                <w:ilvl w:val="0"/>
                <w:numId w:val="31"/>
              </w:num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b/>
                <w:kern w:val="22"/>
                <w:sz w:val="20"/>
                <w:szCs w:val="20"/>
              </w:rPr>
            </w:pPr>
            <w:r w:rsidRPr="006C590E">
              <w:rPr>
                <w:b/>
                <w:kern w:val="22"/>
                <w:sz w:val="20"/>
                <w:szCs w:val="20"/>
              </w:rPr>
              <w:t>Pays :</w:t>
            </w:r>
          </w:p>
        </w:tc>
        <w:tc>
          <w:tcPr>
            <w:tcW w:w="2612" w:type="pct"/>
            <w:vAlign w:val="center"/>
            <w:hideMark/>
          </w:tcPr>
          <w:p w14:paraId="7BD954A6"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17C2F" w14:paraId="0D88C471" w14:textId="77777777" w:rsidTr="009137A8">
        <w:trPr>
          <w:cantSplit/>
        </w:trPr>
        <w:tc>
          <w:tcPr>
            <w:tcW w:w="2388" w:type="pct"/>
            <w:vAlign w:val="center"/>
            <w:hideMark/>
          </w:tcPr>
          <w:p w14:paraId="71963A52"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i/>
                <w:kern w:val="22"/>
                <w:sz w:val="20"/>
                <w:szCs w:val="20"/>
              </w:rPr>
            </w:pPr>
            <w:r>
              <w:rPr>
                <w:i/>
                <w:kern w:val="22"/>
                <w:sz w:val="20"/>
                <w:szCs w:val="20"/>
                <w:lang w:bidi="fr-FR"/>
              </w:rPr>
              <w:t>Personne ayant remis</w:t>
            </w:r>
            <w:r w:rsidRPr="006C590E">
              <w:rPr>
                <w:i/>
                <w:kern w:val="22"/>
                <w:sz w:val="20"/>
                <w:szCs w:val="20"/>
                <w:lang w:bidi="fr-FR"/>
              </w:rPr>
              <w:t xml:space="preserve"> le rappor</w:t>
            </w:r>
            <w:r w:rsidRPr="006C590E">
              <w:rPr>
                <w:i/>
                <w:kern w:val="22"/>
                <w:sz w:val="20"/>
                <w:szCs w:val="20"/>
              </w:rPr>
              <w:t>t</w:t>
            </w:r>
          </w:p>
        </w:tc>
        <w:tc>
          <w:tcPr>
            <w:tcW w:w="2612" w:type="pct"/>
            <w:vAlign w:val="center"/>
          </w:tcPr>
          <w:p w14:paraId="2B483E3F"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952749" w:rsidRPr="006C590E" w14:paraId="21553DFB" w14:textId="77777777" w:rsidTr="009137A8">
        <w:trPr>
          <w:cantSplit/>
        </w:trPr>
        <w:tc>
          <w:tcPr>
            <w:tcW w:w="2388" w:type="pct"/>
            <w:vAlign w:val="center"/>
            <w:hideMark/>
          </w:tcPr>
          <w:p w14:paraId="52E4D673"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rPr>
              <w:t>Nom :</w:t>
            </w:r>
          </w:p>
        </w:tc>
        <w:bookmarkStart w:id="10" w:name="Text3"/>
        <w:tc>
          <w:tcPr>
            <w:tcW w:w="2612" w:type="pct"/>
            <w:vAlign w:val="center"/>
            <w:hideMark/>
          </w:tcPr>
          <w:p w14:paraId="3003EAD8"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6C590E">
              <w:rPr>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kern w:val="22"/>
                <w:sz w:val="20"/>
                <w:szCs w:val="20"/>
              </w:rPr>
            </w:r>
            <w:r w:rsidRPr="006C590E">
              <w:rPr>
                <w:kern w:val="22"/>
                <w:sz w:val="20"/>
                <w:szCs w:val="20"/>
              </w:rPr>
              <w:fldChar w:fldCharType="separate"/>
            </w:r>
            <w:r w:rsidRPr="006C590E">
              <w:rPr>
                <w:rFonts w:eastAsia="Arial Unicode MS"/>
                <w:b/>
                <w:bCs/>
                <w:iCs/>
                <w:noProof/>
                <w:kern w:val="22"/>
                <w:sz w:val="20"/>
                <w:szCs w:val="20"/>
              </w:rPr>
              <w:t>[                   Saisissez votre texte ici                   ]</w:t>
            </w:r>
            <w:r w:rsidRPr="006C590E">
              <w:rPr>
                <w:kern w:val="22"/>
                <w:sz w:val="20"/>
                <w:szCs w:val="20"/>
              </w:rPr>
              <w:fldChar w:fldCharType="end"/>
            </w:r>
            <w:bookmarkEnd w:id="10"/>
          </w:p>
        </w:tc>
      </w:tr>
      <w:tr w:rsidR="00952749" w:rsidRPr="006C590E" w14:paraId="771D7113" w14:textId="77777777" w:rsidTr="009137A8">
        <w:trPr>
          <w:cantSplit/>
        </w:trPr>
        <w:tc>
          <w:tcPr>
            <w:tcW w:w="2388" w:type="pct"/>
            <w:vAlign w:val="center"/>
            <w:hideMark/>
          </w:tcPr>
          <w:p w14:paraId="5E379408"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rPr>
              <w:t>Titre :</w:t>
            </w:r>
          </w:p>
        </w:tc>
        <w:tc>
          <w:tcPr>
            <w:tcW w:w="2612" w:type="pct"/>
            <w:vAlign w:val="center"/>
            <w:hideMark/>
          </w:tcPr>
          <w:p w14:paraId="1536EC8C"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C590E" w14:paraId="7A89B187" w14:textId="77777777" w:rsidTr="009137A8">
        <w:trPr>
          <w:cantSplit/>
        </w:trPr>
        <w:tc>
          <w:tcPr>
            <w:tcW w:w="2388" w:type="pct"/>
            <w:vAlign w:val="center"/>
            <w:hideMark/>
          </w:tcPr>
          <w:p w14:paraId="3F87EB46"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rPr>
              <w:t>Organisation :</w:t>
            </w:r>
          </w:p>
        </w:tc>
        <w:tc>
          <w:tcPr>
            <w:tcW w:w="2612" w:type="pct"/>
            <w:vAlign w:val="center"/>
            <w:hideMark/>
          </w:tcPr>
          <w:p w14:paraId="5C59C28E"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C590E" w14:paraId="4014B86B" w14:textId="77777777" w:rsidTr="009137A8">
        <w:trPr>
          <w:cantSplit/>
        </w:trPr>
        <w:tc>
          <w:tcPr>
            <w:tcW w:w="2388" w:type="pct"/>
            <w:vAlign w:val="center"/>
            <w:hideMark/>
          </w:tcPr>
          <w:p w14:paraId="0F6C701F"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rPr>
              <w:t>Adresse postale :</w:t>
            </w:r>
          </w:p>
        </w:tc>
        <w:tc>
          <w:tcPr>
            <w:tcW w:w="2612" w:type="pct"/>
            <w:vAlign w:val="center"/>
            <w:hideMark/>
          </w:tcPr>
          <w:p w14:paraId="4E161447"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C590E" w14:paraId="68B70AF9" w14:textId="77777777" w:rsidTr="009137A8">
        <w:trPr>
          <w:cantSplit/>
        </w:trPr>
        <w:tc>
          <w:tcPr>
            <w:tcW w:w="2388" w:type="pct"/>
            <w:vAlign w:val="center"/>
            <w:hideMark/>
          </w:tcPr>
          <w:p w14:paraId="75F3A56D"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lang w:bidi="fr-FR"/>
              </w:rPr>
              <w:t>N° de téléphone </w:t>
            </w:r>
            <w:r w:rsidRPr="006C590E">
              <w:rPr>
                <w:kern w:val="22"/>
                <w:sz w:val="20"/>
                <w:szCs w:val="20"/>
              </w:rPr>
              <w:t>:</w:t>
            </w:r>
          </w:p>
        </w:tc>
        <w:tc>
          <w:tcPr>
            <w:tcW w:w="2612" w:type="pct"/>
            <w:vAlign w:val="center"/>
            <w:hideMark/>
          </w:tcPr>
          <w:p w14:paraId="1F1E4E85"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C590E" w14:paraId="5FF7DE79" w14:textId="77777777" w:rsidTr="009137A8">
        <w:trPr>
          <w:cantSplit/>
        </w:trPr>
        <w:tc>
          <w:tcPr>
            <w:tcW w:w="2388" w:type="pct"/>
            <w:vAlign w:val="center"/>
            <w:hideMark/>
          </w:tcPr>
          <w:p w14:paraId="512CD74F"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lang w:bidi="fr-FR"/>
              </w:rPr>
              <w:t>N° de télécopieur </w:t>
            </w:r>
            <w:r w:rsidRPr="006C590E">
              <w:rPr>
                <w:kern w:val="22"/>
                <w:sz w:val="20"/>
                <w:szCs w:val="20"/>
              </w:rPr>
              <w:t xml:space="preserve">: </w:t>
            </w:r>
          </w:p>
        </w:tc>
        <w:tc>
          <w:tcPr>
            <w:tcW w:w="2612" w:type="pct"/>
            <w:vAlign w:val="center"/>
            <w:hideMark/>
          </w:tcPr>
          <w:p w14:paraId="404CDE45"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C590E" w14:paraId="243D529D" w14:textId="77777777" w:rsidTr="009137A8">
        <w:trPr>
          <w:cantSplit/>
        </w:trPr>
        <w:tc>
          <w:tcPr>
            <w:tcW w:w="2388" w:type="pct"/>
            <w:vAlign w:val="center"/>
            <w:hideMark/>
          </w:tcPr>
          <w:p w14:paraId="431EA6E4"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rPr>
              <w:t>Courriel :</w:t>
            </w:r>
          </w:p>
        </w:tc>
        <w:tc>
          <w:tcPr>
            <w:tcW w:w="2612" w:type="pct"/>
            <w:vAlign w:val="center"/>
            <w:hideMark/>
          </w:tcPr>
          <w:p w14:paraId="09F557FE"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C590E" w14:paraId="7F5B5480" w14:textId="77777777" w:rsidTr="009137A8">
        <w:trPr>
          <w:cantSplit/>
        </w:trPr>
        <w:tc>
          <w:tcPr>
            <w:tcW w:w="2388" w:type="pct"/>
            <w:vAlign w:val="center"/>
            <w:hideMark/>
          </w:tcPr>
          <w:p w14:paraId="5F97125F"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 w:val="20"/>
                <w:szCs w:val="20"/>
              </w:rPr>
            </w:pPr>
            <w:r w:rsidRPr="006C590E">
              <w:rPr>
                <w:kern w:val="22"/>
                <w:sz w:val="20"/>
                <w:szCs w:val="20"/>
                <w:lang w:bidi="fr-FR"/>
              </w:rPr>
              <w:t>Organisations / parties prenantes qui ont été consultées ou ont participé à la préparation de ce rapport </w:t>
            </w:r>
            <w:r w:rsidRPr="006C590E">
              <w:rPr>
                <w:kern w:val="22"/>
                <w:sz w:val="20"/>
                <w:szCs w:val="20"/>
              </w:rPr>
              <w:t>:</w:t>
            </w:r>
          </w:p>
        </w:tc>
        <w:tc>
          <w:tcPr>
            <w:tcW w:w="2612" w:type="pct"/>
            <w:vAlign w:val="center"/>
            <w:hideMark/>
          </w:tcPr>
          <w:p w14:paraId="41A8AF56"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6C590E">
              <w:rPr>
                <w:rFonts w:eastAsia="Arial Unicode MS"/>
                <w:b/>
                <w:bCs/>
                <w:iCs/>
                <w:kern w:val="22"/>
                <w:sz w:val="20"/>
                <w:szCs w:val="20"/>
              </w:rPr>
              <w:fldChar w:fldCharType="begin">
                <w:ffData>
                  <w:name w:val=""/>
                  <w:enabled/>
                  <w:calcOnExit w:val="0"/>
                  <w:textInput>
                    <w:default w:val="[                   Type your text here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Saisissez votre texte ici                   ]</w:t>
            </w:r>
            <w:r w:rsidRPr="006C590E">
              <w:rPr>
                <w:rFonts w:eastAsia="Arial Unicode MS"/>
                <w:b/>
                <w:bCs/>
                <w:iCs/>
                <w:kern w:val="22"/>
                <w:sz w:val="20"/>
                <w:szCs w:val="20"/>
              </w:rPr>
              <w:fldChar w:fldCharType="end"/>
            </w:r>
          </w:p>
        </w:tc>
      </w:tr>
      <w:tr w:rsidR="00952749" w:rsidRPr="006C590E" w14:paraId="696E8FEB" w14:textId="77777777" w:rsidTr="009137A8">
        <w:trPr>
          <w:cantSplit/>
        </w:trPr>
        <w:tc>
          <w:tcPr>
            <w:tcW w:w="2388" w:type="pct"/>
            <w:vAlign w:val="center"/>
            <w:hideMark/>
          </w:tcPr>
          <w:p w14:paraId="6DC59FAB" w14:textId="77777777" w:rsidR="00952749" w:rsidRPr="006C590E" w:rsidRDefault="00952749" w:rsidP="009137A8">
            <w:pPr>
              <w:suppressLineNumbers/>
              <w:shd w:val="clear" w:color="auto" w:fill="FFFFFF" w:themeFill="background1"/>
              <w:tabs>
                <w:tab w:val="num" w:pos="450"/>
              </w:tabs>
              <w:suppressAutoHyphens/>
              <w:kinsoku w:val="0"/>
              <w:overflowPunct w:val="0"/>
              <w:autoSpaceDE w:val="0"/>
              <w:autoSpaceDN w:val="0"/>
              <w:adjustRightInd w:val="0"/>
              <w:snapToGrid w:val="0"/>
              <w:spacing w:before="120" w:after="120"/>
              <w:ind w:left="450" w:hanging="450"/>
              <w:jc w:val="left"/>
              <w:rPr>
                <w:i/>
                <w:kern w:val="22"/>
                <w:sz w:val="20"/>
                <w:szCs w:val="20"/>
              </w:rPr>
            </w:pPr>
            <w:r>
              <w:rPr>
                <w:i/>
                <w:kern w:val="22"/>
                <w:sz w:val="20"/>
                <w:szCs w:val="20"/>
              </w:rPr>
              <w:t>Transmission du rapport</w:t>
            </w:r>
          </w:p>
        </w:tc>
        <w:tc>
          <w:tcPr>
            <w:tcW w:w="2612" w:type="pct"/>
            <w:vAlign w:val="center"/>
          </w:tcPr>
          <w:p w14:paraId="518B55FC"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952749" w:rsidRPr="006C590E" w14:paraId="0B6D5AFC" w14:textId="77777777" w:rsidTr="009137A8">
        <w:trPr>
          <w:cantSplit/>
        </w:trPr>
        <w:tc>
          <w:tcPr>
            <w:tcW w:w="2388" w:type="pct"/>
            <w:vAlign w:val="center"/>
            <w:hideMark/>
          </w:tcPr>
          <w:p w14:paraId="51940F60"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Pr>
                <w:kern w:val="22"/>
                <w:sz w:val="20"/>
                <w:szCs w:val="20"/>
                <w:lang w:bidi="fr-FR"/>
              </w:rPr>
              <w:t>Date de remise</w:t>
            </w:r>
            <w:r w:rsidRPr="006C590E">
              <w:rPr>
                <w:kern w:val="22"/>
                <w:sz w:val="20"/>
                <w:szCs w:val="20"/>
                <w:lang w:bidi="fr-FR"/>
              </w:rPr>
              <w:t> </w:t>
            </w:r>
            <w:r w:rsidRPr="006C590E">
              <w:rPr>
                <w:kern w:val="22"/>
                <w:sz w:val="20"/>
                <w:szCs w:val="20"/>
              </w:rPr>
              <w:t>:</w:t>
            </w:r>
          </w:p>
        </w:tc>
        <w:tc>
          <w:tcPr>
            <w:tcW w:w="2612" w:type="pct"/>
            <w:vAlign w:val="center"/>
            <w:hideMark/>
          </w:tcPr>
          <w:p w14:paraId="381EAA05"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6C590E">
              <w:rPr>
                <w:rFonts w:eastAsia="Arial Unicode MS"/>
                <w:b/>
                <w:bCs/>
                <w:iCs/>
                <w:kern w:val="22"/>
                <w:sz w:val="20"/>
                <w:szCs w:val="20"/>
              </w:rPr>
              <w:fldChar w:fldCharType="begin">
                <w:ffData>
                  <w:name w:val=""/>
                  <w:enabled/>
                  <w:calcOnExit w:val="0"/>
                  <w:textInput>
                    <w:default w:val="[                  day / month / year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jour / mois / année                  ]</w:t>
            </w:r>
            <w:r w:rsidRPr="006C590E">
              <w:rPr>
                <w:rFonts w:eastAsia="Arial Unicode MS"/>
                <w:b/>
                <w:bCs/>
                <w:iCs/>
                <w:kern w:val="22"/>
                <w:sz w:val="20"/>
                <w:szCs w:val="20"/>
              </w:rPr>
              <w:fldChar w:fldCharType="end"/>
            </w:r>
          </w:p>
        </w:tc>
      </w:tr>
      <w:tr w:rsidR="00952749" w:rsidRPr="00617C2F" w14:paraId="4CB4740E" w14:textId="77777777" w:rsidTr="009137A8">
        <w:trPr>
          <w:cantSplit/>
        </w:trPr>
        <w:tc>
          <w:tcPr>
            <w:tcW w:w="2388" w:type="pct"/>
            <w:vAlign w:val="center"/>
            <w:hideMark/>
          </w:tcPr>
          <w:p w14:paraId="7D482EDD" w14:textId="77777777" w:rsidR="00952749" w:rsidRPr="006C590E" w:rsidRDefault="00952749" w:rsidP="004C7DBD">
            <w:pPr>
              <w:numPr>
                <w:ilvl w:val="0"/>
                <w:numId w:val="31"/>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6C590E">
              <w:rPr>
                <w:kern w:val="22"/>
                <w:sz w:val="20"/>
                <w:szCs w:val="20"/>
                <w:lang w:bidi="fr-FR"/>
              </w:rPr>
              <w:t>Période visée par le rapport </w:t>
            </w:r>
            <w:r w:rsidRPr="006C590E">
              <w:rPr>
                <w:kern w:val="22"/>
                <w:sz w:val="20"/>
                <w:szCs w:val="20"/>
              </w:rPr>
              <w:t>:</w:t>
            </w:r>
          </w:p>
        </w:tc>
        <w:tc>
          <w:tcPr>
            <w:tcW w:w="2612" w:type="pct"/>
            <w:vAlign w:val="center"/>
            <w:hideMark/>
          </w:tcPr>
          <w:p w14:paraId="553AD2C3"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6C590E">
              <w:rPr>
                <w:rFonts w:eastAsia="Arial Unicode MS"/>
                <w:b/>
                <w:bCs/>
                <w:iCs/>
                <w:kern w:val="22"/>
                <w:sz w:val="20"/>
                <w:szCs w:val="20"/>
              </w:rPr>
              <w:t xml:space="preserve">De </w:t>
            </w:r>
            <w:r w:rsidRPr="006C590E">
              <w:rPr>
                <w:rFonts w:eastAsia="Arial Unicode MS"/>
                <w:b/>
                <w:bCs/>
                <w:iCs/>
                <w:kern w:val="22"/>
                <w:sz w:val="20"/>
                <w:szCs w:val="20"/>
              </w:rPr>
              <w:fldChar w:fldCharType="begin">
                <w:ffData>
                  <w:name w:val=""/>
                  <w:enabled/>
                  <w:calcOnExit w:val="0"/>
                  <w:textInput>
                    <w:default w:val="[month / year] "/>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 xml:space="preserve">[mois / année] </w:t>
            </w:r>
            <w:r w:rsidRPr="006C590E">
              <w:rPr>
                <w:rFonts w:eastAsia="Arial Unicode MS"/>
                <w:b/>
                <w:bCs/>
                <w:iCs/>
                <w:kern w:val="22"/>
                <w:sz w:val="20"/>
                <w:szCs w:val="20"/>
              </w:rPr>
              <w:fldChar w:fldCharType="end"/>
            </w:r>
            <w:r w:rsidRPr="006C590E">
              <w:rPr>
                <w:rFonts w:eastAsia="Arial Unicode MS"/>
                <w:b/>
                <w:bCs/>
                <w:iCs/>
                <w:kern w:val="22"/>
                <w:sz w:val="20"/>
                <w:szCs w:val="20"/>
              </w:rPr>
              <w:t xml:space="preserve"> à </w:t>
            </w:r>
            <w:r w:rsidRPr="006C590E">
              <w:rPr>
                <w:rFonts w:eastAsia="Arial Unicode MS"/>
                <w:b/>
                <w:bCs/>
                <w:iCs/>
                <w:kern w:val="22"/>
                <w:sz w:val="20"/>
                <w:szCs w:val="20"/>
              </w:rPr>
              <w:fldChar w:fldCharType="begin">
                <w:ffData>
                  <w:name w:val=""/>
                  <w:enabled/>
                  <w:calcOnExit w:val="0"/>
                  <w:textInput>
                    <w:default w:val="[month / year]"/>
                  </w:textInput>
                </w:ffData>
              </w:fldChar>
            </w:r>
            <w:r w:rsidRPr="006C590E">
              <w:rPr>
                <w:rFonts w:eastAsia="Arial Unicode MS"/>
                <w:b/>
                <w:bCs/>
                <w:iCs/>
                <w:kern w:val="22"/>
                <w:sz w:val="20"/>
                <w:szCs w:val="20"/>
              </w:rPr>
              <w:instrText xml:space="preserve"> FORMTEXT </w:instrText>
            </w:r>
            <w:r w:rsidRPr="006C590E">
              <w:rPr>
                <w:rFonts w:eastAsia="Arial Unicode MS"/>
                <w:b/>
                <w:bCs/>
                <w:iCs/>
                <w:kern w:val="22"/>
                <w:sz w:val="20"/>
                <w:szCs w:val="20"/>
              </w:rPr>
            </w:r>
            <w:r w:rsidRPr="006C590E">
              <w:rPr>
                <w:rFonts w:eastAsia="Arial Unicode MS"/>
                <w:b/>
                <w:bCs/>
                <w:iCs/>
                <w:kern w:val="22"/>
                <w:sz w:val="20"/>
                <w:szCs w:val="20"/>
              </w:rPr>
              <w:fldChar w:fldCharType="separate"/>
            </w:r>
            <w:r w:rsidRPr="006C590E">
              <w:rPr>
                <w:rFonts w:eastAsia="Arial Unicode MS"/>
                <w:b/>
                <w:bCs/>
                <w:iCs/>
                <w:noProof/>
                <w:kern w:val="22"/>
                <w:sz w:val="20"/>
                <w:szCs w:val="20"/>
              </w:rPr>
              <w:t>[mois / année]</w:t>
            </w:r>
            <w:r w:rsidRPr="006C590E">
              <w:rPr>
                <w:rFonts w:eastAsia="Arial Unicode MS"/>
                <w:b/>
                <w:bCs/>
                <w:iCs/>
                <w:kern w:val="22"/>
                <w:sz w:val="20"/>
                <w:szCs w:val="20"/>
              </w:rPr>
              <w:fldChar w:fldCharType="end"/>
            </w:r>
          </w:p>
        </w:tc>
      </w:tr>
    </w:tbl>
    <w:p w14:paraId="41D52889" w14:textId="77777777" w:rsidR="00952749" w:rsidRPr="006C590E" w:rsidRDefault="00952749" w:rsidP="00952749">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p>
    <w:p w14:paraId="2980D561" w14:textId="77777777" w:rsidR="00952749" w:rsidRPr="006C590E" w:rsidRDefault="00952749" w:rsidP="00952749">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r w:rsidRPr="006C590E">
        <w:rPr>
          <w:rFonts w:eastAsia="Arial Unicode MS"/>
          <w:kern w:val="22"/>
          <w:sz w:val="20"/>
          <w:szCs w:val="20"/>
          <w:lang w:bidi="fr-FR"/>
        </w:rPr>
        <w:t>Signatu</w:t>
      </w:r>
      <w:r>
        <w:rPr>
          <w:rFonts w:eastAsia="Arial Unicode MS"/>
          <w:kern w:val="22"/>
          <w:sz w:val="20"/>
          <w:szCs w:val="20"/>
          <w:lang w:bidi="fr-FR"/>
        </w:rPr>
        <w:t>re de la personne ayant remis le</w:t>
      </w:r>
      <w:r w:rsidRPr="006C590E">
        <w:rPr>
          <w:rFonts w:eastAsia="Arial Unicode MS"/>
          <w:kern w:val="22"/>
          <w:sz w:val="20"/>
          <w:szCs w:val="20"/>
          <w:lang w:bidi="fr-FR"/>
        </w:rPr>
        <w:t xml:space="preserve"> rapport</w:t>
      </w:r>
      <w:r w:rsidRPr="006C590E">
        <w:rPr>
          <w:rFonts w:eastAsia="Arial Unicode MS"/>
          <w:kern w:val="22"/>
          <w:sz w:val="20"/>
          <w:szCs w:val="20"/>
          <w:vertAlign w:val="superscript"/>
          <w:lang w:bidi="fr-FR"/>
        </w:rPr>
        <w:footnoteReference w:id="13"/>
      </w:r>
      <w:r w:rsidRPr="006C590E">
        <w:rPr>
          <w:rFonts w:eastAsia="Arial Unicode MS"/>
          <w:bCs/>
          <w:iCs/>
          <w:kern w:val="22"/>
          <w:sz w:val="20"/>
          <w:szCs w:val="20"/>
        </w:rPr>
        <w:tab/>
      </w:r>
      <w:r w:rsidRPr="006C590E">
        <w:rPr>
          <w:rFonts w:eastAsia="Arial Unicode MS"/>
          <w:bCs/>
          <w:iCs/>
          <w:kern w:val="22"/>
          <w:sz w:val="20"/>
          <w:szCs w:val="20"/>
        </w:rPr>
        <w:tab/>
        <w:t xml:space="preserve">     _____________________________________</w:t>
      </w:r>
    </w:p>
    <w:p w14:paraId="4E86BA43" w14:textId="77777777" w:rsidR="00952749" w:rsidRPr="006C590E" w:rsidRDefault="00952749" w:rsidP="00952749">
      <w:pPr>
        <w:shd w:val="clear" w:color="auto" w:fill="FFFFFF" w:themeFill="background1"/>
        <w:rPr>
          <w:rFonts w:eastAsia="Arial Unicode MS"/>
          <w:kern w:val="22"/>
          <w:sz w:val="20"/>
          <w:szCs w:val="20"/>
        </w:rPr>
      </w:pPr>
    </w:p>
    <w:p w14:paraId="21A475E2" w14:textId="77777777" w:rsidR="00952749" w:rsidRPr="006C590E" w:rsidRDefault="00952749" w:rsidP="00952749">
      <w:pPr>
        <w:shd w:val="clear" w:color="auto" w:fill="FFFFFF" w:themeFill="background1"/>
        <w:rPr>
          <w:kern w:val="22"/>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7"/>
        <w:gridCol w:w="16"/>
        <w:gridCol w:w="37"/>
        <w:gridCol w:w="38"/>
        <w:gridCol w:w="4362"/>
        <w:gridCol w:w="50"/>
        <w:gridCol w:w="74"/>
      </w:tblGrid>
      <w:tr w:rsidR="00952749" w:rsidRPr="006C590E" w14:paraId="5561EEC7" w14:textId="77777777" w:rsidTr="009137A8">
        <w:trPr>
          <w:gridAfter w:val="1"/>
          <w:wAfter w:w="75" w:type="dxa"/>
          <w:cantSplit/>
          <w:trHeight w:val="1303"/>
        </w:trPr>
        <w:tc>
          <w:tcPr>
            <w:tcW w:w="5008" w:type="dxa"/>
            <w:gridSpan w:val="3"/>
            <w:shd w:val="clear" w:color="auto" w:fill="auto"/>
            <w:vAlign w:val="center"/>
            <w:hideMark/>
          </w:tcPr>
          <w:p w14:paraId="3D4B14E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i/>
                <w:kern w:val="22"/>
                <w:sz w:val="20"/>
                <w:szCs w:val="20"/>
              </w:rPr>
            </w:pPr>
            <w:r w:rsidRPr="006C590E">
              <w:rPr>
                <w:rFonts w:eastAsia="Arial Unicode MS"/>
                <w:b/>
                <w:kern w:val="22"/>
                <w:sz w:val="20"/>
                <w:szCs w:val="20"/>
                <w:lang w:bidi="fr-FR"/>
              </w:rPr>
              <w:lastRenderedPageBreak/>
              <w:br w:type="page"/>
            </w:r>
            <w:r w:rsidRPr="006C590E">
              <w:rPr>
                <w:kern w:val="22"/>
                <w:sz w:val="20"/>
                <w:szCs w:val="20"/>
                <w:lang w:bidi="fr-FR"/>
              </w:rPr>
              <w:t>Si votre pays n'est pas Partie au Protocole de Cartagena sur la prévention des risques biotechnologiques, dispose-t-il d’un processus national en vue de le devenir ?</w:t>
            </w:r>
          </w:p>
        </w:tc>
        <w:tc>
          <w:tcPr>
            <w:tcW w:w="4519" w:type="dxa"/>
            <w:gridSpan w:val="3"/>
            <w:shd w:val="clear" w:color="auto" w:fill="auto"/>
            <w:vAlign w:val="center"/>
            <w:hideMark/>
          </w:tcPr>
          <w:p w14:paraId="046DA56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D7039A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13EDC761" w14:textId="77777777" w:rsidTr="009137A8">
        <w:trPr>
          <w:gridAfter w:val="1"/>
          <w:wAfter w:w="75" w:type="dxa"/>
          <w:cantSplit/>
        </w:trPr>
        <w:tc>
          <w:tcPr>
            <w:tcW w:w="9527" w:type="dxa"/>
            <w:gridSpan w:val="6"/>
            <w:tcBorders>
              <w:right w:val="single" w:sz="4" w:space="0" w:color="auto"/>
            </w:tcBorders>
            <w:shd w:val="clear" w:color="auto" w:fill="auto"/>
            <w:vAlign w:val="center"/>
            <w:hideMark/>
          </w:tcPr>
          <w:p w14:paraId="29121A0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67" w:right="490" w:hanging="567"/>
              <w:rPr>
                <w:kern w:val="22"/>
                <w:sz w:val="20"/>
                <w:szCs w:val="20"/>
              </w:rPr>
            </w:pPr>
            <w:r w:rsidRPr="006C590E">
              <w:rPr>
                <w:kern w:val="22"/>
                <w:sz w:val="20"/>
                <w:szCs w:val="20"/>
                <w:lang w:bidi="fr-FR"/>
              </w:rPr>
              <w:t xml:space="preserve">Vous pouvez fournir de plus amples renseignements dans la case suivante : </w:t>
            </w:r>
          </w:p>
          <w:p w14:paraId="367DD1F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ight="2"/>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7E2E4C95" w14:textId="77777777" w:rsidTr="009137A8">
        <w:trPr>
          <w:gridAfter w:val="1"/>
          <w:wAfter w:w="75" w:type="dxa"/>
          <w:cantSplit/>
        </w:trPr>
        <w:tc>
          <w:tcPr>
            <w:tcW w:w="9527" w:type="dxa"/>
            <w:gridSpan w:val="6"/>
            <w:tcBorders>
              <w:right w:val="single" w:sz="4" w:space="0" w:color="auto"/>
            </w:tcBorders>
            <w:vAlign w:val="center"/>
            <w:hideMark/>
          </w:tcPr>
          <w:p w14:paraId="2406A05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t>Article 2 – Dispositions générales</w:t>
            </w:r>
          </w:p>
          <w:p w14:paraId="2D42FE9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i/>
                <w:kern w:val="22"/>
                <w:sz w:val="20"/>
                <w:szCs w:val="20"/>
              </w:rPr>
            </w:pPr>
            <w:r w:rsidRPr="006C590E">
              <w:rPr>
                <w:i/>
                <w:kern w:val="22"/>
                <w:sz w:val="20"/>
                <w:szCs w:val="20"/>
                <w:lang w:bidi="fr-FR"/>
              </w:rPr>
              <w:t xml:space="preserve">L'article 2 exige que chaque Partie prenne les mesures juridiques, administratives et autres </w:t>
            </w:r>
            <w:r>
              <w:rPr>
                <w:i/>
                <w:kern w:val="22"/>
                <w:sz w:val="20"/>
                <w:szCs w:val="20"/>
                <w:lang w:bidi="fr-FR"/>
              </w:rPr>
              <w:t xml:space="preserve">mesures </w:t>
            </w:r>
            <w:r w:rsidRPr="006C590E">
              <w:rPr>
                <w:i/>
                <w:kern w:val="22"/>
                <w:sz w:val="20"/>
                <w:szCs w:val="20"/>
                <w:lang w:bidi="fr-FR"/>
              </w:rPr>
              <w:t>nécessaires et appropriées pour s'acquitter de ses ob</w:t>
            </w:r>
            <w:r>
              <w:rPr>
                <w:i/>
                <w:kern w:val="22"/>
                <w:sz w:val="20"/>
                <w:szCs w:val="20"/>
                <w:lang w:bidi="fr-FR"/>
              </w:rPr>
              <w:t>ligations au titre du Protocole</w:t>
            </w:r>
          </w:p>
        </w:tc>
      </w:tr>
      <w:tr w:rsidR="00952749" w:rsidRPr="00617C2F" w14:paraId="60E60C2A" w14:textId="77777777" w:rsidTr="009137A8">
        <w:trPr>
          <w:gridAfter w:val="1"/>
          <w:wAfter w:w="75" w:type="dxa"/>
          <w:cantSplit/>
        </w:trPr>
        <w:tc>
          <w:tcPr>
            <w:tcW w:w="5008" w:type="dxa"/>
            <w:gridSpan w:val="3"/>
            <w:vAlign w:val="center"/>
            <w:hideMark/>
          </w:tcPr>
          <w:p w14:paraId="513CECE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Votre pays a-t-il adopté les mesures nationales nécessaires à l’application du Protocole ? </w:t>
            </w:r>
          </w:p>
        </w:tc>
        <w:tc>
          <w:tcPr>
            <w:tcW w:w="4519" w:type="dxa"/>
            <w:gridSpan w:val="3"/>
            <w:tcBorders>
              <w:right w:val="single" w:sz="4" w:space="0" w:color="auto"/>
            </w:tcBorders>
            <w:vAlign w:val="center"/>
            <w:hideMark/>
          </w:tcPr>
          <w:p w14:paraId="2958849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Les mesures nationales sont pleinement en place</w:t>
            </w:r>
          </w:p>
          <w:p w14:paraId="43E2D98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Les mesures nationales sont partiellement en place</w:t>
            </w:r>
          </w:p>
          <w:p w14:paraId="70BF55D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Seules des mesures temporaires ont été adoptées</w:t>
            </w:r>
          </w:p>
          <w:p w14:paraId="774C545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Il n’existe que des projets de mesures</w:t>
            </w:r>
          </w:p>
          <w:p w14:paraId="464BB18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Aucune mesure n'a encore été prise</w:t>
            </w:r>
          </w:p>
        </w:tc>
      </w:tr>
      <w:tr w:rsidR="00952749" w:rsidRPr="00617C2F" w14:paraId="105A5DC0" w14:textId="77777777" w:rsidTr="009137A8">
        <w:trPr>
          <w:gridAfter w:val="1"/>
          <w:wAfter w:w="75" w:type="dxa"/>
          <w:cantSplit/>
        </w:trPr>
        <w:tc>
          <w:tcPr>
            <w:tcW w:w="5008" w:type="dxa"/>
            <w:gridSpan w:val="3"/>
            <w:shd w:val="clear" w:color="auto" w:fill="auto"/>
            <w:vAlign w:val="center"/>
            <w:hideMark/>
          </w:tcPr>
          <w:p w14:paraId="746D80B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Quels instruments spécifiques sont en place pour l’applica</w:t>
            </w:r>
            <w:r>
              <w:rPr>
                <w:kern w:val="22"/>
                <w:sz w:val="20"/>
                <w:szCs w:val="20"/>
                <w:lang w:bidi="fr-FR"/>
              </w:rPr>
              <w:t>tion des mesures nationales sur</w:t>
            </w:r>
            <w:r w:rsidRPr="006C590E">
              <w:rPr>
                <w:kern w:val="22"/>
                <w:sz w:val="20"/>
                <w:szCs w:val="20"/>
                <w:lang w:bidi="fr-FR"/>
              </w:rPr>
              <w:t xml:space="preserve"> la prévention des risques biotechnologiques ? </w:t>
            </w:r>
          </w:p>
          <w:p w14:paraId="27F00E6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right="490"/>
              <w:rPr>
                <w:kern w:val="22"/>
                <w:sz w:val="20"/>
                <w:szCs w:val="20"/>
              </w:rPr>
            </w:pPr>
          </w:p>
        </w:tc>
        <w:tc>
          <w:tcPr>
            <w:tcW w:w="4519" w:type="dxa"/>
            <w:gridSpan w:val="3"/>
            <w:tcBorders>
              <w:right w:val="single" w:sz="4" w:space="0" w:color="auto"/>
            </w:tcBorders>
            <w:shd w:val="clear" w:color="auto" w:fill="auto"/>
            <w:vAlign w:val="center"/>
            <w:hideMark/>
          </w:tcPr>
          <w:p w14:paraId="3F654D20" w14:textId="7247D815"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Un</w:t>
            </w:r>
            <w:r w:rsidR="00FC7941">
              <w:rPr>
                <w:kern w:val="22"/>
                <w:sz w:val="20"/>
                <w:szCs w:val="20"/>
                <w:lang w:bidi="fr-FR"/>
              </w:rPr>
              <w:t>e</w:t>
            </w:r>
            <w:bookmarkStart w:id="11" w:name="_GoBack"/>
            <w:bookmarkEnd w:id="11"/>
            <w:r w:rsidRPr="006C590E">
              <w:rPr>
                <w:kern w:val="22"/>
                <w:sz w:val="20"/>
                <w:szCs w:val="20"/>
                <w:lang w:bidi="fr-FR"/>
              </w:rPr>
              <w:t xml:space="preserve"> </w:t>
            </w:r>
            <w:r>
              <w:rPr>
                <w:kern w:val="22"/>
                <w:sz w:val="20"/>
                <w:szCs w:val="20"/>
                <w:lang w:bidi="fr-FR"/>
              </w:rPr>
              <w:t>ou plusieurs lois nationales su</w:t>
            </w:r>
            <w:r w:rsidRPr="006C590E">
              <w:rPr>
                <w:kern w:val="22"/>
                <w:sz w:val="20"/>
                <w:szCs w:val="20"/>
                <w:lang w:bidi="fr-FR"/>
              </w:rPr>
              <w:t>r la prévention des risques biotechnologiques</w:t>
            </w:r>
          </w:p>
          <w:p w14:paraId="2C4C97F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Une ou plusieurs réglementations nationales</w:t>
            </w:r>
          </w:p>
          <w:p w14:paraId="116DF82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Une ou</w:t>
            </w:r>
            <w:r>
              <w:rPr>
                <w:kern w:val="22"/>
                <w:sz w:val="20"/>
                <w:szCs w:val="20"/>
                <w:lang w:bidi="fr-FR"/>
              </w:rPr>
              <w:t xml:space="preserve"> plusieurs lignes directrices s</w:t>
            </w:r>
            <w:r w:rsidRPr="006C590E">
              <w:rPr>
                <w:kern w:val="22"/>
                <w:sz w:val="20"/>
                <w:szCs w:val="20"/>
                <w:lang w:bidi="fr-FR"/>
              </w:rPr>
              <w:t>ur la prévention des risques biotechnologiques</w:t>
            </w:r>
          </w:p>
          <w:p w14:paraId="42D5D6D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bCs/>
                <w:iCs/>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D'autres lois, réglementations ou lignes directrices qui s'appliquent indirectement à la prévention des risques biotechnologiques</w:t>
            </w:r>
          </w:p>
          <w:p w14:paraId="209F0A4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Aucun instrument n’est en place</w:t>
            </w:r>
          </w:p>
        </w:tc>
      </w:tr>
      <w:tr w:rsidR="00952749" w:rsidRPr="00617C2F" w14:paraId="21D5B334" w14:textId="77777777" w:rsidTr="009137A8">
        <w:trPr>
          <w:gridAfter w:val="1"/>
          <w:wAfter w:w="75" w:type="dxa"/>
          <w:cantSplit/>
        </w:trPr>
        <w:tc>
          <w:tcPr>
            <w:tcW w:w="5008" w:type="dxa"/>
            <w:gridSpan w:val="3"/>
            <w:shd w:val="clear" w:color="auto" w:fill="auto"/>
            <w:vAlign w:val="center"/>
          </w:tcPr>
          <w:p w14:paraId="75CB504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pris des initiatives pour intégrer la prévention des risques biotechnologiques dans les stratégies et plans d'action nationaux, ou dans d’autres politiques et législations ?</w:t>
            </w:r>
          </w:p>
        </w:tc>
        <w:tc>
          <w:tcPr>
            <w:tcW w:w="4519" w:type="dxa"/>
            <w:gridSpan w:val="3"/>
            <w:tcBorders>
              <w:right w:val="single" w:sz="4" w:space="0" w:color="auto"/>
            </w:tcBorders>
            <w:shd w:val="clear" w:color="auto" w:fill="auto"/>
            <w:vAlign w:val="center"/>
          </w:tcPr>
          <w:p w14:paraId="13D4E46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694C220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p w14:paraId="28C17C9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Autre : </w:t>
            </w:r>
            <w:r w:rsidRPr="006C590E">
              <w:rPr>
                <w:kern w:val="22"/>
                <w:sz w:val="20"/>
                <w:szCs w:val="20"/>
                <w:highlight w:val="lightGray"/>
                <w:lang w:bidi="fr-FR"/>
              </w:rPr>
              <w:t>[Veuillez préciser]</w:t>
            </w:r>
          </w:p>
        </w:tc>
      </w:tr>
      <w:tr w:rsidR="00952749" w:rsidRPr="00617C2F" w14:paraId="3B379E38" w14:textId="77777777" w:rsidTr="009137A8">
        <w:trPr>
          <w:gridAfter w:val="1"/>
          <w:wAfter w:w="75" w:type="dxa"/>
          <w:cantSplit/>
        </w:trPr>
        <w:tc>
          <w:tcPr>
            <w:tcW w:w="5008" w:type="dxa"/>
            <w:gridSpan w:val="3"/>
            <w:shd w:val="clear" w:color="auto" w:fill="auto"/>
            <w:vAlign w:val="center"/>
          </w:tcPr>
          <w:p w14:paraId="1E489F8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Pr>
                <w:kern w:val="22"/>
                <w:sz w:val="20"/>
                <w:szCs w:val="20"/>
                <w:lang w:bidi="fr-FR"/>
              </w:rPr>
              <w:t>Votre pays-a-t-il créé</w:t>
            </w:r>
            <w:r w:rsidRPr="006C590E">
              <w:rPr>
                <w:kern w:val="22"/>
                <w:sz w:val="20"/>
                <w:szCs w:val="20"/>
                <w:lang w:bidi="fr-FR"/>
              </w:rPr>
              <w:t xml:space="preserve"> un mécanisme pour l’affectation des fonds budgétaires au fonctionnement de ses mesures adoptées pour la prévention des risques biotechnologiques ?</w:t>
            </w:r>
          </w:p>
        </w:tc>
        <w:tc>
          <w:tcPr>
            <w:tcW w:w="4519" w:type="dxa"/>
            <w:gridSpan w:val="3"/>
            <w:tcBorders>
              <w:right w:val="single" w:sz="4" w:space="0" w:color="auto"/>
            </w:tcBorders>
            <w:shd w:val="clear" w:color="auto" w:fill="auto"/>
            <w:vAlign w:val="center"/>
          </w:tcPr>
          <w:p w14:paraId="631C6BA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545C058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p w14:paraId="694C9D3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Autre : </w:t>
            </w:r>
            <w:r w:rsidRPr="006C590E">
              <w:rPr>
                <w:kern w:val="22"/>
                <w:sz w:val="20"/>
                <w:szCs w:val="20"/>
                <w:highlight w:val="lightGray"/>
                <w:lang w:bidi="fr-FR"/>
              </w:rPr>
              <w:t>[Veuillez préciser]</w:t>
            </w:r>
          </w:p>
        </w:tc>
      </w:tr>
      <w:tr w:rsidR="00952749" w:rsidRPr="006C590E" w14:paraId="20813BFC" w14:textId="77777777" w:rsidTr="009137A8">
        <w:trPr>
          <w:gridAfter w:val="1"/>
          <w:wAfter w:w="75" w:type="dxa"/>
          <w:cantSplit/>
        </w:trPr>
        <w:tc>
          <w:tcPr>
            <w:tcW w:w="5008" w:type="dxa"/>
            <w:gridSpan w:val="3"/>
            <w:shd w:val="clear" w:color="auto" w:fill="auto"/>
            <w:vAlign w:val="center"/>
          </w:tcPr>
          <w:p w14:paraId="5FBDAB60"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des employés affectés de façon perm</w:t>
            </w:r>
            <w:r>
              <w:rPr>
                <w:kern w:val="22"/>
                <w:sz w:val="20"/>
                <w:szCs w:val="20"/>
                <w:lang w:bidi="fr-FR"/>
              </w:rPr>
              <w:t>anente à la gestion de fonction</w:t>
            </w:r>
            <w:r w:rsidRPr="006C590E">
              <w:rPr>
                <w:kern w:val="22"/>
                <w:sz w:val="20"/>
                <w:szCs w:val="20"/>
                <w:lang w:bidi="fr-FR"/>
              </w:rPr>
              <w:t>s directement liées à la prévention des risques biotechnologiques ?</w:t>
            </w:r>
          </w:p>
        </w:tc>
        <w:tc>
          <w:tcPr>
            <w:tcW w:w="4519" w:type="dxa"/>
            <w:gridSpan w:val="3"/>
            <w:tcBorders>
              <w:right w:val="single" w:sz="4" w:space="0" w:color="auto"/>
            </w:tcBorders>
            <w:shd w:val="clear" w:color="auto" w:fill="auto"/>
            <w:vAlign w:val="center"/>
          </w:tcPr>
          <w:p w14:paraId="0A64645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4869DE4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102B963C" w14:textId="77777777" w:rsidTr="009137A8">
        <w:trPr>
          <w:gridAfter w:val="1"/>
          <w:wAfter w:w="75" w:type="dxa"/>
          <w:cantSplit/>
        </w:trPr>
        <w:tc>
          <w:tcPr>
            <w:tcW w:w="5008" w:type="dxa"/>
            <w:gridSpan w:val="3"/>
            <w:shd w:val="clear" w:color="auto" w:fill="auto"/>
            <w:vAlign w:val="center"/>
          </w:tcPr>
          <w:p w14:paraId="18E7057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 xml:space="preserve">Si vous avez répondu </w:t>
            </w:r>
            <w:r w:rsidRPr="006C590E">
              <w:rPr>
                <w:i/>
                <w:kern w:val="22"/>
                <w:sz w:val="20"/>
                <w:szCs w:val="20"/>
                <w:lang w:bidi="fr-FR"/>
              </w:rPr>
              <w:t>Oui</w:t>
            </w:r>
            <w:r w:rsidRPr="006C590E">
              <w:rPr>
                <w:kern w:val="22"/>
                <w:sz w:val="20"/>
                <w:szCs w:val="20"/>
                <w:lang w:bidi="fr-FR"/>
              </w:rPr>
              <w:t xml:space="preserve"> à la question 18, combien d’employés permanents sont affectés à des fonctions directement liées à la prévention des risques biotechnologiques ? </w:t>
            </w:r>
          </w:p>
        </w:tc>
        <w:tc>
          <w:tcPr>
            <w:tcW w:w="4519" w:type="dxa"/>
            <w:gridSpan w:val="3"/>
            <w:tcBorders>
              <w:right w:val="single" w:sz="4" w:space="0" w:color="auto"/>
            </w:tcBorders>
            <w:shd w:val="clear" w:color="auto" w:fill="auto"/>
            <w:vAlign w:val="center"/>
          </w:tcPr>
          <w:p w14:paraId="71CA8F88"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1" w:hanging="731"/>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02F14FA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7E89FEF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p w14:paraId="0F06BA73"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C590E" w14:paraId="540C42B8" w14:textId="77777777" w:rsidTr="009137A8">
        <w:trPr>
          <w:gridAfter w:val="1"/>
          <w:wAfter w:w="75" w:type="dxa"/>
          <w:cantSplit/>
        </w:trPr>
        <w:tc>
          <w:tcPr>
            <w:tcW w:w="9527" w:type="dxa"/>
            <w:gridSpan w:val="6"/>
            <w:tcBorders>
              <w:right w:val="single" w:sz="4" w:space="0" w:color="auto"/>
            </w:tcBorders>
            <w:vAlign w:val="center"/>
            <w:hideMark/>
          </w:tcPr>
          <w:p w14:paraId="732F481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kern w:val="22"/>
                <w:sz w:val="20"/>
                <w:szCs w:val="20"/>
              </w:rPr>
            </w:pPr>
            <w:r w:rsidRPr="006C590E">
              <w:rPr>
                <w:kern w:val="22"/>
                <w:sz w:val="20"/>
                <w:szCs w:val="20"/>
                <w:lang w:bidi="fr-FR"/>
              </w:rPr>
              <w:t xml:space="preserve">Vous pouvez fournir ici de plus amples détails sur l’application de l’article 2 dans votre pays : </w:t>
            </w:r>
          </w:p>
          <w:p w14:paraId="77ECD74B" w14:textId="77777777" w:rsidR="00952749" w:rsidRPr="006C590E" w:rsidRDefault="00952749" w:rsidP="009137A8">
            <w:pPr>
              <w:suppressLineNumbers/>
              <w:tabs>
                <w:tab w:val="left" w:pos="9362"/>
              </w:tabs>
              <w:suppressAutoHyphens/>
              <w:kinsoku w:val="0"/>
              <w:overflowPunct w:val="0"/>
              <w:autoSpaceDE w:val="0"/>
              <w:autoSpaceDN w:val="0"/>
              <w:adjustRightInd w:val="0"/>
              <w:snapToGrid w:val="0"/>
              <w:spacing w:before="120" w:after="120"/>
              <w:ind w:left="547"/>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41DED1BF" w14:textId="77777777" w:rsidTr="009137A8">
        <w:trPr>
          <w:gridAfter w:val="1"/>
          <w:wAfter w:w="75" w:type="dxa"/>
          <w:cantSplit/>
        </w:trPr>
        <w:tc>
          <w:tcPr>
            <w:tcW w:w="9527" w:type="dxa"/>
            <w:gridSpan w:val="6"/>
            <w:tcBorders>
              <w:right w:val="single" w:sz="4" w:space="0" w:color="auto"/>
            </w:tcBorders>
            <w:vAlign w:val="center"/>
            <w:hideMark/>
          </w:tcPr>
          <w:p w14:paraId="75686B0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6C590E">
              <w:rPr>
                <w:rFonts w:eastAsia="Arial Unicode MS"/>
                <w:b/>
                <w:kern w:val="22"/>
                <w:sz w:val="20"/>
                <w:szCs w:val="20"/>
                <w:lang w:bidi="fr-FR"/>
              </w:rPr>
              <w:t>Article 5 – Produits pharmaceutiques</w:t>
            </w:r>
          </w:p>
        </w:tc>
      </w:tr>
      <w:tr w:rsidR="00952749" w:rsidRPr="006C590E" w14:paraId="5B88B197" w14:textId="77777777" w:rsidTr="009137A8">
        <w:trPr>
          <w:gridAfter w:val="1"/>
          <w:wAfter w:w="75" w:type="dxa"/>
          <w:cantSplit/>
        </w:trPr>
        <w:tc>
          <w:tcPr>
            <w:tcW w:w="5008" w:type="dxa"/>
            <w:gridSpan w:val="3"/>
            <w:vAlign w:val="center"/>
            <w:hideMark/>
          </w:tcPr>
          <w:p w14:paraId="1C215CF0"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réglemente-t-il les mouvements transfrontières, la manipulation et l’utilisation d’organismes vivants modifiés (OVM) qui sont des produits pharmaceutiques ?</w:t>
            </w:r>
          </w:p>
        </w:tc>
        <w:tc>
          <w:tcPr>
            <w:tcW w:w="4519" w:type="dxa"/>
            <w:gridSpan w:val="3"/>
            <w:tcBorders>
              <w:right w:val="single" w:sz="4" w:space="0" w:color="auto"/>
            </w:tcBorders>
            <w:vAlign w:val="center"/>
            <w:hideMark/>
          </w:tcPr>
          <w:p w14:paraId="46F720C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11B157F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43A10C2" w14:textId="77777777" w:rsidTr="009137A8">
        <w:trPr>
          <w:gridAfter w:val="1"/>
          <w:wAfter w:w="75" w:type="dxa"/>
          <w:cantSplit/>
        </w:trPr>
        <w:tc>
          <w:tcPr>
            <w:tcW w:w="9527" w:type="dxa"/>
            <w:gridSpan w:val="6"/>
            <w:tcBorders>
              <w:right w:val="single" w:sz="4" w:space="0" w:color="auto"/>
            </w:tcBorders>
            <w:vAlign w:val="center"/>
            <w:hideMark/>
          </w:tcPr>
          <w:p w14:paraId="2611C84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de plus amples détails sur l’application de l’article 5 dans v</w:t>
            </w:r>
            <w:r>
              <w:rPr>
                <w:kern w:val="22"/>
                <w:sz w:val="20"/>
                <w:szCs w:val="20"/>
                <w:lang w:bidi="fr-FR"/>
              </w:rPr>
              <w:t xml:space="preserve">otre pays </w:t>
            </w:r>
            <w:r w:rsidRPr="006C590E">
              <w:rPr>
                <w:kern w:val="22"/>
                <w:sz w:val="20"/>
                <w:szCs w:val="20"/>
                <w:lang w:bidi="fr-FR"/>
              </w:rPr>
              <w:t xml:space="preserve">: </w:t>
            </w:r>
          </w:p>
          <w:p w14:paraId="133DC84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40" w:right="2"/>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1077AFF9" w14:textId="77777777" w:rsidTr="009137A8">
        <w:trPr>
          <w:gridAfter w:val="1"/>
          <w:wAfter w:w="75" w:type="dxa"/>
          <w:cantSplit/>
        </w:trPr>
        <w:tc>
          <w:tcPr>
            <w:tcW w:w="9527" w:type="dxa"/>
            <w:gridSpan w:val="6"/>
            <w:tcBorders>
              <w:right w:val="single" w:sz="4" w:space="0" w:color="auto"/>
            </w:tcBorders>
            <w:vAlign w:val="center"/>
            <w:hideMark/>
          </w:tcPr>
          <w:p w14:paraId="02A1B3B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t>Article 6 – Transit et utilisation</w:t>
            </w:r>
            <w:r>
              <w:rPr>
                <w:b/>
                <w:kern w:val="22"/>
                <w:sz w:val="20"/>
                <w:szCs w:val="20"/>
                <w:lang w:bidi="fr-FR"/>
              </w:rPr>
              <w:t>s</w:t>
            </w:r>
            <w:r w:rsidRPr="006C590E">
              <w:rPr>
                <w:b/>
                <w:kern w:val="22"/>
                <w:sz w:val="20"/>
                <w:szCs w:val="20"/>
                <w:lang w:bidi="fr-FR"/>
              </w:rPr>
              <w:t xml:space="preserve"> en milieu confiné</w:t>
            </w:r>
          </w:p>
        </w:tc>
      </w:tr>
      <w:tr w:rsidR="00952749" w:rsidRPr="006C590E" w14:paraId="62E718A4" w14:textId="77777777" w:rsidTr="009137A8">
        <w:trPr>
          <w:gridAfter w:val="1"/>
          <w:wAfter w:w="75" w:type="dxa"/>
          <w:cantSplit/>
        </w:trPr>
        <w:tc>
          <w:tcPr>
            <w:tcW w:w="5008" w:type="dxa"/>
            <w:gridSpan w:val="3"/>
            <w:vAlign w:val="center"/>
            <w:hideMark/>
          </w:tcPr>
          <w:p w14:paraId="5AA6A40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Votre pays réglemente-t-il le transit des OVM ? </w:t>
            </w:r>
          </w:p>
        </w:tc>
        <w:tc>
          <w:tcPr>
            <w:tcW w:w="4519" w:type="dxa"/>
            <w:gridSpan w:val="3"/>
            <w:tcBorders>
              <w:right w:val="single" w:sz="4" w:space="0" w:color="auto"/>
            </w:tcBorders>
            <w:vAlign w:val="center"/>
            <w:hideMark/>
          </w:tcPr>
          <w:p w14:paraId="45F040D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CF55CB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5BF1B62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158DCEC0" w14:textId="77777777" w:rsidTr="009137A8">
        <w:trPr>
          <w:gridAfter w:val="1"/>
          <w:wAfter w:w="75" w:type="dxa"/>
          <w:cantSplit/>
        </w:trPr>
        <w:tc>
          <w:tcPr>
            <w:tcW w:w="5008" w:type="dxa"/>
            <w:gridSpan w:val="3"/>
            <w:vAlign w:val="center"/>
            <w:hideMark/>
          </w:tcPr>
          <w:p w14:paraId="56A9372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Pr>
                <w:kern w:val="22"/>
                <w:sz w:val="20"/>
                <w:szCs w:val="20"/>
                <w:lang w:bidi="fr-FR"/>
              </w:rPr>
              <w:t xml:space="preserve">Votre pays réglemente-il les </w:t>
            </w:r>
            <w:r w:rsidRPr="006C590E">
              <w:rPr>
                <w:kern w:val="22"/>
                <w:sz w:val="20"/>
                <w:szCs w:val="20"/>
                <w:lang w:bidi="fr-FR"/>
              </w:rPr>
              <w:t>utilisation</w:t>
            </w:r>
            <w:r>
              <w:rPr>
                <w:kern w:val="22"/>
                <w:sz w:val="20"/>
                <w:szCs w:val="20"/>
                <w:lang w:bidi="fr-FR"/>
              </w:rPr>
              <w:t>s d’</w:t>
            </w:r>
            <w:r w:rsidRPr="006C590E">
              <w:rPr>
                <w:kern w:val="22"/>
                <w:sz w:val="20"/>
                <w:szCs w:val="20"/>
                <w:lang w:bidi="fr-FR"/>
              </w:rPr>
              <w:t>OVM en milieu confiné ?</w:t>
            </w:r>
          </w:p>
        </w:tc>
        <w:tc>
          <w:tcPr>
            <w:tcW w:w="4519" w:type="dxa"/>
            <w:gridSpan w:val="3"/>
            <w:tcBorders>
              <w:right w:val="single" w:sz="4" w:space="0" w:color="auto"/>
            </w:tcBorders>
            <w:vAlign w:val="center"/>
            <w:hideMark/>
          </w:tcPr>
          <w:p w14:paraId="34B68CE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5A47F4F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E623AE7" w14:textId="77777777" w:rsidTr="009137A8">
        <w:trPr>
          <w:gridAfter w:val="1"/>
          <w:wAfter w:w="75" w:type="dxa"/>
          <w:cantSplit/>
        </w:trPr>
        <w:tc>
          <w:tcPr>
            <w:tcW w:w="5008" w:type="dxa"/>
            <w:gridSpan w:val="3"/>
            <w:vAlign w:val="center"/>
          </w:tcPr>
          <w:p w14:paraId="7C414A80"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Votre pays a-t-il pris une décision à propos de l’importation d’OVM pour </w:t>
            </w:r>
            <w:r>
              <w:rPr>
                <w:kern w:val="22"/>
                <w:sz w:val="20"/>
                <w:szCs w:val="20"/>
                <w:lang w:bidi="fr-FR"/>
              </w:rPr>
              <w:t xml:space="preserve">une </w:t>
            </w:r>
            <w:r w:rsidRPr="006C590E">
              <w:rPr>
                <w:kern w:val="22"/>
                <w:sz w:val="20"/>
                <w:szCs w:val="20"/>
                <w:lang w:bidi="fr-FR"/>
              </w:rPr>
              <w:t>utilisation en milieu confiné ?</w:t>
            </w:r>
          </w:p>
        </w:tc>
        <w:tc>
          <w:tcPr>
            <w:tcW w:w="4519" w:type="dxa"/>
            <w:gridSpan w:val="3"/>
            <w:tcBorders>
              <w:right w:val="single" w:sz="4" w:space="0" w:color="auto"/>
            </w:tcBorders>
            <w:vAlign w:val="center"/>
          </w:tcPr>
          <w:p w14:paraId="6FD41DE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378B846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F8C827D" w14:textId="77777777" w:rsidTr="009137A8">
        <w:trPr>
          <w:gridAfter w:val="1"/>
          <w:wAfter w:w="75" w:type="dxa"/>
          <w:cantSplit/>
          <w:trHeight w:val="1722"/>
        </w:trPr>
        <w:tc>
          <w:tcPr>
            <w:tcW w:w="9527" w:type="dxa"/>
            <w:gridSpan w:val="6"/>
            <w:tcBorders>
              <w:right w:val="single" w:sz="4" w:space="0" w:color="auto"/>
            </w:tcBorders>
            <w:vAlign w:val="center"/>
            <w:hideMark/>
          </w:tcPr>
          <w:p w14:paraId="197A9C91"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de plus amples détails sur l’application de l’article 6 dans v</w:t>
            </w:r>
            <w:r>
              <w:rPr>
                <w:kern w:val="22"/>
                <w:sz w:val="20"/>
                <w:szCs w:val="20"/>
                <w:lang w:bidi="fr-FR"/>
              </w:rPr>
              <w:t xml:space="preserve">otre pays </w:t>
            </w:r>
            <w:r w:rsidRPr="006C590E">
              <w:rPr>
                <w:kern w:val="22"/>
                <w:sz w:val="20"/>
                <w:szCs w:val="20"/>
                <w:lang w:bidi="fr-FR"/>
              </w:rPr>
              <w:t xml:space="preserve">: </w:t>
            </w:r>
          </w:p>
          <w:p w14:paraId="0FD528D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33"/>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0A579E2F" w14:textId="77777777" w:rsidTr="009137A8">
        <w:trPr>
          <w:gridAfter w:val="1"/>
          <w:wAfter w:w="75" w:type="dxa"/>
          <w:cantSplit/>
        </w:trPr>
        <w:tc>
          <w:tcPr>
            <w:tcW w:w="9527" w:type="dxa"/>
            <w:gridSpan w:val="6"/>
            <w:tcBorders>
              <w:right w:val="single" w:sz="4" w:space="0" w:color="auto"/>
            </w:tcBorders>
            <w:vAlign w:val="center"/>
            <w:hideMark/>
          </w:tcPr>
          <w:p w14:paraId="4C76F31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t>Articles 7 à 10 : Accord p</w:t>
            </w:r>
            <w:r>
              <w:rPr>
                <w:b/>
                <w:kern w:val="22"/>
                <w:sz w:val="20"/>
                <w:szCs w:val="20"/>
                <w:lang w:bidi="fr-FR"/>
              </w:rPr>
              <w:t>réalable donné</w:t>
            </w:r>
            <w:r w:rsidRPr="006C590E">
              <w:rPr>
                <w:b/>
                <w:kern w:val="22"/>
                <w:sz w:val="20"/>
                <w:szCs w:val="20"/>
                <w:lang w:bidi="fr-FR"/>
              </w:rPr>
              <w:t xml:space="preserve"> en connaissance de cause et  </w:t>
            </w:r>
            <w:r>
              <w:rPr>
                <w:b/>
                <w:kern w:val="22"/>
                <w:sz w:val="20"/>
                <w:szCs w:val="20"/>
                <w:lang w:bidi="fr-FR"/>
              </w:rPr>
              <w:br/>
              <w:t>introduction intentionnelle d’</w:t>
            </w:r>
            <w:r w:rsidRPr="006C590E">
              <w:rPr>
                <w:b/>
                <w:kern w:val="22"/>
                <w:sz w:val="20"/>
                <w:szCs w:val="20"/>
                <w:lang w:bidi="fr-FR"/>
              </w:rPr>
              <w:t>OVM dans l’environnement</w:t>
            </w:r>
          </w:p>
        </w:tc>
      </w:tr>
      <w:tr w:rsidR="00952749" w:rsidRPr="006C590E" w14:paraId="7136523B" w14:textId="77777777" w:rsidTr="009137A8">
        <w:trPr>
          <w:gridAfter w:val="1"/>
          <w:wAfter w:w="75" w:type="dxa"/>
          <w:cantSplit/>
        </w:trPr>
        <w:tc>
          <w:tcPr>
            <w:tcW w:w="5008" w:type="dxa"/>
            <w:gridSpan w:val="3"/>
            <w:vAlign w:val="center"/>
            <w:hideMark/>
          </w:tcPr>
          <w:p w14:paraId="5E5C1DB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Pr>
                <w:kern w:val="22"/>
                <w:sz w:val="20"/>
                <w:szCs w:val="20"/>
                <w:lang w:bidi="fr-FR"/>
              </w:rPr>
              <w:lastRenderedPageBreak/>
              <w:br w:type="page"/>
              <w:t>Votre pays a-t-il mis en place</w:t>
            </w:r>
            <w:r w:rsidRPr="006C590E">
              <w:rPr>
                <w:kern w:val="22"/>
                <w:sz w:val="20"/>
                <w:szCs w:val="20"/>
                <w:lang w:bidi="fr-FR"/>
              </w:rPr>
              <w:t xml:space="preserve"> des </w:t>
            </w:r>
            <w:r>
              <w:rPr>
                <w:kern w:val="22"/>
                <w:sz w:val="20"/>
                <w:szCs w:val="20"/>
                <w:lang w:bidi="fr-FR"/>
              </w:rPr>
              <w:t xml:space="preserve">obligations juridiques incombant aux </w:t>
            </w:r>
            <w:r w:rsidRPr="006C590E">
              <w:rPr>
                <w:kern w:val="22"/>
                <w:sz w:val="20"/>
                <w:szCs w:val="20"/>
                <w:lang w:bidi="fr-FR"/>
              </w:rPr>
              <w:t>exportateurs relevant de sa compétence, d’informer par écrit les autorités nationales compétentes de la Partie importatrice avant le mouvement transfrontière intentionnel d’un OVM visé par la procédure d’accord préalable en connaissance de cause ?</w:t>
            </w:r>
          </w:p>
        </w:tc>
        <w:tc>
          <w:tcPr>
            <w:tcW w:w="4519" w:type="dxa"/>
            <w:gridSpan w:val="3"/>
            <w:tcBorders>
              <w:right w:val="single" w:sz="4" w:space="0" w:color="auto"/>
            </w:tcBorders>
            <w:vAlign w:val="center"/>
            <w:hideMark/>
          </w:tcPr>
          <w:p w14:paraId="0EED72A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4654B48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3A9E97E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1D38537B" w14:textId="77777777" w:rsidTr="009137A8">
        <w:trPr>
          <w:gridAfter w:val="1"/>
          <w:wAfter w:w="75" w:type="dxa"/>
          <w:cantSplit/>
        </w:trPr>
        <w:tc>
          <w:tcPr>
            <w:tcW w:w="5008" w:type="dxa"/>
            <w:gridSpan w:val="3"/>
            <w:vAlign w:val="center"/>
            <w:hideMark/>
          </w:tcPr>
          <w:p w14:paraId="4BFD8F0E"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En tant que Partie exportatrice, votre pays a-t</w:t>
            </w:r>
            <w:r>
              <w:rPr>
                <w:kern w:val="22"/>
                <w:sz w:val="20"/>
                <w:szCs w:val="20"/>
                <w:lang w:bidi="fr-FR"/>
              </w:rPr>
              <w:t>-il mis en place des obligations juridiques</w:t>
            </w:r>
            <w:r w:rsidRPr="006C590E">
              <w:rPr>
                <w:kern w:val="22"/>
                <w:sz w:val="20"/>
                <w:szCs w:val="20"/>
                <w:lang w:bidi="fr-FR"/>
              </w:rPr>
              <w:t xml:space="preserve"> concernant l'exactitude des informations contenues dans la notification fournie par l'exportateur ?</w:t>
            </w:r>
          </w:p>
        </w:tc>
        <w:tc>
          <w:tcPr>
            <w:tcW w:w="4519" w:type="dxa"/>
            <w:gridSpan w:val="3"/>
            <w:tcBorders>
              <w:right w:val="single" w:sz="4" w:space="0" w:color="auto"/>
            </w:tcBorders>
            <w:vAlign w:val="center"/>
            <w:hideMark/>
          </w:tcPr>
          <w:p w14:paraId="5965DC0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33B717D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121A736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p w14:paraId="1BC9867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Sans objet (la Partie n’exporte pas d’OVM à l’heure actuelle)</w:t>
            </w:r>
          </w:p>
        </w:tc>
      </w:tr>
      <w:tr w:rsidR="00952749" w:rsidRPr="006C590E" w14:paraId="339ED92A" w14:textId="77777777" w:rsidTr="009137A8">
        <w:trPr>
          <w:gridAfter w:val="1"/>
          <w:wAfter w:w="75" w:type="dxa"/>
          <w:cantSplit/>
        </w:trPr>
        <w:tc>
          <w:tcPr>
            <w:tcW w:w="5008" w:type="dxa"/>
            <w:gridSpan w:val="3"/>
            <w:vAlign w:val="center"/>
            <w:hideMark/>
          </w:tcPr>
          <w:p w14:paraId="14E75DC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Au cours de la période couverte par le présent rapport, votre pays a-t-il re</w:t>
            </w:r>
            <w:r>
              <w:rPr>
                <w:kern w:val="22"/>
                <w:sz w:val="20"/>
                <w:szCs w:val="20"/>
                <w:lang w:bidi="fr-FR"/>
              </w:rPr>
              <w:t>çu une notification concernant d</w:t>
            </w:r>
            <w:r w:rsidRPr="006C590E">
              <w:rPr>
                <w:kern w:val="22"/>
                <w:sz w:val="20"/>
                <w:szCs w:val="20"/>
                <w:lang w:bidi="fr-FR"/>
              </w:rPr>
              <w:t>es mouvements transfrontières intentionnels d'OVM destinés à être introduits intentionnellement dans l'environnement ?</w:t>
            </w:r>
          </w:p>
        </w:tc>
        <w:tc>
          <w:tcPr>
            <w:tcW w:w="4519" w:type="dxa"/>
            <w:gridSpan w:val="3"/>
            <w:tcBorders>
              <w:right w:val="single" w:sz="4" w:space="0" w:color="auto"/>
            </w:tcBorders>
            <w:vAlign w:val="center"/>
            <w:hideMark/>
          </w:tcPr>
          <w:p w14:paraId="0B04F80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58AB02F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Non </w:t>
            </w:r>
          </w:p>
        </w:tc>
      </w:tr>
      <w:tr w:rsidR="00952749" w:rsidRPr="006C590E" w14:paraId="398F8360" w14:textId="77777777" w:rsidTr="009137A8">
        <w:trPr>
          <w:gridAfter w:val="1"/>
          <w:wAfter w:w="75" w:type="dxa"/>
          <w:cantSplit/>
        </w:trPr>
        <w:tc>
          <w:tcPr>
            <w:tcW w:w="5008" w:type="dxa"/>
            <w:gridSpan w:val="3"/>
            <w:vAlign w:val="center"/>
            <w:hideMark/>
          </w:tcPr>
          <w:p w14:paraId="6FFDE2A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29, la (les) notification (s) contenait-elle des informations complètes (au </w:t>
            </w:r>
            <w:r>
              <w:rPr>
                <w:kern w:val="22"/>
                <w:sz w:val="20"/>
                <w:szCs w:val="20"/>
                <w:lang w:bidi="fr-FR"/>
              </w:rPr>
              <w:t>minimum les informations précis</w:t>
            </w:r>
            <w:r w:rsidRPr="006C590E">
              <w:rPr>
                <w:kern w:val="22"/>
                <w:sz w:val="20"/>
                <w:szCs w:val="20"/>
                <w:lang w:bidi="fr-FR"/>
              </w:rPr>
              <w:t>ées à l'annexe I du Protocole de Cartagena sur la prévention des risques biotechnologiques) ?</w:t>
            </w:r>
          </w:p>
        </w:tc>
        <w:tc>
          <w:tcPr>
            <w:tcW w:w="4519" w:type="dxa"/>
            <w:gridSpan w:val="3"/>
            <w:tcBorders>
              <w:right w:val="single" w:sz="4" w:space="0" w:color="auto"/>
            </w:tcBorders>
            <w:vAlign w:val="center"/>
            <w:hideMark/>
          </w:tcPr>
          <w:p w14:paraId="79ECAB3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0771E7C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37D6769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ADAB728" w14:textId="77777777" w:rsidTr="009137A8">
        <w:trPr>
          <w:gridAfter w:val="1"/>
          <w:wAfter w:w="75" w:type="dxa"/>
          <w:cantSplit/>
        </w:trPr>
        <w:tc>
          <w:tcPr>
            <w:tcW w:w="5008" w:type="dxa"/>
            <w:gridSpan w:val="3"/>
            <w:vAlign w:val="center"/>
            <w:hideMark/>
          </w:tcPr>
          <w:p w14:paraId="51AFC68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29, votre pays a-t-il accusé réception de la notification à son auteur dans les quatre-vingt-dix jours suivant sa réception ?</w:t>
            </w:r>
          </w:p>
        </w:tc>
        <w:tc>
          <w:tcPr>
            <w:tcW w:w="4519" w:type="dxa"/>
            <w:gridSpan w:val="3"/>
            <w:tcBorders>
              <w:right w:val="single" w:sz="4" w:space="0" w:color="auto"/>
            </w:tcBorders>
            <w:vAlign w:val="center"/>
            <w:hideMark/>
          </w:tcPr>
          <w:p w14:paraId="5F5FFBE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005015C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1B61327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37FA3141" w14:textId="77777777" w:rsidTr="009137A8">
        <w:trPr>
          <w:gridAfter w:val="1"/>
          <w:wAfter w:w="75" w:type="dxa"/>
          <w:cantSplit/>
        </w:trPr>
        <w:tc>
          <w:tcPr>
            <w:tcW w:w="9527" w:type="dxa"/>
            <w:gridSpan w:val="6"/>
            <w:tcBorders>
              <w:right w:val="single" w:sz="4" w:space="0" w:color="auto"/>
            </w:tcBorders>
            <w:vAlign w:val="center"/>
            <w:hideMark/>
          </w:tcPr>
          <w:p w14:paraId="33B16847" w14:textId="77777777" w:rsidR="00952749" w:rsidRPr="006C590E" w:rsidRDefault="00952749" w:rsidP="004C7DBD">
            <w:pPr>
              <w:pStyle w:val="ListParagraph"/>
              <w:numPr>
                <w:ilvl w:val="0"/>
                <w:numId w:val="31"/>
              </w:numPr>
              <w:suppressLineNumbers/>
              <w:tabs>
                <w:tab w:val="clear" w:pos="360"/>
              </w:tabs>
              <w:suppressAutoHyphens/>
              <w:kinsoku w:val="0"/>
              <w:overflowPunct w:val="0"/>
              <w:autoSpaceDE w:val="0"/>
              <w:autoSpaceDN w:val="0"/>
              <w:adjustRightInd w:val="0"/>
              <w:snapToGrid w:val="0"/>
              <w:spacing w:before="120" w:after="120"/>
              <w:ind w:left="592" w:hanging="592"/>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29, votre pays a-t-il informé les parties suivantes de sa décision ?</w:t>
            </w:r>
          </w:p>
        </w:tc>
      </w:tr>
      <w:tr w:rsidR="00952749" w:rsidRPr="006C590E" w14:paraId="04A66470" w14:textId="77777777" w:rsidTr="009137A8">
        <w:trPr>
          <w:gridAfter w:val="1"/>
          <w:wAfter w:w="75" w:type="dxa"/>
          <w:cantSplit/>
        </w:trPr>
        <w:tc>
          <w:tcPr>
            <w:tcW w:w="5008" w:type="dxa"/>
            <w:gridSpan w:val="3"/>
            <w:shd w:val="clear" w:color="auto" w:fill="FFFFFF"/>
            <w:vAlign w:val="center"/>
          </w:tcPr>
          <w:p w14:paraId="14404CB4" w14:textId="77777777" w:rsidR="00952749" w:rsidRPr="006C590E" w:rsidRDefault="00952749" w:rsidP="004C7DBD">
            <w:pPr>
              <w:pStyle w:val="ListParagraph"/>
              <w:numPr>
                <w:ilvl w:val="7"/>
                <w:numId w:val="14"/>
              </w:numPr>
              <w:suppressLineNumbers/>
              <w:tabs>
                <w:tab w:val="clear" w:pos="2880"/>
              </w:tabs>
              <w:suppressAutoHyphens/>
              <w:kinsoku w:val="0"/>
              <w:overflowPunct w:val="0"/>
              <w:autoSpaceDE w:val="0"/>
              <w:autoSpaceDN w:val="0"/>
              <w:adjustRightInd w:val="0"/>
              <w:snapToGrid w:val="0"/>
              <w:spacing w:before="120" w:after="120"/>
              <w:ind w:left="862" w:right="490"/>
              <w:jc w:val="left"/>
              <w:rPr>
                <w:kern w:val="22"/>
                <w:sz w:val="20"/>
                <w:szCs w:val="20"/>
                <w:lang w:bidi="fr-FR"/>
              </w:rPr>
            </w:pPr>
            <w:r w:rsidRPr="006C590E">
              <w:rPr>
                <w:kern w:val="22"/>
                <w:sz w:val="20"/>
                <w:szCs w:val="20"/>
                <w:lang w:bidi="fr-FR"/>
              </w:rPr>
              <w:t>L’auteur de la notification</w:t>
            </w:r>
          </w:p>
        </w:tc>
        <w:tc>
          <w:tcPr>
            <w:tcW w:w="4519" w:type="dxa"/>
            <w:gridSpan w:val="3"/>
            <w:tcBorders>
              <w:right w:val="single" w:sz="4" w:space="0" w:color="auto"/>
            </w:tcBorders>
            <w:shd w:val="clear" w:color="auto" w:fill="FFFFFF"/>
            <w:vAlign w:val="center"/>
          </w:tcPr>
          <w:p w14:paraId="01CB50D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6FE7F09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3006819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Non </w:t>
            </w:r>
          </w:p>
        </w:tc>
      </w:tr>
      <w:tr w:rsidR="00952749" w:rsidRPr="006C590E" w14:paraId="22EF94A7" w14:textId="77777777" w:rsidTr="009137A8">
        <w:trPr>
          <w:gridAfter w:val="1"/>
          <w:wAfter w:w="75" w:type="dxa"/>
          <w:cantSplit/>
        </w:trPr>
        <w:tc>
          <w:tcPr>
            <w:tcW w:w="5008" w:type="dxa"/>
            <w:gridSpan w:val="3"/>
            <w:shd w:val="clear" w:color="auto" w:fill="FFFFFF"/>
            <w:vAlign w:val="center"/>
          </w:tcPr>
          <w:p w14:paraId="7E67C359" w14:textId="77777777" w:rsidR="00952749" w:rsidRPr="006C590E" w:rsidRDefault="00952749" w:rsidP="004C7DBD">
            <w:pPr>
              <w:pStyle w:val="ListParagraph"/>
              <w:numPr>
                <w:ilvl w:val="7"/>
                <w:numId w:val="14"/>
              </w:numPr>
              <w:suppressLineNumbers/>
              <w:tabs>
                <w:tab w:val="clear" w:pos="2880"/>
              </w:tabs>
              <w:suppressAutoHyphens/>
              <w:kinsoku w:val="0"/>
              <w:overflowPunct w:val="0"/>
              <w:autoSpaceDE w:val="0"/>
              <w:autoSpaceDN w:val="0"/>
              <w:adjustRightInd w:val="0"/>
              <w:snapToGrid w:val="0"/>
              <w:spacing w:before="120" w:after="120"/>
              <w:ind w:left="862" w:right="490"/>
              <w:jc w:val="left"/>
              <w:rPr>
                <w:kern w:val="22"/>
                <w:sz w:val="20"/>
                <w:szCs w:val="20"/>
                <w:lang w:bidi="fr-FR"/>
              </w:rPr>
            </w:pPr>
            <w:r w:rsidRPr="006C590E">
              <w:rPr>
                <w:kern w:val="22"/>
                <w:sz w:val="20"/>
                <w:szCs w:val="20"/>
                <w:lang w:bidi="fr-FR"/>
              </w:rPr>
              <w:t>Le Centre d'échange pour la prévention des risques biotechnologiques</w:t>
            </w:r>
          </w:p>
        </w:tc>
        <w:tc>
          <w:tcPr>
            <w:tcW w:w="4519" w:type="dxa"/>
            <w:gridSpan w:val="3"/>
            <w:tcBorders>
              <w:right w:val="single" w:sz="4" w:space="0" w:color="auto"/>
            </w:tcBorders>
            <w:shd w:val="clear" w:color="auto" w:fill="FFFFFF"/>
            <w:vAlign w:val="center"/>
          </w:tcPr>
          <w:p w14:paraId="6DBE230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325344A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3F7C69B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Non </w:t>
            </w:r>
          </w:p>
        </w:tc>
      </w:tr>
      <w:tr w:rsidR="00952749" w:rsidRPr="006C590E" w14:paraId="76FFA278" w14:textId="77777777" w:rsidTr="009137A8">
        <w:trPr>
          <w:gridAfter w:val="1"/>
          <w:wAfter w:w="75" w:type="dxa"/>
          <w:cantSplit/>
        </w:trPr>
        <w:tc>
          <w:tcPr>
            <w:tcW w:w="5008" w:type="dxa"/>
            <w:gridSpan w:val="3"/>
            <w:shd w:val="clear" w:color="auto" w:fill="FFFFFF"/>
            <w:vAlign w:val="center"/>
            <w:hideMark/>
          </w:tcPr>
          <w:p w14:paraId="5C268CFA"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Au cours de la période couverte par le présent rapport, votre pays a-t-il pris une décision en réponse à la (au</w:t>
            </w:r>
            <w:r>
              <w:rPr>
                <w:kern w:val="22"/>
                <w:sz w:val="20"/>
                <w:szCs w:val="20"/>
                <w:lang w:bidi="fr-FR"/>
              </w:rPr>
              <w:t>x) notification (s) concernant d</w:t>
            </w:r>
            <w:r w:rsidRPr="006C590E">
              <w:rPr>
                <w:kern w:val="22"/>
                <w:sz w:val="20"/>
                <w:szCs w:val="20"/>
                <w:lang w:bidi="fr-FR"/>
              </w:rPr>
              <w:t>es mouvements transfrontières intentionnels d'OVM destinés à être introduits intentionnellement dans l'environnement ?</w:t>
            </w:r>
          </w:p>
        </w:tc>
        <w:tc>
          <w:tcPr>
            <w:tcW w:w="4519" w:type="dxa"/>
            <w:gridSpan w:val="3"/>
            <w:tcBorders>
              <w:right w:val="single" w:sz="4" w:space="0" w:color="auto"/>
            </w:tcBorders>
            <w:shd w:val="clear" w:color="auto" w:fill="FFFFFF"/>
            <w:vAlign w:val="center"/>
            <w:hideMark/>
          </w:tcPr>
          <w:p w14:paraId="4DFB498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3C3FCF4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0EC7E23F" w14:textId="77777777" w:rsidTr="009137A8">
        <w:trPr>
          <w:gridAfter w:val="1"/>
          <w:wAfter w:w="75" w:type="dxa"/>
          <w:cantSplit/>
        </w:trPr>
        <w:tc>
          <w:tcPr>
            <w:tcW w:w="5008" w:type="dxa"/>
            <w:gridSpan w:val="3"/>
            <w:shd w:val="clear" w:color="auto" w:fill="FFFFFF"/>
            <w:vAlign w:val="center"/>
            <w:hideMark/>
          </w:tcPr>
          <w:p w14:paraId="4808C0F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33, combien d’OVM votre pays a-t-il approuvés à ce jour aux fins d’importation en vue d’une introduction intentionnelle dans l’environnement ?</w:t>
            </w:r>
          </w:p>
        </w:tc>
        <w:tc>
          <w:tcPr>
            <w:tcW w:w="4519" w:type="dxa"/>
            <w:gridSpan w:val="3"/>
            <w:tcBorders>
              <w:right w:val="single" w:sz="4" w:space="0" w:color="auto"/>
            </w:tcBorders>
            <w:shd w:val="clear" w:color="auto" w:fill="FFFFFF"/>
            <w:vAlign w:val="center"/>
            <w:hideMark/>
          </w:tcPr>
          <w:p w14:paraId="12DFA8D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295BE85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45EC1A1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0DB25DD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tc>
      </w:tr>
      <w:tr w:rsidR="00952749" w:rsidRPr="006C590E" w14:paraId="226CC447" w14:textId="77777777" w:rsidTr="009137A8">
        <w:trPr>
          <w:gridAfter w:val="1"/>
          <w:wAfter w:w="75" w:type="dxa"/>
          <w:cantSplit/>
        </w:trPr>
        <w:tc>
          <w:tcPr>
            <w:tcW w:w="5008" w:type="dxa"/>
            <w:gridSpan w:val="3"/>
            <w:shd w:val="clear" w:color="auto" w:fill="FFFFFF"/>
            <w:vAlign w:val="center"/>
            <w:hideMark/>
          </w:tcPr>
          <w:p w14:paraId="253F4123"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à la question 34</w:t>
            </w:r>
            <w:r>
              <w:rPr>
                <w:kern w:val="22"/>
                <w:sz w:val="20"/>
                <w:szCs w:val="20"/>
                <w:lang w:bidi="fr-FR"/>
              </w:rPr>
              <w:t xml:space="preserve"> que d</w:t>
            </w:r>
            <w:r w:rsidRPr="006C590E">
              <w:rPr>
                <w:kern w:val="22"/>
                <w:sz w:val="20"/>
                <w:szCs w:val="20"/>
                <w:lang w:bidi="fr-FR"/>
              </w:rPr>
              <w:t xml:space="preserve">es </w:t>
            </w:r>
            <w:r w:rsidRPr="006C590E">
              <w:rPr>
                <w:i/>
                <w:kern w:val="22"/>
                <w:sz w:val="20"/>
                <w:szCs w:val="20"/>
                <w:lang w:bidi="fr-FR"/>
              </w:rPr>
              <w:t>OVM ont été approuvés</w:t>
            </w:r>
            <w:r w:rsidRPr="006C590E">
              <w:rPr>
                <w:kern w:val="22"/>
                <w:sz w:val="20"/>
                <w:szCs w:val="20"/>
                <w:lang w:bidi="fr-FR"/>
              </w:rPr>
              <w:t>, est-ce que tous ces OVM ont été importés dans votre pays ?</w:t>
            </w:r>
          </w:p>
        </w:tc>
        <w:tc>
          <w:tcPr>
            <w:tcW w:w="4519" w:type="dxa"/>
            <w:gridSpan w:val="3"/>
            <w:tcBorders>
              <w:right w:val="single" w:sz="4" w:space="0" w:color="auto"/>
            </w:tcBorders>
            <w:shd w:val="clear" w:color="auto" w:fill="FFFFFF"/>
            <w:vAlign w:val="center"/>
            <w:hideMark/>
          </w:tcPr>
          <w:p w14:paraId="06B2A2A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0E177AD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35D0B2E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79563EBB" w14:textId="77777777" w:rsidTr="009137A8">
        <w:trPr>
          <w:gridAfter w:val="1"/>
          <w:wAfter w:w="75" w:type="dxa"/>
          <w:cantSplit/>
        </w:trPr>
        <w:tc>
          <w:tcPr>
            <w:tcW w:w="5008" w:type="dxa"/>
            <w:gridSpan w:val="3"/>
            <w:shd w:val="clear" w:color="auto" w:fill="auto"/>
            <w:vAlign w:val="center"/>
            <w:hideMark/>
          </w:tcPr>
          <w:p w14:paraId="41B2A8A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w:t>
            </w:r>
            <w:r>
              <w:rPr>
                <w:kern w:val="22"/>
                <w:sz w:val="20"/>
                <w:szCs w:val="20"/>
                <w:lang w:bidi="fr-FR"/>
              </w:rPr>
              <w:t>uestion 33, quel pourcentage de</w:t>
            </w:r>
            <w:r w:rsidRPr="006C590E">
              <w:rPr>
                <w:kern w:val="22"/>
                <w:sz w:val="20"/>
                <w:szCs w:val="20"/>
                <w:lang w:bidi="fr-FR"/>
              </w:rPr>
              <w:t xml:space="preserve"> décisions de votre pays entre dans les catégories suivantes ?</w:t>
            </w:r>
          </w:p>
        </w:tc>
        <w:tc>
          <w:tcPr>
            <w:tcW w:w="4519" w:type="dxa"/>
            <w:gridSpan w:val="3"/>
            <w:tcBorders>
              <w:right w:val="single" w:sz="4" w:space="0" w:color="auto"/>
            </w:tcBorders>
            <w:shd w:val="clear" w:color="auto" w:fill="auto"/>
            <w:vAlign w:val="center"/>
            <w:hideMark/>
          </w:tcPr>
          <w:p w14:paraId="7DFC750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Text4"/>
                  <w:enabled/>
                  <w:calcOnExit w:val="0"/>
                  <w:textInput>
                    <w:default w:val="[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w:t>
            </w:r>
            <w:r w:rsidRPr="006C590E">
              <w:rPr>
                <w:kern w:val="22"/>
                <w:sz w:val="20"/>
                <w:szCs w:val="20"/>
                <w:lang w:bidi="fr-FR"/>
              </w:rPr>
              <w:fldChar w:fldCharType="end"/>
            </w:r>
            <w:r w:rsidRPr="006C590E">
              <w:rPr>
                <w:kern w:val="22"/>
                <w:sz w:val="20"/>
                <w:szCs w:val="20"/>
                <w:lang w:bidi="fr-FR"/>
              </w:rPr>
              <w:tab/>
              <w:t>Approbation de l'importation / uti</w:t>
            </w:r>
            <w:r>
              <w:rPr>
                <w:kern w:val="22"/>
                <w:sz w:val="20"/>
                <w:szCs w:val="20"/>
                <w:lang w:bidi="fr-FR"/>
              </w:rPr>
              <w:t>lisation d’OVM sans condition</w:t>
            </w:r>
          </w:p>
          <w:p w14:paraId="5922FC3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Text4"/>
                  <w:enabled/>
                  <w:calcOnExit w:val="0"/>
                  <w:textInput>
                    <w:default w:val="[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w:t>
            </w:r>
            <w:r w:rsidRPr="006C590E">
              <w:rPr>
                <w:kern w:val="22"/>
                <w:sz w:val="20"/>
                <w:szCs w:val="20"/>
                <w:lang w:bidi="fr-FR"/>
              </w:rPr>
              <w:fldChar w:fldCharType="end"/>
            </w:r>
            <w:r w:rsidRPr="006C590E">
              <w:rPr>
                <w:kern w:val="22"/>
                <w:sz w:val="20"/>
                <w:szCs w:val="20"/>
                <w:lang w:bidi="fr-FR"/>
              </w:rPr>
              <w:tab/>
              <w:t xml:space="preserve">Approbation de </w:t>
            </w:r>
            <w:r>
              <w:rPr>
                <w:kern w:val="22"/>
                <w:sz w:val="20"/>
                <w:szCs w:val="20"/>
                <w:lang w:bidi="fr-FR"/>
              </w:rPr>
              <w:t>l'importation / utilisation d’</w:t>
            </w:r>
            <w:r w:rsidRPr="006C590E">
              <w:rPr>
                <w:kern w:val="22"/>
                <w:sz w:val="20"/>
                <w:szCs w:val="20"/>
                <w:lang w:bidi="fr-FR"/>
              </w:rPr>
              <w:t>OVM sous conditions</w:t>
            </w:r>
          </w:p>
          <w:p w14:paraId="2E31AB8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Text4"/>
                  <w:enabled/>
                  <w:calcOnExit w:val="0"/>
                  <w:textInput>
                    <w:default w:val="[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w:t>
            </w:r>
            <w:r w:rsidRPr="006C590E">
              <w:rPr>
                <w:kern w:val="22"/>
                <w:sz w:val="20"/>
                <w:szCs w:val="20"/>
                <w:lang w:bidi="fr-FR"/>
              </w:rPr>
              <w:fldChar w:fldCharType="end"/>
            </w:r>
            <w:r w:rsidRPr="006C590E">
              <w:rPr>
                <w:kern w:val="22"/>
                <w:sz w:val="20"/>
                <w:szCs w:val="20"/>
                <w:lang w:bidi="fr-FR"/>
              </w:rPr>
              <w:tab/>
              <w:t xml:space="preserve">Interdiction de </w:t>
            </w:r>
            <w:r>
              <w:rPr>
                <w:kern w:val="22"/>
                <w:sz w:val="20"/>
                <w:szCs w:val="20"/>
                <w:lang w:bidi="fr-FR"/>
              </w:rPr>
              <w:t>l’importation / utilisation d’</w:t>
            </w:r>
            <w:r w:rsidRPr="006C590E">
              <w:rPr>
                <w:kern w:val="22"/>
                <w:sz w:val="20"/>
                <w:szCs w:val="20"/>
                <w:lang w:bidi="fr-FR"/>
              </w:rPr>
              <w:t>OVM</w:t>
            </w:r>
          </w:p>
          <w:p w14:paraId="428D6D8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Text4"/>
                  <w:enabled/>
                  <w:calcOnExit w:val="0"/>
                  <w:textInput>
                    <w:default w:val="[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w:t>
            </w:r>
            <w:r w:rsidRPr="006C590E">
              <w:rPr>
                <w:kern w:val="22"/>
                <w:sz w:val="20"/>
                <w:szCs w:val="20"/>
                <w:lang w:bidi="fr-FR"/>
              </w:rPr>
              <w:fldChar w:fldCharType="end"/>
            </w:r>
            <w:r w:rsidRPr="006C590E">
              <w:rPr>
                <w:kern w:val="22"/>
                <w:sz w:val="20"/>
                <w:szCs w:val="20"/>
                <w:lang w:bidi="fr-FR"/>
              </w:rPr>
              <w:tab/>
              <w:t>Demande d'informations supplémentaires pertinentes</w:t>
            </w:r>
          </w:p>
          <w:p w14:paraId="46B06D1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Text4"/>
                  <w:enabled/>
                  <w:calcOnExit w:val="0"/>
                  <w:textInput>
                    <w:default w:val="[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w:t>
            </w:r>
            <w:r w:rsidRPr="006C590E">
              <w:rPr>
                <w:kern w:val="22"/>
                <w:sz w:val="20"/>
                <w:szCs w:val="20"/>
                <w:lang w:bidi="fr-FR"/>
              </w:rPr>
              <w:fldChar w:fldCharType="end"/>
            </w:r>
            <w:r>
              <w:rPr>
                <w:kern w:val="22"/>
                <w:sz w:val="20"/>
                <w:szCs w:val="20"/>
                <w:lang w:bidi="fr-FR"/>
              </w:rPr>
              <w:tab/>
              <w:t>Informe</w:t>
            </w:r>
            <w:r w:rsidRPr="006C590E">
              <w:rPr>
                <w:kern w:val="22"/>
                <w:sz w:val="20"/>
                <w:szCs w:val="20"/>
                <w:lang w:bidi="fr-FR"/>
              </w:rPr>
              <w:t xml:space="preserve"> l’auteur de la notification que le délai de communication de la décision a été prolongé</w:t>
            </w:r>
          </w:p>
        </w:tc>
      </w:tr>
      <w:tr w:rsidR="00952749" w:rsidRPr="006C590E" w14:paraId="271AE796" w14:textId="77777777" w:rsidTr="009137A8">
        <w:trPr>
          <w:gridAfter w:val="1"/>
          <w:wAfter w:w="75" w:type="dxa"/>
          <w:cantSplit/>
        </w:trPr>
        <w:tc>
          <w:tcPr>
            <w:tcW w:w="5008" w:type="dxa"/>
            <w:gridSpan w:val="3"/>
            <w:vAlign w:val="center"/>
            <w:hideMark/>
          </w:tcPr>
          <w:p w14:paraId="7CB1864A" w14:textId="77777777" w:rsidR="00952749" w:rsidRPr="006C590E" w:rsidRDefault="00952749" w:rsidP="004C7DBD">
            <w:pPr>
              <w:numPr>
                <w:ilvl w:val="0"/>
                <w:numId w:val="31"/>
              </w:numPr>
              <w:suppressLineNumbers/>
              <w:suppressAutoHyphens/>
              <w:kinsoku w:val="0"/>
              <w:overflowPunct w:val="0"/>
              <w:autoSpaceDE w:val="0"/>
              <w:autoSpaceDN w:val="0"/>
              <w:adjustRightInd w:val="0"/>
              <w:snapToGrid w:val="0"/>
              <w:spacing w:before="120" w:after="120"/>
              <w:ind w:left="360" w:right="490" w:hanging="45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à la question 36</w:t>
            </w:r>
            <w:r w:rsidRPr="006C590E">
              <w:rPr>
                <w:kern w:val="22"/>
                <w:sz w:val="20"/>
                <w:szCs w:val="20"/>
                <w:lang w:bidi="fr-FR"/>
              </w:rPr>
              <w:t xml:space="preserve"> que votre pays a pris la décision </w:t>
            </w:r>
            <w:r w:rsidRPr="006C590E">
              <w:rPr>
                <w:i/>
                <w:kern w:val="22"/>
                <w:sz w:val="20"/>
                <w:szCs w:val="20"/>
                <w:lang w:bidi="fr-FR"/>
              </w:rPr>
              <w:t>d'approuver l'importation sous conditions ou d'interdire l'importation</w:t>
            </w:r>
            <w:r w:rsidRPr="006C590E">
              <w:rPr>
                <w:kern w:val="22"/>
                <w:sz w:val="20"/>
                <w:szCs w:val="20"/>
                <w:lang w:bidi="fr-FR"/>
              </w:rPr>
              <w:t>, les raisons ont-elles été fournies ?</w:t>
            </w:r>
          </w:p>
        </w:tc>
        <w:tc>
          <w:tcPr>
            <w:tcW w:w="4519" w:type="dxa"/>
            <w:gridSpan w:val="3"/>
            <w:tcBorders>
              <w:right w:val="single" w:sz="4" w:space="0" w:color="auto"/>
            </w:tcBorders>
            <w:vAlign w:val="center"/>
            <w:hideMark/>
          </w:tcPr>
          <w:p w14:paraId="4179B68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755D07D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0D022A3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6FF3CC55" w14:textId="77777777" w:rsidTr="009137A8">
        <w:trPr>
          <w:gridAfter w:val="1"/>
          <w:wAfter w:w="75" w:type="dxa"/>
          <w:cantSplit/>
        </w:trPr>
        <w:tc>
          <w:tcPr>
            <w:tcW w:w="9527" w:type="dxa"/>
            <w:gridSpan w:val="6"/>
            <w:tcBorders>
              <w:right w:val="single" w:sz="4" w:space="0" w:color="auto"/>
            </w:tcBorders>
            <w:vAlign w:val="center"/>
            <w:hideMark/>
          </w:tcPr>
          <w:p w14:paraId="4E332A4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de plus amples détails sur l’application des articles 7 à 10 dans votre pays, y compris des mesures, en cas d’absence de certitude scientifique, sur les effets défavorables potentiels des OVM aux fins d’introduction inte</w:t>
            </w:r>
            <w:r>
              <w:rPr>
                <w:kern w:val="22"/>
                <w:sz w:val="20"/>
                <w:szCs w:val="20"/>
                <w:lang w:bidi="fr-FR"/>
              </w:rPr>
              <w:t xml:space="preserve">ntionnelle dans l’environnement </w:t>
            </w:r>
            <w:r w:rsidRPr="006C590E">
              <w:rPr>
                <w:kern w:val="22"/>
                <w:sz w:val="20"/>
                <w:szCs w:val="20"/>
                <w:lang w:bidi="fr-FR"/>
              </w:rPr>
              <w:t>:</w:t>
            </w:r>
          </w:p>
          <w:p w14:paraId="1BE9B5E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40" w:right="2"/>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5D39CF7A" w14:textId="77777777" w:rsidTr="009137A8">
        <w:trPr>
          <w:gridAfter w:val="1"/>
          <w:wAfter w:w="75" w:type="dxa"/>
          <w:cantSplit/>
        </w:trPr>
        <w:tc>
          <w:tcPr>
            <w:tcW w:w="9527" w:type="dxa"/>
            <w:gridSpan w:val="6"/>
            <w:tcBorders>
              <w:right w:val="single" w:sz="4" w:space="0" w:color="auto"/>
            </w:tcBorders>
            <w:vAlign w:val="center"/>
            <w:hideMark/>
          </w:tcPr>
          <w:p w14:paraId="76F2D74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6C590E">
              <w:rPr>
                <w:kern w:val="22"/>
                <w:sz w:val="20"/>
                <w:szCs w:val="20"/>
                <w:lang w:bidi="fr-FR"/>
              </w:rPr>
              <w:br w:type="page"/>
            </w:r>
            <w:r w:rsidRPr="006C590E">
              <w:rPr>
                <w:rFonts w:eastAsia="Arial Unicode MS"/>
                <w:b/>
                <w:kern w:val="22"/>
                <w:sz w:val="20"/>
                <w:szCs w:val="20"/>
                <w:lang w:bidi="fr-FR"/>
              </w:rPr>
              <w:t xml:space="preserve">Article 11 – Procédure à suivre pour les organismes vivants modifiés </w:t>
            </w:r>
            <w:r w:rsidRPr="006C590E">
              <w:rPr>
                <w:rFonts w:eastAsia="Arial Unicode MS"/>
                <w:b/>
                <w:kern w:val="22"/>
                <w:sz w:val="20"/>
                <w:szCs w:val="20"/>
                <w:lang w:bidi="fr-FR"/>
              </w:rPr>
              <w:br/>
              <w:t>destinés à être utilisés directement pour l’alimentation humaine ou animale, ou à être transformés</w:t>
            </w:r>
          </w:p>
        </w:tc>
      </w:tr>
      <w:tr w:rsidR="00952749" w:rsidRPr="006C590E" w14:paraId="75373B43" w14:textId="77777777" w:rsidTr="009137A8">
        <w:trPr>
          <w:gridAfter w:val="1"/>
          <w:wAfter w:w="75" w:type="dxa"/>
          <w:cantSplit/>
        </w:trPr>
        <w:tc>
          <w:tcPr>
            <w:tcW w:w="4954" w:type="dxa"/>
            <w:vAlign w:val="center"/>
            <w:hideMark/>
          </w:tcPr>
          <w:p w14:paraId="0DD971E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 xml:space="preserve">Votre pays a-t-il </w:t>
            </w:r>
            <w:r>
              <w:rPr>
                <w:kern w:val="22"/>
                <w:sz w:val="20"/>
                <w:szCs w:val="20"/>
                <w:lang w:bidi="fr-FR"/>
              </w:rPr>
              <w:t xml:space="preserve">mis en place </w:t>
            </w:r>
            <w:r w:rsidRPr="006C590E">
              <w:rPr>
                <w:kern w:val="22"/>
                <w:sz w:val="20"/>
                <w:szCs w:val="20"/>
                <w:lang w:bidi="fr-FR"/>
              </w:rPr>
              <w:t>des lois, règlements ou mesures administratives pour la prise de décision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69F4A5E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698D851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2479EDC8" w14:textId="77777777" w:rsidTr="009137A8">
        <w:trPr>
          <w:gridAfter w:val="1"/>
          <w:wAfter w:w="75" w:type="dxa"/>
          <w:cantSplit/>
        </w:trPr>
        <w:tc>
          <w:tcPr>
            <w:tcW w:w="4954" w:type="dxa"/>
            <w:vAlign w:val="center"/>
            <w:hideMark/>
          </w:tcPr>
          <w:p w14:paraId="62E961D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w:t>
            </w:r>
            <w:r>
              <w:rPr>
                <w:kern w:val="22"/>
                <w:sz w:val="20"/>
                <w:szCs w:val="20"/>
                <w:lang w:bidi="fr-FR"/>
              </w:rPr>
              <w:t>t-il mis en place des obligations juridique</w:t>
            </w:r>
            <w:r w:rsidRPr="006C590E">
              <w:rPr>
                <w:kern w:val="22"/>
                <w:sz w:val="20"/>
                <w:szCs w:val="20"/>
                <w:lang w:bidi="fr-FR"/>
              </w:rPr>
              <w:t>s concernant l'exactitude des informations à fournir par le demandeur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2E5C441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4ADC46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39559D2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5B5FA4DD" w14:textId="77777777" w:rsidTr="009137A8">
        <w:trPr>
          <w:gridAfter w:val="1"/>
          <w:wAfter w:w="75" w:type="dxa"/>
          <w:cantSplit/>
        </w:trPr>
        <w:tc>
          <w:tcPr>
            <w:tcW w:w="4954" w:type="dxa"/>
            <w:vAlign w:val="center"/>
            <w:hideMark/>
          </w:tcPr>
          <w:p w14:paraId="74A3CF9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le présent rapport, combien de décisions votre pays a-t-il prises concernant l'utilisation domestique, y compris la mise sur le marché, d'OVM pouvant faire l'objet de mouvements transfrontières et directement destinés à l'alimentation humaine ou animale ou à être transformés ?</w:t>
            </w:r>
          </w:p>
        </w:tc>
        <w:tc>
          <w:tcPr>
            <w:tcW w:w="4573" w:type="dxa"/>
            <w:gridSpan w:val="5"/>
            <w:tcBorders>
              <w:right w:val="single" w:sz="4" w:space="0" w:color="auto"/>
            </w:tcBorders>
            <w:vAlign w:val="center"/>
            <w:hideMark/>
          </w:tcPr>
          <w:p w14:paraId="4B60E8E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5FD4576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702A416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201B88E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tc>
      </w:tr>
      <w:tr w:rsidR="00952749" w:rsidRPr="006C590E" w14:paraId="7C0EA9EB" w14:textId="77777777" w:rsidTr="009137A8">
        <w:trPr>
          <w:gridAfter w:val="1"/>
          <w:wAfter w:w="75" w:type="dxa"/>
          <w:cantSplit/>
        </w:trPr>
        <w:tc>
          <w:tcPr>
            <w:tcW w:w="4954" w:type="dxa"/>
            <w:vAlign w:val="center"/>
            <w:hideMark/>
          </w:tcPr>
          <w:p w14:paraId="7F448CC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w:t>
            </w:r>
            <w:r>
              <w:rPr>
                <w:kern w:val="22"/>
                <w:sz w:val="20"/>
                <w:szCs w:val="20"/>
                <w:lang w:bidi="fr-FR"/>
              </w:rPr>
              <w:t xml:space="preserve"> mis en place</w:t>
            </w:r>
            <w:r w:rsidRPr="006C590E">
              <w:rPr>
                <w:kern w:val="22"/>
                <w:sz w:val="20"/>
                <w:szCs w:val="20"/>
                <w:lang w:bidi="fr-FR"/>
              </w:rPr>
              <w:t xml:space="preserve"> des lois, règlements ou mesures administratives pour la prise de décision concernant l'importation d'OVM destinés à être utilisés directement pour l'alimentation humaine ou animale ou à être transformés ?</w:t>
            </w:r>
          </w:p>
        </w:tc>
        <w:tc>
          <w:tcPr>
            <w:tcW w:w="4573" w:type="dxa"/>
            <w:gridSpan w:val="5"/>
            <w:tcBorders>
              <w:right w:val="single" w:sz="4" w:space="0" w:color="auto"/>
            </w:tcBorders>
            <w:vAlign w:val="center"/>
            <w:hideMark/>
          </w:tcPr>
          <w:p w14:paraId="03DA582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6A73EB1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579754D1" w14:textId="77777777" w:rsidTr="009137A8">
        <w:trPr>
          <w:gridAfter w:val="1"/>
          <w:wAfter w:w="75" w:type="dxa"/>
          <w:cantSplit/>
        </w:trPr>
        <w:tc>
          <w:tcPr>
            <w:tcW w:w="4954" w:type="dxa"/>
            <w:vAlign w:val="center"/>
            <w:hideMark/>
          </w:tcPr>
          <w:p w14:paraId="5999910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le présent rapport, combien de décisions votre pays a-t-il prises concernant l'importation d'OVM destinés à être utilisés directement pour l'alimentation humaine ou animale ou pour être transformés ?</w:t>
            </w:r>
          </w:p>
        </w:tc>
        <w:tc>
          <w:tcPr>
            <w:tcW w:w="4573" w:type="dxa"/>
            <w:gridSpan w:val="5"/>
            <w:tcBorders>
              <w:right w:val="single" w:sz="4" w:space="0" w:color="auto"/>
            </w:tcBorders>
            <w:vAlign w:val="center"/>
            <w:hideMark/>
          </w:tcPr>
          <w:p w14:paraId="735DD91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725D2FF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7C074D2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3F27092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tc>
      </w:tr>
      <w:tr w:rsidR="00952749" w:rsidRPr="006C590E" w14:paraId="4CF7DC81" w14:textId="77777777" w:rsidTr="009137A8">
        <w:trPr>
          <w:gridAfter w:val="1"/>
          <w:wAfter w:w="75" w:type="dxa"/>
          <w:cantSplit/>
        </w:trPr>
        <w:tc>
          <w:tcPr>
            <w:tcW w:w="9527" w:type="dxa"/>
            <w:gridSpan w:val="6"/>
            <w:tcBorders>
              <w:right w:val="single" w:sz="4" w:space="0" w:color="auto"/>
            </w:tcBorders>
            <w:vAlign w:val="center"/>
          </w:tcPr>
          <w:p w14:paraId="639DB77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Vous pouvez fournir</w:t>
            </w:r>
            <w:r>
              <w:rPr>
                <w:kern w:val="22"/>
                <w:sz w:val="20"/>
                <w:szCs w:val="20"/>
                <w:lang w:bidi="fr-FR"/>
              </w:rPr>
              <w:t xml:space="preserve"> ici</w:t>
            </w:r>
            <w:r w:rsidRPr="006C590E">
              <w:rPr>
                <w:kern w:val="22"/>
                <w:sz w:val="20"/>
                <w:szCs w:val="20"/>
                <w:lang w:bidi="fr-FR"/>
              </w:rPr>
              <w:t xml:space="preserve"> des précisions sur la mise en œuvre de l'article 11 dans votre pays, y comp</w:t>
            </w:r>
            <w:r>
              <w:rPr>
                <w:kern w:val="22"/>
                <w:sz w:val="20"/>
                <w:szCs w:val="20"/>
                <w:lang w:bidi="fr-FR"/>
              </w:rPr>
              <w:t>ris des mesures en cas d’absence</w:t>
            </w:r>
            <w:r w:rsidRPr="006C590E">
              <w:rPr>
                <w:kern w:val="22"/>
                <w:sz w:val="20"/>
                <w:szCs w:val="20"/>
                <w:lang w:bidi="fr-FR"/>
              </w:rPr>
              <w:t xml:space="preserve"> de certitude scientifique sur les effets négatifs potentiels des OVM pouvant faire l'objet de mouvements transfrontières et directement destinés à l'alimentation humaine ou animale ou à être transformés :</w:t>
            </w:r>
          </w:p>
          <w:p w14:paraId="3494D68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40" w:right="2"/>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4AFF50B8" w14:textId="77777777" w:rsidTr="009137A8">
        <w:trPr>
          <w:gridAfter w:val="1"/>
          <w:wAfter w:w="75" w:type="dxa"/>
          <w:cantSplit/>
        </w:trPr>
        <w:tc>
          <w:tcPr>
            <w:tcW w:w="9527" w:type="dxa"/>
            <w:gridSpan w:val="6"/>
            <w:tcBorders>
              <w:right w:val="single" w:sz="4" w:space="0" w:color="auto"/>
            </w:tcBorders>
            <w:vAlign w:val="center"/>
            <w:hideMark/>
          </w:tcPr>
          <w:p w14:paraId="5BD30F5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kern w:val="22"/>
                <w:sz w:val="20"/>
                <w:szCs w:val="20"/>
                <w:lang w:bidi="fr-FR"/>
              </w:rPr>
              <w:br w:type="page"/>
            </w:r>
            <w:r w:rsidRPr="006C590E">
              <w:rPr>
                <w:b/>
                <w:kern w:val="22"/>
                <w:sz w:val="20"/>
                <w:szCs w:val="20"/>
                <w:lang w:bidi="fr-FR"/>
              </w:rPr>
              <w:t>Article 12 – Examen des décisions</w:t>
            </w:r>
          </w:p>
        </w:tc>
      </w:tr>
      <w:tr w:rsidR="00952749" w:rsidRPr="006C590E" w14:paraId="6454CC58" w14:textId="77777777" w:rsidTr="009137A8">
        <w:trPr>
          <w:gridAfter w:val="1"/>
          <w:wAfter w:w="75" w:type="dxa"/>
          <w:cantSplit/>
        </w:trPr>
        <w:tc>
          <w:tcPr>
            <w:tcW w:w="4954" w:type="dxa"/>
            <w:shd w:val="clear" w:color="auto" w:fill="auto"/>
            <w:vAlign w:val="center"/>
            <w:hideMark/>
          </w:tcPr>
          <w:p w14:paraId="3FC888D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Votre pays a-t-il établi un mécanisme de reconsidération et de modification d’une décision concern</w:t>
            </w:r>
            <w:r>
              <w:rPr>
                <w:kern w:val="22"/>
                <w:sz w:val="20"/>
                <w:szCs w:val="20"/>
                <w:lang w:bidi="fr-FR"/>
              </w:rPr>
              <w:t>ant un mouvement transfrontière</w:t>
            </w:r>
            <w:r w:rsidRPr="006C590E">
              <w:rPr>
                <w:kern w:val="22"/>
                <w:sz w:val="20"/>
                <w:szCs w:val="20"/>
                <w:lang w:bidi="fr-FR"/>
              </w:rPr>
              <w:t xml:space="preserve"> intentionnel d’OVM ?</w:t>
            </w:r>
          </w:p>
        </w:tc>
        <w:tc>
          <w:tcPr>
            <w:tcW w:w="4573" w:type="dxa"/>
            <w:gridSpan w:val="5"/>
            <w:tcBorders>
              <w:right w:val="single" w:sz="4" w:space="0" w:color="auto"/>
            </w:tcBorders>
            <w:shd w:val="clear" w:color="auto" w:fill="auto"/>
            <w:vAlign w:val="center"/>
            <w:hideMark/>
          </w:tcPr>
          <w:p w14:paraId="0B35C24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86BA79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450823D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28F541BC" w14:textId="77777777" w:rsidTr="009137A8">
        <w:trPr>
          <w:gridAfter w:val="1"/>
          <w:wAfter w:w="75" w:type="dxa"/>
          <w:cantSplit/>
        </w:trPr>
        <w:tc>
          <w:tcPr>
            <w:tcW w:w="4954" w:type="dxa"/>
            <w:vAlign w:val="center"/>
            <w:hideMark/>
          </w:tcPr>
          <w:p w14:paraId="24303DD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le présent rapport, votre pays a-t-il déjà reconsidéré ou modifié une décision concernant un mouvement transfrontière intentionnel d’OVM ?</w:t>
            </w:r>
          </w:p>
        </w:tc>
        <w:tc>
          <w:tcPr>
            <w:tcW w:w="4573" w:type="dxa"/>
            <w:gridSpan w:val="5"/>
            <w:tcBorders>
              <w:right w:val="single" w:sz="4" w:space="0" w:color="auto"/>
            </w:tcBorders>
            <w:vAlign w:val="center"/>
            <w:hideMark/>
          </w:tcPr>
          <w:p w14:paraId="69C1FE5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5247D64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12AC58B7" w14:textId="77777777" w:rsidTr="009137A8">
        <w:trPr>
          <w:gridAfter w:val="1"/>
          <w:wAfter w:w="75" w:type="dxa"/>
          <w:cantSplit/>
        </w:trPr>
        <w:tc>
          <w:tcPr>
            <w:tcW w:w="4954" w:type="dxa"/>
            <w:shd w:val="clear" w:color="auto" w:fill="FFFFFF"/>
            <w:vAlign w:val="center"/>
          </w:tcPr>
          <w:p w14:paraId="63E7832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46, combien de décisions ont été examinées ou modifiées ?</w:t>
            </w:r>
          </w:p>
        </w:tc>
        <w:tc>
          <w:tcPr>
            <w:tcW w:w="4573" w:type="dxa"/>
            <w:gridSpan w:val="5"/>
            <w:tcBorders>
              <w:right w:val="single" w:sz="4" w:space="0" w:color="auto"/>
            </w:tcBorders>
            <w:shd w:val="clear" w:color="auto" w:fill="FFFFFF"/>
            <w:vAlign w:val="center"/>
          </w:tcPr>
          <w:p w14:paraId="439EDE9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40CEDB0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5AB5FCB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tc>
      </w:tr>
      <w:tr w:rsidR="00952749" w:rsidRPr="006C590E" w14:paraId="059B5995" w14:textId="77777777" w:rsidTr="009137A8">
        <w:trPr>
          <w:gridAfter w:val="1"/>
          <w:wAfter w:w="75" w:type="dxa"/>
          <w:cantSplit/>
        </w:trPr>
        <w:tc>
          <w:tcPr>
            <w:tcW w:w="4954" w:type="dxa"/>
            <w:vAlign w:val="center"/>
            <w:hideMark/>
          </w:tcPr>
          <w:p w14:paraId="78D4175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46, l'un des examens a-t-il été déclenché par une demande de la Partie exportatrice ou de l’auteur de la notification ?</w:t>
            </w:r>
          </w:p>
        </w:tc>
        <w:tc>
          <w:tcPr>
            <w:tcW w:w="4573" w:type="dxa"/>
            <w:gridSpan w:val="5"/>
            <w:tcBorders>
              <w:right w:val="single" w:sz="4" w:space="0" w:color="auto"/>
            </w:tcBorders>
            <w:vAlign w:val="center"/>
            <w:hideMark/>
          </w:tcPr>
          <w:p w14:paraId="7B90E4B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w:t>
            </w:r>
          </w:p>
          <w:p w14:paraId="00A2EE4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Non </w:t>
            </w:r>
          </w:p>
        </w:tc>
      </w:tr>
      <w:tr w:rsidR="00952749" w:rsidRPr="006C590E" w14:paraId="17DA4099" w14:textId="77777777" w:rsidTr="009137A8">
        <w:trPr>
          <w:gridAfter w:val="1"/>
          <w:wAfter w:w="75" w:type="dxa"/>
          <w:cantSplit/>
        </w:trPr>
        <w:tc>
          <w:tcPr>
            <w:tcW w:w="4954" w:type="dxa"/>
            <w:vAlign w:val="center"/>
            <w:hideMark/>
          </w:tcPr>
          <w:p w14:paraId="33C8696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48, votre pays a-t-il fourni une réponse dans les quatre-vingt-dix jours exposant les raisons de la décision ?</w:t>
            </w:r>
          </w:p>
        </w:tc>
        <w:tc>
          <w:tcPr>
            <w:tcW w:w="4573" w:type="dxa"/>
            <w:gridSpan w:val="5"/>
            <w:tcBorders>
              <w:right w:val="single" w:sz="4" w:space="0" w:color="auto"/>
            </w:tcBorders>
            <w:vAlign w:val="center"/>
            <w:hideMark/>
          </w:tcPr>
          <w:p w14:paraId="2A810D5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33EA7B0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457E42E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169B7218" w14:textId="77777777" w:rsidTr="009137A8">
        <w:trPr>
          <w:gridAfter w:val="1"/>
          <w:wAfter w:w="75" w:type="dxa"/>
          <w:cantSplit/>
        </w:trPr>
        <w:tc>
          <w:tcPr>
            <w:tcW w:w="4954" w:type="dxa"/>
            <w:vAlign w:val="center"/>
            <w:hideMark/>
          </w:tcPr>
          <w:p w14:paraId="2AECFC1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46, l'un des réexamens entrepris par votre pays l’a-t-il été en tant que Partie importatrice ?</w:t>
            </w:r>
          </w:p>
        </w:tc>
        <w:tc>
          <w:tcPr>
            <w:tcW w:w="4573" w:type="dxa"/>
            <w:gridSpan w:val="5"/>
            <w:tcBorders>
              <w:right w:val="single" w:sz="4" w:space="0" w:color="auto"/>
            </w:tcBorders>
            <w:vAlign w:val="center"/>
            <w:hideMark/>
          </w:tcPr>
          <w:p w14:paraId="60907F6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w:t>
            </w:r>
          </w:p>
          <w:p w14:paraId="2275A72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6F55AD1D" w14:textId="77777777" w:rsidTr="009137A8">
        <w:trPr>
          <w:gridAfter w:val="1"/>
          <w:wAfter w:w="75" w:type="dxa"/>
          <w:cantSplit/>
        </w:trPr>
        <w:tc>
          <w:tcPr>
            <w:tcW w:w="9527" w:type="dxa"/>
            <w:gridSpan w:val="6"/>
            <w:tcBorders>
              <w:right w:val="single" w:sz="4" w:space="0" w:color="auto"/>
            </w:tcBorders>
            <w:vAlign w:val="center"/>
          </w:tcPr>
          <w:p w14:paraId="6474C926" w14:textId="77777777" w:rsidR="00952749" w:rsidRPr="006C590E" w:rsidRDefault="00952749" w:rsidP="004C7DBD">
            <w:pPr>
              <w:pStyle w:val="ListParagraph"/>
              <w:numPr>
                <w:ilvl w:val="0"/>
                <w:numId w:val="31"/>
              </w:numPr>
              <w:suppressLineNumbers/>
              <w:tabs>
                <w:tab w:val="clear" w:pos="360"/>
              </w:tabs>
              <w:suppressAutoHyphens/>
              <w:kinsoku w:val="0"/>
              <w:overflowPunct w:val="0"/>
              <w:autoSpaceDE w:val="0"/>
              <w:autoSpaceDN w:val="0"/>
              <w:adjustRightInd w:val="0"/>
              <w:snapToGrid w:val="0"/>
              <w:spacing w:before="120" w:after="120"/>
              <w:ind w:left="592" w:hanging="592"/>
              <w:jc w:val="left"/>
              <w:rPr>
                <w:kern w:val="22"/>
                <w:sz w:val="20"/>
                <w:szCs w:val="20"/>
                <w:lang w:bidi="fr-FR"/>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50, votre pays a-t-il, dans un délai de trente jours, exposé les m</w:t>
            </w:r>
            <w:r>
              <w:rPr>
                <w:kern w:val="22"/>
                <w:sz w:val="20"/>
                <w:szCs w:val="20"/>
                <w:lang w:bidi="fr-FR"/>
              </w:rPr>
              <w:t>otifs de la décision et informé :</w:t>
            </w:r>
          </w:p>
        </w:tc>
      </w:tr>
      <w:tr w:rsidR="00952749" w:rsidRPr="006C590E" w14:paraId="7955FA9C" w14:textId="77777777" w:rsidTr="009137A8">
        <w:trPr>
          <w:gridAfter w:val="1"/>
          <w:wAfter w:w="75" w:type="dxa"/>
          <w:cantSplit/>
        </w:trPr>
        <w:tc>
          <w:tcPr>
            <w:tcW w:w="4954" w:type="dxa"/>
            <w:vAlign w:val="center"/>
          </w:tcPr>
          <w:p w14:paraId="44DF2A78"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1132" w:right="490" w:hanging="540"/>
              <w:jc w:val="left"/>
              <w:rPr>
                <w:kern w:val="22"/>
                <w:sz w:val="20"/>
                <w:szCs w:val="20"/>
                <w:lang w:bidi="fr-FR"/>
              </w:rPr>
            </w:pPr>
            <w:r w:rsidRPr="006C590E">
              <w:rPr>
                <w:kern w:val="22"/>
                <w:sz w:val="20"/>
                <w:szCs w:val="20"/>
                <w:lang w:bidi="fr-FR"/>
              </w:rPr>
              <w:t>L’auteur de la notification</w:t>
            </w:r>
          </w:p>
        </w:tc>
        <w:tc>
          <w:tcPr>
            <w:tcW w:w="4573" w:type="dxa"/>
            <w:gridSpan w:val="5"/>
            <w:tcBorders>
              <w:right w:val="single" w:sz="4" w:space="0" w:color="auto"/>
            </w:tcBorders>
            <w:vAlign w:val="center"/>
          </w:tcPr>
          <w:p w14:paraId="406D1E0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3525C39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04CE4C6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Non </w:t>
            </w:r>
          </w:p>
        </w:tc>
      </w:tr>
      <w:tr w:rsidR="00952749" w:rsidRPr="006C590E" w14:paraId="6684E189" w14:textId="77777777" w:rsidTr="009137A8">
        <w:trPr>
          <w:gridAfter w:val="1"/>
          <w:wAfter w:w="75" w:type="dxa"/>
          <w:cantSplit/>
        </w:trPr>
        <w:tc>
          <w:tcPr>
            <w:tcW w:w="4954" w:type="dxa"/>
            <w:vAlign w:val="center"/>
            <w:hideMark/>
          </w:tcPr>
          <w:p w14:paraId="727C21CA"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1132" w:right="490" w:hanging="540"/>
              <w:jc w:val="left"/>
              <w:rPr>
                <w:i/>
                <w:kern w:val="22"/>
                <w:sz w:val="20"/>
                <w:szCs w:val="20"/>
              </w:rPr>
            </w:pPr>
            <w:r w:rsidRPr="006C590E">
              <w:rPr>
                <w:kern w:val="22"/>
                <w:sz w:val="20"/>
                <w:szCs w:val="20"/>
                <w:lang w:bidi="fr-FR"/>
              </w:rPr>
              <w:t>L</w:t>
            </w:r>
            <w:r>
              <w:rPr>
                <w:kern w:val="22"/>
                <w:sz w:val="20"/>
                <w:szCs w:val="20"/>
                <w:lang w:bidi="fr-FR"/>
              </w:rPr>
              <w:t xml:space="preserve">e Centre d’échange pour la prévention des risques biotechnologiques </w:t>
            </w:r>
          </w:p>
        </w:tc>
        <w:tc>
          <w:tcPr>
            <w:tcW w:w="4573" w:type="dxa"/>
            <w:gridSpan w:val="5"/>
            <w:tcBorders>
              <w:right w:val="single" w:sz="4" w:space="0" w:color="auto"/>
            </w:tcBorders>
            <w:vAlign w:val="center"/>
            <w:hideMark/>
          </w:tcPr>
          <w:p w14:paraId="1F292A9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09546FA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074B158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Non </w:t>
            </w:r>
          </w:p>
        </w:tc>
      </w:tr>
      <w:tr w:rsidR="00952749" w:rsidRPr="006C590E" w14:paraId="4B587A60" w14:textId="77777777" w:rsidTr="009137A8">
        <w:trPr>
          <w:gridAfter w:val="1"/>
          <w:wAfter w:w="75" w:type="dxa"/>
          <w:cantSplit/>
        </w:trPr>
        <w:tc>
          <w:tcPr>
            <w:tcW w:w="9527" w:type="dxa"/>
            <w:gridSpan w:val="6"/>
            <w:tcBorders>
              <w:right w:val="single" w:sz="4" w:space="0" w:color="auto"/>
            </w:tcBorders>
            <w:vAlign w:val="center"/>
            <w:hideMark/>
          </w:tcPr>
          <w:p w14:paraId="12CD1F4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 xml:space="preserve">de plus amples détails sur l’application de l’article 12 dans </w:t>
            </w:r>
            <w:r>
              <w:rPr>
                <w:kern w:val="22"/>
                <w:sz w:val="20"/>
                <w:szCs w:val="20"/>
                <w:lang w:bidi="fr-FR"/>
              </w:rPr>
              <w:t>votre pays</w:t>
            </w:r>
            <w:r w:rsidRPr="006C590E">
              <w:rPr>
                <w:kern w:val="22"/>
                <w:sz w:val="20"/>
                <w:szCs w:val="20"/>
                <w:lang w:bidi="fr-FR"/>
              </w:rPr>
              <w:t xml:space="preserve"> :</w:t>
            </w:r>
          </w:p>
          <w:p w14:paraId="6235F72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7E42A260" w14:textId="77777777" w:rsidTr="009137A8">
        <w:trPr>
          <w:gridAfter w:val="1"/>
          <w:wAfter w:w="75" w:type="dxa"/>
          <w:cantSplit/>
        </w:trPr>
        <w:tc>
          <w:tcPr>
            <w:tcW w:w="9527" w:type="dxa"/>
            <w:gridSpan w:val="6"/>
            <w:tcBorders>
              <w:right w:val="single" w:sz="4" w:space="0" w:color="auto"/>
            </w:tcBorders>
            <w:vAlign w:val="center"/>
            <w:hideMark/>
          </w:tcPr>
          <w:p w14:paraId="1C5B867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t>Article 13 – Procédure simplifiée</w:t>
            </w:r>
          </w:p>
        </w:tc>
      </w:tr>
      <w:tr w:rsidR="00952749" w:rsidRPr="006C590E" w14:paraId="6E2D6754" w14:textId="77777777" w:rsidTr="009137A8">
        <w:trPr>
          <w:gridAfter w:val="1"/>
          <w:wAfter w:w="75" w:type="dxa"/>
          <w:cantSplit/>
        </w:trPr>
        <w:tc>
          <w:tcPr>
            <w:tcW w:w="4954" w:type="dxa"/>
            <w:shd w:val="clear" w:color="auto" w:fill="auto"/>
            <w:vAlign w:val="center"/>
            <w:hideMark/>
          </w:tcPr>
          <w:p w14:paraId="5D5C359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Pr>
                <w:kern w:val="22"/>
                <w:sz w:val="20"/>
                <w:szCs w:val="20"/>
                <w:lang w:bidi="fr-FR"/>
              </w:rPr>
              <w:t xml:space="preserve">Votre pays a-t-il créé </w:t>
            </w:r>
            <w:r w:rsidRPr="006C590E">
              <w:rPr>
                <w:kern w:val="22"/>
                <w:sz w:val="20"/>
                <w:szCs w:val="20"/>
                <w:lang w:bidi="fr-FR"/>
              </w:rPr>
              <w:t>un mécanisme d’application de la procédure simplifiée concernant les mouvements transfrontières intentionnels d’OVM ?</w:t>
            </w:r>
          </w:p>
        </w:tc>
        <w:tc>
          <w:tcPr>
            <w:tcW w:w="4573" w:type="dxa"/>
            <w:gridSpan w:val="5"/>
            <w:tcBorders>
              <w:right w:val="single" w:sz="4" w:space="0" w:color="auto"/>
            </w:tcBorders>
            <w:shd w:val="clear" w:color="auto" w:fill="auto"/>
            <w:vAlign w:val="center"/>
            <w:hideMark/>
          </w:tcPr>
          <w:p w14:paraId="358086F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1EC5C86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24A5229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55966108" w14:textId="77777777" w:rsidTr="009137A8">
        <w:trPr>
          <w:gridAfter w:val="1"/>
          <w:wAfter w:w="75" w:type="dxa"/>
          <w:cantSplit/>
        </w:trPr>
        <w:tc>
          <w:tcPr>
            <w:tcW w:w="4954" w:type="dxa"/>
            <w:shd w:val="clear" w:color="auto" w:fill="FFFFFF"/>
            <w:vAlign w:val="center"/>
          </w:tcPr>
          <w:p w14:paraId="5EE1E53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Au cours de la période couverte par le rapport, votre pays a-t-il appliqué la procédure simplifiée ?</w:t>
            </w:r>
          </w:p>
        </w:tc>
        <w:tc>
          <w:tcPr>
            <w:tcW w:w="4573" w:type="dxa"/>
            <w:gridSpan w:val="5"/>
            <w:tcBorders>
              <w:right w:val="single" w:sz="4" w:space="0" w:color="auto"/>
            </w:tcBorders>
            <w:shd w:val="clear" w:color="auto" w:fill="FFFFFF"/>
            <w:vAlign w:val="center"/>
          </w:tcPr>
          <w:p w14:paraId="1B2472B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60526FC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DC3AAE4" w14:textId="77777777" w:rsidTr="009137A8">
        <w:trPr>
          <w:gridAfter w:val="1"/>
          <w:wAfter w:w="75" w:type="dxa"/>
          <w:cantSplit/>
        </w:trPr>
        <w:tc>
          <w:tcPr>
            <w:tcW w:w="4954" w:type="dxa"/>
            <w:vAlign w:val="center"/>
            <w:hideMark/>
          </w:tcPr>
          <w:p w14:paraId="05155DE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54, pour combien d'OVM votre pays a-t-il appliqué la procédure simplifiée ?</w:t>
            </w:r>
          </w:p>
        </w:tc>
        <w:tc>
          <w:tcPr>
            <w:tcW w:w="4573" w:type="dxa"/>
            <w:gridSpan w:val="5"/>
            <w:tcBorders>
              <w:right w:val="single" w:sz="4" w:space="0" w:color="auto"/>
            </w:tcBorders>
            <w:vAlign w:val="center"/>
            <w:hideMark/>
          </w:tcPr>
          <w:p w14:paraId="1FC0334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2B7BBB6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5</w:t>
            </w:r>
          </w:p>
          <w:p w14:paraId="44D22AE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ou plus</w:t>
            </w:r>
          </w:p>
        </w:tc>
      </w:tr>
      <w:tr w:rsidR="00952749" w:rsidRPr="006C590E" w14:paraId="7CB79AD2" w14:textId="77777777" w:rsidTr="009137A8">
        <w:trPr>
          <w:gridAfter w:val="1"/>
          <w:wAfter w:w="75" w:type="dxa"/>
          <w:cantSplit/>
        </w:trPr>
        <w:tc>
          <w:tcPr>
            <w:tcW w:w="4954" w:type="dxa"/>
            <w:vAlign w:val="center"/>
          </w:tcPr>
          <w:p w14:paraId="667FCCA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54, votre pays a-t-il informé</w:t>
            </w:r>
            <w:r>
              <w:rPr>
                <w:kern w:val="22"/>
                <w:sz w:val="20"/>
                <w:szCs w:val="20"/>
                <w:lang w:bidi="fr-FR"/>
              </w:rPr>
              <w:t xml:space="preserve"> les Parties, par le biais</w:t>
            </w:r>
            <w:r w:rsidRPr="006C590E">
              <w:rPr>
                <w:kern w:val="22"/>
                <w:sz w:val="20"/>
                <w:szCs w:val="20"/>
                <w:lang w:bidi="fr-FR"/>
              </w:rPr>
              <w:t xml:space="preserve"> du Centre d'échange pour la prévention des risques biotechnologiques</w:t>
            </w:r>
            <w:r>
              <w:rPr>
                <w:kern w:val="22"/>
                <w:sz w:val="20"/>
                <w:szCs w:val="20"/>
                <w:lang w:bidi="fr-FR"/>
              </w:rPr>
              <w:t>,</w:t>
            </w:r>
            <w:r w:rsidRPr="006C590E">
              <w:rPr>
                <w:kern w:val="22"/>
                <w:sz w:val="20"/>
                <w:szCs w:val="20"/>
                <w:lang w:bidi="fr-FR"/>
              </w:rPr>
              <w:t xml:space="preserve"> des cas où la procédure simplifiée a été appliquée ?</w:t>
            </w:r>
          </w:p>
        </w:tc>
        <w:tc>
          <w:tcPr>
            <w:tcW w:w="4573" w:type="dxa"/>
            <w:gridSpan w:val="5"/>
            <w:tcBorders>
              <w:right w:val="single" w:sz="4" w:space="0" w:color="auto"/>
            </w:tcBorders>
            <w:vAlign w:val="center"/>
          </w:tcPr>
          <w:p w14:paraId="4FDB557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2C69DF6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74ABC52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C69920B" w14:textId="77777777" w:rsidTr="009137A8">
        <w:trPr>
          <w:gridAfter w:val="1"/>
          <w:wAfter w:w="75" w:type="dxa"/>
          <w:cantSplit/>
        </w:trPr>
        <w:tc>
          <w:tcPr>
            <w:tcW w:w="9527" w:type="dxa"/>
            <w:gridSpan w:val="6"/>
            <w:tcBorders>
              <w:right w:val="single" w:sz="4" w:space="0" w:color="auto"/>
            </w:tcBorders>
            <w:vAlign w:val="center"/>
            <w:hideMark/>
          </w:tcPr>
          <w:p w14:paraId="2ABB5DE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de plus amples détails sur l’application de l’article 13 dans v</w:t>
            </w:r>
            <w:r>
              <w:rPr>
                <w:kern w:val="22"/>
                <w:sz w:val="20"/>
                <w:szCs w:val="20"/>
                <w:lang w:bidi="fr-FR"/>
              </w:rPr>
              <w:t xml:space="preserve">otre pays </w:t>
            </w:r>
            <w:r w:rsidRPr="006C590E">
              <w:rPr>
                <w:kern w:val="22"/>
                <w:sz w:val="20"/>
                <w:szCs w:val="20"/>
                <w:lang w:bidi="fr-FR"/>
              </w:rPr>
              <w:t>:</w:t>
            </w:r>
          </w:p>
          <w:p w14:paraId="710E4B3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73B3AB84" w14:textId="77777777" w:rsidTr="009137A8">
        <w:trPr>
          <w:gridAfter w:val="1"/>
          <w:wAfter w:w="75" w:type="dxa"/>
          <w:cantSplit/>
        </w:trPr>
        <w:tc>
          <w:tcPr>
            <w:tcW w:w="9527" w:type="dxa"/>
            <w:gridSpan w:val="6"/>
            <w:tcBorders>
              <w:right w:val="single" w:sz="4" w:space="0" w:color="auto"/>
            </w:tcBorders>
            <w:vAlign w:val="center"/>
            <w:hideMark/>
          </w:tcPr>
          <w:p w14:paraId="0914880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t>Article 14 – Accords et arrangements bilatéraux, régionaux et multilatéraux</w:t>
            </w:r>
          </w:p>
        </w:tc>
      </w:tr>
      <w:tr w:rsidR="00952749" w:rsidRPr="00617C2F" w14:paraId="1D51272D" w14:textId="77777777" w:rsidTr="009137A8">
        <w:trPr>
          <w:gridAfter w:val="1"/>
          <w:wAfter w:w="75" w:type="dxa"/>
          <w:cantSplit/>
        </w:trPr>
        <w:tc>
          <w:tcPr>
            <w:tcW w:w="4954" w:type="dxa"/>
            <w:vAlign w:val="center"/>
            <w:hideMark/>
          </w:tcPr>
          <w:p w14:paraId="4EC7D68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Combien d'accords bilatéraux, régionaux ou multilatéraux relatifs à la prévention des risques biotechnologiques votre pays a-t-il conclus avec d'autres Parties ou non-Parties ?</w:t>
            </w:r>
          </w:p>
        </w:tc>
        <w:tc>
          <w:tcPr>
            <w:tcW w:w="4573" w:type="dxa"/>
            <w:gridSpan w:val="5"/>
            <w:tcBorders>
              <w:right w:val="single" w:sz="4" w:space="0" w:color="auto"/>
            </w:tcBorders>
            <w:vAlign w:val="center"/>
            <w:hideMark/>
          </w:tcPr>
          <w:p w14:paraId="637D97F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643C9F6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04BCDC4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5C5AAAA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tc>
      </w:tr>
      <w:tr w:rsidR="00952749" w:rsidRPr="006C590E" w14:paraId="04354A64" w14:textId="77777777" w:rsidTr="009137A8">
        <w:trPr>
          <w:gridAfter w:val="1"/>
          <w:wAfter w:w="75" w:type="dxa"/>
          <w:cantSplit/>
        </w:trPr>
        <w:tc>
          <w:tcPr>
            <w:tcW w:w="9527" w:type="dxa"/>
            <w:gridSpan w:val="6"/>
            <w:tcBorders>
              <w:right w:val="single" w:sz="4" w:space="0" w:color="auto"/>
            </w:tcBorders>
            <w:vAlign w:val="center"/>
            <w:hideMark/>
          </w:tcPr>
          <w:p w14:paraId="4D58BBC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8B67DF">
              <w:rPr>
                <w:i/>
                <w:kern w:val="22"/>
                <w:sz w:val="20"/>
                <w:szCs w:val="20"/>
                <w:lang w:bidi="fr-FR"/>
              </w:rPr>
              <w:t>à la question 58</w:t>
            </w:r>
            <w:r w:rsidRPr="006C590E">
              <w:rPr>
                <w:kern w:val="22"/>
                <w:sz w:val="20"/>
                <w:szCs w:val="20"/>
                <w:lang w:bidi="fr-FR"/>
              </w:rPr>
              <w:t xml:space="preserve"> que </w:t>
            </w:r>
            <w:r w:rsidRPr="008B67DF">
              <w:rPr>
                <w:i/>
                <w:kern w:val="22"/>
                <w:sz w:val="20"/>
                <w:szCs w:val="20"/>
                <w:lang w:bidi="fr-FR"/>
              </w:rPr>
              <w:t xml:space="preserve">des accords ou arrangements </w:t>
            </w:r>
            <w:r>
              <w:rPr>
                <w:i/>
                <w:kern w:val="22"/>
                <w:sz w:val="20"/>
                <w:szCs w:val="20"/>
                <w:lang w:bidi="fr-FR"/>
              </w:rPr>
              <w:t>ont été mis en place</w:t>
            </w:r>
            <w:r w:rsidRPr="006C590E">
              <w:rPr>
                <w:kern w:val="22"/>
                <w:sz w:val="20"/>
                <w:szCs w:val="20"/>
                <w:lang w:bidi="fr-FR"/>
              </w:rPr>
              <w:t>, veuillez fournir une brève description de leur portée et de leur objectif :</w:t>
            </w:r>
          </w:p>
          <w:p w14:paraId="602846E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02F408B5" w14:textId="77777777" w:rsidTr="009137A8">
        <w:trPr>
          <w:gridAfter w:val="1"/>
          <w:wAfter w:w="75" w:type="dxa"/>
          <w:cantSplit/>
        </w:trPr>
        <w:tc>
          <w:tcPr>
            <w:tcW w:w="9527" w:type="dxa"/>
            <w:gridSpan w:val="6"/>
            <w:tcBorders>
              <w:right w:val="single" w:sz="4" w:space="0" w:color="auto"/>
            </w:tcBorders>
            <w:vAlign w:val="center"/>
            <w:hideMark/>
          </w:tcPr>
          <w:p w14:paraId="0B73877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 xml:space="preserve">de plus amples détails sur l’application de l’article 14 dans </w:t>
            </w:r>
            <w:r>
              <w:rPr>
                <w:kern w:val="22"/>
                <w:sz w:val="20"/>
                <w:szCs w:val="20"/>
                <w:lang w:bidi="fr-FR"/>
              </w:rPr>
              <w:t>votre pays</w:t>
            </w:r>
            <w:r w:rsidRPr="006C590E">
              <w:rPr>
                <w:kern w:val="22"/>
                <w:sz w:val="20"/>
                <w:szCs w:val="20"/>
                <w:lang w:bidi="fr-FR"/>
              </w:rPr>
              <w:t> :</w:t>
            </w:r>
          </w:p>
          <w:p w14:paraId="6A20AF5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ight="6"/>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576420F5" w14:textId="77777777" w:rsidTr="009137A8">
        <w:trPr>
          <w:gridAfter w:val="1"/>
          <w:wAfter w:w="75" w:type="dxa"/>
          <w:cantSplit/>
        </w:trPr>
        <w:tc>
          <w:tcPr>
            <w:tcW w:w="9527" w:type="dxa"/>
            <w:gridSpan w:val="6"/>
            <w:tcBorders>
              <w:right w:val="single" w:sz="4" w:space="0" w:color="auto"/>
            </w:tcBorders>
            <w:vAlign w:val="center"/>
            <w:hideMark/>
          </w:tcPr>
          <w:p w14:paraId="66FEC8A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t xml:space="preserve">Articles 15 et 16 – Évaluation des risques et gestion des risques </w:t>
            </w:r>
          </w:p>
        </w:tc>
      </w:tr>
      <w:tr w:rsidR="00952749" w:rsidRPr="006C590E" w14:paraId="19CD9521" w14:textId="77777777" w:rsidTr="009137A8">
        <w:trPr>
          <w:gridAfter w:val="1"/>
          <w:wAfter w:w="75" w:type="dxa"/>
          <w:cantSplit/>
        </w:trPr>
        <w:tc>
          <w:tcPr>
            <w:tcW w:w="4954" w:type="dxa"/>
            <w:shd w:val="clear" w:color="auto" w:fill="auto"/>
            <w:vAlign w:val="center"/>
          </w:tcPr>
          <w:p w14:paraId="37513EA1"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Le cadre réglementaire national de votre pays exige-t-il que des évaluations des risques des OVM soient effectuées ?</w:t>
            </w:r>
          </w:p>
        </w:tc>
        <w:tc>
          <w:tcPr>
            <w:tcW w:w="4573" w:type="dxa"/>
            <w:gridSpan w:val="5"/>
            <w:tcBorders>
              <w:right w:val="single" w:sz="4" w:space="0" w:color="auto"/>
            </w:tcBorders>
            <w:shd w:val="clear" w:color="auto" w:fill="auto"/>
            <w:vAlign w:val="center"/>
          </w:tcPr>
          <w:p w14:paraId="42DC885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1677A5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26ECF83" w14:textId="77777777" w:rsidTr="009137A8">
        <w:trPr>
          <w:gridAfter w:val="1"/>
          <w:wAfter w:w="75" w:type="dxa"/>
          <w:cantSplit/>
        </w:trPr>
        <w:tc>
          <w:tcPr>
            <w:tcW w:w="4954" w:type="dxa"/>
            <w:shd w:val="clear" w:color="auto" w:fill="auto"/>
            <w:vAlign w:val="center"/>
          </w:tcPr>
          <w:p w14:paraId="7EDEE2E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 xml:space="preserve">Si vous avez répondu </w:t>
            </w:r>
            <w:r w:rsidRPr="006C590E">
              <w:rPr>
                <w:i/>
                <w:kern w:val="22"/>
                <w:sz w:val="20"/>
                <w:szCs w:val="20"/>
                <w:lang w:bidi="fr-FR"/>
              </w:rPr>
              <w:t>Oui</w:t>
            </w:r>
            <w:r w:rsidRPr="006C590E">
              <w:rPr>
                <w:kern w:val="22"/>
                <w:sz w:val="20"/>
                <w:szCs w:val="20"/>
                <w:lang w:bidi="fr-FR"/>
              </w:rPr>
              <w:t xml:space="preserve"> à </w:t>
            </w:r>
            <w:r>
              <w:rPr>
                <w:kern w:val="22"/>
                <w:sz w:val="20"/>
                <w:szCs w:val="20"/>
                <w:lang w:bidi="fr-FR"/>
              </w:rPr>
              <w:t>la question 61, à quels OVM l’exigence</w:t>
            </w:r>
            <w:r w:rsidRPr="006C590E">
              <w:rPr>
                <w:kern w:val="22"/>
                <w:sz w:val="20"/>
                <w:szCs w:val="20"/>
                <w:lang w:bidi="fr-FR"/>
              </w:rPr>
              <w:t xml:space="preserve"> s'applique-t-elle (cochez toutes les cases pertinentes) ?</w:t>
            </w:r>
          </w:p>
        </w:tc>
        <w:tc>
          <w:tcPr>
            <w:tcW w:w="4573" w:type="dxa"/>
            <w:gridSpan w:val="5"/>
            <w:tcBorders>
              <w:right w:val="single" w:sz="4" w:space="0" w:color="auto"/>
            </w:tcBorders>
            <w:shd w:val="clear" w:color="auto" w:fill="auto"/>
            <w:vAlign w:val="center"/>
          </w:tcPr>
          <w:p w14:paraId="47B4E3C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Pour les importations d'OVM destinés à être introduits intentionnellement dans l'environnement</w:t>
            </w:r>
          </w:p>
          <w:p w14:paraId="019269E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Pour les importations d'OVM destinés à être utilisés directement pour l'alimentat</w:t>
            </w:r>
            <w:r>
              <w:rPr>
                <w:kern w:val="22"/>
                <w:sz w:val="20"/>
                <w:szCs w:val="20"/>
                <w:lang w:bidi="fr-FR"/>
              </w:rPr>
              <w:t xml:space="preserve">ion humaine ou animale, ou à </w:t>
            </w:r>
            <w:r w:rsidRPr="006C590E">
              <w:rPr>
                <w:kern w:val="22"/>
                <w:sz w:val="20"/>
                <w:szCs w:val="20"/>
                <w:lang w:bidi="fr-FR"/>
              </w:rPr>
              <w:t>être transformés</w:t>
            </w:r>
          </w:p>
          <w:p w14:paraId="68F5E0B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Pour les décisions concernant l'utilisation domestique, y compris la mise sur le marché, d'OVM susceptibles d'être soumis à des mouvements transfrontières et destinés à être utilisés directement pour l'alimenta</w:t>
            </w:r>
            <w:r>
              <w:rPr>
                <w:kern w:val="22"/>
                <w:sz w:val="20"/>
                <w:szCs w:val="20"/>
                <w:lang w:bidi="fr-FR"/>
              </w:rPr>
              <w:t>tion humaine ou animale, ou à</w:t>
            </w:r>
            <w:r w:rsidRPr="006C590E">
              <w:rPr>
                <w:kern w:val="22"/>
                <w:sz w:val="20"/>
                <w:szCs w:val="20"/>
                <w:lang w:bidi="fr-FR"/>
              </w:rPr>
              <w:t xml:space="preserve"> être transformés</w:t>
            </w:r>
          </w:p>
          <w:p w14:paraId="3BBABAD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Pr>
                <w:kern w:val="22"/>
                <w:sz w:val="20"/>
                <w:szCs w:val="20"/>
                <w:lang w:bidi="fr-FR"/>
              </w:rPr>
              <w:tab/>
              <w:t xml:space="preserve">Pour les importations d’OVM destinés à une </w:t>
            </w:r>
            <w:r w:rsidRPr="006C590E">
              <w:rPr>
                <w:kern w:val="22"/>
                <w:sz w:val="20"/>
                <w:szCs w:val="20"/>
                <w:lang w:bidi="fr-FR"/>
              </w:rPr>
              <w:t>utilisation en milieu confiné</w:t>
            </w:r>
          </w:p>
          <w:p w14:paraId="059F117E" w14:textId="77777777" w:rsidR="00952749" w:rsidRPr="006C590E" w:rsidRDefault="00952749" w:rsidP="009137A8">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Autres : </w:t>
            </w:r>
            <w:r w:rsidRPr="006C590E">
              <w:rPr>
                <w:kern w:val="22"/>
                <w:sz w:val="20"/>
                <w:szCs w:val="20"/>
                <w:lang w:bidi="fr-FR"/>
              </w:rPr>
              <w:tab/>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tc>
      </w:tr>
      <w:tr w:rsidR="00952749" w:rsidRPr="006C590E" w14:paraId="0AC10CB3" w14:textId="77777777" w:rsidTr="009137A8">
        <w:trPr>
          <w:gridAfter w:val="1"/>
          <w:wAfter w:w="75" w:type="dxa"/>
          <w:cantSplit/>
        </w:trPr>
        <w:tc>
          <w:tcPr>
            <w:tcW w:w="4954" w:type="dxa"/>
            <w:shd w:val="clear" w:color="auto" w:fill="auto"/>
            <w:vAlign w:val="center"/>
            <w:hideMark/>
          </w:tcPr>
          <w:p w14:paraId="301BAC0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établi un mécanisme pour évaluer les risques avant de prendre des décisions relatives aux OVM ?</w:t>
            </w:r>
          </w:p>
        </w:tc>
        <w:tc>
          <w:tcPr>
            <w:tcW w:w="4573" w:type="dxa"/>
            <w:gridSpan w:val="5"/>
            <w:tcBorders>
              <w:right w:val="single" w:sz="4" w:space="0" w:color="auto"/>
            </w:tcBorders>
            <w:shd w:val="clear" w:color="auto" w:fill="auto"/>
            <w:vAlign w:val="center"/>
            <w:hideMark/>
          </w:tcPr>
          <w:p w14:paraId="30A387C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0C9C7AB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6A1D8D4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5418E12" w14:textId="77777777" w:rsidTr="009137A8">
        <w:trPr>
          <w:gridAfter w:val="1"/>
          <w:wAfter w:w="75" w:type="dxa"/>
          <w:cantSplit/>
        </w:trPr>
        <w:tc>
          <w:tcPr>
            <w:tcW w:w="4954" w:type="dxa"/>
            <w:shd w:val="clear" w:color="auto" w:fill="auto"/>
            <w:vAlign w:val="center"/>
            <w:hideMark/>
          </w:tcPr>
          <w:p w14:paraId="2B10DBD6"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63, ce mécanisme</w:t>
            </w:r>
            <w:r>
              <w:rPr>
                <w:kern w:val="22"/>
                <w:sz w:val="20"/>
                <w:szCs w:val="20"/>
                <w:lang w:bidi="fr-FR"/>
              </w:rPr>
              <w:t xml:space="preserve"> comprend-il une procédure permettant d’</w:t>
            </w:r>
            <w:r w:rsidRPr="006C590E">
              <w:rPr>
                <w:kern w:val="22"/>
                <w:sz w:val="20"/>
                <w:szCs w:val="20"/>
                <w:lang w:bidi="fr-FR"/>
              </w:rPr>
              <w:t xml:space="preserve">identifier ou </w:t>
            </w:r>
            <w:r>
              <w:rPr>
                <w:kern w:val="22"/>
                <w:sz w:val="20"/>
                <w:szCs w:val="20"/>
                <w:lang w:bidi="fr-FR"/>
              </w:rPr>
              <w:t>de former les experts qui entreprend</w:t>
            </w:r>
            <w:r w:rsidRPr="006C590E">
              <w:rPr>
                <w:kern w:val="22"/>
                <w:sz w:val="20"/>
                <w:szCs w:val="20"/>
                <w:lang w:bidi="fr-FR"/>
              </w:rPr>
              <w:t>ront l’évaluation des risques ?</w:t>
            </w:r>
          </w:p>
        </w:tc>
        <w:tc>
          <w:tcPr>
            <w:tcW w:w="4573" w:type="dxa"/>
            <w:gridSpan w:val="5"/>
            <w:tcBorders>
              <w:right w:val="single" w:sz="4" w:space="0" w:color="auto"/>
            </w:tcBorders>
            <w:shd w:val="clear" w:color="auto" w:fill="auto"/>
            <w:vAlign w:val="center"/>
            <w:hideMark/>
          </w:tcPr>
          <w:p w14:paraId="40CE6C0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4A13D0E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2B751FE9" w14:textId="77777777" w:rsidTr="009137A8">
        <w:trPr>
          <w:gridAfter w:val="1"/>
          <w:wAfter w:w="75" w:type="dxa"/>
          <w:cantSplit/>
        </w:trPr>
        <w:tc>
          <w:tcPr>
            <w:tcW w:w="9527" w:type="dxa"/>
            <w:gridSpan w:val="6"/>
            <w:tcBorders>
              <w:bottom w:val="single" w:sz="4" w:space="0" w:color="auto"/>
              <w:right w:val="single" w:sz="4" w:space="0" w:color="auto"/>
            </w:tcBorders>
            <w:vAlign w:val="center"/>
            <w:hideMark/>
          </w:tcPr>
          <w:p w14:paraId="6EF4412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right="490"/>
              <w:rPr>
                <w:i/>
                <w:kern w:val="22"/>
                <w:sz w:val="20"/>
                <w:szCs w:val="20"/>
              </w:rPr>
            </w:pPr>
            <w:r w:rsidRPr="006C590E">
              <w:rPr>
                <w:i/>
                <w:kern w:val="22"/>
                <w:sz w:val="20"/>
                <w:szCs w:val="20"/>
                <w:lang w:bidi="fr-FR"/>
              </w:rPr>
              <w:t>Renforcement des capacités en matière d'évaluation des risques ou de gestion des risques</w:t>
            </w:r>
          </w:p>
        </w:tc>
      </w:tr>
      <w:tr w:rsidR="00952749" w:rsidRPr="00617C2F" w14:paraId="45D5267C" w14:textId="77777777" w:rsidTr="009137A8">
        <w:trPr>
          <w:gridAfter w:val="1"/>
          <w:wAfter w:w="75" w:type="dxa"/>
          <w:cantSplit/>
        </w:trPr>
        <w:tc>
          <w:tcPr>
            <w:tcW w:w="9527" w:type="dxa"/>
            <w:gridSpan w:val="6"/>
            <w:tcBorders>
              <w:top w:val="single" w:sz="4" w:space="0" w:color="auto"/>
              <w:left w:val="single" w:sz="4" w:space="0" w:color="auto"/>
              <w:bottom w:val="nil"/>
              <w:right w:val="single" w:sz="4" w:space="0" w:color="auto"/>
            </w:tcBorders>
            <w:vAlign w:val="center"/>
            <w:hideMark/>
          </w:tcPr>
          <w:p w14:paraId="4755E8EA"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Combien de personnes dans</w:t>
            </w:r>
            <w:r>
              <w:rPr>
                <w:kern w:val="22"/>
                <w:sz w:val="20"/>
                <w:szCs w:val="20"/>
                <w:lang w:bidi="fr-FR"/>
              </w:rPr>
              <w:t xml:space="preserve"> votre pays ont été formées en matière d’é</w:t>
            </w:r>
            <w:r w:rsidRPr="006C590E">
              <w:rPr>
                <w:kern w:val="22"/>
                <w:sz w:val="20"/>
                <w:szCs w:val="20"/>
                <w:lang w:bidi="fr-FR"/>
              </w:rPr>
              <w:t xml:space="preserve">valuation des risques, </w:t>
            </w:r>
            <w:r>
              <w:rPr>
                <w:kern w:val="22"/>
                <w:sz w:val="20"/>
                <w:szCs w:val="20"/>
                <w:lang w:bidi="fr-FR"/>
              </w:rPr>
              <w:t xml:space="preserve">de </w:t>
            </w:r>
            <w:r w:rsidRPr="006C590E">
              <w:rPr>
                <w:kern w:val="22"/>
                <w:sz w:val="20"/>
                <w:szCs w:val="20"/>
                <w:lang w:bidi="fr-FR"/>
              </w:rPr>
              <w:t xml:space="preserve">gestion des risques et </w:t>
            </w:r>
            <w:r>
              <w:rPr>
                <w:kern w:val="22"/>
                <w:sz w:val="20"/>
                <w:szCs w:val="20"/>
                <w:lang w:bidi="fr-FR"/>
              </w:rPr>
              <w:t xml:space="preserve">de </w:t>
            </w:r>
            <w:r w:rsidRPr="006C590E">
              <w:rPr>
                <w:kern w:val="22"/>
                <w:sz w:val="20"/>
                <w:szCs w:val="20"/>
                <w:lang w:bidi="fr-FR"/>
              </w:rPr>
              <w:t>suivi des OVM ?</w:t>
            </w:r>
          </w:p>
        </w:tc>
      </w:tr>
      <w:tr w:rsidR="00952749" w:rsidRPr="00617C2F" w14:paraId="7C97BA40" w14:textId="77777777" w:rsidTr="009137A8">
        <w:trPr>
          <w:gridAfter w:val="1"/>
          <w:wAfter w:w="75" w:type="dxa"/>
          <w:cantSplit/>
        </w:trPr>
        <w:tc>
          <w:tcPr>
            <w:tcW w:w="4970" w:type="dxa"/>
            <w:gridSpan w:val="2"/>
            <w:tcBorders>
              <w:top w:val="nil"/>
              <w:left w:val="single" w:sz="4" w:space="0" w:color="auto"/>
              <w:bottom w:val="nil"/>
              <w:right w:val="nil"/>
            </w:tcBorders>
            <w:vAlign w:val="center"/>
            <w:hideMark/>
          </w:tcPr>
          <w:p w14:paraId="1D3235D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927" w:right="490"/>
              <w:jc w:val="left"/>
              <w:rPr>
                <w:kern w:val="22"/>
                <w:sz w:val="20"/>
                <w:szCs w:val="20"/>
              </w:rPr>
            </w:pPr>
            <w:r w:rsidRPr="006C590E">
              <w:rPr>
                <w:kern w:val="22"/>
                <w:sz w:val="20"/>
                <w:szCs w:val="20"/>
                <w:lang w:bidi="fr-FR"/>
              </w:rPr>
              <w:t>a.</w:t>
            </w:r>
            <w:r w:rsidRPr="006C590E">
              <w:rPr>
                <w:kern w:val="22"/>
                <w:sz w:val="20"/>
                <w:szCs w:val="20"/>
                <w:lang w:bidi="fr-FR"/>
              </w:rPr>
              <w:tab/>
              <w:t>Évaluation des risques :</w:t>
            </w:r>
          </w:p>
        </w:tc>
        <w:tc>
          <w:tcPr>
            <w:tcW w:w="4557" w:type="dxa"/>
            <w:gridSpan w:val="4"/>
            <w:tcBorders>
              <w:top w:val="nil"/>
              <w:left w:val="nil"/>
              <w:bottom w:val="single" w:sz="4" w:space="0" w:color="auto"/>
              <w:right w:val="single" w:sz="4" w:space="0" w:color="auto"/>
            </w:tcBorders>
            <w:vAlign w:val="center"/>
            <w:hideMark/>
          </w:tcPr>
          <w:p w14:paraId="2A486E4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37BC106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9</w:t>
            </w:r>
          </w:p>
          <w:p w14:paraId="44CD50F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13A8445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à 99.</w:t>
            </w:r>
          </w:p>
          <w:p w14:paraId="395275F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ou plus</w:t>
            </w:r>
          </w:p>
          <w:p w14:paraId="2B83DBE5"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i/>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17C2F" w14:paraId="13F0A8A9" w14:textId="77777777" w:rsidTr="009137A8">
        <w:trPr>
          <w:gridAfter w:val="1"/>
          <w:wAfter w:w="75" w:type="dxa"/>
          <w:cantSplit/>
        </w:trPr>
        <w:tc>
          <w:tcPr>
            <w:tcW w:w="4970" w:type="dxa"/>
            <w:gridSpan w:val="2"/>
            <w:tcBorders>
              <w:top w:val="nil"/>
              <w:left w:val="single" w:sz="4" w:space="0" w:color="auto"/>
              <w:bottom w:val="nil"/>
              <w:right w:val="nil"/>
            </w:tcBorders>
            <w:vAlign w:val="center"/>
            <w:hideMark/>
          </w:tcPr>
          <w:p w14:paraId="63D1363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927" w:right="490"/>
              <w:jc w:val="left"/>
              <w:rPr>
                <w:kern w:val="22"/>
                <w:sz w:val="20"/>
                <w:szCs w:val="20"/>
              </w:rPr>
            </w:pPr>
            <w:r w:rsidRPr="006C590E">
              <w:rPr>
                <w:kern w:val="22"/>
                <w:sz w:val="20"/>
                <w:szCs w:val="20"/>
                <w:lang w:bidi="fr-FR"/>
              </w:rPr>
              <w:t>b.</w:t>
            </w:r>
            <w:r w:rsidRPr="006C590E">
              <w:rPr>
                <w:kern w:val="22"/>
                <w:sz w:val="20"/>
                <w:szCs w:val="20"/>
                <w:lang w:bidi="fr-FR"/>
              </w:rPr>
              <w:tab/>
              <w:t>Gestion des risques :</w:t>
            </w:r>
          </w:p>
        </w:tc>
        <w:tc>
          <w:tcPr>
            <w:tcW w:w="4557" w:type="dxa"/>
            <w:gridSpan w:val="4"/>
            <w:tcBorders>
              <w:top w:val="nil"/>
              <w:left w:val="nil"/>
              <w:bottom w:val="single" w:sz="4" w:space="0" w:color="auto"/>
              <w:right w:val="single" w:sz="4" w:space="0" w:color="auto"/>
            </w:tcBorders>
            <w:vAlign w:val="center"/>
            <w:hideMark/>
          </w:tcPr>
          <w:p w14:paraId="6C18C2E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0CF9EE3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9</w:t>
            </w:r>
          </w:p>
          <w:p w14:paraId="6B35573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7860275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à 99.</w:t>
            </w:r>
          </w:p>
          <w:p w14:paraId="1BD1CB0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ou plus</w:t>
            </w:r>
          </w:p>
          <w:p w14:paraId="5A65F18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i/>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17C2F" w14:paraId="7CCEBA6E" w14:textId="77777777" w:rsidTr="009137A8">
        <w:trPr>
          <w:gridAfter w:val="1"/>
          <w:wAfter w:w="75" w:type="dxa"/>
          <w:cantSplit/>
        </w:trPr>
        <w:tc>
          <w:tcPr>
            <w:tcW w:w="4970" w:type="dxa"/>
            <w:gridSpan w:val="2"/>
            <w:tcBorders>
              <w:top w:val="nil"/>
              <w:left w:val="single" w:sz="4" w:space="0" w:color="auto"/>
              <w:bottom w:val="single" w:sz="4" w:space="0" w:color="auto"/>
              <w:right w:val="nil"/>
            </w:tcBorders>
            <w:vAlign w:val="center"/>
            <w:hideMark/>
          </w:tcPr>
          <w:p w14:paraId="1283073B" w14:textId="77777777" w:rsidR="00952749" w:rsidRPr="006C590E" w:rsidRDefault="00952749" w:rsidP="004C7DBD">
            <w:pPr>
              <w:pStyle w:val="ListParagraph"/>
              <w:numPr>
                <w:ilvl w:val="0"/>
                <w:numId w:val="33"/>
              </w:numPr>
              <w:suppressLineNumbers/>
              <w:suppressAutoHyphens/>
              <w:kinsoku w:val="0"/>
              <w:overflowPunct w:val="0"/>
              <w:autoSpaceDE w:val="0"/>
              <w:autoSpaceDN w:val="0"/>
              <w:adjustRightInd w:val="0"/>
              <w:snapToGrid w:val="0"/>
              <w:spacing w:before="120" w:after="120"/>
              <w:ind w:right="490"/>
              <w:jc w:val="left"/>
              <w:rPr>
                <w:kern w:val="22"/>
                <w:sz w:val="20"/>
                <w:szCs w:val="20"/>
              </w:rPr>
            </w:pPr>
            <w:r w:rsidRPr="006C590E">
              <w:rPr>
                <w:kern w:val="22"/>
                <w:sz w:val="20"/>
                <w:szCs w:val="20"/>
                <w:lang w:bidi="fr-FR"/>
              </w:rPr>
              <w:lastRenderedPageBreak/>
              <w:t>Suivi :</w:t>
            </w:r>
          </w:p>
        </w:tc>
        <w:tc>
          <w:tcPr>
            <w:tcW w:w="4557" w:type="dxa"/>
            <w:gridSpan w:val="4"/>
            <w:tcBorders>
              <w:top w:val="single" w:sz="4" w:space="0" w:color="auto"/>
              <w:left w:val="nil"/>
              <w:bottom w:val="single" w:sz="4" w:space="0" w:color="auto"/>
              <w:right w:val="single" w:sz="4" w:space="0" w:color="auto"/>
            </w:tcBorders>
            <w:vAlign w:val="center"/>
            <w:hideMark/>
          </w:tcPr>
          <w:p w14:paraId="47B91FE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2408AC1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9</w:t>
            </w:r>
          </w:p>
          <w:p w14:paraId="7BBFC94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07995C1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à 99.</w:t>
            </w:r>
          </w:p>
          <w:p w14:paraId="216FD51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ou plus</w:t>
            </w:r>
          </w:p>
          <w:p w14:paraId="5A4DFC2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i/>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C590E" w14:paraId="3E004428" w14:textId="77777777" w:rsidTr="009137A8">
        <w:trPr>
          <w:gridAfter w:val="1"/>
          <w:wAfter w:w="75" w:type="dxa"/>
          <w:cantSplit/>
        </w:trPr>
        <w:tc>
          <w:tcPr>
            <w:tcW w:w="4970" w:type="dxa"/>
            <w:gridSpan w:val="2"/>
            <w:tcBorders>
              <w:top w:val="single" w:sz="4" w:space="0" w:color="auto"/>
            </w:tcBorders>
            <w:vAlign w:val="center"/>
          </w:tcPr>
          <w:p w14:paraId="21D3077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recours à du matériel de formation et / ou à une assistance technique pour la formation en matière d'évaluation des risques et de gestion des r</w:t>
            </w:r>
            <w:r>
              <w:rPr>
                <w:kern w:val="22"/>
                <w:sz w:val="20"/>
                <w:szCs w:val="20"/>
                <w:lang w:bidi="fr-FR"/>
              </w:rPr>
              <w:t>isques présent</w:t>
            </w:r>
            <w:r w:rsidRPr="006C590E">
              <w:rPr>
                <w:kern w:val="22"/>
                <w:sz w:val="20"/>
                <w:szCs w:val="20"/>
                <w:lang w:bidi="fr-FR"/>
              </w:rPr>
              <w:t>és par les OVM ?</w:t>
            </w:r>
          </w:p>
        </w:tc>
        <w:tc>
          <w:tcPr>
            <w:tcW w:w="4557" w:type="dxa"/>
            <w:gridSpan w:val="4"/>
            <w:tcBorders>
              <w:top w:val="single" w:sz="4" w:space="0" w:color="auto"/>
              <w:right w:val="single" w:sz="4" w:space="0" w:color="auto"/>
            </w:tcBorders>
            <w:vAlign w:val="center"/>
          </w:tcPr>
          <w:p w14:paraId="37D35E9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42E09D5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6E55AF00" w14:textId="77777777" w:rsidTr="009137A8">
        <w:trPr>
          <w:gridAfter w:val="1"/>
          <w:wAfter w:w="75" w:type="dxa"/>
          <w:cantSplit/>
        </w:trPr>
        <w:tc>
          <w:tcPr>
            <w:tcW w:w="4970" w:type="dxa"/>
            <w:gridSpan w:val="2"/>
            <w:tcBorders>
              <w:top w:val="single" w:sz="4" w:space="0" w:color="auto"/>
            </w:tcBorders>
            <w:vAlign w:val="center"/>
            <w:hideMark/>
          </w:tcPr>
          <w:p w14:paraId="2B43858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66, votre pays utilise-t-il le "Manuel sur l'évaluation des risques liés aux OVM" (élaboré par le Secrétariat de la CDB) pour la formation à l'évaluation des risques ?</w:t>
            </w:r>
          </w:p>
        </w:tc>
        <w:tc>
          <w:tcPr>
            <w:tcW w:w="4557" w:type="dxa"/>
            <w:gridSpan w:val="4"/>
            <w:tcBorders>
              <w:top w:val="single" w:sz="4" w:space="0" w:color="auto"/>
              <w:right w:val="single" w:sz="4" w:space="0" w:color="auto"/>
            </w:tcBorders>
            <w:vAlign w:val="center"/>
            <w:hideMark/>
          </w:tcPr>
          <w:p w14:paraId="586755F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0F59426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6B98A32" w14:textId="77777777" w:rsidTr="009137A8">
        <w:trPr>
          <w:gridAfter w:val="1"/>
          <w:wAfter w:w="75" w:type="dxa"/>
          <w:cantSplit/>
        </w:trPr>
        <w:tc>
          <w:tcPr>
            <w:tcW w:w="4970" w:type="dxa"/>
            <w:gridSpan w:val="2"/>
            <w:vAlign w:val="center"/>
            <w:hideMark/>
          </w:tcPr>
          <w:p w14:paraId="682792A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66, votre pays utilise-t-il les « Directives </w:t>
            </w:r>
            <w:r>
              <w:rPr>
                <w:kern w:val="22"/>
                <w:sz w:val="20"/>
                <w:szCs w:val="20"/>
                <w:lang w:bidi="fr-FR"/>
              </w:rPr>
              <w:t>sur l'évaluation des risques présentés par les OVM » (élabor</w:t>
            </w:r>
            <w:r w:rsidRPr="006C590E">
              <w:rPr>
                <w:kern w:val="22"/>
                <w:sz w:val="20"/>
                <w:szCs w:val="20"/>
                <w:lang w:bidi="fr-FR"/>
              </w:rPr>
              <w:t>ées par le Forum en ligne et le GSET sur l'évaluation des risques et la gestion des risques) pour la formation à l'évaluation des risques ?</w:t>
            </w:r>
          </w:p>
        </w:tc>
        <w:tc>
          <w:tcPr>
            <w:tcW w:w="4557" w:type="dxa"/>
            <w:gridSpan w:val="4"/>
            <w:tcBorders>
              <w:right w:val="single" w:sz="4" w:space="0" w:color="auto"/>
            </w:tcBorders>
            <w:vAlign w:val="center"/>
            <w:hideMark/>
          </w:tcPr>
          <w:p w14:paraId="5132E47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8739F7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C2E9235" w14:textId="77777777" w:rsidTr="009137A8">
        <w:trPr>
          <w:gridAfter w:val="1"/>
          <w:wAfter w:w="75" w:type="dxa"/>
          <w:cantSplit/>
        </w:trPr>
        <w:tc>
          <w:tcPr>
            <w:tcW w:w="4970" w:type="dxa"/>
            <w:gridSpan w:val="2"/>
            <w:tcBorders>
              <w:bottom w:val="single" w:sz="4" w:space="0" w:color="auto"/>
            </w:tcBorders>
            <w:vAlign w:val="center"/>
            <w:hideMark/>
          </w:tcPr>
          <w:p w14:paraId="46F78491"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des besoins spécifiques en matière d'orientation</w:t>
            </w:r>
            <w:r>
              <w:rPr>
                <w:kern w:val="22"/>
                <w:sz w:val="20"/>
                <w:szCs w:val="20"/>
                <w:lang w:bidi="fr-FR"/>
              </w:rPr>
              <w:t>s</w:t>
            </w:r>
            <w:r w:rsidRPr="006C590E">
              <w:rPr>
                <w:kern w:val="22"/>
                <w:sz w:val="20"/>
                <w:szCs w:val="20"/>
                <w:lang w:bidi="fr-FR"/>
              </w:rPr>
              <w:t xml:space="preserve"> sur des aspects spécifiques de l'évaluation </w:t>
            </w:r>
            <w:r>
              <w:rPr>
                <w:kern w:val="22"/>
                <w:sz w:val="20"/>
                <w:szCs w:val="20"/>
                <w:lang w:bidi="fr-FR"/>
              </w:rPr>
              <w:t>des risques présent</w:t>
            </w:r>
            <w:r w:rsidRPr="006C590E">
              <w:rPr>
                <w:kern w:val="22"/>
                <w:sz w:val="20"/>
                <w:szCs w:val="20"/>
                <w:lang w:bidi="fr-FR"/>
              </w:rPr>
              <w:t>és par les OVM ?</w:t>
            </w:r>
          </w:p>
        </w:tc>
        <w:tc>
          <w:tcPr>
            <w:tcW w:w="4557" w:type="dxa"/>
            <w:gridSpan w:val="4"/>
            <w:tcBorders>
              <w:bottom w:val="single" w:sz="4" w:space="0" w:color="auto"/>
              <w:right w:val="single" w:sz="4" w:space="0" w:color="auto"/>
            </w:tcBorders>
            <w:vAlign w:val="center"/>
            <w:hideMark/>
          </w:tcPr>
          <w:p w14:paraId="20A597C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0BBD673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5C117DBD" w14:textId="77777777" w:rsidTr="009137A8">
        <w:trPr>
          <w:gridAfter w:val="1"/>
          <w:wAfter w:w="75" w:type="dxa"/>
          <w:cantSplit/>
        </w:trPr>
        <w:tc>
          <w:tcPr>
            <w:tcW w:w="9527" w:type="dxa"/>
            <w:gridSpan w:val="6"/>
            <w:tcBorders>
              <w:top w:val="single" w:sz="4" w:space="0" w:color="auto"/>
              <w:left w:val="single" w:sz="4" w:space="0" w:color="auto"/>
              <w:bottom w:val="nil"/>
              <w:right w:val="single" w:sz="4" w:space="0" w:color="auto"/>
            </w:tcBorders>
            <w:vAlign w:val="center"/>
            <w:hideMark/>
          </w:tcPr>
          <w:p w14:paraId="21ABEF8B"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Pr>
                <w:kern w:val="22"/>
                <w:sz w:val="20"/>
                <w:szCs w:val="20"/>
                <w:lang w:bidi="fr-FR"/>
              </w:rPr>
              <w:t>Votre pays a-t-il les</w:t>
            </w:r>
            <w:r w:rsidRPr="006C590E">
              <w:rPr>
                <w:kern w:val="22"/>
                <w:sz w:val="20"/>
                <w:szCs w:val="20"/>
                <w:lang w:bidi="fr-FR"/>
              </w:rPr>
              <w:t xml:space="preserve"> capacité</w:t>
            </w:r>
            <w:r>
              <w:rPr>
                <w:kern w:val="22"/>
                <w:sz w:val="20"/>
                <w:szCs w:val="20"/>
                <w:lang w:bidi="fr-FR"/>
              </w:rPr>
              <w:t xml:space="preserve">s nécessaires pour </w:t>
            </w:r>
            <w:r w:rsidRPr="006C590E">
              <w:rPr>
                <w:kern w:val="22"/>
                <w:sz w:val="20"/>
                <w:szCs w:val="20"/>
                <w:lang w:bidi="fr-FR"/>
              </w:rPr>
              <w:t>détecter, identifier, évaluer ou effectuer le suivi des OVM ou des caractères particuliers qui peuvent avoir des effets défavorables sur la conservation et l’utilisation durable de la diversité biologique, en tenant compte des risques pour la santé humaine ?</w:t>
            </w:r>
          </w:p>
        </w:tc>
      </w:tr>
      <w:tr w:rsidR="00952749" w:rsidRPr="006C590E" w14:paraId="7D401E32" w14:textId="77777777" w:rsidTr="009137A8">
        <w:trPr>
          <w:gridAfter w:val="1"/>
          <w:wAfter w:w="75" w:type="dxa"/>
          <w:cantSplit/>
        </w:trPr>
        <w:tc>
          <w:tcPr>
            <w:tcW w:w="4970" w:type="dxa"/>
            <w:gridSpan w:val="2"/>
            <w:tcBorders>
              <w:top w:val="nil"/>
              <w:left w:val="single" w:sz="4" w:space="0" w:color="auto"/>
              <w:bottom w:val="nil"/>
              <w:right w:val="nil"/>
            </w:tcBorders>
            <w:vAlign w:val="center"/>
            <w:hideMark/>
          </w:tcPr>
          <w:p w14:paraId="26119820"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1132" w:right="490"/>
              <w:rPr>
                <w:kern w:val="22"/>
                <w:sz w:val="20"/>
                <w:szCs w:val="20"/>
              </w:rPr>
            </w:pPr>
            <w:r w:rsidRPr="006C590E">
              <w:rPr>
                <w:kern w:val="22"/>
                <w:sz w:val="20"/>
                <w:szCs w:val="20"/>
                <w:lang w:bidi="fr-FR"/>
              </w:rPr>
              <w:t>Détecter :</w:t>
            </w:r>
          </w:p>
        </w:tc>
        <w:tc>
          <w:tcPr>
            <w:tcW w:w="4557" w:type="dxa"/>
            <w:gridSpan w:val="4"/>
            <w:tcBorders>
              <w:top w:val="nil"/>
              <w:left w:val="nil"/>
              <w:bottom w:val="single" w:sz="4" w:space="0" w:color="auto"/>
              <w:right w:val="single" w:sz="4" w:space="0" w:color="auto"/>
            </w:tcBorders>
            <w:vAlign w:val="center"/>
            <w:hideMark/>
          </w:tcPr>
          <w:p w14:paraId="0C05BCA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5322E88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63568FF" w14:textId="77777777" w:rsidTr="009137A8">
        <w:trPr>
          <w:gridAfter w:val="1"/>
          <w:wAfter w:w="75" w:type="dxa"/>
          <w:cantSplit/>
        </w:trPr>
        <w:tc>
          <w:tcPr>
            <w:tcW w:w="4970" w:type="dxa"/>
            <w:gridSpan w:val="2"/>
            <w:tcBorders>
              <w:top w:val="nil"/>
              <w:left w:val="single" w:sz="4" w:space="0" w:color="auto"/>
              <w:bottom w:val="nil"/>
              <w:right w:val="nil"/>
            </w:tcBorders>
            <w:vAlign w:val="center"/>
            <w:hideMark/>
          </w:tcPr>
          <w:p w14:paraId="1FD34E1D"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1132" w:right="490"/>
              <w:rPr>
                <w:kern w:val="22"/>
                <w:sz w:val="20"/>
                <w:szCs w:val="20"/>
              </w:rPr>
            </w:pPr>
            <w:r w:rsidRPr="006C590E">
              <w:rPr>
                <w:kern w:val="22"/>
                <w:sz w:val="20"/>
                <w:szCs w:val="20"/>
                <w:lang w:bidi="fr-FR"/>
              </w:rPr>
              <w:t>Identifier :</w:t>
            </w:r>
          </w:p>
        </w:tc>
        <w:tc>
          <w:tcPr>
            <w:tcW w:w="4557" w:type="dxa"/>
            <w:gridSpan w:val="4"/>
            <w:tcBorders>
              <w:top w:val="single" w:sz="4" w:space="0" w:color="auto"/>
              <w:left w:val="nil"/>
              <w:bottom w:val="single" w:sz="4" w:space="0" w:color="auto"/>
              <w:right w:val="single" w:sz="4" w:space="0" w:color="auto"/>
            </w:tcBorders>
            <w:vAlign w:val="center"/>
            <w:hideMark/>
          </w:tcPr>
          <w:p w14:paraId="0868826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C5EA6E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503A4D43" w14:textId="77777777" w:rsidTr="009137A8">
        <w:trPr>
          <w:gridAfter w:val="1"/>
          <w:wAfter w:w="75" w:type="dxa"/>
          <w:cantSplit/>
        </w:trPr>
        <w:tc>
          <w:tcPr>
            <w:tcW w:w="4970" w:type="dxa"/>
            <w:gridSpan w:val="2"/>
            <w:tcBorders>
              <w:top w:val="nil"/>
              <w:left w:val="single" w:sz="4" w:space="0" w:color="auto"/>
              <w:bottom w:val="nil"/>
              <w:right w:val="nil"/>
            </w:tcBorders>
            <w:vAlign w:val="center"/>
            <w:hideMark/>
          </w:tcPr>
          <w:p w14:paraId="0A09D542"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1132" w:right="490"/>
              <w:rPr>
                <w:kern w:val="22"/>
                <w:sz w:val="20"/>
                <w:szCs w:val="20"/>
              </w:rPr>
            </w:pPr>
            <w:r w:rsidRPr="006C590E">
              <w:rPr>
                <w:kern w:val="22"/>
                <w:sz w:val="20"/>
                <w:szCs w:val="20"/>
                <w:lang w:bidi="fr-FR"/>
              </w:rPr>
              <w:t>Évaluer le risque :</w:t>
            </w:r>
          </w:p>
        </w:tc>
        <w:tc>
          <w:tcPr>
            <w:tcW w:w="4557" w:type="dxa"/>
            <w:gridSpan w:val="4"/>
            <w:tcBorders>
              <w:top w:val="single" w:sz="4" w:space="0" w:color="auto"/>
              <w:left w:val="nil"/>
              <w:bottom w:val="single" w:sz="4" w:space="0" w:color="auto"/>
              <w:right w:val="single" w:sz="4" w:space="0" w:color="auto"/>
            </w:tcBorders>
            <w:vAlign w:val="center"/>
            <w:hideMark/>
          </w:tcPr>
          <w:p w14:paraId="3646F78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5B93CD5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61EA89B8" w14:textId="77777777" w:rsidTr="009137A8">
        <w:trPr>
          <w:gridAfter w:val="1"/>
          <w:wAfter w:w="75" w:type="dxa"/>
          <w:cantSplit/>
        </w:trPr>
        <w:tc>
          <w:tcPr>
            <w:tcW w:w="4970" w:type="dxa"/>
            <w:gridSpan w:val="2"/>
            <w:tcBorders>
              <w:top w:val="nil"/>
              <w:left w:val="single" w:sz="4" w:space="0" w:color="auto"/>
              <w:bottom w:val="single" w:sz="4" w:space="0" w:color="auto"/>
              <w:right w:val="nil"/>
            </w:tcBorders>
            <w:vAlign w:val="center"/>
            <w:hideMark/>
          </w:tcPr>
          <w:p w14:paraId="67B2F36E"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1132" w:right="490"/>
              <w:rPr>
                <w:kern w:val="22"/>
                <w:sz w:val="20"/>
                <w:szCs w:val="20"/>
              </w:rPr>
            </w:pPr>
            <w:r>
              <w:rPr>
                <w:kern w:val="22"/>
                <w:sz w:val="20"/>
                <w:szCs w:val="20"/>
                <w:lang w:bidi="fr-FR"/>
              </w:rPr>
              <w:t xml:space="preserve">Assurer un </w:t>
            </w:r>
            <w:r w:rsidRPr="006C590E">
              <w:rPr>
                <w:kern w:val="22"/>
                <w:sz w:val="20"/>
                <w:szCs w:val="20"/>
                <w:lang w:bidi="fr-FR"/>
              </w:rPr>
              <w:t>suivi :</w:t>
            </w:r>
          </w:p>
        </w:tc>
        <w:tc>
          <w:tcPr>
            <w:tcW w:w="4557" w:type="dxa"/>
            <w:gridSpan w:val="4"/>
            <w:tcBorders>
              <w:top w:val="single" w:sz="4" w:space="0" w:color="auto"/>
              <w:left w:val="nil"/>
              <w:bottom w:val="single" w:sz="4" w:space="0" w:color="auto"/>
              <w:right w:val="single" w:sz="4" w:space="0" w:color="auto"/>
            </w:tcBorders>
            <w:vAlign w:val="center"/>
            <w:hideMark/>
          </w:tcPr>
          <w:p w14:paraId="5731B8F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992058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3A481FCE" w14:textId="77777777" w:rsidTr="009137A8">
        <w:trPr>
          <w:gridAfter w:val="2"/>
          <w:wAfter w:w="126" w:type="dxa"/>
          <w:cantSplit/>
        </w:trPr>
        <w:tc>
          <w:tcPr>
            <w:tcW w:w="9476" w:type="dxa"/>
            <w:gridSpan w:val="5"/>
            <w:tcBorders>
              <w:top w:val="single" w:sz="4" w:space="0" w:color="auto"/>
              <w:bottom w:val="single" w:sz="4" w:space="0" w:color="auto"/>
              <w:right w:val="single" w:sz="4" w:space="0" w:color="auto"/>
            </w:tcBorders>
            <w:vAlign w:val="center"/>
            <w:hideMark/>
          </w:tcPr>
          <w:p w14:paraId="7DB23FD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right="490"/>
              <w:jc w:val="left"/>
              <w:rPr>
                <w:i/>
                <w:kern w:val="22"/>
                <w:sz w:val="20"/>
                <w:szCs w:val="20"/>
              </w:rPr>
            </w:pPr>
            <w:r w:rsidRPr="00E347EC">
              <w:rPr>
                <w:i/>
                <w:kern w:val="22"/>
                <w:sz w:val="20"/>
                <w:szCs w:val="20"/>
                <w:lang w:bidi="fr-FR"/>
              </w:rPr>
              <w:t xml:space="preserve">Entreprendre </w:t>
            </w:r>
            <w:r w:rsidRPr="006C590E">
              <w:rPr>
                <w:i/>
                <w:kern w:val="22"/>
                <w:sz w:val="20"/>
                <w:szCs w:val="20"/>
                <w:lang w:bidi="fr-FR"/>
              </w:rPr>
              <w:t>des activités d’évaluation des risques ou de gestion des risques</w:t>
            </w:r>
          </w:p>
        </w:tc>
      </w:tr>
      <w:tr w:rsidR="00952749" w:rsidRPr="00617C2F" w14:paraId="18100237" w14:textId="77777777" w:rsidTr="009137A8">
        <w:trPr>
          <w:gridAfter w:val="2"/>
          <w:wAfter w:w="126" w:type="dxa"/>
          <w:cantSplit/>
        </w:trPr>
        <w:tc>
          <w:tcPr>
            <w:tcW w:w="9476" w:type="dxa"/>
            <w:gridSpan w:val="5"/>
            <w:tcBorders>
              <w:top w:val="single" w:sz="4" w:space="0" w:color="auto"/>
              <w:left w:val="single" w:sz="4" w:space="0" w:color="auto"/>
              <w:bottom w:val="nil"/>
              <w:right w:val="single" w:sz="4" w:space="0" w:color="auto"/>
            </w:tcBorders>
            <w:vAlign w:val="center"/>
            <w:hideMark/>
          </w:tcPr>
          <w:p w14:paraId="7BF8EFA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Votre pays a-t-il adopté ou utilisé des documents d'orientation pour l'évaluation des risques ou la gestion des risques, ou pour l'analyse des rappo</w:t>
            </w:r>
            <w:r>
              <w:rPr>
                <w:kern w:val="22"/>
                <w:sz w:val="20"/>
                <w:szCs w:val="20"/>
                <w:lang w:bidi="fr-FR"/>
              </w:rPr>
              <w:t>rts d'évaluation des risques trans</w:t>
            </w:r>
            <w:r w:rsidRPr="006C590E">
              <w:rPr>
                <w:kern w:val="22"/>
                <w:sz w:val="20"/>
                <w:szCs w:val="20"/>
                <w:lang w:bidi="fr-FR"/>
              </w:rPr>
              <w:t>mis par les auteurs de notifications ?</w:t>
            </w:r>
          </w:p>
        </w:tc>
      </w:tr>
      <w:tr w:rsidR="00952749" w:rsidRPr="006C590E" w14:paraId="3EF4CF8A"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3931B25A"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862" w:right="490"/>
              <w:jc w:val="left"/>
              <w:rPr>
                <w:kern w:val="22"/>
                <w:sz w:val="20"/>
                <w:szCs w:val="20"/>
              </w:rPr>
            </w:pPr>
            <w:r w:rsidRPr="006C590E">
              <w:rPr>
                <w:kern w:val="22"/>
                <w:sz w:val="20"/>
                <w:szCs w:val="20"/>
                <w:lang w:bidi="fr-FR"/>
              </w:rPr>
              <w:t>Évaluation des risques :</w:t>
            </w:r>
          </w:p>
        </w:tc>
        <w:tc>
          <w:tcPr>
            <w:tcW w:w="4506" w:type="dxa"/>
            <w:gridSpan w:val="3"/>
            <w:tcBorders>
              <w:top w:val="nil"/>
              <w:left w:val="nil"/>
              <w:bottom w:val="single" w:sz="4" w:space="0" w:color="auto"/>
              <w:right w:val="single" w:sz="4" w:space="0" w:color="auto"/>
            </w:tcBorders>
            <w:vAlign w:val="center"/>
            <w:hideMark/>
          </w:tcPr>
          <w:p w14:paraId="4293ED4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40029AA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500E7DEE" w14:textId="77777777" w:rsidTr="009137A8">
        <w:trPr>
          <w:gridAfter w:val="2"/>
          <w:wAfter w:w="126" w:type="dxa"/>
          <w:cantSplit/>
        </w:trPr>
        <w:tc>
          <w:tcPr>
            <w:tcW w:w="4970" w:type="dxa"/>
            <w:gridSpan w:val="2"/>
            <w:tcBorders>
              <w:top w:val="nil"/>
              <w:left w:val="single" w:sz="4" w:space="0" w:color="auto"/>
              <w:bottom w:val="single" w:sz="4" w:space="0" w:color="auto"/>
              <w:right w:val="nil"/>
            </w:tcBorders>
            <w:vAlign w:val="center"/>
            <w:hideMark/>
          </w:tcPr>
          <w:p w14:paraId="50CAC22A" w14:textId="77777777" w:rsidR="00952749" w:rsidRPr="006C590E" w:rsidRDefault="00952749" w:rsidP="004C7DBD">
            <w:pPr>
              <w:pStyle w:val="ListParagraph"/>
              <w:numPr>
                <w:ilvl w:val="4"/>
                <w:numId w:val="31"/>
              </w:numPr>
              <w:suppressLineNumbers/>
              <w:tabs>
                <w:tab w:val="clear" w:pos="3600"/>
              </w:tabs>
              <w:suppressAutoHyphens/>
              <w:kinsoku w:val="0"/>
              <w:overflowPunct w:val="0"/>
              <w:autoSpaceDE w:val="0"/>
              <w:autoSpaceDN w:val="0"/>
              <w:adjustRightInd w:val="0"/>
              <w:snapToGrid w:val="0"/>
              <w:spacing w:before="120" w:after="120"/>
              <w:ind w:left="862" w:right="490"/>
              <w:jc w:val="left"/>
              <w:rPr>
                <w:kern w:val="22"/>
                <w:sz w:val="20"/>
                <w:szCs w:val="20"/>
              </w:rPr>
            </w:pPr>
            <w:r w:rsidRPr="006C590E">
              <w:rPr>
                <w:kern w:val="22"/>
                <w:sz w:val="20"/>
                <w:szCs w:val="20"/>
                <w:lang w:bidi="fr-FR"/>
              </w:rPr>
              <w:t>Gestion des risques :</w:t>
            </w:r>
          </w:p>
        </w:tc>
        <w:tc>
          <w:tcPr>
            <w:tcW w:w="4506" w:type="dxa"/>
            <w:gridSpan w:val="3"/>
            <w:tcBorders>
              <w:top w:val="nil"/>
              <w:left w:val="nil"/>
              <w:bottom w:val="single" w:sz="4" w:space="0" w:color="auto"/>
              <w:right w:val="single" w:sz="4" w:space="0" w:color="auto"/>
            </w:tcBorders>
            <w:vAlign w:val="center"/>
            <w:hideMark/>
          </w:tcPr>
          <w:p w14:paraId="0D87A7B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839E4E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0DA53387" w14:textId="77777777" w:rsidTr="009137A8">
        <w:trPr>
          <w:gridAfter w:val="2"/>
          <w:wAfter w:w="126" w:type="dxa"/>
          <w:cantSplit/>
        </w:trPr>
        <w:tc>
          <w:tcPr>
            <w:tcW w:w="4970" w:type="dxa"/>
            <w:gridSpan w:val="2"/>
            <w:tcBorders>
              <w:top w:val="single" w:sz="4" w:space="0" w:color="auto"/>
            </w:tcBorders>
            <w:vAlign w:val="center"/>
            <w:hideMark/>
          </w:tcPr>
          <w:p w14:paraId="5701E66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71, votre pays utilise-t-il les « Directives</w:t>
            </w:r>
            <w:r>
              <w:rPr>
                <w:kern w:val="22"/>
                <w:sz w:val="20"/>
                <w:szCs w:val="20"/>
                <w:lang w:bidi="fr-FR"/>
              </w:rPr>
              <w:t xml:space="preserve"> sur l'évaluation des risques présent</w:t>
            </w:r>
            <w:r w:rsidRPr="006C590E">
              <w:rPr>
                <w:kern w:val="22"/>
                <w:sz w:val="20"/>
                <w:szCs w:val="20"/>
                <w:lang w:bidi="fr-FR"/>
              </w:rPr>
              <w:t>és par les OVM » (développées par le Forum en ligne et le GSET sur l'évaluation des risques et la gestion des risques) pour l'évaluation des risques ou la gestion des risques, ou pour l'analyse des rapports d</w:t>
            </w:r>
            <w:r>
              <w:rPr>
                <w:kern w:val="22"/>
                <w:sz w:val="20"/>
                <w:szCs w:val="20"/>
                <w:lang w:bidi="fr-FR"/>
              </w:rPr>
              <w:t>'évaluation des risques transmi</w:t>
            </w:r>
            <w:r w:rsidRPr="006C590E">
              <w:rPr>
                <w:kern w:val="22"/>
                <w:sz w:val="20"/>
                <w:szCs w:val="20"/>
                <w:lang w:bidi="fr-FR"/>
              </w:rPr>
              <w:t>s par les auteurs de notifications ?</w:t>
            </w:r>
          </w:p>
        </w:tc>
        <w:tc>
          <w:tcPr>
            <w:tcW w:w="4506" w:type="dxa"/>
            <w:gridSpan w:val="3"/>
            <w:tcBorders>
              <w:top w:val="single" w:sz="4" w:space="0" w:color="auto"/>
              <w:right w:val="single" w:sz="4" w:space="0" w:color="auto"/>
            </w:tcBorders>
            <w:vAlign w:val="center"/>
            <w:hideMark/>
          </w:tcPr>
          <w:p w14:paraId="7EF1008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EAEA96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211E6A5F" w14:textId="77777777" w:rsidTr="009137A8">
        <w:trPr>
          <w:gridAfter w:val="2"/>
          <w:wAfter w:w="126" w:type="dxa"/>
          <w:cantSplit/>
        </w:trPr>
        <w:tc>
          <w:tcPr>
            <w:tcW w:w="4970" w:type="dxa"/>
            <w:gridSpan w:val="2"/>
            <w:vAlign w:val="center"/>
            <w:hideMark/>
          </w:tcPr>
          <w:p w14:paraId="15B67F90"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adopté des approches communes sur l'évaluation des risques en coordination avec d'autres pays ?</w:t>
            </w:r>
          </w:p>
        </w:tc>
        <w:tc>
          <w:tcPr>
            <w:tcW w:w="4506" w:type="dxa"/>
            <w:gridSpan w:val="3"/>
            <w:tcBorders>
              <w:right w:val="single" w:sz="4" w:space="0" w:color="auto"/>
            </w:tcBorders>
            <w:vAlign w:val="center"/>
            <w:hideMark/>
          </w:tcPr>
          <w:p w14:paraId="15486FA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16F070A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9E06003" w14:textId="77777777" w:rsidTr="009137A8">
        <w:trPr>
          <w:gridAfter w:val="2"/>
          <w:wAfter w:w="126" w:type="dxa"/>
          <w:cantSplit/>
        </w:trPr>
        <w:tc>
          <w:tcPr>
            <w:tcW w:w="4970" w:type="dxa"/>
            <w:gridSpan w:val="2"/>
            <w:vAlign w:val="center"/>
            <w:hideMark/>
          </w:tcPr>
          <w:p w14:paraId="26E37EBA"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Votre pays a-t-il coopéré avec d'autres Parties à l'identification des OVM ou </w:t>
            </w:r>
            <w:r>
              <w:rPr>
                <w:kern w:val="22"/>
                <w:sz w:val="20"/>
                <w:szCs w:val="20"/>
                <w:lang w:bidi="fr-FR"/>
              </w:rPr>
              <w:t>de caractéristiqu</w:t>
            </w:r>
            <w:r w:rsidRPr="006C590E">
              <w:rPr>
                <w:kern w:val="22"/>
                <w:sz w:val="20"/>
                <w:szCs w:val="20"/>
                <w:lang w:bidi="fr-FR"/>
              </w:rPr>
              <w:t>es spécifiques pouvant avoir des effets défavorables sur la conservation et l'utilisation durable de la diversité biologique ?</w:t>
            </w:r>
          </w:p>
        </w:tc>
        <w:tc>
          <w:tcPr>
            <w:tcW w:w="4506" w:type="dxa"/>
            <w:gridSpan w:val="3"/>
            <w:tcBorders>
              <w:right w:val="single" w:sz="4" w:space="0" w:color="auto"/>
            </w:tcBorders>
            <w:vAlign w:val="center"/>
            <w:hideMark/>
          </w:tcPr>
          <w:p w14:paraId="0081729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011626E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9A2BEB9" w14:textId="77777777" w:rsidTr="009137A8">
        <w:trPr>
          <w:gridAfter w:val="2"/>
          <w:wAfter w:w="126" w:type="dxa"/>
          <w:cantSplit/>
        </w:trPr>
        <w:tc>
          <w:tcPr>
            <w:tcW w:w="4970" w:type="dxa"/>
            <w:gridSpan w:val="2"/>
            <w:vAlign w:val="center"/>
            <w:hideMark/>
          </w:tcPr>
          <w:p w14:paraId="3FD0397A"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Au cours de la période couverte par ce rapport, votre pays a-t-il jamais réalisé une évaluation d</w:t>
            </w:r>
            <w:r>
              <w:rPr>
                <w:kern w:val="22"/>
                <w:sz w:val="20"/>
                <w:szCs w:val="20"/>
                <w:lang w:bidi="fr-FR"/>
              </w:rPr>
              <w:t>es risques présentés par d</w:t>
            </w:r>
            <w:r w:rsidRPr="006C590E">
              <w:rPr>
                <w:kern w:val="22"/>
                <w:sz w:val="20"/>
                <w:szCs w:val="20"/>
                <w:lang w:bidi="fr-FR"/>
              </w:rPr>
              <w:t>es OVM utilisés, par exemple, en milieu confiné, pour des essais sur le terrain, à des fins commerciales, ou destinés à l'alimentation humaine, animale</w:t>
            </w:r>
            <w:r>
              <w:rPr>
                <w:kern w:val="22"/>
                <w:sz w:val="20"/>
                <w:szCs w:val="20"/>
                <w:lang w:bidi="fr-FR"/>
              </w:rPr>
              <w:t>,</w:t>
            </w:r>
            <w:r w:rsidRPr="006C590E">
              <w:rPr>
                <w:kern w:val="22"/>
                <w:sz w:val="20"/>
                <w:szCs w:val="20"/>
                <w:lang w:bidi="fr-FR"/>
              </w:rPr>
              <w:t xml:space="preserve"> ou à être transformés ?</w:t>
            </w:r>
          </w:p>
        </w:tc>
        <w:tc>
          <w:tcPr>
            <w:tcW w:w="4506" w:type="dxa"/>
            <w:gridSpan w:val="3"/>
            <w:tcBorders>
              <w:right w:val="single" w:sz="4" w:space="0" w:color="auto"/>
            </w:tcBorders>
            <w:vAlign w:val="center"/>
            <w:hideMark/>
          </w:tcPr>
          <w:p w14:paraId="3239DB8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0A6CA1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63A90077" w14:textId="77777777" w:rsidTr="009137A8">
        <w:trPr>
          <w:gridAfter w:val="2"/>
          <w:wAfter w:w="126" w:type="dxa"/>
          <w:cantSplit/>
        </w:trPr>
        <w:tc>
          <w:tcPr>
            <w:tcW w:w="4970" w:type="dxa"/>
            <w:gridSpan w:val="2"/>
            <w:vAlign w:val="center"/>
          </w:tcPr>
          <w:p w14:paraId="037BA33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75, combien d'évaluations des risques ont-elles été réalisées ?</w:t>
            </w:r>
          </w:p>
        </w:tc>
        <w:tc>
          <w:tcPr>
            <w:tcW w:w="4506" w:type="dxa"/>
            <w:gridSpan w:val="3"/>
            <w:tcBorders>
              <w:right w:val="single" w:sz="4" w:space="0" w:color="auto"/>
            </w:tcBorders>
            <w:vAlign w:val="center"/>
          </w:tcPr>
          <w:p w14:paraId="3932217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1 à 9 </w:t>
            </w:r>
          </w:p>
          <w:p w14:paraId="5339D46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6C97346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tab/>
              <w:t xml:space="preserve">50 à 99 </w:t>
            </w:r>
          </w:p>
          <w:p w14:paraId="7FC27FA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Plus de 100</w:t>
            </w:r>
          </w:p>
        </w:tc>
      </w:tr>
      <w:tr w:rsidR="00952749" w:rsidRPr="00617C2F" w14:paraId="4E48A5EF" w14:textId="77777777" w:rsidTr="009137A8">
        <w:trPr>
          <w:gridAfter w:val="2"/>
          <w:wAfter w:w="126" w:type="dxa"/>
          <w:cantSplit/>
        </w:trPr>
        <w:tc>
          <w:tcPr>
            <w:tcW w:w="4970" w:type="dxa"/>
            <w:gridSpan w:val="2"/>
            <w:shd w:val="clear" w:color="auto" w:fill="auto"/>
            <w:vAlign w:val="center"/>
            <w:hideMark/>
          </w:tcPr>
          <w:p w14:paraId="6583AF5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 xml:space="preserve">Si vous avez répondu </w:t>
            </w:r>
            <w:r w:rsidRPr="006C590E">
              <w:rPr>
                <w:i/>
                <w:kern w:val="22"/>
                <w:sz w:val="20"/>
                <w:szCs w:val="20"/>
                <w:lang w:bidi="fr-FR"/>
              </w:rPr>
              <w:t>Oui</w:t>
            </w:r>
            <w:r w:rsidRPr="006C590E">
              <w:rPr>
                <w:kern w:val="22"/>
                <w:sz w:val="20"/>
                <w:szCs w:val="20"/>
                <w:lang w:bidi="fr-FR"/>
              </w:rPr>
              <w:t xml:space="preserve"> à la questio</w:t>
            </w:r>
            <w:r>
              <w:rPr>
                <w:kern w:val="22"/>
                <w:sz w:val="20"/>
                <w:szCs w:val="20"/>
                <w:lang w:bidi="fr-FR"/>
              </w:rPr>
              <w:t xml:space="preserve">n 75, veuillez indiquer le champ d’application </w:t>
            </w:r>
            <w:r w:rsidRPr="006C590E">
              <w:rPr>
                <w:kern w:val="22"/>
                <w:sz w:val="20"/>
                <w:szCs w:val="20"/>
                <w:lang w:bidi="fr-FR"/>
              </w:rPr>
              <w:t>de l'évaluation des risques (cochez toutes les cases pertinentes) :</w:t>
            </w:r>
          </w:p>
        </w:tc>
        <w:tc>
          <w:tcPr>
            <w:tcW w:w="4506" w:type="dxa"/>
            <w:gridSpan w:val="3"/>
            <w:tcBorders>
              <w:right w:val="single" w:sz="4" w:space="0" w:color="auto"/>
            </w:tcBorders>
            <w:shd w:val="clear" w:color="auto" w:fill="auto"/>
            <w:vAlign w:val="center"/>
            <w:hideMark/>
          </w:tcPr>
          <w:p w14:paraId="07EB96B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OVM pour utilisation en milieu confiné (conformément à l'article 3)</w:t>
            </w:r>
          </w:p>
          <w:p w14:paraId="7400F39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OVM pour introduction intentionnelle dans l'environnement</w:t>
            </w:r>
            <w:r>
              <w:rPr>
                <w:kern w:val="22"/>
                <w:sz w:val="20"/>
                <w:szCs w:val="20"/>
                <w:lang w:bidi="fr-FR"/>
              </w:rPr>
              <w:t>,</w:t>
            </w:r>
            <w:r w:rsidRPr="006C590E">
              <w:rPr>
                <w:kern w:val="22"/>
                <w:sz w:val="20"/>
                <w:szCs w:val="20"/>
                <w:lang w:bidi="fr-FR"/>
              </w:rPr>
              <w:t xml:space="preserve"> pour des essais expérimentaux ou sur le terrain</w:t>
            </w:r>
          </w:p>
          <w:p w14:paraId="638CF7C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OVM pour introduction intentionnelle dans l'environnement à des fins commerciales</w:t>
            </w:r>
          </w:p>
          <w:p w14:paraId="3209D7D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Pr>
                <w:kern w:val="22"/>
                <w:sz w:val="20"/>
                <w:szCs w:val="20"/>
                <w:lang w:bidi="fr-FR"/>
              </w:rPr>
              <w:tab/>
              <w:t>OVM destinés à être utilisés directement pour l’</w:t>
            </w:r>
            <w:r w:rsidRPr="006C590E">
              <w:rPr>
                <w:kern w:val="22"/>
                <w:sz w:val="20"/>
                <w:szCs w:val="20"/>
                <w:lang w:bidi="fr-FR"/>
              </w:rPr>
              <w:t>alimentation humaine</w:t>
            </w:r>
          </w:p>
          <w:p w14:paraId="3EAB4C4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OV</w:t>
            </w:r>
            <w:r>
              <w:rPr>
                <w:kern w:val="22"/>
                <w:sz w:val="20"/>
                <w:szCs w:val="20"/>
                <w:lang w:bidi="fr-FR"/>
              </w:rPr>
              <w:t>M destinés à être utilisés directement pour l’</w:t>
            </w:r>
            <w:r w:rsidRPr="006C590E">
              <w:rPr>
                <w:kern w:val="22"/>
                <w:sz w:val="20"/>
                <w:szCs w:val="20"/>
                <w:lang w:bidi="fr-FR"/>
              </w:rPr>
              <w:t>alimentation animale</w:t>
            </w:r>
          </w:p>
          <w:p w14:paraId="4C9AC19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Pr>
                <w:kern w:val="22"/>
                <w:sz w:val="20"/>
                <w:szCs w:val="20"/>
                <w:lang w:bidi="fr-FR"/>
              </w:rPr>
              <w:tab/>
              <w:t>OVM destinés à être transformés</w:t>
            </w:r>
          </w:p>
          <w:p w14:paraId="6802CB93" w14:textId="77777777" w:rsidR="00952749" w:rsidRPr="006C590E" w:rsidRDefault="00952749" w:rsidP="009137A8">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Autres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tc>
      </w:tr>
      <w:tr w:rsidR="00952749" w:rsidRPr="006C590E" w14:paraId="52C5B34B" w14:textId="77777777" w:rsidTr="009137A8">
        <w:trPr>
          <w:gridAfter w:val="2"/>
          <w:wAfter w:w="126" w:type="dxa"/>
          <w:cantSplit/>
        </w:trPr>
        <w:tc>
          <w:tcPr>
            <w:tcW w:w="4970" w:type="dxa"/>
            <w:gridSpan w:val="2"/>
            <w:shd w:val="clear" w:color="auto" w:fill="FFFFFF"/>
            <w:vAlign w:val="center"/>
            <w:hideMark/>
          </w:tcPr>
          <w:p w14:paraId="5412B25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75, des évaluations des risques ont-elles été effectué</w:t>
            </w:r>
            <w:r>
              <w:rPr>
                <w:kern w:val="22"/>
                <w:sz w:val="20"/>
                <w:szCs w:val="20"/>
                <w:lang w:bidi="fr-FR"/>
              </w:rPr>
              <w:t>es pour toutes les décisions concernant</w:t>
            </w:r>
            <w:r w:rsidRPr="006C590E">
              <w:rPr>
                <w:kern w:val="22"/>
                <w:sz w:val="20"/>
                <w:szCs w:val="20"/>
                <w:lang w:bidi="fr-FR"/>
              </w:rPr>
              <w:t xml:space="preserve"> les OVM destinés à une introduction intentionne</w:t>
            </w:r>
            <w:r>
              <w:rPr>
                <w:kern w:val="22"/>
                <w:sz w:val="20"/>
                <w:szCs w:val="20"/>
                <w:lang w:bidi="fr-FR"/>
              </w:rPr>
              <w:t xml:space="preserve">lle dans l'environnement ou concernant </w:t>
            </w:r>
            <w:r w:rsidRPr="006C590E">
              <w:rPr>
                <w:kern w:val="22"/>
                <w:sz w:val="20"/>
                <w:szCs w:val="20"/>
                <w:lang w:bidi="fr-FR"/>
              </w:rPr>
              <w:t>l'utilisation au niveau national d'OVM destinés à l'alimentation humaine, animale ou à être transformés ?</w:t>
            </w:r>
          </w:p>
        </w:tc>
        <w:tc>
          <w:tcPr>
            <w:tcW w:w="4506" w:type="dxa"/>
            <w:gridSpan w:val="3"/>
            <w:tcBorders>
              <w:right w:val="single" w:sz="4" w:space="0" w:color="auto"/>
            </w:tcBorders>
            <w:shd w:val="clear" w:color="auto" w:fill="FFFFFF"/>
            <w:vAlign w:val="center"/>
            <w:hideMark/>
          </w:tcPr>
          <w:p w14:paraId="6C51933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108A9C3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3098035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Non </w:t>
            </w:r>
          </w:p>
        </w:tc>
      </w:tr>
      <w:tr w:rsidR="00952749" w:rsidRPr="006C590E" w14:paraId="0B241716" w14:textId="77777777" w:rsidTr="009137A8">
        <w:trPr>
          <w:gridAfter w:val="2"/>
          <w:wAfter w:w="126" w:type="dxa"/>
          <w:cantSplit/>
        </w:trPr>
        <w:tc>
          <w:tcPr>
            <w:tcW w:w="4970" w:type="dxa"/>
            <w:gridSpan w:val="2"/>
            <w:vAlign w:val="center"/>
          </w:tcPr>
          <w:p w14:paraId="057C1A0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 w:val="20"/>
                <w:szCs w:val="20"/>
              </w:rPr>
            </w:pPr>
            <w:r>
              <w:rPr>
                <w:color w:val="505050"/>
                <w:kern w:val="22"/>
                <w:sz w:val="20"/>
                <w:szCs w:val="20"/>
                <w:lang w:bidi="fr-FR"/>
              </w:rPr>
              <w:t>Votre pays a-t-il mis en place</w:t>
            </w:r>
            <w:r w:rsidRPr="006C590E">
              <w:rPr>
                <w:color w:val="505050"/>
                <w:kern w:val="22"/>
                <w:sz w:val="20"/>
                <w:szCs w:val="20"/>
                <w:lang w:bidi="fr-FR"/>
              </w:rPr>
              <w:t xml:space="preserve"> des mécanismes, des mesures et des stratégies appropriés pour réglementer et gérer les risques identifiés dans l'évaluation des risques posés par les OVM ?</w:t>
            </w:r>
          </w:p>
        </w:tc>
        <w:tc>
          <w:tcPr>
            <w:tcW w:w="4506" w:type="dxa"/>
            <w:gridSpan w:val="3"/>
            <w:tcBorders>
              <w:right w:val="single" w:sz="4" w:space="0" w:color="auto"/>
            </w:tcBorders>
            <w:vAlign w:val="center"/>
          </w:tcPr>
          <w:p w14:paraId="04FFCAA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640E140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56190C5D" w14:textId="77777777" w:rsidTr="009137A8">
        <w:trPr>
          <w:gridAfter w:val="2"/>
          <w:wAfter w:w="126" w:type="dxa"/>
          <w:cantSplit/>
        </w:trPr>
        <w:tc>
          <w:tcPr>
            <w:tcW w:w="4970" w:type="dxa"/>
            <w:gridSpan w:val="2"/>
            <w:vAlign w:val="center"/>
          </w:tcPr>
          <w:p w14:paraId="02964AB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 w:val="20"/>
                <w:szCs w:val="20"/>
              </w:rPr>
            </w:pPr>
            <w:r w:rsidRPr="006C590E">
              <w:rPr>
                <w:color w:val="505050"/>
                <w:kern w:val="22"/>
                <w:sz w:val="20"/>
                <w:szCs w:val="20"/>
                <w:lang w:bidi="fr-FR"/>
              </w:rPr>
              <w:t>Votre pays a-t-il pris des mesures appropriées pour prévenir les mouvements transfrontières non intentionnels d'OVM, y compris des mesures exigeant qu'une évaluation des risques soit effectuée avant la première mise en circulation d'un OVM ?</w:t>
            </w:r>
          </w:p>
        </w:tc>
        <w:tc>
          <w:tcPr>
            <w:tcW w:w="4506" w:type="dxa"/>
            <w:gridSpan w:val="3"/>
            <w:tcBorders>
              <w:right w:val="single" w:sz="4" w:space="0" w:color="auto"/>
            </w:tcBorders>
            <w:vAlign w:val="center"/>
          </w:tcPr>
          <w:p w14:paraId="5ABDDA6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4071500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3D1A645E" w14:textId="77777777" w:rsidTr="009137A8">
        <w:trPr>
          <w:gridAfter w:val="2"/>
          <w:wAfter w:w="126" w:type="dxa"/>
          <w:cantSplit/>
        </w:trPr>
        <w:tc>
          <w:tcPr>
            <w:tcW w:w="4970" w:type="dxa"/>
            <w:gridSpan w:val="2"/>
            <w:vAlign w:val="center"/>
            <w:hideMark/>
          </w:tcPr>
          <w:p w14:paraId="19FC3F7A"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pris des mesures pour veiller à ce que tout organisme vivant modifié, importé ou développé localement, soit soumis à une période d'observation appropriée en rapport avec son cycle de vie ou temps de reproduction avant son utilisation prévue ?</w:t>
            </w:r>
          </w:p>
        </w:tc>
        <w:tc>
          <w:tcPr>
            <w:tcW w:w="4506" w:type="dxa"/>
            <w:gridSpan w:val="3"/>
            <w:tcBorders>
              <w:right w:val="single" w:sz="4" w:space="0" w:color="auto"/>
            </w:tcBorders>
            <w:vAlign w:val="center"/>
            <w:hideMark/>
          </w:tcPr>
          <w:p w14:paraId="7D1BF02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33D9EBC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4A370DD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53D3C446" w14:textId="77777777" w:rsidTr="009137A8">
        <w:trPr>
          <w:gridAfter w:val="2"/>
          <w:wAfter w:w="126" w:type="dxa"/>
          <w:cantSplit/>
        </w:trPr>
        <w:tc>
          <w:tcPr>
            <w:tcW w:w="4970" w:type="dxa"/>
            <w:gridSpan w:val="2"/>
            <w:shd w:val="clear" w:color="auto" w:fill="auto"/>
            <w:vAlign w:val="center"/>
            <w:hideMark/>
          </w:tcPr>
          <w:p w14:paraId="388948A2"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Pr>
                <w:kern w:val="22"/>
                <w:sz w:val="20"/>
                <w:szCs w:val="20"/>
                <w:lang w:bidi="fr-FR"/>
              </w:rPr>
              <w:t>Votre pays a-t-il créé</w:t>
            </w:r>
            <w:r w:rsidRPr="006C590E">
              <w:rPr>
                <w:kern w:val="22"/>
                <w:sz w:val="20"/>
                <w:szCs w:val="20"/>
                <w:lang w:bidi="fr-FR"/>
              </w:rPr>
              <w:t xml:space="preserve"> un mécanisme de suivi des effets potentiels des OVM libérés dans l'environnement ?</w:t>
            </w:r>
          </w:p>
        </w:tc>
        <w:tc>
          <w:tcPr>
            <w:tcW w:w="4506" w:type="dxa"/>
            <w:gridSpan w:val="3"/>
            <w:tcBorders>
              <w:right w:val="single" w:sz="4" w:space="0" w:color="auto"/>
            </w:tcBorders>
            <w:shd w:val="clear" w:color="auto" w:fill="auto"/>
            <w:vAlign w:val="center"/>
            <w:hideMark/>
          </w:tcPr>
          <w:p w14:paraId="05B44A9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09D5CB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5FFBA41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0775349E" w14:textId="77777777" w:rsidTr="009137A8">
        <w:trPr>
          <w:gridAfter w:val="2"/>
          <w:wAfter w:w="126" w:type="dxa"/>
          <w:cantSplit/>
        </w:trPr>
        <w:tc>
          <w:tcPr>
            <w:tcW w:w="4970" w:type="dxa"/>
            <w:gridSpan w:val="2"/>
            <w:vAlign w:val="center"/>
            <w:hideMark/>
          </w:tcPr>
          <w:p w14:paraId="7E1DA62A"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Votre pays est-il doté de l'infrastructure (par exemple, de laboratoires) pour le suivi ou la gestion des OVM ?</w:t>
            </w:r>
          </w:p>
        </w:tc>
        <w:tc>
          <w:tcPr>
            <w:tcW w:w="4506" w:type="dxa"/>
            <w:gridSpan w:val="3"/>
            <w:tcBorders>
              <w:right w:val="single" w:sz="4" w:space="0" w:color="auto"/>
            </w:tcBorders>
            <w:vAlign w:val="center"/>
            <w:hideMark/>
          </w:tcPr>
          <w:p w14:paraId="527C994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111255E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57100CD" w14:textId="77777777" w:rsidTr="009137A8">
        <w:trPr>
          <w:gridAfter w:val="2"/>
          <w:wAfter w:w="126" w:type="dxa"/>
          <w:cantSplit/>
        </w:trPr>
        <w:tc>
          <w:tcPr>
            <w:tcW w:w="9476" w:type="dxa"/>
            <w:gridSpan w:val="5"/>
            <w:tcBorders>
              <w:top w:val="single" w:sz="4" w:space="0" w:color="auto"/>
              <w:left w:val="single" w:sz="4" w:space="0" w:color="auto"/>
              <w:bottom w:val="single" w:sz="4" w:space="0" w:color="auto"/>
              <w:right w:val="single" w:sz="4" w:space="0" w:color="auto"/>
            </w:tcBorders>
            <w:vAlign w:val="center"/>
            <w:hideMark/>
          </w:tcPr>
          <w:p w14:paraId="3670346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 xml:space="preserve">de plus amples détails sur l’application des articles 15 et 16 dans </w:t>
            </w:r>
            <w:r>
              <w:rPr>
                <w:kern w:val="22"/>
                <w:sz w:val="20"/>
                <w:szCs w:val="20"/>
                <w:lang w:bidi="fr-FR"/>
              </w:rPr>
              <w:t>votre pays</w:t>
            </w:r>
            <w:r w:rsidRPr="006C590E">
              <w:rPr>
                <w:kern w:val="22"/>
                <w:sz w:val="20"/>
                <w:szCs w:val="20"/>
                <w:lang w:bidi="fr-FR"/>
              </w:rPr>
              <w:t>:</w:t>
            </w:r>
          </w:p>
          <w:p w14:paraId="0996B38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40"/>
              <w:jc w:val="left"/>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17799466" w14:textId="77777777" w:rsidTr="009137A8">
        <w:trPr>
          <w:gridAfter w:val="2"/>
          <w:wAfter w:w="126" w:type="dxa"/>
          <w:cantSplit/>
        </w:trPr>
        <w:tc>
          <w:tcPr>
            <w:tcW w:w="9476" w:type="dxa"/>
            <w:gridSpan w:val="5"/>
            <w:tcBorders>
              <w:right w:val="single" w:sz="4" w:space="0" w:color="auto"/>
            </w:tcBorders>
            <w:vAlign w:val="center"/>
            <w:hideMark/>
          </w:tcPr>
          <w:p w14:paraId="0B38A75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6C590E">
              <w:rPr>
                <w:rFonts w:eastAsia="Arial Unicode MS"/>
                <w:b/>
                <w:kern w:val="22"/>
                <w:sz w:val="20"/>
                <w:szCs w:val="20"/>
                <w:lang w:bidi="fr-FR"/>
              </w:rPr>
              <w:t>Article 17 – Mouvements transfrontières non intentionnels</w:t>
            </w:r>
            <w:r w:rsidRPr="006C590E">
              <w:rPr>
                <w:rStyle w:val="FootnoteReference"/>
                <w:rFonts w:eastAsia="Arial Unicode MS"/>
                <w:kern w:val="22"/>
                <w:sz w:val="20"/>
                <w:szCs w:val="20"/>
                <w:lang w:bidi="fr-FR"/>
              </w:rPr>
              <w:footnoteReference w:id="14"/>
            </w:r>
            <w:r w:rsidRPr="006C590E">
              <w:rPr>
                <w:rFonts w:eastAsia="Arial Unicode MS"/>
                <w:b/>
                <w:kern w:val="22"/>
                <w:sz w:val="20"/>
                <w:szCs w:val="20"/>
                <w:lang w:bidi="fr-FR"/>
              </w:rPr>
              <w:t xml:space="preserve"> et mesures d’urgence</w:t>
            </w:r>
          </w:p>
        </w:tc>
      </w:tr>
      <w:tr w:rsidR="00952749" w:rsidRPr="006C590E" w14:paraId="18913D77" w14:textId="77777777" w:rsidTr="009137A8">
        <w:trPr>
          <w:gridAfter w:val="2"/>
          <w:wAfter w:w="126" w:type="dxa"/>
          <w:cantSplit/>
        </w:trPr>
        <w:tc>
          <w:tcPr>
            <w:tcW w:w="4970" w:type="dxa"/>
            <w:gridSpan w:val="2"/>
            <w:vAlign w:val="center"/>
            <w:hideMark/>
          </w:tcPr>
          <w:p w14:paraId="2E3EB8F7"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Votre pays a-t-il pris des mesures pour notifier les États affectés ou susceptibles d'être touchés, le Centre d'échange pour la prévention des risques biotechnologiques et, le cas échéant, les organisations internationales compétentes, dans le cas d’une dissémination relevant de leur juridiction qui entraîne, ou peut entraîner, un mouvement transfrontière non intentionnel </w:t>
            </w:r>
          </w:p>
        </w:tc>
        <w:tc>
          <w:tcPr>
            <w:tcW w:w="4506" w:type="dxa"/>
            <w:gridSpan w:val="3"/>
            <w:tcBorders>
              <w:right w:val="single" w:sz="4" w:space="0" w:color="auto"/>
            </w:tcBorders>
            <w:vAlign w:val="center"/>
            <w:hideMark/>
          </w:tcPr>
          <w:p w14:paraId="374AA02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44EE58B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06CD99C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rsidDel="0091556C" w14:paraId="76A4FCBC" w14:textId="77777777" w:rsidTr="009137A8">
        <w:trPr>
          <w:gridAfter w:val="2"/>
          <w:wAfter w:w="126" w:type="dxa"/>
          <w:cantSplit/>
        </w:trPr>
        <w:tc>
          <w:tcPr>
            <w:tcW w:w="4970" w:type="dxa"/>
            <w:gridSpan w:val="2"/>
            <w:shd w:val="clear" w:color="auto" w:fill="auto"/>
            <w:vAlign w:val="center"/>
          </w:tcPr>
          <w:p w14:paraId="16EFAD5D" w14:textId="77777777" w:rsidR="00952749" w:rsidRPr="006C590E" w:rsidDel="0091556C"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le présent rapport, combien de disséminatio</w:t>
            </w:r>
            <w:r>
              <w:rPr>
                <w:kern w:val="22"/>
                <w:sz w:val="20"/>
                <w:szCs w:val="20"/>
                <w:lang w:bidi="fr-FR"/>
              </w:rPr>
              <w:t xml:space="preserve">ns d'OVM ont-elles eu lieu dans </w:t>
            </w:r>
            <w:r w:rsidRPr="006C590E">
              <w:rPr>
                <w:kern w:val="22"/>
                <w:sz w:val="20"/>
                <w:szCs w:val="20"/>
                <w:lang w:bidi="fr-FR"/>
              </w:rPr>
              <w:t>la juridiction de votre pays, ayant conduit, ou pouvant avoir conduit, à un mouvement transfrontière non intentionnel ?</w:t>
            </w:r>
          </w:p>
        </w:tc>
        <w:tc>
          <w:tcPr>
            <w:tcW w:w="4506" w:type="dxa"/>
            <w:gridSpan w:val="3"/>
            <w:tcBorders>
              <w:right w:val="single" w:sz="4" w:space="0" w:color="auto"/>
            </w:tcBorders>
            <w:shd w:val="clear" w:color="auto" w:fill="auto"/>
            <w:vAlign w:val="center"/>
          </w:tcPr>
          <w:p w14:paraId="03DA85E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7150B75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4095F06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53336B37" w14:textId="77777777" w:rsidR="00952749" w:rsidRPr="006C590E" w:rsidDel="0091556C"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tc>
      </w:tr>
      <w:tr w:rsidR="00952749" w:rsidRPr="006C590E" w:rsidDel="0091556C" w14:paraId="48EDA33B" w14:textId="77777777" w:rsidTr="009137A8">
        <w:trPr>
          <w:gridAfter w:val="2"/>
          <w:wAfter w:w="126" w:type="dxa"/>
          <w:cantSplit/>
        </w:trPr>
        <w:tc>
          <w:tcPr>
            <w:tcW w:w="4970" w:type="dxa"/>
            <w:gridSpan w:val="2"/>
            <w:shd w:val="clear" w:color="auto" w:fill="auto"/>
            <w:vAlign w:val="center"/>
          </w:tcPr>
          <w:p w14:paraId="3280BDBF" w14:textId="77777777" w:rsidR="00952749" w:rsidRPr="006C590E" w:rsidDel="0091556C"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à la question 86 qu'une dissémination s'est produite</w:t>
            </w:r>
            <w:r w:rsidRPr="006C590E">
              <w:rPr>
                <w:kern w:val="22"/>
                <w:sz w:val="20"/>
                <w:szCs w:val="20"/>
                <w:lang w:bidi="fr-FR"/>
              </w:rPr>
              <w:t>, votre pays a-t-il informé les États touchés ou susceptibles d'être touchés, le Centre d'échange pour la prévention des risques biotechnologiques et, le cas échéant, les organisations internationales compétentes ?</w:t>
            </w:r>
          </w:p>
        </w:tc>
        <w:tc>
          <w:tcPr>
            <w:tcW w:w="4506" w:type="dxa"/>
            <w:gridSpan w:val="3"/>
            <w:tcBorders>
              <w:right w:val="single" w:sz="4" w:space="0" w:color="auto"/>
            </w:tcBorders>
            <w:shd w:val="clear" w:color="auto" w:fill="auto"/>
            <w:vAlign w:val="center"/>
          </w:tcPr>
          <w:p w14:paraId="0FFC0F3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53DFBD9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Dans certains cas seulement</w:t>
            </w:r>
          </w:p>
          <w:p w14:paraId="49792E2F" w14:textId="77777777" w:rsidR="00952749" w:rsidRPr="006C590E" w:rsidDel="0091556C"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65A14FC5" w14:textId="77777777" w:rsidTr="009137A8">
        <w:trPr>
          <w:gridAfter w:val="2"/>
          <w:wAfter w:w="126" w:type="dxa"/>
          <w:cantSplit/>
        </w:trPr>
        <w:tc>
          <w:tcPr>
            <w:tcW w:w="4970" w:type="dxa"/>
            <w:gridSpan w:val="2"/>
            <w:vAlign w:val="center"/>
            <w:hideMark/>
          </w:tcPr>
          <w:p w14:paraId="5F9BE653"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la capacité de prendre des mesur</w:t>
            </w:r>
            <w:r>
              <w:rPr>
                <w:kern w:val="22"/>
                <w:sz w:val="20"/>
                <w:szCs w:val="20"/>
                <w:lang w:bidi="fr-FR"/>
              </w:rPr>
              <w:t>es d'intervention appropriées pour répondre</w:t>
            </w:r>
            <w:r w:rsidRPr="006C590E">
              <w:rPr>
                <w:kern w:val="22"/>
                <w:sz w:val="20"/>
                <w:szCs w:val="20"/>
                <w:lang w:bidi="fr-FR"/>
              </w:rPr>
              <w:t xml:space="preserve"> à des mouvements transfrontières non intentionnels ?</w:t>
            </w:r>
          </w:p>
        </w:tc>
        <w:tc>
          <w:tcPr>
            <w:tcW w:w="4506" w:type="dxa"/>
            <w:gridSpan w:val="3"/>
            <w:tcBorders>
              <w:right w:val="single" w:sz="4" w:space="0" w:color="auto"/>
            </w:tcBorders>
            <w:vAlign w:val="center"/>
            <w:hideMark/>
          </w:tcPr>
          <w:p w14:paraId="7ADFDA7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8CCD8A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5A6B2DF6" w14:textId="77777777" w:rsidTr="009137A8">
        <w:trPr>
          <w:gridAfter w:val="2"/>
          <w:wAfter w:w="126" w:type="dxa"/>
          <w:cantSplit/>
        </w:trPr>
        <w:tc>
          <w:tcPr>
            <w:tcW w:w="4970" w:type="dxa"/>
            <w:gridSpan w:val="2"/>
            <w:vAlign w:val="center"/>
            <w:hideMark/>
          </w:tcPr>
          <w:p w14:paraId="787E1A3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le présent rapport, combien de fois votre pays a-t-il pris connaissance d'un mouvement transfrontière non intentionnel sur son territoire ?</w:t>
            </w:r>
          </w:p>
        </w:tc>
        <w:tc>
          <w:tcPr>
            <w:tcW w:w="4506" w:type="dxa"/>
            <w:gridSpan w:val="3"/>
            <w:tcBorders>
              <w:right w:val="single" w:sz="4" w:space="0" w:color="auto"/>
            </w:tcBorders>
            <w:vAlign w:val="center"/>
            <w:hideMark/>
          </w:tcPr>
          <w:p w14:paraId="18BFE40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149ACD5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11C32C7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078D7FC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tc>
      </w:tr>
      <w:tr w:rsidR="00952749" w:rsidRPr="006C590E" w14:paraId="6EEAF31C" w14:textId="77777777" w:rsidTr="009137A8">
        <w:trPr>
          <w:gridAfter w:val="2"/>
          <w:wAfter w:w="126" w:type="dxa"/>
          <w:cantSplit/>
        </w:trPr>
        <w:tc>
          <w:tcPr>
            <w:tcW w:w="9476" w:type="dxa"/>
            <w:gridSpan w:val="5"/>
            <w:tcBorders>
              <w:right w:val="single" w:sz="4" w:space="0" w:color="auto"/>
            </w:tcBorders>
            <w:vAlign w:val="center"/>
          </w:tcPr>
          <w:p w14:paraId="5CCF133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 xml:space="preserve">Vous pouvez fournir </w:t>
            </w:r>
            <w:r>
              <w:rPr>
                <w:kern w:val="22"/>
                <w:sz w:val="20"/>
                <w:szCs w:val="20"/>
                <w:lang w:bidi="fr-FR"/>
              </w:rPr>
              <w:t xml:space="preserve">ici </w:t>
            </w:r>
            <w:r w:rsidRPr="006C590E">
              <w:rPr>
                <w:kern w:val="22"/>
                <w:sz w:val="20"/>
                <w:szCs w:val="20"/>
                <w:lang w:bidi="fr-FR"/>
              </w:rPr>
              <w:t>de plus amples détails sur l’application de l’article 17 dans v</w:t>
            </w:r>
            <w:r>
              <w:rPr>
                <w:kern w:val="22"/>
                <w:sz w:val="20"/>
                <w:szCs w:val="20"/>
                <w:lang w:bidi="fr-FR"/>
              </w:rPr>
              <w:t xml:space="preserve">otre pays </w:t>
            </w:r>
            <w:r w:rsidRPr="006C590E">
              <w:rPr>
                <w:kern w:val="22"/>
                <w:sz w:val="20"/>
                <w:szCs w:val="20"/>
                <w:lang w:bidi="fr-FR"/>
              </w:rPr>
              <w:t>:</w:t>
            </w:r>
          </w:p>
          <w:p w14:paraId="0F208DC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ight="6"/>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572783BA" w14:textId="77777777" w:rsidTr="009137A8">
        <w:trPr>
          <w:gridAfter w:val="2"/>
          <w:wAfter w:w="126" w:type="dxa"/>
          <w:cantSplit/>
        </w:trPr>
        <w:tc>
          <w:tcPr>
            <w:tcW w:w="9476" w:type="dxa"/>
            <w:gridSpan w:val="5"/>
            <w:tcBorders>
              <w:right w:val="single" w:sz="4" w:space="0" w:color="auto"/>
            </w:tcBorders>
            <w:vAlign w:val="center"/>
            <w:hideMark/>
          </w:tcPr>
          <w:p w14:paraId="467D7CB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t>Article 18 – Manipulation, transport, emballage et identification</w:t>
            </w:r>
          </w:p>
        </w:tc>
      </w:tr>
      <w:tr w:rsidR="00952749" w:rsidRPr="006C590E" w14:paraId="3237A993" w14:textId="77777777" w:rsidTr="009137A8">
        <w:trPr>
          <w:gridAfter w:val="2"/>
          <w:wAfter w:w="126" w:type="dxa"/>
          <w:cantSplit/>
        </w:trPr>
        <w:tc>
          <w:tcPr>
            <w:tcW w:w="4970" w:type="dxa"/>
            <w:gridSpan w:val="2"/>
            <w:vAlign w:val="center"/>
            <w:hideMark/>
          </w:tcPr>
          <w:p w14:paraId="21F5565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Votre pays a-t-il pris les mesures nécessaires pour exiger que les OVM pouvant </w:t>
            </w:r>
            <w:r w:rsidRPr="006C590E">
              <w:rPr>
                <w:i/>
                <w:kern w:val="22"/>
                <w:sz w:val="20"/>
                <w:szCs w:val="20"/>
                <w:lang w:bidi="fr-FR"/>
              </w:rPr>
              <w:t xml:space="preserve">faire l’objet de mouvements transfrontières </w:t>
            </w:r>
            <w:r w:rsidRPr="006C590E">
              <w:rPr>
                <w:kern w:val="22"/>
                <w:sz w:val="20"/>
                <w:szCs w:val="20"/>
                <w:lang w:bidi="fr-FR"/>
              </w:rPr>
              <w:t>soient manipulés, emballés et transportés dans des conditions de sécurité tenant compte des règles et normes internationales pertinentes ?</w:t>
            </w:r>
          </w:p>
        </w:tc>
        <w:tc>
          <w:tcPr>
            <w:tcW w:w="4506" w:type="dxa"/>
            <w:gridSpan w:val="3"/>
            <w:tcBorders>
              <w:right w:val="single" w:sz="4" w:space="0" w:color="auto"/>
            </w:tcBorders>
            <w:vAlign w:val="center"/>
            <w:hideMark/>
          </w:tcPr>
          <w:p w14:paraId="5BFDB39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EDFE1A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5DE195A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1FBC0981" w14:textId="77777777" w:rsidTr="009137A8">
        <w:trPr>
          <w:gridAfter w:val="2"/>
          <w:wAfter w:w="126" w:type="dxa"/>
          <w:cantSplit/>
        </w:trPr>
        <w:tc>
          <w:tcPr>
            <w:tcW w:w="4970" w:type="dxa"/>
            <w:gridSpan w:val="2"/>
            <w:vAlign w:val="center"/>
            <w:hideMark/>
          </w:tcPr>
          <w:p w14:paraId="1C7127D3"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Votre pays a-t-il pris des mesures pour exiger que la documentation accompagnant les organismes vivants modifiés destinés à être utilisés directement pour l'alimentation humaine ou animale, ou à être transformés, indiquent clairement que </w:t>
            </w:r>
            <w:r w:rsidRPr="006C590E">
              <w:rPr>
                <w:i/>
                <w:kern w:val="22"/>
                <w:sz w:val="20"/>
                <w:szCs w:val="20"/>
                <w:lang w:bidi="fr-FR"/>
              </w:rPr>
              <w:t xml:space="preserve">les OVM dont </w:t>
            </w:r>
            <w:r w:rsidRPr="00CE2A5E">
              <w:rPr>
                <w:i/>
                <w:kern w:val="22"/>
                <w:sz w:val="20"/>
                <w:szCs w:val="20"/>
                <w:u w:val="single"/>
                <w:lang w:bidi="fr-FR"/>
              </w:rPr>
              <w:t>l’identité ne peut pas être établie</w:t>
            </w:r>
            <w:r w:rsidRPr="006C590E">
              <w:rPr>
                <w:i/>
                <w:kern w:val="22"/>
                <w:sz w:val="20"/>
                <w:szCs w:val="20"/>
                <w:lang w:bidi="fr-FR"/>
              </w:rPr>
              <w:t xml:space="preserve"> peuvent contenir</w:t>
            </w:r>
            <w:r w:rsidRPr="006C590E">
              <w:rPr>
                <w:kern w:val="22"/>
                <w:sz w:val="20"/>
                <w:szCs w:val="20"/>
                <w:lang w:bidi="fr-FR"/>
              </w:rPr>
              <w:t xml:space="preserve"> des organismes vivants modifiés et qu’ils ne sont pas destinés à l’introduction intentionnelle dans l’environnement, et fournissent les coordonnées de la personne à contacter pour tout complément d’information ?</w:t>
            </w:r>
          </w:p>
        </w:tc>
        <w:tc>
          <w:tcPr>
            <w:tcW w:w="4506" w:type="dxa"/>
            <w:gridSpan w:val="3"/>
            <w:tcBorders>
              <w:right w:val="single" w:sz="4" w:space="0" w:color="auto"/>
            </w:tcBorders>
            <w:vAlign w:val="center"/>
            <w:hideMark/>
          </w:tcPr>
          <w:p w14:paraId="3C117EB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w:t>
            </w:r>
          </w:p>
          <w:p w14:paraId="063689F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7556D87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C56FF4C" w14:textId="77777777" w:rsidTr="009137A8">
        <w:trPr>
          <w:gridAfter w:val="2"/>
          <w:wAfter w:w="126" w:type="dxa"/>
          <w:cantSplit/>
        </w:trPr>
        <w:tc>
          <w:tcPr>
            <w:tcW w:w="4970" w:type="dxa"/>
            <w:gridSpan w:val="2"/>
            <w:vAlign w:val="center"/>
            <w:hideMark/>
          </w:tcPr>
          <w:p w14:paraId="0BC5687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Votre pays a-t-il pris les mesures nécessaires pour exiger que les documents accompagnant les organismes vivants modifiés destinés à être utilisés directement pour l'alimentation humaine ou animale, ou à être transformés, indiquent clairement que les </w:t>
            </w:r>
            <w:r w:rsidRPr="006C590E">
              <w:rPr>
                <w:i/>
                <w:kern w:val="22"/>
                <w:sz w:val="20"/>
                <w:szCs w:val="20"/>
                <w:lang w:bidi="fr-FR"/>
              </w:rPr>
              <w:t xml:space="preserve">OVM dont </w:t>
            </w:r>
            <w:r w:rsidRPr="00CE2A5E">
              <w:rPr>
                <w:i/>
                <w:kern w:val="22"/>
                <w:sz w:val="20"/>
                <w:szCs w:val="20"/>
                <w:u w:val="single"/>
                <w:lang w:bidi="fr-FR"/>
              </w:rPr>
              <w:t>l’identité a été établie</w:t>
            </w:r>
            <w:r w:rsidRPr="006C590E">
              <w:rPr>
                <w:i/>
                <w:kern w:val="22"/>
                <w:sz w:val="20"/>
                <w:szCs w:val="20"/>
                <w:lang w:bidi="fr-FR"/>
              </w:rPr>
              <w:t xml:space="preserve"> contiennent </w:t>
            </w:r>
            <w:r w:rsidRPr="006C590E">
              <w:rPr>
                <w:kern w:val="22"/>
                <w:sz w:val="20"/>
                <w:szCs w:val="20"/>
                <w:lang w:bidi="fr-FR"/>
              </w:rPr>
              <w:t>des organismes vivants modifiés et qu’ils ne sont pas destinés à l’introduction intentionnelle dans l’environnement, et fournissent les coordonnées de la personne à contacter pour tout complément d’information ?</w:t>
            </w:r>
          </w:p>
        </w:tc>
        <w:tc>
          <w:tcPr>
            <w:tcW w:w="4506" w:type="dxa"/>
            <w:gridSpan w:val="3"/>
            <w:tcBorders>
              <w:right w:val="single" w:sz="4" w:space="0" w:color="auto"/>
            </w:tcBorders>
            <w:vAlign w:val="center"/>
            <w:hideMark/>
          </w:tcPr>
          <w:p w14:paraId="2F45657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w:t>
            </w:r>
          </w:p>
          <w:p w14:paraId="14523D9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32121FB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B2CE454" w14:textId="77777777" w:rsidTr="009137A8">
        <w:trPr>
          <w:gridAfter w:val="2"/>
          <w:wAfter w:w="126" w:type="dxa"/>
          <w:cantSplit/>
        </w:trPr>
        <w:tc>
          <w:tcPr>
            <w:tcW w:w="4970" w:type="dxa"/>
            <w:gridSpan w:val="2"/>
            <w:vAlign w:val="center"/>
          </w:tcPr>
          <w:p w14:paraId="308D0EA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Si vous avez répondu</w:t>
            </w:r>
            <w:r w:rsidRPr="006C590E">
              <w:rPr>
                <w:i/>
                <w:kern w:val="22"/>
                <w:sz w:val="20"/>
                <w:szCs w:val="20"/>
                <w:lang w:bidi="fr-FR"/>
              </w:rPr>
              <w:t xml:space="preserve"> Oui</w:t>
            </w:r>
            <w:r w:rsidRPr="006C590E">
              <w:rPr>
                <w:kern w:val="22"/>
                <w:sz w:val="20"/>
                <w:szCs w:val="20"/>
                <w:lang w:bidi="fr-FR"/>
              </w:rPr>
              <w:t xml:space="preserve"> aux questions 91, 92 et/ou 93, quel type de documentation votre pays exige-t-il?</w:t>
            </w:r>
          </w:p>
        </w:tc>
        <w:tc>
          <w:tcPr>
            <w:tcW w:w="4506" w:type="dxa"/>
            <w:gridSpan w:val="3"/>
            <w:tcBorders>
              <w:right w:val="single" w:sz="4" w:space="0" w:color="auto"/>
            </w:tcBorders>
            <w:vAlign w:val="center"/>
          </w:tcPr>
          <w:p w14:paraId="2E78FDA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Pr>
                <w:kern w:val="22"/>
                <w:sz w:val="20"/>
                <w:szCs w:val="20"/>
                <w:lang w:bidi="fr-FR"/>
              </w:rPr>
              <w:tab/>
              <w:t>Documentation propre</w:t>
            </w:r>
            <w:r w:rsidRPr="006C590E">
              <w:rPr>
                <w:kern w:val="22"/>
                <w:sz w:val="20"/>
                <w:szCs w:val="20"/>
                <w:lang w:bidi="fr-FR"/>
              </w:rPr>
              <w:t xml:space="preserve"> aux organismes vivants modifiés</w:t>
            </w:r>
          </w:p>
          <w:p w14:paraId="72A7E4B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 intégrée dans d’autres documents (non propre aux </w:t>
            </w:r>
            <w:r w:rsidRPr="006C590E">
              <w:rPr>
                <w:rFonts w:ascii="Calibri" w:hAnsi="Calibri"/>
                <w:kern w:val="22"/>
                <w:sz w:val="20"/>
                <w:szCs w:val="20"/>
                <w:lang w:bidi="fr-FR"/>
              </w:rPr>
              <w:t>organismes</w:t>
            </w:r>
            <w:r w:rsidRPr="006C590E">
              <w:rPr>
                <w:kern w:val="22"/>
                <w:sz w:val="20"/>
                <w:szCs w:val="20"/>
                <w:lang w:bidi="fr-FR"/>
              </w:rPr>
              <w:t xml:space="preserve"> vivants modifiés)</w:t>
            </w:r>
          </w:p>
          <w:p w14:paraId="2DFDC2F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67" w:right="490" w:hanging="767"/>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Autre : </w:t>
            </w:r>
            <w:r w:rsidRPr="006C590E">
              <w:rPr>
                <w:kern w:val="22"/>
                <w:sz w:val="20"/>
                <w:szCs w:val="20"/>
                <w:highlight w:val="lightGray"/>
                <w:lang w:bidi="fr-FR"/>
              </w:rPr>
              <w:t>[Veuillez préciser]</w:t>
            </w:r>
          </w:p>
        </w:tc>
      </w:tr>
      <w:tr w:rsidR="00952749" w:rsidRPr="006C590E" w14:paraId="53834910" w14:textId="77777777" w:rsidTr="009137A8">
        <w:trPr>
          <w:gridAfter w:val="2"/>
          <w:wAfter w:w="126" w:type="dxa"/>
          <w:cantSplit/>
        </w:trPr>
        <w:tc>
          <w:tcPr>
            <w:tcW w:w="4970" w:type="dxa"/>
            <w:gridSpan w:val="2"/>
            <w:vAlign w:val="center"/>
            <w:hideMark/>
          </w:tcPr>
          <w:p w14:paraId="0440549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 xml:space="preserve">Votre pays a-t-il pris les mesures nécessaires pour exiger que les documents accompagnant les </w:t>
            </w:r>
            <w:r w:rsidRPr="006C590E">
              <w:rPr>
                <w:i/>
                <w:kern w:val="22"/>
                <w:sz w:val="20"/>
                <w:szCs w:val="20"/>
                <w:lang w:bidi="fr-FR"/>
              </w:rPr>
              <w:t>OVM destinés à un usage confiné</w:t>
            </w:r>
            <w:r w:rsidRPr="006C590E">
              <w:rPr>
                <w:kern w:val="22"/>
                <w:sz w:val="20"/>
                <w:szCs w:val="20"/>
                <w:lang w:bidi="fr-FR"/>
              </w:rPr>
              <w:t xml:space="preserve"> indiquent clairement qu’il s’agit d’</w:t>
            </w:r>
            <w:r w:rsidRPr="006C590E">
              <w:rPr>
                <w:i/>
                <w:kern w:val="22"/>
                <w:sz w:val="20"/>
                <w:szCs w:val="20"/>
                <w:lang w:bidi="fr-FR"/>
              </w:rPr>
              <w:t>organismes vivants modifiés,</w:t>
            </w:r>
            <w:r w:rsidRPr="006C590E">
              <w:rPr>
                <w:kern w:val="22"/>
                <w:sz w:val="20"/>
                <w:szCs w:val="20"/>
                <w:lang w:bidi="fr-FR"/>
              </w:rPr>
              <w:t xml:space="preserve"> précisent les normes à respecter pour une manipulation, un entreposage, un transpor</w:t>
            </w:r>
            <w:r>
              <w:rPr>
                <w:kern w:val="22"/>
                <w:sz w:val="20"/>
                <w:szCs w:val="20"/>
                <w:lang w:bidi="fr-FR"/>
              </w:rPr>
              <w:t>t et une utilisation sans danger</w:t>
            </w:r>
            <w:r w:rsidRPr="006C590E">
              <w:rPr>
                <w:kern w:val="22"/>
                <w:sz w:val="20"/>
                <w:szCs w:val="20"/>
                <w:lang w:bidi="fr-FR"/>
              </w:rPr>
              <w:t>, et fournissent les coordonnées de la personne à contacter pour tout complément d’information, dont le nom et l’adresse de la personne et de l’institution auxquelles les organismes vivants modifiés sont expédiés ?</w:t>
            </w:r>
          </w:p>
        </w:tc>
        <w:tc>
          <w:tcPr>
            <w:tcW w:w="4506" w:type="dxa"/>
            <w:gridSpan w:val="3"/>
            <w:tcBorders>
              <w:right w:val="single" w:sz="4" w:space="0" w:color="auto"/>
            </w:tcBorders>
            <w:vAlign w:val="center"/>
            <w:hideMark/>
          </w:tcPr>
          <w:p w14:paraId="32FAECA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w:t>
            </w:r>
          </w:p>
          <w:p w14:paraId="5F56299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0786A56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231BE40F" w14:textId="77777777" w:rsidTr="009137A8">
        <w:trPr>
          <w:gridAfter w:val="2"/>
          <w:wAfter w:w="126" w:type="dxa"/>
          <w:cantSplit/>
        </w:trPr>
        <w:tc>
          <w:tcPr>
            <w:tcW w:w="4970" w:type="dxa"/>
            <w:gridSpan w:val="2"/>
            <w:vAlign w:val="center"/>
            <w:hideMark/>
          </w:tcPr>
          <w:p w14:paraId="6E96C7F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95, quel type de documentation votre pays exige-t-il pour l'identifica</w:t>
            </w:r>
            <w:r>
              <w:rPr>
                <w:kern w:val="22"/>
                <w:sz w:val="20"/>
                <w:szCs w:val="20"/>
                <w:lang w:bidi="fr-FR"/>
              </w:rPr>
              <w:t>tion des OVM destinés à être utilisés en milieu</w:t>
            </w:r>
            <w:r w:rsidRPr="006C590E">
              <w:rPr>
                <w:kern w:val="22"/>
                <w:sz w:val="20"/>
                <w:szCs w:val="20"/>
                <w:lang w:bidi="fr-FR"/>
              </w:rPr>
              <w:t xml:space="preserve"> confiné ?</w:t>
            </w:r>
          </w:p>
        </w:tc>
        <w:tc>
          <w:tcPr>
            <w:tcW w:w="4506" w:type="dxa"/>
            <w:gridSpan w:val="3"/>
            <w:tcBorders>
              <w:right w:val="single" w:sz="4" w:space="0" w:color="auto"/>
            </w:tcBorders>
            <w:vAlign w:val="center"/>
            <w:hideMark/>
          </w:tcPr>
          <w:p w14:paraId="298186A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Pr>
                <w:kern w:val="22"/>
                <w:sz w:val="20"/>
                <w:szCs w:val="20"/>
                <w:lang w:bidi="fr-FR"/>
              </w:rPr>
              <w:tab/>
              <w:t>Documentation propre</w:t>
            </w:r>
            <w:r w:rsidRPr="006C590E">
              <w:rPr>
                <w:kern w:val="22"/>
                <w:sz w:val="20"/>
                <w:szCs w:val="20"/>
                <w:lang w:bidi="fr-FR"/>
              </w:rPr>
              <w:t xml:space="preserve"> aux organismes vivants modifiés</w:t>
            </w:r>
          </w:p>
          <w:p w14:paraId="6917725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 intégrée dans d’autres documents (non propre aux </w:t>
            </w:r>
            <w:r w:rsidRPr="006C590E">
              <w:rPr>
                <w:rFonts w:ascii="Calibri" w:hAnsi="Calibri"/>
                <w:kern w:val="22"/>
                <w:sz w:val="20"/>
                <w:szCs w:val="20"/>
                <w:lang w:bidi="fr-FR"/>
              </w:rPr>
              <w:t>organismes</w:t>
            </w:r>
            <w:r w:rsidRPr="006C590E">
              <w:rPr>
                <w:kern w:val="22"/>
                <w:sz w:val="20"/>
                <w:szCs w:val="20"/>
                <w:lang w:bidi="fr-FR"/>
              </w:rPr>
              <w:t xml:space="preserve"> vivants modifiés)</w:t>
            </w:r>
          </w:p>
          <w:p w14:paraId="438A138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Autre : </w:t>
            </w:r>
            <w:r w:rsidRPr="006C590E">
              <w:rPr>
                <w:kern w:val="22"/>
                <w:sz w:val="20"/>
                <w:szCs w:val="20"/>
                <w:highlight w:val="lightGray"/>
                <w:lang w:bidi="fr-FR"/>
              </w:rPr>
              <w:t>[Veuillez préciser]</w:t>
            </w:r>
          </w:p>
        </w:tc>
      </w:tr>
      <w:tr w:rsidR="00952749" w:rsidRPr="006C590E" w14:paraId="13E3E944" w14:textId="77777777" w:rsidTr="009137A8">
        <w:trPr>
          <w:gridAfter w:val="2"/>
          <w:wAfter w:w="126" w:type="dxa"/>
          <w:cantSplit/>
        </w:trPr>
        <w:tc>
          <w:tcPr>
            <w:tcW w:w="4970" w:type="dxa"/>
            <w:gridSpan w:val="2"/>
            <w:vAlign w:val="center"/>
            <w:hideMark/>
          </w:tcPr>
          <w:p w14:paraId="0008C7E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Votre pays a-t-il pris les mesures nécessaires pour exiger que les documents accompagnant des </w:t>
            </w:r>
            <w:r w:rsidRPr="006C590E">
              <w:rPr>
                <w:i/>
                <w:kern w:val="22"/>
                <w:sz w:val="20"/>
                <w:szCs w:val="20"/>
                <w:lang w:bidi="fr-FR"/>
              </w:rPr>
              <w:t xml:space="preserve">OVM destinés à une introduction intentionnelle dans l’environnement de la Partie importatrice </w:t>
            </w:r>
            <w:r w:rsidRPr="006C590E">
              <w:rPr>
                <w:kern w:val="22"/>
                <w:sz w:val="20"/>
                <w:szCs w:val="20"/>
                <w:lang w:bidi="fr-FR"/>
              </w:rPr>
              <w:t>indiquent clairement qu’il s’agit d’</w:t>
            </w:r>
            <w:r w:rsidRPr="006C590E">
              <w:rPr>
                <w:i/>
                <w:kern w:val="22"/>
                <w:sz w:val="20"/>
                <w:szCs w:val="20"/>
                <w:lang w:bidi="fr-FR"/>
              </w:rPr>
              <w:t>organismes vivants modifiés</w:t>
            </w:r>
            <w:r w:rsidRPr="006C590E">
              <w:rPr>
                <w:kern w:val="22"/>
                <w:sz w:val="20"/>
                <w:szCs w:val="20"/>
                <w:lang w:bidi="fr-FR"/>
              </w:rPr>
              <w:t>, précisent leur identité et leurs traits ou caractères pertinents, ainsi que toute règle de sécurité à observer pour la manipulation, l’entreposage, le transport et l’utilisation de ces organismes, fournissent les coordonnées de la personne à contacter pour un complément d’information, et si nécessaire, le nom et l’adresse de l’importateur et l’exportateur, et contiennent une déclaration certifiant que le mouvemen</w:t>
            </w:r>
            <w:r>
              <w:rPr>
                <w:kern w:val="22"/>
                <w:sz w:val="20"/>
                <w:szCs w:val="20"/>
                <w:lang w:bidi="fr-FR"/>
              </w:rPr>
              <w:t>t est conforme aux dispositions</w:t>
            </w:r>
            <w:r w:rsidRPr="006C590E">
              <w:rPr>
                <w:kern w:val="22"/>
                <w:sz w:val="20"/>
                <w:szCs w:val="20"/>
                <w:lang w:bidi="fr-FR"/>
              </w:rPr>
              <w:t xml:space="preserve"> du Protocole applicables à l’exportateur ?</w:t>
            </w:r>
          </w:p>
        </w:tc>
        <w:tc>
          <w:tcPr>
            <w:tcW w:w="4506" w:type="dxa"/>
            <w:gridSpan w:val="3"/>
            <w:tcBorders>
              <w:right w:val="single" w:sz="4" w:space="0" w:color="auto"/>
            </w:tcBorders>
            <w:vAlign w:val="center"/>
            <w:hideMark/>
          </w:tcPr>
          <w:p w14:paraId="6BE9A21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w:t>
            </w:r>
          </w:p>
          <w:p w14:paraId="7CFC168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6DF966A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038DC748" w14:textId="77777777" w:rsidTr="009137A8">
        <w:trPr>
          <w:gridAfter w:val="2"/>
          <w:wAfter w:w="126" w:type="dxa"/>
          <w:cantSplit/>
        </w:trPr>
        <w:tc>
          <w:tcPr>
            <w:tcW w:w="4970" w:type="dxa"/>
            <w:gridSpan w:val="2"/>
            <w:vAlign w:val="center"/>
            <w:hideMark/>
          </w:tcPr>
          <w:p w14:paraId="29788C0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Si vous avez répondu</w:t>
            </w:r>
            <w:r w:rsidRPr="006C590E">
              <w:rPr>
                <w:i/>
                <w:kern w:val="22"/>
                <w:sz w:val="20"/>
                <w:szCs w:val="20"/>
                <w:lang w:bidi="fr-FR"/>
              </w:rPr>
              <w:t xml:space="preserve"> Oui</w:t>
            </w:r>
            <w:r w:rsidRPr="006C590E">
              <w:rPr>
                <w:kern w:val="22"/>
                <w:sz w:val="20"/>
                <w:szCs w:val="20"/>
                <w:lang w:bidi="fr-FR"/>
              </w:rPr>
              <w:t xml:space="preserve"> à la question 97, quel type de documentation votre pays exige-t-il pour l'identification des OVM destinés à être introduits intentionnellement dans l'environnement ?</w:t>
            </w:r>
          </w:p>
        </w:tc>
        <w:tc>
          <w:tcPr>
            <w:tcW w:w="4506" w:type="dxa"/>
            <w:gridSpan w:val="3"/>
            <w:tcBorders>
              <w:right w:val="single" w:sz="4" w:space="0" w:color="auto"/>
            </w:tcBorders>
            <w:vAlign w:val="center"/>
            <w:hideMark/>
          </w:tcPr>
          <w:p w14:paraId="10A0B67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Pr>
                <w:kern w:val="22"/>
                <w:sz w:val="20"/>
                <w:szCs w:val="20"/>
                <w:lang w:bidi="fr-FR"/>
              </w:rPr>
              <w:tab/>
              <w:t>Documentation propre</w:t>
            </w:r>
            <w:r w:rsidRPr="006C590E">
              <w:rPr>
                <w:kern w:val="22"/>
                <w:sz w:val="20"/>
                <w:szCs w:val="20"/>
                <w:lang w:bidi="fr-FR"/>
              </w:rPr>
              <w:t xml:space="preserve"> aux organismes vivants modifiés</w:t>
            </w:r>
          </w:p>
          <w:p w14:paraId="0084EFD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 intégrée dans d’autres documents (non propre aux </w:t>
            </w:r>
            <w:r w:rsidRPr="006C590E">
              <w:rPr>
                <w:rFonts w:ascii="Calibri" w:hAnsi="Calibri"/>
                <w:kern w:val="22"/>
                <w:sz w:val="20"/>
                <w:szCs w:val="20"/>
                <w:lang w:bidi="fr-FR"/>
              </w:rPr>
              <w:t>organismes</w:t>
            </w:r>
            <w:r w:rsidRPr="006C590E">
              <w:rPr>
                <w:kern w:val="22"/>
                <w:sz w:val="20"/>
                <w:szCs w:val="20"/>
                <w:lang w:bidi="fr-FR"/>
              </w:rPr>
              <w:t xml:space="preserve"> vivants modifiés)</w:t>
            </w:r>
          </w:p>
          <w:p w14:paraId="06F1C13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Autre : </w:t>
            </w:r>
            <w:r w:rsidRPr="006C590E">
              <w:rPr>
                <w:kern w:val="22"/>
                <w:sz w:val="20"/>
                <w:szCs w:val="20"/>
                <w:highlight w:val="lightGray"/>
                <w:lang w:bidi="fr-FR"/>
              </w:rPr>
              <w:t>[Veuillez préciser]</w:t>
            </w:r>
          </w:p>
        </w:tc>
      </w:tr>
      <w:tr w:rsidR="00952749" w:rsidRPr="006C590E" w14:paraId="51A65D9A" w14:textId="77777777" w:rsidTr="009137A8">
        <w:trPr>
          <w:gridAfter w:val="2"/>
          <w:wAfter w:w="126" w:type="dxa"/>
          <w:cantSplit/>
        </w:trPr>
        <w:tc>
          <w:tcPr>
            <w:tcW w:w="4970" w:type="dxa"/>
            <w:gridSpan w:val="2"/>
            <w:vAlign w:val="center"/>
            <w:hideMark/>
          </w:tcPr>
          <w:p w14:paraId="7122B68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dispose-t-il de directives visant à assurer la manipulation, le transport et l'emballage sans danger des organismes vivants modifiés ?</w:t>
            </w:r>
          </w:p>
        </w:tc>
        <w:tc>
          <w:tcPr>
            <w:tcW w:w="4506" w:type="dxa"/>
            <w:gridSpan w:val="3"/>
            <w:tcBorders>
              <w:right w:val="single" w:sz="4" w:space="0" w:color="auto"/>
            </w:tcBorders>
            <w:vAlign w:val="center"/>
            <w:hideMark/>
          </w:tcPr>
          <w:p w14:paraId="5BC18FC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BB4C99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660ECE24" w14:textId="77777777" w:rsidTr="009137A8">
        <w:trPr>
          <w:gridAfter w:val="2"/>
          <w:wAfter w:w="126" w:type="dxa"/>
          <w:cantSplit/>
        </w:trPr>
        <w:tc>
          <w:tcPr>
            <w:tcW w:w="4970" w:type="dxa"/>
            <w:gridSpan w:val="2"/>
            <w:shd w:val="clear" w:color="auto" w:fill="auto"/>
            <w:vAlign w:val="center"/>
            <w:hideMark/>
          </w:tcPr>
          <w:p w14:paraId="7661BC2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Votre pays possède-t-il les capa</w:t>
            </w:r>
            <w:r>
              <w:rPr>
                <w:kern w:val="22"/>
                <w:sz w:val="20"/>
                <w:szCs w:val="20"/>
                <w:lang w:bidi="fr-FR"/>
              </w:rPr>
              <w:t>cités nécessaires pour respecter</w:t>
            </w:r>
            <w:r w:rsidRPr="006C590E">
              <w:rPr>
                <w:kern w:val="22"/>
                <w:sz w:val="20"/>
                <w:szCs w:val="20"/>
                <w:lang w:bidi="fr-FR"/>
              </w:rPr>
              <w:t xml:space="preserve"> les exigences en matière d’identification et de documentation des OVM ?</w:t>
            </w:r>
          </w:p>
        </w:tc>
        <w:tc>
          <w:tcPr>
            <w:tcW w:w="4506" w:type="dxa"/>
            <w:gridSpan w:val="3"/>
            <w:tcBorders>
              <w:right w:val="single" w:sz="4" w:space="0" w:color="auto"/>
            </w:tcBorders>
            <w:shd w:val="clear" w:color="auto" w:fill="auto"/>
            <w:vAlign w:val="center"/>
            <w:hideMark/>
          </w:tcPr>
          <w:p w14:paraId="1E7D056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3D443DF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7E0A23D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7B160C24" w14:textId="77777777" w:rsidTr="009137A8">
        <w:trPr>
          <w:gridAfter w:val="2"/>
          <w:wAfter w:w="126" w:type="dxa"/>
          <w:cantSplit/>
        </w:trPr>
        <w:tc>
          <w:tcPr>
            <w:tcW w:w="4970" w:type="dxa"/>
            <w:gridSpan w:val="2"/>
            <w:vAlign w:val="center"/>
            <w:hideMark/>
          </w:tcPr>
          <w:p w14:paraId="61073AD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Dans votre pays, combien de fonctionnaires des douanes ont reçu une formation sur l'identification des organismes vivants modifiés ?</w:t>
            </w:r>
          </w:p>
        </w:tc>
        <w:tc>
          <w:tcPr>
            <w:tcW w:w="4506" w:type="dxa"/>
            <w:gridSpan w:val="3"/>
            <w:tcBorders>
              <w:right w:val="single" w:sz="4" w:space="0" w:color="auto"/>
            </w:tcBorders>
            <w:vAlign w:val="center"/>
            <w:hideMark/>
          </w:tcPr>
          <w:p w14:paraId="6D68CB9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6857C50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9</w:t>
            </w:r>
          </w:p>
          <w:p w14:paraId="0A2FC2D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6553802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à 99.</w:t>
            </w:r>
          </w:p>
          <w:p w14:paraId="4F678F1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ou plus</w:t>
            </w:r>
          </w:p>
          <w:p w14:paraId="52EA218D"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i/>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C590E" w14:paraId="6F650725" w14:textId="77777777" w:rsidTr="009137A8">
        <w:trPr>
          <w:gridAfter w:val="2"/>
          <w:wAfter w:w="126" w:type="dxa"/>
          <w:cantSplit/>
        </w:trPr>
        <w:tc>
          <w:tcPr>
            <w:tcW w:w="4970" w:type="dxa"/>
            <w:gridSpan w:val="2"/>
            <w:vAlign w:val="center"/>
            <w:hideMark/>
          </w:tcPr>
          <w:p w14:paraId="17DCACD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mis en place des procédures d'échantillonnage et de détection des organismes vivants modifiés ?</w:t>
            </w:r>
          </w:p>
        </w:tc>
        <w:tc>
          <w:tcPr>
            <w:tcW w:w="4506" w:type="dxa"/>
            <w:gridSpan w:val="3"/>
            <w:tcBorders>
              <w:right w:val="single" w:sz="4" w:space="0" w:color="auto"/>
            </w:tcBorders>
            <w:vAlign w:val="center"/>
            <w:hideMark/>
          </w:tcPr>
          <w:p w14:paraId="07DEFC4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10814A0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4B008E6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35871B73" w14:textId="77777777" w:rsidTr="009137A8">
        <w:trPr>
          <w:gridAfter w:val="2"/>
          <w:wAfter w:w="126" w:type="dxa"/>
          <w:cantSplit/>
        </w:trPr>
        <w:tc>
          <w:tcPr>
            <w:tcW w:w="4970" w:type="dxa"/>
            <w:gridSpan w:val="2"/>
            <w:vAlign w:val="center"/>
            <w:hideMark/>
          </w:tcPr>
          <w:p w14:paraId="11D019F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Combien de personnels de laboratoire ont reçu dans votre pays une formation sur la détection des OVM ?</w:t>
            </w:r>
          </w:p>
        </w:tc>
        <w:tc>
          <w:tcPr>
            <w:tcW w:w="4506" w:type="dxa"/>
            <w:gridSpan w:val="3"/>
            <w:tcBorders>
              <w:right w:val="single" w:sz="4" w:space="0" w:color="auto"/>
            </w:tcBorders>
            <w:vAlign w:val="center"/>
            <w:hideMark/>
          </w:tcPr>
          <w:p w14:paraId="778003F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0526387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9</w:t>
            </w:r>
          </w:p>
          <w:p w14:paraId="2651C7C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2A6A429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à 99.</w:t>
            </w:r>
          </w:p>
          <w:p w14:paraId="498942C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ou plus</w:t>
            </w:r>
          </w:p>
          <w:p w14:paraId="31D43878"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i/>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C590E" w14:paraId="4D8E26C2" w14:textId="77777777" w:rsidTr="009137A8">
        <w:trPr>
          <w:gridAfter w:val="2"/>
          <w:wAfter w:w="126" w:type="dxa"/>
          <w:cantSplit/>
        </w:trPr>
        <w:tc>
          <w:tcPr>
            <w:tcW w:w="4970" w:type="dxa"/>
            <w:gridSpan w:val="2"/>
            <w:vAlign w:val="center"/>
            <w:hideMark/>
          </w:tcPr>
          <w:p w14:paraId="1B34EC0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un accès fiable à des laboratoires pour la détection des organismes vivants modifiés ?</w:t>
            </w:r>
          </w:p>
        </w:tc>
        <w:tc>
          <w:tcPr>
            <w:tcW w:w="4506" w:type="dxa"/>
            <w:gridSpan w:val="3"/>
            <w:tcBorders>
              <w:right w:val="single" w:sz="4" w:space="0" w:color="auto"/>
            </w:tcBorders>
            <w:vAlign w:val="center"/>
            <w:hideMark/>
          </w:tcPr>
          <w:p w14:paraId="584FE64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0C41A61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13027541" w14:textId="77777777" w:rsidTr="009137A8">
        <w:trPr>
          <w:gridAfter w:val="2"/>
          <w:wAfter w:w="126" w:type="dxa"/>
          <w:cantSplit/>
        </w:trPr>
        <w:tc>
          <w:tcPr>
            <w:tcW w:w="4970" w:type="dxa"/>
            <w:gridSpan w:val="2"/>
            <w:vAlign w:val="center"/>
            <w:hideMark/>
          </w:tcPr>
          <w:p w14:paraId="6171CF3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color w:val="000000"/>
                <w:kern w:val="22"/>
                <w:sz w:val="20"/>
                <w:szCs w:val="20"/>
              </w:rPr>
            </w:pPr>
            <w:r w:rsidRPr="006C590E">
              <w:rPr>
                <w:color w:val="000000"/>
                <w:kern w:val="22"/>
                <w:sz w:val="20"/>
                <w:szCs w:val="20"/>
                <w:lang w:bidi="fr-FR"/>
              </w:rPr>
              <w:t>Dans votre pays, combien de laboratoires sont certifiés pour la détection des OVM ?</w:t>
            </w:r>
          </w:p>
        </w:tc>
        <w:tc>
          <w:tcPr>
            <w:tcW w:w="4506" w:type="dxa"/>
            <w:gridSpan w:val="3"/>
            <w:tcBorders>
              <w:right w:val="single" w:sz="4" w:space="0" w:color="auto"/>
            </w:tcBorders>
            <w:vAlign w:val="center"/>
            <w:hideMark/>
          </w:tcPr>
          <w:p w14:paraId="6627830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14DA0AF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0BE38FC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340EB9C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33F9D8E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ou plus</w:t>
            </w:r>
          </w:p>
        </w:tc>
      </w:tr>
      <w:tr w:rsidR="00952749" w:rsidRPr="00617C2F" w14:paraId="5F0D4D32" w14:textId="77777777" w:rsidTr="009137A8">
        <w:trPr>
          <w:gridAfter w:val="2"/>
          <w:wAfter w:w="126" w:type="dxa"/>
          <w:cantSplit/>
        </w:trPr>
        <w:tc>
          <w:tcPr>
            <w:tcW w:w="4970" w:type="dxa"/>
            <w:gridSpan w:val="2"/>
            <w:vAlign w:val="center"/>
            <w:hideMark/>
          </w:tcPr>
          <w:p w14:paraId="6058EA9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000000"/>
                <w:kern w:val="22"/>
                <w:sz w:val="20"/>
                <w:szCs w:val="20"/>
              </w:rPr>
            </w:pPr>
            <w:r w:rsidRPr="006C590E">
              <w:rPr>
                <w:kern w:val="22"/>
                <w:sz w:val="20"/>
                <w:szCs w:val="20"/>
                <w:lang w:bidi="fr-FR"/>
              </w:rPr>
              <w:t xml:space="preserve">Si vous avez répondu </w:t>
            </w:r>
            <w:r w:rsidRPr="006C590E">
              <w:rPr>
                <w:i/>
                <w:kern w:val="22"/>
                <w:sz w:val="20"/>
                <w:szCs w:val="20"/>
                <w:lang w:bidi="fr-FR"/>
              </w:rPr>
              <w:t>à la question 105 que des laboratoires certifiés existent dans votre pays</w:t>
            </w:r>
            <w:r>
              <w:rPr>
                <w:kern w:val="22"/>
                <w:sz w:val="20"/>
                <w:szCs w:val="20"/>
                <w:lang w:bidi="fr-FR"/>
              </w:rPr>
              <w:t>, combien d'entre eux s’occupent actuellement de</w:t>
            </w:r>
            <w:r w:rsidRPr="006C590E">
              <w:rPr>
                <w:kern w:val="22"/>
                <w:sz w:val="20"/>
                <w:szCs w:val="20"/>
                <w:lang w:bidi="fr-FR"/>
              </w:rPr>
              <w:t xml:space="preserve"> la détection des OVM ?</w:t>
            </w:r>
          </w:p>
        </w:tc>
        <w:tc>
          <w:tcPr>
            <w:tcW w:w="4506" w:type="dxa"/>
            <w:gridSpan w:val="3"/>
            <w:tcBorders>
              <w:right w:val="single" w:sz="4" w:space="0" w:color="auto"/>
            </w:tcBorders>
            <w:vAlign w:val="center"/>
            <w:hideMark/>
          </w:tcPr>
          <w:p w14:paraId="4E2CBAF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250D3ED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083199C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71E5139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7C2CD5A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ou plus</w:t>
            </w:r>
          </w:p>
        </w:tc>
      </w:tr>
      <w:tr w:rsidR="00952749" w:rsidRPr="006C590E" w14:paraId="138A5CAA" w14:textId="77777777" w:rsidTr="009137A8">
        <w:trPr>
          <w:gridAfter w:val="2"/>
          <w:wAfter w:w="126" w:type="dxa"/>
          <w:cantSplit/>
        </w:trPr>
        <w:tc>
          <w:tcPr>
            <w:tcW w:w="9476" w:type="dxa"/>
            <w:gridSpan w:val="5"/>
            <w:tcBorders>
              <w:right w:val="single" w:sz="4" w:space="0" w:color="auto"/>
            </w:tcBorders>
            <w:vAlign w:val="center"/>
            <w:hideMark/>
          </w:tcPr>
          <w:p w14:paraId="1C5755C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Vous pouvez fournir</w:t>
            </w:r>
            <w:r>
              <w:rPr>
                <w:kern w:val="22"/>
                <w:sz w:val="20"/>
                <w:szCs w:val="20"/>
                <w:lang w:bidi="fr-FR"/>
              </w:rPr>
              <w:t xml:space="preserve"> ici</w:t>
            </w:r>
            <w:r w:rsidRPr="006C590E">
              <w:rPr>
                <w:kern w:val="22"/>
                <w:sz w:val="20"/>
                <w:szCs w:val="20"/>
                <w:lang w:bidi="fr-FR"/>
              </w:rPr>
              <w:t xml:space="preserve"> de plus amples détails sur l’application de l’article 18 dans v</w:t>
            </w:r>
            <w:r>
              <w:rPr>
                <w:kern w:val="22"/>
                <w:sz w:val="20"/>
                <w:szCs w:val="20"/>
                <w:lang w:bidi="fr-FR"/>
              </w:rPr>
              <w:t>otre pays</w:t>
            </w:r>
            <w:r w:rsidRPr="006C590E">
              <w:rPr>
                <w:kern w:val="22"/>
                <w:sz w:val="20"/>
                <w:szCs w:val="20"/>
                <w:lang w:bidi="fr-FR"/>
              </w:rPr>
              <w:t>:</w:t>
            </w:r>
          </w:p>
          <w:p w14:paraId="5D835CC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ight="6"/>
              <w:jc w:val="left"/>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460AAF21" w14:textId="77777777" w:rsidTr="009137A8">
        <w:trPr>
          <w:gridAfter w:val="2"/>
          <w:wAfter w:w="126" w:type="dxa"/>
          <w:cantSplit/>
        </w:trPr>
        <w:tc>
          <w:tcPr>
            <w:tcW w:w="9476" w:type="dxa"/>
            <w:gridSpan w:val="5"/>
            <w:tcBorders>
              <w:right w:val="single" w:sz="4" w:space="0" w:color="auto"/>
            </w:tcBorders>
            <w:vAlign w:val="center"/>
            <w:hideMark/>
          </w:tcPr>
          <w:p w14:paraId="3E11A59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lang w:bidi="fr-FR"/>
              </w:rPr>
              <w:lastRenderedPageBreak/>
              <w:br w:type="page"/>
            </w:r>
            <w:r w:rsidRPr="006C590E">
              <w:rPr>
                <w:b/>
                <w:kern w:val="22"/>
                <w:sz w:val="20"/>
                <w:szCs w:val="20"/>
                <w:lang w:bidi="fr-FR"/>
              </w:rPr>
              <w:br w:type="page"/>
              <w:t xml:space="preserve">Article 19 – Autorités nationales compétentes et correspondants nationaux </w:t>
            </w:r>
          </w:p>
        </w:tc>
      </w:tr>
      <w:tr w:rsidR="00952749" w:rsidRPr="00617C2F" w14:paraId="7AC5B7A3" w14:textId="77777777" w:rsidTr="009137A8">
        <w:trPr>
          <w:gridAfter w:val="2"/>
          <w:wAfter w:w="126" w:type="dxa"/>
          <w:cantSplit/>
        </w:trPr>
        <w:tc>
          <w:tcPr>
            <w:tcW w:w="4970" w:type="dxa"/>
            <w:gridSpan w:val="2"/>
            <w:shd w:val="clear" w:color="auto" w:fill="auto"/>
            <w:vAlign w:val="center"/>
            <w:hideMark/>
          </w:tcPr>
          <w:p w14:paraId="22ED68F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Si votre pays a désigné plus d'une autorité nationale compétente, a-t-il établi un mécanisme en vue de coordonner leurs actions avant toute prise de décision sur les OVM ?</w:t>
            </w:r>
          </w:p>
        </w:tc>
        <w:tc>
          <w:tcPr>
            <w:tcW w:w="4506" w:type="dxa"/>
            <w:gridSpan w:val="3"/>
            <w:tcBorders>
              <w:right w:val="single" w:sz="4" w:space="0" w:color="auto"/>
            </w:tcBorders>
            <w:shd w:val="clear" w:color="auto" w:fill="auto"/>
            <w:vAlign w:val="center"/>
            <w:hideMark/>
          </w:tcPr>
          <w:p w14:paraId="08DFCB3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0C845C9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p w14:paraId="4CE0011D" w14:textId="77777777" w:rsidR="00952749"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Sans objet (aucune autorité nationale compétente n'a été désignée)</w:t>
            </w:r>
          </w:p>
          <w:p w14:paraId="4897989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Sans objet (</w:t>
            </w:r>
            <w:r>
              <w:rPr>
                <w:kern w:val="22"/>
                <w:sz w:val="20"/>
                <w:szCs w:val="20"/>
                <w:lang w:bidi="fr-FR"/>
              </w:rPr>
              <w:t>une seule</w:t>
            </w:r>
            <w:r w:rsidRPr="006C590E">
              <w:rPr>
                <w:kern w:val="22"/>
                <w:sz w:val="20"/>
                <w:szCs w:val="20"/>
                <w:lang w:bidi="fr-FR"/>
              </w:rPr>
              <w:t xml:space="preserve"> </w:t>
            </w:r>
            <w:r>
              <w:rPr>
                <w:kern w:val="22"/>
                <w:sz w:val="20"/>
                <w:szCs w:val="20"/>
                <w:lang w:bidi="fr-FR"/>
              </w:rPr>
              <w:t xml:space="preserve">autorité nationale compétente </w:t>
            </w:r>
            <w:r w:rsidRPr="006C590E">
              <w:rPr>
                <w:kern w:val="22"/>
                <w:sz w:val="20"/>
                <w:szCs w:val="20"/>
                <w:lang w:bidi="fr-FR"/>
              </w:rPr>
              <w:t>a été désignée)</w:t>
            </w:r>
          </w:p>
        </w:tc>
      </w:tr>
      <w:tr w:rsidR="00952749" w:rsidRPr="006C590E" w14:paraId="06FC1B5D" w14:textId="77777777" w:rsidTr="009137A8">
        <w:trPr>
          <w:gridAfter w:val="2"/>
          <w:wAfter w:w="126" w:type="dxa"/>
          <w:cantSplit/>
        </w:trPr>
        <w:tc>
          <w:tcPr>
            <w:tcW w:w="4970" w:type="dxa"/>
            <w:gridSpan w:val="2"/>
            <w:shd w:val="clear" w:color="auto" w:fill="auto"/>
            <w:vAlign w:val="center"/>
            <w:hideMark/>
          </w:tcPr>
          <w:p w14:paraId="0E22DFC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Pr>
                <w:kern w:val="22"/>
                <w:sz w:val="20"/>
                <w:szCs w:val="20"/>
                <w:lang w:bidi="fr-FR"/>
              </w:rPr>
              <w:t xml:space="preserve">Votre pays a-t-il </w:t>
            </w:r>
            <w:r w:rsidRPr="006C590E">
              <w:rPr>
                <w:kern w:val="22"/>
                <w:sz w:val="20"/>
                <w:szCs w:val="20"/>
                <w:lang w:bidi="fr-FR"/>
              </w:rPr>
              <w:t>des capacités institutionnelles adéquates pour permettre aux autorités nationales compétentes de s’acquitter des fonctions administratives exigées en vertu du Protocole de Cartagena sur la prévention des risques biotechnologiques ?</w:t>
            </w:r>
          </w:p>
        </w:tc>
        <w:tc>
          <w:tcPr>
            <w:tcW w:w="4506" w:type="dxa"/>
            <w:gridSpan w:val="3"/>
            <w:tcBorders>
              <w:right w:val="single" w:sz="4" w:space="0" w:color="auto"/>
            </w:tcBorders>
            <w:shd w:val="clear" w:color="auto" w:fill="auto"/>
            <w:vAlign w:val="center"/>
            <w:hideMark/>
          </w:tcPr>
          <w:p w14:paraId="6AF0916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A07767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7B58568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2DF62330" w14:textId="77777777" w:rsidTr="009137A8">
        <w:trPr>
          <w:gridAfter w:val="2"/>
          <w:wAfter w:w="126" w:type="dxa"/>
          <w:cantSplit/>
        </w:trPr>
        <w:tc>
          <w:tcPr>
            <w:tcW w:w="4970" w:type="dxa"/>
            <w:gridSpan w:val="2"/>
            <w:shd w:val="clear" w:color="auto" w:fill="auto"/>
            <w:vAlign w:val="center"/>
          </w:tcPr>
          <w:p w14:paraId="10B279C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pris des initiatives pour renforcer la collaboration entre les correspondants nationaux, les autorités nationales compétentes et d'autres institutions en matière de prévention des risques biotechnologiques ?</w:t>
            </w:r>
          </w:p>
        </w:tc>
        <w:tc>
          <w:tcPr>
            <w:tcW w:w="4506" w:type="dxa"/>
            <w:gridSpan w:val="3"/>
            <w:tcBorders>
              <w:right w:val="single" w:sz="4" w:space="0" w:color="auto"/>
            </w:tcBorders>
            <w:shd w:val="clear" w:color="auto" w:fill="auto"/>
            <w:vAlign w:val="center"/>
          </w:tcPr>
          <w:p w14:paraId="29F5B91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52CA178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1F00B03D" w14:textId="77777777" w:rsidTr="009137A8">
        <w:trPr>
          <w:gridAfter w:val="2"/>
          <w:wAfter w:w="126" w:type="dxa"/>
          <w:cantSplit/>
        </w:trPr>
        <w:tc>
          <w:tcPr>
            <w:tcW w:w="9476" w:type="dxa"/>
            <w:gridSpan w:val="5"/>
            <w:tcBorders>
              <w:right w:val="single" w:sz="4" w:space="0" w:color="auto"/>
            </w:tcBorders>
            <w:vAlign w:val="center"/>
            <w:hideMark/>
          </w:tcPr>
          <w:p w14:paraId="56B0AD4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Vous pouvez fournir</w:t>
            </w:r>
            <w:r>
              <w:rPr>
                <w:kern w:val="22"/>
                <w:sz w:val="20"/>
                <w:szCs w:val="20"/>
                <w:lang w:bidi="fr-FR"/>
              </w:rPr>
              <w:t xml:space="preserve"> ici</w:t>
            </w:r>
            <w:r w:rsidRPr="006C590E">
              <w:rPr>
                <w:kern w:val="22"/>
                <w:sz w:val="20"/>
                <w:szCs w:val="20"/>
                <w:lang w:bidi="fr-FR"/>
              </w:rPr>
              <w:t xml:space="preserve"> de plus amples détails sur l’application de l’article 19 dans </w:t>
            </w:r>
            <w:r>
              <w:rPr>
                <w:kern w:val="22"/>
                <w:sz w:val="20"/>
                <w:szCs w:val="20"/>
                <w:lang w:bidi="fr-FR"/>
              </w:rPr>
              <w:t>votre pays</w:t>
            </w:r>
            <w:r w:rsidRPr="006C590E">
              <w:rPr>
                <w:kern w:val="22"/>
                <w:sz w:val="20"/>
                <w:szCs w:val="20"/>
                <w:lang w:bidi="fr-FR"/>
              </w:rPr>
              <w:t xml:space="preserve"> :</w:t>
            </w:r>
          </w:p>
          <w:p w14:paraId="52F513A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5941EC58" w14:textId="77777777" w:rsidTr="009137A8">
        <w:trPr>
          <w:gridAfter w:val="2"/>
          <w:wAfter w:w="126" w:type="dxa"/>
          <w:cantSplit/>
        </w:trPr>
        <w:tc>
          <w:tcPr>
            <w:tcW w:w="9476" w:type="dxa"/>
            <w:gridSpan w:val="5"/>
            <w:tcBorders>
              <w:bottom w:val="single" w:sz="4" w:space="0" w:color="auto"/>
              <w:right w:val="single" w:sz="4" w:space="0" w:color="auto"/>
            </w:tcBorders>
            <w:vAlign w:val="center"/>
            <w:hideMark/>
          </w:tcPr>
          <w:p w14:paraId="7875C63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jc w:val="center"/>
              <w:rPr>
                <w:b/>
                <w:kern w:val="22"/>
                <w:sz w:val="20"/>
                <w:szCs w:val="20"/>
              </w:rPr>
            </w:pPr>
            <w:r w:rsidRPr="006C590E">
              <w:rPr>
                <w:kern w:val="22"/>
                <w:sz w:val="20"/>
                <w:szCs w:val="20"/>
                <w:lang w:bidi="fr-FR"/>
              </w:rPr>
              <w:br w:type="page"/>
            </w:r>
            <w:r w:rsidRPr="006C590E">
              <w:rPr>
                <w:b/>
                <w:kern w:val="22"/>
                <w:sz w:val="20"/>
                <w:szCs w:val="20"/>
                <w:lang w:bidi="fr-FR"/>
              </w:rPr>
              <w:t>Article 20 – Échange d’informations et Centre d’échange pour la prévention des risques biotechnologiques</w:t>
            </w:r>
          </w:p>
        </w:tc>
      </w:tr>
      <w:tr w:rsidR="00952749" w:rsidRPr="00617C2F" w14:paraId="252365CE" w14:textId="77777777" w:rsidTr="009137A8">
        <w:trPr>
          <w:gridAfter w:val="2"/>
          <w:wAfter w:w="126" w:type="dxa"/>
          <w:cantSplit/>
        </w:trPr>
        <w:tc>
          <w:tcPr>
            <w:tcW w:w="9476" w:type="dxa"/>
            <w:gridSpan w:val="5"/>
            <w:tcBorders>
              <w:top w:val="single" w:sz="4" w:space="0" w:color="auto"/>
              <w:left w:val="single" w:sz="4" w:space="0" w:color="auto"/>
              <w:bottom w:val="nil"/>
              <w:right w:val="single" w:sz="4" w:space="0" w:color="auto"/>
            </w:tcBorders>
            <w:vAlign w:val="center"/>
            <w:hideMark/>
          </w:tcPr>
          <w:p w14:paraId="5114C70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6C590E">
              <w:rPr>
                <w:kern w:val="22"/>
                <w:sz w:val="20"/>
                <w:szCs w:val="20"/>
                <w:lang w:bidi="fr-FR"/>
              </w:rPr>
              <w:t>Veuillez fournir un aperçu de l’état des informations fournies par votre pays au Centre d’échange pour la prévention des risques biotechnologiques</w:t>
            </w:r>
            <w:r>
              <w:rPr>
                <w:kern w:val="22"/>
                <w:sz w:val="20"/>
                <w:szCs w:val="20"/>
                <w:lang w:bidi="fr-FR"/>
              </w:rPr>
              <w:t>,</w:t>
            </w:r>
            <w:r w:rsidRPr="006C590E">
              <w:rPr>
                <w:kern w:val="22"/>
                <w:sz w:val="20"/>
                <w:szCs w:val="20"/>
                <w:lang w:bidi="fr-FR"/>
              </w:rPr>
              <w:t xml:space="preserve"> en précisant si elles sont dispon</w:t>
            </w:r>
            <w:r>
              <w:rPr>
                <w:kern w:val="22"/>
                <w:sz w:val="20"/>
                <w:szCs w:val="20"/>
                <w:lang w:bidi="fr-FR"/>
              </w:rPr>
              <w:t>ibles et si elles ont été transmis</w:t>
            </w:r>
            <w:r w:rsidRPr="006C590E">
              <w:rPr>
                <w:kern w:val="22"/>
                <w:sz w:val="20"/>
                <w:szCs w:val="20"/>
                <w:lang w:bidi="fr-FR"/>
              </w:rPr>
              <w:t>es au Centre d’échange pour la prévention des risques biotechnologiques et ce, pour chacune des catégories</w:t>
            </w:r>
            <w:r>
              <w:rPr>
                <w:kern w:val="22"/>
                <w:sz w:val="20"/>
                <w:szCs w:val="20"/>
                <w:lang w:bidi="fr-FR"/>
              </w:rPr>
              <w:t xml:space="preserve"> suivantes</w:t>
            </w:r>
            <w:r w:rsidRPr="006C590E">
              <w:rPr>
                <w:kern w:val="22"/>
                <w:sz w:val="20"/>
                <w:szCs w:val="20"/>
                <w:lang w:bidi="fr-FR"/>
              </w:rPr>
              <w:t>.</w:t>
            </w:r>
          </w:p>
        </w:tc>
      </w:tr>
      <w:tr w:rsidR="00952749" w:rsidRPr="006C590E" w14:paraId="292A1728"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5A054DA7"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Toutes les lois, réglementations et directives nationales en vigueur visant l’application du Protocole, ain</w:t>
            </w:r>
            <w:r>
              <w:rPr>
                <w:kern w:val="22"/>
                <w:sz w:val="20"/>
                <w:szCs w:val="20"/>
                <w:lang w:bidi="fr-FR"/>
              </w:rPr>
              <w:t>si que les informations fournies</w:t>
            </w:r>
            <w:r w:rsidRPr="006C590E">
              <w:rPr>
                <w:kern w:val="22"/>
                <w:sz w:val="20"/>
                <w:szCs w:val="20"/>
                <w:lang w:bidi="fr-FR"/>
              </w:rPr>
              <w:t xml:space="preserve"> par les Parties dans le cadre de la procédure d’accord préalable en connaissance de c</w:t>
            </w:r>
            <w:r>
              <w:rPr>
                <w:kern w:val="22"/>
                <w:sz w:val="20"/>
                <w:szCs w:val="20"/>
                <w:lang w:bidi="fr-FR"/>
              </w:rPr>
              <w:t xml:space="preserve">ause (article 20, paragraphe 3 </w:t>
            </w:r>
            <w:r w:rsidRPr="006C590E">
              <w:rPr>
                <w:kern w:val="22"/>
                <w:sz w:val="20"/>
                <w:szCs w:val="20"/>
                <w:lang w:bidi="fr-FR"/>
              </w:rPr>
              <w:t>a))</w:t>
            </w:r>
          </w:p>
        </w:tc>
        <w:tc>
          <w:tcPr>
            <w:tcW w:w="4506" w:type="dxa"/>
            <w:gridSpan w:val="3"/>
            <w:tcBorders>
              <w:top w:val="nil"/>
              <w:left w:val="nil"/>
              <w:bottom w:val="single" w:sz="4" w:space="0" w:color="auto"/>
              <w:right w:val="single" w:sz="4" w:space="0" w:color="auto"/>
            </w:tcBorders>
            <w:vAlign w:val="center"/>
            <w:hideMark/>
          </w:tcPr>
          <w:p w14:paraId="1880D3E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Pr>
                <w:kern w:val="22"/>
                <w:sz w:val="20"/>
                <w:szCs w:val="20"/>
                <w:lang w:bidi="fr-FR"/>
              </w:rPr>
              <w:tab/>
              <w:t xml:space="preserve">Informations disponibles et transmises au </w:t>
            </w:r>
            <w:r w:rsidRPr="006C590E">
              <w:rPr>
                <w:kern w:val="22"/>
                <w:sz w:val="20"/>
                <w:szCs w:val="20"/>
                <w:lang w:bidi="fr-FR"/>
              </w:rPr>
              <w:t>Centre d’échange pour la prévention des risques biotechnologiques</w:t>
            </w:r>
          </w:p>
          <w:p w14:paraId="214D8B9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36F1482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 en partie seulement</w:t>
            </w:r>
            <w:r w:rsidRPr="006C590E">
              <w:rPr>
                <w:kern w:val="22"/>
                <w:sz w:val="20"/>
                <w:szCs w:val="20"/>
                <w:lang w:bidi="fr-FR"/>
              </w:rPr>
              <w:t xml:space="preserve"> au Centre d’échange pour la prévention des risques biotechnologiques</w:t>
            </w:r>
          </w:p>
          <w:p w14:paraId="61698BE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4F17D3B2"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4EC7305F"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lastRenderedPageBreak/>
              <w:t>Lois, réglementations et lignes directrices nationales s’appliquant à l’importation d’OVM destinés à être utilisés directement pour l’alimentation humaine ou animale, ou à être transformés (article 11, paragraphe 5)</w:t>
            </w:r>
          </w:p>
        </w:tc>
        <w:tc>
          <w:tcPr>
            <w:tcW w:w="4506" w:type="dxa"/>
            <w:gridSpan w:val="3"/>
            <w:tcBorders>
              <w:top w:val="single" w:sz="4" w:space="0" w:color="auto"/>
              <w:left w:val="nil"/>
              <w:bottom w:val="single" w:sz="4" w:space="0" w:color="auto"/>
              <w:right w:val="single" w:sz="4" w:space="0" w:color="auto"/>
            </w:tcBorders>
            <w:vAlign w:val="center"/>
            <w:hideMark/>
          </w:tcPr>
          <w:p w14:paraId="4A979A5B"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350979D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4793EC5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 en partie seulement</w:t>
            </w:r>
            <w:r w:rsidRPr="006C590E">
              <w:rPr>
                <w:kern w:val="22"/>
                <w:sz w:val="20"/>
                <w:szCs w:val="20"/>
                <w:lang w:bidi="fr-FR"/>
              </w:rPr>
              <w:t xml:space="preserve"> au Centre d’échange pour la prévention des risques biotechnologiques</w:t>
            </w:r>
          </w:p>
          <w:p w14:paraId="10DED18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35951248"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60213658"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Tout accord ou arrangement bilatéral, régional ou multilatéral (article 14, paragraphe</w:t>
            </w:r>
            <w:r>
              <w:rPr>
                <w:kern w:val="22"/>
                <w:sz w:val="20"/>
                <w:szCs w:val="20"/>
                <w:lang w:bidi="fr-FR"/>
              </w:rPr>
              <w:t xml:space="preserve"> 2 et article 20, paragraphe 3 </w:t>
            </w:r>
            <w:r w:rsidRPr="006C590E">
              <w:rPr>
                <w:kern w:val="22"/>
                <w:sz w:val="20"/>
                <w:szCs w:val="20"/>
                <w:lang w:bidi="fr-FR"/>
              </w:rPr>
              <w:t>b))</w:t>
            </w:r>
          </w:p>
        </w:tc>
        <w:tc>
          <w:tcPr>
            <w:tcW w:w="4506" w:type="dxa"/>
            <w:gridSpan w:val="3"/>
            <w:tcBorders>
              <w:top w:val="single" w:sz="4" w:space="0" w:color="auto"/>
              <w:left w:val="nil"/>
              <w:bottom w:val="single" w:sz="4" w:space="0" w:color="auto"/>
              <w:right w:val="single" w:sz="4" w:space="0" w:color="auto"/>
            </w:tcBorders>
            <w:vAlign w:val="center"/>
            <w:hideMark/>
          </w:tcPr>
          <w:p w14:paraId="752EB046"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1B2D534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34DFDF1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 en partie seulement</w:t>
            </w:r>
            <w:r w:rsidRPr="006C590E">
              <w:rPr>
                <w:kern w:val="22"/>
                <w:sz w:val="20"/>
                <w:szCs w:val="20"/>
                <w:lang w:bidi="fr-FR"/>
              </w:rPr>
              <w:t xml:space="preserve"> au Centre d’échange pour la prévention des risques biotechnologiques</w:t>
            </w:r>
          </w:p>
          <w:p w14:paraId="0B7F816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3B714387"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32EB2C46"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Coordonnées des autorités nationales compétentes (article 19, paragraphes 2 et 3) et des correspondants nationaux (article 19 paragraphes 1 et 3), et numéros à composer en cas d’ur</w:t>
            </w:r>
            <w:r>
              <w:rPr>
                <w:kern w:val="22"/>
                <w:sz w:val="20"/>
                <w:szCs w:val="20"/>
                <w:lang w:bidi="fr-FR"/>
              </w:rPr>
              <w:t xml:space="preserve">gence (article 17 paragraphe 3 </w:t>
            </w:r>
            <w:r w:rsidRPr="006C590E">
              <w:rPr>
                <w:kern w:val="22"/>
                <w:sz w:val="20"/>
                <w:szCs w:val="20"/>
                <w:lang w:bidi="fr-FR"/>
              </w:rPr>
              <w:t>e))</w:t>
            </w:r>
          </w:p>
        </w:tc>
        <w:tc>
          <w:tcPr>
            <w:tcW w:w="4506" w:type="dxa"/>
            <w:gridSpan w:val="3"/>
            <w:tcBorders>
              <w:top w:val="single" w:sz="4" w:space="0" w:color="auto"/>
              <w:left w:val="nil"/>
              <w:bottom w:val="single" w:sz="4" w:space="0" w:color="auto"/>
              <w:right w:val="single" w:sz="4" w:space="0" w:color="auto"/>
            </w:tcBorders>
            <w:vAlign w:val="center"/>
            <w:hideMark/>
          </w:tcPr>
          <w:p w14:paraId="030E4449"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555E699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220624E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 en partie seulement</w:t>
            </w:r>
            <w:r w:rsidRPr="006C590E">
              <w:rPr>
                <w:kern w:val="22"/>
                <w:sz w:val="20"/>
                <w:szCs w:val="20"/>
                <w:lang w:bidi="fr-FR"/>
              </w:rPr>
              <w:t xml:space="preserve"> au Centre d’échange pour la prévention des risques biotechnologiques</w:t>
            </w:r>
          </w:p>
          <w:p w14:paraId="60C3326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1CA5C3BD"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03386F08"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Décisions d'une Partie concernant le transit des OVM (Article 6,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27084958"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03F27AB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085B268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 en partie seulement</w:t>
            </w:r>
            <w:r w:rsidRPr="006C590E">
              <w:rPr>
                <w:kern w:val="22"/>
                <w:sz w:val="20"/>
                <w:szCs w:val="20"/>
                <w:lang w:bidi="fr-FR"/>
              </w:rPr>
              <w:t xml:space="preserve"> au Centre d’échange pour la prévention des risques biotechnologiques</w:t>
            </w:r>
          </w:p>
          <w:p w14:paraId="2BE21E0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22CB7C47"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1E52E60E"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lastRenderedPageBreak/>
              <w:t>Décisions d'une Partie concernant l’importation des OVM pour utilisation en milieu confiné (Article 6, paragraphe 2)</w:t>
            </w:r>
          </w:p>
        </w:tc>
        <w:tc>
          <w:tcPr>
            <w:tcW w:w="4506" w:type="dxa"/>
            <w:gridSpan w:val="3"/>
            <w:tcBorders>
              <w:top w:val="single" w:sz="4" w:space="0" w:color="auto"/>
              <w:left w:val="nil"/>
              <w:bottom w:val="single" w:sz="4" w:space="0" w:color="auto"/>
              <w:right w:val="single" w:sz="4" w:space="0" w:color="auto"/>
            </w:tcBorders>
            <w:vAlign w:val="center"/>
            <w:hideMark/>
          </w:tcPr>
          <w:p w14:paraId="6D5069FF"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40FF3D5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1AE12D6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 en partie seulement</w:t>
            </w:r>
            <w:r w:rsidRPr="006C590E">
              <w:rPr>
                <w:kern w:val="22"/>
                <w:sz w:val="20"/>
                <w:szCs w:val="20"/>
                <w:lang w:bidi="fr-FR"/>
              </w:rPr>
              <w:t xml:space="preserve"> au Centre d’échange pour la prévention des risques biotechnologiques</w:t>
            </w:r>
          </w:p>
          <w:p w14:paraId="4B980A2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2AF37943"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736B630B"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 xml:space="preserve">Notifications </w:t>
            </w:r>
            <w:r>
              <w:rPr>
                <w:kern w:val="22"/>
                <w:sz w:val="20"/>
                <w:szCs w:val="20"/>
                <w:lang w:bidi="fr-FR"/>
              </w:rPr>
              <w:t>concernant la dissémination dans</w:t>
            </w:r>
            <w:r w:rsidRPr="006C590E">
              <w:rPr>
                <w:kern w:val="22"/>
                <w:sz w:val="20"/>
                <w:szCs w:val="20"/>
                <w:lang w:bidi="fr-FR"/>
              </w:rPr>
              <w:t xml:space="preserve"> la juridiction de votre pays qui conduit ou peut conduire à un mouvement transfrontière non intentionnel d'un OVM susceptible d'avoir des effets défavorables importants sur l</w:t>
            </w:r>
            <w:r>
              <w:rPr>
                <w:kern w:val="22"/>
                <w:sz w:val="20"/>
                <w:szCs w:val="20"/>
                <w:lang w:bidi="fr-FR"/>
              </w:rPr>
              <w:t>a diversité biologique (</w:t>
            </w:r>
            <w:r w:rsidRPr="00CE2A5E">
              <w:t>article17</w:t>
            </w:r>
            <w:r w:rsidRPr="006C590E">
              <w:rPr>
                <w:kern w:val="22"/>
                <w:sz w:val="20"/>
                <w:szCs w:val="20"/>
                <w:lang w:bidi="fr-FR"/>
              </w:rPr>
              <w:t>,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79C3801F"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5C17317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00D1034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 en partie seulement</w:t>
            </w:r>
            <w:r w:rsidRPr="006C590E">
              <w:rPr>
                <w:kern w:val="22"/>
                <w:sz w:val="20"/>
                <w:szCs w:val="20"/>
                <w:lang w:bidi="fr-FR"/>
              </w:rPr>
              <w:t xml:space="preserve"> au Centre d’échange pour la prévention des risques biotechnologiques</w:t>
            </w:r>
          </w:p>
          <w:p w14:paraId="6D77E0A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6FAE7C24"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597FBCB4"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Informations concernant les mouvements transfrontières illicites d'OVM (article 25, paragraphe 3)</w:t>
            </w:r>
          </w:p>
        </w:tc>
        <w:tc>
          <w:tcPr>
            <w:tcW w:w="4506" w:type="dxa"/>
            <w:gridSpan w:val="3"/>
            <w:tcBorders>
              <w:top w:val="single" w:sz="4" w:space="0" w:color="auto"/>
              <w:left w:val="nil"/>
              <w:bottom w:val="single" w:sz="4" w:space="0" w:color="auto"/>
              <w:right w:val="single" w:sz="4" w:space="0" w:color="auto"/>
            </w:tcBorders>
            <w:vAlign w:val="center"/>
            <w:hideMark/>
          </w:tcPr>
          <w:p w14:paraId="14773C88"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3D59D98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3AFB5C7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58166F0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723CC3C0"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13DD630C"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Décisions concernant l'importation d'OVM destinés à être introduits intentionnellement dans l'enviro</w:t>
            </w:r>
            <w:r>
              <w:rPr>
                <w:kern w:val="22"/>
                <w:sz w:val="20"/>
                <w:szCs w:val="20"/>
                <w:lang w:bidi="fr-FR"/>
              </w:rPr>
              <w:t>nnement (article 10, paragraphe </w:t>
            </w:r>
            <w:r w:rsidRPr="006C590E">
              <w:rPr>
                <w:kern w:val="22"/>
                <w:sz w:val="20"/>
                <w:szCs w:val="20"/>
                <w:lang w:bidi="fr-FR"/>
              </w:rPr>
              <w:t>3)</w:t>
            </w:r>
          </w:p>
        </w:tc>
        <w:tc>
          <w:tcPr>
            <w:tcW w:w="4506" w:type="dxa"/>
            <w:gridSpan w:val="3"/>
            <w:tcBorders>
              <w:top w:val="single" w:sz="4" w:space="0" w:color="auto"/>
              <w:left w:val="nil"/>
              <w:bottom w:val="single" w:sz="4" w:space="0" w:color="auto"/>
              <w:right w:val="single" w:sz="4" w:space="0" w:color="auto"/>
            </w:tcBorders>
            <w:vAlign w:val="center"/>
            <w:hideMark/>
          </w:tcPr>
          <w:p w14:paraId="2F2D817A"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7FCCEF0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73FB955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159E3AA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7907A54B"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202E879A"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lastRenderedPageBreak/>
              <w:t>Informations sur l’application de la réglementation sur l’utilisation sur le territoire national à des importations particulière</w:t>
            </w:r>
            <w:r>
              <w:rPr>
                <w:kern w:val="22"/>
                <w:sz w:val="20"/>
                <w:szCs w:val="20"/>
                <w:lang w:bidi="fr-FR"/>
              </w:rPr>
              <w:t>s d’OVM (article 14, paragraphe </w:t>
            </w:r>
            <w:r w:rsidRPr="006C590E">
              <w:rPr>
                <w:kern w:val="22"/>
                <w:sz w:val="20"/>
                <w:szCs w:val="20"/>
                <w:lang w:bidi="fr-FR"/>
              </w:rPr>
              <w:t>4)</w:t>
            </w:r>
          </w:p>
        </w:tc>
        <w:tc>
          <w:tcPr>
            <w:tcW w:w="4506" w:type="dxa"/>
            <w:gridSpan w:val="3"/>
            <w:tcBorders>
              <w:top w:val="single" w:sz="4" w:space="0" w:color="auto"/>
              <w:left w:val="nil"/>
              <w:bottom w:val="single" w:sz="4" w:space="0" w:color="auto"/>
              <w:right w:val="single" w:sz="4" w:space="0" w:color="auto"/>
            </w:tcBorders>
            <w:vAlign w:val="center"/>
            <w:hideMark/>
          </w:tcPr>
          <w:p w14:paraId="3414D352"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1DFBC95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Informations disponibles, mais non</w:t>
            </w:r>
            <w:r>
              <w:rPr>
                <w:kern w:val="22"/>
                <w:sz w:val="20"/>
                <w:szCs w:val="20"/>
                <w:lang w:bidi="fr-FR"/>
              </w:rPr>
              <w:t xml:space="preserve"> transmises</w:t>
            </w:r>
            <w:r w:rsidRPr="006C590E">
              <w:rPr>
                <w:kern w:val="22"/>
                <w:sz w:val="20"/>
                <w:szCs w:val="20"/>
                <w:lang w:bidi="fr-FR"/>
              </w:rPr>
              <w:t xml:space="preserve"> au Centre d’échange pour la prévention des risques biotechnologiques</w:t>
            </w:r>
          </w:p>
          <w:p w14:paraId="5F68765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en partie seu</w:t>
            </w:r>
            <w:r>
              <w:rPr>
                <w:kern w:val="22"/>
                <w:sz w:val="20"/>
                <w:szCs w:val="20"/>
                <w:lang w:bidi="fr-FR"/>
              </w:rPr>
              <w:t>lement</w:t>
            </w:r>
            <w:r w:rsidRPr="006C590E">
              <w:rPr>
                <w:kern w:val="22"/>
                <w:sz w:val="20"/>
                <w:szCs w:val="20"/>
                <w:lang w:bidi="fr-FR"/>
              </w:rPr>
              <w:t xml:space="preserve"> au Centre d’échange pour la prévention des risques biotechnologiques</w:t>
            </w:r>
          </w:p>
          <w:p w14:paraId="45917A2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04B3F7F3"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355D35DE"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Décisions sur l’utilisation sur le territoire national d’OVM pouvant faire l’objet de mouvements transfrontières et destinés à être utilisés directement pour l’alimentation humaine ou animale, ou à être transformés (article 11,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53E856CB"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13569F1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7D21D3B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15C3698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2389C765"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073BD695"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Décisions sur l’importation d’OVM destinés à être utilisés directement pour l’alimentation humaine ou animale, ou à être transformés, prises en vertu de cadres de réglementation nationaux (article 11, paragraphe 4) ou conformément</w:t>
            </w:r>
            <w:r>
              <w:rPr>
                <w:kern w:val="22"/>
                <w:sz w:val="20"/>
                <w:szCs w:val="20"/>
                <w:lang w:bidi="fr-FR"/>
              </w:rPr>
              <w:t xml:space="preserve"> à l’annexe </w:t>
            </w:r>
            <w:r w:rsidRPr="006C590E">
              <w:rPr>
                <w:kern w:val="22"/>
                <w:sz w:val="20"/>
                <w:szCs w:val="20"/>
                <w:lang w:bidi="fr-FR"/>
              </w:rPr>
              <w:t>III du Protocole (article 11, paragraphe 6)</w:t>
            </w:r>
          </w:p>
        </w:tc>
        <w:tc>
          <w:tcPr>
            <w:tcW w:w="4506" w:type="dxa"/>
            <w:gridSpan w:val="3"/>
            <w:tcBorders>
              <w:top w:val="single" w:sz="4" w:space="0" w:color="auto"/>
              <w:left w:val="nil"/>
              <w:bottom w:val="single" w:sz="4" w:space="0" w:color="auto"/>
              <w:right w:val="single" w:sz="4" w:space="0" w:color="auto"/>
            </w:tcBorders>
            <w:vAlign w:val="center"/>
            <w:hideMark/>
          </w:tcPr>
          <w:p w14:paraId="1DA3D98A"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31DD3A9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0F1D297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6CCD859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1E2A36F4"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77B33EB0"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Déclarations relatives au cadre de travail à utiliser pour les OVM destinés à être utilisés directement pour l’alimentation humaine ou animale, ou à être transformés (article 11, paragraphe 6)</w:t>
            </w:r>
          </w:p>
        </w:tc>
        <w:tc>
          <w:tcPr>
            <w:tcW w:w="4506" w:type="dxa"/>
            <w:gridSpan w:val="3"/>
            <w:tcBorders>
              <w:top w:val="single" w:sz="4" w:space="0" w:color="auto"/>
              <w:left w:val="nil"/>
              <w:bottom w:val="single" w:sz="4" w:space="0" w:color="auto"/>
              <w:right w:val="single" w:sz="4" w:space="0" w:color="auto"/>
            </w:tcBorders>
            <w:vAlign w:val="center"/>
            <w:hideMark/>
          </w:tcPr>
          <w:p w14:paraId="3278CD57"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 xml:space="preserve">transmises </w:t>
            </w:r>
            <w:r w:rsidRPr="006C590E">
              <w:rPr>
                <w:kern w:val="22"/>
                <w:sz w:val="20"/>
                <w:szCs w:val="20"/>
                <w:lang w:bidi="fr-FR"/>
              </w:rPr>
              <w:t>au Centre d’échange pour la prévention des risques biotechnologiques</w:t>
            </w:r>
          </w:p>
          <w:p w14:paraId="5F6A4F8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0C7AE95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6256273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72F03075"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548AF24D"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lastRenderedPageBreak/>
              <w:t>Reconsidération et modification des décisions relatives aux mouvements transfrontièr</w:t>
            </w:r>
            <w:r>
              <w:rPr>
                <w:kern w:val="22"/>
                <w:sz w:val="20"/>
                <w:szCs w:val="20"/>
                <w:lang w:bidi="fr-FR"/>
              </w:rPr>
              <w:t>es intentionnels d’OVM (article </w:t>
            </w:r>
            <w:r w:rsidRPr="006C590E">
              <w:rPr>
                <w:kern w:val="22"/>
                <w:sz w:val="20"/>
                <w:szCs w:val="20"/>
                <w:lang w:bidi="fr-FR"/>
              </w:rPr>
              <w:t>12, paragraphe 1)</w:t>
            </w:r>
          </w:p>
        </w:tc>
        <w:tc>
          <w:tcPr>
            <w:tcW w:w="4506" w:type="dxa"/>
            <w:gridSpan w:val="3"/>
            <w:tcBorders>
              <w:top w:val="single" w:sz="4" w:space="0" w:color="auto"/>
              <w:left w:val="nil"/>
              <w:bottom w:val="single" w:sz="4" w:space="0" w:color="auto"/>
              <w:right w:val="single" w:sz="4" w:space="0" w:color="auto"/>
            </w:tcBorders>
            <w:vAlign w:val="center"/>
            <w:hideMark/>
          </w:tcPr>
          <w:p w14:paraId="717E4EA2"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159B94D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0CA8C21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en partie </w:t>
            </w:r>
            <w:r>
              <w:rPr>
                <w:kern w:val="22"/>
                <w:sz w:val="20"/>
                <w:szCs w:val="20"/>
                <w:lang w:bidi="fr-FR"/>
              </w:rPr>
              <w:t>seulement</w:t>
            </w:r>
            <w:r w:rsidRPr="006C590E">
              <w:rPr>
                <w:kern w:val="22"/>
                <w:sz w:val="20"/>
                <w:szCs w:val="20"/>
                <w:lang w:bidi="fr-FR"/>
              </w:rPr>
              <w:t xml:space="preserve"> au Centre d’échange pour la prévention des risques biotechnologiques</w:t>
            </w:r>
          </w:p>
          <w:p w14:paraId="412992C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05A10CC2"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037FEEBF"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Les cas</w:t>
            </w:r>
            <w:r>
              <w:rPr>
                <w:kern w:val="22"/>
                <w:sz w:val="20"/>
                <w:szCs w:val="20"/>
                <w:lang w:bidi="fr-FR"/>
              </w:rPr>
              <w:t xml:space="preserve"> où un mouvement transfrontière</w:t>
            </w:r>
            <w:r w:rsidRPr="006C590E">
              <w:rPr>
                <w:kern w:val="22"/>
                <w:sz w:val="20"/>
                <w:szCs w:val="20"/>
                <w:lang w:bidi="fr-FR"/>
              </w:rPr>
              <w:t xml:space="preserve"> intentionnel peut avoir lieu au moment même où le mouvement est notifié à la Partie importat</w:t>
            </w:r>
            <w:r>
              <w:rPr>
                <w:kern w:val="22"/>
                <w:sz w:val="20"/>
                <w:szCs w:val="20"/>
                <w:lang w:bidi="fr-FR"/>
              </w:rPr>
              <w:t xml:space="preserve">rice (article 13, paragraphe 1 </w:t>
            </w:r>
            <w:r w:rsidRPr="006C590E">
              <w:rPr>
                <w:kern w:val="22"/>
                <w:sz w:val="20"/>
                <w:szCs w:val="20"/>
                <w:lang w:bidi="fr-FR"/>
              </w:rPr>
              <w:t>a))</w:t>
            </w:r>
          </w:p>
        </w:tc>
        <w:tc>
          <w:tcPr>
            <w:tcW w:w="4506" w:type="dxa"/>
            <w:gridSpan w:val="3"/>
            <w:tcBorders>
              <w:top w:val="single" w:sz="4" w:space="0" w:color="auto"/>
              <w:left w:val="nil"/>
              <w:bottom w:val="single" w:sz="4" w:space="0" w:color="auto"/>
              <w:right w:val="single" w:sz="4" w:space="0" w:color="auto"/>
            </w:tcBorders>
            <w:vAlign w:val="center"/>
            <w:hideMark/>
          </w:tcPr>
          <w:p w14:paraId="5DF6BAC6"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5D68304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0110A7F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7707E9C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603903DD" w14:textId="77777777" w:rsidTr="009137A8">
        <w:trPr>
          <w:gridAfter w:val="2"/>
          <w:wAfter w:w="126" w:type="dxa"/>
          <w:cantSplit/>
        </w:trPr>
        <w:tc>
          <w:tcPr>
            <w:tcW w:w="4970" w:type="dxa"/>
            <w:gridSpan w:val="2"/>
            <w:tcBorders>
              <w:top w:val="nil"/>
              <w:left w:val="single" w:sz="4" w:space="0" w:color="auto"/>
              <w:bottom w:val="nil"/>
              <w:right w:val="nil"/>
            </w:tcBorders>
            <w:vAlign w:val="center"/>
            <w:hideMark/>
          </w:tcPr>
          <w:p w14:paraId="0E731ECF"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OVM faisant l’objet d’une dérogation accordée par toutes les Par</w:t>
            </w:r>
            <w:r>
              <w:rPr>
                <w:kern w:val="22"/>
                <w:sz w:val="20"/>
                <w:szCs w:val="20"/>
                <w:lang w:bidi="fr-FR"/>
              </w:rPr>
              <w:t xml:space="preserve">ties (article 13, paragraphe 1 </w:t>
            </w:r>
            <w:r w:rsidRPr="006C590E">
              <w:rPr>
                <w:kern w:val="22"/>
                <w:sz w:val="20"/>
                <w:szCs w:val="20"/>
                <w:lang w:bidi="fr-FR"/>
              </w:rPr>
              <w:t>b))</w:t>
            </w:r>
          </w:p>
        </w:tc>
        <w:tc>
          <w:tcPr>
            <w:tcW w:w="4506" w:type="dxa"/>
            <w:gridSpan w:val="3"/>
            <w:tcBorders>
              <w:top w:val="single" w:sz="4" w:space="0" w:color="auto"/>
              <w:left w:val="nil"/>
              <w:bottom w:val="single" w:sz="4" w:space="0" w:color="auto"/>
              <w:right w:val="single" w:sz="4" w:space="0" w:color="auto"/>
            </w:tcBorders>
            <w:vAlign w:val="center"/>
            <w:hideMark/>
          </w:tcPr>
          <w:p w14:paraId="7171A4BE"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et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2FC9FA0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Informations disponibles, mais non</w:t>
            </w:r>
            <w:r>
              <w:rPr>
                <w:kern w:val="22"/>
                <w:sz w:val="20"/>
                <w:szCs w:val="20"/>
                <w:lang w:bidi="fr-FR"/>
              </w:rPr>
              <w:t xml:space="preserve"> transmises</w:t>
            </w:r>
            <w:r w:rsidRPr="006C590E">
              <w:rPr>
                <w:kern w:val="22"/>
                <w:sz w:val="20"/>
                <w:szCs w:val="20"/>
                <w:lang w:bidi="fr-FR"/>
              </w:rPr>
              <w:t xml:space="preserve"> au Centre d’échange pour la prévention des risques biotechnologiques</w:t>
            </w:r>
          </w:p>
          <w:p w14:paraId="728A5CE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411BBD4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1559268D" w14:textId="77777777" w:rsidTr="009137A8">
        <w:trPr>
          <w:gridAfter w:val="2"/>
          <w:wAfter w:w="126" w:type="dxa"/>
          <w:cantSplit/>
        </w:trPr>
        <w:tc>
          <w:tcPr>
            <w:tcW w:w="4970" w:type="dxa"/>
            <w:gridSpan w:val="2"/>
            <w:tcBorders>
              <w:top w:val="nil"/>
              <w:left w:val="single" w:sz="4" w:space="0" w:color="auto"/>
              <w:bottom w:val="single" w:sz="4" w:space="0" w:color="auto"/>
              <w:right w:val="nil"/>
            </w:tcBorders>
            <w:vAlign w:val="center"/>
            <w:hideMark/>
          </w:tcPr>
          <w:p w14:paraId="06562289" w14:textId="77777777" w:rsidR="00952749" w:rsidRPr="006C590E" w:rsidRDefault="00952749" w:rsidP="004C7DBD">
            <w:pPr>
              <w:numPr>
                <w:ilvl w:val="0"/>
                <w:numId w:val="3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6C590E">
              <w:rPr>
                <w:kern w:val="22"/>
                <w:sz w:val="20"/>
                <w:szCs w:val="20"/>
                <w:lang w:bidi="fr-FR"/>
              </w:rPr>
              <w:t>Résumés de l’évaluation des risques ou études environnementales des OVM issus des processus réglementaires et informations pertinentes sur les produits de ceux-ci (article 20, paragraphe 3 c))</w:t>
            </w:r>
          </w:p>
        </w:tc>
        <w:tc>
          <w:tcPr>
            <w:tcW w:w="4506" w:type="dxa"/>
            <w:gridSpan w:val="3"/>
            <w:tcBorders>
              <w:top w:val="single" w:sz="4" w:space="0" w:color="auto"/>
              <w:left w:val="nil"/>
              <w:bottom w:val="single" w:sz="4" w:space="0" w:color="auto"/>
              <w:right w:val="single" w:sz="4" w:space="0" w:color="auto"/>
            </w:tcBorders>
            <w:vAlign w:val="center"/>
            <w:hideMark/>
          </w:tcPr>
          <w:p w14:paraId="31778ECD"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w:t>
            </w:r>
            <w:r>
              <w:rPr>
                <w:kern w:val="22"/>
                <w:sz w:val="20"/>
                <w:szCs w:val="20"/>
                <w:lang w:bidi="fr-FR"/>
              </w:rPr>
              <w:t>rmations disponibles et transmises au Centre d’échange pour la prévention des risques biotechnologiques</w:t>
            </w:r>
          </w:p>
          <w:p w14:paraId="52AE2EA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non </w:t>
            </w:r>
            <w:r>
              <w:rPr>
                <w:kern w:val="22"/>
                <w:sz w:val="20"/>
                <w:szCs w:val="20"/>
                <w:lang w:bidi="fr-FR"/>
              </w:rPr>
              <w:t>transmises</w:t>
            </w:r>
            <w:r w:rsidRPr="006C590E">
              <w:rPr>
                <w:kern w:val="22"/>
                <w:sz w:val="20"/>
                <w:szCs w:val="20"/>
                <w:lang w:bidi="fr-FR"/>
              </w:rPr>
              <w:t xml:space="preserve"> au Centre d’échange pour la prévention des risques biotechnologiques</w:t>
            </w:r>
          </w:p>
          <w:p w14:paraId="7F41ABB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Informations disponibles, mais </w:t>
            </w:r>
            <w:r>
              <w:rPr>
                <w:kern w:val="22"/>
                <w:sz w:val="20"/>
                <w:szCs w:val="20"/>
                <w:lang w:bidi="fr-FR"/>
              </w:rPr>
              <w:t>transmises</w:t>
            </w:r>
            <w:r w:rsidRPr="006C590E">
              <w:rPr>
                <w:kern w:val="22"/>
                <w:sz w:val="20"/>
                <w:szCs w:val="20"/>
                <w:lang w:bidi="fr-FR"/>
              </w:rPr>
              <w:t xml:space="preserve"> </w:t>
            </w:r>
            <w:r>
              <w:rPr>
                <w:kern w:val="22"/>
                <w:sz w:val="20"/>
                <w:szCs w:val="20"/>
                <w:lang w:bidi="fr-FR"/>
              </w:rPr>
              <w:t>en partie seulement</w:t>
            </w:r>
            <w:r w:rsidRPr="006C590E">
              <w:rPr>
                <w:kern w:val="22"/>
                <w:sz w:val="20"/>
                <w:szCs w:val="20"/>
                <w:lang w:bidi="fr-FR"/>
              </w:rPr>
              <w:t xml:space="preserve"> au Centre d’échange pour la prévention des risques biotechnologiques</w:t>
            </w:r>
          </w:p>
          <w:p w14:paraId="15666C6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9"/>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Information non disponible.</w:t>
            </w:r>
          </w:p>
        </w:tc>
      </w:tr>
      <w:tr w:rsidR="00952749" w:rsidRPr="006C590E" w14:paraId="55A26597" w14:textId="77777777" w:rsidTr="009137A8">
        <w:trPr>
          <w:gridAfter w:val="2"/>
          <w:wAfter w:w="126" w:type="dxa"/>
          <w:cantSplit/>
        </w:trPr>
        <w:tc>
          <w:tcPr>
            <w:tcW w:w="9476" w:type="dxa"/>
            <w:gridSpan w:val="5"/>
            <w:tcBorders>
              <w:top w:val="single" w:sz="4" w:space="0" w:color="auto"/>
              <w:right w:val="single" w:sz="4" w:space="0" w:color="auto"/>
            </w:tcBorders>
            <w:vAlign w:val="center"/>
          </w:tcPr>
          <w:p w14:paraId="1828AA1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 xml:space="preserve">Veuillez fournir une brève explication si vous avez répondu que l'information est disponible </w:t>
            </w:r>
            <w:r>
              <w:rPr>
                <w:i/>
                <w:kern w:val="22"/>
                <w:sz w:val="20"/>
                <w:szCs w:val="20"/>
                <w:lang w:bidi="fr-FR"/>
              </w:rPr>
              <w:t>mais pas dans le Centre d’échange pour la prévention des risques biotechnologiques</w:t>
            </w:r>
            <w:r w:rsidRPr="006C590E">
              <w:rPr>
                <w:i/>
                <w:kern w:val="22"/>
                <w:sz w:val="20"/>
                <w:szCs w:val="20"/>
                <w:lang w:bidi="fr-FR"/>
              </w:rPr>
              <w:t xml:space="preserve"> ou seulement pa</w:t>
            </w:r>
            <w:r>
              <w:rPr>
                <w:i/>
                <w:kern w:val="22"/>
                <w:sz w:val="20"/>
                <w:szCs w:val="20"/>
                <w:lang w:bidi="fr-FR"/>
              </w:rPr>
              <w:t>rtiellement disponible dans le Centre d’échange pour la prévention des risques biotechnologiques</w:t>
            </w:r>
            <w:r w:rsidRPr="006C590E">
              <w:rPr>
                <w:kern w:val="22"/>
                <w:sz w:val="20"/>
                <w:szCs w:val="20"/>
                <w:lang w:bidi="fr-FR"/>
              </w:rPr>
              <w:t xml:space="preserve"> pour tout élément de la question 112 :</w:t>
            </w:r>
          </w:p>
          <w:p w14:paraId="6B1311E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6B0AA279" w14:textId="77777777" w:rsidTr="009137A8">
        <w:trPr>
          <w:gridAfter w:val="2"/>
          <w:wAfter w:w="126" w:type="dxa"/>
          <w:cantSplit/>
        </w:trPr>
        <w:tc>
          <w:tcPr>
            <w:tcW w:w="4970" w:type="dxa"/>
            <w:gridSpan w:val="2"/>
            <w:tcBorders>
              <w:top w:val="single" w:sz="4" w:space="0" w:color="auto"/>
            </w:tcBorders>
            <w:vAlign w:val="center"/>
            <w:hideMark/>
          </w:tcPr>
          <w:p w14:paraId="5220452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établi un mécanisme pour le renforcement des capacités des correspondants nationaux du Centre d’échange pour la prévention des ri</w:t>
            </w:r>
            <w:r>
              <w:rPr>
                <w:kern w:val="22"/>
                <w:sz w:val="20"/>
                <w:szCs w:val="20"/>
                <w:lang w:bidi="fr-FR"/>
              </w:rPr>
              <w:t xml:space="preserve">sques biotechnologiques </w:t>
            </w:r>
            <w:r w:rsidRPr="006C590E">
              <w:rPr>
                <w:kern w:val="22"/>
                <w:sz w:val="20"/>
                <w:szCs w:val="20"/>
                <w:lang w:bidi="fr-FR"/>
              </w:rPr>
              <w:t>à s’acquitter de leurs fonctions administratives ?</w:t>
            </w:r>
          </w:p>
        </w:tc>
        <w:tc>
          <w:tcPr>
            <w:tcW w:w="4506" w:type="dxa"/>
            <w:gridSpan w:val="3"/>
            <w:tcBorders>
              <w:top w:val="single" w:sz="4" w:space="0" w:color="auto"/>
              <w:right w:val="single" w:sz="4" w:space="0" w:color="auto"/>
            </w:tcBorders>
            <w:vAlign w:val="center"/>
            <w:hideMark/>
          </w:tcPr>
          <w:p w14:paraId="3B0A715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1AABE87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5001AB0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506F8CA2" w14:textId="77777777" w:rsidTr="009137A8">
        <w:trPr>
          <w:gridAfter w:val="2"/>
          <w:wAfter w:w="126" w:type="dxa"/>
          <w:cantSplit/>
        </w:trPr>
        <w:tc>
          <w:tcPr>
            <w:tcW w:w="4970" w:type="dxa"/>
            <w:gridSpan w:val="2"/>
            <w:vAlign w:val="center"/>
            <w:hideMark/>
          </w:tcPr>
          <w:p w14:paraId="1207FCF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établi un mécanisme pour la coordination des efforts du correspondant national du Centre d’échange pour la préventio</w:t>
            </w:r>
            <w:r>
              <w:rPr>
                <w:kern w:val="22"/>
                <w:sz w:val="20"/>
                <w:szCs w:val="20"/>
                <w:lang w:bidi="fr-FR"/>
              </w:rPr>
              <w:t>n des risques biotechnologiques</w:t>
            </w:r>
            <w:r w:rsidRPr="006C590E">
              <w:rPr>
                <w:kern w:val="22"/>
                <w:sz w:val="20"/>
                <w:szCs w:val="20"/>
                <w:lang w:bidi="fr-FR"/>
              </w:rPr>
              <w:t>, du correspondant national du Protocole de Cartagena et des autorités nationales compétentes afin de mettre les inform</w:t>
            </w:r>
            <w:r>
              <w:rPr>
                <w:kern w:val="22"/>
                <w:sz w:val="20"/>
                <w:szCs w:val="20"/>
                <w:lang w:bidi="fr-FR"/>
              </w:rPr>
              <w:t>ations à la disposition du</w:t>
            </w:r>
            <w:r w:rsidRPr="006C590E">
              <w:rPr>
                <w:kern w:val="22"/>
                <w:sz w:val="20"/>
                <w:szCs w:val="20"/>
                <w:lang w:bidi="fr-FR"/>
              </w:rPr>
              <w:t xml:space="preserve"> Centre d’échange pour la prévention des risques biotechnologiques ?</w:t>
            </w:r>
          </w:p>
        </w:tc>
        <w:tc>
          <w:tcPr>
            <w:tcW w:w="4506" w:type="dxa"/>
            <w:gridSpan w:val="3"/>
            <w:tcBorders>
              <w:right w:val="single" w:sz="4" w:space="0" w:color="auto"/>
            </w:tcBorders>
            <w:vAlign w:val="center"/>
            <w:hideMark/>
          </w:tcPr>
          <w:p w14:paraId="5781214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0FE71A9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2FF4766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42CF7890" w14:textId="77777777" w:rsidTr="009137A8">
        <w:trPr>
          <w:gridAfter w:val="2"/>
          <w:wAfter w:w="126" w:type="dxa"/>
          <w:cantSplit/>
        </w:trPr>
        <w:tc>
          <w:tcPr>
            <w:tcW w:w="4970" w:type="dxa"/>
            <w:gridSpan w:val="2"/>
            <w:shd w:val="clear" w:color="auto" w:fill="auto"/>
            <w:vAlign w:val="center"/>
            <w:hideMark/>
          </w:tcPr>
          <w:p w14:paraId="627311A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6C590E">
              <w:rPr>
                <w:kern w:val="22"/>
                <w:sz w:val="20"/>
                <w:szCs w:val="20"/>
                <w:lang w:bidi="fr-FR"/>
              </w:rPr>
              <w:t>Votre pays utilise-t-il les informations disponibles auprès du Centre d’échange pour la prévention des risques biotechnologiques pour prendre des décisions relatives aux OVM ?</w:t>
            </w:r>
          </w:p>
        </w:tc>
        <w:tc>
          <w:tcPr>
            <w:tcW w:w="4506" w:type="dxa"/>
            <w:gridSpan w:val="3"/>
            <w:tcBorders>
              <w:right w:val="single" w:sz="4" w:space="0" w:color="auto"/>
            </w:tcBorders>
            <w:shd w:val="clear" w:color="auto" w:fill="auto"/>
            <w:vAlign w:val="center"/>
            <w:hideMark/>
          </w:tcPr>
          <w:p w14:paraId="7379BFC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20BE723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dans certains cas</w:t>
            </w:r>
          </w:p>
          <w:p w14:paraId="45312BE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p w14:paraId="0A6E416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Sans objet (aucune décision n'a été prise)</w:t>
            </w:r>
          </w:p>
        </w:tc>
      </w:tr>
      <w:tr w:rsidR="00952749" w:rsidRPr="006C590E" w14:paraId="03243460" w14:textId="77777777" w:rsidTr="009137A8">
        <w:trPr>
          <w:gridAfter w:val="2"/>
          <w:wAfter w:w="126" w:type="dxa"/>
          <w:cantSplit/>
        </w:trPr>
        <w:tc>
          <w:tcPr>
            <w:tcW w:w="4970" w:type="dxa"/>
            <w:gridSpan w:val="2"/>
            <w:vAlign w:val="center"/>
            <w:hideMark/>
          </w:tcPr>
          <w:p w14:paraId="2C5100F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éprouvé des problèmes d’accès ou d’utilisation du Centre d’échange pour la prévention des risques biotechnologiques ?</w:t>
            </w:r>
          </w:p>
        </w:tc>
        <w:tc>
          <w:tcPr>
            <w:tcW w:w="4506" w:type="dxa"/>
            <w:gridSpan w:val="3"/>
            <w:tcBorders>
              <w:right w:val="single" w:sz="4" w:space="0" w:color="auto"/>
            </w:tcBorders>
            <w:vAlign w:val="center"/>
            <w:hideMark/>
          </w:tcPr>
          <w:p w14:paraId="3A9F80C4" w14:textId="77777777" w:rsidR="00952749" w:rsidRPr="006C590E" w:rsidRDefault="00952749" w:rsidP="009137A8">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141BA20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4E7BD8C9" w14:textId="77777777" w:rsidTr="009137A8">
        <w:trPr>
          <w:gridAfter w:val="2"/>
          <w:wAfter w:w="126" w:type="dxa"/>
          <w:cantSplit/>
        </w:trPr>
        <w:tc>
          <w:tcPr>
            <w:tcW w:w="4970" w:type="dxa"/>
            <w:gridSpan w:val="2"/>
            <w:vAlign w:val="center"/>
          </w:tcPr>
          <w:p w14:paraId="1EF9F914"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Au cours de la période couverte par ce rapport, combien d'événements liés à la prévention des risques biotechnologiques (séminaires, ateliers, conférences de presse, événements éducatifs, etc.) votre pays a-t-il organisés ?</w:t>
            </w:r>
          </w:p>
        </w:tc>
        <w:tc>
          <w:tcPr>
            <w:tcW w:w="4506" w:type="dxa"/>
            <w:gridSpan w:val="3"/>
            <w:tcBorders>
              <w:right w:val="single" w:sz="4" w:space="0" w:color="auto"/>
            </w:tcBorders>
            <w:vAlign w:val="center"/>
          </w:tcPr>
          <w:p w14:paraId="76D5429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6E679E6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1834944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3429774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24</w:t>
            </w:r>
          </w:p>
          <w:p w14:paraId="35D1D8E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25 ou plus</w:t>
            </w:r>
          </w:p>
        </w:tc>
      </w:tr>
      <w:tr w:rsidR="00952749" w:rsidRPr="00617C2F" w14:paraId="016C2287" w14:textId="77777777" w:rsidTr="009137A8">
        <w:trPr>
          <w:gridAfter w:val="2"/>
          <w:wAfter w:w="126" w:type="dxa"/>
          <w:cantSplit/>
        </w:trPr>
        <w:tc>
          <w:tcPr>
            <w:tcW w:w="4970" w:type="dxa"/>
            <w:gridSpan w:val="2"/>
            <w:vAlign w:val="center"/>
          </w:tcPr>
          <w:p w14:paraId="003864F3"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Au cours de la période couverte par ce rapport, combien de publications relatives à la prévention des risques biotechnologiques votre pays a-t-il publiées ? </w:t>
            </w:r>
          </w:p>
        </w:tc>
        <w:tc>
          <w:tcPr>
            <w:tcW w:w="4506" w:type="dxa"/>
            <w:gridSpan w:val="3"/>
            <w:tcBorders>
              <w:right w:val="single" w:sz="4" w:space="0" w:color="auto"/>
            </w:tcBorders>
            <w:vAlign w:val="center"/>
          </w:tcPr>
          <w:p w14:paraId="0E856E2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2FDFD0F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9</w:t>
            </w:r>
          </w:p>
          <w:p w14:paraId="38618E0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119261D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à 99.</w:t>
            </w:r>
          </w:p>
          <w:p w14:paraId="37C0FB0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ou plus</w:t>
            </w:r>
          </w:p>
        </w:tc>
      </w:tr>
      <w:tr w:rsidR="00952749" w:rsidRPr="006C590E" w14:paraId="04849A5B" w14:textId="77777777" w:rsidTr="009137A8">
        <w:trPr>
          <w:gridAfter w:val="2"/>
          <w:wAfter w:w="126" w:type="dxa"/>
          <w:cantSplit/>
        </w:trPr>
        <w:tc>
          <w:tcPr>
            <w:tcW w:w="9476" w:type="dxa"/>
            <w:gridSpan w:val="5"/>
            <w:tcBorders>
              <w:right w:val="single" w:sz="4" w:space="0" w:color="auto"/>
            </w:tcBorders>
            <w:vAlign w:val="center"/>
            <w:hideMark/>
          </w:tcPr>
          <w:p w14:paraId="2C7551B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Cs/>
                <w:kern w:val="22"/>
                <w:sz w:val="20"/>
                <w:szCs w:val="20"/>
              </w:rPr>
            </w:pPr>
            <w:r w:rsidRPr="006C590E">
              <w:rPr>
                <w:kern w:val="22"/>
                <w:sz w:val="20"/>
                <w:szCs w:val="20"/>
                <w:lang w:bidi="fr-FR"/>
              </w:rPr>
              <w:t xml:space="preserve">Vous pouvez fournir </w:t>
            </w:r>
            <w:r>
              <w:rPr>
                <w:kern w:val="22"/>
                <w:sz w:val="20"/>
                <w:szCs w:val="20"/>
                <w:lang w:bidi="fr-FR"/>
              </w:rPr>
              <w:t xml:space="preserve">ici </w:t>
            </w:r>
            <w:r w:rsidRPr="006C590E">
              <w:rPr>
                <w:kern w:val="22"/>
                <w:sz w:val="20"/>
                <w:szCs w:val="20"/>
                <w:lang w:bidi="fr-FR"/>
              </w:rPr>
              <w:t>de plus amples détails sur l’application de l’article 20 dans v</w:t>
            </w:r>
            <w:r>
              <w:rPr>
                <w:kern w:val="22"/>
                <w:sz w:val="20"/>
                <w:szCs w:val="20"/>
                <w:lang w:bidi="fr-FR"/>
              </w:rPr>
              <w:t>otre pays</w:t>
            </w:r>
            <w:r w:rsidRPr="006C590E">
              <w:rPr>
                <w:kern w:val="22"/>
                <w:sz w:val="20"/>
                <w:szCs w:val="20"/>
                <w:lang w:bidi="fr-FR"/>
              </w:rPr>
              <w:t>:</w:t>
            </w:r>
          </w:p>
          <w:p w14:paraId="2BCD781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Pr>
                <w:iCs/>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E75FA6" w14:paraId="35E1FEE2" w14:textId="77777777" w:rsidTr="009137A8">
        <w:trPr>
          <w:cantSplit/>
        </w:trPr>
        <w:tc>
          <w:tcPr>
            <w:tcW w:w="9602" w:type="dxa"/>
            <w:gridSpan w:val="7"/>
            <w:tcBorders>
              <w:right w:val="single" w:sz="4" w:space="0" w:color="auto"/>
            </w:tcBorders>
            <w:vAlign w:val="center"/>
            <w:hideMark/>
          </w:tcPr>
          <w:p w14:paraId="6E225349"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BF360F">
              <w:rPr>
                <w:rFonts w:eastAsia="Arial Unicode MS"/>
                <w:b/>
                <w:kern w:val="22"/>
                <w:sz w:val="20"/>
                <w:szCs w:val="20"/>
                <w:lang w:bidi="fr-FR"/>
              </w:rPr>
              <w:lastRenderedPageBreak/>
              <w:t>Article 21 – Informations confidentielles</w:t>
            </w:r>
          </w:p>
        </w:tc>
      </w:tr>
      <w:tr w:rsidR="00952749" w:rsidRPr="00E75FA6" w14:paraId="24BA8FA0" w14:textId="77777777" w:rsidTr="009137A8">
        <w:trPr>
          <w:cantSplit/>
        </w:trPr>
        <w:tc>
          <w:tcPr>
            <w:tcW w:w="5046" w:type="dxa"/>
            <w:gridSpan w:val="4"/>
            <w:vAlign w:val="center"/>
            <w:hideMark/>
          </w:tcPr>
          <w:p w14:paraId="39FC00CA"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BF360F">
              <w:rPr>
                <w:kern w:val="22"/>
                <w:sz w:val="20"/>
                <w:szCs w:val="20"/>
                <w:lang w:bidi="fr-FR"/>
              </w:rPr>
              <w:t>Votre pays a-t-il établi des procédures pour protéger les renseignements confidentiels reçus en vertu du Protocole ?</w:t>
            </w:r>
          </w:p>
        </w:tc>
        <w:tc>
          <w:tcPr>
            <w:tcW w:w="4556" w:type="dxa"/>
            <w:gridSpan w:val="3"/>
            <w:tcBorders>
              <w:right w:val="single" w:sz="4" w:space="0" w:color="auto"/>
            </w:tcBorders>
            <w:vAlign w:val="center"/>
            <w:hideMark/>
          </w:tcPr>
          <w:p w14:paraId="13B71350"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Oui</w:t>
            </w:r>
          </w:p>
          <w:p w14:paraId="716C93F0"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6D746103"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 xml:space="preserve">Non </w:t>
            </w:r>
          </w:p>
        </w:tc>
      </w:tr>
      <w:tr w:rsidR="00952749" w:rsidRPr="00E75FA6" w14:paraId="0E19229A" w14:textId="77777777" w:rsidTr="009137A8">
        <w:trPr>
          <w:cantSplit/>
        </w:trPr>
        <w:tc>
          <w:tcPr>
            <w:tcW w:w="5046" w:type="dxa"/>
            <w:gridSpan w:val="4"/>
            <w:shd w:val="clear" w:color="auto" w:fill="FFFFFF"/>
            <w:vAlign w:val="center"/>
            <w:hideMark/>
          </w:tcPr>
          <w:p w14:paraId="2424B762"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BF360F">
              <w:rPr>
                <w:kern w:val="22"/>
                <w:sz w:val="20"/>
                <w:szCs w:val="20"/>
                <w:lang w:bidi="fr-FR"/>
              </w:rPr>
              <w:t>Votre pays permet-il à l’auteur de la notification de mettre en évidence l’information qu’il faut considérer comme confidentielle ?</w:t>
            </w:r>
          </w:p>
        </w:tc>
        <w:tc>
          <w:tcPr>
            <w:tcW w:w="4556" w:type="dxa"/>
            <w:gridSpan w:val="3"/>
            <w:tcBorders>
              <w:right w:val="single" w:sz="4" w:space="0" w:color="auto"/>
            </w:tcBorders>
            <w:shd w:val="clear" w:color="auto" w:fill="FFFFFF"/>
            <w:vAlign w:val="center"/>
            <w:hideMark/>
          </w:tcPr>
          <w:p w14:paraId="2F9BDE4E"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Oui, toujours</w:t>
            </w:r>
          </w:p>
          <w:p w14:paraId="09AC168E"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Dans certains cas seulement</w:t>
            </w:r>
          </w:p>
          <w:p w14:paraId="29E9EC40"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Non</w:t>
            </w:r>
          </w:p>
        </w:tc>
      </w:tr>
      <w:tr w:rsidR="00952749" w:rsidRPr="00E75FA6" w14:paraId="381E38BD" w14:textId="77777777" w:rsidTr="009137A8">
        <w:trPr>
          <w:cantSplit/>
        </w:trPr>
        <w:tc>
          <w:tcPr>
            <w:tcW w:w="9602" w:type="dxa"/>
            <w:gridSpan w:val="7"/>
            <w:tcBorders>
              <w:right w:val="single" w:sz="4" w:space="0" w:color="auto"/>
            </w:tcBorders>
            <w:vAlign w:val="center"/>
            <w:hideMark/>
          </w:tcPr>
          <w:p w14:paraId="75512F21"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BF360F">
              <w:rPr>
                <w:kern w:val="22"/>
                <w:sz w:val="20"/>
                <w:szCs w:val="20"/>
                <w:lang w:bidi="fr-FR"/>
              </w:rPr>
              <w:t xml:space="preserve">Vous pouvez fournir </w:t>
            </w:r>
            <w:r>
              <w:rPr>
                <w:kern w:val="22"/>
                <w:sz w:val="20"/>
                <w:szCs w:val="20"/>
                <w:lang w:bidi="fr-FR"/>
              </w:rPr>
              <w:t xml:space="preserve">ici </w:t>
            </w:r>
            <w:r w:rsidRPr="00BF360F">
              <w:rPr>
                <w:kern w:val="22"/>
                <w:sz w:val="20"/>
                <w:szCs w:val="20"/>
                <w:lang w:bidi="fr-FR"/>
              </w:rPr>
              <w:t>de plus amples détails sur l’application de l’article 21 dans v</w:t>
            </w:r>
            <w:r>
              <w:rPr>
                <w:kern w:val="22"/>
                <w:sz w:val="20"/>
                <w:szCs w:val="20"/>
                <w:lang w:bidi="fr-FR"/>
              </w:rPr>
              <w:t xml:space="preserve">otre pays </w:t>
            </w:r>
            <w:r w:rsidRPr="00BF360F">
              <w:rPr>
                <w:kern w:val="22"/>
                <w:sz w:val="20"/>
                <w:szCs w:val="20"/>
                <w:lang w:bidi="fr-FR"/>
              </w:rPr>
              <w:t>:</w:t>
            </w:r>
          </w:p>
          <w:p w14:paraId="468A063D"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567" w:right="6"/>
              <w:jc w:val="left"/>
              <w:rPr>
                <w:kern w:val="22"/>
                <w:sz w:val="20"/>
                <w:szCs w:val="20"/>
              </w:rPr>
            </w:pPr>
            <w:r w:rsidRPr="00BF360F">
              <w:rPr>
                <w:kern w:val="22"/>
                <w:sz w:val="20"/>
                <w:szCs w:val="20"/>
                <w:lang w:bidi="fr-FR"/>
              </w:rPr>
              <w:fldChar w:fldCharType="begin">
                <w:ffData>
                  <w:name w:val=""/>
                  <w:enabled/>
                  <w:calcOnExit w:val="0"/>
                  <w:textInput>
                    <w:default w:val="[                                                      Saisissez votre texte ici                                                       ]"/>
                  </w:textInput>
                </w:ffData>
              </w:fldChar>
            </w:r>
            <w:r w:rsidRPr="00BF360F">
              <w:rPr>
                <w:kern w:val="22"/>
                <w:sz w:val="20"/>
                <w:szCs w:val="20"/>
                <w:lang w:bidi="fr-FR"/>
              </w:rPr>
              <w:instrText xml:space="preserve"> FORMTEXT </w:instrText>
            </w:r>
            <w:r w:rsidRPr="00BF360F">
              <w:rPr>
                <w:kern w:val="22"/>
                <w:sz w:val="20"/>
                <w:szCs w:val="20"/>
                <w:lang w:bidi="fr-FR"/>
              </w:rPr>
            </w:r>
            <w:r w:rsidRPr="00BF360F">
              <w:rPr>
                <w:kern w:val="22"/>
                <w:sz w:val="20"/>
                <w:szCs w:val="20"/>
                <w:lang w:bidi="fr-FR"/>
              </w:rPr>
              <w:fldChar w:fldCharType="separate"/>
            </w:r>
            <w:r w:rsidRPr="00BF360F">
              <w:rPr>
                <w:noProof/>
                <w:kern w:val="22"/>
                <w:sz w:val="20"/>
                <w:szCs w:val="20"/>
                <w:lang w:bidi="fr-FR"/>
              </w:rPr>
              <w:t>[                                                      Saisissez votre texte ici                                                       ]</w:t>
            </w:r>
            <w:r w:rsidRPr="00BF360F">
              <w:rPr>
                <w:kern w:val="22"/>
                <w:sz w:val="20"/>
                <w:szCs w:val="20"/>
                <w:lang w:bidi="fr-FR"/>
              </w:rPr>
              <w:fldChar w:fldCharType="end"/>
            </w:r>
          </w:p>
        </w:tc>
      </w:tr>
      <w:tr w:rsidR="00952749" w:rsidRPr="00BF360F" w14:paraId="3AC36A4A" w14:textId="77777777" w:rsidTr="009137A8">
        <w:trPr>
          <w:cantSplit/>
        </w:trPr>
        <w:tc>
          <w:tcPr>
            <w:tcW w:w="9602" w:type="dxa"/>
            <w:gridSpan w:val="7"/>
            <w:tcBorders>
              <w:right w:val="single" w:sz="4" w:space="0" w:color="auto"/>
            </w:tcBorders>
            <w:vAlign w:val="center"/>
            <w:hideMark/>
          </w:tcPr>
          <w:p w14:paraId="7A7377AF"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Pr>
                <w:rFonts w:eastAsia="Arial Unicode MS"/>
                <w:b/>
                <w:kern w:val="22"/>
                <w:sz w:val="20"/>
                <w:szCs w:val="20"/>
                <w:lang w:bidi="fr-FR"/>
              </w:rPr>
              <w:t>Article 22 – Renforcement des</w:t>
            </w:r>
            <w:r w:rsidRPr="00BF360F">
              <w:rPr>
                <w:rFonts w:eastAsia="Arial Unicode MS"/>
                <w:b/>
                <w:kern w:val="22"/>
                <w:sz w:val="20"/>
                <w:szCs w:val="20"/>
                <w:lang w:bidi="fr-FR"/>
              </w:rPr>
              <w:t xml:space="preserve"> capacités</w:t>
            </w:r>
          </w:p>
        </w:tc>
      </w:tr>
      <w:tr w:rsidR="00952749" w:rsidRPr="00BF360F" w14:paraId="7F97295A" w14:textId="77777777" w:rsidTr="009137A8">
        <w:trPr>
          <w:cantSplit/>
        </w:trPr>
        <w:tc>
          <w:tcPr>
            <w:tcW w:w="5046" w:type="dxa"/>
            <w:gridSpan w:val="4"/>
            <w:vAlign w:val="center"/>
            <w:hideMark/>
          </w:tcPr>
          <w:p w14:paraId="75D15A24"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BF360F">
              <w:rPr>
                <w:kern w:val="22"/>
                <w:sz w:val="20"/>
                <w:szCs w:val="20"/>
                <w:lang w:bidi="fr-FR"/>
              </w:rPr>
              <w:t>Votre pays compte-t-il sur un financement prévisible et fiable pour la création de capacités en vue de mettre en œuvre le Protocole de manière efficace ?</w:t>
            </w:r>
          </w:p>
        </w:tc>
        <w:tc>
          <w:tcPr>
            <w:tcW w:w="4556" w:type="dxa"/>
            <w:gridSpan w:val="3"/>
            <w:tcBorders>
              <w:right w:val="single" w:sz="4" w:space="0" w:color="auto"/>
            </w:tcBorders>
            <w:vAlign w:val="center"/>
            <w:hideMark/>
          </w:tcPr>
          <w:p w14:paraId="7B7C1F4B"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Oui</w:t>
            </w:r>
          </w:p>
          <w:p w14:paraId="63C98923"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459EFE86"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Non</w:t>
            </w:r>
          </w:p>
        </w:tc>
      </w:tr>
      <w:tr w:rsidR="00952749" w:rsidRPr="00BF360F" w14:paraId="5E169F46" w14:textId="77777777" w:rsidTr="009137A8">
        <w:trPr>
          <w:cantSplit/>
        </w:trPr>
        <w:tc>
          <w:tcPr>
            <w:tcW w:w="5046" w:type="dxa"/>
            <w:gridSpan w:val="4"/>
            <w:vAlign w:val="center"/>
            <w:hideMark/>
          </w:tcPr>
          <w:p w14:paraId="651A5742"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BF360F">
              <w:rPr>
                <w:kern w:val="22"/>
                <w:sz w:val="20"/>
                <w:szCs w:val="20"/>
                <w:lang w:bidi="fr-FR"/>
              </w:rPr>
              <w:t>Votre pays a-t-il reçu un soutien de l’extérieur ou participé à des activités de collaboration avec d’autres Parties pour le développement et/ou le renforcement des ressources humaines et des capacités institutionnelles pour la prévention des risques biotechnologiques ?</w:t>
            </w:r>
          </w:p>
        </w:tc>
        <w:tc>
          <w:tcPr>
            <w:tcW w:w="4556" w:type="dxa"/>
            <w:gridSpan w:val="3"/>
            <w:tcBorders>
              <w:right w:val="single" w:sz="4" w:space="0" w:color="auto"/>
            </w:tcBorders>
            <w:vAlign w:val="center"/>
            <w:hideMark/>
          </w:tcPr>
          <w:p w14:paraId="3E9258AB"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Oui</w:t>
            </w:r>
          </w:p>
          <w:p w14:paraId="0F605BDC"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7EB0C230"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Non</w:t>
            </w:r>
          </w:p>
        </w:tc>
      </w:tr>
      <w:tr w:rsidR="00952749" w:rsidRPr="00617C2F" w14:paraId="4F35DB02" w14:textId="77777777" w:rsidTr="009137A8">
        <w:trPr>
          <w:cantSplit/>
        </w:trPr>
        <w:tc>
          <w:tcPr>
            <w:tcW w:w="5046" w:type="dxa"/>
            <w:gridSpan w:val="4"/>
            <w:vAlign w:val="center"/>
            <w:hideMark/>
          </w:tcPr>
          <w:p w14:paraId="24E939BE"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BF360F">
              <w:rPr>
                <w:kern w:val="22"/>
                <w:sz w:val="20"/>
                <w:szCs w:val="20"/>
                <w:lang w:bidi="fr-FR"/>
              </w:rPr>
              <w:t xml:space="preserve">Si vous avez répondu </w:t>
            </w:r>
            <w:r w:rsidRPr="00BF360F">
              <w:rPr>
                <w:i/>
                <w:kern w:val="22"/>
                <w:sz w:val="20"/>
                <w:szCs w:val="20"/>
                <w:lang w:bidi="fr-FR"/>
              </w:rPr>
              <w:t>Oui</w:t>
            </w:r>
            <w:r w:rsidRPr="00BF360F">
              <w:rPr>
                <w:kern w:val="22"/>
                <w:sz w:val="20"/>
                <w:szCs w:val="20"/>
                <w:lang w:bidi="fr-FR"/>
              </w:rPr>
              <w:t xml:space="preserve"> à la question 125, comment ces ressources ont-elles été fournies ?</w:t>
            </w:r>
          </w:p>
        </w:tc>
        <w:tc>
          <w:tcPr>
            <w:tcW w:w="4556" w:type="dxa"/>
            <w:gridSpan w:val="3"/>
            <w:tcBorders>
              <w:right w:val="single" w:sz="4" w:space="0" w:color="auto"/>
            </w:tcBorders>
            <w:vAlign w:val="center"/>
            <w:hideMark/>
          </w:tcPr>
          <w:p w14:paraId="2258E46C"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Voies bilatérales</w:t>
            </w:r>
          </w:p>
          <w:p w14:paraId="473FD821"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Voies régionales</w:t>
            </w:r>
          </w:p>
          <w:p w14:paraId="77533C1B"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Voies multilatérales</w:t>
            </w:r>
          </w:p>
        </w:tc>
      </w:tr>
      <w:tr w:rsidR="00952749" w:rsidRPr="00BF360F" w14:paraId="287C6F69" w14:textId="77777777" w:rsidTr="009137A8">
        <w:trPr>
          <w:cantSplit/>
        </w:trPr>
        <w:tc>
          <w:tcPr>
            <w:tcW w:w="5046" w:type="dxa"/>
            <w:gridSpan w:val="4"/>
            <w:vAlign w:val="center"/>
            <w:hideMark/>
          </w:tcPr>
          <w:p w14:paraId="601FB7A9"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BF360F">
              <w:rPr>
                <w:kern w:val="22"/>
                <w:sz w:val="20"/>
                <w:szCs w:val="20"/>
                <w:lang w:bidi="fr-FR"/>
              </w:rPr>
              <w:t>Votre pays a-t-il offert un soutien à d’autres Parties pour le développement et/ou le renforcement des ressources humaines et des capacités institutionnelles pour la prévention des risques biotechnologiques ?</w:t>
            </w:r>
          </w:p>
        </w:tc>
        <w:tc>
          <w:tcPr>
            <w:tcW w:w="4556" w:type="dxa"/>
            <w:gridSpan w:val="3"/>
            <w:tcBorders>
              <w:right w:val="single" w:sz="4" w:space="0" w:color="auto"/>
            </w:tcBorders>
            <w:vAlign w:val="center"/>
            <w:hideMark/>
          </w:tcPr>
          <w:p w14:paraId="3BD5C9BA"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Oui</w:t>
            </w:r>
          </w:p>
          <w:p w14:paraId="13A8BDAA"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r>
            <w:r w:rsidRPr="00BF360F">
              <w:rPr>
                <w:kern w:val="22"/>
                <w:sz w:val="20"/>
                <w:szCs w:val="20"/>
                <w:lang w:val="fr-CA"/>
              </w:rPr>
              <w:t xml:space="preserve">Oui, dans une certaine mesure </w:t>
            </w:r>
            <w:r w:rsidRPr="00BF360F">
              <w:rPr>
                <w:kern w:val="22"/>
                <w:sz w:val="20"/>
                <w:szCs w:val="20"/>
                <w:highlight w:val="lightGray"/>
                <w:lang w:val="fr-CA"/>
              </w:rPr>
              <w:t>[Veuillez préciser]</w:t>
            </w:r>
          </w:p>
          <w:p w14:paraId="4B80D51C"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Non</w:t>
            </w:r>
          </w:p>
        </w:tc>
      </w:tr>
      <w:tr w:rsidR="00952749" w:rsidRPr="00617C2F" w14:paraId="206D71CA" w14:textId="77777777" w:rsidTr="009137A8">
        <w:trPr>
          <w:cantSplit/>
        </w:trPr>
        <w:tc>
          <w:tcPr>
            <w:tcW w:w="5046" w:type="dxa"/>
            <w:gridSpan w:val="4"/>
            <w:vAlign w:val="center"/>
            <w:hideMark/>
          </w:tcPr>
          <w:p w14:paraId="48CAD99F"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hanging="540"/>
              <w:jc w:val="left"/>
              <w:rPr>
                <w:i/>
                <w:kern w:val="22"/>
                <w:sz w:val="20"/>
                <w:szCs w:val="20"/>
              </w:rPr>
            </w:pPr>
            <w:r w:rsidRPr="00BF360F">
              <w:rPr>
                <w:kern w:val="22"/>
                <w:sz w:val="20"/>
                <w:szCs w:val="20"/>
                <w:lang w:bidi="fr-FR"/>
              </w:rPr>
              <w:t xml:space="preserve">Si vous avez répondu </w:t>
            </w:r>
            <w:r w:rsidRPr="00BF360F">
              <w:rPr>
                <w:i/>
                <w:kern w:val="22"/>
                <w:sz w:val="20"/>
                <w:szCs w:val="20"/>
                <w:lang w:bidi="fr-FR"/>
              </w:rPr>
              <w:t>Oui</w:t>
            </w:r>
            <w:r w:rsidRPr="00BF360F">
              <w:rPr>
                <w:kern w:val="22"/>
                <w:sz w:val="20"/>
                <w:szCs w:val="20"/>
                <w:lang w:bidi="fr-FR"/>
              </w:rPr>
              <w:t xml:space="preserve"> à la question 127, comment ces ressources ont-elles été fournies ?</w:t>
            </w:r>
          </w:p>
        </w:tc>
        <w:tc>
          <w:tcPr>
            <w:tcW w:w="4556" w:type="dxa"/>
            <w:gridSpan w:val="3"/>
            <w:tcBorders>
              <w:right w:val="single" w:sz="4" w:space="0" w:color="auto"/>
            </w:tcBorders>
            <w:vAlign w:val="center"/>
            <w:hideMark/>
          </w:tcPr>
          <w:p w14:paraId="290B97BB"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Voies bilatérales</w:t>
            </w:r>
          </w:p>
          <w:p w14:paraId="3CC8BB26"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Voies régionales</w:t>
            </w:r>
          </w:p>
          <w:p w14:paraId="7BC06EF4"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Voies multilatérales</w:t>
            </w:r>
          </w:p>
        </w:tc>
      </w:tr>
      <w:tr w:rsidR="00952749" w:rsidRPr="00E75FA6" w14:paraId="720C86D5" w14:textId="77777777" w:rsidTr="009137A8">
        <w:trPr>
          <w:cantSplit/>
        </w:trPr>
        <w:tc>
          <w:tcPr>
            <w:tcW w:w="5046" w:type="dxa"/>
            <w:gridSpan w:val="4"/>
            <w:vAlign w:val="center"/>
            <w:hideMark/>
          </w:tcPr>
          <w:p w14:paraId="21B322A2" w14:textId="77777777" w:rsidR="00952749" w:rsidRPr="00BF360F"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BF360F">
              <w:rPr>
                <w:kern w:val="22"/>
                <w:sz w:val="20"/>
                <w:szCs w:val="20"/>
                <w:lang w:bidi="fr-FR"/>
              </w:rPr>
              <w:t>Au cours de la période couverte par le rapport, votre pays a-t-il lancé un processus d'accès aux fonds du Fonds pour l’environnement mondial (FEM) pour renforcer les capacités en matière de prévention des risques biotechnologiques ?</w:t>
            </w:r>
          </w:p>
        </w:tc>
        <w:tc>
          <w:tcPr>
            <w:tcW w:w="4556" w:type="dxa"/>
            <w:gridSpan w:val="3"/>
            <w:tcBorders>
              <w:right w:val="single" w:sz="4" w:space="0" w:color="auto"/>
            </w:tcBorders>
            <w:vAlign w:val="center"/>
            <w:hideMark/>
          </w:tcPr>
          <w:p w14:paraId="704468EE" w14:textId="77777777" w:rsidR="00952749" w:rsidRPr="00BF360F" w:rsidRDefault="00952749" w:rsidP="009137A8">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 xml:space="preserve">Oui : </w:t>
            </w:r>
            <w:r w:rsidRPr="00BF360F">
              <w:rPr>
                <w:kern w:val="22"/>
                <w:sz w:val="20"/>
                <w:szCs w:val="20"/>
                <w:lang w:bidi="fr-FR"/>
              </w:rPr>
              <w:fldChar w:fldCharType="begin">
                <w:ffData>
                  <w:name w:val=""/>
                  <w:enabled/>
                  <w:calcOnExit w:val="0"/>
                  <w:textInput>
                    <w:default w:val="[Veuillez préciser]"/>
                  </w:textInput>
                </w:ffData>
              </w:fldChar>
            </w:r>
            <w:r w:rsidRPr="00BF360F">
              <w:rPr>
                <w:kern w:val="22"/>
                <w:sz w:val="20"/>
                <w:szCs w:val="20"/>
                <w:lang w:bidi="fr-FR"/>
              </w:rPr>
              <w:instrText xml:space="preserve"> FORMTEXT </w:instrText>
            </w:r>
            <w:r w:rsidRPr="00BF360F">
              <w:rPr>
                <w:kern w:val="22"/>
                <w:sz w:val="20"/>
                <w:szCs w:val="20"/>
                <w:lang w:bidi="fr-FR"/>
              </w:rPr>
            </w:r>
            <w:r w:rsidRPr="00BF360F">
              <w:rPr>
                <w:kern w:val="22"/>
                <w:sz w:val="20"/>
                <w:szCs w:val="20"/>
                <w:lang w:bidi="fr-FR"/>
              </w:rPr>
              <w:fldChar w:fldCharType="separate"/>
            </w:r>
            <w:r w:rsidRPr="00BF360F">
              <w:rPr>
                <w:noProof/>
                <w:kern w:val="22"/>
                <w:sz w:val="20"/>
                <w:szCs w:val="20"/>
                <w:lang w:bidi="fr-FR"/>
              </w:rPr>
              <w:t>[Veuillez préciser]</w:t>
            </w:r>
            <w:r w:rsidRPr="00BF360F">
              <w:rPr>
                <w:kern w:val="22"/>
                <w:sz w:val="20"/>
                <w:szCs w:val="20"/>
                <w:lang w:bidi="fr-FR"/>
              </w:rPr>
              <w:fldChar w:fldCharType="end"/>
            </w:r>
          </w:p>
          <w:p w14:paraId="0B7A68A0"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Non</w:t>
            </w:r>
          </w:p>
        </w:tc>
      </w:tr>
      <w:tr w:rsidR="00952749" w:rsidRPr="00E75FA6" w14:paraId="7455B559" w14:textId="77777777" w:rsidTr="009137A8">
        <w:trPr>
          <w:cantSplit/>
        </w:trPr>
        <w:tc>
          <w:tcPr>
            <w:tcW w:w="5046" w:type="dxa"/>
            <w:gridSpan w:val="4"/>
            <w:vAlign w:val="center"/>
            <w:hideMark/>
          </w:tcPr>
          <w:p w14:paraId="659D88DF" w14:textId="77777777" w:rsidR="00952749" w:rsidRPr="004C529D"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4C529D">
              <w:rPr>
                <w:kern w:val="22"/>
                <w:sz w:val="20"/>
                <w:szCs w:val="20"/>
                <w:lang w:bidi="fr-FR"/>
              </w:rPr>
              <w:lastRenderedPageBreak/>
              <w:t xml:space="preserve">Si vous avez répondu </w:t>
            </w:r>
            <w:r w:rsidRPr="004C529D">
              <w:rPr>
                <w:i/>
                <w:kern w:val="22"/>
                <w:sz w:val="20"/>
                <w:szCs w:val="20"/>
                <w:lang w:bidi="fr-FR"/>
              </w:rPr>
              <w:t>Oui</w:t>
            </w:r>
            <w:r w:rsidRPr="004C529D">
              <w:rPr>
                <w:kern w:val="22"/>
                <w:sz w:val="20"/>
                <w:szCs w:val="20"/>
                <w:lang w:bidi="fr-FR"/>
              </w:rPr>
              <w:t xml:space="preserve"> à la question 129, comment décririez-vous le processus ?</w:t>
            </w:r>
          </w:p>
        </w:tc>
        <w:tc>
          <w:tcPr>
            <w:tcW w:w="4556" w:type="dxa"/>
            <w:gridSpan w:val="3"/>
            <w:tcBorders>
              <w:right w:val="single" w:sz="4" w:space="0" w:color="auto"/>
            </w:tcBorders>
            <w:vAlign w:val="center"/>
            <w:hideMark/>
          </w:tcPr>
          <w:p w14:paraId="6798B7A3"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Très facile</w:t>
            </w:r>
          </w:p>
          <w:p w14:paraId="68C9E63E"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Facile</w:t>
            </w:r>
          </w:p>
          <w:p w14:paraId="2492C64C"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Ni facile ni difficile</w:t>
            </w:r>
          </w:p>
          <w:p w14:paraId="2DCE090F"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Difficile</w:t>
            </w:r>
          </w:p>
          <w:p w14:paraId="543E47CF"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Très difficile</w:t>
            </w:r>
          </w:p>
        </w:tc>
      </w:tr>
      <w:tr w:rsidR="00952749" w:rsidRPr="00E75FA6" w14:paraId="4DF37F56" w14:textId="77777777" w:rsidTr="009137A8">
        <w:trPr>
          <w:cantSplit/>
        </w:trPr>
        <w:tc>
          <w:tcPr>
            <w:tcW w:w="5046" w:type="dxa"/>
            <w:gridSpan w:val="4"/>
            <w:vAlign w:val="center"/>
            <w:hideMark/>
          </w:tcPr>
          <w:p w14:paraId="171B1FC7" w14:textId="77777777" w:rsidR="00952749" w:rsidRPr="004C529D"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4C529D">
              <w:rPr>
                <w:kern w:val="22"/>
                <w:sz w:val="20"/>
                <w:szCs w:val="20"/>
                <w:lang w:bidi="fr-FR"/>
              </w:rPr>
              <w:t xml:space="preserve">Votre pays a-t-il entrepris </w:t>
            </w:r>
            <w:r>
              <w:rPr>
                <w:kern w:val="22"/>
                <w:sz w:val="20"/>
                <w:szCs w:val="20"/>
                <w:lang w:bidi="fr-FR"/>
              </w:rPr>
              <w:t xml:space="preserve">des activités de création et/ou </w:t>
            </w:r>
            <w:r w:rsidRPr="004C529D">
              <w:rPr>
                <w:kern w:val="22"/>
                <w:sz w:val="20"/>
                <w:szCs w:val="20"/>
                <w:lang w:bidi="fr-FR"/>
              </w:rPr>
              <w:t>renforcement des ressources humaines et des capacités institutionnelles pour la prévention des risques biotechnologiques pendant la période visée par ce rapport ?</w:t>
            </w:r>
          </w:p>
        </w:tc>
        <w:tc>
          <w:tcPr>
            <w:tcW w:w="4556" w:type="dxa"/>
            <w:gridSpan w:val="3"/>
            <w:tcBorders>
              <w:right w:val="single" w:sz="4" w:space="0" w:color="auto"/>
            </w:tcBorders>
            <w:vAlign w:val="center"/>
            <w:hideMark/>
          </w:tcPr>
          <w:p w14:paraId="069EE64B"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Oui</w:t>
            </w:r>
          </w:p>
          <w:p w14:paraId="18F58C49"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fr-CA"/>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r>
            <w:r w:rsidRPr="004C529D">
              <w:rPr>
                <w:kern w:val="22"/>
                <w:sz w:val="20"/>
                <w:szCs w:val="20"/>
                <w:lang w:val="fr-CA"/>
              </w:rPr>
              <w:t xml:space="preserve">Oui, dans une certaine mesure </w:t>
            </w:r>
            <w:r w:rsidRPr="004C529D">
              <w:rPr>
                <w:kern w:val="22"/>
                <w:sz w:val="20"/>
                <w:szCs w:val="20"/>
                <w:highlight w:val="lightGray"/>
                <w:lang w:val="fr-CA"/>
              </w:rPr>
              <w:t>[Veuillez préciser]</w:t>
            </w:r>
          </w:p>
          <w:p w14:paraId="1F139979"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 xml:space="preserve">Non </w:t>
            </w:r>
          </w:p>
        </w:tc>
      </w:tr>
      <w:tr w:rsidR="00952749" w:rsidRPr="00617C2F" w14:paraId="72EF75FA" w14:textId="77777777" w:rsidTr="009137A8">
        <w:trPr>
          <w:cantSplit/>
        </w:trPr>
        <w:tc>
          <w:tcPr>
            <w:tcW w:w="5046" w:type="dxa"/>
            <w:gridSpan w:val="4"/>
            <w:shd w:val="clear" w:color="auto" w:fill="FFFFFF"/>
            <w:vAlign w:val="center"/>
            <w:hideMark/>
          </w:tcPr>
          <w:p w14:paraId="1168F1EB" w14:textId="77777777" w:rsidR="00952749" w:rsidRPr="004C529D"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4C529D">
              <w:rPr>
                <w:kern w:val="22"/>
                <w:sz w:val="20"/>
                <w:szCs w:val="20"/>
                <w:lang w:bidi="fr-FR"/>
              </w:rPr>
              <w:lastRenderedPageBreak/>
              <w:t xml:space="preserve">Si vous avez répondu </w:t>
            </w:r>
            <w:r w:rsidRPr="004C529D">
              <w:rPr>
                <w:i/>
                <w:kern w:val="22"/>
                <w:sz w:val="20"/>
                <w:szCs w:val="20"/>
                <w:lang w:bidi="fr-FR"/>
              </w:rPr>
              <w:t>Oui</w:t>
            </w:r>
            <w:r w:rsidRPr="004C529D">
              <w:rPr>
                <w:kern w:val="22"/>
                <w:sz w:val="20"/>
                <w:szCs w:val="20"/>
                <w:lang w:bidi="fr-FR"/>
              </w:rPr>
              <w:t xml:space="preserve"> à la question 131, dans quels secteurs parmi les suivants ces activités ont-elles été entreprises (cocher toutes les cases pertinentes) ?</w:t>
            </w:r>
          </w:p>
        </w:tc>
        <w:tc>
          <w:tcPr>
            <w:tcW w:w="4556" w:type="dxa"/>
            <w:gridSpan w:val="3"/>
            <w:tcBorders>
              <w:right w:val="single" w:sz="4" w:space="0" w:color="auto"/>
            </w:tcBorders>
            <w:shd w:val="clear" w:color="auto" w:fill="FFFFFF"/>
            <w:vAlign w:val="center"/>
            <w:hideMark/>
          </w:tcPr>
          <w:p w14:paraId="02157886"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Capacités institutionnelles et ressources humaines</w:t>
            </w:r>
          </w:p>
          <w:p w14:paraId="0CBD7058"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Intégration de la prévention des risques biotechnologiques dans la législation, les politiques et les institutions intersectorielles et sectorielles (intégration de la prévention des risques biotechnologiques)</w:t>
            </w:r>
          </w:p>
          <w:p w14:paraId="5A8B9445"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Évaluation des risques et autre expertise scientifique et technique</w:t>
            </w:r>
          </w:p>
          <w:p w14:paraId="37C403A8"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Gestion des risques</w:t>
            </w:r>
          </w:p>
          <w:p w14:paraId="75CD2476"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Sensibilisation du public, participation et éducation sur la prévention des risques biotechnologiques</w:t>
            </w:r>
          </w:p>
          <w:p w14:paraId="59FCBA4D"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Échange d’informations et gestion des données, y compris la participation au Centre d’échange pour la prévention des risques biotechnologiques</w:t>
            </w:r>
          </w:p>
          <w:p w14:paraId="4F840A7E"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Collaboration scientifique, technique et institutionnelle aux niveaux infrarégional, régional et international</w:t>
            </w:r>
          </w:p>
          <w:p w14:paraId="17935A8B"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Transfert de technologie</w:t>
            </w:r>
          </w:p>
          <w:p w14:paraId="0B054703"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Identification des OVM, y compris leur détection</w:t>
            </w:r>
          </w:p>
          <w:p w14:paraId="648200A0"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Questions socioéconomiques</w:t>
            </w:r>
          </w:p>
          <w:p w14:paraId="6A5EDF5A"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Application des exigences en matière de documentation en vertu de l’article 18.2 du Protocole</w:t>
            </w:r>
          </w:p>
          <w:p w14:paraId="54AB68BE"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 xml:space="preserve">Manipulation de renseignements confidentiels </w:t>
            </w:r>
          </w:p>
          <w:p w14:paraId="4EDE3430"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Mesures pour traiter des mouvements transfrontières non intentionnels et/ou illicites d’OVM</w:t>
            </w:r>
          </w:p>
          <w:p w14:paraId="3D84F63F"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 xml:space="preserve">Recherche scientifique en </w:t>
            </w:r>
            <w:r>
              <w:rPr>
                <w:kern w:val="22"/>
                <w:sz w:val="20"/>
                <w:szCs w:val="20"/>
                <w:lang w:bidi="fr-FR"/>
              </w:rPr>
              <w:t xml:space="preserve">matière de </w:t>
            </w:r>
            <w:r w:rsidRPr="004C529D">
              <w:rPr>
                <w:kern w:val="22"/>
                <w:sz w:val="20"/>
                <w:szCs w:val="20"/>
                <w:lang w:bidi="fr-FR"/>
              </w:rPr>
              <w:t>prévention des risques biotechnologiques liés aux OVM</w:t>
            </w:r>
          </w:p>
          <w:p w14:paraId="30E79C70"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Prise en compte des risques pour la santé humaine</w:t>
            </w:r>
          </w:p>
          <w:p w14:paraId="40694E74"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Responsabilité et réparation</w:t>
            </w:r>
          </w:p>
          <w:p w14:paraId="22F382D9" w14:textId="77777777" w:rsidR="00952749" w:rsidRPr="004C529D" w:rsidRDefault="00952749" w:rsidP="009137A8">
            <w:pPr>
              <w:suppressLineNumbers/>
              <w:suppressAutoHyphens/>
              <w:kinsoku w:val="0"/>
              <w:overflowPunct w:val="0"/>
              <w:autoSpaceDE w:val="0"/>
              <w:autoSpaceDN w:val="0"/>
              <w:adjustRightInd w:val="0"/>
              <w:snapToGrid w:val="0"/>
              <w:spacing w:before="100" w:after="100"/>
              <w:ind w:left="613" w:hanging="601"/>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Autres :</w:t>
            </w:r>
            <w:r w:rsidRPr="004C529D">
              <w:rPr>
                <w:kern w:val="22"/>
                <w:sz w:val="20"/>
                <w:szCs w:val="20"/>
                <w:lang w:bidi="fr-FR"/>
              </w:rPr>
              <w:fldChar w:fldCharType="begin">
                <w:ffData>
                  <w:name w:val=""/>
                  <w:enabled/>
                  <w:calcOnExit w:val="0"/>
                  <w:textInput>
                    <w:default w:val="[Veuillez préciser]"/>
                  </w:textInput>
                </w:ffData>
              </w:fldChar>
            </w:r>
            <w:r w:rsidRPr="004C529D">
              <w:rPr>
                <w:kern w:val="22"/>
                <w:sz w:val="20"/>
                <w:szCs w:val="20"/>
                <w:lang w:bidi="fr-FR"/>
              </w:rPr>
              <w:instrText xml:space="preserve"> FORMTEXT </w:instrText>
            </w:r>
            <w:r w:rsidRPr="004C529D">
              <w:rPr>
                <w:kern w:val="22"/>
                <w:sz w:val="20"/>
                <w:szCs w:val="20"/>
                <w:lang w:bidi="fr-FR"/>
              </w:rPr>
            </w:r>
            <w:r w:rsidRPr="004C529D">
              <w:rPr>
                <w:kern w:val="22"/>
                <w:sz w:val="20"/>
                <w:szCs w:val="20"/>
                <w:lang w:bidi="fr-FR"/>
              </w:rPr>
              <w:fldChar w:fldCharType="separate"/>
            </w:r>
            <w:r w:rsidRPr="004C529D">
              <w:rPr>
                <w:noProof/>
                <w:kern w:val="22"/>
                <w:sz w:val="20"/>
                <w:szCs w:val="20"/>
                <w:lang w:bidi="fr-FR"/>
              </w:rPr>
              <w:t>[Veuillez préciser]</w:t>
            </w:r>
            <w:r w:rsidRPr="004C529D">
              <w:rPr>
                <w:kern w:val="22"/>
                <w:sz w:val="20"/>
                <w:szCs w:val="20"/>
                <w:lang w:bidi="fr-FR"/>
              </w:rPr>
              <w:fldChar w:fldCharType="end"/>
            </w:r>
          </w:p>
        </w:tc>
      </w:tr>
      <w:tr w:rsidR="00952749" w:rsidRPr="00E75FA6" w14:paraId="593E0D2A" w14:textId="77777777" w:rsidTr="009137A8">
        <w:trPr>
          <w:cantSplit/>
        </w:trPr>
        <w:tc>
          <w:tcPr>
            <w:tcW w:w="5046" w:type="dxa"/>
            <w:gridSpan w:val="4"/>
            <w:vAlign w:val="center"/>
            <w:hideMark/>
          </w:tcPr>
          <w:p w14:paraId="678DEC08" w14:textId="77777777" w:rsidR="00952749" w:rsidRPr="004C529D"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4C529D">
              <w:rPr>
                <w:kern w:val="22"/>
                <w:sz w:val="20"/>
                <w:szCs w:val="20"/>
                <w:lang w:bidi="fr-FR"/>
              </w:rPr>
              <w:t>Votre pays a-t-il mené une évaluation des besoins de création de capacités pendant la période visée par ce rapport ?</w:t>
            </w:r>
          </w:p>
        </w:tc>
        <w:tc>
          <w:tcPr>
            <w:tcW w:w="4556" w:type="dxa"/>
            <w:gridSpan w:val="3"/>
            <w:tcBorders>
              <w:right w:val="single" w:sz="4" w:space="0" w:color="auto"/>
            </w:tcBorders>
            <w:vAlign w:val="center"/>
            <w:hideMark/>
          </w:tcPr>
          <w:p w14:paraId="4AA4E49E"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Oui</w:t>
            </w:r>
          </w:p>
          <w:p w14:paraId="32E368F3"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Non</w:t>
            </w:r>
          </w:p>
        </w:tc>
      </w:tr>
      <w:tr w:rsidR="00952749" w:rsidRPr="00E75FA6" w14:paraId="32680C5B" w14:textId="77777777" w:rsidTr="009137A8">
        <w:trPr>
          <w:cantSplit/>
        </w:trPr>
        <w:tc>
          <w:tcPr>
            <w:tcW w:w="5046" w:type="dxa"/>
            <w:gridSpan w:val="4"/>
            <w:vAlign w:val="center"/>
            <w:hideMark/>
          </w:tcPr>
          <w:p w14:paraId="3C8BEAC3" w14:textId="77777777" w:rsidR="00952749" w:rsidRPr="004C529D"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4C529D">
              <w:rPr>
                <w:kern w:val="22"/>
                <w:sz w:val="20"/>
                <w:szCs w:val="20"/>
                <w:lang w:bidi="fr-FR"/>
              </w:rPr>
              <w:t>Votre pays a-t-il encore des besoins en matière de création de capacités ?</w:t>
            </w:r>
          </w:p>
        </w:tc>
        <w:tc>
          <w:tcPr>
            <w:tcW w:w="4556" w:type="dxa"/>
            <w:gridSpan w:val="3"/>
            <w:tcBorders>
              <w:right w:val="single" w:sz="4" w:space="0" w:color="auto"/>
            </w:tcBorders>
            <w:vAlign w:val="center"/>
            <w:hideMark/>
          </w:tcPr>
          <w:p w14:paraId="5EBA00E5"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Oui</w:t>
            </w:r>
          </w:p>
          <w:p w14:paraId="20C14B07"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Non</w:t>
            </w:r>
          </w:p>
        </w:tc>
      </w:tr>
      <w:tr w:rsidR="00952749" w:rsidRPr="00617C2F" w14:paraId="0E1516F1" w14:textId="77777777" w:rsidTr="009137A8">
        <w:trPr>
          <w:cantSplit/>
        </w:trPr>
        <w:tc>
          <w:tcPr>
            <w:tcW w:w="5046" w:type="dxa"/>
            <w:gridSpan w:val="4"/>
            <w:vAlign w:val="center"/>
            <w:hideMark/>
          </w:tcPr>
          <w:p w14:paraId="5CAEDD78" w14:textId="77777777" w:rsidR="00952749" w:rsidRPr="004C529D"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40" w:after="40"/>
              <w:ind w:left="540" w:right="490" w:hanging="540"/>
              <w:jc w:val="left"/>
              <w:rPr>
                <w:kern w:val="22"/>
                <w:sz w:val="20"/>
                <w:szCs w:val="20"/>
              </w:rPr>
            </w:pPr>
            <w:r w:rsidRPr="004C529D">
              <w:rPr>
                <w:kern w:val="22"/>
                <w:sz w:val="20"/>
                <w:szCs w:val="20"/>
                <w:lang w:bidi="fr-FR"/>
              </w:rPr>
              <w:lastRenderedPageBreak/>
              <w:t xml:space="preserve">Si vous avez répondu </w:t>
            </w:r>
            <w:r w:rsidRPr="004C529D">
              <w:rPr>
                <w:i/>
                <w:kern w:val="22"/>
                <w:sz w:val="20"/>
                <w:szCs w:val="20"/>
                <w:lang w:bidi="fr-FR"/>
              </w:rPr>
              <w:t>Oui</w:t>
            </w:r>
            <w:r w:rsidRPr="004C529D">
              <w:rPr>
                <w:kern w:val="22"/>
                <w:sz w:val="20"/>
                <w:szCs w:val="20"/>
                <w:lang w:bidi="fr-FR"/>
              </w:rPr>
              <w:t xml:space="preserve"> à la question 134, quelles activités parmi les suivantes exigent-elles encore une création de capacités (cocher toutes les cases pertinentes) ?</w:t>
            </w:r>
          </w:p>
          <w:p w14:paraId="3B731957" w14:textId="77777777" w:rsidR="00952749" w:rsidRPr="004C529D" w:rsidRDefault="00952749" w:rsidP="009137A8">
            <w:pPr>
              <w:suppressLineNumbers/>
              <w:suppressAutoHyphens/>
              <w:kinsoku w:val="0"/>
              <w:overflowPunct w:val="0"/>
              <w:autoSpaceDE w:val="0"/>
              <w:autoSpaceDN w:val="0"/>
              <w:adjustRightInd w:val="0"/>
              <w:snapToGrid w:val="0"/>
              <w:spacing w:before="120" w:after="120"/>
              <w:ind w:left="540" w:right="490"/>
              <w:jc w:val="left"/>
              <w:rPr>
                <w:iCs/>
                <w:kern w:val="22"/>
                <w:sz w:val="20"/>
                <w:szCs w:val="20"/>
              </w:rPr>
            </w:pPr>
          </w:p>
        </w:tc>
        <w:tc>
          <w:tcPr>
            <w:tcW w:w="4556" w:type="dxa"/>
            <w:gridSpan w:val="3"/>
            <w:tcBorders>
              <w:right w:val="single" w:sz="4" w:space="0" w:color="auto"/>
            </w:tcBorders>
            <w:vAlign w:val="center"/>
            <w:hideMark/>
          </w:tcPr>
          <w:p w14:paraId="499FE2CA"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Capacités institutionnelles et ressources humaines</w:t>
            </w:r>
          </w:p>
          <w:p w14:paraId="15CC4477"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Intégration de la prévention des risques biotechnologiques dans la législation, les politiques et les institutions intersectorielles et sectorielles (intégration de la prévention des risques biotechnologiques)</w:t>
            </w:r>
          </w:p>
          <w:p w14:paraId="586B3DFB"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Évaluation des risques et autre expertise scientifique et technique</w:t>
            </w:r>
          </w:p>
          <w:p w14:paraId="25359B3B"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Gestion des risques</w:t>
            </w:r>
          </w:p>
          <w:p w14:paraId="1490E022"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Sensibilisation du public, participation et éducation sur la prévention des risques biotechnologiques</w:t>
            </w:r>
          </w:p>
          <w:p w14:paraId="14F32696"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Échange d’informations et gestion des données, y compris la participation au Centre d’échange pour la prévention des risques biotechnologiques</w:t>
            </w:r>
          </w:p>
          <w:p w14:paraId="4F1BFEBD"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Collaboration scientifique, technique et institutionnelle aux niveaux infrarégional, régional et international</w:t>
            </w:r>
          </w:p>
          <w:p w14:paraId="000885FC"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Transfert de technologie</w:t>
            </w:r>
          </w:p>
          <w:p w14:paraId="6208C88C"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Échantillonnage, détection et identification des OVM</w:t>
            </w:r>
          </w:p>
          <w:p w14:paraId="06027EF4"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Questions socioéconomiques</w:t>
            </w:r>
          </w:p>
          <w:p w14:paraId="28CCFA75"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Mise en œuvre des exigences de documentation pour la manipulation, le transport, l'emballage et l'identification</w:t>
            </w:r>
          </w:p>
          <w:p w14:paraId="5AB12D99"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Manipulation de renseignements confidentiels</w:t>
            </w:r>
          </w:p>
          <w:p w14:paraId="5A2F3147"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Mesures pour traiter des mouvements transfrontières non intentionnels et/ou illicites d’OVM</w:t>
            </w:r>
          </w:p>
          <w:p w14:paraId="5F8263CE"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Recherche scientifique en prévention des risques biotechnologiques liés aux OVM</w:t>
            </w:r>
          </w:p>
          <w:p w14:paraId="283BCF12"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Prise en compte des risques pour la santé humaine</w:t>
            </w:r>
          </w:p>
          <w:p w14:paraId="1983BB56"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
                  <w:enabled/>
                  <w:calcOnExit/>
                  <w:checkBox>
                    <w:sizeAuto/>
                    <w:default w:val="0"/>
                    <w:checked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Responsabilité et réparation</w:t>
            </w:r>
          </w:p>
          <w:p w14:paraId="6DB684E4" w14:textId="77777777" w:rsidR="00952749" w:rsidRPr="004C529D" w:rsidRDefault="00952749" w:rsidP="009137A8">
            <w:pPr>
              <w:suppressLineNumbers/>
              <w:suppressAutoHyphens/>
              <w:kinsoku w:val="0"/>
              <w:overflowPunct w:val="0"/>
              <w:autoSpaceDE w:val="0"/>
              <w:autoSpaceDN w:val="0"/>
              <w:adjustRightInd w:val="0"/>
              <w:snapToGrid w:val="0"/>
              <w:spacing w:before="40" w:after="40"/>
              <w:ind w:left="612" w:hanging="601"/>
              <w:jc w:val="left"/>
              <w:rPr>
                <w:kern w:val="22"/>
                <w:sz w:val="20"/>
                <w:szCs w:val="20"/>
              </w:rPr>
            </w:pPr>
            <w:r w:rsidRPr="004C529D">
              <w:rPr>
                <w:kern w:val="22"/>
                <w:sz w:val="20"/>
                <w:szCs w:val="20"/>
                <w:lang w:bidi="fr-FR"/>
              </w:rPr>
              <w:fldChar w:fldCharType="begin">
                <w:ffData>
                  <w:name w:val="Check48"/>
                  <w:enabled/>
                  <w:calcOnExit w:val="0"/>
                  <w:checkBox>
                    <w:sizeAuto/>
                    <w:default w:val="0"/>
                  </w:checkBox>
                </w:ffData>
              </w:fldChar>
            </w:r>
            <w:r w:rsidRPr="004C529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4C529D">
              <w:rPr>
                <w:kern w:val="22"/>
                <w:sz w:val="20"/>
                <w:szCs w:val="20"/>
                <w:lang w:bidi="fr-FR"/>
              </w:rPr>
              <w:fldChar w:fldCharType="end"/>
            </w:r>
            <w:r w:rsidRPr="004C529D">
              <w:rPr>
                <w:kern w:val="22"/>
                <w:sz w:val="20"/>
                <w:szCs w:val="20"/>
                <w:lang w:bidi="fr-FR"/>
              </w:rPr>
              <w:tab/>
              <w:t>Autres :</w:t>
            </w:r>
            <w:r w:rsidRPr="004C529D">
              <w:rPr>
                <w:kern w:val="22"/>
                <w:sz w:val="20"/>
                <w:szCs w:val="20"/>
                <w:lang w:bidi="fr-FR"/>
              </w:rPr>
              <w:fldChar w:fldCharType="begin">
                <w:ffData>
                  <w:name w:val=""/>
                  <w:enabled/>
                  <w:calcOnExit w:val="0"/>
                  <w:textInput>
                    <w:default w:val="[Veuillez préciser]"/>
                  </w:textInput>
                </w:ffData>
              </w:fldChar>
            </w:r>
            <w:r w:rsidRPr="004C529D">
              <w:rPr>
                <w:kern w:val="22"/>
                <w:sz w:val="20"/>
                <w:szCs w:val="20"/>
                <w:lang w:bidi="fr-FR"/>
              </w:rPr>
              <w:instrText xml:space="preserve"> FORMTEXT </w:instrText>
            </w:r>
            <w:r w:rsidRPr="004C529D">
              <w:rPr>
                <w:kern w:val="22"/>
                <w:sz w:val="20"/>
                <w:szCs w:val="20"/>
                <w:lang w:bidi="fr-FR"/>
              </w:rPr>
            </w:r>
            <w:r w:rsidRPr="004C529D">
              <w:rPr>
                <w:kern w:val="22"/>
                <w:sz w:val="20"/>
                <w:szCs w:val="20"/>
                <w:lang w:bidi="fr-FR"/>
              </w:rPr>
              <w:fldChar w:fldCharType="separate"/>
            </w:r>
            <w:r w:rsidRPr="004C529D">
              <w:rPr>
                <w:noProof/>
                <w:kern w:val="22"/>
                <w:sz w:val="20"/>
                <w:szCs w:val="20"/>
                <w:lang w:bidi="fr-FR"/>
              </w:rPr>
              <w:t>[Veuillez préciser]</w:t>
            </w:r>
            <w:r w:rsidRPr="004C529D">
              <w:rPr>
                <w:kern w:val="22"/>
                <w:sz w:val="20"/>
                <w:szCs w:val="20"/>
                <w:lang w:bidi="fr-FR"/>
              </w:rPr>
              <w:fldChar w:fldCharType="end"/>
            </w:r>
          </w:p>
        </w:tc>
      </w:tr>
      <w:tr w:rsidR="00952749" w:rsidRPr="00E75FA6" w14:paraId="7B805094" w14:textId="77777777" w:rsidTr="009137A8">
        <w:trPr>
          <w:cantSplit/>
        </w:trPr>
        <w:tc>
          <w:tcPr>
            <w:tcW w:w="5046" w:type="dxa"/>
            <w:gridSpan w:val="4"/>
            <w:shd w:val="clear" w:color="auto" w:fill="FFFFFF"/>
            <w:vAlign w:val="center"/>
            <w:hideMark/>
          </w:tcPr>
          <w:p w14:paraId="5A1DD59E" w14:textId="77777777" w:rsidR="00952749" w:rsidRPr="00FE1CB2"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FE1CB2">
              <w:rPr>
                <w:kern w:val="22"/>
                <w:sz w:val="20"/>
                <w:szCs w:val="20"/>
                <w:lang w:bidi="fr-FR"/>
              </w:rPr>
              <w:t>Votre pays a-t-il développé une stratégie ou un plan d’action pour la création de capacités ?</w:t>
            </w:r>
          </w:p>
        </w:tc>
        <w:tc>
          <w:tcPr>
            <w:tcW w:w="4556" w:type="dxa"/>
            <w:gridSpan w:val="3"/>
            <w:tcBorders>
              <w:right w:val="single" w:sz="4" w:space="0" w:color="auto"/>
            </w:tcBorders>
            <w:shd w:val="clear" w:color="auto" w:fill="FFFFFF"/>
            <w:vAlign w:val="center"/>
            <w:hideMark/>
          </w:tcPr>
          <w:p w14:paraId="459905D6" w14:textId="77777777" w:rsidR="00952749" w:rsidRPr="00FE1CB2" w:rsidRDefault="00952749" w:rsidP="009137A8">
            <w:pPr>
              <w:suppressLineNumbers/>
              <w:suppressAutoHyphens/>
              <w:kinsoku w:val="0"/>
              <w:overflowPunct w:val="0"/>
              <w:autoSpaceDE w:val="0"/>
              <w:autoSpaceDN w:val="0"/>
              <w:adjustRightInd w:val="0"/>
              <w:snapToGrid w:val="0"/>
              <w:spacing w:before="120" w:after="120"/>
              <w:ind w:right="490"/>
              <w:rPr>
                <w:kern w:val="22"/>
                <w:sz w:val="20"/>
                <w:szCs w:val="20"/>
              </w:rPr>
            </w:pPr>
            <w:r w:rsidRPr="00FE1CB2">
              <w:rPr>
                <w:kern w:val="22"/>
                <w:sz w:val="20"/>
                <w:szCs w:val="20"/>
                <w:lang w:bidi="fr-FR"/>
              </w:rPr>
              <w:fldChar w:fldCharType="begin">
                <w:ffData>
                  <w:name w:val="Check48"/>
                  <w:enabled/>
                  <w:calcOnExit w:val="0"/>
                  <w:checkBox>
                    <w:sizeAuto/>
                    <w:default w:val="0"/>
                  </w:checkBox>
                </w:ffData>
              </w:fldChar>
            </w:r>
            <w:r w:rsidRPr="00FE1CB2">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FE1CB2">
              <w:rPr>
                <w:kern w:val="22"/>
                <w:sz w:val="20"/>
                <w:szCs w:val="20"/>
                <w:lang w:bidi="fr-FR"/>
              </w:rPr>
              <w:fldChar w:fldCharType="end"/>
            </w:r>
            <w:r w:rsidRPr="00FE1CB2">
              <w:rPr>
                <w:kern w:val="22"/>
                <w:sz w:val="20"/>
                <w:szCs w:val="20"/>
                <w:lang w:bidi="fr-FR"/>
              </w:rPr>
              <w:tab/>
              <w:t>Oui</w:t>
            </w:r>
          </w:p>
          <w:p w14:paraId="1A81AAC0" w14:textId="77777777" w:rsidR="00952749" w:rsidRPr="00FE1CB2" w:rsidRDefault="00952749" w:rsidP="009137A8">
            <w:pPr>
              <w:suppressLineNumbers/>
              <w:suppressAutoHyphens/>
              <w:kinsoku w:val="0"/>
              <w:overflowPunct w:val="0"/>
              <w:autoSpaceDE w:val="0"/>
              <w:autoSpaceDN w:val="0"/>
              <w:adjustRightInd w:val="0"/>
              <w:snapToGrid w:val="0"/>
              <w:spacing w:before="120" w:after="120"/>
              <w:ind w:right="490"/>
              <w:rPr>
                <w:kern w:val="22"/>
                <w:sz w:val="20"/>
                <w:szCs w:val="20"/>
              </w:rPr>
            </w:pPr>
            <w:r w:rsidRPr="00FE1CB2">
              <w:rPr>
                <w:kern w:val="22"/>
                <w:sz w:val="20"/>
                <w:szCs w:val="20"/>
                <w:lang w:bidi="fr-FR"/>
              </w:rPr>
              <w:fldChar w:fldCharType="begin">
                <w:ffData>
                  <w:name w:val="Check48"/>
                  <w:enabled/>
                  <w:calcOnExit w:val="0"/>
                  <w:checkBox>
                    <w:sizeAuto/>
                    <w:default w:val="0"/>
                  </w:checkBox>
                </w:ffData>
              </w:fldChar>
            </w:r>
            <w:r w:rsidRPr="00FE1CB2">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FE1CB2">
              <w:rPr>
                <w:kern w:val="22"/>
                <w:sz w:val="20"/>
                <w:szCs w:val="20"/>
                <w:lang w:bidi="fr-FR"/>
              </w:rPr>
              <w:fldChar w:fldCharType="end"/>
            </w:r>
            <w:r w:rsidRPr="00FE1CB2">
              <w:rPr>
                <w:kern w:val="22"/>
                <w:sz w:val="20"/>
                <w:szCs w:val="20"/>
                <w:lang w:bidi="fr-FR"/>
              </w:rPr>
              <w:tab/>
              <w:t>Non</w:t>
            </w:r>
          </w:p>
        </w:tc>
      </w:tr>
      <w:tr w:rsidR="00952749" w:rsidRPr="00E75FA6" w14:paraId="4F6F2D1A" w14:textId="77777777" w:rsidTr="009137A8">
        <w:trPr>
          <w:cantSplit/>
        </w:trPr>
        <w:tc>
          <w:tcPr>
            <w:tcW w:w="5046" w:type="dxa"/>
            <w:gridSpan w:val="4"/>
            <w:vAlign w:val="center"/>
            <w:hideMark/>
          </w:tcPr>
          <w:p w14:paraId="04A02CE3" w14:textId="77777777" w:rsidR="00952749" w:rsidRPr="00FE1CB2"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FE1CB2">
              <w:rPr>
                <w:kern w:val="22"/>
                <w:sz w:val="20"/>
                <w:szCs w:val="20"/>
                <w:lang w:bidi="fr-FR"/>
              </w:rPr>
              <w:t>Votre pays a-t-il mis en place un mécanisme national opérationnel de coordination des initiatives de création de capacités en matière de prévention des risques biotechnologiques ?</w:t>
            </w:r>
          </w:p>
        </w:tc>
        <w:tc>
          <w:tcPr>
            <w:tcW w:w="4556" w:type="dxa"/>
            <w:gridSpan w:val="3"/>
            <w:tcBorders>
              <w:right w:val="single" w:sz="4" w:space="0" w:color="auto"/>
            </w:tcBorders>
            <w:vAlign w:val="center"/>
            <w:hideMark/>
          </w:tcPr>
          <w:p w14:paraId="0FE6C254" w14:textId="77777777" w:rsidR="00952749" w:rsidRPr="00FE1CB2" w:rsidRDefault="00952749" w:rsidP="009137A8">
            <w:pPr>
              <w:suppressLineNumbers/>
              <w:suppressAutoHyphens/>
              <w:kinsoku w:val="0"/>
              <w:overflowPunct w:val="0"/>
              <w:autoSpaceDE w:val="0"/>
              <w:autoSpaceDN w:val="0"/>
              <w:adjustRightInd w:val="0"/>
              <w:snapToGrid w:val="0"/>
              <w:spacing w:before="120" w:after="120"/>
              <w:jc w:val="left"/>
              <w:rPr>
                <w:kern w:val="22"/>
                <w:sz w:val="20"/>
                <w:szCs w:val="20"/>
              </w:rPr>
            </w:pPr>
            <w:r w:rsidRPr="00FE1CB2">
              <w:rPr>
                <w:kern w:val="22"/>
                <w:sz w:val="20"/>
                <w:szCs w:val="20"/>
                <w:lang w:bidi="fr-FR"/>
              </w:rPr>
              <w:fldChar w:fldCharType="begin">
                <w:ffData>
                  <w:name w:val="Check48"/>
                  <w:enabled/>
                  <w:calcOnExit w:val="0"/>
                  <w:checkBox>
                    <w:sizeAuto/>
                    <w:default w:val="0"/>
                  </w:checkBox>
                </w:ffData>
              </w:fldChar>
            </w:r>
            <w:r w:rsidRPr="00FE1CB2">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FE1CB2">
              <w:rPr>
                <w:kern w:val="22"/>
                <w:sz w:val="20"/>
                <w:szCs w:val="20"/>
                <w:lang w:bidi="fr-FR"/>
              </w:rPr>
              <w:fldChar w:fldCharType="end"/>
            </w:r>
            <w:r w:rsidRPr="00FE1CB2">
              <w:rPr>
                <w:kern w:val="22"/>
                <w:sz w:val="20"/>
                <w:szCs w:val="20"/>
                <w:lang w:bidi="fr-FR"/>
              </w:rPr>
              <w:tab/>
              <w:t>Oui</w:t>
            </w:r>
          </w:p>
          <w:p w14:paraId="22B9DD65" w14:textId="77777777" w:rsidR="00952749" w:rsidRPr="00FE1CB2" w:rsidRDefault="00952749" w:rsidP="009137A8">
            <w:pPr>
              <w:suppressLineNumbers/>
              <w:suppressAutoHyphens/>
              <w:kinsoku w:val="0"/>
              <w:overflowPunct w:val="0"/>
              <w:autoSpaceDE w:val="0"/>
              <w:autoSpaceDN w:val="0"/>
              <w:adjustRightInd w:val="0"/>
              <w:snapToGrid w:val="0"/>
              <w:spacing w:before="120" w:after="120"/>
              <w:jc w:val="left"/>
              <w:rPr>
                <w:kern w:val="22"/>
                <w:sz w:val="20"/>
                <w:szCs w:val="20"/>
              </w:rPr>
            </w:pPr>
            <w:r w:rsidRPr="00FE1CB2">
              <w:rPr>
                <w:kern w:val="22"/>
                <w:sz w:val="20"/>
                <w:szCs w:val="20"/>
                <w:lang w:bidi="fr-FR"/>
              </w:rPr>
              <w:fldChar w:fldCharType="begin">
                <w:ffData>
                  <w:name w:val="Check48"/>
                  <w:enabled/>
                  <w:calcOnExit w:val="0"/>
                  <w:checkBox>
                    <w:sizeAuto/>
                    <w:default w:val="0"/>
                  </w:checkBox>
                </w:ffData>
              </w:fldChar>
            </w:r>
            <w:r w:rsidRPr="00FE1CB2">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FE1CB2">
              <w:rPr>
                <w:kern w:val="22"/>
                <w:sz w:val="20"/>
                <w:szCs w:val="20"/>
                <w:lang w:bidi="fr-FR"/>
              </w:rPr>
              <w:fldChar w:fldCharType="end"/>
            </w:r>
            <w:r w:rsidRPr="00FE1CB2">
              <w:rPr>
                <w:kern w:val="22"/>
                <w:sz w:val="20"/>
                <w:szCs w:val="20"/>
                <w:lang w:bidi="fr-FR"/>
              </w:rPr>
              <w:tab/>
              <w:t>Non</w:t>
            </w:r>
          </w:p>
        </w:tc>
      </w:tr>
      <w:tr w:rsidR="00952749" w:rsidRPr="00E75FA6" w14:paraId="4D95B53B" w14:textId="77777777" w:rsidTr="009137A8">
        <w:trPr>
          <w:cantSplit/>
        </w:trPr>
        <w:tc>
          <w:tcPr>
            <w:tcW w:w="9602" w:type="dxa"/>
            <w:gridSpan w:val="7"/>
            <w:tcBorders>
              <w:right w:val="single" w:sz="4" w:space="0" w:color="auto"/>
            </w:tcBorders>
            <w:vAlign w:val="center"/>
            <w:hideMark/>
          </w:tcPr>
          <w:p w14:paraId="77222E3C" w14:textId="77777777" w:rsidR="00952749" w:rsidRPr="00FE1CB2"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FE1CB2">
              <w:rPr>
                <w:kern w:val="22"/>
                <w:sz w:val="20"/>
                <w:szCs w:val="20"/>
                <w:lang w:bidi="fr-FR"/>
              </w:rPr>
              <w:t>Vous pouvez fournir de plus amples détails sur l’application de l’article 22 dans votre pays, y compris votre utilisation du processus d’obtention de fonds du FEM, dans la case suivante :</w:t>
            </w:r>
          </w:p>
          <w:p w14:paraId="7554B44C" w14:textId="77777777" w:rsidR="00952749" w:rsidRPr="00FE1CB2" w:rsidRDefault="00952749" w:rsidP="009137A8">
            <w:pPr>
              <w:suppressLineNumbers/>
              <w:suppressAutoHyphens/>
              <w:kinsoku w:val="0"/>
              <w:overflowPunct w:val="0"/>
              <w:autoSpaceDE w:val="0"/>
              <w:autoSpaceDN w:val="0"/>
              <w:adjustRightInd w:val="0"/>
              <w:snapToGrid w:val="0"/>
              <w:spacing w:before="120" w:after="120"/>
              <w:ind w:left="567" w:right="6"/>
              <w:rPr>
                <w:kern w:val="22"/>
                <w:sz w:val="20"/>
                <w:szCs w:val="20"/>
              </w:rPr>
            </w:pPr>
            <w:r w:rsidRPr="00FE1CB2">
              <w:rPr>
                <w:kern w:val="22"/>
                <w:sz w:val="20"/>
                <w:szCs w:val="20"/>
                <w:lang w:bidi="fr-FR"/>
              </w:rPr>
              <w:fldChar w:fldCharType="begin">
                <w:ffData>
                  <w:name w:val=""/>
                  <w:enabled/>
                  <w:calcOnExit w:val="0"/>
                  <w:textInput>
                    <w:default w:val="[                                                      Saisissez votre texte ici                                                       ]"/>
                  </w:textInput>
                </w:ffData>
              </w:fldChar>
            </w:r>
            <w:r w:rsidRPr="00FE1CB2">
              <w:rPr>
                <w:kern w:val="22"/>
                <w:sz w:val="20"/>
                <w:szCs w:val="20"/>
                <w:lang w:bidi="fr-FR"/>
              </w:rPr>
              <w:instrText xml:space="preserve"> FORMTEXT </w:instrText>
            </w:r>
            <w:r w:rsidRPr="00FE1CB2">
              <w:rPr>
                <w:kern w:val="22"/>
                <w:sz w:val="20"/>
                <w:szCs w:val="20"/>
                <w:lang w:bidi="fr-FR"/>
              </w:rPr>
            </w:r>
            <w:r w:rsidRPr="00FE1CB2">
              <w:rPr>
                <w:kern w:val="22"/>
                <w:sz w:val="20"/>
                <w:szCs w:val="20"/>
                <w:lang w:bidi="fr-FR"/>
              </w:rPr>
              <w:fldChar w:fldCharType="separate"/>
            </w:r>
            <w:r w:rsidRPr="00FE1CB2">
              <w:rPr>
                <w:noProof/>
                <w:kern w:val="22"/>
                <w:sz w:val="20"/>
                <w:szCs w:val="20"/>
                <w:lang w:bidi="fr-FR"/>
              </w:rPr>
              <w:t>[                                                      Saisissez votre texte ici                                                       ]</w:t>
            </w:r>
            <w:r w:rsidRPr="00FE1CB2">
              <w:rPr>
                <w:kern w:val="22"/>
                <w:sz w:val="20"/>
                <w:szCs w:val="20"/>
                <w:lang w:bidi="fr-FR"/>
              </w:rPr>
              <w:fldChar w:fldCharType="end"/>
            </w:r>
          </w:p>
        </w:tc>
      </w:tr>
    </w:tbl>
    <w:p w14:paraId="03566863" w14:textId="77777777" w:rsidR="00952749" w:rsidRPr="00BF360F" w:rsidRDefault="00952749" w:rsidP="00952749">
      <w:pPr>
        <w:shd w:val="clear" w:color="auto" w:fill="FFFFFF" w:themeFill="background1"/>
        <w:rPr>
          <w:kern w:val="22"/>
          <w:sz w:val="20"/>
          <w:szCs w:val="20"/>
        </w:rPr>
      </w:pPr>
    </w:p>
    <w:p w14:paraId="24EF4A2D" w14:textId="77777777" w:rsidR="00952749" w:rsidRPr="00BF360F" w:rsidRDefault="00952749" w:rsidP="00952749">
      <w:pPr>
        <w:shd w:val="clear" w:color="auto" w:fill="FFFFFF" w:themeFill="background1"/>
        <w:rPr>
          <w:kern w:val="2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64"/>
        <w:gridCol w:w="4688"/>
      </w:tblGrid>
      <w:tr w:rsidR="00952749" w:rsidRPr="00617C2F" w14:paraId="347CCC34" w14:textId="77777777" w:rsidTr="009137A8">
        <w:trPr>
          <w:cantSplit/>
        </w:trPr>
        <w:tc>
          <w:tcPr>
            <w:tcW w:w="9600" w:type="dxa"/>
            <w:gridSpan w:val="2"/>
            <w:tcBorders>
              <w:right w:val="single" w:sz="4" w:space="0" w:color="auto"/>
            </w:tcBorders>
            <w:vAlign w:val="center"/>
            <w:hideMark/>
          </w:tcPr>
          <w:p w14:paraId="0AFD5A45" w14:textId="77777777" w:rsidR="00952749" w:rsidRPr="00BF360F"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BF360F">
              <w:rPr>
                <w:b/>
                <w:kern w:val="22"/>
                <w:sz w:val="20"/>
                <w:szCs w:val="20"/>
              </w:rPr>
              <w:lastRenderedPageBreak/>
              <w:t>Article 23 – Sensibilisation et participation du public</w:t>
            </w:r>
          </w:p>
        </w:tc>
      </w:tr>
      <w:tr w:rsidR="00952749" w:rsidRPr="00BF360F" w14:paraId="1C433523" w14:textId="77777777" w:rsidTr="009137A8">
        <w:trPr>
          <w:cantSplit/>
        </w:trPr>
        <w:tc>
          <w:tcPr>
            <w:tcW w:w="4839" w:type="dxa"/>
            <w:shd w:val="clear" w:color="auto" w:fill="auto"/>
            <w:vAlign w:val="center"/>
            <w:hideMark/>
          </w:tcPr>
          <w:p w14:paraId="32B2B724" w14:textId="77777777" w:rsidR="00952749" w:rsidRPr="00BF360F" w:rsidRDefault="00952749" w:rsidP="004C7DBD">
            <w:pPr>
              <w:numPr>
                <w:ilvl w:val="0"/>
                <w:numId w:val="3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BF360F">
              <w:rPr>
                <w:kern w:val="22"/>
                <w:sz w:val="20"/>
                <w:szCs w:val="20"/>
                <w:lang w:bidi="fr-FR"/>
              </w:rPr>
              <w:t>La sensibilisation, l'éducation ou la participation du public à la prévention des risques biotechnologiques sont-elles prises en compte dans la législation ou la politique de votre pays </w:t>
            </w:r>
            <w:r w:rsidRPr="00BF360F">
              <w:rPr>
                <w:kern w:val="22"/>
                <w:sz w:val="20"/>
                <w:szCs w:val="20"/>
              </w:rPr>
              <w:t>?</w:t>
            </w:r>
          </w:p>
        </w:tc>
        <w:tc>
          <w:tcPr>
            <w:tcW w:w="4761" w:type="dxa"/>
            <w:tcBorders>
              <w:right w:val="single" w:sz="4" w:space="0" w:color="auto"/>
            </w:tcBorders>
            <w:shd w:val="clear" w:color="auto" w:fill="auto"/>
            <w:vAlign w:val="center"/>
            <w:hideMark/>
          </w:tcPr>
          <w:p w14:paraId="0D28A82A"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BF360F">
              <w:rPr>
                <w:kern w:val="22"/>
                <w:sz w:val="20"/>
                <w:szCs w:val="20"/>
              </w:rPr>
              <w:fldChar w:fldCharType="begin">
                <w:ffData>
                  <w:name w:val="Check48"/>
                  <w:enabled/>
                  <w:calcOnExit w:val="0"/>
                  <w:checkBox>
                    <w:sizeAuto/>
                    <w:default w:val="0"/>
                  </w:checkBox>
                </w:ffData>
              </w:fldChar>
            </w:r>
            <w:r w:rsidRPr="00BF360F">
              <w:rPr>
                <w:kern w:val="22"/>
                <w:sz w:val="20"/>
                <w:szCs w:val="20"/>
              </w:rPr>
              <w:instrText xml:space="preserve"> FORMCHECKBOX </w:instrText>
            </w:r>
            <w:r w:rsidR="00FD5889">
              <w:rPr>
                <w:kern w:val="22"/>
                <w:sz w:val="20"/>
                <w:szCs w:val="20"/>
              </w:rPr>
            </w:r>
            <w:r w:rsidR="00FD5889">
              <w:rPr>
                <w:kern w:val="22"/>
                <w:sz w:val="20"/>
                <w:szCs w:val="20"/>
              </w:rPr>
              <w:fldChar w:fldCharType="separate"/>
            </w:r>
            <w:r w:rsidRPr="00BF360F">
              <w:rPr>
                <w:kern w:val="22"/>
                <w:sz w:val="20"/>
                <w:szCs w:val="20"/>
              </w:rPr>
              <w:fldChar w:fldCharType="end"/>
            </w:r>
            <w:r w:rsidRPr="00BF360F">
              <w:rPr>
                <w:kern w:val="22"/>
                <w:sz w:val="20"/>
                <w:szCs w:val="20"/>
              </w:rPr>
              <w:tab/>
            </w:r>
            <w:r w:rsidRPr="00BF360F">
              <w:rPr>
                <w:kern w:val="22"/>
                <w:sz w:val="20"/>
                <w:szCs w:val="20"/>
                <w:lang w:bidi="fr-FR"/>
              </w:rPr>
              <w:t>Oui</w:t>
            </w:r>
          </w:p>
          <w:p w14:paraId="6BC7FCB1" w14:textId="77777777" w:rsidR="00952749" w:rsidRPr="00BF360F"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r>
            <w:r w:rsidRPr="00BF360F">
              <w:rPr>
                <w:kern w:val="22"/>
                <w:sz w:val="20"/>
                <w:szCs w:val="20"/>
              </w:rPr>
              <w:t xml:space="preserve">Oui, dans une certaine mesure </w:t>
            </w:r>
            <w:r w:rsidRPr="00BF360F">
              <w:rPr>
                <w:kern w:val="22"/>
                <w:sz w:val="20"/>
                <w:szCs w:val="20"/>
                <w:highlight w:val="lightGray"/>
              </w:rPr>
              <w:t>[Veuillez préciser]</w:t>
            </w:r>
          </w:p>
          <w:p w14:paraId="7235FD4C" w14:textId="77777777" w:rsidR="00952749" w:rsidRPr="00BF360F"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BF360F">
              <w:rPr>
                <w:kern w:val="22"/>
                <w:sz w:val="20"/>
                <w:szCs w:val="20"/>
                <w:lang w:bidi="fr-FR"/>
              </w:rPr>
              <w:fldChar w:fldCharType="begin">
                <w:ffData>
                  <w:name w:val="Check48"/>
                  <w:enabled/>
                  <w:calcOnExit w:val="0"/>
                  <w:checkBox>
                    <w:sizeAuto/>
                    <w:default w:val="0"/>
                  </w:checkBox>
                </w:ffData>
              </w:fldChar>
            </w:r>
            <w:r w:rsidRPr="00BF360F">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BF360F">
              <w:rPr>
                <w:kern w:val="22"/>
                <w:sz w:val="20"/>
                <w:szCs w:val="20"/>
                <w:lang w:bidi="fr-FR"/>
              </w:rPr>
              <w:fldChar w:fldCharType="end"/>
            </w:r>
            <w:r w:rsidRPr="00BF360F">
              <w:rPr>
                <w:kern w:val="22"/>
                <w:sz w:val="20"/>
                <w:szCs w:val="20"/>
                <w:lang w:bidi="fr-FR"/>
              </w:rPr>
              <w:tab/>
              <w:t>Non</w:t>
            </w:r>
          </w:p>
        </w:tc>
      </w:tr>
      <w:tr w:rsidR="00952749" w:rsidRPr="006C590E" w14:paraId="1DF02C30" w14:textId="77777777" w:rsidTr="009137A8">
        <w:trPr>
          <w:cantSplit/>
        </w:trPr>
        <w:tc>
          <w:tcPr>
            <w:tcW w:w="4839" w:type="dxa"/>
            <w:vAlign w:val="center"/>
            <w:hideMark/>
          </w:tcPr>
          <w:p w14:paraId="595A422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le présent rapport, votre pays a-t-il coopéré avec d'autres États et organismes internationaux en matière de sensibilisation, d'éducation et de participation du public ?</w:t>
            </w:r>
          </w:p>
        </w:tc>
        <w:tc>
          <w:tcPr>
            <w:tcW w:w="4761" w:type="dxa"/>
            <w:tcBorders>
              <w:right w:val="single" w:sz="4" w:space="0" w:color="auto"/>
            </w:tcBorders>
            <w:vAlign w:val="center"/>
            <w:hideMark/>
          </w:tcPr>
          <w:p w14:paraId="76A9969B" w14:textId="77777777" w:rsidR="00952749" w:rsidRPr="006C590E" w:rsidRDefault="00952749" w:rsidP="009137A8">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6303A57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6F918CA" w14:textId="77777777" w:rsidTr="009137A8">
        <w:trPr>
          <w:cantSplit/>
        </w:trPr>
        <w:tc>
          <w:tcPr>
            <w:tcW w:w="4839" w:type="dxa"/>
            <w:hideMark/>
          </w:tcPr>
          <w:p w14:paraId="21DBF260"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établi un mécanisme pour assurer l'accès du public aux informations sur les organismes vivants modifiés ?</w:t>
            </w:r>
            <w:r w:rsidRPr="006C590E">
              <w:rPr>
                <w:kern w:val="22"/>
                <w:sz w:val="20"/>
                <w:szCs w:val="20"/>
                <w:lang w:bidi="fr-FR"/>
              </w:rPr>
              <w:br w:type="page"/>
            </w:r>
          </w:p>
        </w:tc>
        <w:tc>
          <w:tcPr>
            <w:tcW w:w="4761" w:type="dxa"/>
            <w:tcBorders>
              <w:right w:val="single" w:sz="4" w:space="0" w:color="auto"/>
            </w:tcBorders>
            <w:vAlign w:val="center"/>
            <w:hideMark/>
          </w:tcPr>
          <w:p w14:paraId="0DEE048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F31471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20826F6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9A0A5D9" w14:textId="77777777" w:rsidTr="009137A8">
        <w:trPr>
          <w:cantSplit/>
        </w:trPr>
        <w:tc>
          <w:tcPr>
            <w:tcW w:w="4839" w:type="dxa"/>
            <w:vAlign w:val="center"/>
            <w:hideMark/>
          </w:tcPr>
          <w:p w14:paraId="5D38CAB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mis en place une stratégie de communication nationale sur la prévention des risques biotechnologiques ?</w:t>
            </w:r>
          </w:p>
        </w:tc>
        <w:tc>
          <w:tcPr>
            <w:tcW w:w="4761" w:type="dxa"/>
            <w:tcBorders>
              <w:right w:val="single" w:sz="4" w:space="0" w:color="auto"/>
            </w:tcBorders>
            <w:vAlign w:val="center"/>
            <w:hideMark/>
          </w:tcPr>
          <w:p w14:paraId="66C56CF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3EF289E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504A9E13" w14:textId="77777777" w:rsidTr="009137A8">
        <w:trPr>
          <w:cantSplit/>
        </w:trPr>
        <w:tc>
          <w:tcPr>
            <w:tcW w:w="4839" w:type="dxa"/>
            <w:shd w:val="clear" w:color="auto" w:fill="FFFFFF"/>
            <w:vAlign w:val="center"/>
            <w:hideMark/>
          </w:tcPr>
          <w:p w14:paraId="2307749D"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des programmes de sensibilisation et d'information sur la prévention des risques biotechnologiques ?</w:t>
            </w:r>
          </w:p>
        </w:tc>
        <w:tc>
          <w:tcPr>
            <w:tcW w:w="4761" w:type="dxa"/>
            <w:tcBorders>
              <w:right w:val="single" w:sz="4" w:space="0" w:color="auto"/>
            </w:tcBorders>
            <w:shd w:val="clear" w:color="auto" w:fill="FFFFFF"/>
            <w:vAlign w:val="center"/>
            <w:hideMark/>
          </w:tcPr>
          <w:p w14:paraId="70116B65" w14:textId="77777777" w:rsidR="00952749" w:rsidRPr="006C590E" w:rsidRDefault="00952749" w:rsidP="009137A8">
            <w:pPr>
              <w:suppressLineNumbers/>
              <w:suppressAutoHyphens/>
              <w:kinsoku w:val="0"/>
              <w:overflowPunct w:val="0"/>
              <w:autoSpaceDE w:val="0"/>
              <w:autoSpaceDN w:val="0"/>
              <w:adjustRightInd w:val="0"/>
              <w:snapToGrid w:val="0"/>
              <w:spacing w:before="40" w:after="40"/>
              <w:ind w:left="715" w:hanging="703"/>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6752030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7917C57" w14:textId="77777777" w:rsidTr="009137A8">
        <w:trPr>
          <w:cantSplit/>
        </w:trPr>
        <w:tc>
          <w:tcPr>
            <w:tcW w:w="4839" w:type="dxa"/>
            <w:vAlign w:val="center"/>
            <w:hideMark/>
          </w:tcPr>
          <w:p w14:paraId="599F0EC6"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dispose-t-il actuellement d'un site web national sur la prévention des risques biotechnologiques ?</w:t>
            </w:r>
          </w:p>
        </w:tc>
        <w:tc>
          <w:tcPr>
            <w:tcW w:w="4761" w:type="dxa"/>
            <w:tcBorders>
              <w:right w:val="single" w:sz="4" w:space="0" w:color="auto"/>
            </w:tcBorders>
            <w:vAlign w:val="center"/>
            <w:hideMark/>
          </w:tcPr>
          <w:p w14:paraId="4606B3E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0A303C9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5B0ABED9" w14:textId="77777777" w:rsidTr="009137A8">
        <w:trPr>
          <w:cantSplit/>
        </w:trPr>
        <w:tc>
          <w:tcPr>
            <w:tcW w:w="4839" w:type="dxa"/>
            <w:vAlign w:val="center"/>
            <w:hideMark/>
          </w:tcPr>
          <w:p w14:paraId="235C0FB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Combien d'institutions universitaires dans votre pays proposent des cours et programmes de formation en matière de prévention des risques biotechnologiques ?</w:t>
            </w:r>
          </w:p>
        </w:tc>
        <w:tc>
          <w:tcPr>
            <w:tcW w:w="4761" w:type="dxa"/>
            <w:tcBorders>
              <w:right w:val="single" w:sz="4" w:space="0" w:color="auto"/>
            </w:tcBorders>
            <w:vAlign w:val="center"/>
            <w:hideMark/>
          </w:tcPr>
          <w:p w14:paraId="1DD4A28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016ABE0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7707D3F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025CE13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ou plus</w:t>
            </w:r>
          </w:p>
          <w:p w14:paraId="4038B87F"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i/>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17C2F" w14:paraId="763C1294" w14:textId="77777777" w:rsidTr="009137A8">
        <w:trPr>
          <w:cantSplit/>
        </w:trPr>
        <w:tc>
          <w:tcPr>
            <w:tcW w:w="4839" w:type="dxa"/>
            <w:vAlign w:val="center"/>
            <w:hideMark/>
          </w:tcPr>
          <w:p w14:paraId="46486C1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Combien de matériels pédagogiques ou de modules en ligne sur la prévention des risques biotechnologiques sont-ils disponibles et accessibles au public dans votre pays ?</w:t>
            </w:r>
          </w:p>
        </w:tc>
        <w:tc>
          <w:tcPr>
            <w:tcW w:w="4761" w:type="dxa"/>
            <w:tcBorders>
              <w:right w:val="single" w:sz="4" w:space="0" w:color="auto"/>
            </w:tcBorders>
            <w:vAlign w:val="center"/>
            <w:hideMark/>
          </w:tcPr>
          <w:p w14:paraId="63677F5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148D871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1484970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3DA2FCA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24</w:t>
            </w:r>
          </w:p>
          <w:p w14:paraId="30C357F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25 à 99</w:t>
            </w:r>
          </w:p>
          <w:p w14:paraId="5112EC5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ou plus</w:t>
            </w:r>
          </w:p>
          <w:p w14:paraId="5E0162E7"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jc w:val="left"/>
              <w:rPr>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C590E" w14:paraId="51D677AB" w14:textId="77777777" w:rsidTr="009137A8">
        <w:trPr>
          <w:cantSplit/>
        </w:trPr>
        <w:tc>
          <w:tcPr>
            <w:tcW w:w="4839" w:type="dxa"/>
            <w:shd w:val="clear" w:color="auto" w:fill="FFFFFF"/>
            <w:vAlign w:val="center"/>
            <w:hideMark/>
          </w:tcPr>
          <w:p w14:paraId="79A1AFB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Votre pays a-t-il établi un mécanisme de consultation du public dans le cadre du processus décisionnel relatif aux OVM ?</w:t>
            </w:r>
          </w:p>
        </w:tc>
        <w:tc>
          <w:tcPr>
            <w:tcW w:w="4761" w:type="dxa"/>
            <w:tcBorders>
              <w:right w:val="single" w:sz="4" w:space="0" w:color="auto"/>
            </w:tcBorders>
            <w:shd w:val="clear" w:color="auto" w:fill="FFFFFF"/>
            <w:vAlign w:val="center"/>
            <w:hideMark/>
          </w:tcPr>
          <w:p w14:paraId="4ADF451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269769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52F666E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2BF31F46" w14:textId="77777777" w:rsidTr="009137A8">
        <w:trPr>
          <w:cantSplit/>
        </w:trPr>
        <w:tc>
          <w:tcPr>
            <w:tcW w:w="4839" w:type="dxa"/>
            <w:vAlign w:val="center"/>
            <w:hideMark/>
          </w:tcPr>
          <w:p w14:paraId="2BB9CD77"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Votre pays a-t-il informé le public sur les modalités existantes pour la participation du public dans le processus de prise de décisions relatives aux organismes vivants modifiés ?</w:t>
            </w:r>
          </w:p>
        </w:tc>
        <w:tc>
          <w:tcPr>
            <w:tcW w:w="4761" w:type="dxa"/>
            <w:tcBorders>
              <w:right w:val="single" w:sz="4" w:space="0" w:color="auto"/>
            </w:tcBorders>
            <w:vAlign w:val="center"/>
            <w:hideMark/>
          </w:tcPr>
          <w:p w14:paraId="120C08C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2B8824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r>
            <w:r w:rsidRPr="006C590E">
              <w:rPr>
                <w:kern w:val="22"/>
                <w:sz w:val="20"/>
                <w:szCs w:val="20"/>
              </w:rPr>
              <w:t xml:space="preserve">Oui, dans une certaine mesure </w:t>
            </w:r>
            <w:r w:rsidRPr="006C590E">
              <w:rPr>
                <w:kern w:val="22"/>
                <w:sz w:val="20"/>
                <w:szCs w:val="20"/>
                <w:highlight w:val="lightGray"/>
              </w:rPr>
              <w:t>[Veuillez préciser]</w:t>
            </w:r>
          </w:p>
          <w:p w14:paraId="2B6A66B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17C21046" w14:textId="77777777" w:rsidTr="009137A8">
        <w:trPr>
          <w:cantSplit/>
        </w:trPr>
        <w:tc>
          <w:tcPr>
            <w:tcW w:w="4839" w:type="dxa"/>
            <w:vAlign w:val="center"/>
            <w:hideMark/>
          </w:tcPr>
          <w:p w14:paraId="29037B06"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Pr>
                <w:kern w:val="22"/>
                <w:sz w:val="20"/>
                <w:szCs w:val="20"/>
                <w:lang w:bidi="fr-FR"/>
              </w:rPr>
              <w:t xml:space="preserve"> à la question </w:t>
            </w:r>
            <w:r w:rsidRPr="006C590E">
              <w:rPr>
                <w:kern w:val="22"/>
                <w:sz w:val="20"/>
                <w:szCs w:val="20"/>
                <w:lang w:bidi="fr-FR"/>
              </w:rPr>
              <w:t>148, veuillez indiquer les modalités utilisées pour informer le public :</w:t>
            </w:r>
          </w:p>
        </w:tc>
        <w:tc>
          <w:tcPr>
            <w:tcW w:w="4761" w:type="dxa"/>
            <w:tcBorders>
              <w:right w:val="single" w:sz="4" w:space="0" w:color="auto"/>
            </w:tcBorders>
            <w:vAlign w:val="center"/>
            <w:hideMark/>
          </w:tcPr>
          <w:p w14:paraId="059370A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15" w:hanging="699"/>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Sites Web nationaux :</w:t>
            </w:r>
          </w:p>
          <w:p w14:paraId="045621A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15" w:hanging="699"/>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Journaux</w:t>
            </w:r>
          </w:p>
          <w:p w14:paraId="7755826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15" w:hanging="699"/>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Forums :</w:t>
            </w:r>
          </w:p>
          <w:p w14:paraId="2678332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15" w:hanging="699"/>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Listes de diffusion : </w:t>
            </w:r>
          </w:p>
          <w:p w14:paraId="6C4F770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bidi="fr-FR"/>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Audiences publiques : </w:t>
            </w:r>
          </w:p>
          <w:p w14:paraId="3F96E85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15" w:hanging="699"/>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Médias sociaux :</w:t>
            </w:r>
          </w:p>
          <w:p w14:paraId="1B5B4711" w14:textId="77777777" w:rsidR="00952749" w:rsidRPr="006C590E" w:rsidRDefault="00952749" w:rsidP="009137A8">
            <w:pPr>
              <w:suppressLineNumbers/>
              <w:suppressAutoHyphens/>
              <w:kinsoku w:val="0"/>
              <w:overflowPunct w:val="0"/>
              <w:autoSpaceDE w:val="0"/>
              <w:autoSpaceDN w:val="0"/>
              <w:adjustRightInd w:val="0"/>
              <w:snapToGrid w:val="0"/>
              <w:spacing w:before="40" w:after="40"/>
              <w:ind w:left="715" w:hanging="699"/>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Autres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tc>
      </w:tr>
      <w:tr w:rsidR="00952749" w:rsidRPr="00617C2F" w14:paraId="524ACDE1" w14:textId="77777777" w:rsidTr="009137A8">
        <w:trPr>
          <w:cantSplit/>
        </w:trPr>
        <w:tc>
          <w:tcPr>
            <w:tcW w:w="4839" w:type="dxa"/>
            <w:vAlign w:val="center"/>
            <w:hideMark/>
          </w:tcPr>
          <w:p w14:paraId="0AF710A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Combien de fois votre pays a-t-il consulté le public lors de la prise de décisions concernant les OVM pendant la période visée par ce rapport ?</w:t>
            </w:r>
          </w:p>
        </w:tc>
        <w:tc>
          <w:tcPr>
            <w:tcW w:w="4761" w:type="dxa"/>
            <w:tcBorders>
              <w:right w:val="single" w:sz="4" w:space="0" w:color="auto"/>
            </w:tcBorders>
            <w:vAlign w:val="center"/>
            <w:hideMark/>
          </w:tcPr>
          <w:p w14:paraId="43463AC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Aucune (décisions prises sans consultation)</w:t>
            </w:r>
          </w:p>
          <w:p w14:paraId="784A681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59874AB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ou plus</w:t>
            </w:r>
          </w:p>
          <w:p w14:paraId="364A0FB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Sans objet (aucune décision n'a été prise)</w:t>
            </w:r>
          </w:p>
        </w:tc>
      </w:tr>
      <w:tr w:rsidR="00952749" w:rsidRPr="006C590E" w14:paraId="0C55C79C" w14:textId="77777777" w:rsidTr="009137A8">
        <w:trPr>
          <w:cantSplit/>
        </w:trPr>
        <w:tc>
          <w:tcPr>
            <w:tcW w:w="4839" w:type="dxa"/>
            <w:vAlign w:val="center"/>
            <w:hideMark/>
          </w:tcPr>
          <w:p w14:paraId="1AC9131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informé le public des moyens d'accéder au Centre d'échange pour la prévention des risques biotechnologiques ?</w:t>
            </w:r>
          </w:p>
        </w:tc>
        <w:tc>
          <w:tcPr>
            <w:tcW w:w="4761" w:type="dxa"/>
            <w:tcBorders>
              <w:right w:val="single" w:sz="4" w:space="0" w:color="auto"/>
            </w:tcBorders>
            <w:vAlign w:val="center"/>
            <w:hideMark/>
          </w:tcPr>
          <w:p w14:paraId="2EEF52B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2E44469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602EE24E" w14:textId="77777777" w:rsidTr="009137A8">
        <w:trPr>
          <w:cantSplit/>
        </w:trPr>
        <w:tc>
          <w:tcPr>
            <w:tcW w:w="9600" w:type="dxa"/>
            <w:gridSpan w:val="2"/>
            <w:tcBorders>
              <w:right w:val="single" w:sz="4" w:space="0" w:color="auto"/>
            </w:tcBorders>
            <w:vAlign w:val="center"/>
            <w:hideMark/>
          </w:tcPr>
          <w:p w14:paraId="51D76597" w14:textId="77777777" w:rsidR="00952749" w:rsidRPr="00A23C1A" w:rsidRDefault="00952749" w:rsidP="004C7DBD">
            <w:pPr>
              <w:numPr>
                <w:ilvl w:val="0"/>
                <w:numId w:val="3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A23C1A">
              <w:rPr>
                <w:kern w:val="22"/>
                <w:sz w:val="20"/>
                <w:szCs w:val="20"/>
                <w:lang w:bidi="fr-FR"/>
              </w:rPr>
              <w:t>Vous pouvez fournir</w:t>
            </w:r>
            <w:r>
              <w:rPr>
                <w:kern w:val="22"/>
                <w:sz w:val="20"/>
                <w:szCs w:val="20"/>
                <w:lang w:bidi="fr-FR"/>
              </w:rPr>
              <w:t xml:space="preserve"> ici</w:t>
            </w:r>
            <w:r w:rsidRPr="00A23C1A">
              <w:rPr>
                <w:kern w:val="22"/>
                <w:sz w:val="20"/>
                <w:szCs w:val="20"/>
                <w:lang w:bidi="fr-FR"/>
              </w:rPr>
              <w:t xml:space="preserve"> de plus amples détails sur l’application</w:t>
            </w:r>
            <w:r>
              <w:rPr>
                <w:kern w:val="22"/>
                <w:sz w:val="20"/>
                <w:szCs w:val="20"/>
                <w:lang w:bidi="fr-FR"/>
              </w:rPr>
              <w:t xml:space="preserve"> de l’article 23 dans votre pays </w:t>
            </w:r>
            <w:r w:rsidRPr="00A23C1A">
              <w:rPr>
                <w:kern w:val="22"/>
                <w:sz w:val="20"/>
                <w:szCs w:val="20"/>
              </w:rPr>
              <w:t>:</w:t>
            </w:r>
          </w:p>
          <w:p w14:paraId="4F613B5B"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6C590E">
              <w:rPr>
                <w:kern w:val="22"/>
                <w:sz w:val="20"/>
                <w:szCs w:val="20"/>
              </w:rPr>
              <w:fldChar w:fldCharType="begin">
                <w:ffData>
                  <w:name w:val=""/>
                  <w:enabled/>
                  <w:calcOnExit w:val="0"/>
                  <w:textInput>
                    <w:default w:val="[                                                       Type your text here                                                       ]"/>
                  </w:textInput>
                </w:ffData>
              </w:fldChar>
            </w:r>
            <w:r w:rsidRPr="006C590E">
              <w:rPr>
                <w:kern w:val="22"/>
                <w:sz w:val="20"/>
                <w:szCs w:val="20"/>
              </w:rPr>
              <w:instrText xml:space="preserve"> FORMTEXT </w:instrText>
            </w:r>
            <w:r w:rsidRPr="006C590E">
              <w:rPr>
                <w:kern w:val="22"/>
                <w:sz w:val="20"/>
                <w:szCs w:val="20"/>
              </w:rPr>
            </w:r>
            <w:r w:rsidRPr="006C590E">
              <w:rPr>
                <w:kern w:val="22"/>
                <w:sz w:val="20"/>
                <w:szCs w:val="20"/>
              </w:rPr>
              <w:fldChar w:fldCharType="separate"/>
            </w:r>
            <w:r w:rsidRPr="006C590E">
              <w:rPr>
                <w:noProof/>
                <w:kern w:val="22"/>
                <w:sz w:val="20"/>
                <w:szCs w:val="20"/>
              </w:rPr>
              <w:t>[                                                       Saisissez votre texte ici                                                       ]</w:t>
            </w:r>
            <w:r w:rsidRPr="006C590E">
              <w:rPr>
                <w:kern w:val="22"/>
                <w:sz w:val="20"/>
                <w:szCs w:val="20"/>
              </w:rPr>
              <w:fldChar w:fldCharType="end"/>
            </w:r>
          </w:p>
        </w:tc>
      </w:tr>
      <w:tr w:rsidR="00952749" w:rsidRPr="006C590E" w14:paraId="5A39A074" w14:textId="77777777" w:rsidTr="009137A8">
        <w:trPr>
          <w:cantSplit/>
        </w:trPr>
        <w:tc>
          <w:tcPr>
            <w:tcW w:w="9600" w:type="dxa"/>
            <w:gridSpan w:val="2"/>
            <w:tcBorders>
              <w:right w:val="single" w:sz="4" w:space="0" w:color="auto"/>
            </w:tcBorders>
            <w:vAlign w:val="center"/>
            <w:hideMark/>
          </w:tcPr>
          <w:p w14:paraId="01ACB8C9" w14:textId="77777777" w:rsidR="00952749" w:rsidRPr="006C590E"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rPr>
              <w:t>Article 24 – Non-Parties</w:t>
            </w:r>
          </w:p>
        </w:tc>
      </w:tr>
      <w:tr w:rsidR="00952749" w:rsidRPr="006C590E" w14:paraId="3AA79A1D" w14:textId="77777777" w:rsidTr="009137A8">
        <w:trPr>
          <w:cantSplit/>
        </w:trPr>
        <w:tc>
          <w:tcPr>
            <w:tcW w:w="4839" w:type="dxa"/>
            <w:vAlign w:val="center"/>
            <w:hideMark/>
          </w:tcPr>
          <w:p w14:paraId="6FCD6D23"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conclu un accord bilatéral, régional ou multilatéral avec des non-Parties concernant des mouvements transfrontières d’OVM ?</w:t>
            </w:r>
          </w:p>
        </w:tc>
        <w:tc>
          <w:tcPr>
            <w:tcW w:w="4761" w:type="dxa"/>
            <w:tcBorders>
              <w:right w:val="single" w:sz="4" w:space="0" w:color="auto"/>
            </w:tcBorders>
            <w:vAlign w:val="center"/>
            <w:hideMark/>
          </w:tcPr>
          <w:p w14:paraId="36E0D73E"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Oui</w:t>
            </w:r>
          </w:p>
          <w:p w14:paraId="6AAE455B"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Non</w:t>
            </w:r>
          </w:p>
        </w:tc>
      </w:tr>
      <w:tr w:rsidR="00952749" w:rsidRPr="006C590E" w14:paraId="655FD29E" w14:textId="77777777" w:rsidTr="009137A8">
        <w:trPr>
          <w:cantSplit/>
        </w:trPr>
        <w:tc>
          <w:tcPr>
            <w:tcW w:w="4839" w:type="dxa"/>
            <w:vAlign w:val="center"/>
            <w:hideMark/>
          </w:tcPr>
          <w:p w14:paraId="4AD00D2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ce rapport, votre pays a-t-il importé des OVM provenant d'un pays non-Partie ?</w:t>
            </w:r>
          </w:p>
        </w:tc>
        <w:tc>
          <w:tcPr>
            <w:tcW w:w="4761" w:type="dxa"/>
            <w:tcBorders>
              <w:right w:val="single" w:sz="4" w:space="0" w:color="auto"/>
            </w:tcBorders>
            <w:vAlign w:val="center"/>
            <w:hideMark/>
          </w:tcPr>
          <w:p w14:paraId="2A9530A4"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Oui</w:t>
            </w:r>
          </w:p>
          <w:p w14:paraId="3877C225"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Non</w:t>
            </w:r>
          </w:p>
        </w:tc>
      </w:tr>
      <w:tr w:rsidR="00952749" w:rsidRPr="006C590E" w14:paraId="6341631E" w14:textId="77777777" w:rsidTr="009137A8">
        <w:trPr>
          <w:cantSplit/>
        </w:trPr>
        <w:tc>
          <w:tcPr>
            <w:tcW w:w="4839" w:type="dxa"/>
            <w:vAlign w:val="center"/>
            <w:hideMark/>
          </w:tcPr>
          <w:p w14:paraId="281FD4B0"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ce rapport, votre pays a-t-il exporté des OVM à un pays non-Partie ?</w:t>
            </w:r>
          </w:p>
        </w:tc>
        <w:tc>
          <w:tcPr>
            <w:tcW w:w="4761" w:type="dxa"/>
            <w:tcBorders>
              <w:right w:val="single" w:sz="4" w:space="0" w:color="auto"/>
            </w:tcBorders>
            <w:vAlign w:val="center"/>
            <w:hideMark/>
          </w:tcPr>
          <w:p w14:paraId="682F1CE2"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Oui</w:t>
            </w:r>
          </w:p>
          <w:p w14:paraId="7273E5BC"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Non</w:t>
            </w:r>
          </w:p>
        </w:tc>
      </w:tr>
      <w:tr w:rsidR="00952749" w:rsidRPr="006C590E" w14:paraId="11C0CD3B" w14:textId="77777777" w:rsidTr="009137A8">
        <w:trPr>
          <w:cantSplit/>
        </w:trPr>
        <w:tc>
          <w:tcPr>
            <w:tcW w:w="4839" w:type="dxa"/>
            <w:vAlign w:val="center"/>
            <w:hideMark/>
          </w:tcPr>
          <w:p w14:paraId="5E845F9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lastRenderedPageBreak/>
              <w:t xml:space="preserve">Si vous avez répondu </w:t>
            </w:r>
            <w:r w:rsidRPr="006C590E">
              <w:rPr>
                <w:i/>
                <w:kern w:val="22"/>
                <w:sz w:val="20"/>
                <w:szCs w:val="20"/>
                <w:lang w:bidi="fr-FR"/>
              </w:rPr>
              <w:t>Oui</w:t>
            </w:r>
            <w:r w:rsidRPr="006C590E">
              <w:rPr>
                <w:kern w:val="22"/>
                <w:sz w:val="20"/>
                <w:szCs w:val="20"/>
                <w:lang w:bidi="fr-FR"/>
              </w:rPr>
              <w:t xml:space="preserve"> à la question 154 et/ou à la question 155, les mouvements transfrontières d’OVM ont-ils respecté l’objectif du Protocole de Cartagena sur la prévention des risques biotechnologiques ?</w:t>
            </w:r>
          </w:p>
        </w:tc>
        <w:tc>
          <w:tcPr>
            <w:tcW w:w="4761" w:type="dxa"/>
            <w:tcBorders>
              <w:right w:val="single" w:sz="4" w:space="0" w:color="auto"/>
            </w:tcBorders>
            <w:vAlign w:val="center"/>
            <w:hideMark/>
          </w:tcPr>
          <w:p w14:paraId="17553BEB"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Cs w:val="22"/>
                <w:lang w:bidi="fr-FR"/>
              </w:rPr>
              <w:fldChar w:fldCharType="begin">
                <w:ffData>
                  <w:name w:val="Check48"/>
                  <w:enabled/>
                  <w:calcOnExit w:val="0"/>
                  <w:checkBox>
                    <w:sizeAuto/>
                    <w:default w:val="0"/>
                  </w:checkBox>
                </w:ffData>
              </w:fldChar>
            </w:r>
            <w:r w:rsidRPr="006C590E">
              <w:rPr>
                <w:kern w:val="22"/>
                <w:szCs w:val="22"/>
                <w:lang w:bidi="fr-FR"/>
              </w:rPr>
              <w:instrText xml:space="preserve"> FORMCHECKBOX </w:instrText>
            </w:r>
            <w:r w:rsidR="00FD5889">
              <w:rPr>
                <w:kern w:val="22"/>
                <w:szCs w:val="22"/>
                <w:lang w:bidi="fr-FR"/>
              </w:rPr>
            </w:r>
            <w:r w:rsidR="00FD5889">
              <w:rPr>
                <w:kern w:val="22"/>
                <w:szCs w:val="22"/>
                <w:lang w:bidi="fr-FR"/>
              </w:rPr>
              <w:fldChar w:fldCharType="separate"/>
            </w:r>
            <w:r w:rsidRPr="006C590E">
              <w:rPr>
                <w:kern w:val="22"/>
                <w:szCs w:val="22"/>
                <w:lang w:bidi="fr-FR"/>
              </w:rPr>
              <w:fldChar w:fldCharType="end"/>
            </w:r>
            <w:r w:rsidRPr="006C590E">
              <w:rPr>
                <w:kern w:val="22"/>
                <w:szCs w:val="22"/>
                <w:lang w:bidi="fr-FR"/>
              </w:rPr>
              <w:tab/>
            </w:r>
            <w:r w:rsidRPr="0020432D">
              <w:rPr>
                <w:kern w:val="22"/>
                <w:sz w:val="20"/>
                <w:szCs w:val="20"/>
                <w:lang w:bidi="fr-FR"/>
              </w:rPr>
              <w:t>Oui, toujours</w:t>
            </w:r>
          </w:p>
          <w:p w14:paraId="3BE86217"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Dans certains cas seulement</w:t>
            </w:r>
          </w:p>
          <w:p w14:paraId="5D07DD4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Non</w:t>
            </w:r>
          </w:p>
        </w:tc>
      </w:tr>
      <w:tr w:rsidR="00952749" w:rsidRPr="006C590E" w14:paraId="3BE13E9C" w14:textId="77777777" w:rsidTr="009137A8">
        <w:trPr>
          <w:cantSplit/>
        </w:trPr>
        <w:tc>
          <w:tcPr>
            <w:tcW w:w="9600" w:type="dxa"/>
            <w:gridSpan w:val="2"/>
            <w:tcBorders>
              <w:right w:val="single" w:sz="4" w:space="0" w:color="auto"/>
            </w:tcBorders>
            <w:hideMark/>
          </w:tcPr>
          <w:p w14:paraId="2C8DFB25"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Vous pouvez fournir de plus amples détails sur l’application de l’article 24 dans votre pays dans la case suivante :</w:t>
            </w:r>
          </w:p>
          <w:p w14:paraId="5DE8827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jc w:val="left"/>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65F5D0BF" w14:textId="77777777" w:rsidTr="009137A8">
        <w:trPr>
          <w:cantSplit/>
        </w:trPr>
        <w:tc>
          <w:tcPr>
            <w:tcW w:w="9600" w:type="dxa"/>
            <w:gridSpan w:val="2"/>
            <w:tcBorders>
              <w:right w:val="single" w:sz="4" w:space="0" w:color="auto"/>
            </w:tcBorders>
            <w:hideMark/>
          </w:tcPr>
          <w:p w14:paraId="4B2BAF6D" w14:textId="77777777" w:rsidR="00952749" w:rsidRPr="006C590E"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rPr>
              <w:t xml:space="preserve">Article 25 – </w:t>
            </w:r>
            <w:r w:rsidRPr="006C590E">
              <w:rPr>
                <w:b/>
                <w:kern w:val="22"/>
                <w:sz w:val="20"/>
                <w:szCs w:val="20"/>
                <w:lang w:bidi="fr-FR"/>
              </w:rPr>
              <w:t>Mouvements transfrontières illicites</w:t>
            </w:r>
            <w:r w:rsidRPr="006C590E">
              <w:rPr>
                <w:rStyle w:val="FootnoteReference"/>
                <w:kern w:val="22"/>
                <w:sz w:val="20"/>
                <w:szCs w:val="20"/>
                <w:lang w:bidi="fr-FR"/>
              </w:rPr>
              <w:footnoteReference w:id="15"/>
            </w:r>
          </w:p>
        </w:tc>
      </w:tr>
      <w:tr w:rsidR="00952749" w:rsidRPr="006C590E" w14:paraId="591721D2" w14:textId="77777777" w:rsidTr="009137A8">
        <w:trPr>
          <w:cantSplit/>
        </w:trPr>
        <w:tc>
          <w:tcPr>
            <w:tcW w:w="4839" w:type="dxa"/>
            <w:vAlign w:val="center"/>
            <w:hideMark/>
          </w:tcPr>
          <w:p w14:paraId="22561BA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adopté des mesures nationales visant à prévenir et/ou à réprimer les mouvements transfrontières d’OVM contrevenant aux mesures nationales qu’il a prises pour appliquer le Protocole de Cartagena ?</w:t>
            </w:r>
          </w:p>
        </w:tc>
        <w:tc>
          <w:tcPr>
            <w:tcW w:w="4761" w:type="dxa"/>
            <w:tcBorders>
              <w:right w:val="single" w:sz="4" w:space="0" w:color="auto"/>
            </w:tcBorders>
            <w:vAlign w:val="center"/>
            <w:hideMark/>
          </w:tcPr>
          <w:p w14:paraId="5C6FE7ED"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Oui</w:t>
            </w:r>
          </w:p>
          <w:p w14:paraId="4C215E84"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r>
            <w:r w:rsidRPr="0020432D">
              <w:rPr>
                <w:kern w:val="22"/>
                <w:sz w:val="20"/>
                <w:szCs w:val="20"/>
              </w:rPr>
              <w:t xml:space="preserve">Oui, dans une certaine mesure </w:t>
            </w:r>
            <w:r w:rsidRPr="0020432D">
              <w:rPr>
                <w:kern w:val="22"/>
                <w:sz w:val="20"/>
                <w:szCs w:val="20"/>
                <w:highlight w:val="lightGray"/>
              </w:rPr>
              <w:t>[Veuillez préciser]</w:t>
            </w:r>
          </w:p>
          <w:p w14:paraId="3733CB9D"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Non</w:t>
            </w:r>
          </w:p>
        </w:tc>
      </w:tr>
      <w:tr w:rsidR="00952749" w:rsidRPr="00617C2F" w14:paraId="3876A923" w14:textId="77777777" w:rsidTr="009137A8">
        <w:trPr>
          <w:cantSplit/>
        </w:trPr>
        <w:tc>
          <w:tcPr>
            <w:tcW w:w="4839" w:type="dxa"/>
            <w:vAlign w:val="center"/>
          </w:tcPr>
          <w:p w14:paraId="677962A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Au cours de la période couverte par le présent rapport, de combien de cas de mouvements transfrontières illicites d'OVM votre pays a-t-il pris connaissance ?</w:t>
            </w:r>
          </w:p>
        </w:tc>
        <w:tc>
          <w:tcPr>
            <w:tcW w:w="4761" w:type="dxa"/>
            <w:tcBorders>
              <w:right w:val="single" w:sz="4" w:space="0" w:color="auto"/>
            </w:tcBorders>
            <w:vAlign w:val="center"/>
          </w:tcPr>
          <w:p w14:paraId="36CBB4E8"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Aucun</w:t>
            </w:r>
          </w:p>
          <w:p w14:paraId="3FE8003F"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1 à 4</w:t>
            </w:r>
          </w:p>
          <w:p w14:paraId="425E542B"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5 à 9</w:t>
            </w:r>
          </w:p>
          <w:p w14:paraId="37CFC2F3"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10 ou plus</w:t>
            </w:r>
          </w:p>
        </w:tc>
      </w:tr>
      <w:tr w:rsidR="00952749" w:rsidRPr="00617C2F" w14:paraId="7D72D0F9" w14:textId="77777777" w:rsidTr="009137A8">
        <w:trPr>
          <w:cantSplit/>
        </w:trPr>
        <w:tc>
          <w:tcPr>
            <w:tcW w:w="4839" w:type="dxa"/>
            <w:shd w:val="clear" w:color="auto" w:fill="auto"/>
            <w:vAlign w:val="center"/>
            <w:hideMark/>
          </w:tcPr>
          <w:p w14:paraId="3B437AC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 xml:space="preserve">Si vous avez indiqué </w:t>
            </w:r>
            <w:r w:rsidRPr="006C590E">
              <w:rPr>
                <w:i/>
                <w:kern w:val="22"/>
                <w:sz w:val="20"/>
                <w:szCs w:val="20"/>
                <w:lang w:bidi="fr-FR"/>
              </w:rPr>
              <w:t>à la question 159 que votre pays a eu connaissance de cas de mouvements transfrontières illégaux</w:t>
            </w:r>
            <w:r w:rsidRPr="006C590E">
              <w:rPr>
                <w:kern w:val="22"/>
                <w:sz w:val="20"/>
                <w:szCs w:val="20"/>
                <w:lang w:bidi="fr-FR"/>
              </w:rPr>
              <w:t>, l'origine du ou des OVM a-t-elle été établie ?</w:t>
            </w:r>
          </w:p>
        </w:tc>
        <w:tc>
          <w:tcPr>
            <w:tcW w:w="4761" w:type="dxa"/>
            <w:tcBorders>
              <w:right w:val="single" w:sz="4" w:space="0" w:color="auto"/>
            </w:tcBorders>
            <w:shd w:val="clear" w:color="auto" w:fill="auto"/>
            <w:vAlign w:val="center"/>
            <w:hideMark/>
          </w:tcPr>
          <w:p w14:paraId="26CA270B"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 xml:space="preserve">Oui </w:t>
            </w:r>
          </w:p>
          <w:p w14:paraId="3448A96A"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Oui, dans certains cas</w:t>
            </w:r>
          </w:p>
          <w:p w14:paraId="629807DF" w14:textId="77777777" w:rsidR="00952749" w:rsidRPr="0020432D"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20432D">
              <w:rPr>
                <w:kern w:val="22"/>
                <w:sz w:val="20"/>
                <w:szCs w:val="20"/>
                <w:lang w:bidi="fr-FR"/>
              </w:rPr>
              <w:fldChar w:fldCharType="begin">
                <w:ffData>
                  <w:name w:val="Check48"/>
                  <w:enabled/>
                  <w:calcOnExit w:val="0"/>
                  <w:checkBox>
                    <w:sizeAuto/>
                    <w:default w:val="0"/>
                  </w:checkBox>
                </w:ffData>
              </w:fldChar>
            </w:r>
            <w:r w:rsidRPr="0020432D">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20432D">
              <w:rPr>
                <w:kern w:val="22"/>
                <w:sz w:val="20"/>
                <w:szCs w:val="20"/>
                <w:lang w:bidi="fr-FR"/>
              </w:rPr>
              <w:fldChar w:fldCharType="end"/>
            </w:r>
            <w:r w:rsidRPr="0020432D">
              <w:rPr>
                <w:kern w:val="22"/>
                <w:sz w:val="20"/>
                <w:szCs w:val="20"/>
                <w:lang w:bidi="fr-FR"/>
              </w:rPr>
              <w:tab/>
              <w:t>Non</w:t>
            </w:r>
          </w:p>
        </w:tc>
      </w:tr>
      <w:tr w:rsidR="00952749" w:rsidRPr="006C590E" w14:paraId="35F72DC5" w14:textId="77777777" w:rsidTr="009137A8">
        <w:trPr>
          <w:cantSplit/>
        </w:trPr>
        <w:tc>
          <w:tcPr>
            <w:tcW w:w="9600" w:type="dxa"/>
            <w:gridSpan w:val="2"/>
            <w:tcBorders>
              <w:right w:val="single" w:sz="4" w:space="0" w:color="auto"/>
            </w:tcBorders>
            <w:hideMark/>
          </w:tcPr>
          <w:p w14:paraId="38C7CDEE"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Vous pouvez fournir de plus amples détails sur l’application de l’article 25 dans votre pays dans la case suivante :</w:t>
            </w:r>
          </w:p>
          <w:p w14:paraId="6433E57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67" w:right="6"/>
              <w:jc w:val="left"/>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32C0B5A0" w14:textId="77777777" w:rsidTr="009137A8">
        <w:trPr>
          <w:cantSplit/>
        </w:trPr>
        <w:tc>
          <w:tcPr>
            <w:tcW w:w="9600" w:type="dxa"/>
            <w:gridSpan w:val="2"/>
            <w:tcBorders>
              <w:right w:val="single" w:sz="4" w:space="0" w:color="auto"/>
            </w:tcBorders>
            <w:hideMark/>
          </w:tcPr>
          <w:p w14:paraId="66A3BE19" w14:textId="77777777" w:rsidR="00952749" w:rsidRPr="006C590E"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6C590E">
              <w:rPr>
                <w:b/>
                <w:kern w:val="22"/>
                <w:sz w:val="20"/>
                <w:szCs w:val="20"/>
              </w:rPr>
              <w:t xml:space="preserve">Article 26 – </w:t>
            </w:r>
            <w:r w:rsidRPr="006C590E">
              <w:rPr>
                <w:b/>
                <w:kern w:val="22"/>
                <w:szCs w:val="22"/>
                <w:lang w:bidi="fr-FR"/>
              </w:rPr>
              <w:t>Considérations socioéconomiques</w:t>
            </w:r>
          </w:p>
        </w:tc>
      </w:tr>
      <w:tr w:rsidR="00952749" w:rsidRPr="006C590E" w14:paraId="5B65EA2D" w14:textId="77777777" w:rsidTr="009137A8">
        <w:trPr>
          <w:cantSplit/>
        </w:trPr>
        <w:tc>
          <w:tcPr>
            <w:tcW w:w="4839" w:type="dxa"/>
            <w:vAlign w:val="center"/>
            <w:hideMark/>
          </w:tcPr>
          <w:p w14:paraId="26048E3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6C590E">
              <w:rPr>
                <w:kern w:val="22"/>
                <w:sz w:val="20"/>
                <w:szCs w:val="20"/>
                <w:lang w:bidi="fr-FR"/>
              </w:rPr>
              <w:t>Votre pays dispose-t-il d’approches ou d’exigences spécifiques qui facilitent la manière dont les considérations socioéconomiques doivent être prises en compte au moment de prendre des décisions sur les OVM ?</w:t>
            </w:r>
          </w:p>
        </w:tc>
        <w:tc>
          <w:tcPr>
            <w:tcW w:w="4761" w:type="dxa"/>
            <w:tcBorders>
              <w:right w:val="single" w:sz="4" w:space="0" w:color="auto"/>
            </w:tcBorders>
            <w:vAlign w:val="center"/>
            <w:hideMark/>
          </w:tcPr>
          <w:p w14:paraId="17D0E50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w:t>
            </w:r>
          </w:p>
          <w:p w14:paraId="43EFA3A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68AB4062" w14:textId="77777777" w:rsidTr="009137A8">
        <w:trPr>
          <w:cantSplit/>
        </w:trPr>
        <w:tc>
          <w:tcPr>
            <w:tcW w:w="4839" w:type="dxa"/>
            <w:vAlign w:val="center"/>
            <w:hideMark/>
          </w:tcPr>
          <w:p w14:paraId="6FD59623"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lastRenderedPageBreak/>
              <w:t>Au cours de la période couverte par ce rapport, des questions socioéconomiques découlant de l'impact des OVM ont-elles été prises en compte dans la prise de décision ?</w:t>
            </w:r>
          </w:p>
        </w:tc>
        <w:tc>
          <w:tcPr>
            <w:tcW w:w="4761" w:type="dxa"/>
            <w:tcBorders>
              <w:right w:val="single" w:sz="4" w:space="0" w:color="auto"/>
            </w:tcBorders>
            <w:vAlign w:val="center"/>
            <w:hideMark/>
          </w:tcPr>
          <w:p w14:paraId="6FEDBC1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toujours</w:t>
            </w:r>
          </w:p>
          <w:p w14:paraId="0E55B67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color w:val="000000"/>
                <w:kern w:val="22"/>
                <w:sz w:val="20"/>
                <w:szCs w:val="20"/>
                <w:lang w:bidi="fr-FR"/>
              </w:rPr>
              <w:tab/>
              <w:t>Dans certains cas seulement</w:t>
            </w:r>
          </w:p>
          <w:p w14:paraId="0945D3A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p w14:paraId="56D5F1D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Sans objet (aucune décision n'a été prise)</w:t>
            </w:r>
          </w:p>
        </w:tc>
      </w:tr>
      <w:tr w:rsidR="00952749" w:rsidRPr="00617C2F" w14:paraId="064315C4" w14:textId="77777777" w:rsidTr="009137A8">
        <w:trPr>
          <w:cantSplit/>
        </w:trPr>
        <w:tc>
          <w:tcPr>
            <w:tcW w:w="4839" w:type="dxa"/>
            <w:vAlign w:val="center"/>
            <w:hideMark/>
          </w:tcPr>
          <w:p w14:paraId="0CD1DEC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6C590E">
              <w:rPr>
                <w:kern w:val="22"/>
                <w:sz w:val="20"/>
                <w:szCs w:val="20"/>
                <w:lang w:bidi="fr-FR"/>
              </w:rPr>
              <w:t>Combien de publications évaluées par des pairs votre pays a-t-il utilisé aux fins de l'élaboration ou de la détermination des actions nationales en lien avec des considérations socioéconomiques ?</w:t>
            </w:r>
          </w:p>
        </w:tc>
        <w:tc>
          <w:tcPr>
            <w:tcW w:w="4761" w:type="dxa"/>
            <w:tcBorders>
              <w:right w:val="single" w:sz="4" w:space="0" w:color="auto"/>
            </w:tcBorders>
            <w:vAlign w:val="center"/>
            <w:hideMark/>
          </w:tcPr>
          <w:p w14:paraId="6A5D00D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w:t>
            </w:r>
          </w:p>
          <w:p w14:paraId="0CF7067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 à 4</w:t>
            </w:r>
          </w:p>
          <w:p w14:paraId="7BBEBC9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 à 9</w:t>
            </w:r>
          </w:p>
          <w:p w14:paraId="5F55FF1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 à 49</w:t>
            </w:r>
          </w:p>
          <w:p w14:paraId="0128EAF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 ou plus</w:t>
            </w:r>
          </w:p>
          <w:p w14:paraId="19CA704E" w14:textId="77777777" w:rsidR="00952749" w:rsidRPr="006C590E" w:rsidRDefault="00952749" w:rsidP="009137A8">
            <w:pPr>
              <w:suppressLineNumbers/>
              <w:suppressAutoHyphens/>
              <w:kinsoku w:val="0"/>
              <w:overflowPunct w:val="0"/>
              <w:autoSpaceDE w:val="0"/>
              <w:autoSpaceDN w:val="0"/>
              <w:adjustRightInd w:val="0"/>
              <w:snapToGrid w:val="0"/>
              <w:spacing w:before="240" w:after="120"/>
              <w:ind w:left="734" w:hanging="734"/>
              <w:jc w:val="left"/>
              <w:rPr>
                <w:kern w:val="22"/>
                <w:sz w:val="20"/>
                <w:szCs w:val="20"/>
              </w:rPr>
            </w:pPr>
            <w:r w:rsidRPr="006C590E">
              <w:rPr>
                <w:i/>
                <w:kern w:val="22"/>
                <w:sz w:val="20"/>
                <w:szCs w:val="20"/>
                <w:lang w:bidi="fr-FR"/>
              </w:rPr>
              <w:t xml:space="preserve">Ce chiffre est-il suffisant :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Oui   </w:t>
            </w: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 xml:space="preserve"> Non</w:t>
            </w:r>
          </w:p>
        </w:tc>
      </w:tr>
      <w:tr w:rsidR="00952749" w:rsidRPr="006C590E" w14:paraId="02A9922B" w14:textId="77777777" w:rsidTr="009137A8">
        <w:trPr>
          <w:cantSplit/>
        </w:trPr>
        <w:tc>
          <w:tcPr>
            <w:tcW w:w="4839" w:type="dxa"/>
            <w:vAlign w:val="center"/>
            <w:hideMark/>
          </w:tcPr>
          <w:p w14:paraId="56A6AC5F"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6C590E">
              <w:rPr>
                <w:kern w:val="22"/>
                <w:sz w:val="20"/>
                <w:szCs w:val="20"/>
                <w:lang w:bidi="fr-FR"/>
              </w:rPr>
              <w:t>Votre pays a-t-il collaboré avec d’autres Parties à la recherche et à l’échange d’informations sur une ou plusieurs incidences socioéconomiques des OVM ?</w:t>
            </w:r>
          </w:p>
        </w:tc>
        <w:tc>
          <w:tcPr>
            <w:tcW w:w="4761" w:type="dxa"/>
            <w:tcBorders>
              <w:right w:val="single" w:sz="4" w:space="0" w:color="auto"/>
            </w:tcBorders>
            <w:vAlign w:val="center"/>
            <w:hideMark/>
          </w:tcPr>
          <w:p w14:paraId="532FA87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665FC23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386747DE" w14:textId="77777777" w:rsidTr="009137A8">
        <w:trPr>
          <w:cantSplit/>
        </w:trPr>
        <w:tc>
          <w:tcPr>
            <w:tcW w:w="9600" w:type="dxa"/>
            <w:gridSpan w:val="2"/>
            <w:tcBorders>
              <w:right w:val="single" w:sz="4" w:space="0" w:color="auto"/>
            </w:tcBorders>
            <w:hideMark/>
          </w:tcPr>
          <w:p w14:paraId="3E59303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Vous pouvez fournir de plus amples détails sur l’application de l’article 26 dans votre pays dans la case suivante :</w:t>
            </w:r>
          </w:p>
          <w:p w14:paraId="7E9BC1D0"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567"/>
              <w:jc w:val="left"/>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49358A3B" w14:textId="77777777" w:rsidTr="009137A8">
        <w:trPr>
          <w:cantSplit/>
        </w:trPr>
        <w:tc>
          <w:tcPr>
            <w:tcW w:w="9600"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952749" w:rsidRPr="00617C2F" w14:paraId="52974BF2" w14:textId="77777777" w:rsidTr="009137A8">
              <w:trPr>
                <w:cantSplit/>
              </w:trPr>
              <w:tc>
                <w:tcPr>
                  <w:tcW w:w="9731" w:type="dxa"/>
                  <w:tcBorders>
                    <w:top w:val="nil"/>
                    <w:left w:val="nil"/>
                    <w:bottom w:val="nil"/>
                    <w:right w:val="nil"/>
                  </w:tcBorders>
                  <w:hideMark/>
                </w:tcPr>
                <w:p w14:paraId="6D3CDA80" w14:textId="77777777" w:rsidR="00952749" w:rsidRPr="006C590E"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6C590E">
                    <w:rPr>
                      <w:rFonts w:eastAsia="Arial Unicode MS"/>
                      <w:b/>
                      <w:bCs/>
                      <w:iCs/>
                      <w:kern w:val="22"/>
                      <w:sz w:val="20"/>
                      <w:szCs w:val="20"/>
                    </w:rPr>
                    <w:t xml:space="preserve">Article 28 – </w:t>
                  </w:r>
                  <w:r w:rsidRPr="006C590E">
                    <w:rPr>
                      <w:rFonts w:eastAsia="Arial Unicode MS"/>
                      <w:b/>
                      <w:kern w:val="22"/>
                      <w:sz w:val="20"/>
                      <w:szCs w:val="20"/>
                      <w:lang w:bidi="fr-FR"/>
                    </w:rPr>
                    <w:t>Mécanismes de financement et ressources financières</w:t>
                  </w:r>
                </w:p>
              </w:tc>
            </w:tr>
          </w:tbl>
          <w:p w14:paraId="11496F0A"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rPr>
                <w:kern w:val="22"/>
                <w:sz w:val="20"/>
                <w:szCs w:val="20"/>
              </w:rPr>
            </w:pPr>
          </w:p>
        </w:tc>
      </w:tr>
      <w:tr w:rsidR="00952749" w:rsidRPr="006C590E" w14:paraId="618D1AEA" w14:textId="77777777" w:rsidTr="009137A8">
        <w:trPr>
          <w:cantSplit/>
        </w:trPr>
        <w:tc>
          <w:tcPr>
            <w:tcW w:w="4839" w:type="dxa"/>
            <w:vAlign w:val="center"/>
            <w:hideMark/>
          </w:tcPr>
          <w:p w14:paraId="2604CABC"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6C590E">
              <w:rPr>
                <w:kern w:val="22"/>
                <w:sz w:val="20"/>
                <w:szCs w:val="20"/>
                <w:lang w:bidi="fr-FR"/>
              </w:rPr>
              <w:t>Au cours de la période couverte par ce rapport, quel montant de financement (en dollars américains) votre pays a-t-il mobilisé pour appuyer la mise en œuvre du Protocole de Cartagena sur la prévention des risques biotechnologiques, au-delà de l'enveloppe budgétaire nationale habituelle ?</w:t>
            </w:r>
          </w:p>
        </w:tc>
        <w:tc>
          <w:tcPr>
            <w:tcW w:w="4761" w:type="dxa"/>
            <w:tcBorders>
              <w:right w:val="single" w:sz="4" w:space="0" w:color="auto"/>
            </w:tcBorders>
            <w:vAlign w:val="center"/>
            <w:hideMark/>
          </w:tcPr>
          <w:p w14:paraId="20E244D9" w14:textId="77777777" w:rsidR="00952749" w:rsidRPr="00062F86"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062F86">
              <w:rPr>
                <w:kern w:val="22"/>
                <w:sz w:val="20"/>
                <w:szCs w:val="20"/>
                <w:lang w:val="en-US" w:bidi="fr-FR"/>
              </w:rPr>
              <w:tab/>
              <w:t>Rien</w:t>
            </w:r>
          </w:p>
          <w:p w14:paraId="2377F54D" w14:textId="77777777" w:rsidR="00952749" w:rsidRPr="00062F86"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062F86">
              <w:rPr>
                <w:kern w:val="22"/>
                <w:sz w:val="20"/>
                <w:szCs w:val="20"/>
                <w:lang w:val="en-US" w:bidi="fr-FR"/>
              </w:rPr>
              <w:tab/>
              <w:t>1 à 4 999 dollars US</w:t>
            </w:r>
          </w:p>
          <w:p w14:paraId="4C0A54DA" w14:textId="77777777" w:rsidR="00952749" w:rsidRPr="00062F86"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062F86">
              <w:rPr>
                <w:kern w:val="22"/>
                <w:sz w:val="20"/>
                <w:szCs w:val="20"/>
                <w:lang w:val="en-US" w:bidi="fr-FR"/>
              </w:rPr>
              <w:tab/>
              <w:t>5 000 à 49 999 dollars US</w:t>
            </w:r>
          </w:p>
          <w:p w14:paraId="43660CC8" w14:textId="77777777" w:rsidR="00952749" w:rsidRPr="00062F86"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lang w:val="en-US"/>
              </w:rPr>
            </w:pPr>
            <w:r w:rsidRPr="006C590E">
              <w:rPr>
                <w:kern w:val="22"/>
                <w:sz w:val="20"/>
                <w:szCs w:val="20"/>
                <w:lang w:bidi="fr-FR"/>
              </w:rPr>
              <w:fldChar w:fldCharType="begin">
                <w:ffData>
                  <w:name w:val="Check48"/>
                  <w:enabled/>
                  <w:calcOnExit w:val="0"/>
                  <w:checkBox>
                    <w:sizeAuto/>
                    <w:default w:val="0"/>
                  </w:checkBox>
                </w:ffData>
              </w:fldChar>
            </w:r>
            <w:r w:rsidRPr="00062F86">
              <w:rPr>
                <w:kern w:val="22"/>
                <w:sz w:val="20"/>
                <w:szCs w:val="20"/>
                <w:lang w:val="en-US"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062F86">
              <w:rPr>
                <w:kern w:val="22"/>
                <w:sz w:val="20"/>
                <w:szCs w:val="20"/>
                <w:lang w:val="en-US" w:bidi="fr-FR"/>
              </w:rPr>
              <w:tab/>
              <w:t>50 000 à 99 999 dollars US</w:t>
            </w:r>
          </w:p>
          <w:p w14:paraId="3D05297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100 000 à 499 000 dollars US</w:t>
            </w:r>
          </w:p>
          <w:p w14:paraId="0A14F87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500 000 dollars US ou plus</w:t>
            </w:r>
          </w:p>
        </w:tc>
      </w:tr>
      <w:tr w:rsidR="00952749" w:rsidRPr="00617C2F" w14:paraId="0FDBC1DA" w14:textId="77777777" w:rsidTr="009137A8">
        <w:trPr>
          <w:cantSplit/>
        </w:trPr>
        <w:tc>
          <w:tcPr>
            <w:tcW w:w="9600" w:type="dxa"/>
            <w:gridSpan w:val="2"/>
            <w:tcBorders>
              <w:bottom w:val="single" w:sz="4" w:space="0" w:color="auto"/>
              <w:right w:val="single" w:sz="4" w:space="0" w:color="auto"/>
            </w:tcBorders>
            <w:hideMark/>
          </w:tcPr>
          <w:p w14:paraId="7D4E5E7E" w14:textId="77777777" w:rsidR="00952749" w:rsidRPr="006C590E"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6C590E">
              <w:rPr>
                <w:rFonts w:eastAsia="Arial Unicode MS"/>
                <w:b/>
                <w:bCs/>
                <w:iCs/>
                <w:kern w:val="22"/>
                <w:sz w:val="20"/>
                <w:szCs w:val="20"/>
              </w:rPr>
              <w:t xml:space="preserve">Article 33 – </w:t>
            </w:r>
            <w:r w:rsidRPr="006C590E">
              <w:rPr>
                <w:rFonts w:eastAsia="Arial Unicode MS"/>
                <w:b/>
                <w:kern w:val="22"/>
                <w:sz w:val="20"/>
                <w:szCs w:val="20"/>
                <w:lang w:bidi="fr-FR"/>
              </w:rPr>
              <w:t>Suivi et établissement des rapports</w:t>
            </w:r>
          </w:p>
          <w:p w14:paraId="428BFFA9"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rPr>
            </w:pPr>
            <w:r w:rsidRPr="006C590E">
              <w:rPr>
                <w:rFonts w:eastAsia="Arial Unicode MS"/>
                <w:i/>
                <w:kern w:val="22"/>
                <w:sz w:val="20"/>
                <w:szCs w:val="20"/>
                <w:lang w:bidi="fr-FR"/>
              </w:rPr>
              <w:t xml:space="preserve">L'Article 33 demande aux Parties de surveiller </w:t>
            </w:r>
            <w:r w:rsidRPr="006C590E">
              <w:rPr>
                <w:rFonts w:eastAsia="Arial Unicode MS"/>
                <w:i/>
                <w:kern w:val="22"/>
                <w:sz w:val="20"/>
                <w:szCs w:val="20"/>
                <w:u w:val="single"/>
                <w:lang w:bidi="fr-FR"/>
              </w:rPr>
              <w:t>la mise en œuvre de leurs obligations</w:t>
            </w:r>
            <w:r w:rsidRPr="006C590E">
              <w:rPr>
                <w:rFonts w:eastAsia="Arial Unicode MS"/>
                <w:i/>
                <w:kern w:val="22"/>
                <w:sz w:val="20"/>
                <w:szCs w:val="20"/>
                <w:lang w:bidi="fr-FR"/>
              </w:rPr>
              <w:t xml:space="preserve"> au titre du Protocole de Cartagena et de faire un rapport à la Conférence des Parties siégeant en tant que réunion des Parties au Protocole de Cartagena sur les mesures prises pour mettre en œuvre le Protocole </w:t>
            </w:r>
          </w:p>
        </w:tc>
      </w:tr>
      <w:tr w:rsidR="00952749" w:rsidRPr="006C590E" w14:paraId="5072CCB4" w14:textId="77777777" w:rsidTr="009137A8">
        <w:trPr>
          <w:cantSplit/>
        </w:trPr>
        <w:tc>
          <w:tcPr>
            <w:tcW w:w="4839" w:type="dxa"/>
            <w:tcBorders>
              <w:bottom w:val="single" w:sz="4" w:space="0" w:color="auto"/>
            </w:tcBorders>
            <w:vAlign w:val="center"/>
            <w:hideMark/>
          </w:tcPr>
          <w:p w14:paraId="7CA8784C" w14:textId="77777777" w:rsidR="00952749" w:rsidRPr="006C590E" w:rsidRDefault="00952749" w:rsidP="004C7DBD">
            <w:pPr>
              <w:numPr>
                <w:ilvl w:val="0"/>
                <w:numId w:val="3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rPr>
            </w:pPr>
            <w:r w:rsidRPr="006C590E">
              <w:rPr>
                <w:kern w:val="22"/>
                <w:sz w:val="20"/>
                <w:szCs w:val="20"/>
                <w:lang w:bidi="fr-FR"/>
              </w:rPr>
              <w:t>Votre pays a-t-il mis en place un système de suivi et d'application de la mise en œuvre du Protocole de Cartagena ?</w:t>
            </w:r>
          </w:p>
        </w:tc>
        <w:tc>
          <w:tcPr>
            <w:tcW w:w="4761" w:type="dxa"/>
            <w:tcBorders>
              <w:bottom w:val="single" w:sz="4" w:space="0" w:color="auto"/>
              <w:right w:val="single" w:sz="4" w:space="0" w:color="auto"/>
            </w:tcBorders>
            <w:vAlign w:val="center"/>
            <w:hideMark/>
          </w:tcPr>
          <w:p w14:paraId="661BECF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585F05E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i/>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17C2F" w14:paraId="7119EC75" w14:textId="77777777" w:rsidTr="009137A8">
        <w:trPr>
          <w:cantSplit/>
        </w:trPr>
        <w:tc>
          <w:tcPr>
            <w:tcW w:w="9600" w:type="dxa"/>
            <w:gridSpan w:val="2"/>
            <w:tcBorders>
              <w:right w:val="single" w:sz="4" w:space="0" w:color="auto"/>
            </w:tcBorders>
            <w:hideMark/>
          </w:tcPr>
          <w:p w14:paraId="5F24086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center"/>
              <w:rPr>
                <w:b/>
                <w:kern w:val="22"/>
                <w:sz w:val="20"/>
                <w:szCs w:val="20"/>
                <w:lang w:bidi="fr-FR"/>
              </w:rPr>
            </w:pPr>
            <w:r w:rsidRPr="006C590E">
              <w:rPr>
                <w:b/>
                <w:kern w:val="22"/>
                <w:sz w:val="20"/>
                <w:szCs w:val="20"/>
                <w:lang w:bidi="fr-FR"/>
              </w:rPr>
              <w:t>Protocole additionnel de Nagoya – Kuala Lumpur sur la responsabilité et la réparation</w:t>
            </w:r>
          </w:p>
          <w:p w14:paraId="046350A8"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rPr>
            </w:pPr>
            <w:r w:rsidRPr="006C590E">
              <w:rPr>
                <w:i/>
                <w:kern w:val="22"/>
                <w:sz w:val="20"/>
                <w:szCs w:val="20"/>
                <w:lang w:bidi="fr-FR"/>
              </w:rPr>
              <w:t>Les Parties au Protocole de Cartagena qui ne sont pas encore Parties au Protocole additionnel sont invitées comme les autres à répondre aux questions ci-dessous</w:t>
            </w:r>
          </w:p>
        </w:tc>
      </w:tr>
      <w:tr w:rsidR="00952749" w:rsidRPr="006C590E" w14:paraId="019888E9" w14:textId="77777777" w:rsidTr="009137A8">
        <w:trPr>
          <w:cantSplit/>
        </w:trPr>
        <w:tc>
          <w:tcPr>
            <w:tcW w:w="4839" w:type="dxa"/>
            <w:shd w:val="clear" w:color="auto" w:fill="FFFFFF"/>
            <w:vAlign w:val="center"/>
            <w:hideMark/>
          </w:tcPr>
          <w:p w14:paraId="0A9143E3"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6C590E">
              <w:rPr>
                <w:kern w:val="22"/>
                <w:sz w:val="20"/>
                <w:szCs w:val="20"/>
                <w:lang w:bidi="fr-FR"/>
              </w:rPr>
              <w:t>Votre pays a-t-il signé le Protocole additionnel de Nagoya-Kuala Lumpur sur la responsabilité et la réparation ?</w:t>
            </w:r>
          </w:p>
        </w:tc>
        <w:tc>
          <w:tcPr>
            <w:tcW w:w="4761" w:type="dxa"/>
            <w:tcBorders>
              <w:right w:val="single" w:sz="4" w:space="0" w:color="auto"/>
            </w:tcBorders>
            <w:shd w:val="clear" w:color="auto" w:fill="FFFFFF"/>
            <w:vAlign w:val="center"/>
            <w:hideMark/>
          </w:tcPr>
          <w:p w14:paraId="01E606D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0A1933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i/>
                <w:kern w:val="22"/>
                <w:sz w:val="20"/>
                <w:szCs w:val="20"/>
                <w:lang w:bidi="fr-FR"/>
              </w:rPr>
              <w:fldChar w:fldCharType="begin">
                <w:ffData>
                  <w:name w:val="Check48"/>
                  <w:enabled/>
                  <w:calcOnExit w:val="0"/>
                  <w:checkBox>
                    <w:sizeAuto/>
                    <w:default w:val="0"/>
                    <w:checked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201E3790" w14:textId="77777777" w:rsidTr="009137A8">
        <w:trPr>
          <w:cantSplit/>
        </w:trPr>
        <w:tc>
          <w:tcPr>
            <w:tcW w:w="4839" w:type="dxa"/>
            <w:tcBorders>
              <w:bottom w:val="single" w:sz="4" w:space="0" w:color="auto"/>
            </w:tcBorders>
            <w:shd w:val="clear" w:color="auto" w:fill="auto"/>
            <w:vAlign w:val="center"/>
            <w:hideMark/>
          </w:tcPr>
          <w:p w14:paraId="53C90F69"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6C590E">
              <w:rPr>
                <w:kern w:val="22"/>
                <w:sz w:val="20"/>
                <w:szCs w:val="20"/>
                <w:lang w:bidi="fr-FR"/>
              </w:rPr>
              <w:lastRenderedPageBreak/>
              <w:t xml:space="preserve">Si vous avez répondu </w:t>
            </w:r>
            <w:r w:rsidRPr="006C590E">
              <w:rPr>
                <w:i/>
                <w:kern w:val="22"/>
                <w:sz w:val="20"/>
                <w:szCs w:val="20"/>
                <w:lang w:bidi="fr-FR"/>
              </w:rPr>
              <w:t>Non</w:t>
            </w:r>
            <w:r w:rsidRPr="006C590E">
              <w:rPr>
                <w:kern w:val="22"/>
                <w:sz w:val="20"/>
                <w:szCs w:val="20"/>
                <w:lang w:bidi="fr-FR"/>
              </w:rPr>
              <w:t xml:space="preserve"> à la question 169, existe-il un processus national en vue de devenir une Partie au Protocole additionnel ?</w:t>
            </w:r>
          </w:p>
        </w:tc>
        <w:tc>
          <w:tcPr>
            <w:tcW w:w="4761" w:type="dxa"/>
            <w:tcBorders>
              <w:bottom w:val="single" w:sz="4" w:space="0" w:color="auto"/>
              <w:right w:val="single" w:sz="4" w:space="0" w:color="auto"/>
            </w:tcBorders>
            <w:shd w:val="clear" w:color="auto" w:fill="auto"/>
            <w:vAlign w:val="center"/>
            <w:hideMark/>
          </w:tcPr>
          <w:p w14:paraId="636114E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1E6B941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17C2F" w14:paraId="62B2AE74" w14:textId="77777777" w:rsidTr="009137A8">
        <w:trPr>
          <w:cantSplit/>
        </w:trPr>
        <w:tc>
          <w:tcPr>
            <w:tcW w:w="4839" w:type="dxa"/>
            <w:tcBorders>
              <w:bottom w:val="single" w:sz="4" w:space="0" w:color="auto"/>
            </w:tcBorders>
            <w:shd w:val="clear" w:color="auto" w:fill="auto"/>
            <w:vAlign w:val="center"/>
          </w:tcPr>
          <w:p w14:paraId="42466209" w14:textId="77777777" w:rsidR="00952749" w:rsidRPr="006C590E" w:rsidRDefault="00952749" w:rsidP="004C7DBD">
            <w:pPr>
              <w:numPr>
                <w:ilvl w:val="0"/>
                <w:numId w:val="3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bidi="fr-FR"/>
              </w:rPr>
            </w:pPr>
            <w:r w:rsidRPr="006C590E">
              <w:rPr>
                <w:kern w:val="22"/>
                <w:sz w:val="20"/>
                <w:szCs w:val="20"/>
                <w:lang w:bidi="fr-FR"/>
              </w:rPr>
              <w:t>Votre pays a-t-il mis en place les mesures nécessaires à l'application du Protocole additionnel ?</w:t>
            </w:r>
          </w:p>
        </w:tc>
        <w:tc>
          <w:tcPr>
            <w:tcW w:w="4761" w:type="dxa"/>
            <w:tcBorders>
              <w:bottom w:val="single" w:sz="4" w:space="0" w:color="auto"/>
              <w:right w:val="single" w:sz="4" w:space="0" w:color="auto"/>
            </w:tcBorders>
            <w:shd w:val="clear" w:color="auto" w:fill="auto"/>
            <w:vAlign w:val="center"/>
          </w:tcPr>
          <w:p w14:paraId="212BBB2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Des mesures nationales ont été entièrement mises en place</w:t>
            </w:r>
          </w:p>
          <w:p w14:paraId="25B69BE2"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i/>
                <w:kern w:val="22"/>
                <w:sz w:val="20"/>
                <w:szCs w:val="20"/>
                <w:lang w:bidi="fr-FR"/>
              </w:rPr>
              <w:fldChar w:fldCharType="begin">
                <w:ffData>
                  <w:name w:val="Check48"/>
                  <w:enabled/>
                  <w:calcOnExit w:val="0"/>
                  <w:checkBox>
                    <w:sizeAuto/>
                    <w:default w:val="0"/>
                    <w:checked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Des mesures nationales ont été partiellement mises en place</w:t>
            </w:r>
          </w:p>
          <w:p w14:paraId="6986FE1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Seules des mesures temporaires ont été mises en place</w:t>
            </w:r>
          </w:p>
          <w:p w14:paraId="7ACEEC7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i/>
                <w:kern w:val="22"/>
                <w:sz w:val="20"/>
                <w:szCs w:val="20"/>
                <w:lang w:bidi="fr-FR"/>
              </w:rPr>
              <w:fldChar w:fldCharType="begin">
                <w:ffData>
                  <w:name w:val="Check48"/>
                  <w:enabled/>
                  <w:calcOnExit w:val="0"/>
                  <w:checkBox>
                    <w:sizeAuto/>
                    <w:default w:val="0"/>
                    <w:checked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Il n’y a qu’un projet de mesures</w:t>
            </w:r>
          </w:p>
          <w:p w14:paraId="6F531DF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Aucune mesure n’a encore été prise</w:t>
            </w:r>
          </w:p>
        </w:tc>
      </w:tr>
      <w:tr w:rsidR="00952749" w:rsidRPr="00617C2F" w14:paraId="4E0A33B8" w14:textId="77777777" w:rsidTr="009137A8">
        <w:trPr>
          <w:cantSplit/>
        </w:trPr>
        <w:tc>
          <w:tcPr>
            <w:tcW w:w="4839" w:type="dxa"/>
            <w:tcBorders>
              <w:bottom w:val="single" w:sz="4" w:space="0" w:color="auto"/>
            </w:tcBorders>
            <w:shd w:val="clear" w:color="auto" w:fill="auto"/>
            <w:vAlign w:val="center"/>
          </w:tcPr>
          <w:p w14:paraId="7BDB8ADA" w14:textId="77777777" w:rsidR="00952749" w:rsidRPr="006C590E" w:rsidRDefault="00952749" w:rsidP="004C7DBD">
            <w:pPr>
              <w:numPr>
                <w:ilvl w:val="0"/>
                <w:numId w:val="3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bidi="fr-FR"/>
              </w:rPr>
            </w:pPr>
            <w:r w:rsidRPr="006C590E">
              <w:rPr>
                <w:kern w:val="22"/>
                <w:sz w:val="20"/>
                <w:szCs w:val="20"/>
                <w:lang w:bidi="fr-FR"/>
              </w:rPr>
              <w:t>Quelles mesures sont en place pour l’application du Protocole additionnel ?</w:t>
            </w:r>
          </w:p>
        </w:tc>
        <w:tc>
          <w:tcPr>
            <w:tcW w:w="4761" w:type="dxa"/>
            <w:tcBorders>
              <w:bottom w:val="single" w:sz="4" w:space="0" w:color="auto"/>
              <w:right w:val="single" w:sz="4" w:space="0" w:color="auto"/>
            </w:tcBorders>
            <w:shd w:val="clear" w:color="auto" w:fill="auto"/>
            <w:vAlign w:val="center"/>
          </w:tcPr>
          <w:p w14:paraId="306AD0E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Une ou plusieurs lois nationales </w:t>
            </w:r>
            <w:r w:rsidRPr="006C590E">
              <w:rPr>
                <w:kern w:val="22"/>
                <w:sz w:val="20"/>
                <w:szCs w:val="20"/>
                <w:highlight w:val="lightGray"/>
                <w:lang w:bidi="fr-FR"/>
              </w:rPr>
              <w:t>[Veuillez préciser]</w:t>
            </w:r>
          </w:p>
          <w:p w14:paraId="0CDDADC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lang w:bidi="fr-FR"/>
              </w:rPr>
            </w:pPr>
            <w:r w:rsidRPr="006C590E">
              <w:rPr>
                <w:i/>
                <w:kern w:val="22"/>
                <w:sz w:val="20"/>
                <w:szCs w:val="20"/>
                <w:lang w:bidi="fr-FR"/>
              </w:rPr>
              <w:fldChar w:fldCharType="begin">
                <w:ffData>
                  <w:name w:val="Check48"/>
                  <w:enabled/>
                  <w:calcOnExit w:val="0"/>
                  <w:checkBox>
                    <w:sizeAuto/>
                    <w:default w:val="0"/>
                    <w:checked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 xml:space="preserve">Une ou plusieurs réglementations nationales </w:t>
            </w:r>
            <w:r w:rsidRPr="006C590E">
              <w:rPr>
                <w:kern w:val="22"/>
                <w:sz w:val="20"/>
                <w:szCs w:val="20"/>
                <w:highlight w:val="lightGray"/>
                <w:lang w:bidi="fr-FR"/>
              </w:rPr>
              <w:t>[Veuillez préciser]</w:t>
            </w:r>
          </w:p>
          <w:p w14:paraId="2F61509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Une ou plusieurs directives </w:t>
            </w:r>
            <w:r w:rsidRPr="006C590E">
              <w:rPr>
                <w:kern w:val="22"/>
                <w:sz w:val="20"/>
                <w:szCs w:val="20"/>
                <w:highlight w:val="lightGray"/>
                <w:lang w:bidi="fr-FR"/>
              </w:rPr>
              <w:t>[Veuillez préciser]</w:t>
            </w:r>
          </w:p>
          <w:p w14:paraId="435C7BE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bidi="fr-FR"/>
              </w:rPr>
            </w:pPr>
            <w:r w:rsidRPr="006C590E">
              <w:rPr>
                <w:i/>
                <w:kern w:val="22"/>
                <w:sz w:val="20"/>
                <w:szCs w:val="20"/>
                <w:lang w:bidi="fr-FR"/>
              </w:rPr>
              <w:fldChar w:fldCharType="begin">
                <w:ffData>
                  <w:name w:val="Check48"/>
                  <w:enabled/>
                  <w:calcOnExit w:val="0"/>
                  <w:checkBox>
                    <w:sizeAuto/>
                    <w:default w:val="0"/>
                    <w:checked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Aucun instrument n’est en place</w:t>
            </w:r>
          </w:p>
        </w:tc>
      </w:tr>
      <w:tr w:rsidR="00952749" w:rsidRPr="00617C2F" w14:paraId="0F1FC09F" w14:textId="77777777" w:rsidTr="009137A8">
        <w:trPr>
          <w:cantSplit/>
          <w:trHeight w:val="728"/>
        </w:trPr>
        <w:tc>
          <w:tcPr>
            <w:tcW w:w="4839" w:type="dxa"/>
            <w:tcBorders>
              <w:bottom w:val="nil"/>
              <w:right w:val="single" w:sz="4" w:space="0" w:color="auto"/>
            </w:tcBorders>
            <w:shd w:val="clear" w:color="auto" w:fill="auto"/>
            <w:vAlign w:val="center"/>
          </w:tcPr>
          <w:p w14:paraId="786EFBC6" w14:textId="77777777" w:rsidR="00952749" w:rsidRPr="006C590E" w:rsidRDefault="00952749" w:rsidP="004C7DBD">
            <w:pPr>
              <w:numPr>
                <w:ilvl w:val="0"/>
                <w:numId w:val="31"/>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Votre pays dispose-t-il d'instruments administratifs ou juridiques demandant que soient prises des mesures d’intervention </w:t>
            </w:r>
            <w:r w:rsidRPr="006C590E">
              <w:rPr>
                <w:kern w:val="22"/>
                <w:sz w:val="20"/>
                <w:szCs w:val="20"/>
              </w:rPr>
              <w:t>:</w:t>
            </w:r>
          </w:p>
        </w:tc>
        <w:tc>
          <w:tcPr>
            <w:tcW w:w="4761" w:type="dxa"/>
            <w:tcBorders>
              <w:bottom w:val="nil"/>
              <w:right w:val="single" w:sz="4" w:space="0" w:color="auto"/>
            </w:tcBorders>
            <w:shd w:val="clear" w:color="auto" w:fill="auto"/>
            <w:vAlign w:val="center"/>
          </w:tcPr>
          <w:p w14:paraId="54BDC447"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540" w:right="362"/>
              <w:jc w:val="left"/>
              <w:rPr>
                <w:kern w:val="22"/>
                <w:sz w:val="20"/>
                <w:szCs w:val="20"/>
              </w:rPr>
            </w:pPr>
          </w:p>
        </w:tc>
      </w:tr>
      <w:tr w:rsidR="00952749" w:rsidRPr="006C590E" w14:paraId="1C94C3C2" w14:textId="77777777" w:rsidTr="009137A8">
        <w:trPr>
          <w:cantSplit/>
        </w:trPr>
        <w:tc>
          <w:tcPr>
            <w:tcW w:w="4839" w:type="dxa"/>
            <w:tcBorders>
              <w:top w:val="nil"/>
              <w:bottom w:val="nil"/>
              <w:right w:val="single" w:sz="4" w:space="0" w:color="auto"/>
            </w:tcBorders>
            <w:shd w:val="clear" w:color="auto" w:fill="auto"/>
            <w:vAlign w:val="center"/>
          </w:tcPr>
          <w:p w14:paraId="502D4BA8" w14:textId="77777777" w:rsidR="00952749" w:rsidRPr="006C590E" w:rsidRDefault="00952749" w:rsidP="009137A8">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rPr>
              <w:t xml:space="preserve">a. </w:t>
            </w:r>
            <w:r w:rsidRPr="006C590E">
              <w:rPr>
                <w:kern w:val="22"/>
                <w:sz w:val="20"/>
                <w:szCs w:val="20"/>
              </w:rPr>
              <w:tab/>
            </w:r>
            <w:r w:rsidRPr="006C590E">
              <w:rPr>
                <w:kern w:val="22"/>
                <w:sz w:val="20"/>
                <w:szCs w:val="20"/>
                <w:lang w:bidi="fr-FR"/>
              </w:rPr>
              <w:t>En cas de dommages résultant d'OVM </w:t>
            </w:r>
            <w:r w:rsidRPr="006C590E">
              <w:rPr>
                <w:kern w:val="22"/>
                <w:sz w:val="20"/>
                <w:szCs w:val="20"/>
              </w:rPr>
              <w:t>?</w:t>
            </w:r>
          </w:p>
        </w:tc>
        <w:tc>
          <w:tcPr>
            <w:tcW w:w="4761" w:type="dxa"/>
            <w:tcBorders>
              <w:top w:val="nil"/>
              <w:left w:val="single" w:sz="4" w:space="0" w:color="auto"/>
              <w:right w:val="single" w:sz="4" w:space="0" w:color="auto"/>
            </w:tcBorders>
            <w:shd w:val="clear" w:color="auto" w:fill="auto"/>
            <w:vAlign w:val="center"/>
          </w:tcPr>
          <w:p w14:paraId="74BC5933"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rPr>
              <w:fldChar w:fldCharType="begin">
                <w:ffData>
                  <w:name w:val=""/>
                  <w:enabled/>
                  <w:calcOnExit w:val="0"/>
                  <w:checkBox>
                    <w:sizeAuto/>
                    <w:default w:val="0"/>
                    <w:checked w:val="0"/>
                  </w:checkBox>
                </w:ffData>
              </w:fldChar>
            </w:r>
            <w:r w:rsidRPr="006C590E">
              <w:rPr>
                <w:kern w:val="22"/>
                <w:sz w:val="20"/>
                <w:szCs w:val="20"/>
              </w:rPr>
              <w:instrText xml:space="preserve"> FORMCHECKBOX </w:instrText>
            </w:r>
            <w:r w:rsidR="00FD5889">
              <w:rPr>
                <w:kern w:val="22"/>
                <w:sz w:val="20"/>
                <w:szCs w:val="20"/>
              </w:rPr>
            </w:r>
            <w:r w:rsidR="00FD5889">
              <w:rPr>
                <w:kern w:val="22"/>
                <w:sz w:val="20"/>
                <w:szCs w:val="20"/>
              </w:rPr>
              <w:fldChar w:fldCharType="separate"/>
            </w:r>
            <w:r w:rsidRPr="006C590E">
              <w:rPr>
                <w:kern w:val="22"/>
                <w:sz w:val="20"/>
                <w:szCs w:val="20"/>
              </w:rPr>
              <w:fldChar w:fldCharType="end"/>
            </w:r>
            <w:r w:rsidRPr="006C590E">
              <w:rPr>
                <w:kern w:val="22"/>
                <w:sz w:val="20"/>
                <w:szCs w:val="20"/>
              </w:rPr>
              <w:tab/>
              <w:t>Oui</w:t>
            </w:r>
          </w:p>
          <w:p w14:paraId="78B6EC50"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6C590E">
              <w:rPr>
                <w:bCs/>
                <w:i/>
                <w:iCs/>
                <w:kern w:val="22"/>
                <w:sz w:val="20"/>
                <w:szCs w:val="20"/>
              </w:rPr>
              <w:fldChar w:fldCharType="begin">
                <w:ffData>
                  <w:name w:val="Check48"/>
                  <w:enabled/>
                  <w:calcOnExit w:val="0"/>
                  <w:checkBox>
                    <w:sizeAuto/>
                    <w:default w:val="0"/>
                  </w:checkBox>
                </w:ffData>
              </w:fldChar>
            </w:r>
            <w:r w:rsidRPr="006C590E">
              <w:rPr>
                <w:bCs/>
                <w:i/>
                <w:iCs/>
                <w:kern w:val="22"/>
                <w:sz w:val="20"/>
                <w:szCs w:val="20"/>
              </w:rPr>
              <w:instrText xml:space="preserve"> FORMCHECKBOX </w:instrText>
            </w:r>
            <w:r w:rsidR="00FD5889">
              <w:rPr>
                <w:bCs/>
                <w:i/>
                <w:iCs/>
                <w:kern w:val="22"/>
                <w:sz w:val="20"/>
                <w:szCs w:val="20"/>
              </w:rPr>
            </w:r>
            <w:r w:rsidR="00FD5889">
              <w:rPr>
                <w:bCs/>
                <w:i/>
                <w:iCs/>
                <w:kern w:val="22"/>
                <w:sz w:val="20"/>
                <w:szCs w:val="20"/>
              </w:rPr>
              <w:fldChar w:fldCharType="separate"/>
            </w:r>
            <w:r w:rsidRPr="006C590E">
              <w:rPr>
                <w:bCs/>
                <w:i/>
                <w:iCs/>
                <w:kern w:val="22"/>
                <w:sz w:val="20"/>
                <w:szCs w:val="20"/>
              </w:rPr>
              <w:fldChar w:fldCharType="end"/>
            </w:r>
            <w:r w:rsidRPr="006C590E">
              <w:rPr>
                <w:bCs/>
                <w:i/>
                <w:iCs/>
                <w:kern w:val="22"/>
                <w:sz w:val="20"/>
                <w:szCs w:val="20"/>
              </w:rPr>
              <w:tab/>
            </w:r>
            <w:r w:rsidRPr="006C590E">
              <w:rPr>
                <w:bCs/>
                <w:iCs/>
                <w:kern w:val="22"/>
                <w:sz w:val="20"/>
                <w:szCs w:val="20"/>
              </w:rPr>
              <w:t>Non</w:t>
            </w:r>
          </w:p>
        </w:tc>
      </w:tr>
      <w:tr w:rsidR="00952749" w:rsidRPr="006C590E" w14:paraId="1A0C0327" w14:textId="77777777" w:rsidTr="009137A8">
        <w:trPr>
          <w:cantSplit/>
        </w:trPr>
        <w:tc>
          <w:tcPr>
            <w:tcW w:w="4839" w:type="dxa"/>
            <w:tcBorders>
              <w:top w:val="nil"/>
              <w:right w:val="single" w:sz="4" w:space="0" w:color="auto"/>
            </w:tcBorders>
            <w:shd w:val="clear" w:color="auto" w:fill="auto"/>
            <w:vAlign w:val="center"/>
          </w:tcPr>
          <w:p w14:paraId="1226A559" w14:textId="77777777" w:rsidR="00952749" w:rsidRPr="006C590E" w:rsidRDefault="00952749" w:rsidP="009137A8">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rPr>
              <w:t xml:space="preserve">b. </w:t>
            </w:r>
            <w:r w:rsidRPr="006C590E">
              <w:rPr>
                <w:kern w:val="22"/>
                <w:sz w:val="20"/>
                <w:szCs w:val="20"/>
              </w:rPr>
              <w:tab/>
            </w:r>
            <w:r w:rsidRPr="006C590E">
              <w:rPr>
                <w:kern w:val="22"/>
                <w:sz w:val="20"/>
                <w:szCs w:val="20"/>
                <w:lang w:bidi="fr-FR"/>
              </w:rPr>
              <w:t>Au cas où il y aurait une probabilité suffisante que des dommages surviennent si des mesures d'intervention ne sont pas prises </w:t>
            </w:r>
            <w:r w:rsidRPr="006C590E">
              <w:rPr>
                <w:kern w:val="22"/>
                <w:sz w:val="20"/>
                <w:szCs w:val="20"/>
              </w:rPr>
              <w:t>?</w:t>
            </w:r>
          </w:p>
        </w:tc>
        <w:tc>
          <w:tcPr>
            <w:tcW w:w="4761" w:type="dxa"/>
            <w:tcBorders>
              <w:left w:val="single" w:sz="4" w:space="0" w:color="auto"/>
              <w:right w:val="single" w:sz="4" w:space="0" w:color="auto"/>
            </w:tcBorders>
            <w:shd w:val="clear" w:color="auto" w:fill="auto"/>
            <w:vAlign w:val="center"/>
          </w:tcPr>
          <w:p w14:paraId="6FA1FFD3"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rPr>
              <w:fldChar w:fldCharType="begin">
                <w:ffData>
                  <w:name w:val=""/>
                  <w:enabled/>
                  <w:calcOnExit w:val="0"/>
                  <w:checkBox>
                    <w:sizeAuto/>
                    <w:default w:val="0"/>
                    <w:checked w:val="0"/>
                  </w:checkBox>
                </w:ffData>
              </w:fldChar>
            </w:r>
            <w:r w:rsidRPr="006C590E">
              <w:rPr>
                <w:kern w:val="22"/>
                <w:sz w:val="20"/>
                <w:szCs w:val="20"/>
              </w:rPr>
              <w:instrText xml:space="preserve"> FORMCHECKBOX </w:instrText>
            </w:r>
            <w:r w:rsidR="00FD5889">
              <w:rPr>
                <w:kern w:val="22"/>
                <w:sz w:val="20"/>
                <w:szCs w:val="20"/>
              </w:rPr>
            </w:r>
            <w:r w:rsidR="00FD5889">
              <w:rPr>
                <w:kern w:val="22"/>
                <w:sz w:val="20"/>
                <w:szCs w:val="20"/>
              </w:rPr>
              <w:fldChar w:fldCharType="separate"/>
            </w:r>
            <w:r w:rsidRPr="006C590E">
              <w:rPr>
                <w:kern w:val="22"/>
                <w:sz w:val="20"/>
                <w:szCs w:val="20"/>
              </w:rPr>
              <w:fldChar w:fldCharType="end"/>
            </w:r>
            <w:r w:rsidRPr="006C590E">
              <w:rPr>
                <w:kern w:val="22"/>
                <w:sz w:val="20"/>
                <w:szCs w:val="20"/>
              </w:rPr>
              <w:tab/>
              <w:t>Oui</w:t>
            </w:r>
          </w:p>
          <w:p w14:paraId="34E04035"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6C590E">
              <w:rPr>
                <w:bCs/>
                <w:i/>
                <w:iCs/>
                <w:kern w:val="22"/>
                <w:sz w:val="20"/>
                <w:szCs w:val="20"/>
              </w:rPr>
              <w:fldChar w:fldCharType="begin">
                <w:ffData>
                  <w:name w:val="Check48"/>
                  <w:enabled/>
                  <w:calcOnExit w:val="0"/>
                  <w:checkBox>
                    <w:sizeAuto/>
                    <w:default w:val="0"/>
                  </w:checkBox>
                </w:ffData>
              </w:fldChar>
            </w:r>
            <w:r w:rsidRPr="006C590E">
              <w:rPr>
                <w:bCs/>
                <w:i/>
                <w:iCs/>
                <w:kern w:val="22"/>
                <w:sz w:val="20"/>
                <w:szCs w:val="20"/>
              </w:rPr>
              <w:instrText xml:space="preserve"> FORMCHECKBOX </w:instrText>
            </w:r>
            <w:r w:rsidR="00FD5889">
              <w:rPr>
                <w:bCs/>
                <w:i/>
                <w:iCs/>
                <w:kern w:val="22"/>
                <w:sz w:val="20"/>
                <w:szCs w:val="20"/>
              </w:rPr>
            </w:r>
            <w:r w:rsidR="00FD5889">
              <w:rPr>
                <w:bCs/>
                <w:i/>
                <w:iCs/>
                <w:kern w:val="22"/>
                <w:sz w:val="20"/>
                <w:szCs w:val="20"/>
              </w:rPr>
              <w:fldChar w:fldCharType="separate"/>
            </w:r>
            <w:r w:rsidRPr="006C590E">
              <w:rPr>
                <w:bCs/>
                <w:i/>
                <w:iCs/>
                <w:kern w:val="22"/>
                <w:sz w:val="20"/>
                <w:szCs w:val="20"/>
              </w:rPr>
              <w:fldChar w:fldCharType="end"/>
            </w:r>
            <w:r w:rsidRPr="006C590E">
              <w:rPr>
                <w:bCs/>
                <w:i/>
                <w:iCs/>
                <w:kern w:val="22"/>
                <w:sz w:val="20"/>
                <w:szCs w:val="20"/>
              </w:rPr>
              <w:tab/>
            </w:r>
            <w:r w:rsidRPr="006C590E">
              <w:rPr>
                <w:bCs/>
                <w:iCs/>
                <w:kern w:val="22"/>
                <w:sz w:val="20"/>
                <w:szCs w:val="20"/>
              </w:rPr>
              <w:t>Non</w:t>
            </w:r>
          </w:p>
        </w:tc>
      </w:tr>
      <w:tr w:rsidR="00952749" w:rsidRPr="006C590E" w14:paraId="03DBE49B" w14:textId="77777777" w:rsidTr="009137A8">
        <w:trPr>
          <w:cantSplit/>
        </w:trPr>
        <w:tc>
          <w:tcPr>
            <w:tcW w:w="4839" w:type="dxa"/>
            <w:shd w:val="clear" w:color="auto" w:fill="auto"/>
            <w:vAlign w:val="center"/>
          </w:tcPr>
          <w:p w14:paraId="59E1B719" w14:textId="77777777" w:rsidR="00952749" w:rsidRPr="006C590E" w:rsidRDefault="00952749" w:rsidP="004C7DBD">
            <w:pPr>
              <w:numPr>
                <w:ilvl w:val="0"/>
                <w:numId w:val="31"/>
              </w:numPr>
              <w:suppressLineNumbers/>
              <w:tabs>
                <w:tab w:val="clear" w:pos="360"/>
                <w:tab w:val="num" w:pos="630"/>
              </w:tabs>
              <w:suppressAutoHyphens/>
              <w:kinsoku w:val="0"/>
              <w:overflowPunct w:val="0"/>
              <w:autoSpaceDE w:val="0"/>
              <w:autoSpaceDN w:val="0"/>
              <w:adjustRightInd w:val="0"/>
              <w:snapToGrid w:val="0"/>
              <w:spacing w:before="120" w:after="120"/>
              <w:ind w:left="630" w:right="362" w:hanging="63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173a, est-ce que ces instruments imposent des exigences à un opérateur (cochez toutes les réponses qui s'appliquent) ?</w:t>
            </w:r>
          </w:p>
        </w:tc>
        <w:tc>
          <w:tcPr>
            <w:tcW w:w="4761" w:type="dxa"/>
            <w:tcBorders>
              <w:right w:val="single" w:sz="4" w:space="0" w:color="auto"/>
            </w:tcBorders>
            <w:shd w:val="clear" w:color="auto" w:fill="auto"/>
            <w:vAlign w:val="center"/>
          </w:tcPr>
          <w:p w14:paraId="433A224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Oui, l'opérateur doit informer l'autorité compétente des dommages</w:t>
            </w:r>
          </w:p>
          <w:p w14:paraId="2842FD9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Oui, l’opérateur doit évaluer les dommages</w:t>
            </w:r>
          </w:p>
          <w:p w14:paraId="2D06D82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Oui, l’opérateur doit prendre des mesures d'intervention</w:t>
            </w:r>
          </w:p>
          <w:p w14:paraId="7AA0262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bCs/>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d’autres exigences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6CE40D3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4438B1C3" w14:textId="77777777" w:rsidTr="009137A8">
        <w:trPr>
          <w:cantSplit/>
        </w:trPr>
        <w:tc>
          <w:tcPr>
            <w:tcW w:w="4839" w:type="dxa"/>
            <w:shd w:val="clear" w:color="auto" w:fill="auto"/>
            <w:vAlign w:val="center"/>
          </w:tcPr>
          <w:p w14:paraId="25DDB7E5"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 xml:space="preserve">Oui </w:t>
            </w:r>
            <w:r w:rsidRPr="006C590E">
              <w:rPr>
                <w:kern w:val="22"/>
                <w:sz w:val="20"/>
                <w:szCs w:val="20"/>
                <w:lang w:bidi="fr-FR"/>
              </w:rPr>
              <w:t>à la question 173a, ces instruments exigent-ils que l'opérateur prenne des mesures d’intervention pour éviter les dommages ?</w:t>
            </w:r>
          </w:p>
        </w:tc>
        <w:tc>
          <w:tcPr>
            <w:tcW w:w="4761" w:type="dxa"/>
            <w:tcBorders>
              <w:right w:val="single" w:sz="4" w:space="0" w:color="auto"/>
            </w:tcBorders>
            <w:shd w:val="clear" w:color="auto" w:fill="auto"/>
            <w:vAlign w:val="center"/>
          </w:tcPr>
          <w:p w14:paraId="45E49EC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6EAB7F1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4558F00B" w14:textId="77777777" w:rsidTr="009137A8">
        <w:trPr>
          <w:cantSplit/>
        </w:trPr>
        <w:tc>
          <w:tcPr>
            <w:tcW w:w="4839" w:type="dxa"/>
            <w:shd w:val="clear" w:color="auto" w:fill="auto"/>
            <w:vAlign w:val="center"/>
          </w:tcPr>
          <w:p w14:paraId="4E085616"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Si vous avez répondu</w:t>
            </w:r>
            <w:r w:rsidRPr="006C590E">
              <w:rPr>
                <w:i/>
                <w:kern w:val="22"/>
                <w:sz w:val="20"/>
                <w:szCs w:val="20"/>
                <w:lang w:bidi="fr-FR"/>
              </w:rPr>
              <w:t xml:space="preserve"> Oui</w:t>
            </w:r>
            <w:r w:rsidRPr="006C590E">
              <w:rPr>
                <w:kern w:val="22"/>
                <w:sz w:val="20"/>
                <w:szCs w:val="20"/>
                <w:lang w:bidi="fr-FR"/>
              </w:rPr>
              <w:t xml:space="preserve"> à la question 173a ou 173b, ces instruments fournissent-ils une définition de « l’opérateur » ?</w:t>
            </w:r>
          </w:p>
        </w:tc>
        <w:tc>
          <w:tcPr>
            <w:tcW w:w="4761" w:type="dxa"/>
            <w:tcBorders>
              <w:right w:val="single" w:sz="4" w:space="0" w:color="auto"/>
            </w:tcBorders>
            <w:shd w:val="clear" w:color="auto" w:fill="auto"/>
            <w:vAlign w:val="center"/>
          </w:tcPr>
          <w:p w14:paraId="30DB787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6EA8307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7D1BCBC7" w14:textId="77777777" w:rsidTr="009137A8">
        <w:trPr>
          <w:cantSplit/>
        </w:trPr>
        <w:tc>
          <w:tcPr>
            <w:tcW w:w="4839" w:type="dxa"/>
            <w:shd w:val="clear" w:color="auto" w:fill="auto"/>
            <w:vAlign w:val="center"/>
          </w:tcPr>
          <w:p w14:paraId="7FFDBE84"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lastRenderedPageBreak/>
              <w:t xml:space="preserve">Si vous avez répondu </w:t>
            </w:r>
            <w:r w:rsidRPr="006C590E">
              <w:rPr>
                <w:i/>
                <w:kern w:val="22"/>
                <w:sz w:val="20"/>
                <w:szCs w:val="20"/>
                <w:lang w:bidi="fr-FR"/>
              </w:rPr>
              <w:t>Oui</w:t>
            </w:r>
            <w:r w:rsidRPr="006C590E">
              <w:rPr>
                <w:kern w:val="22"/>
                <w:sz w:val="20"/>
                <w:szCs w:val="20"/>
                <w:lang w:bidi="fr-FR"/>
              </w:rPr>
              <w:t xml:space="preserve"> à la question 176, quels sont ceux parmi la liste suivante pouvant être un « opérateur » (cochez toutes les réponses qui s'appliquent) ?</w:t>
            </w:r>
          </w:p>
        </w:tc>
        <w:tc>
          <w:tcPr>
            <w:tcW w:w="4761" w:type="dxa"/>
            <w:tcBorders>
              <w:right w:val="single" w:sz="4" w:space="0" w:color="auto"/>
            </w:tcBorders>
            <w:shd w:val="clear" w:color="auto" w:fill="auto"/>
            <w:vAlign w:val="center"/>
          </w:tcPr>
          <w:p w14:paraId="4482DD1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 titulaire du permis</w:t>
            </w:r>
          </w:p>
          <w:p w14:paraId="6B67AC9D"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La personne qui a mis l’OVM sur le marché</w:t>
            </w:r>
          </w:p>
          <w:p w14:paraId="0356024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 développeur</w:t>
            </w:r>
          </w:p>
          <w:p w14:paraId="15A1AEA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 producteur</w:t>
            </w:r>
          </w:p>
          <w:p w14:paraId="76B67FE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L’auteur de la notification</w:t>
            </w:r>
          </w:p>
          <w:p w14:paraId="5256B4F0"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L’exportateur</w:t>
            </w:r>
          </w:p>
          <w:p w14:paraId="63682F2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L’importateur</w:t>
            </w:r>
          </w:p>
          <w:p w14:paraId="2EE6E94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 transporteur</w:t>
            </w:r>
          </w:p>
          <w:p w14:paraId="6B9116E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Le fournisseur</w:t>
            </w:r>
          </w:p>
          <w:p w14:paraId="38284CE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Autres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tc>
      </w:tr>
      <w:tr w:rsidR="00952749" w:rsidRPr="006C590E" w14:paraId="2541841E" w14:textId="77777777" w:rsidTr="009137A8">
        <w:trPr>
          <w:cantSplit/>
        </w:trPr>
        <w:tc>
          <w:tcPr>
            <w:tcW w:w="4839" w:type="dxa"/>
            <w:shd w:val="clear" w:color="auto" w:fill="auto"/>
            <w:vAlign w:val="center"/>
          </w:tcPr>
          <w:p w14:paraId="2E658D87"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Une autorité compétente a-t-elle été identifiée pour exercer les fonctions définies dans le Protocole additionnel ?</w:t>
            </w:r>
          </w:p>
        </w:tc>
        <w:tc>
          <w:tcPr>
            <w:tcW w:w="4761" w:type="dxa"/>
            <w:tcBorders>
              <w:right w:val="single" w:sz="4" w:space="0" w:color="auto"/>
            </w:tcBorders>
            <w:shd w:val="clear" w:color="auto" w:fill="auto"/>
            <w:vAlign w:val="center"/>
          </w:tcPr>
          <w:p w14:paraId="08F32DD1"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7431601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08C2A0D4" w14:textId="77777777" w:rsidTr="009137A8">
        <w:trPr>
          <w:cantSplit/>
        </w:trPr>
        <w:tc>
          <w:tcPr>
            <w:tcW w:w="4839" w:type="dxa"/>
            <w:shd w:val="clear" w:color="auto" w:fill="auto"/>
            <w:vAlign w:val="center"/>
          </w:tcPr>
          <w:p w14:paraId="5D763A4E"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178, quelles mesures l'autorité compétente peut-elle prendre (sélectionnez toutes celles qui s'appliquent) ?</w:t>
            </w:r>
          </w:p>
        </w:tc>
        <w:tc>
          <w:tcPr>
            <w:tcW w:w="4761" w:type="dxa"/>
            <w:tcBorders>
              <w:right w:val="single" w:sz="4" w:space="0" w:color="auto"/>
            </w:tcBorders>
            <w:shd w:val="clear" w:color="auto" w:fill="auto"/>
            <w:vAlign w:val="center"/>
          </w:tcPr>
          <w:p w14:paraId="1BA7A026"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Identifier l’opérateur ayant provoqué le dommage</w:t>
            </w:r>
          </w:p>
          <w:p w14:paraId="08B7952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Évaluer les dommages</w:t>
            </w:r>
          </w:p>
          <w:p w14:paraId="05E2516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Déterminer les mesures d’intervention devant être prises par l’opérateur</w:t>
            </w:r>
          </w:p>
          <w:p w14:paraId="565A0B3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Mettre en place des mesures d’intervention</w:t>
            </w:r>
          </w:p>
          <w:p w14:paraId="576D80FE"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Faire rembourser à l'opérateur les coûts et les dépenses de l'évaluation des dommages et de la mise en œuvre des mesures d'intervention</w:t>
            </w:r>
          </w:p>
          <w:p w14:paraId="1EFA70B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Autres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tc>
      </w:tr>
      <w:tr w:rsidR="00952749" w:rsidRPr="006C590E" w14:paraId="50FA7D9E" w14:textId="77777777" w:rsidTr="009137A8">
        <w:trPr>
          <w:cantSplit/>
        </w:trPr>
        <w:tc>
          <w:tcPr>
            <w:tcW w:w="4839" w:type="dxa"/>
            <w:shd w:val="clear" w:color="auto" w:fill="auto"/>
            <w:vAlign w:val="center"/>
          </w:tcPr>
          <w:p w14:paraId="2DA0AD06"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Votre pays a-t-il pris des mesures pour assurer une sécurité financière pour des dommages causés par les OVM ?</w:t>
            </w:r>
          </w:p>
        </w:tc>
        <w:tc>
          <w:tcPr>
            <w:tcW w:w="4761" w:type="dxa"/>
            <w:tcBorders>
              <w:right w:val="single" w:sz="4" w:space="0" w:color="auto"/>
            </w:tcBorders>
            <w:shd w:val="clear" w:color="auto" w:fill="auto"/>
            <w:vAlign w:val="center"/>
          </w:tcPr>
          <w:p w14:paraId="081A8804"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w:t>
            </w:r>
          </w:p>
          <w:p w14:paraId="7CE0A3D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Cs w:val="22"/>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3C0AFA5A" w14:textId="77777777" w:rsidTr="009137A8">
        <w:trPr>
          <w:cantSplit/>
        </w:trPr>
        <w:tc>
          <w:tcPr>
            <w:tcW w:w="4839" w:type="dxa"/>
            <w:shd w:val="clear" w:color="auto" w:fill="auto"/>
            <w:vAlign w:val="center"/>
          </w:tcPr>
          <w:p w14:paraId="34B202D2"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Oui</w:t>
            </w:r>
            <w:r w:rsidRPr="006C590E">
              <w:rPr>
                <w:kern w:val="22"/>
                <w:sz w:val="20"/>
                <w:szCs w:val="20"/>
                <w:lang w:bidi="fr-FR"/>
              </w:rPr>
              <w:t xml:space="preserve"> à la question 180, quels types de mesures de sécurité financière sont-elles en place (cochez toutes les réponses qui s'appliquent) ?</w:t>
            </w:r>
          </w:p>
        </w:tc>
        <w:tc>
          <w:tcPr>
            <w:tcW w:w="4761" w:type="dxa"/>
            <w:tcBorders>
              <w:right w:val="single" w:sz="4" w:space="0" w:color="auto"/>
            </w:tcBorders>
            <w:shd w:val="clear" w:color="auto" w:fill="auto"/>
            <w:vAlign w:val="center"/>
          </w:tcPr>
          <w:p w14:paraId="2C2305C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Obligation de fournir des preuves d’une source de financement sûre</w:t>
            </w:r>
          </w:p>
          <w:p w14:paraId="56A0CAA7"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Une assurance obligatoire</w:t>
            </w:r>
          </w:p>
          <w:p w14:paraId="718B471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Des régimes publics, incluant des fonds</w:t>
            </w:r>
          </w:p>
          <w:p w14:paraId="07329F0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Autres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tc>
      </w:tr>
      <w:tr w:rsidR="00952749" w:rsidRPr="006C590E" w14:paraId="7D26CA00" w14:textId="77777777" w:rsidTr="009137A8">
        <w:trPr>
          <w:cantSplit/>
        </w:trPr>
        <w:tc>
          <w:tcPr>
            <w:tcW w:w="4839" w:type="dxa"/>
            <w:shd w:val="clear" w:color="auto" w:fill="auto"/>
            <w:vAlign w:val="center"/>
          </w:tcPr>
          <w:p w14:paraId="0C331462"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Votre pays possède-t-il des règles et des procédures en matière de responsabilité civile couvrant les dommages résultant d'OVM, ou est-ce que de tels dommages ont été reconnus dans des décisions de justice (cochez toutes les réponses qui s'appliquent) ?</w:t>
            </w:r>
          </w:p>
        </w:tc>
        <w:tc>
          <w:tcPr>
            <w:tcW w:w="4761" w:type="dxa"/>
            <w:tcBorders>
              <w:right w:val="single" w:sz="4" w:space="0" w:color="auto"/>
            </w:tcBorders>
            <w:shd w:val="clear" w:color="auto" w:fill="auto"/>
            <w:vAlign w:val="center"/>
          </w:tcPr>
          <w:p w14:paraId="1EA1A43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dans un instrument de responsabilité civile</w:t>
            </w:r>
          </w:p>
          <w:p w14:paraId="3A2640DA"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Oui, dans des décisions de justice</w:t>
            </w:r>
          </w:p>
          <w:p w14:paraId="6892C7BB"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jc w:val="left"/>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dans d’autres instruments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62053749"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Check48"/>
                  <w:enabled/>
                  <w:calcOnExit w:val="0"/>
                  <w:checkBox>
                    <w:sizeAuto/>
                    <w:default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Non</w:t>
            </w:r>
          </w:p>
        </w:tc>
      </w:tr>
      <w:tr w:rsidR="00952749" w:rsidRPr="006C590E" w14:paraId="7AD79BD5" w14:textId="77777777" w:rsidTr="009137A8">
        <w:trPr>
          <w:cantSplit/>
        </w:trPr>
        <w:tc>
          <w:tcPr>
            <w:tcW w:w="4839" w:type="dxa"/>
            <w:shd w:val="clear" w:color="auto" w:fill="auto"/>
            <w:vAlign w:val="center"/>
          </w:tcPr>
          <w:p w14:paraId="54206413"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lastRenderedPageBreak/>
              <w:t>Y a-t-il eu des cas de dommages résultant d'OVM dans votre pays ?</w:t>
            </w:r>
          </w:p>
        </w:tc>
        <w:tc>
          <w:tcPr>
            <w:tcW w:w="4761" w:type="dxa"/>
            <w:tcBorders>
              <w:right w:val="single" w:sz="4" w:space="0" w:color="auto"/>
            </w:tcBorders>
            <w:shd w:val="clear" w:color="auto" w:fill="auto"/>
            <w:vAlign w:val="center"/>
          </w:tcPr>
          <w:p w14:paraId="79AC1353"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596E62F8"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6B3CAD44" w14:textId="77777777" w:rsidTr="009137A8">
        <w:trPr>
          <w:cantSplit/>
        </w:trPr>
        <w:tc>
          <w:tcPr>
            <w:tcW w:w="4839" w:type="dxa"/>
            <w:shd w:val="clear" w:color="auto" w:fill="auto"/>
            <w:vAlign w:val="center"/>
          </w:tcPr>
          <w:p w14:paraId="3C822F1E" w14:textId="77777777" w:rsidR="00952749" w:rsidRPr="006C590E" w:rsidRDefault="00952749" w:rsidP="004C7DBD">
            <w:pPr>
              <w:numPr>
                <w:ilvl w:val="0"/>
                <w:numId w:val="3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 xml:space="preserve">Si vous avez répondu </w:t>
            </w:r>
            <w:r w:rsidRPr="006C590E">
              <w:rPr>
                <w:i/>
                <w:kern w:val="22"/>
                <w:sz w:val="20"/>
                <w:szCs w:val="20"/>
                <w:lang w:bidi="fr-FR"/>
              </w:rPr>
              <w:t xml:space="preserve">Oui </w:t>
            </w:r>
            <w:r w:rsidRPr="006C590E">
              <w:rPr>
                <w:kern w:val="22"/>
                <w:sz w:val="20"/>
                <w:szCs w:val="20"/>
                <w:lang w:bidi="fr-FR"/>
              </w:rPr>
              <w:t>à la question 183, des mesures d’intervention ont-elles été prises ?</w:t>
            </w:r>
          </w:p>
        </w:tc>
        <w:tc>
          <w:tcPr>
            <w:tcW w:w="4761" w:type="dxa"/>
            <w:tcBorders>
              <w:right w:val="single" w:sz="4" w:space="0" w:color="auto"/>
            </w:tcBorders>
            <w:shd w:val="clear" w:color="auto" w:fill="auto"/>
            <w:vAlign w:val="center"/>
          </w:tcPr>
          <w:p w14:paraId="69566BBC"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kern w:val="22"/>
                <w:sz w:val="20"/>
                <w:szCs w:val="20"/>
                <w:lang w:bidi="fr-FR"/>
              </w:rPr>
              <w:fldChar w:fldCharType="begin">
                <w:ffData>
                  <w:name w:val=""/>
                  <w:enabled/>
                  <w:calcOnExit w:val="0"/>
                  <w:checkBox>
                    <w:sizeAuto/>
                    <w:default w:val="0"/>
                    <w:checked w:val="0"/>
                  </w:checkBox>
                </w:ffData>
              </w:fldChar>
            </w:r>
            <w:r w:rsidRPr="006C590E">
              <w:rPr>
                <w:kern w:val="22"/>
                <w:sz w:val="20"/>
                <w:szCs w:val="20"/>
                <w:lang w:bidi="fr-FR"/>
              </w:rPr>
              <w:instrText xml:space="preserve"> FORMCHECKBOX </w:instrText>
            </w:r>
            <w:r w:rsidR="00FD5889">
              <w:rPr>
                <w:kern w:val="22"/>
                <w:sz w:val="20"/>
                <w:szCs w:val="20"/>
                <w:lang w:bidi="fr-FR"/>
              </w:rPr>
            </w:r>
            <w:r w:rsidR="00FD5889">
              <w:rPr>
                <w:kern w:val="22"/>
                <w:sz w:val="20"/>
                <w:szCs w:val="20"/>
                <w:lang w:bidi="fr-FR"/>
              </w:rPr>
              <w:fldChar w:fldCharType="separate"/>
            </w:r>
            <w:r w:rsidRPr="006C590E">
              <w:rPr>
                <w:kern w:val="22"/>
                <w:sz w:val="20"/>
                <w:szCs w:val="20"/>
                <w:lang w:bidi="fr-FR"/>
              </w:rPr>
              <w:fldChar w:fldCharType="end"/>
            </w:r>
            <w:r w:rsidRPr="006C590E">
              <w:rPr>
                <w:kern w:val="22"/>
                <w:sz w:val="20"/>
                <w:szCs w:val="20"/>
                <w:lang w:bidi="fr-FR"/>
              </w:rPr>
              <w:tab/>
              <w:t xml:space="preserve">Oui : </w:t>
            </w:r>
            <w:r w:rsidRPr="006C590E">
              <w:rPr>
                <w:kern w:val="22"/>
                <w:sz w:val="20"/>
                <w:szCs w:val="20"/>
                <w:lang w:bidi="fr-FR"/>
              </w:rPr>
              <w:fldChar w:fldCharType="begin">
                <w:ffData>
                  <w:name w:val=""/>
                  <w:enabled/>
                  <w:calcOnExit w:val="0"/>
                  <w:textInput>
                    <w:default w:val="[Veuillez préciser]"/>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[Veuillez préciser]</w:t>
            </w:r>
            <w:r w:rsidRPr="006C590E">
              <w:rPr>
                <w:kern w:val="22"/>
                <w:sz w:val="20"/>
                <w:szCs w:val="20"/>
                <w:lang w:bidi="fr-FR"/>
              </w:rPr>
              <w:fldChar w:fldCharType="end"/>
            </w:r>
          </w:p>
          <w:p w14:paraId="33700355"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734" w:hanging="734"/>
              <w:rPr>
                <w:kern w:val="22"/>
                <w:sz w:val="20"/>
                <w:szCs w:val="20"/>
              </w:rPr>
            </w:pPr>
            <w:r w:rsidRPr="006C590E">
              <w:rPr>
                <w:i/>
                <w:kern w:val="22"/>
                <w:sz w:val="20"/>
                <w:szCs w:val="20"/>
                <w:lang w:bidi="fr-FR"/>
              </w:rPr>
              <w:fldChar w:fldCharType="begin">
                <w:ffData>
                  <w:name w:val="Check48"/>
                  <w:enabled/>
                  <w:calcOnExit w:val="0"/>
                  <w:checkBox>
                    <w:sizeAuto/>
                    <w:default w:val="0"/>
                  </w:checkBox>
                </w:ffData>
              </w:fldChar>
            </w:r>
            <w:r w:rsidRPr="006C590E">
              <w:rPr>
                <w:i/>
                <w:kern w:val="22"/>
                <w:sz w:val="20"/>
                <w:szCs w:val="20"/>
                <w:lang w:bidi="fr-FR"/>
              </w:rPr>
              <w:instrText xml:space="preserve"> FORMCHECKBOX </w:instrText>
            </w:r>
            <w:r w:rsidR="00FD5889">
              <w:rPr>
                <w:i/>
                <w:kern w:val="22"/>
                <w:sz w:val="20"/>
                <w:szCs w:val="20"/>
                <w:lang w:bidi="fr-FR"/>
              </w:rPr>
            </w:r>
            <w:r w:rsidR="00FD5889">
              <w:rPr>
                <w:i/>
                <w:kern w:val="22"/>
                <w:sz w:val="20"/>
                <w:szCs w:val="20"/>
                <w:lang w:bidi="fr-FR"/>
              </w:rPr>
              <w:fldChar w:fldCharType="separate"/>
            </w:r>
            <w:r w:rsidRPr="006C590E">
              <w:rPr>
                <w:i/>
                <w:kern w:val="22"/>
                <w:sz w:val="20"/>
                <w:szCs w:val="20"/>
                <w:lang w:bidi="fr-FR"/>
              </w:rPr>
              <w:fldChar w:fldCharType="end"/>
            </w:r>
            <w:r w:rsidRPr="006C590E">
              <w:rPr>
                <w:kern w:val="22"/>
                <w:sz w:val="20"/>
                <w:szCs w:val="20"/>
                <w:lang w:bidi="fr-FR"/>
              </w:rPr>
              <w:tab/>
              <w:t>Non</w:t>
            </w:r>
          </w:p>
        </w:tc>
      </w:tr>
      <w:tr w:rsidR="00952749" w:rsidRPr="006C590E" w14:paraId="10F27EFB" w14:textId="77777777" w:rsidTr="009137A8">
        <w:trPr>
          <w:cantSplit/>
        </w:trPr>
        <w:tc>
          <w:tcPr>
            <w:tcW w:w="9600" w:type="dxa"/>
            <w:gridSpan w:val="2"/>
            <w:tcBorders>
              <w:right w:val="single" w:sz="4" w:space="0" w:color="auto"/>
            </w:tcBorders>
            <w:hideMark/>
          </w:tcPr>
          <w:p w14:paraId="11CFFE4B"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hanging="540"/>
              <w:rPr>
                <w:kern w:val="22"/>
                <w:sz w:val="20"/>
                <w:szCs w:val="20"/>
              </w:rPr>
            </w:pPr>
            <w:r w:rsidRPr="006C590E">
              <w:rPr>
                <w:kern w:val="22"/>
                <w:sz w:val="20"/>
                <w:szCs w:val="20"/>
                <w:lang w:bidi="fr-FR"/>
              </w:rPr>
              <w:t>Vous pouv</w:t>
            </w:r>
            <w:r>
              <w:rPr>
                <w:kern w:val="22"/>
                <w:sz w:val="20"/>
                <w:szCs w:val="20"/>
                <w:lang w:bidi="fr-FR"/>
              </w:rPr>
              <w:t>ez fournir ici</w:t>
            </w:r>
            <w:r w:rsidRPr="006C590E">
              <w:rPr>
                <w:kern w:val="22"/>
                <w:sz w:val="20"/>
                <w:szCs w:val="20"/>
                <w:lang w:bidi="fr-FR"/>
              </w:rPr>
              <w:t xml:space="preserve"> de plus amples détails sur toutes les activités menées dans votre pays pour la mise en œuvre du Protocole additionnel de Nagoya-Kuala Lumpur sur la responsabilité et la réparation :</w:t>
            </w:r>
          </w:p>
          <w:p w14:paraId="735B4EFF" w14:textId="77777777" w:rsidR="00952749" w:rsidRPr="006C590E" w:rsidRDefault="00952749" w:rsidP="009137A8">
            <w:pPr>
              <w:suppressLineNumbers/>
              <w:suppressAutoHyphens/>
              <w:kinsoku w:val="0"/>
              <w:overflowPunct w:val="0"/>
              <w:autoSpaceDE w:val="0"/>
              <w:autoSpaceDN w:val="0"/>
              <w:adjustRightInd w:val="0"/>
              <w:snapToGrid w:val="0"/>
              <w:spacing w:before="120" w:after="120"/>
              <w:ind w:left="540"/>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C590E" w14:paraId="4CCC16A7" w14:textId="77777777" w:rsidTr="009137A8">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41FE1DDA" w14:textId="77777777" w:rsidR="00952749" w:rsidRPr="006C590E"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6C590E">
              <w:rPr>
                <w:b/>
                <w:kern w:val="22"/>
                <w:sz w:val="20"/>
                <w:szCs w:val="20"/>
              </w:rPr>
              <w:t>Autres informations</w:t>
            </w:r>
          </w:p>
        </w:tc>
      </w:tr>
      <w:tr w:rsidR="00952749" w:rsidRPr="006C590E" w14:paraId="39D39118" w14:textId="77777777" w:rsidTr="009137A8">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4C8DD212"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6C590E">
              <w:rPr>
                <w:kern w:val="22"/>
                <w:sz w:val="20"/>
                <w:szCs w:val="20"/>
                <w:lang w:bidi="fr-FR"/>
              </w:rPr>
              <w:t>Vous pouve</w:t>
            </w:r>
            <w:r>
              <w:rPr>
                <w:kern w:val="22"/>
                <w:sz w:val="20"/>
                <w:szCs w:val="20"/>
                <w:lang w:bidi="fr-FR"/>
              </w:rPr>
              <w:t xml:space="preserve">z fournir ici </w:t>
            </w:r>
            <w:r w:rsidRPr="006C590E">
              <w:rPr>
                <w:kern w:val="22"/>
                <w:sz w:val="20"/>
                <w:szCs w:val="20"/>
                <w:lang w:bidi="fr-FR"/>
              </w:rPr>
              <w:t>de plus amples informations sur les questions relatives à la mise en œuvre du Protocole de Cartagena et du Protocole additionnel à l’échelle nationale, y compris les obstacles et les difficultés rencontrés.</w:t>
            </w:r>
          </w:p>
          <w:p w14:paraId="77C0C85D"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r w:rsidR="00952749" w:rsidRPr="00617C2F" w14:paraId="29A47D73" w14:textId="77777777" w:rsidTr="009137A8">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0472228F" w14:textId="77777777" w:rsidR="00952749" w:rsidRPr="006C590E" w:rsidRDefault="00952749" w:rsidP="009137A8">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6C590E">
              <w:rPr>
                <w:b/>
                <w:kern w:val="22"/>
                <w:sz w:val="20"/>
                <w:szCs w:val="20"/>
                <w:lang w:bidi="fr-FR"/>
              </w:rPr>
              <w:t>Commentaires sur le modèle de rapport</w:t>
            </w:r>
          </w:p>
        </w:tc>
      </w:tr>
      <w:tr w:rsidR="00952749" w:rsidRPr="006C590E" w14:paraId="56B44234" w14:textId="77777777" w:rsidTr="009137A8">
        <w:trPr>
          <w:cantSplit/>
        </w:trPr>
        <w:tc>
          <w:tcPr>
            <w:tcW w:w="9600" w:type="dxa"/>
            <w:gridSpan w:val="2"/>
            <w:tcBorders>
              <w:top w:val="single" w:sz="4" w:space="0" w:color="auto"/>
              <w:left w:val="single" w:sz="4" w:space="0" w:color="auto"/>
              <w:bottom w:val="single" w:sz="4" w:space="0" w:color="auto"/>
              <w:right w:val="single" w:sz="4" w:space="0" w:color="auto"/>
            </w:tcBorders>
            <w:hideMark/>
          </w:tcPr>
          <w:p w14:paraId="266D72C8" w14:textId="77777777" w:rsidR="00952749" w:rsidRPr="006C590E" w:rsidRDefault="00952749" w:rsidP="004C7DBD">
            <w:pPr>
              <w:numPr>
                <w:ilvl w:val="0"/>
                <w:numId w:val="31"/>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6C590E">
              <w:rPr>
                <w:kern w:val="22"/>
                <w:sz w:val="20"/>
                <w:szCs w:val="20"/>
                <w:lang w:bidi="fr-FR"/>
              </w:rPr>
              <w:t>Vou</w:t>
            </w:r>
            <w:r>
              <w:rPr>
                <w:kern w:val="22"/>
                <w:sz w:val="20"/>
                <w:szCs w:val="20"/>
                <w:lang w:bidi="fr-FR"/>
              </w:rPr>
              <w:t>s pouvez fournir ici</w:t>
            </w:r>
            <w:r w:rsidRPr="006C590E">
              <w:rPr>
                <w:kern w:val="22"/>
                <w:sz w:val="20"/>
                <w:szCs w:val="20"/>
                <w:lang w:bidi="fr-FR"/>
              </w:rPr>
              <w:t xml:space="preserve"> tout autre renseignement sur les difficultés que vous avez éprouvées à remplir ce rapport.</w:t>
            </w:r>
          </w:p>
          <w:p w14:paraId="4FD91981" w14:textId="77777777" w:rsidR="00952749" w:rsidRPr="006C590E" w:rsidRDefault="00952749" w:rsidP="009137A8">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6C590E">
              <w:rPr>
                <w:kern w:val="22"/>
                <w:sz w:val="20"/>
                <w:szCs w:val="20"/>
                <w:lang w:bidi="fr-FR"/>
              </w:rPr>
              <w:fldChar w:fldCharType="begin">
                <w:ffData>
                  <w:name w:val=""/>
                  <w:enabled/>
                  <w:calcOnExit w:val="0"/>
                  <w:textInput>
                    <w:default w:val="[                                                      Saisissez votre texte ici                                                       ]"/>
                  </w:textInput>
                </w:ffData>
              </w:fldChar>
            </w:r>
            <w:r w:rsidRPr="006C590E">
              <w:rPr>
                <w:kern w:val="22"/>
                <w:sz w:val="20"/>
                <w:szCs w:val="20"/>
                <w:lang w:bidi="fr-FR"/>
              </w:rPr>
              <w:instrText xml:space="preserve"> FORMTEXT </w:instrText>
            </w:r>
            <w:r w:rsidRPr="006C590E">
              <w:rPr>
                <w:kern w:val="22"/>
                <w:sz w:val="20"/>
                <w:szCs w:val="20"/>
                <w:lang w:bidi="fr-FR"/>
              </w:rPr>
            </w:r>
            <w:r w:rsidRPr="006C590E">
              <w:rPr>
                <w:kern w:val="22"/>
                <w:sz w:val="20"/>
                <w:szCs w:val="20"/>
                <w:lang w:bidi="fr-FR"/>
              </w:rPr>
              <w:fldChar w:fldCharType="separate"/>
            </w:r>
            <w:r w:rsidRPr="006C590E">
              <w:rPr>
                <w:noProof/>
                <w:kern w:val="22"/>
                <w:sz w:val="20"/>
                <w:szCs w:val="20"/>
                <w:lang w:bidi="fr-FR"/>
              </w:rPr>
              <w:t>[                                                      Saisissez votre texte ici                                                       ]</w:t>
            </w:r>
            <w:r w:rsidRPr="006C590E">
              <w:rPr>
                <w:kern w:val="22"/>
                <w:sz w:val="20"/>
                <w:szCs w:val="20"/>
                <w:lang w:bidi="fr-FR"/>
              </w:rPr>
              <w:fldChar w:fldCharType="end"/>
            </w:r>
          </w:p>
        </w:tc>
      </w:tr>
    </w:tbl>
    <w:p w14:paraId="5C5CA4A6" w14:textId="77777777" w:rsidR="00952749" w:rsidRDefault="00952749" w:rsidP="00952749">
      <w:pPr>
        <w:pStyle w:val="Para1"/>
        <w:numPr>
          <w:ilvl w:val="0"/>
          <w:numId w:val="0"/>
        </w:numPr>
        <w:shd w:val="clear" w:color="auto" w:fill="FFFFFF" w:themeFill="background1"/>
        <w:kinsoku w:val="0"/>
        <w:overflowPunct w:val="0"/>
        <w:autoSpaceDE w:val="0"/>
        <w:autoSpaceDN w:val="0"/>
      </w:pPr>
    </w:p>
    <w:p w14:paraId="66C25976" w14:textId="2E06A59E" w:rsidR="00952749" w:rsidRDefault="00952749">
      <w:pPr>
        <w:jc w:val="left"/>
      </w:pPr>
      <w:r>
        <w:br w:type="page"/>
      </w:r>
    </w:p>
    <w:p w14:paraId="238FC993" w14:textId="77777777" w:rsidR="00952749" w:rsidRPr="006F78B8" w:rsidRDefault="00952749" w:rsidP="006F78B8">
      <w:pPr>
        <w:pStyle w:val="Heading2"/>
        <w:rPr>
          <w:caps/>
          <w:lang w:val="fr-CA"/>
        </w:rPr>
      </w:pPr>
      <w:bookmarkStart w:id="12" w:name="_Toc7428846"/>
      <w:r w:rsidRPr="006F78B8">
        <w:rPr>
          <w:bCs w:val="0"/>
          <w:lang w:val="fr-CA"/>
        </w:rPr>
        <w:lastRenderedPageBreak/>
        <w:t xml:space="preserve">9/6. </w:t>
      </w:r>
      <w:r w:rsidRPr="006F78B8">
        <w:rPr>
          <w:bCs w:val="0"/>
          <w:lang w:val="fr-CA"/>
        </w:rPr>
        <w:tab/>
        <w:t>Évaluation et examen de l’efficacité du Protocole de Cartagena (article 35)</w:t>
      </w:r>
      <w:bookmarkEnd w:id="12"/>
    </w:p>
    <w:p w14:paraId="5E34C426" w14:textId="77777777" w:rsidR="00952749" w:rsidRPr="003758FF" w:rsidRDefault="00952749" w:rsidP="006F78B8">
      <w:pPr>
        <w:pStyle w:val="Para1"/>
        <w:numPr>
          <w:ilvl w:val="0"/>
          <w:numId w:val="0"/>
        </w:numPr>
        <w:kinsoku w:val="0"/>
        <w:overflowPunct w:val="0"/>
        <w:autoSpaceDE w:val="0"/>
        <w:autoSpaceDN w:val="0"/>
        <w:spacing w:before="240"/>
        <w:ind w:firstLine="709"/>
        <w:rPr>
          <w:lang w:val="fr-CA"/>
        </w:rPr>
      </w:pPr>
      <w:r w:rsidRPr="003001BC">
        <w:rPr>
          <w:i/>
          <w:snapToGrid/>
          <w:lang w:val="fr-CA"/>
        </w:rPr>
        <w:t>La Conférence des Parties siégeant en tant que réunion des Parties au Protocole de Cartagena sur la prévention des risques biotechnologiques</w:t>
      </w:r>
      <w:r>
        <w:rPr>
          <w:i/>
          <w:lang w:val="fr-CA"/>
        </w:rPr>
        <w:t>,</w:t>
      </w:r>
    </w:p>
    <w:p w14:paraId="2955C50A" w14:textId="77777777" w:rsidR="00952749" w:rsidRPr="003758FF" w:rsidRDefault="00952749" w:rsidP="00952749">
      <w:pPr>
        <w:pStyle w:val="Para1"/>
        <w:numPr>
          <w:ilvl w:val="0"/>
          <w:numId w:val="0"/>
        </w:numPr>
        <w:kinsoku w:val="0"/>
        <w:overflowPunct w:val="0"/>
        <w:autoSpaceDE w:val="0"/>
        <w:autoSpaceDN w:val="0"/>
        <w:ind w:firstLine="709"/>
        <w:rPr>
          <w:lang w:val="fr-CA"/>
        </w:rPr>
      </w:pPr>
      <w:r w:rsidRPr="003001BC">
        <w:rPr>
          <w:i/>
          <w:lang w:val="fr-CA"/>
        </w:rPr>
        <w:t>Rappelant</w:t>
      </w:r>
      <w:r w:rsidRPr="003001BC">
        <w:rPr>
          <w:iCs/>
          <w:lang w:val="fr-CA"/>
        </w:rPr>
        <w:t xml:space="preserve"> la décision </w:t>
      </w:r>
      <w:hyperlink r:id="rId18" w:history="1">
        <w:r w:rsidRPr="001F2617">
          <w:rPr>
            <w:rStyle w:val="Hyperlink"/>
            <w:iCs/>
            <w:lang w:val="fr-CA"/>
          </w:rPr>
          <w:t>BS</w:t>
        </w:r>
        <w:r w:rsidRPr="001F2617">
          <w:rPr>
            <w:rStyle w:val="Hyperlink"/>
            <w:iCs/>
            <w:lang w:val="fr-CA"/>
          </w:rPr>
          <w:noBreakHyphen/>
          <w:t>V/16</w:t>
        </w:r>
      </w:hyperlink>
      <w:r>
        <w:rPr>
          <w:iCs/>
          <w:lang w:val="fr-CA"/>
        </w:rPr>
        <w:t xml:space="preserve">, </w:t>
      </w:r>
      <w:r w:rsidRPr="003001BC">
        <w:rPr>
          <w:iCs/>
          <w:lang w:val="fr-CA"/>
        </w:rPr>
        <w:t xml:space="preserve">adoptant le </w:t>
      </w:r>
      <w:r w:rsidRPr="003001BC">
        <w:rPr>
          <w:lang w:val="fr-CA" w:bidi="fr-FR"/>
        </w:rPr>
        <w:t>Plan stratégique du Pro</w:t>
      </w:r>
      <w:r w:rsidRPr="003001BC">
        <w:rPr>
          <w:iCs/>
          <w:lang w:val="fr-CA"/>
        </w:rPr>
        <w:t>tocole de Cartagena sur la prévention des risques biotechnologiques pour la période 2011</w:t>
      </w:r>
      <w:r w:rsidRPr="003001BC">
        <w:rPr>
          <w:iCs/>
          <w:lang w:val="fr-CA"/>
        </w:rPr>
        <w:noBreakHyphen/>
        <w:t>2020</w:t>
      </w:r>
      <w:r w:rsidRPr="003001BC">
        <w:rPr>
          <w:lang w:val="fr-CA"/>
        </w:rPr>
        <w:t>,</w:t>
      </w:r>
    </w:p>
    <w:p w14:paraId="5A74E54D" w14:textId="77777777" w:rsidR="00952749" w:rsidRPr="003758FF" w:rsidRDefault="00952749" w:rsidP="006F78B8">
      <w:pPr>
        <w:pStyle w:val="Para1"/>
        <w:numPr>
          <w:ilvl w:val="0"/>
          <w:numId w:val="34"/>
        </w:numPr>
        <w:kinsoku w:val="0"/>
        <w:overflowPunct w:val="0"/>
        <w:autoSpaceDE w:val="0"/>
        <w:autoSpaceDN w:val="0"/>
        <w:ind w:firstLine="709"/>
        <w:rPr>
          <w:lang w:val="fr-CA"/>
        </w:rPr>
      </w:pPr>
      <w:r w:rsidRPr="003001BC">
        <w:rPr>
          <w:i/>
          <w:lang w:val="fr-CA" w:bidi="fr-FR"/>
        </w:rPr>
        <w:t>Réitère</w:t>
      </w:r>
      <w:r w:rsidRPr="003001BC">
        <w:rPr>
          <w:lang w:val="fr-CA" w:bidi="fr-FR"/>
        </w:rPr>
        <w:t xml:space="preserve"> son </w:t>
      </w:r>
      <w:r>
        <w:rPr>
          <w:lang w:val="fr-CA" w:bidi="fr-FR"/>
        </w:rPr>
        <w:t>invitation aux Parties, durant le reste de la période couverte par le</w:t>
      </w:r>
      <w:r w:rsidRPr="003001BC">
        <w:rPr>
          <w:lang w:val="fr-CA" w:bidi="fr-FR"/>
        </w:rPr>
        <w:t xml:space="preserve"> Plan stratégique du Protocole de Cartagena sur la prévention des risques biotechnologiques pour </w:t>
      </w:r>
      <w:r>
        <w:rPr>
          <w:lang w:val="fr-CA" w:bidi="fr-FR"/>
        </w:rPr>
        <w:t xml:space="preserve">la période </w:t>
      </w:r>
      <w:r w:rsidRPr="003001BC">
        <w:rPr>
          <w:lang w:val="fr-CA" w:bidi="fr-FR"/>
        </w:rPr>
        <w:t>2011</w:t>
      </w:r>
      <w:r w:rsidRPr="003001BC">
        <w:rPr>
          <w:lang w:val="fr-CA" w:bidi="fr-FR"/>
        </w:rPr>
        <w:noBreakHyphen/>
        <w:t>2020, d’envisager de hiérarchiser les objectifs opérationnels relatifs à l’élaboration de l</w:t>
      </w:r>
      <w:r>
        <w:rPr>
          <w:lang w:val="fr-CA" w:bidi="fr-FR"/>
        </w:rPr>
        <w:t>a législation sur la prévention des risques biotechnologiques, l’évaluation des risques, la</w:t>
      </w:r>
      <w:r w:rsidRPr="003001BC">
        <w:rPr>
          <w:lang w:val="fr-CA" w:bidi="fr-FR"/>
        </w:rPr>
        <w:t xml:space="preserve"> détection et l’identification des organismes vivants modifiés et la sensibilisation du public</w:t>
      </w:r>
      <w:r>
        <w:rPr>
          <w:lang w:val="fr-CA" w:bidi="fr-FR"/>
        </w:rPr>
        <w:t>, au regard de leur importance crucia</w:t>
      </w:r>
      <w:r w:rsidRPr="003001BC">
        <w:rPr>
          <w:lang w:val="fr-CA" w:bidi="fr-FR"/>
        </w:rPr>
        <w:t>le</w:t>
      </w:r>
      <w:r>
        <w:rPr>
          <w:lang w:val="fr-CA" w:bidi="fr-FR"/>
        </w:rPr>
        <w:t xml:space="preserve"> pour faciliter l’application</w:t>
      </w:r>
      <w:r w:rsidRPr="003001BC">
        <w:rPr>
          <w:lang w:val="fr-CA" w:bidi="fr-FR"/>
        </w:rPr>
        <w:t xml:space="preserve"> du Protocole</w:t>
      </w:r>
      <w:r w:rsidRPr="003758FF">
        <w:rPr>
          <w:lang w:val="fr-CA"/>
        </w:rPr>
        <w:t>;</w:t>
      </w:r>
    </w:p>
    <w:p w14:paraId="518D9E8D" w14:textId="77777777" w:rsidR="00952749" w:rsidRPr="003758FF" w:rsidRDefault="00952749" w:rsidP="00952749">
      <w:pPr>
        <w:pStyle w:val="Para1"/>
        <w:numPr>
          <w:ilvl w:val="0"/>
          <w:numId w:val="13"/>
        </w:numPr>
        <w:tabs>
          <w:tab w:val="clear" w:pos="360"/>
        </w:tabs>
        <w:kinsoku w:val="0"/>
        <w:overflowPunct w:val="0"/>
        <w:autoSpaceDE w:val="0"/>
        <w:autoSpaceDN w:val="0"/>
        <w:ind w:firstLine="720"/>
        <w:rPr>
          <w:lang w:val="fr-CA"/>
        </w:rPr>
      </w:pPr>
      <w:r w:rsidRPr="003001BC">
        <w:rPr>
          <w:i/>
          <w:lang w:val="fr-CA" w:bidi="fr-FR"/>
        </w:rPr>
        <w:t>Décide</w:t>
      </w:r>
      <w:r w:rsidRPr="003001BC">
        <w:rPr>
          <w:lang w:val="fr-CA" w:bidi="fr-FR"/>
        </w:rPr>
        <w:t xml:space="preserve"> que la quatrième évaluation et examen du Protocole de Cartagena </w:t>
      </w:r>
      <w:r>
        <w:rPr>
          <w:lang w:val="fr-CA" w:bidi="fr-FR"/>
        </w:rPr>
        <w:t>sera effectuée en même temps que</w:t>
      </w:r>
      <w:r w:rsidRPr="003001BC">
        <w:rPr>
          <w:lang w:val="fr-CA" w:bidi="fr-FR"/>
        </w:rPr>
        <w:t xml:space="preserve"> l’évaluation finale du Plan stratégique du Protocole de Cartagena pour la période 2011</w:t>
      </w:r>
      <w:r w:rsidRPr="003001BC">
        <w:rPr>
          <w:lang w:val="fr-CA" w:bidi="fr-FR"/>
        </w:rPr>
        <w:noBreakHyphen/>
        <w:t>2020</w:t>
      </w:r>
      <w:r w:rsidRPr="003001BC">
        <w:rPr>
          <w:lang w:val="fr-CA"/>
        </w:rPr>
        <w:t>;</w:t>
      </w:r>
    </w:p>
    <w:p w14:paraId="4108706C" w14:textId="77777777" w:rsidR="00952749" w:rsidRPr="003758FF" w:rsidRDefault="00952749" w:rsidP="00952749">
      <w:pPr>
        <w:pStyle w:val="Para1"/>
        <w:numPr>
          <w:ilvl w:val="0"/>
          <w:numId w:val="13"/>
        </w:numPr>
        <w:tabs>
          <w:tab w:val="clear" w:pos="360"/>
        </w:tabs>
        <w:kinsoku w:val="0"/>
        <w:overflowPunct w:val="0"/>
        <w:autoSpaceDE w:val="0"/>
        <w:autoSpaceDN w:val="0"/>
        <w:ind w:firstLine="720"/>
        <w:rPr>
          <w:i/>
          <w:lang w:val="fr-CA"/>
        </w:rPr>
      </w:pPr>
      <w:r w:rsidRPr="003001BC">
        <w:rPr>
          <w:i/>
          <w:lang w:val="fr-CA" w:bidi="fr-FR"/>
        </w:rPr>
        <w:t>Prie</w:t>
      </w:r>
      <w:r w:rsidRPr="003001BC">
        <w:rPr>
          <w:lang w:val="fr-CA" w:bidi="fr-FR"/>
        </w:rPr>
        <w:t xml:space="preserve"> la Secrétaire exécutive</w:t>
      </w:r>
      <w:r>
        <w:rPr>
          <w:lang w:val="fr-CA" w:bidi="fr-FR"/>
        </w:rPr>
        <w:t xml:space="preserve"> de </w:t>
      </w:r>
      <w:r w:rsidRPr="003758FF">
        <w:rPr>
          <w:lang w:val="fr-CA"/>
        </w:rPr>
        <w:t>:</w:t>
      </w:r>
    </w:p>
    <w:p w14:paraId="7BCDB9F8" w14:textId="77777777" w:rsidR="00952749" w:rsidRPr="003758FF" w:rsidRDefault="00952749" w:rsidP="00952749">
      <w:pPr>
        <w:pStyle w:val="Para1"/>
        <w:numPr>
          <w:ilvl w:val="0"/>
          <w:numId w:val="0"/>
        </w:numPr>
        <w:kinsoku w:val="0"/>
        <w:overflowPunct w:val="0"/>
        <w:autoSpaceDE w:val="0"/>
        <w:autoSpaceDN w:val="0"/>
        <w:ind w:firstLine="709"/>
        <w:rPr>
          <w:lang w:val="fr-CA"/>
        </w:rPr>
      </w:pPr>
      <w:r w:rsidRPr="003758FF">
        <w:rPr>
          <w:lang w:val="fr-CA"/>
        </w:rPr>
        <w:t>a)</w:t>
      </w:r>
      <w:r w:rsidRPr="003758FF">
        <w:rPr>
          <w:lang w:val="fr-CA"/>
        </w:rPr>
        <w:tab/>
      </w:r>
      <w:r>
        <w:rPr>
          <w:lang w:val="fr-CA" w:bidi="fr-FR"/>
        </w:rPr>
        <w:t xml:space="preserve">Continuer à </w:t>
      </w:r>
      <w:r w:rsidRPr="00BD023E">
        <w:rPr>
          <w:lang w:val="fr-CA" w:bidi="fr-FR"/>
        </w:rPr>
        <w:t>améliorer l</w:t>
      </w:r>
      <w:r>
        <w:rPr>
          <w:lang w:val="fr-CA" w:bidi="fr-FR"/>
        </w:rPr>
        <w:t>’</w:t>
      </w:r>
      <w:r w:rsidRPr="00BD023E">
        <w:rPr>
          <w:lang w:val="fr-CA" w:bidi="fr-FR"/>
        </w:rPr>
        <w:t>outil d</w:t>
      </w:r>
      <w:r>
        <w:rPr>
          <w:lang w:val="fr-CA" w:bidi="fr-FR"/>
        </w:rPr>
        <w:t>’</w:t>
      </w:r>
      <w:r w:rsidRPr="00BD023E">
        <w:rPr>
          <w:lang w:val="fr-CA" w:bidi="fr-FR"/>
        </w:rPr>
        <w:t>analyse en ligne des rapports nationaux</w:t>
      </w:r>
      <w:r>
        <w:rPr>
          <w:lang w:val="fr-CA" w:bidi="fr-FR"/>
        </w:rPr>
        <w:t>,</w:t>
      </w:r>
      <w:r w:rsidRPr="00BD023E">
        <w:rPr>
          <w:lang w:val="fr-CA" w:bidi="fr-FR"/>
        </w:rPr>
        <w:t xml:space="preserve"> afin de faciliter la compilation, l</w:t>
      </w:r>
      <w:r>
        <w:rPr>
          <w:lang w:val="fr-CA" w:bidi="fr-FR"/>
        </w:rPr>
        <w:t>’</w:t>
      </w:r>
      <w:r w:rsidRPr="00BD023E">
        <w:rPr>
          <w:lang w:val="fr-CA" w:bidi="fr-FR"/>
        </w:rPr>
        <w:t>agrégation et l</w:t>
      </w:r>
      <w:r>
        <w:rPr>
          <w:lang w:val="fr-CA" w:bidi="fr-FR"/>
        </w:rPr>
        <w:t>’</w:t>
      </w:r>
      <w:r w:rsidRPr="00BD023E">
        <w:rPr>
          <w:lang w:val="fr-CA" w:bidi="fr-FR"/>
        </w:rPr>
        <w:t>analyse des données contenues dans le</w:t>
      </w:r>
      <w:r>
        <w:rPr>
          <w:lang w:val="fr-CA" w:bidi="fr-FR"/>
        </w:rPr>
        <w:t>s</w:t>
      </w:r>
      <w:r w:rsidRPr="00BD023E">
        <w:rPr>
          <w:lang w:val="fr-CA" w:bidi="fr-FR"/>
        </w:rPr>
        <w:t xml:space="preserve"> quatrième</w:t>
      </w:r>
      <w:r>
        <w:rPr>
          <w:lang w:val="fr-CA" w:bidi="fr-FR"/>
        </w:rPr>
        <w:t>s</w:t>
      </w:r>
      <w:r w:rsidRPr="00BD023E">
        <w:rPr>
          <w:lang w:val="fr-CA" w:bidi="fr-FR"/>
        </w:rPr>
        <w:t xml:space="preserve"> rapport</w:t>
      </w:r>
      <w:r>
        <w:rPr>
          <w:lang w:val="fr-CA" w:bidi="fr-FR"/>
        </w:rPr>
        <w:t>s nationaux</w:t>
      </w:r>
      <w:r w:rsidRPr="00BD023E">
        <w:rPr>
          <w:lang w:val="fr-CA" w:bidi="fr-FR"/>
        </w:rPr>
        <w:t xml:space="preserve"> et </w:t>
      </w:r>
      <w:r>
        <w:rPr>
          <w:lang w:val="fr-CA" w:bidi="fr-FR"/>
        </w:rPr>
        <w:t xml:space="preserve"> dans d’autres sources, au regard des données de base correspondantes obtenues lors</w:t>
      </w:r>
      <w:r w:rsidRPr="00BD023E">
        <w:rPr>
          <w:lang w:val="fr-CA" w:bidi="fr-FR"/>
        </w:rPr>
        <w:t xml:space="preserve"> du deuxième cycle</w:t>
      </w:r>
      <w:r>
        <w:rPr>
          <w:lang w:val="fr-CA" w:bidi="fr-FR"/>
        </w:rPr>
        <w:t xml:space="preserve"> d’établissement des rapports nationaux</w:t>
      </w:r>
      <w:r w:rsidRPr="003001BC">
        <w:rPr>
          <w:lang w:val="fr-CA"/>
        </w:rPr>
        <w:t>;</w:t>
      </w:r>
    </w:p>
    <w:p w14:paraId="1E645E06" w14:textId="77777777" w:rsidR="00952749" w:rsidRPr="003758FF" w:rsidRDefault="00952749" w:rsidP="00952749">
      <w:pPr>
        <w:pStyle w:val="Para1"/>
        <w:numPr>
          <w:ilvl w:val="0"/>
          <w:numId w:val="0"/>
        </w:numPr>
        <w:kinsoku w:val="0"/>
        <w:overflowPunct w:val="0"/>
        <w:autoSpaceDE w:val="0"/>
        <w:autoSpaceDN w:val="0"/>
        <w:ind w:firstLine="709"/>
        <w:rPr>
          <w:lang w:val="fr-CA"/>
        </w:rPr>
      </w:pPr>
      <w:r w:rsidRPr="003758FF">
        <w:rPr>
          <w:lang w:val="fr-CA"/>
        </w:rPr>
        <w:t>b)</w:t>
      </w:r>
      <w:r w:rsidRPr="003758FF">
        <w:rPr>
          <w:lang w:val="fr-CA"/>
        </w:rPr>
        <w:tab/>
      </w:r>
      <w:r>
        <w:rPr>
          <w:lang w:val="fr-CA" w:bidi="fr-FR"/>
        </w:rPr>
        <w:t>Analyser et résum</w:t>
      </w:r>
      <w:r w:rsidRPr="00BD023E">
        <w:rPr>
          <w:lang w:val="fr-CA" w:bidi="fr-FR"/>
        </w:rPr>
        <w:t>er les i</w:t>
      </w:r>
      <w:r>
        <w:rPr>
          <w:lang w:val="fr-CA" w:bidi="fr-FR"/>
        </w:rPr>
        <w:t>nformations concernant l’application</w:t>
      </w:r>
      <w:r w:rsidRPr="00BD023E">
        <w:rPr>
          <w:lang w:val="fr-CA" w:bidi="fr-FR"/>
        </w:rPr>
        <w:t xml:space="preserve"> du Protocole en utilisant</w:t>
      </w:r>
      <w:r>
        <w:rPr>
          <w:lang w:val="fr-CA" w:bidi="fr-FR"/>
        </w:rPr>
        <w:t xml:space="preserve">, entre autres, </w:t>
      </w:r>
      <w:r w:rsidRPr="00BD023E">
        <w:rPr>
          <w:lang w:val="fr-CA" w:bidi="fr-FR"/>
        </w:rPr>
        <w:t>les quatrièmes rapports nationaux</w:t>
      </w:r>
      <w:r>
        <w:rPr>
          <w:lang w:val="fr-CA" w:bidi="fr-FR"/>
        </w:rPr>
        <w:t xml:space="preserve"> comme source primaire</w:t>
      </w:r>
      <w:r w:rsidRPr="00BD023E">
        <w:rPr>
          <w:lang w:val="fr-CA" w:bidi="fr-FR"/>
        </w:rPr>
        <w:t>, le Centre d</w:t>
      </w:r>
      <w:r>
        <w:rPr>
          <w:lang w:val="fr-CA" w:bidi="fr-FR"/>
        </w:rPr>
        <w:t>’</w:t>
      </w:r>
      <w:r w:rsidRPr="00BD023E">
        <w:rPr>
          <w:lang w:val="fr-CA" w:bidi="fr-FR"/>
        </w:rPr>
        <w:t xml:space="preserve">échange pour la prévention </w:t>
      </w:r>
      <w:r>
        <w:rPr>
          <w:lang w:val="fr-CA" w:bidi="fr-FR"/>
        </w:rPr>
        <w:t>des risques biotechnologiques et les données d’expérience des projets de renforcement des capacités et du Comité chargé du respect des obligations, le cas échéant, en vue de</w:t>
      </w:r>
      <w:r w:rsidRPr="00BD023E">
        <w:rPr>
          <w:lang w:val="fr-CA" w:bidi="fr-FR"/>
        </w:rPr>
        <w:t xml:space="preserve"> faciliter la quatrième évaluation et </w:t>
      </w:r>
      <w:r>
        <w:rPr>
          <w:lang w:val="fr-CA" w:bidi="fr-FR"/>
        </w:rPr>
        <w:t>examen du Protocole en même temps que</w:t>
      </w:r>
      <w:r w:rsidRPr="00BD023E">
        <w:rPr>
          <w:lang w:val="fr-CA" w:bidi="fr-FR"/>
        </w:rPr>
        <w:t xml:space="preserve"> l</w:t>
      </w:r>
      <w:r>
        <w:rPr>
          <w:lang w:val="fr-CA" w:bidi="fr-FR"/>
        </w:rPr>
        <w:t>’</w:t>
      </w:r>
      <w:r w:rsidRPr="00BD023E">
        <w:rPr>
          <w:lang w:val="fr-CA" w:bidi="fr-FR"/>
        </w:rPr>
        <w:t xml:space="preserve">évaluation finale du Plan stratégique </w:t>
      </w:r>
      <w:r w:rsidRPr="003001BC">
        <w:rPr>
          <w:lang w:val="fr-CA" w:bidi="fr-FR"/>
        </w:rPr>
        <w:t>du Pro</w:t>
      </w:r>
      <w:r w:rsidRPr="003001BC">
        <w:rPr>
          <w:iCs/>
          <w:lang w:val="fr-CA"/>
        </w:rPr>
        <w:t>tocole de Cartagena sur la prévention des risques biotechnologiques pour la période 2011</w:t>
      </w:r>
      <w:r w:rsidRPr="003001BC">
        <w:rPr>
          <w:iCs/>
          <w:lang w:val="fr-CA"/>
        </w:rPr>
        <w:noBreakHyphen/>
        <w:t>2020</w:t>
      </w:r>
      <w:r>
        <w:rPr>
          <w:iCs/>
          <w:lang w:val="fr-CA"/>
        </w:rPr>
        <w:t xml:space="preserve">, </w:t>
      </w:r>
      <w:r w:rsidRPr="00BD023E">
        <w:rPr>
          <w:lang w:val="fr-CA" w:bidi="fr-FR"/>
        </w:rPr>
        <w:t>et mettre cette information à la disposition du Groupe de liaison et</w:t>
      </w:r>
      <w:r>
        <w:rPr>
          <w:lang w:val="fr-CA" w:bidi="fr-FR"/>
        </w:rPr>
        <w:t>, selon qu’il convient,</w:t>
      </w:r>
      <w:r w:rsidRPr="00BD023E">
        <w:rPr>
          <w:lang w:val="fr-CA" w:bidi="fr-FR"/>
        </w:rPr>
        <w:t xml:space="preserve"> du Comité </w:t>
      </w:r>
      <w:r>
        <w:rPr>
          <w:lang w:val="fr-CA" w:bidi="fr-FR"/>
        </w:rPr>
        <w:t xml:space="preserve">chargé du </w:t>
      </w:r>
      <w:r w:rsidRPr="00BD023E">
        <w:rPr>
          <w:lang w:val="fr-CA" w:bidi="fr-FR"/>
        </w:rPr>
        <w:t>respect des obligations</w:t>
      </w:r>
      <w:r w:rsidRPr="003758FF">
        <w:rPr>
          <w:lang w:val="fr-CA"/>
        </w:rPr>
        <w:t>;</w:t>
      </w:r>
    </w:p>
    <w:p w14:paraId="0B77DAA2" w14:textId="77777777" w:rsidR="00952749" w:rsidRPr="003758FF" w:rsidRDefault="00952749" w:rsidP="00952749">
      <w:pPr>
        <w:pStyle w:val="Para1"/>
        <w:numPr>
          <w:ilvl w:val="0"/>
          <w:numId w:val="13"/>
        </w:numPr>
        <w:tabs>
          <w:tab w:val="clear" w:pos="360"/>
        </w:tabs>
        <w:kinsoku w:val="0"/>
        <w:overflowPunct w:val="0"/>
        <w:autoSpaceDE w:val="0"/>
        <w:autoSpaceDN w:val="0"/>
        <w:ind w:firstLine="720"/>
        <w:rPr>
          <w:lang w:val="fr-CA"/>
        </w:rPr>
      </w:pPr>
      <w:r>
        <w:rPr>
          <w:i/>
          <w:lang w:val="fr-CA" w:bidi="fr-FR"/>
        </w:rPr>
        <w:t>Demande</w:t>
      </w:r>
      <w:r w:rsidRPr="00BD023E">
        <w:rPr>
          <w:lang w:val="fr-CA" w:bidi="fr-FR"/>
        </w:rPr>
        <w:t xml:space="preserve"> </w:t>
      </w:r>
      <w:r>
        <w:rPr>
          <w:lang w:val="fr-CA" w:bidi="fr-FR"/>
        </w:rPr>
        <w:t>au Groupe de liaison sur le</w:t>
      </w:r>
      <w:r w:rsidRPr="003001BC">
        <w:rPr>
          <w:lang w:val="fr-CA" w:bidi="fr-FR"/>
        </w:rPr>
        <w:t xml:space="preserve"> Pro</w:t>
      </w:r>
      <w:r w:rsidRPr="003001BC">
        <w:rPr>
          <w:iCs/>
          <w:lang w:val="fr-CA"/>
        </w:rPr>
        <w:t>tocole de Cartagena sur la prévention des risques biotechnolo</w:t>
      </w:r>
      <w:r>
        <w:rPr>
          <w:iCs/>
          <w:lang w:val="fr-CA"/>
        </w:rPr>
        <w:t xml:space="preserve">giques </w:t>
      </w:r>
      <w:r>
        <w:rPr>
          <w:lang w:val="fr-CA" w:bidi="fr-FR"/>
        </w:rPr>
        <w:t>et au</w:t>
      </w:r>
      <w:r w:rsidRPr="00BD023E">
        <w:rPr>
          <w:lang w:val="fr-CA" w:bidi="fr-FR"/>
        </w:rPr>
        <w:t xml:space="preserve"> </w:t>
      </w:r>
      <w:r>
        <w:rPr>
          <w:lang w:val="fr-CA" w:bidi="fr-FR"/>
        </w:rPr>
        <w:t xml:space="preserve">Comité chargé du respect des obligations de contribuer à </w:t>
      </w:r>
      <w:r w:rsidRPr="00BD023E">
        <w:rPr>
          <w:lang w:val="fr-CA" w:bidi="fr-FR"/>
        </w:rPr>
        <w:t xml:space="preserve">la quatrième évaluation et </w:t>
      </w:r>
      <w:r>
        <w:rPr>
          <w:lang w:val="fr-CA" w:bidi="fr-FR"/>
        </w:rPr>
        <w:t>examen</w:t>
      </w:r>
      <w:r w:rsidRPr="00BD023E">
        <w:rPr>
          <w:lang w:val="fr-CA" w:bidi="fr-FR"/>
        </w:rPr>
        <w:t xml:space="preserve"> du </w:t>
      </w:r>
      <w:r>
        <w:rPr>
          <w:lang w:val="fr-CA" w:bidi="fr-FR"/>
        </w:rPr>
        <w:t>Protocole de Cartagena</w:t>
      </w:r>
      <w:r w:rsidRPr="00BD023E">
        <w:rPr>
          <w:lang w:val="fr-CA" w:bidi="fr-FR"/>
        </w:rPr>
        <w:t xml:space="preserve"> et à l</w:t>
      </w:r>
      <w:r>
        <w:rPr>
          <w:lang w:val="fr-CA" w:bidi="fr-FR"/>
        </w:rPr>
        <w:t>’</w:t>
      </w:r>
      <w:r w:rsidRPr="00BD023E">
        <w:rPr>
          <w:lang w:val="fr-CA" w:bidi="fr-FR"/>
        </w:rPr>
        <w:t>évaluation finale du Plan stratégique</w:t>
      </w:r>
      <w:r>
        <w:rPr>
          <w:lang w:val="fr-CA" w:bidi="fr-FR"/>
        </w:rPr>
        <w:t xml:space="preserve"> </w:t>
      </w:r>
      <w:r w:rsidRPr="003001BC">
        <w:rPr>
          <w:lang w:val="fr-CA" w:bidi="fr-FR"/>
        </w:rPr>
        <w:t>du Pro</w:t>
      </w:r>
      <w:r w:rsidRPr="003001BC">
        <w:rPr>
          <w:iCs/>
          <w:lang w:val="fr-CA"/>
        </w:rPr>
        <w:t>tocole de Cartagena sur la prévention des risques biotechnologiques pour la période 2011</w:t>
      </w:r>
      <w:r w:rsidRPr="003001BC">
        <w:rPr>
          <w:iCs/>
          <w:lang w:val="fr-CA"/>
        </w:rPr>
        <w:noBreakHyphen/>
        <w:t>2020</w:t>
      </w:r>
      <w:r>
        <w:rPr>
          <w:iCs/>
          <w:lang w:val="fr-CA"/>
        </w:rPr>
        <w:t xml:space="preserve">, </w:t>
      </w:r>
      <w:r>
        <w:rPr>
          <w:lang w:val="fr-CA" w:bidi="fr-FR"/>
        </w:rPr>
        <w:t>en travaillant de manière complémentaire et en évitant de faire double emploi, et de présenter leurs conclusions à</w:t>
      </w:r>
      <w:r w:rsidRPr="00BD023E">
        <w:rPr>
          <w:lang w:val="fr-CA" w:bidi="fr-FR"/>
        </w:rPr>
        <w:t xml:space="preserve"> l</w:t>
      </w:r>
      <w:r>
        <w:rPr>
          <w:lang w:val="fr-CA" w:bidi="fr-FR"/>
        </w:rPr>
        <w:t>’</w:t>
      </w:r>
      <w:r w:rsidRPr="00BD023E">
        <w:rPr>
          <w:lang w:val="fr-CA" w:bidi="fr-FR"/>
        </w:rPr>
        <w:t>Organe subsidiaire chargé de l</w:t>
      </w:r>
      <w:r>
        <w:rPr>
          <w:lang w:val="fr-CA" w:bidi="fr-FR"/>
        </w:rPr>
        <w:t>’</w:t>
      </w:r>
      <w:r w:rsidRPr="00BD023E">
        <w:rPr>
          <w:lang w:val="fr-CA" w:bidi="fr-FR"/>
        </w:rPr>
        <w:t>applicatio</w:t>
      </w:r>
      <w:r>
        <w:rPr>
          <w:lang w:val="fr-CA" w:bidi="fr-FR"/>
        </w:rPr>
        <w:t>n pour examen</w:t>
      </w:r>
      <w:r w:rsidRPr="003758FF">
        <w:rPr>
          <w:lang w:val="fr-CA"/>
        </w:rPr>
        <w:t>;</w:t>
      </w:r>
    </w:p>
    <w:p w14:paraId="100B3326" w14:textId="77777777" w:rsidR="00952749" w:rsidRPr="003758FF" w:rsidRDefault="00952749" w:rsidP="00952749">
      <w:pPr>
        <w:pStyle w:val="Para1"/>
        <w:numPr>
          <w:ilvl w:val="0"/>
          <w:numId w:val="13"/>
        </w:numPr>
        <w:tabs>
          <w:tab w:val="clear" w:pos="360"/>
        </w:tabs>
        <w:kinsoku w:val="0"/>
        <w:overflowPunct w:val="0"/>
        <w:autoSpaceDE w:val="0"/>
        <w:autoSpaceDN w:val="0"/>
        <w:spacing w:after="240"/>
        <w:ind w:firstLine="720"/>
        <w:rPr>
          <w:lang w:val="fr-CA"/>
        </w:rPr>
      </w:pPr>
      <w:r w:rsidRPr="00BD023E">
        <w:rPr>
          <w:i/>
          <w:lang w:val="fr-CA" w:bidi="fr-FR"/>
        </w:rPr>
        <w:t>Demande</w:t>
      </w:r>
      <w:r w:rsidRPr="00BD023E">
        <w:rPr>
          <w:lang w:val="fr-CA" w:bidi="fr-FR"/>
        </w:rPr>
        <w:t xml:space="preserve"> à l</w:t>
      </w:r>
      <w:r>
        <w:rPr>
          <w:lang w:val="fr-CA" w:bidi="fr-FR"/>
        </w:rPr>
        <w:t>’</w:t>
      </w:r>
      <w:r w:rsidRPr="00BD023E">
        <w:rPr>
          <w:lang w:val="fr-CA" w:bidi="fr-FR"/>
        </w:rPr>
        <w:t>Organe subsidiaire chargé de l</w:t>
      </w:r>
      <w:r>
        <w:rPr>
          <w:lang w:val="fr-CA" w:bidi="fr-FR"/>
        </w:rPr>
        <w:t>’</w:t>
      </w:r>
      <w:r w:rsidRPr="00BD023E">
        <w:rPr>
          <w:lang w:val="fr-CA" w:bidi="fr-FR"/>
        </w:rPr>
        <w:t>application</w:t>
      </w:r>
      <w:r>
        <w:rPr>
          <w:lang w:val="fr-CA" w:bidi="fr-FR"/>
        </w:rPr>
        <w:t xml:space="preserve"> d’examiner, à sa troisième réunion, </w:t>
      </w:r>
      <w:r w:rsidRPr="00BD023E">
        <w:rPr>
          <w:lang w:val="fr-CA" w:bidi="fr-FR"/>
        </w:rPr>
        <w:t xml:space="preserve">les informations fournies et les conclusions formulées par le Groupe de liaison et le </w:t>
      </w:r>
      <w:r>
        <w:rPr>
          <w:lang w:val="fr-CA" w:bidi="fr-FR"/>
        </w:rPr>
        <w:t>Comité chargé du respect des obligations, et de présenter</w:t>
      </w:r>
      <w:r w:rsidRPr="00BD023E">
        <w:rPr>
          <w:lang w:val="fr-CA" w:bidi="fr-FR"/>
        </w:rPr>
        <w:t xml:space="preserve"> ses conclusions et recommandations à la Conférence des Parties siégeant en tant que </w:t>
      </w:r>
      <w:r>
        <w:rPr>
          <w:lang w:val="fr-CA" w:bidi="fr-FR"/>
        </w:rPr>
        <w:t xml:space="preserve">réunion des </w:t>
      </w:r>
      <w:r w:rsidRPr="00BD023E">
        <w:rPr>
          <w:lang w:val="fr-CA" w:bidi="fr-FR"/>
        </w:rPr>
        <w:t xml:space="preserve">Parties au Protocole de Cartagena à sa dixième réunion, en vue de faciliter la quatrième évaluation et </w:t>
      </w:r>
      <w:r>
        <w:rPr>
          <w:lang w:val="fr-CA" w:bidi="fr-FR"/>
        </w:rPr>
        <w:t>examen</w:t>
      </w:r>
      <w:r w:rsidRPr="00BD023E">
        <w:rPr>
          <w:lang w:val="fr-CA" w:bidi="fr-FR"/>
        </w:rPr>
        <w:t xml:space="preserve"> du Protocole de Cartagena et l</w:t>
      </w:r>
      <w:r>
        <w:rPr>
          <w:lang w:val="fr-CA" w:bidi="fr-FR"/>
        </w:rPr>
        <w:t>’</w:t>
      </w:r>
      <w:r w:rsidRPr="00BD023E">
        <w:rPr>
          <w:lang w:val="fr-CA" w:bidi="fr-FR"/>
        </w:rPr>
        <w:t xml:space="preserve">évaluation finale du Plan </w:t>
      </w:r>
      <w:r>
        <w:rPr>
          <w:lang w:val="fr-CA" w:bidi="fr-FR"/>
        </w:rPr>
        <w:t>stratégique du Pro</w:t>
      </w:r>
      <w:r w:rsidRPr="00BD023E">
        <w:rPr>
          <w:lang w:val="fr-CA" w:bidi="fr-FR"/>
        </w:rPr>
        <w:t>tocole de Cartagena sur la prévention des risques biotechnologiques pour la période 2011</w:t>
      </w:r>
      <w:r>
        <w:rPr>
          <w:lang w:val="fr-CA" w:bidi="fr-FR"/>
        </w:rPr>
        <w:noBreakHyphen/>
      </w:r>
      <w:r w:rsidRPr="00BD023E">
        <w:rPr>
          <w:lang w:val="fr-CA" w:bidi="fr-FR"/>
        </w:rPr>
        <w:t>2020</w:t>
      </w:r>
      <w:r>
        <w:rPr>
          <w:lang w:val="fr-CA"/>
        </w:rPr>
        <w:t>.</w:t>
      </w:r>
    </w:p>
    <w:p w14:paraId="500C5A91" w14:textId="06633BB2" w:rsidR="00952749" w:rsidRDefault="00952749">
      <w:pPr>
        <w:jc w:val="left"/>
        <w:rPr>
          <w:lang w:val="fr-CA"/>
        </w:rPr>
      </w:pPr>
      <w:r>
        <w:rPr>
          <w:lang w:val="fr-CA"/>
        </w:rPr>
        <w:br w:type="page"/>
      </w:r>
    </w:p>
    <w:p w14:paraId="5085165F" w14:textId="5D129DEA" w:rsidR="00952749" w:rsidRPr="006F78B8" w:rsidRDefault="00E83799" w:rsidP="006F78B8">
      <w:pPr>
        <w:pStyle w:val="Heading2"/>
        <w:ind w:left="709" w:hanging="567"/>
        <w:jc w:val="left"/>
        <w:rPr>
          <w:caps/>
          <w:kern w:val="22"/>
          <w:szCs w:val="22"/>
        </w:rPr>
      </w:pPr>
      <w:bookmarkStart w:id="13" w:name="_Toc7428847"/>
      <w:r w:rsidRPr="006F78B8">
        <w:rPr>
          <w:rFonts w:eastAsia="Malgun Gothic"/>
          <w:lang w:eastAsia="x-none"/>
        </w:rPr>
        <w:lastRenderedPageBreak/>
        <w:t>9/7</w:t>
      </w:r>
      <w:r w:rsidR="006527BC" w:rsidRPr="006F78B8">
        <w:rPr>
          <w:rFonts w:eastAsia="Malgun Gothic"/>
          <w:lang w:eastAsia="x-none"/>
        </w:rPr>
        <w:t>.</w:t>
      </w:r>
      <w:r w:rsidR="006527BC" w:rsidRPr="006F78B8">
        <w:rPr>
          <w:rFonts w:eastAsia="Malgun Gothic"/>
          <w:lang w:eastAsia="x-none"/>
        </w:rPr>
        <w:tab/>
      </w:r>
      <w:r w:rsidR="005A202B" w:rsidRPr="006F78B8">
        <w:rPr>
          <w:rFonts w:eastAsia="Malgun Gothic"/>
          <w:lang w:eastAsia="x-none"/>
        </w:rPr>
        <w:t>Préparation du texte donnant suite au Plan stratégique pour la diversité biologique 2011-2020 et au Plan stratégique du Protocole de Cartagena sur la prévention des risques biotechnologiques 2011-2020</w:t>
      </w:r>
      <w:bookmarkEnd w:id="13"/>
    </w:p>
    <w:p w14:paraId="1CB80944" w14:textId="77777777" w:rsidR="00952749" w:rsidRPr="00D510E8" w:rsidRDefault="00952749" w:rsidP="00952749">
      <w:pPr>
        <w:adjustRightInd w:val="0"/>
        <w:snapToGrid w:val="0"/>
        <w:spacing w:before="240" w:after="120"/>
        <w:ind w:firstLine="720"/>
        <w:rPr>
          <w:i/>
          <w:color w:val="000000" w:themeColor="text1"/>
          <w:kern w:val="22"/>
          <w:lang w:eastAsia="fr-FR"/>
        </w:rPr>
      </w:pPr>
      <w:r w:rsidRPr="00D510E8">
        <w:rPr>
          <w:i/>
          <w:color w:val="000000" w:themeColor="text1"/>
          <w:kern w:val="22"/>
          <w:lang w:eastAsia="fr-FR"/>
        </w:rPr>
        <w:t>La Conférence des Parties siégeant en tant que réunion des Parties au Protocole de Cartagena sur la prévention des risques biotechnologiques</w:t>
      </w:r>
    </w:p>
    <w:p w14:paraId="5B482582" w14:textId="77777777" w:rsidR="00952749" w:rsidRPr="00D510E8" w:rsidRDefault="00952749" w:rsidP="004C7DBD">
      <w:pPr>
        <w:numPr>
          <w:ilvl w:val="0"/>
          <w:numId w:val="35"/>
        </w:numPr>
        <w:adjustRightInd w:val="0"/>
        <w:snapToGrid w:val="0"/>
        <w:spacing w:before="120" w:after="120"/>
        <w:ind w:left="0" w:firstLine="720"/>
        <w:rPr>
          <w:color w:val="000000" w:themeColor="text1"/>
          <w:kern w:val="22"/>
          <w:lang w:eastAsia="fr-FR"/>
        </w:rPr>
      </w:pPr>
      <w:r w:rsidRPr="00D510E8">
        <w:rPr>
          <w:i/>
          <w:color w:val="000000" w:themeColor="text1"/>
          <w:kern w:val="22"/>
          <w:lang w:eastAsia="fr-FR"/>
        </w:rPr>
        <w:t>Prend note</w:t>
      </w:r>
      <w:r w:rsidRPr="00D510E8">
        <w:rPr>
          <w:color w:val="000000" w:themeColor="text1"/>
          <w:kern w:val="22"/>
          <w:lang w:eastAsia="fr-FR"/>
        </w:rPr>
        <w:t xml:space="preserve"> de la proposition de processus préparatoire du cadre mondial de la biodiversité pour l’après-2020 qui donnera suite au Plan stratégique pour la diversité biologique 2011-2020, et </w:t>
      </w:r>
      <w:r w:rsidRPr="00D510E8">
        <w:rPr>
          <w:i/>
          <w:color w:val="000000" w:themeColor="text1"/>
          <w:kern w:val="22"/>
          <w:lang w:eastAsia="fr-FR"/>
        </w:rPr>
        <w:t>accueille avec satisfaction</w:t>
      </w:r>
      <w:r>
        <w:rPr>
          <w:color w:val="000000" w:themeColor="text1"/>
          <w:kern w:val="22"/>
          <w:lang w:eastAsia="fr-FR"/>
        </w:rPr>
        <w:t xml:space="preserve"> la décision 14/34 de la Conférence des Parties</w:t>
      </w:r>
      <w:r w:rsidRPr="00D510E8">
        <w:rPr>
          <w:color w:val="000000" w:themeColor="text1"/>
          <w:kern w:val="22"/>
          <w:lang w:eastAsia="fr-FR"/>
        </w:rPr>
        <w:t>;</w:t>
      </w:r>
    </w:p>
    <w:p w14:paraId="79D3C1B7" w14:textId="77777777" w:rsidR="00952749" w:rsidRPr="00D510E8" w:rsidRDefault="00952749" w:rsidP="004C7DBD">
      <w:pPr>
        <w:numPr>
          <w:ilvl w:val="0"/>
          <w:numId w:val="35"/>
        </w:numPr>
        <w:adjustRightInd w:val="0"/>
        <w:snapToGrid w:val="0"/>
        <w:spacing w:before="120" w:after="120"/>
        <w:ind w:left="0" w:firstLine="720"/>
        <w:rPr>
          <w:color w:val="000000" w:themeColor="text1"/>
          <w:kern w:val="22"/>
          <w:lang w:eastAsia="fr-FR"/>
        </w:rPr>
      </w:pPr>
      <w:r w:rsidRPr="00D510E8">
        <w:rPr>
          <w:i/>
          <w:color w:val="000000" w:themeColor="text1"/>
          <w:kern w:val="22"/>
          <w:lang w:eastAsia="fr-FR"/>
        </w:rPr>
        <w:t>Souligne</w:t>
      </w:r>
      <w:r w:rsidRPr="00D510E8">
        <w:rPr>
          <w:color w:val="000000" w:themeColor="text1"/>
          <w:kern w:val="22"/>
          <w:lang w:eastAsia="fr-FR"/>
        </w:rPr>
        <w:t xml:space="preserve"> l'importance d'inclure la prévention des risques biotechnologiques dans le cadre mondial de la bio</w:t>
      </w:r>
      <w:r>
        <w:rPr>
          <w:color w:val="000000" w:themeColor="text1"/>
          <w:kern w:val="22"/>
          <w:lang w:eastAsia="fr-FR"/>
        </w:rPr>
        <w:t>diversité pour l’après-2020, ainsi que la nécessité d'élaborer un P</w:t>
      </w:r>
      <w:r w:rsidRPr="00D510E8">
        <w:rPr>
          <w:color w:val="000000" w:themeColor="text1"/>
          <w:kern w:val="22"/>
          <w:lang w:eastAsia="fr-FR"/>
        </w:rPr>
        <w:t xml:space="preserve">lan de </w:t>
      </w:r>
      <w:r>
        <w:rPr>
          <w:color w:val="000000" w:themeColor="text1"/>
          <w:kern w:val="22"/>
          <w:lang w:eastAsia="fr-FR"/>
        </w:rPr>
        <w:t>mise en œuvre spécifique du</w:t>
      </w:r>
      <w:r w:rsidRPr="00D510E8">
        <w:rPr>
          <w:color w:val="000000" w:themeColor="text1"/>
          <w:kern w:val="22"/>
          <w:lang w:eastAsia="fr-FR"/>
        </w:rPr>
        <w:t xml:space="preserve"> Protocole de Cartagena sur la prévention des risqu</w:t>
      </w:r>
      <w:r>
        <w:rPr>
          <w:color w:val="000000" w:themeColor="text1"/>
          <w:kern w:val="22"/>
          <w:lang w:eastAsia="fr-FR"/>
        </w:rPr>
        <w:t xml:space="preserve">es biotechnologiques qui donnera </w:t>
      </w:r>
      <w:r w:rsidRPr="00D510E8">
        <w:rPr>
          <w:color w:val="000000" w:themeColor="text1"/>
          <w:kern w:val="22"/>
          <w:lang w:eastAsia="fr-FR"/>
        </w:rPr>
        <w:t>suite au Plan stratégique du Protocole de Cartagena sur la prévention des risques biotechnolog</w:t>
      </w:r>
      <w:r>
        <w:rPr>
          <w:color w:val="000000" w:themeColor="text1"/>
          <w:kern w:val="22"/>
          <w:lang w:eastAsia="fr-FR"/>
        </w:rPr>
        <w:t>iques pour la période 2011-2020</w:t>
      </w:r>
      <w:r w:rsidRPr="00D510E8">
        <w:rPr>
          <w:color w:val="000000" w:themeColor="text1"/>
          <w:kern w:val="22"/>
          <w:lang w:eastAsia="fr-FR"/>
        </w:rPr>
        <w:t>;</w:t>
      </w:r>
    </w:p>
    <w:p w14:paraId="4BBB9359" w14:textId="77777777" w:rsidR="00952749" w:rsidRPr="00D510E8" w:rsidRDefault="00952749" w:rsidP="004C7DBD">
      <w:pPr>
        <w:numPr>
          <w:ilvl w:val="0"/>
          <w:numId w:val="35"/>
        </w:numPr>
        <w:suppressLineNumbers/>
        <w:suppressAutoHyphens/>
        <w:kinsoku w:val="0"/>
        <w:overflowPunct w:val="0"/>
        <w:autoSpaceDE w:val="0"/>
        <w:autoSpaceDN w:val="0"/>
        <w:adjustRightInd w:val="0"/>
        <w:snapToGrid w:val="0"/>
        <w:spacing w:before="120" w:after="120"/>
        <w:ind w:left="0" w:firstLine="720"/>
        <w:rPr>
          <w:color w:val="000000" w:themeColor="text1"/>
          <w:kern w:val="22"/>
          <w:lang w:eastAsia="fr-FR"/>
        </w:rPr>
      </w:pPr>
      <w:r w:rsidRPr="00D510E8">
        <w:rPr>
          <w:i/>
          <w:snapToGrid w:val="0"/>
          <w:color w:val="000000" w:themeColor="text1"/>
          <w:kern w:val="22"/>
          <w:szCs w:val="22"/>
          <w:lang w:eastAsia="fr-FR"/>
        </w:rPr>
        <w:t>Prend note également</w:t>
      </w:r>
      <w:r w:rsidRPr="00D510E8">
        <w:rPr>
          <w:color w:val="000000" w:themeColor="text1"/>
          <w:kern w:val="22"/>
          <w:lang w:eastAsia="fr-FR"/>
        </w:rPr>
        <w:t xml:space="preserve"> de l’importan</w:t>
      </w:r>
      <w:r>
        <w:rPr>
          <w:color w:val="000000" w:themeColor="text1"/>
          <w:kern w:val="22"/>
          <w:lang w:eastAsia="fr-FR"/>
        </w:rPr>
        <w:t xml:space="preserve">ce d’une participation active des </w:t>
      </w:r>
      <w:r w:rsidRPr="00D510E8">
        <w:rPr>
          <w:color w:val="000000" w:themeColor="text1"/>
          <w:kern w:val="22"/>
          <w:lang w:eastAsia="fr-FR"/>
        </w:rPr>
        <w:t>experts en matière de prévention des risques biot</w:t>
      </w:r>
      <w:r>
        <w:rPr>
          <w:color w:val="000000" w:themeColor="text1"/>
          <w:kern w:val="22"/>
          <w:lang w:eastAsia="fr-FR"/>
        </w:rPr>
        <w:t>echnologiques, notamment</w:t>
      </w:r>
      <w:r w:rsidRPr="00D510E8">
        <w:rPr>
          <w:color w:val="000000" w:themeColor="text1"/>
          <w:kern w:val="22"/>
          <w:lang w:eastAsia="fr-FR"/>
        </w:rPr>
        <w:t xml:space="preserve"> ceux qui disposent d’une expertise concernant le Protocole additionnel de Nagoya – Kuala Lumpur sur la responsabilité et la réparation, à l’élaboration du cadre mondial de la biodiversité pour l’après-2020;</w:t>
      </w:r>
    </w:p>
    <w:p w14:paraId="76109F8F" w14:textId="77777777" w:rsidR="00952749" w:rsidRPr="00D510E8" w:rsidRDefault="00952749" w:rsidP="004C7DBD">
      <w:pPr>
        <w:numPr>
          <w:ilvl w:val="0"/>
          <w:numId w:val="35"/>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lang w:eastAsia="fr-FR"/>
        </w:rPr>
      </w:pPr>
      <w:r w:rsidRPr="00D510E8">
        <w:rPr>
          <w:i/>
          <w:iCs/>
          <w:snapToGrid w:val="0"/>
          <w:color w:val="000000" w:themeColor="text1"/>
          <w:kern w:val="22"/>
          <w:szCs w:val="22"/>
          <w:lang w:eastAsia="fr-FR"/>
        </w:rPr>
        <w:t>Invite</w:t>
      </w:r>
      <w:r w:rsidRPr="00D510E8">
        <w:rPr>
          <w:snapToGrid w:val="0"/>
          <w:color w:val="000000" w:themeColor="text1"/>
          <w:kern w:val="22"/>
          <w:szCs w:val="22"/>
          <w:lang w:eastAsia="fr-FR"/>
        </w:rPr>
        <w:t xml:space="preserve"> les Parties à participer au processus d'élaboration du cadre mondial de la</w:t>
      </w:r>
      <w:r>
        <w:rPr>
          <w:snapToGrid w:val="0"/>
          <w:color w:val="000000" w:themeColor="text1"/>
          <w:kern w:val="22"/>
          <w:szCs w:val="22"/>
          <w:lang w:eastAsia="fr-FR"/>
        </w:rPr>
        <w:t xml:space="preserve"> biodiversité pour l'après-2020</w:t>
      </w:r>
      <w:r w:rsidRPr="00D510E8">
        <w:rPr>
          <w:snapToGrid w:val="0"/>
          <w:color w:val="000000" w:themeColor="text1"/>
          <w:kern w:val="22"/>
          <w:szCs w:val="22"/>
          <w:lang w:eastAsia="fr-FR"/>
        </w:rPr>
        <w:t>;</w:t>
      </w:r>
    </w:p>
    <w:p w14:paraId="76C6362B" w14:textId="77777777" w:rsidR="00952749" w:rsidRPr="00D510E8" w:rsidRDefault="00952749" w:rsidP="004C7DBD">
      <w:pPr>
        <w:numPr>
          <w:ilvl w:val="0"/>
          <w:numId w:val="35"/>
        </w:numPr>
        <w:adjustRightInd w:val="0"/>
        <w:snapToGrid w:val="0"/>
        <w:spacing w:before="120" w:after="120"/>
        <w:ind w:left="0" w:firstLine="720"/>
        <w:rPr>
          <w:color w:val="000000" w:themeColor="text1"/>
          <w:kern w:val="22"/>
          <w:lang w:eastAsia="fr-FR"/>
        </w:rPr>
      </w:pPr>
      <w:r w:rsidRPr="00D510E8">
        <w:rPr>
          <w:i/>
          <w:color w:val="000000" w:themeColor="text1"/>
          <w:kern w:val="22"/>
          <w:lang w:eastAsia="fr-FR"/>
        </w:rPr>
        <w:t>Décide</w:t>
      </w:r>
      <w:r>
        <w:rPr>
          <w:color w:val="000000" w:themeColor="text1"/>
          <w:kern w:val="22"/>
          <w:lang w:eastAsia="fr-FR"/>
        </w:rPr>
        <w:t xml:space="preserve"> d'élaborer un P</w:t>
      </w:r>
      <w:r w:rsidRPr="00D510E8">
        <w:rPr>
          <w:color w:val="000000" w:themeColor="text1"/>
          <w:kern w:val="22"/>
          <w:lang w:eastAsia="fr-FR"/>
        </w:rPr>
        <w:t xml:space="preserve">lan </w:t>
      </w:r>
      <w:r>
        <w:rPr>
          <w:color w:val="000000" w:themeColor="text1"/>
          <w:kern w:val="22"/>
          <w:lang w:eastAsia="fr-FR"/>
        </w:rPr>
        <w:t>de mise en œuvre spécifique du</w:t>
      </w:r>
      <w:r w:rsidRPr="00D510E8">
        <w:rPr>
          <w:color w:val="000000" w:themeColor="text1"/>
          <w:kern w:val="22"/>
          <w:lang w:eastAsia="fr-FR"/>
        </w:rPr>
        <w:t xml:space="preserve"> Protocole de Cartagena sur la prévention des risques biotechnolog</w:t>
      </w:r>
      <w:r>
        <w:rPr>
          <w:color w:val="000000" w:themeColor="text1"/>
          <w:kern w:val="22"/>
          <w:lang w:eastAsia="fr-FR"/>
        </w:rPr>
        <w:t>iques pour l'après-2020 qui sera basé sur,</w:t>
      </w:r>
      <w:r w:rsidRPr="00D510E8">
        <w:rPr>
          <w:color w:val="000000" w:themeColor="text1"/>
          <w:kern w:val="22"/>
          <w:lang w:eastAsia="fr-FR"/>
        </w:rPr>
        <w:t xml:space="preserve"> et complémentaire du cadre mondial de la biodiversité pour l'après-2020, et </w:t>
      </w:r>
      <w:r w:rsidRPr="00D510E8">
        <w:rPr>
          <w:i/>
          <w:color w:val="000000" w:themeColor="text1"/>
          <w:kern w:val="22"/>
          <w:lang w:eastAsia="fr-FR"/>
        </w:rPr>
        <w:t>prie</w:t>
      </w:r>
      <w:r w:rsidRPr="00D510E8">
        <w:rPr>
          <w:color w:val="000000" w:themeColor="text1"/>
          <w:kern w:val="22"/>
          <w:lang w:eastAsia="fr-FR"/>
        </w:rPr>
        <w:t xml:space="preserve"> la Secrétaire exécutive de faciliter l'élaboration de ses élémen</w:t>
      </w:r>
      <w:r>
        <w:rPr>
          <w:color w:val="000000" w:themeColor="text1"/>
          <w:kern w:val="22"/>
          <w:lang w:eastAsia="fr-FR"/>
        </w:rPr>
        <w:t>ts</w:t>
      </w:r>
      <w:r w:rsidRPr="00D510E8">
        <w:rPr>
          <w:color w:val="000000" w:themeColor="text1"/>
          <w:kern w:val="22"/>
          <w:lang w:eastAsia="fr-FR"/>
        </w:rPr>
        <w:t>;</w:t>
      </w:r>
    </w:p>
    <w:p w14:paraId="2D190E54" w14:textId="77777777" w:rsidR="00952749" w:rsidRPr="00D510E8" w:rsidRDefault="00952749" w:rsidP="004C7DBD">
      <w:pPr>
        <w:numPr>
          <w:ilvl w:val="0"/>
          <w:numId w:val="35"/>
        </w:numPr>
        <w:spacing w:before="120" w:after="120"/>
        <w:ind w:left="0" w:firstLine="720"/>
        <w:rPr>
          <w:snapToGrid w:val="0"/>
          <w:color w:val="000000" w:themeColor="text1"/>
          <w:kern w:val="22"/>
          <w:szCs w:val="18"/>
          <w:lang w:eastAsia="fr-FR"/>
        </w:rPr>
      </w:pPr>
      <w:r>
        <w:rPr>
          <w:i/>
          <w:snapToGrid w:val="0"/>
          <w:color w:val="000000" w:themeColor="text1"/>
          <w:kern w:val="22"/>
          <w:szCs w:val="18"/>
          <w:lang w:eastAsia="fr-FR"/>
        </w:rPr>
        <w:t>Décide également</w:t>
      </w:r>
      <w:r>
        <w:rPr>
          <w:snapToGrid w:val="0"/>
          <w:color w:val="000000" w:themeColor="text1"/>
          <w:kern w:val="22"/>
          <w:szCs w:val="18"/>
          <w:lang w:eastAsia="fr-FR"/>
        </w:rPr>
        <w:t xml:space="preserve"> que le P</w:t>
      </w:r>
      <w:r w:rsidRPr="00D510E8">
        <w:rPr>
          <w:snapToGrid w:val="0"/>
          <w:color w:val="000000" w:themeColor="text1"/>
          <w:kern w:val="22"/>
          <w:szCs w:val="18"/>
          <w:lang w:eastAsia="fr-FR"/>
        </w:rPr>
        <w:t>lan de mise en œuvre spécifique du Protocole de Cartagena pour l'après-2020 devra : a) être élabo</w:t>
      </w:r>
      <w:r>
        <w:rPr>
          <w:snapToGrid w:val="0"/>
          <w:color w:val="000000" w:themeColor="text1"/>
          <w:kern w:val="22"/>
          <w:szCs w:val="18"/>
          <w:lang w:eastAsia="fr-FR"/>
        </w:rPr>
        <w:t>ré comme outil de mise en œuvre</w:t>
      </w:r>
      <w:r w:rsidRPr="00D510E8">
        <w:rPr>
          <w:snapToGrid w:val="0"/>
          <w:color w:val="000000" w:themeColor="text1"/>
          <w:kern w:val="22"/>
          <w:szCs w:val="18"/>
          <w:lang w:eastAsia="fr-FR"/>
        </w:rPr>
        <w:t>; b) intégrer les éléments du Plan stratégique du Protocole de Cartagena pour la période 201</w:t>
      </w:r>
      <w:r>
        <w:rPr>
          <w:snapToGrid w:val="0"/>
          <w:color w:val="000000" w:themeColor="text1"/>
          <w:kern w:val="22"/>
          <w:szCs w:val="18"/>
          <w:lang w:eastAsia="fr-FR"/>
        </w:rPr>
        <w:t>1-2020 qui demeurent pertinents</w:t>
      </w:r>
      <w:r w:rsidRPr="00D510E8">
        <w:rPr>
          <w:snapToGrid w:val="0"/>
          <w:color w:val="000000" w:themeColor="text1"/>
          <w:kern w:val="22"/>
          <w:szCs w:val="18"/>
          <w:lang w:eastAsia="fr-FR"/>
        </w:rPr>
        <w:t>; c) inclure de</w:t>
      </w:r>
      <w:r>
        <w:rPr>
          <w:snapToGrid w:val="0"/>
          <w:color w:val="000000" w:themeColor="text1"/>
          <w:kern w:val="22"/>
          <w:szCs w:val="18"/>
          <w:lang w:eastAsia="fr-FR"/>
        </w:rPr>
        <w:t>s</w:t>
      </w:r>
      <w:r w:rsidRPr="00D510E8">
        <w:rPr>
          <w:snapToGrid w:val="0"/>
          <w:color w:val="000000" w:themeColor="text1"/>
          <w:kern w:val="22"/>
          <w:szCs w:val="18"/>
          <w:lang w:eastAsia="fr-FR"/>
        </w:rPr>
        <w:t xml:space="preserve"> nouveaux éléments intégrant les enseignements tirés et les nouveaux développements en matière de prévention des risques biotechnologiq</w:t>
      </w:r>
      <w:r>
        <w:rPr>
          <w:snapToGrid w:val="0"/>
          <w:color w:val="000000" w:themeColor="text1"/>
          <w:kern w:val="22"/>
          <w:szCs w:val="18"/>
          <w:lang w:eastAsia="fr-FR"/>
        </w:rPr>
        <w:t>ues; d) être suffisamment souple pour tenir</w:t>
      </w:r>
      <w:r w:rsidRPr="00D510E8">
        <w:rPr>
          <w:snapToGrid w:val="0"/>
          <w:color w:val="000000" w:themeColor="text1"/>
          <w:kern w:val="22"/>
          <w:szCs w:val="18"/>
          <w:lang w:eastAsia="fr-FR"/>
        </w:rPr>
        <w:t xml:space="preserve"> com</w:t>
      </w:r>
      <w:r>
        <w:rPr>
          <w:snapToGrid w:val="0"/>
          <w:color w:val="000000" w:themeColor="text1"/>
          <w:kern w:val="22"/>
          <w:szCs w:val="18"/>
          <w:lang w:eastAsia="fr-FR"/>
        </w:rPr>
        <w:t>pte des évolutions dur</w:t>
      </w:r>
      <w:r w:rsidRPr="00D510E8">
        <w:rPr>
          <w:snapToGrid w:val="0"/>
          <w:color w:val="000000" w:themeColor="text1"/>
          <w:kern w:val="22"/>
          <w:szCs w:val="18"/>
          <w:lang w:eastAsia="fr-FR"/>
        </w:rPr>
        <w:t>ant l</w:t>
      </w:r>
      <w:r>
        <w:rPr>
          <w:snapToGrid w:val="0"/>
          <w:color w:val="000000" w:themeColor="text1"/>
          <w:kern w:val="22"/>
          <w:szCs w:val="18"/>
          <w:lang w:eastAsia="fr-FR"/>
        </w:rPr>
        <w:t>a période de mise en œuvre; e) inclure</w:t>
      </w:r>
      <w:r w:rsidRPr="00D510E8">
        <w:rPr>
          <w:snapToGrid w:val="0"/>
          <w:color w:val="000000" w:themeColor="text1"/>
          <w:kern w:val="22"/>
          <w:szCs w:val="18"/>
          <w:lang w:eastAsia="fr-FR"/>
        </w:rPr>
        <w:t xml:space="preserve"> des indicateurs simples et facilement mesurables pour faciliter l’examen des progrès accomplis </w:t>
      </w:r>
      <w:r>
        <w:rPr>
          <w:snapToGrid w:val="0"/>
          <w:color w:val="000000" w:themeColor="text1"/>
          <w:kern w:val="22"/>
          <w:szCs w:val="18"/>
          <w:lang w:eastAsia="fr-FR"/>
        </w:rPr>
        <w:t>dans l’application du Protocole</w:t>
      </w:r>
      <w:r w:rsidRPr="00D510E8">
        <w:rPr>
          <w:snapToGrid w:val="0"/>
          <w:color w:val="000000" w:themeColor="text1"/>
          <w:kern w:val="22"/>
          <w:szCs w:val="18"/>
          <w:lang w:eastAsia="fr-FR"/>
        </w:rPr>
        <w:t>;</w:t>
      </w:r>
    </w:p>
    <w:p w14:paraId="354765FD" w14:textId="77777777" w:rsidR="00952749" w:rsidRPr="00D510E8" w:rsidRDefault="00952749" w:rsidP="00952749">
      <w:pPr>
        <w:spacing w:before="120" w:after="120"/>
        <w:ind w:firstLine="709"/>
        <w:rPr>
          <w:snapToGrid w:val="0"/>
          <w:kern w:val="22"/>
          <w:szCs w:val="18"/>
          <w:lang w:eastAsia="fr-FR"/>
        </w:rPr>
      </w:pPr>
      <w:r w:rsidRPr="00D510E8">
        <w:rPr>
          <w:snapToGrid w:val="0"/>
          <w:kern w:val="22"/>
          <w:szCs w:val="18"/>
          <w:lang w:eastAsia="fr-FR"/>
        </w:rPr>
        <w:t>7.</w:t>
      </w:r>
      <w:r w:rsidRPr="00D510E8">
        <w:rPr>
          <w:snapToGrid w:val="0"/>
          <w:kern w:val="22"/>
          <w:szCs w:val="18"/>
          <w:lang w:eastAsia="fr-FR"/>
        </w:rPr>
        <w:tab/>
      </w:r>
      <w:r w:rsidRPr="00D510E8">
        <w:rPr>
          <w:i/>
          <w:snapToGrid w:val="0"/>
          <w:kern w:val="22"/>
          <w:szCs w:val="18"/>
          <w:lang w:eastAsia="fr-FR"/>
        </w:rPr>
        <w:t>Décide</w:t>
      </w:r>
      <w:r>
        <w:rPr>
          <w:i/>
          <w:snapToGrid w:val="0"/>
          <w:kern w:val="22"/>
          <w:szCs w:val="18"/>
          <w:lang w:eastAsia="fr-FR"/>
        </w:rPr>
        <w:t xml:space="preserve"> en outre</w:t>
      </w:r>
      <w:r w:rsidRPr="00D510E8">
        <w:rPr>
          <w:i/>
          <w:snapToGrid w:val="0"/>
          <w:kern w:val="22"/>
          <w:szCs w:val="18"/>
          <w:lang w:eastAsia="fr-FR"/>
        </w:rPr>
        <w:t xml:space="preserve"> </w:t>
      </w:r>
      <w:r w:rsidRPr="00D510E8">
        <w:rPr>
          <w:snapToGrid w:val="0"/>
          <w:kern w:val="22"/>
          <w:szCs w:val="18"/>
          <w:lang w:eastAsia="fr-FR"/>
        </w:rPr>
        <w:t>de prolonger le mandat et d'étendre le champ d'application du Groupe de liaison sur le renforcement des capacités en matière de prévention des risques biotechnologiques, tel qu'énoncé dans l'annexe, d'inclure des compétences spécifique</w:t>
      </w:r>
      <w:r>
        <w:rPr>
          <w:snapToGrid w:val="0"/>
          <w:kern w:val="22"/>
          <w:szCs w:val="18"/>
          <w:lang w:eastAsia="fr-FR"/>
        </w:rPr>
        <w:t>s basées sur l'expérience concrète acquise dans l’application</w:t>
      </w:r>
      <w:r w:rsidRPr="00D510E8">
        <w:rPr>
          <w:snapToGrid w:val="0"/>
          <w:kern w:val="22"/>
          <w:szCs w:val="18"/>
          <w:lang w:eastAsia="fr-FR"/>
        </w:rPr>
        <w:t xml:space="preserve"> du</w:t>
      </w:r>
      <w:r>
        <w:rPr>
          <w:snapToGrid w:val="0"/>
          <w:kern w:val="22"/>
          <w:szCs w:val="18"/>
          <w:lang w:eastAsia="fr-FR"/>
        </w:rPr>
        <w:t xml:space="preserve"> Protocole et les questions liées à </w:t>
      </w:r>
      <w:r w:rsidRPr="00D510E8">
        <w:rPr>
          <w:snapToGrid w:val="0"/>
          <w:kern w:val="22"/>
          <w:szCs w:val="18"/>
          <w:lang w:eastAsia="fr-FR"/>
        </w:rPr>
        <w:t>la prévention des risques biotechnologiques, en tenant compte de la repr</w:t>
      </w:r>
      <w:r>
        <w:rPr>
          <w:snapToGrid w:val="0"/>
          <w:kern w:val="22"/>
          <w:szCs w:val="18"/>
          <w:lang w:eastAsia="fr-FR"/>
        </w:rPr>
        <w:t>ésentation géographique et des points de vues divergents, et de l’appeler désormais</w:t>
      </w:r>
      <w:r w:rsidRPr="00D510E8">
        <w:rPr>
          <w:snapToGrid w:val="0"/>
          <w:kern w:val="22"/>
          <w:szCs w:val="18"/>
          <w:lang w:eastAsia="fr-FR"/>
        </w:rPr>
        <w:t xml:space="preserve"> « Groupe de liaison sur le Protocole de Cartagena sur la prévention des </w:t>
      </w:r>
      <w:r>
        <w:rPr>
          <w:snapToGrid w:val="0"/>
          <w:kern w:val="22"/>
          <w:szCs w:val="18"/>
          <w:lang w:eastAsia="fr-FR"/>
        </w:rPr>
        <w:t>risques biotechnologiques »</w:t>
      </w:r>
      <w:r w:rsidRPr="00D510E8">
        <w:rPr>
          <w:snapToGrid w:val="0"/>
          <w:kern w:val="22"/>
          <w:szCs w:val="18"/>
          <w:lang w:eastAsia="fr-FR"/>
        </w:rPr>
        <w:t>;</w:t>
      </w:r>
    </w:p>
    <w:p w14:paraId="0F205A9A" w14:textId="77777777" w:rsidR="00952749" w:rsidRPr="00D510E8" w:rsidRDefault="00952749" w:rsidP="004C7DBD">
      <w:pPr>
        <w:numPr>
          <w:ilvl w:val="0"/>
          <w:numId w:val="37"/>
        </w:numPr>
        <w:spacing w:before="120" w:after="120"/>
        <w:ind w:left="0" w:firstLine="709"/>
        <w:rPr>
          <w:snapToGrid w:val="0"/>
          <w:kern w:val="22"/>
          <w:szCs w:val="18"/>
          <w:lang w:eastAsia="fr-FR"/>
        </w:rPr>
      </w:pPr>
      <w:r w:rsidRPr="00D510E8">
        <w:rPr>
          <w:i/>
          <w:snapToGrid w:val="0"/>
          <w:color w:val="000000" w:themeColor="text1"/>
          <w:kern w:val="22"/>
          <w:szCs w:val="18"/>
          <w:lang w:eastAsia="fr-FR"/>
        </w:rPr>
        <w:t xml:space="preserve">Prie </w:t>
      </w:r>
      <w:r>
        <w:rPr>
          <w:snapToGrid w:val="0"/>
          <w:color w:val="000000" w:themeColor="text1"/>
          <w:kern w:val="22"/>
          <w:szCs w:val="18"/>
          <w:lang w:eastAsia="fr-FR"/>
        </w:rPr>
        <w:t>le G</w:t>
      </w:r>
      <w:r w:rsidRPr="00D510E8">
        <w:rPr>
          <w:snapToGrid w:val="0"/>
          <w:color w:val="000000" w:themeColor="text1"/>
          <w:kern w:val="22"/>
          <w:szCs w:val="18"/>
          <w:lang w:eastAsia="fr-FR"/>
        </w:rPr>
        <w:t>roupe de liaison de contribuer à l'élabor</w:t>
      </w:r>
      <w:r>
        <w:rPr>
          <w:snapToGrid w:val="0"/>
          <w:color w:val="000000" w:themeColor="text1"/>
          <w:kern w:val="22"/>
          <w:szCs w:val="18"/>
          <w:lang w:eastAsia="fr-FR"/>
        </w:rPr>
        <w:t xml:space="preserve">ation d'éléments pertinents concernant </w:t>
      </w:r>
      <w:r w:rsidRPr="00D510E8">
        <w:rPr>
          <w:snapToGrid w:val="0"/>
          <w:color w:val="000000" w:themeColor="text1"/>
          <w:kern w:val="22"/>
          <w:szCs w:val="18"/>
          <w:lang w:eastAsia="fr-FR"/>
        </w:rPr>
        <w:t>la prévention des risques biotechnologiques dans le cadre mondial de la biodiversité pour l'après-2020, en consultation avec les coprésidents du Groupe de travail à composition non limitée</w:t>
      </w:r>
      <w:r w:rsidRPr="00D510E8">
        <w:rPr>
          <w:snapToGrid w:val="0"/>
          <w:color w:val="000000" w:themeColor="text1"/>
          <w:kern w:val="22"/>
          <w:szCs w:val="18"/>
          <w:vertAlign w:val="superscript"/>
          <w:lang w:eastAsia="fr-FR"/>
        </w:rPr>
        <w:footnoteReference w:id="16"/>
      </w:r>
      <w:r w:rsidRPr="00D510E8">
        <w:rPr>
          <w:snapToGrid w:val="0"/>
          <w:color w:val="000000" w:themeColor="text1"/>
          <w:kern w:val="22"/>
          <w:szCs w:val="18"/>
          <w:lang w:eastAsia="fr-FR"/>
        </w:rPr>
        <w:t>, et dans</w:t>
      </w:r>
      <w:r>
        <w:rPr>
          <w:snapToGrid w:val="0"/>
          <w:color w:val="000000" w:themeColor="text1"/>
          <w:kern w:val="22"/>
          <w:szCs w:val="18"/>
          <w:lang w:eastAsia="fr-FR"/>
        </w:rPr>
        <w:t xml:space="preserve"> le texte spécifique donnant</w:t>
      </w:r>
      <w:r w:rsidRPr="00D510E8">
        <w:rPr>
          <w:snapToGrid w:val="0"/>
          <w:color w:val="000000" w:themeColor="text1"/>
          <w:kern w:val="22"/>
          <w:szCs w:val="18"/>
          <w:lang w:eastAsia="fr-FR"/>
        </w:rPr>
        <w:t xml:space="preserve"> suite au Plan stratégique du Protocole de Cartagena sur la prévention des risques biotechnologiques pour la pério</w:t>
      </w:r>
      <w:r>
        <w:rPr>
          <w:snapToGrid w:val="0"/>
          <w:color w:val="000000" w:themeColor="text1"/>
          <w:kern w:val="22"/>
          <w:szCs w:val="18"/>
          <w:lang w:eastAsia="fr-FR"/>
        </w:rPr>
        <w:t>de 2011-2020, qui sera basé sur</w:t>
      </w:r>
      <w:r w:rsidRPr="00D510E8">
        <w:rPr>
          <w:snapToGrid w:val="0"/>
          <w:color w:val="000000" w:themeColor="text1"/>
          <w:kern w:val="22"/>
          <w:szCs w:val="18"/>
          <w:lang w:eastAsia="fr-FR"/>
        </w:rPr>
        <w:t>, et complémentaire du cadre mondial de la</w:t>
      </w:r>
      <w:r>
        <w:rPr>
          <w:snapToGrid w:val="0"/>
          <w:color w:val="000000" w:themeColor="text1"/>
          <w:kern w:val="22"/>
          <w:szCs w:val="18"/>
          <w:lang w:eastAsia="fr-FR"/>
        </w:rPr>
        <w:t xml:space="preserve"> biodiversité pour l'après-2020</w:t>
      </w:r>
      <w:r w:rsidRPr="00D510E8">
        <w:rPr>
          <w:snapToGrid w:val="0"/>
          <w:kern w:val="22"/>
          <w:szCs w:val="18"/>
          <w:lang w:eastAsia="fr-FR"/>
        </w:rPr>
        <w:t>;</w:t>
      </w:r>
    </w:p>
    <w:p w14:paraId="6740888E" w14:textId="77777777" w:rsidR="00952749" w:rsidRPr="00D510E8" w:rsidRDefault="00952749" w:rsidP="004C7DBD">
      <w:pPr>
        <w:numPr>
          <w:ilvl w:val="0"/>
          <w:numId w:val="37"/>
        </w:numPr>
        <w:spacing w:before="120" w:after="120"/>
        <w:ind w:left="0" w:firstLine="709"/>
        <w:rPr>
          <w:snapToGrid w:val="0"/>
          <w:kern w:val="22"/>
          <w:szCs w:val="18"/>
          <w:lang w:eastAsia="fr-FR"/>
        </w:rPr>
      </w:pPr>
      <w:r w:rsidRPr="00D510E8">
        <w:rPr>
          <w:i/>
          <w:snapToGrid w:val="0"/>
          <w:kern w:val="22"/>
          <w:szCs w:val="18"/>
          <w:lang w:eastAsia="fr-FR"/>
        </w:rPr>
        <w:t>Prie</w:t>
      </w:r>
      <w:r>
        <w:rPr>
          <w:snapToGrid w:val="0"/>
          <w:kern w:val="22"/>
          <w:szCs w:val="18"/>
          <w:lang w:eastAsia="fr-FR"/>
        </w:rPr>
        <w:t xml:space="preserve"> la Secrétaire exécutive de</w:t>
      </w:r>
      <w:r w:rsidRPr="00D510E8">
        <w:rPr>
          <w:snapToGrid w:val="0"/>
          <w:kern w:val="22"/>
          <w:szCs w:val="18"/>
          <w:lang w:eastAsia="fr-FR"/>
        </w:rPr>
        <w:t> :</w:t>
      </w:r>
    </w:p>
    <w:p w14:paraId="31C39BC9" w14:textId="77777777" w:rsidR="00952749" w:rsidRPr="00D510E8" w:rsidRDefault="00952749" w:rsidP="004C7DBD">
      <w:pPr>
        <w:numPr>
          <w:ilvl w:val="0"/>
          <w:numId w:val="36"/>
        </w:numPr>
        <w:spacing w:before="120" w:after="120"/>
        <w:ind w:left="0" w:firstLine="709"/>
        <w:rPr>
          <w:snapToGrid w:val="0"/>
          <w:kern w:val="22"/>
          <w:szCs w:val="18"/>
          <w:lang w:eastAsia="fr-FR"/>
        </w:rPr>
      </w:pPr>
      <w:r>
        <w:rPr>
          <w:snapToGrid w:val="0"/>
          <w:kern w:val="22"/>
          <w:szCs w:val="18"/>
          <w:lang w:eastAsia="fr-FR"/>
        </w:rPr>
        <w:lastRenderedPageBreak/>
        <w:t>Faciliter et a</w:t>
      </w:r>
      <w:r w:rsidRPr="00D510E8">
        <w:rPr>
          <w:snapToGrid w:val="0"/>
          <w:kern w:val="22"/>
          <w:szCs w:val="18"/>
          <w:lang w:eastAsia="fr-FR"/>
        </w:rPr>
        <w:t>ppuyer l’inclusion d’un élément sur la prévention des risques biotechnologiques dans le cadre mondial de la</w:t>
      </w:r>
      <w:r>
        <w:rPr>
          <w:snapToGrid w:val="0"/>
          <w:kern w:val="22"/>
          <w:szCs w:val="18"/>
          <w:lang w:eastAsia="fr-FR"/>
        </w:rPr>
        <w:t xml:space="preserve"> biodiversité pour l’après-2020</w:t>
      </w:r>
      <w:r w:rsidRPr="00D510E8">
        <w:rPr>
          <w:snapToGrid w:val="0"/>
          <w:kern w:val="22"/>
          <w:szCs w:val="18"/>
          <w:lang w:eastAsia="fr-FR"/>
        </w:rPr>
        <w:t>;</w:t>
      </w:r>
    </w:p>
    <w:p w14:paraId="383C2C96" w14:textId="77777777" w:rsidR="00952749" w:rsidRPr="00D510E8" w:rsidRDefault="00952749" w:rsidP="004C7DBD">
      <w:pPr>
        <w:numPr>
          <w:ilvl w:val="0"/>
          <w:numId w:val="36"/>
        </w:numPr>
        <w:spacing w:before="120" w:after="120"/>
        <w:ind w:left="0" w:firstLine="709"/>
        <w:rPr>
          <w:snapToGrid w:val="0"/>
          <w:kern w:val="22"/>
          <w:szCs w:val="18"/>
          <w:lang w:eastAsia="fr-FR"/>
        </w:rPr>
      </w:pPr>
      <w:r>
        <w:rPr>
          <w:snapToGrid w:val="0"/>
          <w:kern w:val="22"/>
          <w:szCs w:val="18"/>
          <w:lang w:eastAsia="fr-FR"/>
        </w:rPr>
        <w:t>T</w:t>
      </w:r>
      <w:r w:rsidRPr="00D510E8">
        <w:rPr>
          <w:snapToGrid w:val="0"/>
          <w:kern w:val="22"/>
          <w:szCs w:val="18"/>
          <w:lang w:eastAsia="fr-FR"/>
        </w:rPr>
        <w:t xml:space="preserve">ravailler en collaboration avec les coprésidents du Groupe de liaison et du Groupe de travail </w:t>
      </w:r>
      <w:r>
        <w:rPr>
          <w:snapToGrid w:val="0"/>
          <w:kern w:val="22"/>
          <w:szCs w:val="18"/>
          <w:lang w:eastAsia="fr-FR"/>
        </w:rPr>
        <w:t>à composition non limitée afin</w:t>
      </w:r>
      <w:r w:rsidRPr="00D510E8">
        <w:rPr>
          <w:snapToGrid w:val="0"/>
          <w:kern w:val="22"/>
          <w:szCs w:val="18"/>
          <w:lang w:eastAsia="fr-FR"/>
        </w:rPr>
        <w:t xml:space="preserve"> d'élaborer des calendriers complémentaires eu égard à la contribution des Parties au Protocole, sur les éléments pertinents concernant la prévention des risques biotechnologiques pour le cadre mondial de la</w:t>
      </w:r>
      <w:r>
        <w:rPr>
          <w:snapToGrid w:val="0"/>
          <w:kern w:val="22"/>
          <w:szCs w:val="18"/>
          <w:lang w:eastAsia="fr-FR"/>
        </w:rPr>
        <w:t xml:space="preserve"> biodiversité pour l'après-2020</w:t>
      </w:r>
      <w:r w:rsidRPr="00D510E8">
        <w:rPr>
          <w:snapToGrid w:val="0"/>
          <w:kern w:val="22"/>
          <w:szCs w:val="18"/>
          <w:lang w:eastAsia="fr-FR"/>
        </w:rPr>
        <w:t>;</w:t>
      </w:r>
    </w:p>
    <w:p w14:paraId="778743AA" w14:textId="77777777" w:rsidR="00952749" w:rsidRPr="00D510E8" w:rsidRDefault="00952749" w:rsidP="004C7DBD">
      <w:pPr>
        <w:numPr>
          <w:ilvl w:val="0"/>
          <w:numId w:val="36"/>
        </w:numPr>
        <w:spacing w:before="120" w:after="120"/>
        <w:ind w:left="0" w:firstLine="709"/>
        <w:rPr>
          <w:snapToGrid w:val="0"/>
          <w:kern w:val="22"/>
          <w:szCs w:val="18"/>
          <w:lang w:eastAsia="fr-FR"/>
        </w:rPr>
      </w:pPr>
      <w:r>
        <w:rPr>
          <w:snapToGrid w:val="0"/>
          <w:kern w:val="22"/>
          <w:szCs w:val="18"/>
          <w:lang w:eastAsia="fr-FR"/>
        </w:rPr>
        <w:t>O</w:t>
      </w:r>
      <w:r w:rsidRPr="00D510E8">
        <w:rPr>
          <w:snapToGrid w:val="0"/>
          <w:kern w:val="22"/>
          <w:szCs w:val="18"/>
          <w:lang w:eastAsia="fr-FR"/>
        </w:rPr>
        <w:t>rganiser des séances spécifiques pour examiner les questions relatives à la prévention des risques biotechnologiques lors des ateliers de consultatio</w:t>
      </w:r>
      <w:r>
        <w:rPr>
          <w:snapToGrid w:val="0"/>
          <w:kern w:val="22"/>
          <w:szCs w:val="18"/>
          <w:lang w:eastAsia="fr-FR"/>
        </w:rPr>
        <w:t>n mondiale et régionale mentionnés dans la décision 14/34</w:t>
      </w:r>
      <w:r w:rsidRPr="00D510E8">
        <w:rPr>
          <w:snapToGrid w:val="0"/>
          <w:kern w:val="22"/>
          <w:szCs w:val="18"/>
          <w:lang w:eastAsia="fr-FR"/>
        </w:rPr>
        <w:t>;</w:t>
      </w:r>
    </w:p>
    <w:p w14:paraId="1B3BD469" w14:textId="77777777" w:rsidR="00952749" w:rsidRPr="00D510E8" w:rsidRDefault="00952749" w:rsidP="004C7DBD">
      <w:pPr>
        <w:numPr>
          <w:ilvl w:val="0"/>
          <w:numId w:val="36"/>
        </w:numPr>
        <w:spacing w:before="120" w:after="120"/>
        <w:ind w:left="0" w:firstLine="709"/>
        <w:rPr>
          <w:snapToGrid w:val="0"/>
          <w:kern w:val="22"/>
          <w:szCs w:val="18"/>
          <w:lang w:eastAsia="fr-FR"/>
        </w:rPr>
      </w:pPr>
      <w:r w:rsidRPr="00D510E8">
        <w:rPr>
          <w:snapToGrid w:val="0"/>
          <w:kern w:val="22"/>
          <w:szCs w:val="18"/>
          <w:lang w:eastAsia="fr-FR"/>
        </w:rPr>
        <w:t>Faciliter la participation d’un nombre suffisant d’experts en matière de prévention des risques biotechnologiques, y compris ceux qui disposent d’une expertise concernant le Protocole additionnel de Nagoya – Kuala Lumpur sur la responsa</w:t>
      </w:r>
      <w:r>
        <w:rPr>
          <w:snapToGrid w:val="0"/>
          <w:kern w:val="22"/>
          <w:szCs w:val="18"/>
          <w:lang w:eastAsia="fr-FR"/>
        </w:rPr>
        <w:t>bilité et la réparation, à</w:t>
      </w:r>
      <w:r w:rsidRPr="00D510E8">
        <w:rPr>
          <w:snapToGrid w:val="0"/>
          <w:kern w:val="22"/>
          <w:szCs w:val="18"/>
          <w:lang w:eastAsia="fr-FR"/>
        </w:rPr>
        <w:t xml:space="preserve"> l’élaboration du cadre mondial de la biodiversit</w:t>
      </w:r>
      <w:r>
        <w:rPr>
          <w:snapToGrid w:val="0"/>
          <w:kern w:val="22"/>
          <w:szCs w:val="18"/>
          <w:lang w:eastAsia="fr-FR"/>
        </w:rPr>
        <w:t>é pour l’après-2020, y compris à</w:t>
      </w:r>
      <w:r w:rsidRPr="00D510E8">
        <w:rPr>
          <w:snapToGrid w:val="0"/>
          <w:kern w:val="22"/>
          <w:szCs w:val="18"/>
          <w:lang w:eastAsia="fr-FR"/>
        </w:rPr>
        <w:t xml:space="preserve"> des atel</w:t>
      </w:r>
      <w:r>
        <w:rPr>
          <w:snapToGrid w:val="0"/>
          <w:kern w:val="22"/>
          <w:szCs w:val="18"/>
          <w:lang w:eastAsia="fr-FR"/>
        </w:rPr>
        <w:t>iers de consultation pertinents</w:t>
      </w:r>
      <w:r w:rsidRPr="00D510E8">
        <w:rPr>
          <w:snapToGrid w:val="0"/>
          <w:kern w:val="22"/>
          <w:szCs w:val="18"/>
          <w:lang w:eastAsia="fr-FR"/>
        </w:rPr>
        <w:t>;</w:t>
      </w:r>
    </w:p>
    <w:p w14:paraId="6150792A" w14:textId="77777777" w:rsidR="00952749" w:rsidRPr="00D510E8" w:rsidRDefault="00952749" w:rsidP="004C7DBD">
      <w:pPr>
        <w:numPr>
          <w:ilvl w:val="0"/>
          <w:numId w:val="36"/>
        </w:numPr>
        <w:spacing w:before="120" w:after="120"/>
        <w:ind w:left="0" w:firstLine="709"/>
        <w:rPr>
          <w:snapToGrid w:val="0"/>
          <w:kern w:val="22"/>
          <w:szCs w:val="18"/>
          <w:lang w:eastAsia="fr-FR"/>
        </w:rPr>
      </w:pPr>
      <w:r w:rsidRPr="00D510E8">
        <w:rPr>
          <w:snapToGrid w:val="0"/>
          <w:kern w:val="22"/>
          <w:szCs w:val="18"/>
          <w:lang w:eastAsia="fr-FR"/>
        </w:rPr>
        <w:t>C</w:t>
      </w:r>
      <w:r>
        <w:rPr>
          <w:snapToGrid w:val="0"/>
          <w:kern w:val="22"/>
          <w:szCs w:val="18"/>
          <w:lang w:eastAsia="fr-FR"/>
        </w:rPr>
        <w:t>onsolider les communications trans</w:t>
      </w:r>
      <w:r w:rsidRPr="00D510E8">
        <w:rPr>
          <w:snapToGrid w:val="0"/>
          <w:kern w:val="22"/>
          <w:szCs w:val="18"/>
          <w:lang w:eastAsia="fr-FR"/>
        </w:rPr>
        <w:t>mises par les Parties, les autres gouvernements, les peuples autochtones et les communautés locales et les o</w:t>
      </w:r>
      <w:r>
        <w:rPr>
          <w:snapToGrid w:val="0"/>
          <w:kern w:val="22"/>
          <w:szCs w:val="18"/>
          <w:lang w:eastAsia="fr-FR"/>
        </w:rPr>
        <w:t>rganisations compétentes, qui fournissent</w:t>
      </w:r>
      <w:r w:rsidRPr="00D510E8">
        <w:rPr>
          <w:snapToGrid w:val="0"/>
          <w:kern w:val="22"/>
          <w:szCs w:val="18"/>
          <w:lang w:eastAsia="fr-FR"/>
        </w:rPr>
        <w:t xml:space="preserve"> des points de vue sur i) la </w:t>
      </w:r>
      <w:r>
        <w:rPr>
          <w:snapToGrid w:val="0"/>
          <w:kern w:val="22"/>
          <w:szCs w:val="18"/>
          <w:lang w:eastAsia="fr-FR"/>
        </w:rPr>
        <w:t xml:space="preserve">structure et le contenu du texte donnant suite au Plan stratégique </w:t>
      </w:r>
      <w:r w:rsidRPr="00D510E8">
        <w:rPr>
          <w:snapToGrid w:val="0"/>
          <w:kern w:val="22"/>
          <w:szCs w:val="18"/>
          <w:lang w:eastAsia="fr-FR"/>
        </w:rPr>
        <w:t>du Protocole de Cartagena</w:t>
      </w:r>
      <w:r>
        <w:rPr>
          <w:snapToGrid w:val="0"/>
          <w:kern w:val="22"/>
          <w:szCs w:val="18"/>
          <w:lang w:eastAsia="fr-FR"/>
        </w:rPr>
        <w:t xml:space="preserve"> pour la période 2011-2020, à savoir,</w:t>
      </w:r>
      <w:r w:rsidRPr="00D510E8">
        <w:rPr>
          <w:snapToGrid w:val="0"/>
          <w:kern w:val="22"/>
          <w:szCs w:val="18"/>
          <w:lang w:eastAsia="fr-FR"/>
        </w:rPr>
        <w:t xml:space="preserve"> </w:t>
      </w:r>
      <w:r>
        <w:rPr>
          <w:snapToGrid w:val="0"/>
          <w:kern w:val="22"/>
          <w:szCs w:val="18"/>
          <w:lang w:eastAsia="fr-FR"/>
        </w:rPr>
        <w:t>le P</w:t>
      </w:r>
      <w:r w:rsidRPr="00D510E8">
        <w:rPr>
          <w:snapToGrid w:val="0"/>
          <w:kern w:val="22"/>
          <w:szCs w:val="18"/>
          <w:lang w:eastAsia="fr-FR"/>
        </w:rPr>
        <w:t>lan de mise en œuvre du Protocole de Cartagena pour l'après-2020, et</w:t>
      </w:r>
      <w:r>
        <w:rPr>
          <w:snapToGrid w:val="0"/>
          <w:kern w:val="22"/>
          <w:szCs w:val="18"/>
          <w:lang w:eastAsia="fr-FR"/>
        </w:rPr>
        <w:t> ii) les éléments pertinents concernant</w:t>
      </w:r>
      <w:r w:rsidRPr="00D510E8">
        <w:rPr>
          <w:snapToGrid w:val="0"/>
          <w:kern w:val="22"/>
          <w:szCs w:val="18"/>
          <w:lang w:eastAsia="fr-FR"/>
        </w:rPr>
        <w:t xml:space="preserve"> la prévention des r</w:t>
      </w:r>
      <w:r>
        <w:rPr>
          <w:snapToGrid w:val="0"/>
          <w:kern w:val="22"/>
          <w:szCs w:val="18"/>
          <w:lang w:eastAsia="fr-FR"/>
        </w:rPr>
        <w:t>isques biotechnologiques dans le</w:t>
      </w:r>
      <w:r w:rsidRPr="00D510E8">
        <w:rPr>
          <w:snapToGrid w:val="0"/>
          <w:kern w:val="22"/>
          <w:szCs w:val="18"/>
          <w:lang w:eastAsia="fr-FR"/>
        </w:rPr>
        <w:t xml:space="preserve"> cadre mondial de la</w:t>
      </w:r>
      <w:r>
        <w:rPr>
          <w:snapToGrid w:val="0"/>
          <w:kern w:val="22"/>
          <w:szCs w:val="18"/>
          <w:lang w:eastAsia="fr-FR"/>
        </w:rPr>
        <w:t xml:space="preserve"> biodiversité pour l'après-2020</w:t>
      </w:r>
      <w:r w:rsidRPr="00D510E8">
        <w:rPr>
          <w:snapToGrid w:val="0"/>
          <w:kern w:val="22"/>
          <w:szCs w:val="18"/>
          <w:lang w:eastAsia="fr-FR"/>
        </w:rPr>
        <w:t>;</w:t>
      </w:r>
    </w:p>
    <w:p w14:paraId="674522DD" w14:textId="77777777" w:rsidR="00952749" w:rsidRPr="00D510E8" w:rsidRDefault="00952749" w:rsidP="004C7DBD">
      <w:pPr>
        <w:numPr>
          <w:ilvl w:val="0"/>
          <w:numId w:val="36"/>
        </w:numPr>
        <w:spacing w:before="120" w:after="120"/>
        <w:ind w:left="0" w:firstLine="709"/>
        <w:rPr>
          <w:snapToGrid w:val="0"/>
          <w:kern w:val="22"/>
          <w:szCs w:val="18"/>
          <w:lang w:eastAsia="fr-FR"/>
        </w:rPr>
      </w:pPr>
      <w:r w:rsidRPr="00D510E8">
        <w:rPr>
          <w:snapToGrid w:val="0"/>
          <w:kern w:val="22"/>
          <w:szCs w:val="18"/>
          <w:lang w:eastAsia="fr-FR"/>
        </w:rPr>
        <w:t>Organiser des débats en ligne du Groupe de liaison, selon qu'il convient, pour examiner les communications mentionnées au paragraphe </w:t>
      </w:r>
      <w:r>
        <w:rPr>
          <w:snapToGrid w:val="0"/>
          <w:kern w:val="22"/>
          <w:szCs w:val="18"/>
          <w:lang w:eastAsia="fr-FR"/>
        </w:rPr>
        <w:t xml:space="preserve">9 </w:t>
      </w:r>
      <w:r w:rsidRPr="00D510E8">
        <w:rPr>
          <w:snapToGrid w:val="0"/>
          <w:kern w:val="22"/>
          <w:szCs w:val="18"/>
          <w:lang w:eastAsia="fr-FR"/>
        </w:rPr>
        <w:t>e) ii) ci-dessus</w:t>
      </w:r>
      <w:r>
        <w:rPr>
          <w:snapToGrid w:val="0"/>
          <w:kern w:val="22"/>
          <w:szCs w:val="18"/>
          <w:lang w:eastAsia="fr-FR"/>
        </w:rPr>
        <w:t xml:space="preserve">, afin de </w:t>
      </w:r>
      <w:r w:rsidRPr="00D510E8">
        <w:rPr>
          <w:snapToGrid w:val="0"/>
          <w:kern w:val="22"/>
          <w:szCs w:val="18"/>
          <w:lang w:eastAsia="fr-FR"/>
        </w:rPr>
        <w:t>contribuer à l'élabora</w:t>
      </w:r>
      <w:r>
        <w:rPr>
          <w:snapToGrid w:val="0"/>
          <w:kern w:val="22"/>
          <w:szCs w:val="18"/>
          <w:lang w:eastAsia="fr-FR"/>
        </w:rPr>
        <w:t>tion des éléments pertinents concernant</w:t>
      </w:r>
      <w:r w:rsidRPr="00D510E8">
        <w:rPr>
          <w:snapToGrid w:val="0"/>
          <w:kern w:val="22"/>
          <w:szCs w:val="18"/>
          <w:lang w:eastAsia="fr-FR"/>
        </w:rPr>
        <w:t xml:space="preserve"> la prévention des risques biotechnologiques dans le cadre mondial de la biod</w:t>
      </w:r>
      <w:r>
        <w:rPr>
          <w:snapToGrid w:val="0"/>
          <w:kern w:val="22"/>
          <w:szCs w:val="18"/>
          <w:lang w:eastAsia="fr-FR"/>
        </w:rPr>
        <w:t>iversité pour l'après-2020</w:t>
      </w:r>
      <w:r w:rsidRPr="00D510E8">
        <w:rPr>
          <w:snapToGrid w:val="0"/>
          <w:kern w:val="22"/>
          <w:szCs w:val="18"/>
          <w:lang w:eastAsia="fr-FR"/>
        </w:rPr>
        <w:t xml:space="preserve">; </w:t>
      </w:r>
    </w:p>
    <w:p w14:paraId="6257539F" w14:textId="77777777" w:rsidR="00952749" w:rsidRPr="00D510E8" w:rsidRDefault="00952749" w:rsidP="004C7DBD">
      <w:pPr>
        <w:numPr>
          <w:ilvl w:val="0"/>
          <w:numId w:val="36"/>
        </w:numPr>
        <w:spacing w:before="120" w:after="120"/>
        <w:ind w:left="0" w:firstLine="709"/>
        <w:rPr>
          <w:snapToGrid w:val="0"/>
          <w:kern w:val="22"/>
          <w:szCs w:val="18"/>
          <w:lang w:eastAsia="fr-FR"/>
        </w:rPr>
      </w:pPr>
      <w:r>
        <w:rPr>
          <w:snapToGrid w:val="0"/>
          <w:kern w:val="22"/>
          <w:szCs w:val="18"/>
          <w:lang w:eastAsia="fr-FR"/>
        </w:rPr>
        <w:t>Élaborer un projet de Plan de mise en œuvre du</w:t>
      </w:r>
      <w:r w:rsidRPr="00D510E8">
        <w:rPr>
          <w:snapToGrid w:val="0"/>
          <w:kern w:val="22"/>
          <w:szCs w:val="18"/>
          <w:lang w:eastAsia="fr-FR"/>
        </w:rPr>
        <w:t xml:space="preserve"> Protocole de Cartagena sur la prévention des risques biotechnologiques pour l'après-2020</w:t>
      </w:r>
      <w:r>
        <w:rPr>
          <w:snapToGrid w:val="0"/>
          <w:kern w:val="22"/>
          <w:szCs w:val="18"/>
          <w:lang w:eastAsia="fr-FR"/>
        </w:rPr>
        <w:t>,</w:t>
      </w:r>
      <w:r w:rsidRPr="00D510E8">
        <w:rPr>
          <w:snapToGrid w:val="0"/>
          <w:kern w:val="22"/>
          <w:szCs w:val="18"/>
          <w:lang w:eastAsia="fr-FR"/>
        </w:rPr>
        <w:t xml:space="preserve"> sur </w:t>
      </w:r>
      <w:r>
        <w:rPr>
          <w:snapToGrid w:val="0"/>
          <w:kern w:val="22"/>
          <w:szCs w:val="18"/>
          <w:lang w:eastAsia="fr-FR"/>
        </w:rPr>
        <w:t>la base des communications mentionnées</w:t>
      </w:r>
      <w:r w:rsidRPr="00D510E8">
        <w:rPr>
          <w:snapToGrid w:val="0"/>
          <w:kern w:val="22"/>
          <w:szCs w:val="18"/>
          <w:lang w:eastAsia="fr-FR"/>
        </w:rPr>
        <w:t xml:space="preserve"> au paragraphe</w:t>
      </w:r>
      <w:r>
        <w:rPr>
          <w:snapToGrid w:val="0"/>
          <w:kern w:val="22"/>
          <w:szCs w:val="18"/>
          <w:lang w:eastAsia="fr-FR"/>
        </w:rPr>
        <w:t> 9 e) i) ci-dessus</w:t>
      </w:r>
      <w:r w:rsidRPr="00D510E8">
        <w:rPr>
          <w:snapToGrid w:val="0"/>
          <w:kern w:val="22"/>
          <w:szCs w:val="18"/>
          <w:lang w:eastAsia="fr-FR"/>
        </w:rPr>
        <w:t>;</w:t>
      </w:r>
    </w:p>
    <w:p w14:paraId="4B2FE4B6" w14:textId="77777777" w:rsidR="00952749" w:rsidRPr="00D510E8" w:rsidRDefault="00952749" w:rsidP="004C7DBD">
      <w:pPr>
        <w:numPr>
          <w:ilvl w:val="0"/>
          <w:numId w:val="36"/>
        </w:numPr>
        <w:spacing w:before="120" w:after="120"/>
        <w:ind w:left="0" w:firstLine="709"/>
        <w:rPr>
          <w:snapToGrid w:val="0"/>
          <w:kern w:val="22"/>
          <w:szCs w:val="18"/>
          <w:lang w:eastAsia="fr-FR"/>
        </w:rPr>
      </w:pPr>
      <w:r w:rsidRPr="00D510E8">
        <w:rPr>
          <w:snapToGrid w:val="0"/>
          <w:kern w:val="22"/>
          <w:szCs w:val="18"/>
          <w:lang w:eastAsia="fr-FR"/>
        </w:rPr>
        <w:t>Orga</w:t>
      </w:r>
      <w:r>
        <w:rPr>
          <w:snapToGrid w:val="0"/>
          <w:kern w:val="22"/>
          <w:szCs w:val="18"/>
          <w:lang w:eastAsia="fr-FR"/>
        </w:rPr>
        <w:t>niser des débats en ligne à composition non limitée</w:t>
      </w:r>
      <w:r w:rsidRPr="00D510E8">
        <w:rPr>
          <w:snapToGrid w:val="0"/>
          <w:kern w:val="22"/>
          <w:szCs w:val="18"/>
          <w:lang w:eastAsia="fr-FR"/>
        </w:rPr>
        <w:t xml:space="preserve"> entre les Parties et </w:t>
      </w:r>
      <w:r>
        <w:rPr>
          <w:snapToGrid w:val="0"/>
          <w:kern w:val="22"/>
          <w:szCs w:val="18"/>
          <w:lang w:eastAsia="fr-FR"/>
        </w:rPr>
        <w:t xml:space="preserve">les </w:t>
      </w:r>
      <w:r w:rsidRPr="00D510E8">
        <w:rPr>
          <w:snapToGrid w:val="0"/>
          <w:kern w:val="22"/>
          <w:szCs w:val="18"/>
          <w:lang w:eastAsia="fr-FR"/>
        </w:rPr>
        <w:t>autres part</w:t>
      </w:r>
      <w:r>
        <w:rPr>
          <w:snapToGrid w:val="0"/>
          <w:kern w:val="22"/>
          <w:szCs w:val="18"/>
          <w:lang w:eastAsia="fr-FR"/>
        </w:rPr>
        <w:t>ies prenantes sur le projet de P</w:t>
      </w:r>
      <w:r w:rsidRPr="00D510E8">
        <w:rPr>
          <w:snapToGrid w:val="0"/>
          <w:kern w:val="22"/>
          <w:szCs w:val="18"/>
          <w:lang w:eastAsia="fr-FR"/>
        </w:rPr>
        <w:t>lan de mise en œuvre du Protocole de Cartagena sur la prévention des risques biotechnologiques pour l'après-2020 mentionné au paragraphe </w:t>
      </w:r>
      <w:r>
        <w:rPr>
          <w:snapToGrid w:val="0"/>
          <w:kern w:val="22"/>
          <w:szCs w:val="18"/>
          <w:lang w:eastAsia="fr-FR"/>
        </w:rPr>
        <w:t xml:space="preserve">9 </w:t>
      </w:r>
      <w:r w:rsidRPr="00D510E8">
        <w:rPr>
          <w:snapToGrid w:val="0"/>
          <w:kern w:val="22"/>
          <w:szCs w:val="18"/>
          <w:lang w:eastAsia="fr-FR"/>
        </w:rPr>
        <w:t>g) ci</w:t>
      </w:r>
      <w:r>
        <w:rPr>
          <w:snapToGrid w:val="0"/>
          <w:kern w:val="22"/>
          <w:szCs w:val="18"/>
          <w:lang w:eastAsia="fr-FR"/>
        </w:rPr>
        <w:t>-dessus</w:t>
      </w:r>
      <w:r w:rsidRPr="00D510E8">
        <w:rPr>
          <w:snapToGrid w:val="0"/>
          <w:kern w:val="22"/>
          <w:szCs w:val="18"/>
          <w:lang w:eastAsia="fr-FR"/>
        </w:rPr>
        <w:t>;</w:t>
      </w:r>
    </w:p>
    <w:p w14:paraId="0765EDD1" w14:textId="77777777" w:rsidR="00952749" w:rsidRPr="00D510E8" w:rsidRDefault="00952749" w:rsidP="004C7DBD">
      <w:pPr>
        <w:numPr>
          <w:ilvl w:val="0"/>
          <w:numId w:val="36"/>
        </w:numPr>
        <w:spacing w:before="120" w:after="120"/>
        <w:ind w:left="0" w:firstLine="709"/>
        <w:rPr>
          <w:snapToGrid w:val="0"/>
          <w:kern w:val="22"/>
          <w:szCs w:val="18"/>
          <w:lang w:eastAsia="fr-FR"/>
        </w:rPr>
      </w:pPr>
      <w:r w:rsidRPr="00D510E8">
        <w:rPr>
          <w:snapToGrid w:val="0"/>
          <w:kern w:val="22"/>
          <w:szCs w:val="18"/>
          <w:lang w:eastAsia="fr-FR"/>
        </w:rPr>
        <w:t>Convoquer une réunion fa</w:t>
      </w:r>
      <w:r>
        <w:rPr>
          <w:snapToGrid w:val="0"/>
          <w:kern w:val="22"/>
          <w:szCs w:val="18"/>
          <w:lang w:eastAsia="fr-FR"/>
        </w:rPr>
        <w:t>ce à face du Groupe de liaison, qui se tiendra</w:t>
      </w:r>
      <w:r w:rsidRPr="00D510E8">
        <w:rPr>
          <w:snapToGrid w:val="0"/>
          <w:kern w:val="22"/>
          <w:szCs w:val="18"/>
          <w:lang w:eastAsia="fr-FR"/>
        </w:rPr>
        <w:t xml:space="preserve"> en 2019, p</w:t>
      </w:r>
      <w:r>
        <w:rPr>
          <w:snapToGrid w:val="0"/>
          <w:kern w:val="22"/>
          <w:szCs w:val="18"/>
          <w:lang w:eastAsia="fr-FR"/>
        </w:rPr>
        <w:t>our i) élaborer un projet d'élém</w:t>
      </w:r>
      <w:r w:rsidRPr="00D510E8">
        <w:rPr>
          <w:snapToGrid w:val="0"/>
          <w:kern w:val="22"/>
          <w:szCs w:val="18"/>
          <w:lang w:eastAsia="fr-FR"/>
        </w:rPr>
        <w:t>ent</w:t>
      </w:r>
      <w:r>
        <w:rPr>
          <w:snapToGrid w:val="0"/>
          <w:kern w:val="22"/>
          <w:szCs w:val="18"/>
          <w:lang w:eastAsia="fr-FR"/>
        </w:rPr>
        <w:t>s</w:t>
      </w:r>
      <w:r w:rsidRPr="00D510E8">
        <w:rPr>
          <w:snapToGrid w:val="0"/>
          <w:kern w:val="22"/>
          <w:szCs w:val="18"/>
          <w:lang w:eastAsia="fr-FR"/>
        </w:rPr>
        <w:t xml:space="preserve"> sur la prévention des risques biotechnologiques dans le cadre mondial de la biodiversité pour l'après-2020 concernant les questions relatives au Protocole de Cartagena</w:t>
      </w:r>
      <w:r>
        <w:rPr>
          <w:snapToGrid w:val="0"/>
          <w:kern w:val="22"/>
          <w:szCs w:val="18"/>
          <w:lang w:eastAsia="fr-FR"/>
        </w:rPr>
        <w:t>, et ii) examiner le projet de P</w:t>
      </w:r>
      <w:r w:rsidRPr="00D510E8">
        <w:rPr>
          <w:snapToGrid w:val="0"/>
          <w:kern w:val="22"/>
          <w:szCs w:val="18"/>
          <w:lang w:eastAsia="fr-FR"/>
        </w:rPr>
        <w:t>lan de mise en œuvre du Protocole de Cartagena sur la prévention des risques biotechnologiques pour l'après-2020 mentionné au paragraphe </w:t>
      </w:r>
      <w:r>
        <w:rPr>
          <w:snapToGrid w:val="0"/>
          <w:kern w:val="22"/>
          <w:szCs w:val="18"/>
          <w:lang w:eastAsia="fr-FR"/>
        </w:rPr>
        <w:t>9 g) ci-dessus</w:t>
      </w:r>
      <w:r w:rsidRPr="00D510E8">
        <w:rPr>
          <w:snapToGrid w:val="0"/>
          <w:kern w:val="22"/>
          <w:szCs w:val="18"/>
          <w:lang w:eastAsia="fr-FR"/>
        </w:rPr>
        <w:t>;</w:t>
      </w:r>
    </w:p>
    <w:p w14:paraId="6C611A47" w14:textId="77777777" w:rsidR="00952749" w:rsidRPr="00D510E8" w:rsidRDefault="00952749" w:rsidP="004C7DBD">
      <w:pPr>
        <w:numPr>
          <w:ilvl w:val="0"/>
          <w:numId w:val="36"/>
        </w:numPr>
        <w:spacing w:before="120" w:after="120"/>
        <w:ind w:left="0" w:firstLine="709"/>
        <w:rPr>
          <w:snapToGrid w:val="0"/>
          <w:kern w:val="22"/>
          <w:szCs w:val="18"/>
          <w:lang w:eastAsia="fr-FR"/>
        </w:rPr>
      </w:pPr>
      <w:r w:rsidRPr="00D510E8">
        <w:rPr>
          <w:snapToGrid w:val="0"/>
          <w:kern w:val="22"/>
          <w:szCs w:val="18"/>
          <w:lang w:eastAsia="fr-FR"/>
        </w:rPr>
        <w:t>Organ</w:t>
      </w:r>
      <w:r>
        <w:rPr>
          <w:snapToGrid w:val="0"/>
          <w:kern w:val="22"/>
          <w:szCs w:val="18"/>
          <w:lang w:eastAsia="fr-FR"/>
        </w:rPr>
        <w:t>iser un examen critique par des pairs effectué par les</w:t>
      </w:r>
      <w:r w:rsidRPr="00D510E8">
        <w:rPr>
          <w:snapToGrid w:val="0"/>
          <w:kern w:val="22"/>
          <w:szCs w:val="18"/>
          <w:lang w:eastAsia="fr-FR"/>
        </w:rPr>
        <w:t xml:space="preserve"> Parties au Proto</w:t>
      </w:r>
      <w:r>
        <w:rPr>
          <w:snapToGrid w:val="0"/>
          <w:kern w:val="22"/>
          <w:szCs w:val="18"/>
          <w:lang w:eastAsia="fr-FR"/>
        </w:rPr>
        <w:t>cole de Cartagena du projet de P</w:t>
      </w:r>
      <w:r w:rsidRPr="00D510E8">
        <w:rPr>
          <w:snapToGrid w:val="0"/>
          <w:kern w:val="22"/>
          <w:szCs w:val="18"/>
          <w:lang w:eastAsia="fr-FR"/>
        </w:rPr>
        <w:t>lan de mise en œuvre du Protocole de Cartagena sur la prévention des risques biot</w:t>
      </w:r>
      <w:r>
        <w:rPr>
          <w:snapToGrid w:val="0"/>
          <w:kern w:val="22"/>
          <w:szCs w:val="18"/>
          <w:lang w:eastAsia="fr-FR"/>
        </w:rPr>
        <w:t>echnologiques pour l'après-2020</w:t>
      </w:r>
      <w:r w:rsidRPr="00D510E8">
        <w:rPr>
          <w:snapToGrid w:val="0"/>
          <w:kern w:val="22"/>
          <w:szCs w:val="18"/>
          <w:lang w:eastAsia="fr-FR"/>
        </w:rPr>
        <w:t>;</w:t>
      </w:r>
    </w:p>
    <w:p w14:paraId="643A0E33" w14:textId="77777777" w:rsidR="00952749" w:rsidRPr="00D510E8" w:rsidRDefault="00952749" w:rsidP="004C7DBD">
      <w:pPr>
        <w:numPr>
          <w:ilvl w:val="0"/>
          <w:numId w:val="36"/>
        </w:numPr>
        <w:spacing w:before="120" w:after="120"/>
        <w:ind w:left="0" w:firstLine="709"/>
        <w:rPr>
          <w:snapToGrid w:val="0"/>
          <w:kern w:val="22"/>
          <w:szCs w:val="18"/>
          <w:lang w:eastAsia="fr-FR"/>
        </w:rPr>
      </w:pPr>
      <w:r>
        <w:rPr>
          <w:snapToGrid w:val="0"/>
          <w:kern w:val="22"/>
          <w:szCs w:val="18"/>
          <w:lang w:eastAsia="fr-FR"/>
        </w:rPr>
        <w:t>Remettre le projet final du P</w:t>
      </w:r>
      <w:r w:rsidRPr="00D510E8">
        <w:rPr>
          <w:snapToGrid w:val="0"/>
          <w:kern w:val="22"/>
          <w:szCs w:val="18"/>
          <w:lang w:eastAsia="fr-FR"/>
        </w:rPr>
        <w:t>lan de mise en œuvre du Protocole de Cartagena sur la prévention des risques biotechnologiques pour l'après-2020</w:t>
      </w:r>
      <w:r>
        <w:rPr>
          <w:snapToGrid w:val="0"/>
          <w:kern w:val="22"/>
          <w:szCs w:val="18"/>
          <w:lang w:eastAsia="fr-FR"/>
        </w:rPr>
        <w:t>, aux fins d’</w:t>
      </w:r>
      <w:r w:rsidRPr="00D510E8">
        <w:rPr>
          <w:snapToGrid w:val="0"/>
          <w:kern w:val="22"/>
          <w:szCs w:val="18"/>
          <w:lang w:eastAsia="fr-FR"/>
        </w:rPr>
        <w:t>examen par l'Organe subsidiaire chargé de l'app</w:t>
      </w:r>
      <w:r>
        <w:rPr>
          <w:snapToGrid w:val="0"/>
          <w:kern w:val="22"/>
          <w:szCs w:val="18"/>
          <w:lang w:eastAsia="fr-FR"/>
        </w:rPr>
        <w:t>lication à sa troisième réunion</w:t>
      </w:r>
      <w:r w:rsidRPr="00D510E8">
        <w:rPr>
          <w:snapToGrid w:val="0"/>
          <w:kern w:val="22"/>
          <w:szCs w:val="18"/>
          <w:lang w:eastAsia="fr-FR"/>
        </w:rPr>
        <w:t>;</w:t>
      </w:r>
    </w:p>
    <w:p w14:paraId="223FB6D6" w14:textId="77777777" w:rsidR="00952749" w:rsidRDefault="00952749" w:rsidP="00952749">
      <w:pPr>
        <w:tabs>
          <w:tab w:val="left" w:pos="1418"/>
        </w:tabs>
        <w:snapToGrid w:val="0"/>
        <w:spacing w:before="120" w:after="120"/>
        <w:ind w:firstLine="709"/>
        <w:rPr>
          <w:kern w:val="22"/>
          <w:szCs w:val="18"/>
          <w:lang w:eastAsia="fr-FR"/>
        </w:rPr>
      </w:pPr>
      <w:r w:rsidRPr="00D510E8">
        <w:rPr>
          <w:kern w:val="22"/>
          <w:szCs w:val="18"/>
          <w:lang w:eastAsia="fr-FR"/>
        </w:rPr>
        <w:t>10.</w:t>
      </w:r>
      <w:r w:rsidRPr="00D510E8">
        <w:rPr>
          <w:i/>
          <w:kern w:val="22"/>
          <w:szCs w:val="18"/>
          <w:lang w:eastAsia="fr-FR"/>
        </w:rPr>
        <w:t xml:space="preserve"> </w:t>
      </w:r>
      <w:r w:rsidRPr="00D510E8">
        <w:rPr>
          <w:i/>
          <w:kern w:val="22"/>
          <w:szCs w:val="18"/>
          <w:lang w:eastAsia="fr-FR"/>
        </w:rPr>
        <w:tab/>
        <w:t xml:space="preserve">Prie </w:t>
      </w:r>
      <w:r w:rsidRPr="00D510E8">
        <w:rPr>
          <w:kern w:val="22"/>
          <w:szCs w:val="18"/>
          <w:lang w:eastAsia="fr-FR"/>
        </w:rPr>
        <w:t>l'Organe subsidiaire chargé de l'application</w:t>
      </w:r>
      <w:r>
        <w:rPr>
          <w:kern w:val="22"/>
          <w:szCs w:val="18"/>
          <w:lang w:eastAsia="fr-FR"/>
        </w:rPr>
        <w:t>,</w:t>
      </w:r>
      <w:r w:rsidRPr="00D510E8">
        <w:rPr>
          <w:kern w:val="22"/>
          <w:szCs w:val="18"/>
          <w:lang w:eastAsia="fr-FR"/>
        </w:rPr>
        <w:t xml:space="preserve"> à sa troisième r</w:t>
      </w:r>
      <w:r>
        <w:rPr>
          <w:kern w:val="22"/>
          <w:szCs w:val="18"/>
          <w:lang w:eastAsia="fr-FR"/>
        </w:rPr>
        <w:t>éunion, d'examiner un projet de P</w:t>
      </w:r>
      <w:r w:rsidRPr="00D510E8">
        <w:rPr>
          <w:kern w:val="22"/>
          <w:szCs w:val="18"/>
          <w:lang w:eastAsia="fr-FR"/>
        </w:rPr>
        <w:t>lan de mise en œuvre du Protocole de Cartagena sur la prévention des risques biotechnologiques</w:t>
      </w:r>
      <w:r>
        <w:rPr>
          <w:kern w:val="22"/>
          <w:szCs w:val="18"/>
          <w:lang w:eastAsia="fr-FR"/>
        </w:rPr>
        <w:t xml:space="preserve"> pour l'après-2020, et de formuler une recommandation pour </w:t>
      </w:r>
      <w:r w:rsidRPr="00D510E8">
        <w:rPr>
          <w:kern w:val="22"/>
          <w:szCs w:val="18"/>
          <w:lang w:eastAsia="fr-FR"/>
        </w:rPr>
        <w:t>examen par la Conférence des Parties siégeant en tant que ré</w:t>
      </w:r>
      <w:r>
        <w:rPr>
          <w:kern w:val="22"/>
          <w:szCs w:val="18"/>
          <w:lang w:eastAsia="fr-FR"/>
        </w:rPr>
        <w:t>union des Parties au Protocole d</w:t>
      </w:r>
      <w:r w:rsidRPr="00D510E8">
        <w:rPr>
          <w:kern w:val="22"/>
          <w:szCs w:val="18"/>
          <w:lang w:eastAsia="fr-FR"/>
        </w:rPr>
        <w:t>e Cartagena à sa dixième réunion.</w:t>
      </w:r>
    </w:p>
    <w:p w14:paraId="0155F056" w14:textId="77777777" w:rsidR="00952749" w:rsidRDefault="00952749" w:rsidP="00952749">
      <w:pPr>
        <w:tabs>
          <w:tab w:val="left" w:pos="1418"/>
        </w:tabs>
        <w:snapToGrid w:val="0"/>
        <w:spacing w:before="120" w:after="120"/>
        <w:ind w:firstLine="709"/>
        <w:rPr>
          <w:kern w:val="22"/>
          <w:szCs w:val="18"/>
          <w:lang w:eastAsia="fr-FR"/>
        </w:rPr>
      </w:pPr>
    </w:p>
    <w:p w14:paraId="66E4CECD" w14:textId="77777777" w:rsidR="009169B0" w:rsidRPr="00D510E8" w:rsidRDefault="009169B0" w:rsidP="00952749">
      <w:pPr>
        <w:tabs>
          <w:tab w:val="left" w:pos="1418"/>
        </w:tabs>
        <w:snapToGrid w:val="0"/>
        <w:spacing w:before="120" w:after="120"/>
        <w:ind w:firstLine="709"/>
        <w:rPr>
          <w:kern w:val="22"/>
          <w:szCs w:val="18"/>
          <w:lang w:eastAsia="fr-FR"/>
        </w:rPr>
      </w:pPr>
    </w:p>
    <w:p w14:paraId="58F1B662" w14:textId="77777777" w:rsidR="00952749" w:rsidRPr="00D510E8" w:rsidRDefault="00952749" w:rsidP="00952749">
      <w:pPr>
        <w:tabs>
          <w:tab w:val="left" w:pos="1418"/>
        </w:tabs>
        <w:spacing w:before="120" w:after="120"/>
        <w:jc w:val="center"/>
        <w:rPr>
          <w:i/>
          <w:kern w:val="22"/>
          <w:szCs w:val="18"/>
          <w:lang w:eastAsia="fr-FR"/>
        </w:rPr>
      </w:pPr>
      <w:r w:rsidRPr="00D510E8">
        <w:rPr>
          <w:i/>
          <w:kern w:val="22"/>
          <w:szCs w:val="18"/>
          <w:lang w:eastAsia="fr-FR"/>
        </w:rPr>
        <w:lastRenderedPageBreak/>
        <w:t>Annexe</w:t>
      </w:r>
    </w:p>
    <w:p w14:paraId="4BEEAEB6" w14:textId="77777777" w:rsidR="00952749" w:rsidRPr="00D510E8" w:rsidRDefault="00952749" w:rsidP="00952749">
      <w:pPr>
        <w:tabs>
          <w:tab w:val="left" w:pos="1418"/>
        </w:tabs>
        <w:spacing w:before="120" w:after="240"/>
        <w:jc w:val="center"/>
        <w:rPr>
          <w:b/>
          <w:kern w:val="22"/>
          <w:szCs w:val="18"/>
          <w:lang w:eastAsia="fr-FR"/>
        </w:rPr>
      </w:pPr>
      <w:r w:rsidRPr="00D510E8">
        <w:rPr>
          <w:b/>
          <w:kern w:val="22"/>
          <w:szCs w:val="18"/>
          <w:lang w:eastAsia="fr-FR"/>
        </w:rPr>
        <w:t xml:space="preserve">MANDAT DU GROUPE DE LIAISON SUR LE </w:t>
      </w:r>
      <w:r w:rsidRPr="00D510E8">
        <w:rPr>
          <w:b/>
          <w:kern w:val="22"/>
          <w:szCs w:val="18"/>
          <w:lang w:eastAsia="fr-FR"/>
        </w:rPr>
        <w:br/>
        <w:t>PROTOCOLE DE CARTAGENA SUR LA PRÉVENTION DES RISQUES BIOTECHNOLOGIQUES</w:t>
      </w:r>
    </w:p>
    <w:p w14:paraId="1EB14AA5" w14:textId="77777777" w:rsidR="00952749" w:rsidRPr="00D510E8" w:rsidRDefault="00952749" w:rsidP="004C7DBD">
      <w:pPr>
        <w:numPr>
          <w:ilvl w:val="0"/>
          <w:numId w:val="38"/>
        </w:numPr>
        <w:tabs>
          <w:tab w:val="left" w:pos="1418"/>
        </w:tabs>
        <w:spacing w:before="120" w:after="120"/>
        <w:ind w:firstLine="709"/>
        <w:rPr>
          <w:kern w:val="22"/>
          <w:szCs w:val="18"/>
          <w:lang w:eastAsia="fr-FR"/>
        </w:rPr>
      </w:pPr>
      <w:r w:rsidRPr="00D510E8">
        <w:rPr>
          <w:kern w:val="22"/>
          <w:szCs w:val="18"/>
          <w:lang w:eastAsia="fr-FR"/>
        </w:rPr>
        <w:t xml:space="preserve">Le Groupe de liaison fournira </w:t>
      </w:r>
      <w:r>
        <w:rPr>
          <w:kern w:val="22"/>
          <w:szCs w:val="18"/>
          <w:lang w:eastAsia="fr-FR"/>
        </w:rPr>
        <w:t xml:space="preserve">à la Secrétaire exécutive </w:t>
      </w:r>
      <w:r w:rsidRPr="00D510E8">
        <w:rPr>
          <w:kern w:val="22"/>
          <w:szCs w:val="18"/>
          <w:lang w:eastAsia="fr-FR"/>
        </w:rPr>
        <w:t>des avis d'e</w:t>
      </w:r>
      <w:r>
        <w:rPr>
          <w:kern w:val="22"/>
          <w:szCs w:val="18"/>
          <w:lang w:eastAsia="fr-FR"/>
        </w:rPr>
        <w:t>xperts sur : a)</w:t>
      </w:r>
      <w:r w:rsidRPr="00D510E8">
        <w:rPr>
          <w:kern w:val="22"/>
          <w:szCs w:val="18"/>
          <w:lang w:eastAsia="fr-FR"/>
        </w:rPr>
        <w:t xml:space="preserve"> les moyens d'améliorer la </w:t>
      </w:r>
      <w:r>
        <w:rPr>
          <w:kern w:val="22"/>
          <w:szCs w:val="18"/>
          <w:lang w:eastAsia="fr-FR"/>
        </w:rPr>
        <w:t>coordination et l’application</w:t>
      </w:r>
      <w:r w:rsidRPr="00D510E8">
        <w:rPr>
          <w:kern w:val="22"/>
          <w:szCs w:val="18"/>
          <w:lang w:eastAsia="fr-FR"/>
        </w:rPr>
        <w:t xml:space="preserve"> effe</w:t>
      </w:r>
      <w:r>
        <w:rPr>
          <w:kern w:val="22"/>
          <w:szCs w:val="18"/>
          <w:lang w:eastAsia="fr-FR"/>
        </w:rPr>
        <w:t>ctive du Protocole de Cartagena ; b) d</w:t>
      </w:r>
      <w:r w:rsidRPr="00D510E8">
        <w:rPr>
          <w:kern w:val="22"/>
          <w:szCs w:val="18"/>
          <w:lang w:eastAsia="fr-FR"/>
        </w:rPr>
        <w:t>es approches s</w:t>
      </w:r>
      <w:r>
        <w:rPr>
          <w:kern w:val="22"/>
          <w:szCs w:val="18"/>
          <w:lang w:eastAsia="fr-FR"/>
        </w:rPr>
        <w:t>tratégiques générales ainsi que d</w:t>
      </w:r>
      <w:r w:rsidRPr="00D510E8">
        <w:rPr>
          <w:kern w:val="22"/>
          <w:szCs w:val="18"/>
          <w:lang w:eastAsia="fr-FR"/>
        </w:rPr>
        <w:t>es mesures opérati</w:t>
      </w:r>
      <w:r>
        <w:rPr>
          <w:kern w:val="22"/>
          <w:szCs w:val="18"/>
          <w:lang w:eastAsia="fr-FR"/>
        </w:rPr>
        <w:t>onnelles conceptuelles et concrètes visant à améliorer la coord</w:t>
      </w:r>
      <w:r w:rsidRPr="00D510E8">
        <w:rPr>
          <w:kern w:val="22"/>
          <w:szCs w:val="18"/>
          <w:lang w:eastAsia="fr-FR"/>
        </w:rPr>
        <w:t xml:space="preserve">ination des activités </w:t>
      </w:r>
      <w:r>
        <w:rPr>
          <w:kern w:val="22"/>
          <w:szCs w:val="18"/>
          <w:lang w:eastAsia="fr-FR"/>
        </w:rPr>
        <w:t xml:space="preserve">menées </w:t>
      </w:r>
      <w:r w:rsidRPr="00D510E8">
        <w:rPr>
          <w:kern w:val="22"/>
          <w:szCs w:val="18"/>
          <w:lang w:eastAsia="fr-FR"/>
        </w:rPr>
        <w:t xml:space="preserve">au titre du Protocole, y compris les initiatives relatives au renforcement des capacités, entre autres. </w:t>
      </w:r>
    </w:p>
    <w:p w14:paraId="12895D35" w14:textId="77777777" w:rsidR="00952749" w:rsidRPr="00D510E8" w:rsidRDefault="00952749" w:rsidP="004C7DBD">
      <w:pPr>
        <w:numPr>
          <w:ilvl w:val="0"/>
          <w:numId w:val="38"/>
        </w:numPr>
        <w:tabs>
          <w:tab w:val="left" w:pos="1418"/>
        </w:tabs>
        <w:spacing w:before="120" w:after="120"/>
        <w:ind w:firstLine="709"/>
        <w:rPr>
          <w:kern w:val="22"/>
          <w:szCs w:val="18"/>
          <w:lang w:eastAsia="fr-FR"/>
        </w:rPr>
      </w:pPr>
      <w:r w:rsidRPr="00D510E8">
        <w:rPr>
          <w:kern w:val="22"/>
          <w:szCs w:val="18"/>
          <w:lang w:eastAsia="fr-FR"/>
        </w:rPr>
        <w:t>Les membres du Grou</w:t>
      </w:r>
      <w:r>
        <w:rPr>
          <w:kern w:val="22"/>
          <w:szCs w:val="18"/>
          <w:lang w:eastAsia="fr-FR"/>
        </w:rPr>
        <w:t>pe de liaison seront choisi</w:t>
      </w:r>
      <w:r w:rsidRPr="00D510E8">
        <w:rPr>
          <w:kern w:val="22"/>
          <w:szCs w:val="18"/>
          <w:lang w:eastAsia="fr-FR"/>
        </w:rPr>
        <w:t>s sur la base de leurs compétences et expérienc</w:t>
      </w:r>
      <w:r>
        <w:rPr>
          <w:kern w:val="22"/>
          <w:szCs w:val="18"/>
          <w:lang w:eastAsia="fr-FR"/>
        </w:rPr>
        <w:t>es avérées en ce qui concerne l’application</w:t>
      </w:r>
      <w:r w:rsidRPr="00D510E8">
        <w:rPr>
          <w:kern w:val="22"/>
          <w:szCs w:val="18"/>
          <w:lang w:eastAsia="fr-FR"/>
        </w:rPr>
        <w:t xml:space="preserve"> du Protocole de Cartagena sur la prévention des risques biotechnologiques et du Protocole additionnel de Nagoya-Kuala Lumpur sur la responsabilité et la réparation, en tenant compte de la représentation géogra</w:t>
      </w:r>
      <w:r>
        <w:rPr>
          <w:kern w:val="22"/>
          <w:szCs w:val="18"/>
          <w:lang w:eastAsia="fr-FR"/>
        </w:rPr>
        <w:t xml:space="preserve">phique, de l'équilibre entre hommes et </w:t>
      </w:r>
      <w:r w:rsidRPr="00D510E8">
        <w:rPr>
          <w:kern w:val="22"/>
          <w:szCs w:val="18"/>
          <w:lang w:eastAsia="fr-FR"/>
        </w:rPr>
        <w:t>femmes</w:t>
      </w:r>
      <w:r>
        <w:rPr>
          <w:kern w:val="22"/>
          <w:szCs w:val="18"/>
          <w:lang w:eastAsia="fr-FR"/>
        </w:rPr>
        <w:t>,</w:t>
      </w:r>
      <w:r w:rsidRPr="00D510E8">
        <w:rPr>
          <w:kern w:val="22"/>
          <w:szCs w:val="18"/>
          <w:lang w:eastAsia="fr-FR"/>
        </w:rPr>
        <w:t xml:space="preserve"> et d'un</w:t>
      </w:r>
      <w:r>
        <w:rPr>
          <w:kern w:val="22"/>
          <w:szCs w:val="18"/>
          <w:lang w:eastAsia="fr-FR"/>
        </w:rPr>
        <w:t>e représentation équitabl</w:t>
      </w:r>
      <w:r w:rsidRPr="00D510E8">
        <w:rPr>
          <w:kern w:val="22"/>
          <w:szCs w:val="18"/>
          <w:lang w:eastAsia="fr-FR"/>
        </w:rPr>
        <w:t>e des parties prenantes concernées.</w:t>
      </w:r>
    </w:p>
    <w:p w14:paraId="27F5D9DB" w14:textId="68A2833D" w:rsidR="009137A8" w:rsidRDefault="009137A8">
      <w:pPr>
        <w:jc w:val="left"/>
      </w:pPr>
      <w:r>
        <w:br w:type="page"/>
      </w:r>
    </w:p>
    <w:p w14:paraId="511DE9BF" w14:textId="28AA24DE" w:rsidR="009137A8" w:rsidRPr="00EE6B5E" w:rsidRDefault="009169B0" w:rsidP="00EE6B5E">
      <w:pPr>
        <w:pStyle w:val="Heading2"/>
        <w:ind w:left="709" w:hanging="567"/>
        <w:jc w:val="left"/>
        <w:rPr>
          <w:caps/>
        </w:rPr>
      </w:pPr>
      <w:bookmarkStart w:id="14" w:name="_Toc7428848"/>
      <w:r w:rsidRPr="00EE6B5E">
        <w:rPr>
          <w:bCs w:val="0"/>
          <w:iCs w:val="0"/>
          <w:caps/>
          <w:kern w:val="22"/>
          <w:szCs w:val="22"/>
        </w:rPr>
        <w:lastRenderedPageBreak/>
        <w:t>9/8.</w:t>
      </w:r>
      <w:r w:rsidRPr="00EE6B5E">
        <w:rPr>
          <w:bCs w:val="0"/>
          <w:iCs w:val="0"/>
          <w:caps/>
          <w:kern w:val="22"/>
          <w:szCs w:val="22"/>
        </w:rPr>
        <w:tab/>
      </w:r>
      <w:r w:rsidRPr="00EE6B5E">
        <w:rPr>
          <w:bCs w:val="0"/>
          <w:iCs w:val="0"/>
          <w:kern w:val="22"/>
          <w:szCs w:val="22"/>
        </w:rPr>
        <w:t>Examen de l’expérience de tenue de réunions concomitantes d</w:t>
      </w:r>
      <w:r w:rsidRPr="00EE6B5E">
        <w:rPr>
          <w:kern w:val="22"/>
        </w:rPr>
        <w:t>e la Conférence des Parties à la Convention, de la Conférence des Parties siégeant en tant que réunion des Parties au Protocole de Cartagena et de la Conférence des Parties siégeant en tant que réunion des Parties au Protocole de Nagoya</w:t>
      </w:r>
      <w:bookmarkEnd w:id="14"/>
      <w:r w:rsidRPr="00EE6B5E">
        <w:rPr>
          <w:bCs w:val="0"/>
          <w:iCs w:val="0"/>
          <w:kern w:val="22"/>
          <w:szCs w:val="22"/>
        </w:rPr>
        <w:t xml:space="preserve"> </w:t>
      </w:r>
    </w:p>
    <w:p w14:paraId="039D1311" w14:textId="77777777" w:rsidR="009137A8" w:rsidRPr="003153BC" w:rsidRDefault="009137A8" w:rsidP="00EE6B5E">
      <w:pPr>
        <w:suppressLineNumbers/>
        <w:suppressAutoHyphens/>
        <w:kinsoku w:val="0"/>
        <w:overflowPunct w:val="0"/>
        <w:autoSpaceDE w:val="0"/>
        <w:autoSpaceDN w:val="0"/>
        <w:adjustRightInd w:val="0"/>
        <w:snapToGrid w:val="0"/>
        <w:spacing w:before="240" w:after="120"/>
        <w:ind w:firstLine="720"/>
        <w:rPr>
          <w:kern w:val="22"/>
        </w:rPr>
      </w:pPr>
      <w:r>
        <w:rPr>
          <w:i/>
          <w:kern w:val="22"/>
        </w:rPr>
        <w:t>La Conférence des Parties siégeant en tant que réunion des Parties au Protocole de Cartagena sur la prévention des risques biotechnologiques,</w:t>
      </w:r>
    </w:p>
    <w:p w14:paraId="3BF11C03" w14:textId="77777777" w:rsidR="009137A8" w:rsidRPr="003153BC" w:rsidRDefault="009137A8" w:rsidP="009137A8">
      <w:pPr>
        <w:suppressLineNumbers/>
        <w:suppressAutoHyphens/>
        <w:kinsoku w:val="0"/>
        <w:overflowPunct w:val="0"/>
        <w:autoSpaceDE w:val="0"/>
        <w:autoSpaceDN w:val="0"/>
        <w:adjustRightInd w:val="0"/>
        <w:snapToGrid w:val="0"/>
        <w:spacing w:before="120" w:after="120"/>
        <w:ind w:firstLine="720"/>
        <w:rPr>
          <w:kern w:val="22"/>
        </w:rPr>
      </w:pPr>
      <w:r>
        <w:rPr>
          <w:i/>
          <w:iCs/>
          <w:kern w:val="22"/>
        </w:rPr>
        <w:t>Rappelant</w:t>
      </w:r>
      <w:r>
        <w:rPr>
          <w:kern w:val="22"/>
        </w:rPr>
        <w:t xml:space="preserve"> les décisions </w:t>
      </w:r>
      <w:hyperlink r:id="rId19" w:history="1">
        <w:r>
          <w:rPr>
            <w:color w:val="0000FF"/>
            <w:kern w:val="22"/>
            <w:u w:val="single"/>
          </w:rPr>
          <w:t>BS-VII/9</w:t>
        </w:r>
      </w:hyperlink>
      <w:r>
        <w:rPr>
          <w:kern w:val="22"/>
        </w:rPr>
        <w:t xml:space="preserve"> et </w:t>
      </w:r>
      <w:hyperlink r:id="rId20" w:history="1">
        <w:r>
          <w:rPr>
            <w:color w:val="0000FF"/>
            <w:kern w:val="22"/>
            <w:u w:val="single"/>
          </w:rPr>
          <w:t>CP-VIII/10</w:t>
        </w:r>
      </w:hyperlink>
      <w:r>
        <w:rPr>
          <w:kern w:val="22"/>
        </w:rPr>
        <w:t>,</w:t>
      </w:r>
    </w:p>
    <w:p w14:paraId="2BCC78B5" w14:textId="77777777" w:rsidR="009137A8" w:rsidRPr="003153BC" w:rsidRDefault="009137A8" w:rsidP="009137A8">
      <w:pPr>
        <w:suppressLineNumbers/>
        <w:suppressAutoHyphens/>
        <w:kinsoku w:val="0"/>
        <w:overflowPunct w:val="0"/>
        <w:autoSpaceDE w:val="0"/>
        <w:autoSpaceDN w:val="0"/>
        <w:adjustRightInd w:val="0"/>
        <w:snapToGrid w:val="0"/>
        <w:spacing w:before="120" w:after="120"/>
        <w:ind w:firstLine="720"/>
        <w:rPr>
          <w:kern w:val="22"/>
        </w:rPr>
      </w:pPr>
      <w:r>
        <w:rPr>
          <w:i/>
          <w:iCs/>
          <w:kern w:val="22"/>
        </w:rPr>
        <w:t>Ayant examiné</w:t>
      </w:r>
      <w:r>
        <w:rPr>
          <w:kern w:val="22"/>
        </w:rPr>
        <w:t xml:space="preserve"> l’expérience de tenue de réunions concomitantes de la Conférence des Parties à la Convention, de la Conférence des Parties siégeant en tant que réunion des Parties au Protocole de Cartagena et de la Conférence des Parties siégeant en tant que réunion des Parties au Protocole de Nagoya, en utilisant les critères établis dans la décision CP-VIII/10, et </w:t>
      </w:r>
      <w:r>
        <w:rPr>
          <w:i/>
          <w:iCs/>
          <w:kern w:val="22"/>
        </w:rPr>
        <w:t>tenant compte</w:t>
      </w:r>
      <w:r>
        <w:rPr>
          <w:kern w:val="22"/>
        </w:rPr>
        <w:t xml:space="preserve"> des points de vue des Parties, des observateurs et des participants à la treizième réunion de la Conférence des Parties à la Convention, à la huitième réunion de la Conférence des Parties siégeant en tant que réunion des Parties au Protocole de Cartagena et à la deuxième réunion de la Conférence des Parties siégeant en tant que réunion des Parties au Protocole de Nagoya, et dans le cadre d’enquêtes effectuées après les réunions,</w:t>
      </w:r>
    </w:p>
    <w:p w14:paraId="5E3F7485" w14:textId="77777777" w:rsidR="009137A8" w:rsidRPr="003153BC" w:rsidRDefault="009137A8" w:rsidP="009137A8">
      <w:pPr>
        <w:suppressLineNumbers/>
        <w:suppressAutoHyphens/>
        <w:kinsoku w:val="0"/>
        <w:overflowPunct w:val="0"/>
        <w:autoSpaceDE w:val="0"/>
        <w:autoSpaceDN w:val="0"/>
        <w:adjustRightInd w:val="0"/>
        <w:snapToGrid w:val="0"/>
        <w:spacing w:before="120" w:after="120"/>
        <w:ind w:firstLine="720"/>
        <w:rPr>
          <w:kern w:val="22"/>
        </w:rPr>
      </w:pPr>
      <w:r>
        <w:rPr>
          <w:i/>
          <w:iCs/>
          <w:kern w:val="22"/>
        </w:rPr>
        <w:t>Sachant</w:t>
      </w:r>
      <w:r>
        <w:rPr>
          <w:kern w:val="22"/>
        </w:rPr>
        <w:t xml:space="preserve"> qu’un autre examen sera effectué à la quinzième réunion de la Conférence des Parties à la Convention, à la dixième réunion de la Conférence des Parties siégeant en tant que réunion des Parties au Protocole de Cartagena et à la quatrième réunion de la Conférence des Parties siégeant en tant que réunion des Parties au Protocole de Nagoya,</w:t>
      </w:r>
    </w:p>
    <w:p w14:paraId="4365F812" w14:textId="77777777" w:rsidR="009137A8" w:rsidRPr="003153BC" w:rsidRDefault="009137A8" w:rsidP="009137A8">
      <w:pPr>
        <w:suppressLineNumbers/>
        <w:suppressAutoHyphens/>
        <w:kinsoku w:val="0"/>
        <w:overflowPunct w:val="0"/>
        <w:autoSpaceDE w:val="0"/>
        <w:autoSpaceDN w:val="0"/>
        <w:adjustRightInd w:val="0"/>
        <w:snapToGrid w:val="0"/>
        <w:spacing w:before="120" w:after="120"/>
        <w:ind w:firstLine="720"/>
        <w:rPr>
          <w:kern w:val="22"/>
        </w:rPr>
      </w:pPr>
      <w:r>
        <w:rPr>
          <w:kern w:val="22"/>
        </w:rPr>
        <w:t>1.</w:t>
      </w:r>
      <w:r>
        <w:rPr>
          <w:kern w:val="22"/>
        </w:rPr>
        <w:tab/>
      </w:r>
      <w:r>
        <w:rPr>
          <w:i/>
          <w:kern w:val="22"/>
        </w:rPr>
        <w:t>Constate avec satisfaction</w:t>
      </w:r>
      <w:r>
        <w:rPr>
          <w:kern w:val="22"/>
        </w:rPr>
        <w:t xml:space="preserve"> que les réunions concomitantes ont permis une plus grande intégration de la Convention et de ses Protocoles ainsi qu’une amélioration des consultations, de la coordination et des synergies parmi les correspondants nationaux respectifs;</w:t>
      </w:r>
    </w:p>
    <w:p w14:paraId="39EA97A4" w14:textId="77777777" w:rsidR="009137A8" w:rsidRPr="003153BC" w:rsidRDefault="009137A8" w:rsidP="009137A8">
      <w:pPr>
        <w:suppressLineNumbers/>
        <w:suppressAutoHyphens/>
        <w:kinsoku w:val="0"/>
        <w:overflowPunct w:val="0"/>
        <w:autoSpaceDE w:val="0"/>
        <w:autoSpaceDN w:val="0"/>
        <w:adjustRightInd w:val="0"/>
        <w:snapToGrid w:val="0"/>
        <w:spacing w:before="120" w:after="120"/>
        <w:ind w:firstLine="720"/>
        <w:rPr>
          <w:kern w:val="22"/>
        </w:rPr>
      </w:pPr>
      <w:r>
        <w:rPr>
          <w:kern w:val="22"/>
        </w:rPr>
        <w:t>2.</w:t>
      </w:r>
      <w:r>
        <w:rPr>
          <w:kern w:val="22"/>
        </w:rPr>
        <w:tab/>
      </w:r>
      <w:r>
        <w:rPr>
          <w:i/>
          <w:kern w:val="22"/>
        </w:rPr>
        <w:t>Note</w:t>
      </w:r>
      <w:r>
        <w:rPr>
          <w:kern w:val="22"/>
        </w:rPr>
        <w:t xml:space="preserve"> que la plupart des critères ont été considérés comme ayant été remplis ou partiellement remplis et que des améliorations supplémentaires du fonctionnement des réunions concomitantes sont souhaitables, notamment en ce qui concerne les résultats et l’efficacité des réunions des Parties aux Protocoles</w:t>
      </w:r>
      <w:r w:rsidRPr="001B7EB2">
        <w:rPr>
          <w:kern w:val="22"/>
        </w:rPr>
        <w:t>;</w:t>
      </w:r>
    </w:p>
    <w:p w14:paraId="77C844E4" w14:textId="77777777" w:rsidR="009137A8" w:rsidRDefault="009137A8" w:rsidP="009137A8">
      <w:pPr>
        <w:suppressLineNumbers/>
        <w:suppressAutoHyphens/>
        <w:kinsoku w:val="0"/>
        <w:overflowPunct w:val="0"/>
        <w:autoSpaceDE w:val="0"/>
        <w:autoSpaceDN w:val="0"/>
        <w:adjustRightInd w:val="0"/>
        <w:snapToGrid w:val="0"/>
        <w:spacing w:before="120" w:after="120"/>
        <w:ind w:firstLine="720"/>
        <w:rPr>
          <w:kern w:val="22"/>
        </w:rPr>
      </w:pPr>
      <w:r>
        <w:rPr>
          <w:kern w:val="22"/>
        </w:rPr>
        <w:t>3.</w:t>
      </w:r>
      <w:r>
        <w:rPr>
          <w:kern w:val="22"/>
        </w:rPr>
        <w:tab/>
      </w:r>
      <w:r>
        <w:rPr>
          <w:i/>
          <w:kern w:val="22"/>
        </w:rPr>
        <w:t>Réitère</w:t>
      </w:r>
      <w:r>
        <w:rPr>
          <w:kern w:val="22"/>
        </w:rPr>
        <w:t xml:space="preserve"> l’importance d’assurer une participation pleine et effective des représentants des Parties qui sont des pays en développement, en particulier des pays les moins avancés et des petits États insulaires, ainsi que des pays à économie en transition, aux réunions concomitantes, et </w:t>
      </w:r>
      <w:r>
        <w:rPr>
          <w:i/>
          <w:kern w:val="22"/>
        </w:rPr>
        <w:t>souligne</w:t>
      </w:r>
      <w:r>
        <w:rPr>
          <w:kern w:val="22"/>
        </w:rPr>
        <w:t xml:space="preserve"> à cet égard l’importance, en particulier, d’assurer une participation adéquate des représentants aux réunions des Protocoles, en mettant à disposition des fonds pour une telle participation, y compris à des réunions intersessions</w:t>
      </w:r>
      <w:r w:rsidRPr="001B7EB2">
        <w:rPr>
          <w:kern w:val="22"/>
        </w:rPr>
        <w:t>;</w:t>
      </w:r>
    </w:p>
    <w:p w14:paraId="5907E89F" w14:textId="77777777" w:rsidR="009137A8" w:rsidRPr="00D649F7" w:rsidRDefault="009137A8" w:rsidP="009137A8">
      <w:pPr>
        <w:suppressLineNumbers/>
        <w:suppressAutoHyphens/>
        <w:kinsoku w:val="0"/>
        <w:overflowPunct w:val="0"/>
        <w:autoSpaceDE w:val="0"/>
        <w:autoSpaceDN w:val="0"/>
        <w:adjustRightInd w:val="0"/>
        <w:snapToGrid w:val="0"/>
        <w:spacing w:before="120" w:after="120"/>
        <w:ind w:firstLine="720"/>
        <w:rPr>
          <w:kern w:val="22"/>
          <w:lang w:eastAsia="en-CA"/>
        </w:rPr>
      </w:pPr>
      <w:r>
        <w:t>4.</w:t>
      </w:r>
      <w:r>
        <w:tab/>
      </w:r>
      <w:r>
        <w:rPr>
          <w:i/>
        </w:rPr>
        <w:t>Prie</w:t>
      </w:r>
      <w:r>
        <w:t xml:space="preserve"> la Secrétaire exécutive de poursuivre l'examen préliminaire de l'expérience acquise dans le cadre des réunions concomitantes, en appliquant les critères énoncés dans la décision CP-VIII/10, en se fondant sur l'expérience acquise lors de la tenue concomitante de la quatorzième réunion de la Conférence des Parties à la Convention, de la neuvième réunion de la Conférence des Parties siégeant en tant que réunion des Parties au Protocole de Cartagena et de la troisième réunion des Parties siégeant en tant que réunion des Parties au Protocole de Nagoya, pour examen par l'Organe subsidiaire chargé de l'application à sa troisième réunion;</w:t>
      </w:r>
    </w:p>
    <w:p w14:paraId="1F73F71A" w14:textId="77777777" w:rsidR="009137A8" w:rsidRDefault="009137A8" w:rsidP="009137A8">
      <w:pPr>
        <w:pStyle w:val="ListParagraph"/>
        <w:shd w:val="clear" w:color="auto" w:fill="FFFFFF" w:themeFill="background1"/>
        <w:spacing w:before="120" w:after="120"/>
        <w:ind w:left="0" w:firstLine="720"/>
      </w:pPr>
      <w:r>
        <w:rPr>
          <w:kern w:val="22"/>
        </w:rPr>
        <w:t>5.</w:t>
      </w:r>
      <w:r>
        <w:rPr>
          <w:kern w:val="22"/>
        </w:rPr>
        <w:tab/>
      </w:r>
      <w:r>
        <w:rPr>
          <w:i/>
          <w:kern w:val="22"/>
        </w:rPr>
        <w:t>Demande</w:t>
      </w:r>
      <w:r>
        <w:rPr>
          <w:kern w:val="22"/>
        </w:rPr>
        <w:t xml:space="preserve"> au Bureau et à la Secrétaire exécutive, lors de la mise au point finale de l'organisation des travaux proposée pour la quinzième réunion de la Conférence des Parties à la Convention, la dixième réunion de la Conférence des Parties siégeant en tant que réunion des Parties au Protocole de Cartagena et la quatrième réunion des Parties siégeant en tant que réunion des Parties au Protocole de Nagoya, de prendre en compte la présente décision, les informations qui figurent dans la note de la Secrétaire exécutive</w:t>
      </w:r>
      <w:r>
        <w:rPr>
          <w:kern w:val="22"/>
          <w:sz w:val="18"/>
          <w:vertAlign w:val="superscript"/>
        </w:rPr>
        <w:footnoteReference w:id="17"/>
      </w:r>
      <w:r>
        <w:rPr>
          <w:kern w:val="22"/>
        </w:rPr>
        <w:t xml:space="preserve">, ainsi que l'expérience acquise lors de la tenue concomitante de </w:t>
      </w:r>
      <w:r>
        <w:t xml:space="preserve">la quatorzième réunion de la </w:t>
      </w:r>
      <w:r>
        <w:lastRenderedPageBreak/>
        <w:t>Conférence des Parties à la Convention, de la neuvième réunion de la Conférence des Parties siégeant en tant que réunion des Parties au Protocole de Cartagena et de la troisième réunion de la Conférence des Parties siégeant en tant que réunion des Parties au Protocole de Nagoya.</w:t>
      </w:r>
    </w:p>
    <w:p w14:paraId="3D91BC30" w14:textId="3F3D1093" w:rsidR="009137A8" w:rsidRDefault="009137A8">
      <w:pPr>
        <w:jc w:val="left"/>
      </w:pPr>
      <w:r>
        <w:br w:type="page"/>
      </w:r>
    </w:p>
    <w:p w14:paraId="7B639616" w14:textId="2C61AD2E" w:rsidR="009137A8" w:rsidRPr="00EE6B5E" w:rsidRDefault="00E83799" w:rsidP="00EE6B5E">
      <w:pPr>
        <w:pStyle w:val="Heading2"/>
        <w:ind w:left="709" w:hanging="567"/>
        <w:jc w:val="left"/>
        <w:rPr>
          <w:caps/>
          <w:lang w:val="fr-CA"/>
        </w:rPr>
      </w:pPr>
      <w:bookmarkStart w:id="15" w:name="_Toc7428849"/>
      <w:r w:rsidRPr="00EE6B5E">
        <w:rPr>
          <w:caps/>
          <w:lang w:val="fr-CA"/>
        </w:rPr>
        <w:lastRenderedPageBreak/>
        <w:t>9/9</w:t>
      </w:r>
      <w:r w:rsidR="00825133" w:rsidRPr="00EE6B5E">
        <w:rPr>
          <w:caps/>
          <w:lang w:val="fr-CA"/>
        </w:rPr>
        <w:t>.</w:t>
      </w:r>
      <w:r w:rsidR="00825133" w:rsidRPr="00EE6B5E">
        <w:rPr>
          <w:caps/>
          <w:lang w:val="fr-CA"/>
        </w:rPr>
        <w:tab/>
      </w:r>
      <w:r w:rsidR="009D11C5">
        <w:rPr>
          <w:lang w:val="fr-CA"/>
        </w:rPr>
        <w:t>Renforcement de l’i</w:t>
      </w:r>
      <w:r w:rsidR="00825133" w:rsidRPr="00EE6B5E">
        <w:rPr>
          <w:lang w:val="fr-CA"/>
        </w:rPr>
        <w:t>ntégration au titre de la Convention et d</w:t>
      </w:r>
      <w:r w:rsidR="009D11C5">
        <w:rPr>
          <w:lang w:val="fr-CA"/>
        </w:rPr>
        <w:t>e ses Protocoles concernant l</w:t>
      </w:r>
      <w:r w:rsidR="00825133" w:rsidRPr="00EE6B5E">
        <w:rPr>
          <w:lang w:val="fr-CA"/>
        </w:rPr>
        <w:t>es dispositions relatives à la prévention des risques biotechnologiques</w:t>
      </w:r>
      <w:bookmarkEnd w:id="15"/>
    </w:p>
    <w:p w14:paraId="3681B105" w14:textId="77777777" w:rsidR="009137A8" w:rsidRPr="00843969" w:rsidRDefault="009137A8" w:rsidP="00EE6B5E">
      <w:pPr>
        <w:spacing w:before="240" w:after="120"/>
        <w:ind w:firstLine="709"/>
        <w:rPr>
          <w:i/>
          <w:szCs w:val="22"/>
          <w:lang w:val="fr-CA"/>
        </w:rPr>
      </w:pPr>
      <w:r w:rsidRPr="00843969">
        <w:rPr>
          <w:i/>
          <w:szCs w:val="22"/>
          <w:lang w:val="fr-CA"/>
        </w:rPr>
        <w:t xml:space="preserve">La Conférence des Parties siégeant en tant que réunion des Parties au Protocole de Cartagena sur la prévention des risques biotechnologiques, </w:t>
      </w:r>
    </w:p>
    <w:p w14:paraId="2870DD5E" w14:textId="77777777" w:rsidR="009137A8" w:rsidRPr="00843969" w:rsidRDefault="009137A8" w:rsidP="009137A8">
      <w:pPr>
        <w:spacing w:after="120"/>
        <w:ind w:firstLine="709"/>
        <w:rPr>
          <w:szCs w:val="22"/>
          <w:lang w:val="fr-CA" w:eastAsia="zh-CN"/>
        </w:rPr>
      </w:pPr>
      <w:r w:rsidRPr="00843969">
        <w:rPr>
          <w:i/>
          <w:kern w:val="22"/>
          <w:szCs w:val="22"/>
          <w:lang w:val="fr-CA"/>
        </w:rPr>
        <w:t xml:space="preserve">Rappelant </w:t>
      </w:r>
      <w:r w:rsidRPr="00843969">
        <w:rPr>
          <w:kern w:val="22"/>
          <w:szCs w:val="22"/>
          <w:lang w:val="fr-CA"/>
        </w:rPr>
        <w:t>la décision XIII/26 de la C</w:t>
      </w:r>
      <w:r>
        <w:rPr>
          <w:kern w:val="22"/>
          <w:szCs w:val="22"/>
          <w:lang w:val="fr-CA"/>
        </w:rPr>
        <w:t>onférence des Parties sur</w:t>
      </w:r>
      <w:r w:rsidRPr="00843969">
        <w:rPr>
          <w:kern w:val="22"/>
          <w:szCs w:val="22"/>
          <w:lang w:val="fr-CA"/>
        </w:rPr>
        <w:t xml:space="preserve"> des moyens </w:t>
      </w:r>
      <w:r w:rsidRPr="00843969">
        <w:rPr>
          <w:szCs w:val="22"/>
          <w:lang w:val="fr-CA" w:eastAsia="zh-CN"/>
        </w:rPr>
        <w:t>éventuels de promouvoir des approches int</w:t>
      </w:r>
      <w:r>
        <w:rPr>
          <w:szCs w:val="22"/>
          <w:lang w:val="fr-CA" w:eastAsia="zh-CN"/>
        </w:rPr>
        <w:t xml:space="preserve">égrées pour les questions qui concernent </w:t>
      </w:r>
      <w:r w:rsidRPr="00843969">
        <w:rPr>
          <w:szCs w:val="22"/>
          <w:lang w:val="fr-CA" w:eastAsia="zh-CN"/>
        </w:rPr>
        <w:t>à la fois les dispositi</w:t>
      </w:r>
      <w:r>
        <w:rPr>
          <w:szCs w:val="22"/>
          <w:lang w:val="fr-CA" w:eastAsia="zh-CN"/>
        </w:rPr>
        <w:t>ons de la Convention ayant trait à la prévention des</w:t>
      </w:r>
      <w:r w:rsidRPr="00843969">
        <w:rPr>
          <w:szCs w:val="22"/>
          <w:lang w:val="fr-CA" w:eastAsia="zh-CN"/>
        </w:rPr>
        <w:t xml:space="preserve"> risques biotechnologiques et les disposi</w:t>
      </w:r>
      <w:r>
        <w:rPr>
          <w:szCs w:val="22"/>
          <w:lang w:val="fr-CA" w:eastAsia="zh-CN"/>
        </w:rPr>
        <w:t>tions du Protocole de Cartagena,</w:t>
      </w:r>
    </w:p>
    <w:p w14:paraId="0CE91CBE" w14:textId="77777777" w:rsidR="009137A8" w:rsidRDefault="009137A8" w:rsidP="009137A8">
      <w:pPr>
        <w:ind w:firstLine="720"/>
        <w:rPr>
          <w:szCs w:val="22"/>
          <w:lang w:val="fr-CA"/>
        </w:rPr>
      </w:pPr>
      <w:r w:rsidRPr="00843969">
        <w:rPr>
          <w:i/>
          <w:szCs w:val="22"/>
          <w:lang w:val="fr-CA"/>
        </w:rPr>
        <w:t xml:space="preserve">Prend note </w:t>
      </w:r>
      <w:r>
        <w:rPr>
          <w:szCs w:val="22"/>
          <w:lang w:val="fr-CA"/>
        </w:rPr>
        <w:t xml:space="preserve">des </w:t>
      </w:r>
      <w:r w:rsidRPr="00843969">
        <w:rPr>
          <w:szCs w:val="22"/>
          <w:lang w:val="fr-CA"/>
        </w:rPr>
        <w:t xml:space="preserve">moyens proposés pour renforcer l'intégration et </w:t>
      </w:r>
      <w:r w:rsidRPr="00843969">
        <w:rPr>
          <w:i/>
          <w:szCs w:val="22"/>
          <w:lang w:val="fr-CA"/>
        </w:rPr>
        <w:t>accueille avec satisfaction</w:t>
      </w:r>
      <w:r w:rsidRPr="00843969">
        <w:rPr>
          <w:szCs w:val="22"/>
          <w:lang w:val="fr-CA"/>
        </w:rPr>
        <w:t xml:space="preserve"> la décision </w:t>
      </w:r>
      <w:r>
        <w:rPr>
          <w:szCs w:val="22"/>
          <w:lang w:val="fr-CA"/>
        </w:rPr>
        <w:t>14/31</w:t>
      </w:r>
      <w:r w:rsidRPr="00843969">
        <w:rPr>
          <w:szCs w:val="22"/>
          <w:lang w:val="fr-CA"/>
        </w:rPr>
        <w:t xml:space="preserve"> de la Conférence des Parties</w:t>
      </w:r>
      <w:r>
        <w:rPr>
          <w:szCs w:val="22"/>
          <w:lang w:val="fr-CA"/>
        </w:rPr>
        <w:t>.</w:t>
      </w:r>
    </w:p>
    <w:p w14:paraId="24B1ABB3" w14:textId="66F3A9C1" w:rsidR="009137A8" w:rsidRDefault="009137A8">
      <w:pPr>
        <w:jc w:val="left"/>
        <w:rPr>
          <w:lang w:val="fr-CA"/>
        </w:rPr>
      </w:pPr>
      <w:r>
        <w:rPr>
          <w:lang w:val="fr-CA"/>
        </w:rPr>
        <w:br w:type="page"/>
      </w:r>
    </w:p>
    <w:p w14:paraId="79B4B36E" w14:textId="6D809483" w:rsidR="009137A8" w:rsidRPr="00EE6B5E" w:rsidRDefault="00CB3140" w:rsidP="00EE6B5E">
      <w:pPr>
        <w:pStyle w:val="Heading2"/>
        <w:rPr>
          <w:caps/>
          <w:kern w:val="22"/>
          <w:szCs w:val="22"/>
        </w:rPr>
      </w:pPr>
      <w:bookmarkStart w:id="16" w:name="_Toc7428850"/>
      <w:r w:rsidRPr="00EE6B5E">
        <w:rPr>
          <w:caps/>
          <w:kern w:val="22"/>
          <w:szCs w:val="22"/>
        </w:rPr>
        <w:lastRenderedPageBreak/>
        <w:t>9/10.</w:t>
      </w:r>
      <w:r w:rsidRPr="00EE6B5E">
        <w:rPr>
          <w:caps/>
          <w:kern w:val="22"/>
          <w:szCs w:val="22"/>
        </w:rPr>
        <w:tab/>
      </w:r>
      <w:r w:rsidRPr="00EE6B5E">
        <w:rPr>
          <w:kern w:val="22"/>
          <w:szCs w:val="22"/>
        </w:rPr>
        <w:t>Procédure pour éviter ou gérer les conflits d’intérêts au sein des groupes d’experts</w:t>
      </w:r>
      <w:bookmarkEnd w:id="16"/>
    </w:p>
    <w:p w14:paraId="24548809" w14:textId="77777777" w:rsidR="009137A8" w:rsidRPr="00C74076" w:rsidRDefault="009137A8" w:rsidP="00EE6B5E">
      <w:pPr>
        <w:pStyle w:val="ListParagraph"/>
        <w:keepNext/>
        <w:spacing w:before="240" w:after="120"/>
        <w:ind w:left="0" w:firstLine="709"/>
        <w:rPr>
          <w:kern w:val="22"/>
          <w:szCs w:val="22"/>
        </w:rPr>
      </w:pPr>
      <w:r w:rsidRPr="00C74076">
        <w:rPr>
          <w:i/>
          <w:kern w:val="22"/>
          <w:szCs w:val="22"/>
        </w:rPr>
        <w:t>La Conférence des Parties</w:t>
      </w:r>
      <w:r>
        <w:rPr>
          <w:i/>
          <w:kern w:val="22"/>
          <w:szCs w:val="22"/>
        </w:rPr>
        <w:t xml:space="preserve"> siégeant en tant que réunion des Parties au Protocole de Cartagena sur la prévention des risques biotechnologiques</w:t>
      </w:r>
      <w:r w:rsidRPr="00C74076">
        <w:rPr>
          <w:i/>
          <w:kern w:val="22"/>
          <w:szCs w:val="22"/>
        </w:rPr>
        <w:t>,</w:t>
      </w:r>
    </w:p>
    <w:p w14:paraId="59F38B86" w14:textId="77777777" w:rsidR="009137A8" w:rsidRPr="00C74076" w:rsidRDefault="009137A8" w:rsidP="009137A8">
      <w:pPr>
        <w:pStyle w:val="ListParagraph"/>
        <w:spacing w:before="120" w:after="120"/>
        <w:ind w:left="0" w:firstLine="720"/>
        <w:rPr>
          <w:kern w:val="22"/>
          <w:szCs w:val="22"/>
        </w:rPr>
      </w:pPr>
      <w:r w:rsidRPr="00C74076">
        <w:rPr>
          <w:i/>
          <w:kern w:val="22"/>
          <w:szCs w:val="22"/>
        </w:rPr>
        <w:t xml:space="preserve">Reconnaissant </w:t>
      </w:r>
      <w:r w:rsidRPr="00C74076">
        <w:rPr>
          <w:kern w:val="22"/>
          <w:szCs w:val="22"/>
        </w:rPr>
        <w:t>qu’il i</w:t>
      </w:r>
      <w:r>
        <w:rPr>
          <w:kern w:val="22"/>
          <w:szCs w:val="22"/>
        </w:rPr>
        <w:t>mporte au plus haut point que le</w:t>
      </w:r>
      <w:r w:rsidRPr="00C74076">
        <w:rPr>
          <w:kern w:val="22"/>
          <w:szCs w:val="22"/>
        </w:rPr>
        <w:t>s décisions soient prises en s’appuyant sur les meilleurs avis d’experts disponibles,</w:t>
      </w:r>
    </w:p>
    <w:p w14:paraId="6F3C6DBE" w14:textId="77777777" w:rsidR="009137A8" w:rsidRPr="00C74076" w:rsidRDefault="009137A8" w:rsidP="009137A8">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74076">
        <w:rPr>
          <w:i/>
          <w:kern w:val="22"/>
          <w:szCs w:val="22"/>
        </w:rPr>
        <w:t>Reconnaissant également</w:t>
      </w:r>
      <w:r w:rsidRPr="00C74076">
        <w:rPr>
          <w:kern w:val="22"/>
          <w:szCs w:val="22"/>
        </w:rPr>
        <w:t xml:space="preserve"> la né</w:t>
      </w:r>
      <w:r>
        <w:rPr>
          <w:kern w:val="22"/>
          <w:szCs w:val="22"/>
        </w:rPr>
        <w:t>cessité d’éviter ou de gérer, d’une manière transparente,</w:t>
      </w:r>
      <w:r w:rsidRPr="00C74076">
        <w:rPr>
          <w:kern w:val="22"/>
          <w:szCs w:val="22"/>
        </w:rPr>
        <w:t xml:space="preserve"> les conflits d’intérêts au sein des groupes d’experts constitués de temps à autre pour formuler des recommandations,</w:t>
      </w:r>
    </w:p>
    <w:p w14:paraId="7C4AF899" w14:textId="77777777" w:rsidR="009137A8" w:rsidRPr="00C74076" w:rsidRDefault="009137A8" w:rsidP="009137A8">
      <w:pPr>
        <w:pStyle w:val="ListParagraph"/>
        <w:spacing w:before="120" w:after="120"/>
        <w:ind w:left="0" w:firstLine="720"/>
        <w:rPr>
          <w:kern w:val="22"/>
          <w:szCs w:val="22"/>
        </w:rPr>
      </w:pPr>
      <w:r w:rsidRPr="00C74076">
        <w:rPr>
          <w:kern w:val="22"/>
          <w:szCs w:val="22"/>
          <w:lang w:eastAsia="en-CA"/>
        </w:rPr>
        <w:t>1.</w:t>
      </w:r>
      <w:r w:rsidRPr="00C74076">
        <w:rPr>
          <w:kern w:val="22"/>
          <w:szCs w:val="22"/>
          <w:lang w:eastAsia="en-CA"/>
        </w:rPr>
        <w:tab/>
      </w:r>
      <w:r w:rsidRPr="00C74076">
        <w:rPr>
          <w:i/>
          <w:kern w:val="22"/>
          <w:szCs w:val="22"/>
        </w:rPr>
        <w:t>Approuve</w:t>
      </w:r>
      <w:r w:rsidRPr="00C74076">
        <w:rPr>
          <w:kern w:val="22"/>
          <w:szCs w:val="22"/>
        </w:rPr>
        <w:t xml:space="preserve"> la procédure </w:t>
      </w:r>
      <w:r>
        <w:rPr>
          <w:kern w:val="22"/>
          <w:szCs w:val="22"/>
          <w:lang w:eastAsia="de-AT"/>
        </w:rPr>
        <w:t>relative à la prévention et à la</w:t>
      </w:r>
      <w:r w:rsidRPr="00C74076">
        <w:rPr>
          <w:kern w:val="22"/>
          <w:szCs w:val="22"/>
          <w:lang w:eastAsia="de-AT"/>
        </w:rPr>
        <w:t xml:space="preserve"> gestion de</w:t>
      </w:r>
      <w:r>
        <w:rPr>
          <w:kern w:val="22"/>
          <w:szCs w:val="22"/>
          <w:lang w:eastAsia="de-AT"/>
        </w:rPr>
        <w:t>s</w:t>
      </w:r>
      <w:r w:rsidRPr="00C74076">
        <w:rPr>
          <w:kern w:val="22"/>
          <w:szCs w:val="22"/>
          <w:lang w:eastAsia="de-AT"/>
        </w:rPr>
        <w:t xml:space="preserve"> conflits d’intérêts </w:t>
      </w:r>
      <w:r>
        <w:rPr>
          <w:kern w:val="22"/>
          <w:szCs w:val="22"/>
          <w:lang w:eastAsia="de-AT"/>
        </w:rPr>
        <w:t xml:space="preserve">au sein des groupes d’experts qui </w:t>
      </w:r>
      <w:r w:rsidRPr="00C74076">
        <w:rPr>
          <w:kern w:val="22"/>
          <w:szCs w:val="22"/>
        </w:rPr>
        <w:t>figure à l’annexe de la décision</w:t>
      </w:r>
      <w:r>
        <w:rPr>
          <w:kern w:val="22"/>
          <w:szCs w:val="22"/>
        </w:rPr>
        <w:t xml:space="preserve"> </w:t>
      </w:r>
      <w:r>
        <w:rPr>
          <w:color w:val="000000" w:themeColor="text1"/>
          <w:kern w:val="22"/>
        </w:rPr>
        <w:t>14/33</w:t>
      </w:r>
      <w:r w:rsidRPr="00C446DD">
        <w:rPr>
          <w:color w:val="000000" w:themeColor="text1"/>
          <w:kern w:val="22"/>
        </w:rPr>
        <w:t>;</w:t>
      </w:r>
    </w:p>
    <w:p w14:paraId="632FF90B" w14:textId="77777777" w:rsidR="009137A8" w:rsidRPr="00C74076" w:rsidRDefault="009137A8" w:rsidP="009137A8">
      <w:pPr>
        <w:suppressLineNumbers/>
        <w:suppressAutoHyphens/>
        <w:kinsoku w:val="0"/>
        <w:overflowPunct w:val="0"/>
        <w:autoSpaceDE w:val="0"/>
        <w:autoSpaceDN w:val="0"/>
        <w:adjustRightInd w:val="0"/>
        <w:snapToGrid w:val="0"/>
        <w:spacing w:before="120" w:after="120"/>
        <w:ind w:firstLine="720"/>
        <w:rPr>
          <w:kern w:val="22"/>
          <w:szCs w:val="22"/>
        </w:rPr>
      </w:pPr>
      <w:r w:rsidRPr="00C74076">
        <w:rPr>
          <w:kern w:val="22"/>
          <w:szCs w:val="22"/>
        </w:rPr>
        <w:t>2.</w:t>
      </w:r>
      <w:r w:rsidRPr="00C74076">
        <w:rPr>
          <w:kern w:val="22"/>
          <w:szCs w:val="22"/>
        </w:rPr>
        <w:tab/>
      </w:r>
      <w:r w:rsidRPr="00C74076">
        <w:rPr>
          <w:i/>
          <w:iCs/>
          <w:kern w:val="22"/>
          <w:szCs w:val="22"/>
        </w:rPr>
        <w:t>Prie</w:t>
      </w:r>
      <w:r w:rsidRPr="00C74076">
        <w:rPr>
          <w:kern w:val="22"/>
          <w:szCs w:val="22"/>
        </w:rPr>
        <w:t xml:space="preserve"> la Secrétaire exécutive de veiller à </w:t>
      </w:r>
      <w:r w:rsidRPr="00C74076">
        <w:rPr>
          <w:kern w:val="22"/>
          <w:szCs w:val="22"/>
          <w:lang w:eastAsia="de-AT"/>
        </w:rPr>
        <w:t>l’application</w:t>
      </w:r>
      <w:r>
        <w:rPr>
          <w:kern w:val="22"/>
          <w:szCs w:val="22"/>
          <w:lang w:eastAsia="de-AT"/>
        </w:rPr>
        <w:t xml:space="preserve">, </w:t>
      </w:r>
      <w:r w:rsidRPr="00C051B4">
        <w:rPr>
          <w:i/>
          <w:kern w:val="22"/>
          <w:szCs w:val="22"/>
          <w:lang w:eastAsia="de-AT"/>
        </w:rPr>
        <w:t>mutatis mutandis</w:t>
      </w:r>
      <w:r>
        <w:rPr>
          <w:kern w:val="22"/>
          <w:szCs w:val="22"/>
          <w:lang w:eastAsia="de-AT"/>
        </w:rPr>
        <w:t>,</w:t>
      </w:r>
      <w:r w:rsidRPr="00C74076">
        <w:rPr>
          <w:kern w:val="22"/>
          <w:szCs w:val="22"/>
          <w:lang w:eastAsia="de-AT"/>
        </w:rPr>
        <w:t xml:space="preserve"> de la procédure </w:t>
      </w:r>
      <w:r>
        <w:rPr>
          <w:kern w:val="22"/>
          <w:szCs w:val="22"/>
          <w:lang w:eastAsia="de-AT"/>
        </w:rPr>
        <w:t>relative à la prévention et à la</w:t>
      </w:r>
      <w:r w:rsidRPr="00C74076">
        <w:rPr>
          <w:kern w:val="22"/>
          <w:szCs w:val="22"/>
          <w:lang w:eastAsia="de-AT"/>
        </w:rPr>
        <w:t xml:space="preserve"> gestion de</w:t>
      </w:r>
      <w:r>
        <w:rPr>
          <w:kern w:val="22"/>
          <w:szCs w:val="22"/>
          <w:lang w:eastAsia="de-AT"/>
        </w:rPr>
        <w:t>s</w:t>
      </w:r>
      <w:r w:rsidRPr="00C74076">
        <w:rPr>
          <w:kern w:val="22"/>
          <w:szCs w:val="22"/>
          <w:lang w:eastAsia="de-AT"/>
        </w:rPr>
        <w:t xml:space="preserve"> conflits d’intérêts </w:t>
      </w:r>
      <w:r>
        <w:rPr>
          <w:kern w:val="22"/>
          <w:szCs w:val="22"/>
          <w:lang w:eastAsia="de-AT"/>
        </w:rPr>
        <w:t>au sein</w:t>
      </w:r>
      <w:r w:rsidRPr="00C74076">
        <w:rPr>
          <w:kern w:val="22"/>
          <w:szCs w:val="22"/>
          <w:lang w:eastAsia="de-AT"/>
        </w:rPr>
        <w:t xml:space="preserve"> des groupes d’experts</w:t>
      </w:r>
      <w:r>
        <w:rPr>
          <w:kern w:val="22"/>
          <w:szCs w:val="22"/>
          <w:lang w:eastAsia="de-AT"/>
        </w:rPr>
        <w:t xml:space="preserve">, dans le cadre des travaux des groupes d’experts techniques menés au titre du Protocole de Cartagena sur la prévention des risques biotechnologiques, </w:t>
      </w:r>
      <w:r w:rsidRPr="00C74076">
        <w:rPr>
          <w:kern w:val="22"/>
          <w:szCs w:val="22"/>
          <w:lang w:eastAsia="de-AT"/>
        </w:rPr>
        <w:t>en consultation avec le Bureau de l’Organe subsidiaire chargé de fournir des avis scientifiques, techniques et technologique ou le Bureau de la Conférence des Parties</w:t>
      </w:r>
      <w:r>
        <w:rPr>
          <w:kern w:val="22"/>
          <w:szCs w:val="22"/>
          <w:lang w:eastAsia="de-AT"/>
        </w:rPr>
        <w:t xml:space="preserve">, </w:t>
      </w:r>
      <w:r w:rsidRPr="00C051B4">
        <w:rPr>
          <w:kern w:val="22"/>
          <w:szCs w:val="22"/>
          <w:lang w:eastAsia="de-AT"/>
        </w:rPr>
        <w:t>lorsqu</w:t>
      </w:r>
      <w:r>
        <w:rPr>
          <w:kern w:val="22"/>
          <w:szCs w:val="22"/>
          <w:lang w:eastAsia="de-AT"/>
        </w:rPr>
        <w:t xml:space="preserve">e celui-ci assume la </w:t>
      </w:r>
      <w:r w:rsidRPr="00C051B4">
        <w:rPr>
          <w:kern w:val="22"/>
          <w:szCs w:val="22"/>
          <w:lang w:eastAsia="de-AT"/>
        </w:rPr>
        <w:t xml:space="preserve">fonction de Bureau de la Conférence des Parties </w:t>
      </w:r>
      <w:r>
        <w:rPr>
          <w:kern w:val="22"/>
          <w:szCs w:val="22"/>
          <w:lang w:eastAsia="de-AT"/>
        </w:rPr>
        <w:t>siégeant en tant que</w:t>
      </w:r>
      <w:r w:rsidRPr="00C051B4">
        <w:rPr>
          <w:kern w:val="22"/>
          <w:szCs w:val="22"/>
          <w:lang w:eastAsia="de-AT"/>
        </w:rPr>
        <w:t xml:space="preserve"> réunion des Parties au Protocole de Cartagena</w:t>
      </w:r>
      <w:r>
        <w:rPr>
          <w:kern w:val="22"/>
          <w:szCs w:val="22"/>
          <w:lang w:eastAsia="de-AT"/>
        </w:rPr>
        <w:t xml:space="preserve"> sur la prévention des risques biotechnologiques, </w:t>
      </w:r>
      <w:r w:rsidRPr="00C74076">
        <w:rPr>
          <w:kern w:val="22"/>
          <w:szCs w:val="22"/>
          <w:lang w:eastAsia="de-AT"/>
        </w:rPr>
        <w:t>selon qu’il convient;</w:t>
      </w:r>
    </w:p>
    <w:p w14:paraId="427217C0" w14:textId="77777777" w:rsidR="009137A8" w:rsidRPr="00C74076" w:rsidRDefault="009137A8" w:rsidP="009137A8">
      <w:pPr>
        <w:pStyle w:val="ListBullet"/>
        <w:tabs>
          <w:tab w:val="clear" w:pos="360"/>
        </w:tabs>
        <w:spacing w:before="120" w:after="120" w:line="240" w:lineRule="auto"/>
        <w:ind w:firstLine="720"/>
        <w:contextualSpacing w:val="0"/>
        <w:rPr>
          <w:rFonts w:ascii="Times New Roman" w:hAnsi="Times New Roman"/>
          <w:kern w:val="22"/>
          <w:szCs w:val="22"/>
          <w:lang w:val="fr-FR"/>
        </w:rPr>
      </w:pPr>
      <w:r w:rsidRPr="00C74076">
        <w:rPr>
          <w:rFonts w:ascii="Times New Roman" w:hAnsi="Times New Roman"/>
          <w:kern w:val="22"/>
          <w:szCs w:val="22"/>
          <w:lang w:val="fr-FR"/>
        </w:rPr>
        <w:t>3.</w:t>
      </w:r>
      <w:r w:rsidRPr="00C74076">
        <w:rPr>
          <w:rFonts w:ascii="Times New Roman" w:hAnsi="Times New Roman"/>
          <w:kern w:val="22"/>
          <w:szCs w:val="22"/>
          <w:lang w:val="fr-FR"/>
        </w:rPr>
        <w:tab/>
      </w:r>
      <w:r w:rsidRPr="00C74076">
        <w:rPr>
          <w:rFonts w:ascii="Times New Roman" w:hAnsi="Times New Roman"/>
          <w:i/>
          <w:iCs/>
          <w:kern w:val="22"/>
          <w:szCs w:val="22"/>
          <w:lang w:val="fr-FR"/>
        </w:rPr>
        <w:t>Prie également</w:t>
      </w:r>
      <w:r w:rsidRPr="00C74076">
        <w:rPr>
          <w:rFonts w:ascii="Times New Roman" w:hAnsi="Times New Roman"/>
          <w:kern w:val="22"/>
          <w:szCs w:val="22"/>
          <w:lang w:val="fr-FR"/>
        </w:rPr>
        <w:t xml:space="preserve"> la</w:t>
      </w:r>
      <w:r>
        <w:rPr>
          <w:rFonts w:ascii="Times New Roman" w:hAnsi="Times New Roman"/>
          <w:kern w:val="22"/>
          <w:szCs w:val="22"/>
          <w:lang w:val="fr-FR"/>
        </w:rPr>
        <w:t xml:space="preserve"> Secrétaire exécutive d’établi</w:t>
      </w:r>
      <w:r w:rsidRPr="00C74076">
        <w:rPr>
          <w:rFonts w:ascii="Times New Roman" w:hAnsi="Times New Roman"/>
          <w:kern w:val="22"/>
          <w:szCs w:val="22"/>
          <w:lang w:val="fr-FR"/>
        </w:rPr>
        <w:t xml:space="preserve">r un rapport sur : a) l’application de la procédure, et b) les évolutions pertinentes en matière de prévention ou de gestion de conflits d’intérêts dans </w:t>
      </w:r>
      <w:r>
        <w:rPr>
          <w:rFonts w:ascii="Times New Roman" w:hAnsi="Times New Roman"/>
          <w:kern w:val="22"/>
          <w:szCs w:val="22"/>
          <w:lang w:val="fr-FR"/>
        </w:rPr>
        <w:t>le cadre d</w:t>
      </w:r>
      <w:r w:rsidRPr="00C74076">
        <w:rPr>
          <w:rFonts w:ascii="Times New Roman" w:hAnsi="Times New Roman"/>
          <w:kern w:val="22"/>
          <w:szCs w:val="22"/>
          <w:lang w:val="fr-FR"/>
        </w:rPr>
        <w:t>’autres accords multilatéraux, initiatives ou organisation</w:t>
      </w:r>
      <w:r>
        <w:rPr>
          <w:rFonts w:ascii="Times New Roman" w:hAnsi="Times New Roman"/>
          <w:kern w:val="22"/>
          <w:szCs w:val="22"/>
          <w:lang w:val="fr-FR"/>
        </w:rPr>
        <w:t xml:space="preserve">s intergouvernementales qui s’occupent de l’environnement </w:t>
      </w:r>
      <w:r w:rsidRPr="00C74076">
        <w:rPr>
          <w:rFonts w:ascii="Times New Roman" w:hAnsi="Times New Roman"/>
          <w:kern w:val="22"/>
          <w:szCs w:val="22"/>
          <w:lang w:val="fr-FR"/>
        </w:rPr>
        <w:t xml:space="preserve">et, s’il y a lieu, de proposer des mises à jour et des </w:t>
      </w:r>
      <w:r>
        <w:rPr>
          <w:rFonts w:ascii="Times New Roman" w:hAnsi="Times New Roman"/>
          <w:kern w:val="22"/>
          <w:szCs w:val="22"/>
          <w:lang w:val="fr-FR"/>
        </w:rPr>
        <w:t>modifications</w:t>
      </w:r>
      <w:r w:rsidRPr="00C74076">
        <w:rPr>
          <w:rFonts w:ascii="Times New Roman" w:hAnsi="Times New Roman"/>
          <w:kern w:val="22"/>
          <w:szCs w:val="22"/>
          <w:lang w:val="fr-FR"/>
        </w:rPr>
        <w:t xml:space="preserve"> </w:t>
      </w:r>
      <w:r>
        <w:rPr>
          <w:rFonts w:ascii="Times New Roman" w:hAnsi="Times New Roman"/>
          <w:kern w:val="22"/>
          <w:szCs w:val="22"/>
          <w:lang w:val="fr-FR"/>
        </w:rPr>
        <w:t>de</w:t>
      </w:r>
      <w:r w:rsidRPr="00C74076">
        <w:rPr>
          <w:rFonts w:ascii="Times New Roman" w:hAnsi="Times New Roman"/>
          <w:kern w:val="22"/>
          <w:szCs w:val="22"/>
          <w:lang w:val="fr-FR"/>
        </w:rPr>
        <w:t xml:space="preserve"> la</w:t>
      </w:r>
      <w:r>
        <w:rPr>
          <w:rFonts w:ascii="Times New Roman" w:hAnsi="Times New Roman"/>
          <w:kern w:val="22"/>
          <w:szCs w:val="22"/>
          <w:lang w:val="fr-FR"/>
        </w:rPr>
        <w:t xml:space="preserve"> procédure actuelle, pour </w:t>
      </w:r>
      <w:r w:rsidRPr="00C74076">
        <w:rPr>
          <w:rFonts w:ascii="Times New Roman" w:hAnsi="Times New Roman"/>
          <w:kern w:val="22"/>
          <w:szCs w:val="22"/>
          <w:lang w:val="fr-FR"/>
        </w:rPr>
        <w:t>examen par l’Organe subsidiaire</w:t>
      </w:r>
      <w:r>
        <w:rPr>
          <w:rFonts w:ascii="Times New Roman" w:hAnsi="Times New Roman"/>
          <w:kern w:val="22"/>
          <w:szCs w:val="22"/>
          <w:lang w:val="fr-FR"/>
        </w:rPr>
        <w:t xml:space="preserve"> chargé de l’application à </w:t>
      </w:r>
      <w:r w:rsidRPr="00C74076">
        <w:rPr>
          <w:rFonts w:ascii="Times New Roman" w:hAnsi="Times New Roman"/>
          <w:kern w:val="22"/>
          <w:szCs w:val="22"/>
          <w:lang w:val="fr-FR"/>
        </w:rPr>
        <w:t>une réunion qui se tiendra ava</w:t>
      </w:r>
      <w:r>
        <w:rPr>
          <w:rFonts w:ascii="Times New Roman" w:hAnsi="Times New Roman"/>
          <w:kern w:val="22"/>
          <w:szCs w:val="22"/>
          <w:lang w:val="fr-FR"/>
        </w:rPr>
        <w:t>nt la on</w:t>
      </w:r>
      <w:r w:rsidRPr="00C74076">
        <w:rPr>
          <w:rFonts w:ascii="Times New Roman" w:hAnsi="Times New Roman"/>
          <w:kern w:val="22"/>
          <w:szCs w:val="22"/>
          <w:lang w:val="fr-FR"/>
        </w:rPr>
        <w:t>zième réunion de la Conférence des Parties</w:t>
      </w:r>
      <w:r>
        <w:rPr>
          <w:rFonts w:ascii="Times New Roman" w:hAnsi="Times New Roman"/>
          <w:kern w:val="22"/>
          <w:szCs w:val="22"/>
          <w:lang w:val="fr-FR"/>
        </w:rPr>
        <w:t xml:space="preserve"> siégeant en tant que réunion des Parties au Protocole de Cartagena</w:t>
      </w:r>
      <w:r w:rsidRPr="00C74076">
        <w:rPr>
          <w:rFonts w:ascii="Times New Roman" w:hAnsi="Times New Roman"/>
          <w:kern w:val="22"/>
          <w:szCs w:val="22"/>
          <w:lang w:val="fr-FR"/>
        </w:rPr>
        <w:t>;</w:t>
      </w:r>
    </w:p>
    <w:p w14:paraId="2E060B26" w14:textId="77777777" w:rsidR="009137A8" w:rsidRPr="00C446DD" w:rsidRDefault="009137A8" w:rsidP="009137A8">
      <w:pPr>
        <w:pStyle w:val="ListBullet"/>
        <w:suppressLineNumbers/>
        <w:tabs>
          <w:tab w:val="clear" w:pos="360"/>
        </w:tabs>
        <w:suppressAutoHyphens/>
        <w:spacing w:before="120" w:after="120" w:line="240" w:lineRule="auto"/>
        <w:ind w:firstLine="720"/>
        <w:contextualSpacing w:val="0"/>
        <w:rPr>
          <w:rFonts w:ascii="Times New Roman" w:eastAsia="MS Mincho" w:hAnsi="Times New Roman"/>
          <w:snapToGrid w:val="0"/>
          <w:color w:val="000000" w:themeColor="text1"/>
          <w:szCs w:val="22"/>
          <w:lang w:val="fr-FR"/>
        </w:rPr>
      </w:pPr>
      <w:r w:rsidRPr="00C74076">
        <w:rPr>
          <w:rFonts w:ascii="Times New Roman" w:hAnsi="Times New Roman"/>
          <w:kern w:val="22"/>
          <w:szCs w:val="22"/>
          <w:lang w:val="fr-FR"/>
        </w:rPr>
        <w:t>4.</w:t>
      </w:r>
      <w:r w:rsidRPr="00C74076">
        <w:rPr>
          <w:rFonts w:ascii="Times New Roman" w:hAnsi="Times New Roman"/>
          <w:kern w:val="22"/>
          <w:szCs w:val="22"/>
          <w:lang w:val="fr-FR"/>
        </w:rPr>
        <w:tab/>
      </w:r>
      <w:r w:rsidRPr="00C74076">
        <w:rPr>
          <w:rFonts w:ascii="Times New Roman" w:hAnsi="Times New Roman"/>
          <w:i/>
          <w:iCs/>
          <w:kern w:val="22"/>
          <w:szCs w:val="22"/>
          <w:lang w:val="fr-FR"/>
        </w:rPr>
        <w:t xml:space="preserve">Prie </w:t>
      </w:r>
      <w:r w:rsidRPr="00C74076">
        <w:rPr>
          <w:rFonts w:ascii="Times New Roman" w:hAnsi="Times New Roman"/>
          <w:kern w:val="22"/>
          <w:szCs w:val="22"/>
          <w:lang w:val="fr-FR"/>
        </w:rPr>
        <w:t>l’Organe subsidiaire chargé de l’application d’examiner le rapport dont il est question au paragraphe 3 ci</w:t>
      </w:r>
      <w:r w:rsidRPr="00C74076">
        <w:rPr>
          <w:rFonts w:ascii="Times New Roman" w:hAnsi="Times New Roman"/>
          <w:kern w:val="22"/>
          <w:szCs w:val="22"/>
          <w:lang w:val="fr-FR"/>
        </w:rPr>
        <w:noBreakHyphen/>
      </w:r>
      <w:r>
        <w:rPr>
          <w:rFonts w:ascii="Times New Roman" w:hAnsi="Times New Roman"/>
          <w:kern w:val="22"/>
          <w:szCs w:val="22"/>
          <w:lang w:val="fr-FR"/>
        </w:rPr>
        <w:t>dessus et de re</w:t>
      </w:r>
      <w:r w:rsidRPr="00C74076">
        <w:rPr>
          <w:rFonts w:ascii="Times New Roman" w:hAnsi="Times New Roman"/>
          <w:kern w:val="22"/>
          <w:szCs w:val="22"/>
          <w:lang w:val="fr-FR"/>
        </w:rPr>
        <w:t xml:space="preserve">mettre des recommandations, selon qu’il convient, pour </w:t>
      </w:r>
      <w:r>
        <w:rPr>
          <w:rFonts w:ascii="Times New Roman" w:hAnsi="Times New Roman"/>
          <w:kern w:val="22"/>
          <w:szCs w:val="22"/>
          <w:lang w:val="fr-FR"/>
        </w:rPr>
        <w:t>examen</w:t>
      </w:r>
      <w:r w:rsidRPr="00C74076">
        <w:rPr>
          <w:rFonts w:ascii="Times New Roman" w:hAnsi="Times New Roman"/>
          <w:kern w:val="22"/>
          <w:szCs w:val="22"/>
          <w:lang w:val="fr-FR"/>
        </w:rPr>
        <w:t xml:space="preserve"> </w:t>
      </w:r>
      <w:r>
        <w:rPr>
          <w:rFonts w:ascii="Times New Roman" w:hAnsi="Times New Roman"/>
          <w:kern w:val="22"/>
          <w:szCs w:val="22"/>
          <w:lang w:val="fr-FR"/>
        </w:rPr>
        <w:t xml:space="preserve">à la onzième réunion de </w:t>
      </w:r>
      <w:r w:rsidRPr="00C74076">
        <w:rPr>
          <w:rFonts w:ascii="Times New Roman" w:hAnsi="Times New Roman"/>
          <w:kern w:val="22"/>
          <w:szCs w:val="22"/>
          <w:lang w:val="fr-FR"/>
        </w:rPr>
        <w:t>la Conférence des Parties</w:t>
      </w:r>
      <w:r>
        <w:rPr>
          <w:rFonts w:ascii="Times New Roman" w:hAnsi="Times New Roman"/>
          <w:kern w:val="22"/>
          <w:szCs w:val="22"/>
          <w:lang w:val="fr-FR"/>
        </w:rPr>
        <w:t xml:space="preserve"> siégeant en tant que réunion des Parties au Protocole de Cartagena</w:t>
      </w:r>
      <w:r w:rsidRPr="00C74076">
        <w:rPr>
          <w:rFonts w:ascii="Times New Roman" w:hAnsi="Times New Roman"/>
          <w:kern w:val="22"/>
          <w:szCs w:val="22"/>
          <w:lang w:val="fr-FR"/>
        </w:rPr>
        <w:t>.</w:t>
      </w:r>
      <w:r>
        <w:rPr>
          <w:rFonts w:ascii="Times New Roman" w:hAnsi="Times New Roman"/>
          <w:kern w:val="22"/>
          <w:szCs w:val="22"/>
          <w:lang w:val="fr-FR"/>
        </w:rPr>
        <w:t xml:space="preserve"> </w:t>
      </w:r>
    </w:p>
    <w:p w14:paraId="2CC440FC" w14:textId="2F463A0E" w:rsidR="009137A8" w:rsidRDefault="009137A8">
      <w:pPr>
        <w:jc w:val="left"/>
      </w:pPr>
      <w:r>
        <w:br w:type="page"/>
      </w:r>
    </w:p>
    <w:p w14:paraId="504DC846" w14:textId="77777777" w:rsidR="009137A8" w:rsidRPr="00EE6B5E" w:rsidRDefault="009137A8" w:rsidP="00EE6B5E">
      <w:pPr>
        <w:pStyle w:val="Heading2"/>
        <w:rPr>
          <w:bCs w:val="0"/>
          <w:caps/>
          <w:kern w:val="22"/>
          <w:szCs w:val="22"/>
          <w:lang w:val="fr-CA"/>
        </w:rPr>
      </w:pPr>
      <w:bookmarkStart w:id="17" w:name="_Toc7428851"/>
      <w:r w:rsidRPr="00EE6B5E">
        <w:rPr>
          <w:bCs w:val="0"/>
          <w:lang w:val="fr-CA"/>
        </w:rPr>
        <w:lastRenderedPageBreak/>
        <w:t>9/11.</w:t>
      </w:r>
      <w:r w:rsidRPr="00EE6B5E">
        <w:rPr>
          <w:bCs w:val="0"/>
          <w:lang w:val="fr-CA"/>
        </w:rPr>
        <w:tab/>
        <w:t>Mouvements transfrontières non intentionnels et mesures d’urgence (article 17)</w:t>
      </w:r>
      <w:bookmarkEnd w:id="17"/>
    </w:p>
    <w:p w14:paraId="53090869" w14:textId="77777777" w:rsidR="009137A8" w:rsidRPr="005D5847" w:rsidRDefault="009137A8" w:rsidP="00EE6B5E">
      <w:pPr>
        <w:tabs>
          <w:tab w:val="left" w:pos="426"/>
        </w:tabs>
        <w:spacing w:before="240" w:after="120"/>
        <w:ind w:firstLine="720"/>
        <w:rPr>
          <w:i/>
          <w:kern w:val="22"/>
          <w:szCs w:val="22"/>
          <w:lang w:val="fr-CA"/>
        </w:rPr>
      </w:pPr>
      <w:bookmarkStart w:id="18" w:name="_Hlk530319274"/>
      <w:r w:rsidRPr="002B1EEE">
        <w:rPr>
          <w:i/>
          <w:lang w:val="fr-CA"/>
        </w:rPr>
        <w:t>La Conférence des Parties siégeant en tant que réunion des Parties au Protocole de Cartagena sur la prévention des risques biotechnologiques</w:t>
      </w:r>
    </w:p>
    <w:p w14:paraId="1C947BF7" w14:textId="7606FEA1" w:rsidR="009137A8" w:rsidRPr="005D5847" w:rsidRDefault="009137A8" w:rsidP="004C7DBD">
      <w:pPr>
        <w:numPr>
          <w:ilvl w:val="0"/>
          <w:numId w:val="39"/>
        </w:numPr>
        <w:spacing w:before="120" w:after="120"/>
        <w:ind w:left="0" w:firstLine="720"/>
        <w:rPr>
          <w:kern w:val="22"/>
          <w:szCs w:val="22"/>
          <w:lang w:val="fr-CA"/>
        </w:rPr>
      </w:pPr>
      <w:r w:rsidRPr="002B1EEE">
        <w:rPr>
          <w:i/>
          <w:lang w:val="fr-CA"/>
        </w:rPr>
        <w:t>Reconnaît</w:t>
      </w:r>
      <w:r w:rsidRPr="002B1EEE">
        <w:rPr>
          <w:lang w:val="fr-CA"/>
        </w:rPr>
        <w:t xml:space="preserve"> que le manque de cadres pleinement opérationnels sur la prévention des risques biotechnologiques a des répercussions sur la capacité des pays à appliquer les dispositions relatives à </w:t>
      </w:r>
      <w:r w:rsidR="00EE6B5E">
        <w:rPr>
          <w:lang w:val="fr-CA"/>
        </w:rPr>
        <w:t>l’article </w:t>
      </w:r>
      <w:r>
        <w:rPr>
          <w:lang w:val="fr-CA"/>
        </w:rPr>
        <w:t>17;</w:t>
      </w:r>
    </w:p>
    <w:p w14:paraId="076461B7" w14:textId="77777777" w:rsidR="009137A8" w:rsidRPr="005D5847" w:rsidRDefault="009137A8" w:rsidP="004C7DBD">
      <w:pPr>
        <w:numPr>
          <w:ilvl w:val="0"/>
          <w:numId w:val="39"/>
        </w:numPr>
        <w:spacing w:before="120" w:after="120"/>
        <w:ind w:left="0" w:firstLine="720"/>
        <w:rPr>
          <w:kern w:val="22"/>
          <w:szCs w:val="22"/>
          <w:lang w:val="fr-CA"/>
        </w:rPr>
      </w:pPr>
      <w:r>
        <w:rPr>
          <w:i/>
          <w:lang w:val="fr-CA"/>
        </w:rPr>
        <w:t>Prend note</w:t>
      </w:r>
      <w:r>
        <w:rPr>
          <w:lang w:val="fr-CA"/>
        </w:rPr>
        <w:t xml:space="preserve"> du projet de manuel de formation</w:t>
      </w:r>
      <w:r w:rsidRPr="002B1EEE">
        <w:rPr>
          <w:lang w:val="fr-CA"/>
        </w:rPr>
        <w:t xml:space="preserve"> sur la détection et l</w:t>
      </w:r>
      <w:r>
        <w:rPr>
          <w:lang w:val="fr-CA"/>
        </w:rPr>
        <w:t>’</w:t>
      </w:r>
      <w:r w:rsidRPr="002B1EEE">
        <w:rPr>
          <w:lang w:val="fr-CA"/>
        </w:rPr>
        <w:t>identification des organismes vivants modifiés</w:t>
      </w:r>
      <w:r w:rsidRPr="00EE6B5E">
        <w:rPr>
          <w:rStyle w:val="FootnoteReference"/>
          <w:rFonts w:eastAsiaTheme="majorEastAsia"/>
          <w:szCs w:val="16"/>
          <w:lang w:val="fr-CA"/>
        </w:rPr>
        <w:footnoteReference w:id="18"/>
      </w:r>
      <w:r>
        <w:rPr>
          <w:lang w:val="fr-CA"/>
        </w:rPr>
        <w:t xml:space="preserve">, comme </w:t>
      </w:r>
      <w:r w:rsidRPr="002B1EEE">
        <w:rPr>
          <w:lang w:val="fr-CA"/>
        </w:rPr>
        <w:t>outil pour le renforceme</w:t>
      </w:r>
      <w:r>
        <w:rPr>
          <w:lang w:val="fr-CA"/>
        </w:rPr>
        <w:t>nt des capacités dans ce domaine;</w:t>
      </w:r>
    </w:p>
    <w:p w14:paraId="310558B0" w14:textId="77777777" w:rsidR="009137A8" w:rsidRPr="002D1C4D" w:rsidRDefault="009137A8" w:rsidP="004C7DBD">
      <w:pPr>
        <w:numPr>
          <w:ilvl w:val="0"/>
          <w:numId w:val="39"/>
        </w:numPr>
        <w:spacing w:before="120" w:after="120"/>
        <w:ind w:left="0" w:firstLine="720"/>
        <w:rPr>
          <w:kern w:val="22"/>
          <w:szCs w:val="22"/>
          <w:lang w:val="fr-CA"/>
        </w:rPr>
      </w:pPr>
      <w:r w:rsidRPr="002B1EEE">
        <w:rPr>
          <w:i/>
          <w:lang w:val="fr-CA"/>
        </w:rPr>
        <w:t xml:space="preserve">Encourage </w:t>
      </w:r>
      <w:r w:rsidRPr="002B1EEE">
        <w:rPr>
          <w:lang w:val="fr-CA"/>
        </w:rPr>
        <w:t>les Parties</w:t>
      </w:r>
      <w:r>
        <w:rPr>
          <w:lang w:val="fr-CA"/>
        </w:rPr>
        <w:t xml:space="preserve">, dans le </w:t>
      </w:r>
      <w:r w:rsidRPr="002D1C4D">
        <w:rPr>
          <w:kern w:val="22"/>
          <w:szCs w:val="22"/>
          <w:lang w:val="fr-CA"/>
        </w:rPr>
        <w:t>context</w:t>
      </w:r>
      <w:r>
        <w:rPr>
          <w:kern w:val="22"/>
          <w:szCs w:val="22"/>
          <w:lang w:val="fr-CA"/>
        </w:rPr>
        <w:t>e de l’a</w:t>
      </w:r>
      <w:r w:rsidRPr="002D1C4D">
        <w:rPr>
          <w:kern w:val="22"/>
          <w:szCs w:val="22"/>
          <w:lang w:val="fr-CA"/>
        </w:rPr>
        <w:t>rticle 17</w:t>
      </w:r>
      <w:r>
        <w:rPr>
          <w:kern w:val="22"/>
          <w:szCs w:val="22"/>
          <w:lang w:val="fr-CA"/>
        </w:rPr>
        <w:t xml:space="preserve"> et conformément à la législation nationale</w:t>
      </w:r>
      <w:r w:rsidRPr="002D1C4D">
        <w:rPr>
          <w:kern w:val="22"/>
          <w:szCs w:val="22"/>
          <w:lang w:val="fr-CA"/>
        </w:rPr>
        <w:t xml:space="preserve">, </w:t>
      </w:r>
      <w:r w:rsidRPr="002B1EEE">
        <w:rPr>
          <w:lang w:val="fr-CA"/>
        </w:rPr>
        <w:t>à exiger de</w:t>
      </w:r>
      <w:r>
        <w:rPr>
          <w:lang w:val="fr-CA"/>
        </w:rPr>
        <w:t xml:space="preserve"> l’opérateur</w:t>
      </w:r>
      <w:r w:rsidRPr="00314C28">
        <w:rPr>
          <w:rStyle w:val="FootnoteReference"/>
          <w:kern w:val="22"/>
          <w:szCs w:val="22"/>
        </w:rPr>
        <w:footnoteReference w:id="19"/>
      </w:r>
      <w:r w:rsidRPr="002D1C4D">
        <w:t xml:space="preserve"> </w:t>
      </w:r>
      <w:r>
        <w:t xml:space="preserve">responsable qu’il fournisse des </w:t>
      </w:r>
      <w:r w:rsidRPr="002D1C4D">
        <w:t xml:space="preserve">informations ou </w:t>
      </w:r>
      <w:r>
        <w:t xml:space="preserve">un accès, directs </w:t>
      </w:r>
      <w:r>
        <w:rPr>
          <w:kern w:val="22"/>
          <w:szCs w:val="22"/>
          <w:lang w:val="fr-CA"/>
        </w:rPr>
        <w:t>ou</w:t>
      </w:r>
      <w:r w:rsidRPr="002D1C4D">
        <w:rPr>
          <w:kern w:val="22"/>
          <w:szCs w:val="22"/>
          <w:lang w:val="fr-CA"/>
        </w:rPr>
        <w:t xml:space="preserve"> indirect</w:t>
      </w:r>
      <w:r>
        <w:rPr>
          <w:kern w:val="22"/>
          <w:szCs w:val="22"/>
          <w:lang w:val="fr-CA"/>
        </w:rPr>
        <w:t>s</w:t>
      </w:r>
      <w:r w:rsidRPr="002D1C4D">
        <w:rPr>
          <w:kern w:val="22"/>
          <w:szCs w:val="22"/>
          <w:lang w:val="fr-CA"/>
        </w:rPr>
        <w:t xml:space="preserve">, </w:t>
      </w:r>
      <w:r>
        <w:rPr>
          <w:kern w:val="22"/>
          <w:szCs w:val="22"/>
          <w:lang w:val="fr-CA"/>
        </w:rPr>
        <w:t xml:space="preserve">à des matériaux de référence </w:t>
      </w:r>
      <w:r w:rsidRPr="002B1EEE">
        <w:rPr>
          <w:lang w:val="fr-CA"/>
        </w:rPr>
        <w:t>appropriés pour permettre aux laboratoires de travailler sur la détection et l</w:t>
      </w:r>
      <w:r>
        <w:rPr>
          <w:lang w:val="fr-CA"/>
        </w:rPr>
        <w:t>’</w:t>
      </w:r>
      <w:r w:rsidRPr="002B1EEE">
        <w:rPr>
          <w:lang w:val="fr-CA"/>
        </w:rPr>
        <w:t>identification de tels organismes à des fins de réglementation</w:t>
      </w:r>
      <w:r w:rsidRPr="005D5847">
        <w:rPr>
          <w:kern w:val="22"/>
          <w:szCs w:val="22"/>
          <w:lang w:val="fr-CA"/>
        </w:rPr>
        <w:t>;</w:t>
      </w:r>
    </w:p>
    <w:p w14:paraId="35281C0C" w14:textId="77777777" w:rsidR="009137A8" w:rsidRPr="005D5847" w:rsidRDefault="009137A8" w:rsidP="004C7DBD">
      <w:pPr>
        <w:numPr>
          <w:ilvl w:val="0"/>
          <w:numId w:val="39"/>
        </w:numPr>
        <w:spacing w:before="120" w:after="120"/>
        <w:ind w:left="0" w:firstLine="720"/>
        <w:rPr>
          <w:kern w:val="22"/>
          <w:szCs w:val="22"/>
          <w:lang w:val="fr-CA"/>
        </w:rPr>
      </w:pPr>
      <w:r w:rsidRPr="002B1EEE">
        <w:rPr>
          <w:i/>
          <w:lang w:val="fr-CA"/>
        </w:rPr>
        <w:t xml:space="preserve">Encourage </w:t>
      </w:r>
      <w:r w:rsidRPr="002B1EEE">
        <w:rPr>
          <w:lang w:val="fr-CA"/>
        </w:rPr>
        <w:t>les Parties</w:t>
      </w:r>
      <w:r>
        <w:rPr>
          <w:lang w:val="fr-CA"/>
        </w:rPr>
        <w:t xml:space="preserve"> et </w:t>
      </w:r>
      <w:r>
        <w:rPr>
          <w:i/>
          <w:iCs/>
          <w:lang w:val="fr-CA"/>
        </w:rPr>
        <w:t>invite</w:t>
      </w:r>
      <w:r>
        <w:rPr>
          <w:lang w:val="fr-CA"/>
        </w:rPr>
        <w:t xml:space="preserve"> les autres gouvernements et les organisations compétentes</w:t>
      </w:r>
      <w:r w:rsidRPr="002B1EEE">
        <w:rPr>
          <w:lang w:val="fr-CA"/>
        </w:rPr>
        <w:t xml:space="preserve"> à dégager des fonds pour la formation du personnel de laboratoire dans le domaine de la détection et de l</w:t>
      </w:r>
      <w:r>
        <w:rPr>
          <w:lang w:val="fr-CA"/>
        </w:rPr>
        <w:t>’</w:t>
      </w:r>
      <w:r w:rsidRPr="002B1EEE">
        <w:rPr>
          <w:lang w:val="fr-CA"/>
        </w:rPr>
        <w:t>identification des organismes vivants modifiés, et à continuer à participer aux réseaux régionaux et infrarégionaux sur la détection et l</w:t>
      </w:r>
      <w:r>
        <w:rPr>
          <w:lang w:val="fr-CA"/>
        </w:rPr>
        <w:t>’</w:t>
      </w:r>
      <w:r w:rsidRPr="002B1EEE">
        <w:rPr>
          <w:lang w:val="fr-CA"/>
        </w:rPr>
        <w:t>identification des organismes vivants modifiés</w:t>
      </w:r>
      <w:r>
        <w:rPr>
          <w:lang w:val="fr-CA"/>
        </w:rPr>
        <w:t>;</w:t>
      </w:r>
    </w:p>
    <w:p w14:paraId="5EC8D678" w14:textId="77777777" w:rsidR="009137A8" w:rsidRPr="006B33CC" w:rsidRDefault="009137A8" w:rsidP="004C7DBD">
      <w:pPr>
        <w:numPr>
          <w:ilvl w:val="0"/>
          <w:numId w:val="39"/>
        </w:numPr>
        <w:spacing w:before="120" w:after="120"/>
        <w:ind w:left="0" w:firstLine="720"/>
        <w:rPr>
          <w:iCs/>
          <w:kern w:val="22"/>
          <w:szCs w:val="22"/>
          <w:lang w:val="fr-CA"/>
        </w:rPr>
      </w:pPr>
      <w:r>
        <w:rPr>
          <w:i/>
          <w:kern w:val="22"/>
          <w:szCs w:val="22"/>
          <w:lang w:val="fr-CA"/>
        </w:rPr>
        <w:t>Invite</w:t>
      </w:r>
      <w:r>
        <w:rPr>
          <w:iCs/>
          <w:kern w:val="22"/>
          <w:szCs w:val="22"/>
          <w:lang w:val="fr-CA"/>
        </w:rPr>
        <w:t xml:space="preserve"> les Parties à transmettre à la Secrétaire exécutive des informations sur : a) leurs capacités et besoins en matière de détection et d’identification des organismes vivants modifiés, et b) une liste de laboratoires, y compris des informations sur les activités spécifiques menées à bien par lesdits laboratoires;</w:t>
      </w:r>
    </w:p>
    <w:p w14:paraId="59D898D4" w14:textId="77777777" w:rsidR="009137A8" w:rsidRPr="006B33CC" w:rsidRDefault="009137A8" w:rsidP="004C7DBD">
      <w:pPr>
        <w:numPr>
          <w:ilvl w:val="0"/>
          <w:numId w:val="39"/>
        </w:numPr>
        <w:spacing w:before="120" w:after="120"/>
        <w:ind w:left="0" w:firstLine="720"/>
        <w:rPr>
          <w:iCs/>
          <w:kern w:val="22"/>
          <w:szCs w:val="22"/>
          <w:lang w:val="fr-CA"/>
        </w:rPr>
      </w:pPr>
      <w:r w:rsidRPr="004017BC">
        <w:rPr>
          <w:i/>
          <w:iCs/>
          <w:kern w:val="22"/>
          <w:szCs w:val="22"/>
          <w:lang w:val="fr-CA"/>
        </w:rPr>
        <w:t>Invite</w:t>
      </w:r>
      <w:r w:rsidRPr="006B33CC">
        <w:rPr>
          <w:iCs/>
          <w:kern w:val="22"/>
          <w:szCs w:val="22"/>
          <w:lang w:val="fr-CA"/>
        </w:rPr>
        <w:t xml:space="preserve"> le Fonds pour l</w:t>
      </w:r>
      <w:r>
        <w:rPr>
          <w:iCs/>
          <w:kern w:val="22"/>
          <w:szCs w:val="22"/>
          <w:lang w:val="fr-CA"/>
        </w:rPr>
        <w:t>’</w:t>
      </w:r>
      <w:r w:rsidRPr="006B33CC">
        <w:rPr>
          <w:iCs/>
          <w:kern w:val="22"/>
          <w:szCs w:val="22"/>
          <w:lang w:val="fr-CA"/>
        </w:rPr>
        <w:t xml:space="preserve">environnement mondial </w:t>
      </w:r>
      <w:r>
        <w:rPr>
          <w:iCs/>
          <w:kern w:val="22"/>
          <w:szCs w:val="22"/>
          <w:lang w:val="fr-CA"/>
        </w:rPr>
        <w:t xml:space="preserve">et les autres organismes de financement compétents </w:t>
      </w:r>
      <w:r w:rsidRPr="006B33CC">
        <w:rPr>
          <w:iCs/>
          <w:kern w:val="22"/>
          <w:szCs w:val="22"/>
          <w:lang w:val="fr-CA"/>
        </w:rPr>
        <w:t>à libérer des fonds pour des projets régionaux</w:t>
      </w:r>
      <w:r>
        <w:rPr>
          <w:iCs/>
          <w:kern w:val="22"/>
          <w:szCs w:val="22"/>
          <w:lang w:val="fr-CA"/>
        </w:rPr>
        <w:t>, y compris des projets visant à créer des capacités scientifiques,</w:t>
      </w:r>
      <w:r w:rsidRPr="006B33CC">
        <w:rPr>
          <w:iCs/>
          <w:kern w:val="22"/>
          <w:szCs w:val="22"/>
          <w:lang w:val="fr-CA"/>
        </w:rPr>
        <w:t xml:space="preserve"> qui appuieraient les</w:t>
      </w:r>
      <w:r>
        <w:rPr>
          <w:iCs/>
          <w:kern w:val="22"/>
          <w:szCs w:val="22"/>
          <w:lang w:val="fr-CA"/>
        </w:rPr>
        <w:t xml:space="preserve"> actions des pays en vue de la détection et </w:t>
      </w:r>
      <w:r w:rsidRPr="006B33CC">
        <w:rPr>
          <w:iCs/>
          <w:kern w:val="22"/>
          <w:szCs w:val="22"/>
          <w:lang w:val="fr-CA"/>
        </w:rPr>
        <w:t>l</w:t>
      </w:r>
      <w:r>
        <w:rPr>
          <w:iCs/>
          <w:kern w:val="22"/>
          <w:szCs w:val="22"/>
          <w:lang w:val="fr-CA"/>
        </w:rPr>
        <w:t>’</w:t>
      </w:r>
      <w:r w:rsidRPr="006B33CC">
        <w:rPr>
          <w:iCs/>
          <w:kern w:val="22"/>
          <w:szCs w:val="22"/>
          <w:lang w:val="fr-CA"/>
        </w:rPr>
        <w:t>identification des organismes vivants modifiés, et en particulier qui pourraient promouvoir le par</w:t>
      </w:r>
      <w:r>
        <w:rPr>
          <w:iCs/>
          <w:kern w:val="22"/>
          <w:szCs w:val="22"/>
          <w:lang w:val="fr-CA"/>
        </w:rPr>
        <w:t>tage Nord-Sud et Sud-Sud de données</w:t>
      </w:r>
      <w:r w:rsidRPr="006B33CC">
        <w:rPr>
          <w:iCs/>
          <w:kern w:val="22"/>
          <w:szCs w:val="22"/>
          <w:lang w:val="fr-CA"/>
        </w:rPr>
        <w:t xml:space="preserve"> </w:t>
      </w:r>
      <w:r>
        <w:rPr>
          <w:iCs/>
          <w:kern w:val="22"/>
          <w:szCs w:val="22"/>
          <w:lang w:val="fr-CA"/>
        </w:rPr>
        <w:t>d’expérience et d’</w:t>
      </w:r>
      <w:r w:rsidRPr="006B33CC">
        <w:rPr>
          <w:iCs/>
          <w:kern w:val="22"/>
          <w:szCs w:val="22"/>
          <w:lang w:val="fr-CA"/>
        </w:rPr>
        <w:t>enseignements tirés;</w:t>
      </w:r>
    </w:p>
    <w:p w14:paraId="656BD1AF" w14:textId="77777777" w:rsidR="009137A8" w:rsidRPr="006B33CC" w:rsidRDefault="009137A8" w:rsidP="004C7DBD">
      <w:pPr>
        <w:numPr>
          <w:ilvl w:val="0"/>
          <w:numId w:val="39"/>
        </w:numPr>
        <w:spacing w:before="120" w:after="120"/>
        <w:ind w:left="0" w:firstLine="720"/>
        <w:rPr>
          <w:iCs/>
          <w:kern w:val="22"/>
          <w:szCs w:val="22"/>
          <w:lang w:val="fr-CA"/>
        </w:rPr>
      </w:pPr>
      <w:r w:rsidRPr="00317995">
        <w:rPr>
          <w:i/>
          <w:iCs/>
          <w:kern w:val="22"/>
          <w:szCs w:val="22"/>
          <w:lang w:val="fr-CA"/>
        </w:rPr>
        <w:t xml:space="preserve">Prie </w:t>
      </w:r>
      <w:r w:rsidRPr="00A14669">
        <w:rPr>
          <w:iCs/>
          <w:kern w:val="22"/>
          <w:szCs w:val="22"/>
          <w:lang w:val="fr-CA"/>
        </w:rPr>
        <w:t>la Secrétaire exécutive de</w:t>
      </w:r>
      <w:r>
        <w:rPr>
          <w:iCs/>
          <w:kern w:val="22"/>
          <w:szCs w:val="22"/>
          <w:lang w:val="fr-CA"/>
        </w:rPr>
        <w:t> :</w:t>
      </w:r>
    </w:p>
    <w:p w14:paraId="74580A27" w14:textId="77777777" w:rsidR="009137A8" w:rsidRPr="006B33CC" w:rsidRDefault="009137A8" w:rsidP="004C7DBD">
      <w:pPr>
        <w:numPr>
          <w:ilvl w:val="0"/>
          <w:numId w:val="40"/>
        </w:numPr>
        <w:tabs>
          <w:tab w:val="left" w:pos="90"/>
        </w:tabs>
        <w:spacing w:before="120" w:after="120"/>
        <w:ind w:left="0" w:firstLine="720"/>
        <w:rPr>
          <w:iCs/>
          <w:kern w:val="22"/>
          <w:szCs w:val="22"/>
          <w:lang w:val="fr-CA"/>
        </w:rPr>
      </w:pPr>
      <w:r w:rsidRPr="00A14669">
        <w:rPr>
          <w:iCs/>
          <w:kern w:val="22"/>
          <w:szCs w:val="22"/>
          <w:lang w:val="fr-CA"/>
        </w:rPr>
        <w:t>Poursuivre la collecte d</w:t>
      </w:r>
      <w:r>
        <w:rPr>
          <w:iCs/>
          <w:kern w:val="22"/>
          <w:szCs w:val="22"/>
          <w:lang w:val="fr-CA"/>
        </w:rPr>
        <w:t>’</w:t>
      </w:r>
      <w:r w:rsidRPr="00A14669">
        <w:rPr>
          <w:iCs/>
          <w:kern w:val="22"/>
          <w:szCs w:val="22"/>
          <w:lang w:val="fr-CA"/>
        </w:rPr>
        <w:t>informations importantes pour la détection et l</w:t>
      </w:r>
      <w:r>
        <w:rPr>
          <w:iCs/>
          <w:kern w:val="22"/>
          <w:szCs w:val="22"/>
          <w:lang w:val="fr-CA"/>
        </w:rPr>
        <w:t>’</w:t>
      </w:r>
      <w:r w:rsidRPr="00A14669">
        <w:rPr>
          <w:iCs/>
          <w:kern w:val="22"/>
          <w:szCs w:val="22"/>
          <w:lang w:val="fr-CA"/>
        </w:rPr>
        <w:t xml:space="preserve">identification des organismes vivants modifiés et </w:t>
      </w:r>
      <w:r>
        <w:rPr>
          <w:iCs/>
          <w:kern w:val="22"/>
          <w:szCs w:val="22"/>
          <w:lang w:val="fr-CA"/>
        </w:rPr>
        <w:t>mettre à disposition ces informations d’une manière accessible,</w:t>
      </w:r>
      <w:r w:rsidRPr="00A14669">
        <w:rPr>
          <w:iCs/>
          <w:kern w:val="22"/>
          <w:szCs w:val="22"/>
          <w:lang w:val="fr-CA"/>
        </w:rPr>
        <w:t xml:space="preserve"> par le biais du Centre d</w:t>
      </w:r>
      <w:r>
        <w:rPr>
          <w:iCs/>
          <w:kern w:val="22"/>
          <w:szCs w:val="22"/>
          <w:lang w:val="fr-CA"/>
        </w:rPr>
        <w:t>’</w:t>
      </w:r>
      <w:r w:rsidRPr="00A14669">
        <w:rPr>
          <w:iCs/>
          <w:kern w:val="22"/>
          <w:szCs w:val="22"/>
          <w:lang w:val="fr-CA"/>
        </w:rPr>
        <w:t>échange pour la prévention des risques biotechnologiques</w:t>
      </w:r>
      <w:r w:rsidRPr="006B33CC">
        <w:rPr>
          <w:iCs/>
          <w:kern w:val="22"/>
          <w:szCs w:val="22"/>
          <w:lang w:val="fr-CA"/>
        </w:rPr>
        <w:t>;</w:t>
      </w:r>
    </w:p>
    <w:p w14:paraId="708A635D" w14:textId="77777777" w:rsidR="009137A8" w:rsidRPr="006B33CC" w:rsidRDefault="009137A8" w:rsidP="004C7DBD">
      <w:pPr>
        <w:numPr>
          <w:ilvl w:val="0"/>
          <w:numId w:val="40"/>
        </w:numPr>
        <w:tabs>
          <w:tab w:val="left" w:pos="90"/>
        </w:tabs>
        <w:spacing w:before="120" w:after="120"/>
        <w:ind w:left="0" w:firstLine="720"/>
        <w:rPr>
          <w:iCs/>
          <w:kern w:val="22"/>
          <w:szCs w:val="22"/>
          <w:lang w:val="fr-CA"/>
        </w:rPr>
      </w:pPr>
      <w:r>
        <w:rPr>
          <w:iCs/>
          <w:kern w:val="22"/>
          <w:szCs w:val="22"/>
          <w:lang w:val="fr-CA"/>
        </w:rPr>
        <w:t>Réviser et finaliser le manuel sur la détection et l’identification des organismes vivants modifiés, pour en assurer la cohérence, en ce qui concerne la terminologie et le champ d’application, avec l’article 17 du Protocole de Cartagena;</w:t>
      </w:r>
    </w:p>
    <w:p w14:paraId="0812E7E4" w14:textId="77777777" w:rsidR="009137A8" w:rsidRDefault="009137A8" w:rsidP="004C7DBD">
      <w:pPr>
        <w:numPr>
          <w:ilvl w:val="0"/>
          <w:numId w:val="40"/>
        </w:numPr>
        <w:tabs>
          <w:tab w:val="left" w:pos="90"/>
        </w:tabs>
        <w:spacing w:before="120" w:after="120"/>
        <w:ind w:left="0" w:firstLine="720"/>
        <w:rPr>
          <w:iCs/>
          <w:kern w:val="22"/>
          <w:szCs w:val="22"/>
          <w:lang w:val="fr-CA"/>
        </w:rPr>
      </w:pPr>
      <w:r>
        <w:rPr>
          <w:iCs/>
          <w:kern w:val="22"/>
          <w:szCs w:val="22"/>
          <w:lang w:val="fr-CA"/>
        </w:rPr>
        <w:t xml:space="preserve">Synthétiser les informations fournies par les Parties en réponse au </w:t>
      </w:r>
      <w:r>
        <w:rPr>
          <w:iCs/>
          <w:noProof/>
          <w:kern w:val="22"/>
          <w:szCs w:val="22"/>
          <w:lang w:val="fr-CA"/>
        </w:rPr>
        <w:t>paragraphe 5 ci</w:t>
      </w:r>
      <w:r>
        <w:rPr>
          <w:iCs/>
          <w:noProof/>
          <w:kern w:val="22"/>
          <w:szCs w:val="22"/>
          <w:lang w:val="fr-CA"/>
        </w:rPr>
        <w:noBreakHyphen/>
        <w:t>dessus</w:t>
      </w:r>
      <w:r>
        <w:rPr>
          <w:iCs/>
          <w:kern w:val="22"/>
          <w:szCs w:val="22"/>
          <w:lang w:val="fr-CA"/>
        </w:rPr>
        <w:t>, aux fins d’examen par la Conférence des Parties siégeant en tant que réunion des Parties à sa dixième réunion, et intégrer ces informations dans le plan d’action sur le renforcement des capacités pour le cadre mondial de l’après-2020, selon qu’il convient;</w:t>
      </w:r>
    </w:p>
    <w:p w14:paraId="5856C81B" w14:textId="77777777" w:rsidR="009137A8" w:rsidRPr="000D7439" w:rsidRDefault="009137A8" w:rsidP="004C7DBD">
      <w:pPr>
        <w:pStyle w:val="ListParagraph"/>
        <w:numPr>
          <w:ilvl w:val="0"/>
          <w:numId w:val="39"/>
        </w:numPr>
        <w:spacing w:before="120" w:after="120"/>
        <w:ind w:firstLine="65"/>
        <w:rPr>
          <w:kern w:val="22"/>
          <w:szCs w:val="22"/>
        </w:rPr>
      </w:pPr>
      <w:r w:rsidRPr="000D7439">
        <w:rPr>
          <w:i/>
          <w:kern w:val="22"/>
          <w:szCs w:val="22"/>
        </w:rPr>
        <w:t>Prie</w:t>
      </w:r>
      <w:r w:rsidRPr="000D7439">
        <w:rPr>
          <w:kern w:val="22"/>
          <w:szCs w:val="22"/>
        </w:rPr>
        <w:t xml:space="preserve"> la Secrétaire exécutive, sous réserve des ressources disponibles</w:t>
      </w:r>
      <w:r>
        <w:rPr>
          <w:kern w:val="22"/>
          <w:szCs w:val="22"/>
        </w:rPr>
        <w:t>,</w:t>
      </w:r>
      <w:r w:rsidRPr="000D7439">
        <w:rPr>
          <w:kern w:val="22"/>
          <w:szCs w:val="22"/>
        </w:rPr>
        <w:t xml:space="preserve"> </w:t>
      </w:r>
      <w:r>
        <w:rPr>
          <w:kern w:val="22"/>
          <w:szCs w:val="22"/>
        </w:rPr>
        <w:t xml:space="preserve">de </w:t>
      </w:r>
      <w:r w:rsidRPr="000D7439">
        <w:rPr>
          <w:kern w:val="22"/>
          <w:szCs w:val="22"/>
        </w:rPr>
        <w:t>:</w:t>
      </w:r>
    </w:p>
    <w:p w14:paraId="14478914" w14:textId="77777777" w:rsidR="009137A8" w:rsidRDefault="009137A8" w:rsidP="004C7DBD">
      <w:pPr>
        <w:pStyle w:val="ListParagraph"/>
        <w:numPr>
          <w:ilvl w:val="0"/>
          <w:numId w:val="41"/>
        </w:numPr>
        <w:tabs>
          <w:tab w:val="left" w:pos="90"/>
        </w:tabs>
        <w:spacing w:before="120" w:after="360"/>
        <w:ind w:left="0" w:firstLine="709"/>
        <w:contextualSpacing/>
        <w:rPr>
          <w:kern w:val="22"/>
          <w:szCs w:val="22"/>
        </w:rPr>
      </w:pPr>
      <w:r w:rsidRPr="00C16F7D">
        <w:rPr>
          <w:kern w:val="22"/>
          <w:szCs w:val="22"/>
        </w:rPr>
        <w:t>Continue</w:t>
      </w:r>
      <w:r>
        <w:rPr>
          <w:kern w:val="22"/>
          <w:szCs w:val="22"/>
        </w:rPr>
        <w:t>r à</w:t>
      </w:r>
      <w:r w:rsidRPr="00C16F7D">
        <w:rPr>
          <w:kern w:val="22"/>
          <w:szCs w:val="22"/>
        </w:rPr>
        <w:t xml:space="preserve"> faciliter les discussions en ligne du Réseau de laboratoires pour la </w:t>
      </w:r>
      <w:r>
        <w:rPr>
          <w:kern w:val="22"/>
          <w:szCs w:val="22"/>
        </w:rPr>
        <w:t>dé</w:t>
      </w:r>
      <w:r w:rsidRPr="00C16F7D">
        <w:rPr>
          <w:kern w:val="22"/>
          <w:szCs w:val="22"/>
        </w:rPr>
        <w:t xml:space="preserve">tection </w:t>
      </w:r>
      <w:r>
        <w:rPr>
          <w:kern w:val="22"/>
          <w:szCs w:val="22"/>
        </w:rPr>
        <w:t xml:space="preserve">et </w:t>
      </w:r>
      <w:r w:rsidRPr="00C16F7D">
        <w:rPr>
          <w:kern w:val="22"/>
          <w:szCs w:val="22"/>
        </w:rPr>
        <w:t>l’identification des organis</w:t>
      </w:r>
      <w:r>
        <w:rPr>
          <w:kern w:val="22"/>
          <w:szCs w:val="22"/>
        </w:rPr>
        <w:t>mes vivants modifiés ainsi que d</w:t>
      </w:r>
      <w:r w:rsidRPr="00C16F7D">
        <w:rPr>
          <w:kern w:val="22"/>
          <w:szCs w:val="22"/>
        </w:rPr>
        <w:t>es réunions face à face</w:t>
      </w:r>
      <w:r>
        <w:rPr>
          <w:kern w:val="22"/>
          <w:szCs w:val="22"/>
        </w:rPr>
        <w:t>,</w:t>
      </w:r>
      <w:r w:rsidRPr="00C16F7D">
        <w:rPr>
          <w:kern w:val="22"/>
          <w:szCs w:val="22"/>
        </w:rPr>
        <w:t xml:space="preserve"> selon qu’il convient;</w:t>
      </w:r>
    </w:p>
    <w:p w14:paraId="176292DE" w14:textId="77777777" w:rsidR="009137A8" w:rsidRPr="00F532DF" w:rsidRDefault="009137A8" w:rsidP="009137A8">
      <w:pPr>
        <w:pStyle w:val="ListParagraph"/>
        <w:tabs>
          <w:tab w:val="left" w:pos="90"/>
        </w:tabs>
        <w:spacing w:before="120" w:after="120"/>
        <w:ind w:left="709"/>
        <w:rPr>
          <w:kern w:val="22"/>
          <w:sz w:val="16"/>
          <w:szCs w:val="16"/>
        </w:rPr>
      </w:pPr>
    </w:p>
    <w:p w14:paraId="3BA916E1" w14:textId="77777777" w:rsidR="009137A8" w:rsidRPr="00F532DF" w:rsidRDefault="009137A8" w:rsidP="004C7DBD">
      <w:pPr>
        <w:pStyle w:val="ListParagraph"/>
        <w:numPr>
          <w:ilvl w:val="0"/>
          <w:numId w:val="41"/>
        </w:numPr>
        <w:tabs>
          <w:tab w:val="left" w:pos="90"/>
        </w:tabs>
        <w:spacing w:before="120" w:after="120"/>
        <w:ind w:left="0" w:firstLine="709"/>
        <w:contextualSpacing/>
        <w:rPr>
          <w:kern w:val="22"/>
          <w:szCs w:val="22"/>
        </w:rPr>
      </w:pPr>
      <w:r w:rsidRPr="00F532DF">
        <w:rPr>
          <w:kern w:val="22"/>
          <w:szCs w:val="22"/>
        </w:rPr>
        <w:t xml:space="preserve">Poursuivre les efforts </w:t>
      </w:r>
      <w:r>
        <w:rPr>
          <w:kern w:val="22"/>
          <w:szCs w:val="22"/>
        </w:rPr>
        <w:t xml:space="preserve">déployés pour </w:t>
      </w:r>
      <w:r w:rsidRPr="00F532DF">
        <w:rPr>
          <w:kern w:val="22"/>
          <w:szCs w:val="22"/>
        </w:rPr>
        <w:t>collabor</w:t>
      </w:r>
      <w:r>
        <w:rPr>
          <w:kern w:val="22"/>
          <w:szCs w:val="22"/>
        </w:rPr>
        <w:t>er avec les organisations compétentes et pour</w:t>
      </w:r>
      <w:r w:rsidRPr="00F532DF">
        <w:rPr>
          <w:kern w:val="22"/>
          <w:szCs w:val="22"/>
        </w:rPr>
        <w:t xml:space="preserve"> renforcer les capacités des pays en dév</w:t>
      </w:r>
      <w:r>
        <w:rPr>
          <w:kern w:val="22"/>
          <w:szCs w:val="22"/>
        </w:rPr>
        <w:t>eloppement en matière de détection et d</w:t>
      </w:r>
      <w:r w:rsidRPr="00F532DF">
        <w:rPr>
          <w:kern w:val="22"/>
          <w:szCs w:val="22"/>
        </w:rPr>
        <w:t>’identification</w:t>
      </w:r>
      <w:r>
        <w:rPr>
          <w:kern w:val="22"/>
          <w:szCs w:val="22"/>
        </w:rPr>
        <w:t xml:space="preserve"> des </w:t>
      </w:r>
      <w:r w:rsidRPr="00F532DF">
        <w:rPr>
          <w:kern w:val="22"/>
          <w:szCs w:val="22"/>
        </w:rPr>
        <w:t>organismes vivants modifiés dans le contexte de l’article 17, en in particulier en ciblant les régions qui n’ont pas encore bénéficié de récentes activités de renfor</w:t>
      </w:r>
      <w:r>
        <w:rPr>
          <w:kern w:val="22"/>
          <w:szCs w:val="22"/>
        </w:rPr>
        <w:t>cement des capacités à cette fin</w:t>
      </w:r>
      <w:r w:rsidRPr="00F532DF">
        <w:rPr>
          <w:kern w:val="22"/>
          <w:szCs w:val="22"/>
        </w:rPr>
        <w:t>.</w:t>
      </w:r>
    </w:p>
    <w:bookmarkEnd w:id="18"/>
    <w:p w14:paraId="342DE4C8" w14:textId="5C160E64" w:rsidR="009137A8" w:rsidRDefault="009137A8">
      <w:pPr>
        <w:jc w:val="left"/>
      </w:pPr>
      <w:r>
        <w:br w:type="page"/>
      </w:r>
    </w:p>
    <w:p w14:paraId="5532F41C" w14:textId="77777777" w:rsidR="00896373" w:rsidRPr="009137A8" w:rsidRDefault="00896373" w:rsidP="00896373"/>
    <w:p w14:paraId="2ABBFDF8" w14:textId="3CC150EB" w:rsidR="007C4381" w:rsidRPr="00EE6B5E" w:rsidRDefault="00A04FB1" w:rsidP="00EE6B5E">
      <w:pPr>
        <w:pStyle w:val="Heading2"/>
        <w:rPr>
          <w:caps/>
          <w:kern w:val="22"/>
          <w:szCs w:val="22"/>
        </w:rPr>
      </w:pPr>
      <w:bookmarkStart w:id="19" w:name="_Toc7428852"/>
      <w:r w:rsidRPr="00EE6B5E">
        <w:rPr>
          <w:caps/>
          <w:kern w:val="22"/>
          <w:szCs w:val="22"/>
        </w:rPr>
        <w:t>9/12.</w:t>
      </w:r>
      <w:r w:rsidRPr="00EE6B5E">
        <w:rPr>
          <w:caps/>
          <w:kern w:val="22"/>
          <w:szCs w:val="22"/>
        </w:rPr>
        <w:tab/>
      </w:r>
      <w:r w:rsidRPr="00EE6B5E">
        <w:rPr>
          <w:kern w:val="22"/>
          <w:szCs w:val="22"/>
        </w:rPr>
        <w:t>Transit et utilisations en milieu confiné d’organismes vivants modifiés (article 6)</w:t>
      </w:r>
      <w:bookmarkEnd w:id="19"/>
    </w:p>
    <w:p w14:paraId="090AEAC3" w14:textId="77777777" w:rsidR="007C4381" w:rsidRPr="00912F83" w:rsidRDefault="007C4381" w:rsidP="00EE6B5E">
      <w:pPr>
        <w:shd w:val="clear" w:color="auto" w:fill="FFFFFF" w:themeFill="background1"/>
        <w:spacing w:before="240" w:after="120"/>
        <w:ind w:firstLine="720"/>
        <w:jc w:val="left"/>
        <w:rPr>
          <w:iCs/>
          <w:kern w:val="22"/>
          <w:szCs w:val="22"/>
        </w:rPr>
      </w:pPr>
      <w:r w:rsidRPr="00912F83">
        <w:rPr>
          <w:i/>
          <w:kern w:val="22"/>
          <w:szCs w:val="22"/>
        </w:rPr>
        <w:t xml:space="preserve">La Conférence des Parties siégeant en tant que </w:t>
      </w:r>
      <w:r>
        <w:rPr>
          <w:i/>
          <w:kern w:val="22"/>
          <w:szCs w:val="22"/>
        </w:rPr>
        <w:t>r</w:t>
      </w:r>
      <w:r w:rsidRPr="00912F83">
        <w:rPr>
          <w:i/>
          <w:kern w:val="22"/>
          <w:szCs w:val="22"/>
        </w:rPr>
        <w:t>éunion des Parties au Protocole de Cartagena sur la prévention des risques biotechnologiques,</w:t>
      </w:r>
    </w:p>
    <w:p w14:paraId="02DD0240" w14:textId="77777777" w:rsidR="007C4381" w:rsidRPr="00912F83" w:rsidRDefault="007C4381" w:rsidP="007C4381">
      <w:pPr>
        <w:pStyle w:val="Para1"/>
        <w:numPr>
          <w:ilvl w:val="0"/>
          <w:numId w:val="0"/>
        </w:numPr>
        <w:snapToGrid w:val="0"/>
        <w:ind w:firstLine="720"/>
      </w:pPr>
      <w:r w:rsidRPr="00912F83">
        <w:rPr>
          <w:i/>
        </w:rPr>
        <w:t xml:space="preserve">Rappelant </w:t>
      </w:r>
      <w:r w:rsidRPr="00912F83">
        <w:t>le paragraphe 1 a) de la décision </w:t>
      </w:r>
      <w:hyperlink r:id="rId21" w:history="1">
        <w:r w:rsidRPr="00B343FA">
          <w:rPr>
            <w:rStyle w:val="Hyperlink"/>
          </w:rPr>
          <w:t>BS-V/2</w:t>
        </w:r>
      </w:hyperlink>
      <w:r w:rsidRPr="00912F83">
        <w:t xml:space="preserve"> et le paragraphe 2 b) de la décision </w:t>
      </w:r>
      <w:hyperlink r:id="rId22" w:history="1">
        <w:r w:rsidRPr="00B343FA">
          <w:rPr>
            <w:rStyle w:val="Hyperlink"/>
          </w:rPr>
          <w:t>BS-VII/2</w:t>
        </w:r>
      </w:hyperlink>
      <w:r w:rsidRPr="00912F83">
        <w:t>,</w:t>
      </w:r>
    </w:p>
    <w:p w14:paraId="73AC08B2" w14:textId="77777777" w:rsidR="007C4381" w:rsidRPr="00912F83" w:rsidRDefault="007C4381" w:rsidP="007C4381">
      <w:pPr>
        <w:pStyle w:val="Para1"/>
        <w:numPr>
          <w:ilvl w:val="0"/>
          <w:numId w:val="0"/>
        </w:numPr>
        <w:snapToGrid w:val="0"/>
        <w:ind w:firstLine="720"/>
      </w:pPr>
      <w:r w:rsidRPr="00912F83">
        <w:rPr>
          <w:i/>
        </w:rPr>
        <w:t>Rappelant</w:t>
      </w:r>
      <w:r>
        <w:rPr>
          <w:i/>
        </w:rPr>
        <w:t xml:space="preserve"> également</w:t>
      </w:r>
      <w:r w:rsidRPr="00912F83">
        <w:rPr>
          <w:i/>
        </w:rPr>
        <w:t xml:space="preserve"> </w:t>
      </w:r>
      <w:r w:rsidRPr="00912F83">
        <w:t xml:space="preserve">la décision </w:t>
      </w:r>
      <w:hyperlink r:id="rId23" w:history="1">
        <w:r w:rsidRPr="00B343FA">
          <w:rPr>
            <w:rStyle w:val="Hyperlink"/>
          </w:rPr>
          <w:t>CP-VIII/17</w:t>
        </w:r>
      </w:hyperlink>
      <w:r w:rsidRPr="00912F83">
        <w:t>,</w:t>
      </w:r>
    </w:p>
    <w:p w14:paraId="29D67E64" w14:textId="77777777" w:rsidR="007C4381" w:rsidRPr="00912F83" w:rsidRDefault="007C4381" w:rsidP="007C4381">
      <w:pPr>
        <w:pStyle w:val="Para1"/>
        <w:numPr>
          <w:ilvl w:val="0"/>
          <w:numId w:val="0"/>
        </w:numPr>
        <w:snapToGrid w:val="0"/>
        <w:ind w:firstLine="720"/>
      </w:pPr>
      <w:r w:rsidRPr="00912F83">
        <w:t>1.</w:t>
      </w:r>
      <w:r w:rsidRPr="00912F83">
        <w:tab/>
      </w:r>
      <w:r>
        <w:rPr>
          <w:i/>
        </w:rPr>
        <w:t>Prend no</w:t>
      </w:r>
      <w:r w:rsidRPr="00912F83">
        <w:rPr>
          <w:i/>
        </w:rPr>
        <w:t>te</w:t>
      </w:r>
      <w:r>
        <w:t xml:space="preserve"> de l’évaluation des </w:t>
      </w:r>
      <w:r w:rsidRPr="00912F83">
        <w:t>informations fournies au Centre d’échange pour la prévention des risques biotechnologiques par les Parties, effec</w:t>
      </w:r>
      <w:r>
        <w:t>tuée par le Comité chargé du respect des obligations,</w:t>
      </w:r>
      <w:r w:rsidRPr="00912F83">
        <w:t xml:space="preserve"> au t</w:t>
      </w:r>
      <w:r>
        <w:t>itre des décisions relatives aux utilisations en milieu confiné</w:t>
      </w:r>
      <w:r>
        <w:rPr>
          <w:rStyle w:val="FootnoteReference"/>
        </w:rPr>
        <w:footnoteReference w:id="20"/>
      </w:r>
      <w:r w:rsidRPr="00912F83">
        <w:t>;</w:t>
      </w:r>
    </w:p>
    <w:p w14:paraId="24BB981F" w14:textId="77777777" w:rsidR="007C4381" w:rsidRPr="00912F83" w:rsidRDefault="007C4381" w:rsidP="007C4381">
      <w:pPr>
        <w:pStyle w:val="Para1"/>
        <w:numPr>
          <w:ilvl w:val="0"/>
          <w:numId w:val="0"/>
        </w:numPr>
        <w:snapToGrid w:val="0"/>
        <w:ind w:firstLine="720"/>
      </w:pPr>
      <w:r w:rsidRPr="00912F83">
        <w:t>2.</w:t>
      </w:r>
      <w:r w:rsidRPr="00912F83">
        <w:tab/>
      </w:r>
      <w:r w:rsidRPr="00912F83">
        <w:rPr>
          <w:i/>
        </w:rPr>
        <w:t>Rappelle</w:t>
      </w:r>
      <w:r w:rsidRPr="00912F83">
        <w:t xml:space="preserve"> aux Parties que :</w:t>
      </w:r>
    </w:p>
    <w:p w14:paraId="4BC7B647" w14:textId="77777777" w:rsidR="007C4381" w:rsidRDefault="007C4381" w:rsidP="007C4381">
      <w:pPr>
        <w:pStyle w:val="Para3"/>
        <w:numPr>
          <w:ilvl w:val="0"/>
          <w:numId w:val="0"/>
        </w:numPr>
        <w:tabs>
          <w:tab w:val="clear" w:pos="1980"/>
          <w:tab w:val="left" w:pos="142"/>
        </w:tabs>
        <w:spacing w:before="0" w:after="120"/>
        <w:ind w:firstLine="709"/>
        <w:rPr>
          <w:kern w:val="22"/>
          <w:szCs w:val="22"/>
        </w:rPr>
      </w:pPr>
      <w:r>
        <w:rPr>
          <w:kern w:val="22"/>
          <w:szCs w:val="22"/>
        </w:rPr>
        <w:t>a)</w:t>
      </w:r>
      <w:r>
        <w:rPr>
          <w:kern w:val="22"/>
          <w:szCs w:val="22"/>
        </w:rPr>
        <w:tab/>
      </w:r>
      <w:r w:rsidRPr="00912F83">
        <w:rPr>
          <w:kern w:val="22"/>
          <w:szCs w:val="22"/>
        </w:rPr>
        <w:t>Le paragraphe b) de l'art</w:t>
      </w:r>
      <w:r>
        <w:rPr>
          <w:kern w:val="22"/>
          <w:szCs w:val="22"/>
        </w:rPr>
        <w:t>icle 3 du Protocole</w:t>
      </w:r>
      <w:r w:rsidRPr="00912F83">
        <w:rPr>
          <w:kern w:val="22"/>
          <w:szCs w:val="22"/>
        </w:rPr>
        <w:t xml:space="preserve"> donne la définition suivante de l’utilisation en milieu confiné, soit « toute opération entreprise dans un dispositif, une installation, ou toute autre structure physique, faisant intervenir des organismes vivants modifiés qui sont réglementés par des mesures spécifiques qui en limitent effectivement le contact avec le milieu extérie</w:t>
      </w:r>
      <w:r>
        <w:rPr>
          <w:kern w:val="22"/>
          <w:szCs w:val="22"/>
        </w:rPr>
        <w:t>ur, et l’impact sur ce milieu »</w:t>
      </w:r>
      <w:r w:rsidRPr="00912F83">
        <w:rPr>
          <w:kern w:val="22"/>
          <w:szCs w:val="22"/>
        </w:rPr>
        <w:t>;</w:t>
      </w:r>
    </w:p>
    <w:p w14:paraId="47A8938A" w14:textId="77777777" w:rsidR="007C4381" w:rsidRPr="00912F83" w:rsidRDefault="007C4381" w:rsidP="007C4381">
      <w:pPr>
        <w:pStyle w:val="Para3"/>
        <w:numPr>
          <w:ilvl w:val="0"/>
          <w:numId w:val="0"/>
        </w:numPr>
        <w:tabs>
          <w:tab w:val="clear" w:pos="1980"/>
          <w:tab w:val="left" w:pos="142"/>
        </w:tabs>
        <w:spacing w:before="0" w:after="120"/>
        <w:ind w:firstLine="709"/>
        <w:rPr>
          <w:kern w:val="22"/>
          <w:szCs w:val="22"/>
        </w:rPr>
      </w:pPr>
      <w:r>
        <w:rPr>
          <w:kern w:val="22"/>
          <w:szCs w:val="22"/>
        </w:rPr>
        <w:t>b)</w:t>
      </w:r>
      <w:r>
        <w:rPr>
          <w:kern w:val="22"/>
          <w:szCs w:val="22"/>
        </w:rPr>
        <w:tab/>
      </w:r>
      <w:r w:rsidRPr="00912F83">
        <w:rPr>
          <w:kern w:val="22"/>
          <w:szCs w:val="22"/>
        </w:rPr>
        <w:t>L’introduction intentionnelle dans l’environnement peut inclure l’introduction à des fins</w:t>
      </w:r>
      <w:r>
        <w:rPr>
          <w:kern w:val="22"/>
          <w:szCs w:val="22"/>
        </w:rPr>
        <w:t xml:space="preserve"> expérimentales ou commerciales</w:t>
      </w:r>
      <w:r w:rsidRPr="00912F83">
        <w:rPr>
          <w:kern w:val="22"/>
          <w:szCs w:val="22"/>
        </w:rPr>
        <w:t>;</w:t>
      </w:r>
    </w:p>
    <w:p w14:paraId="2930F57E" w14:textId="77777777" w:rsidR="007C4381" w:rsidRPr="00912F83" w:rsidRDefault="007C4381" w:rsidP="007C4381">
      <w:pPr>
        <w:pStyle w:val="Para3"/>
        <w:numPr>
          <w:ilvl w:val="0"/>
          <w:numId w:val="0"/>
        </w:numPr>
        <w:tabs>
          <w:tab w:val="clear" w:pos="1980"/>
          <w:tab w:val="left" w:pos="0"/>
        </w:tabs>
        <w:spacing w:before="0" w:after="120"/>
        <w:ind w:firstLine="709"/>
        <w:rPr>
          <w:kern w:val="22"/>
          <w:szCs w:val="22"/>
        </w:rPr>
      </w:pPr>
      <w:r w:rsidRPr="00912F83">
        <w:rPr>
          <w:kern w:val="22"/>
          <w:szCs w:val="22"/>
        </w:rPr>
        <w:t>c)</w:t>
      </w:r>
      <w:r w:rsidRPr="00912F83">
        <w:rPr>
          <w:kern w:val="22"/>
          <w:szCs w:val="22"/>
        </w:rPr>
        <w:tab/>
        <w:t>Un essai de terrain, un essai de terrain confiné ou une importation expérimentale doivent êt</w:t>
      </w:r>
      <w:r>
        <w:rPr>
          <w:kern w:val="22"/>
          <w:szCs w:val="22"/>
        </w:rPr>
        <w:t>re considérés comme une introduct</w:t>
      </w:r>
      <w:r w:rsidRPr="00912F83">
        <w:rPr>
          <w:kern w:val="22"/>
          <w:szCs w:val="22"/>
        </w:rPr>
        <w:t>ion intentionnelle dans l’environnement, si les conditions énoncées au paragraphe b</w:t>
      </w:r>
      <w:r>
        <w:rPr>
          <w:kern w:val="22"/>
          <w:szCs w:val="22"/>
        </w:rPr>
        <w:t>)</w:t>
      </w:r>
      <w:r w:rsidRPr="00912F83">
        <w:rPr>
          <w:kern w:val="22"/>
          <w:szCs w:val="22"/>
        </w:rPr>
        <w:t xml:space="preserve"> de l'article 3 du</w:t>
      </w:r>
      <w:r>
        <w:rPr>
          <w:kern w:val="22"/>
          <w:szCs w:val="22"/>
        </w:rPr>
        <w:t xml:space="preserve"> Protocole ne sont pas remplies</w:t>
      </w:r>
      <w:r w:rsidRPr="00912F83">
        <w:rPr>
          <w:kern w:val="22"/>
          <w:szCs w:val="22"/>
        </w:rPr>
        <w:t>;</w:t>
      </w:r>
    </w:p>
    <w:p w14:paraId="5646ACE0" w14:textId="77777777" w:rsidR="007C4381" w:rsidRPr="00912F83" w:rsidRDefault="007C4381" w:rsidP="007C4381">
      <w:pPr>
        <w:pStyle w:val="Para1"/>
        <w:numPr>
          <w:ilvl w:val="0"/>
          <w:numId w:val="0"/>
        </w:numPr>
        <w:ind w:firstLine="720"/>
      </w:pPr>
      <w:r w:rsidRPr="00912F83">
        <w:t>3.</w:t>
      </w:r>
      <w:r w:rsidRPr="00912F83">
        <w:tab/>
      </w:r>
      <w:r w:rsidRPr="00912F83">
        <w:rPr>
          <w:i/>
        </w:rPr>
        <w:t>Rappe</w:t>
      </w:r>
      <w:r>
        <w:rPr>
          <w:i/>
        </w:rPr>
        <w:t>lle également</w:t>
      </w:r>
      <w:r w:rsidRPr="00912F83">
        <w:t xml:space="preserve"> aux Parties l</w:t>
      </w:r>
      <w:r>
        <w:t xml:space="preserve">'obligation qui leur incombe au titre du </w:t>
      </w:r>
      <w:r w:rsidRPr="00912F83">
        <w:t xml:space="preserve">paragraphe 3 d) de l'article 20, et </w:t>
      </w:r>
      <w:r w:rsidRPr="00912F83">
        <w:rPr>
          <w:i/>
        </w:rPr>
        <w:t>encourage</w:t>
      </w:r>
      <w:r w:rsidRPr="00912F83">
        <w:t xml:space="preserve"> les autres </w:t>
      </w:r>
      <w:r>
        <w:t>gouvernements à publier dans le</w:t>
      </w:r>
      <w:r w:rsidRPr="00912F83">
        <w:t xml:space="preserve"> Centre d’échange pour la prévention des risques biotechnologiques leurs décisions finales concernant l'importation ou la libératio</w:t>
      </w:r>
      <w:r>
        <w:t>n d'organismes vivants modifiés</w:t>
      </w:r>
      <w:r w:rsidRPr="00912F83">
        <w:t>;</w:t>
      </w:r>
    </w:p>
    <w:p w14:paraId="7062FFDD" w14:textId="77777777" w:rsidR="007C4381" w:rsidRPr="00912F83" w:rsidRDefault="007C4381" w:rsidP="007C4381">
      <w:pPr>
        <w:pStyle w:val="Para1"/>
        <w:numPr>
          <w:ilvl w:val="0"/>
          <w:numId w:val="0"/>
        </w:numPr>
        <w:spacing w:after="240"/>
        <w:ind w:firstLine="720"/>
      </w:pPr>
      <w:r w:rsidRPr="00912F83">
        <w:t>4.</w:t>
      </w:r>
      <w:r w:rsidRPr="00912F83">
        <w:tab/>
      </w:r>
      <w:r w:rsidRPr="00912F83">
        <w:rPr>
          <w:i/>
        </w:rPr>
        <w:t>Encourage</w:t>
      </w:r>
      <w:r w:rsidRPr="00912F83">
        <w:t xml:space="preserve"> les Parties, les autres gouvernements et les organisations compétentes à coopérer, </w:t>
      </w:r>
      <w:r>
        <w:t xml:space="preserve">à </w:t>
      </w:r>
      <w:r w:rsidRPr="00912F83">
        <w:t xml:space="preserve">partager leurs expériences et </w:t>
      </w:r>
      <w:r>
        <w:t>à promouvoir la création de</w:t>
      </w:r>
      <w:r w:rsidRPr="00912F83">
        <w:t xml:space="preserve"> capacités</w:t>
      </w:r>
      <w:r w:rsidRPr="00912F83">
        <w:rPr>
          <w:i/>
        </w:rPr>
        <w:t xml:space="preserve"> </w:t>
      </w:r>
      <w:r>
        <w:t>pour faciliter la mise en œuvre</w:t>
      </w:r>
      <w:r w:rsidRPr="00912F83">
        <w:t xml:space="preserve"> de</w:t>
      </w:r>
      <w:r>
        <w:t xml:space="preserve"> </w:t>
      </w:r>
      <w:r w:rsidRPr="00912F83">
        <w:t>mesures</w:t>
      </w:r>
      <w:r>
        <w:t xml:space="preserve"> spécifiques visant les </w:t>
      </w:r>
      <w:r w:rsidRPr="00912F83">
        <w:t>utilisation</w:t>
      </w:r>
      <w:r>
        <w:t>s</w:t>
      </w:r>
      <w:r w:rsidRPr="00912F83">
        <w:t xml:space="preserve"> en milieu confiné</w:t>
      </w:r>
      <w:r>
        <w:t>,</w:t>
      </w:r>
      <w:r w:rsidRPr="00912F83">
        <w:t xml:space="preserve"> qui limitent efficacement le contact des organismes vivants modifiés avec le milieu extérieur, et leur impact sur ce milieu</w:t>
      </w:r>
      <w:r>
        <w:t>,</w:t>
      </w:r>
      <w:r w:rsidRPr="00912F83">
        <w:t xml:space="preserve"> conformément au paragraphe b) de l’</w:t>
      </w:r>
      <w:r>
        <w:t>a</w:t>
      </w:r>
      <w:r w:rsidRPr="00912F83">
        <w:t>rt</w:t>
      </w:r>
      <w:r>
        <w:t>icle 3 du Protocole</w:t>
      </w:r>
      <w:r w:rsidRPr="00912F83">
        <w:t>.</w:t>
      </w:r>
      <w:r>
        <w:t xml:space="preserve">  </w:t>
      </w:r>
    </w:p>
    <w:p w14:paraId="69AF9E36" w14:textId="77777777" w:rsidR="007C4381" w:rsidRDefault="007C4381">
      <w:pPr>
        <w:jc w:val="left"/>
        <w:rPr>
          <w:rFonts w:cs="Times New Roman"/>
          <w:b/>
          <w:snapToGrid w:val="0"/>
          <w:kern w:val="22"/>
          <w:szCs w:val="22"/>
        </w:rPr>
      </w:pPr>
      <w:r>
        <w:rPr>
          <w:rFonts w:cs="Times New Roman"/>
          <w:b/>
          <w:snapToGrid w:val="0"/>
          <w:kern w:val="22"/>
          <w:szCs w:val="22"/>
        </w:rPr>
        <w:br w:type="page"/>
      </w:r>
    </w:p>
    <w:p w14:paraId="63E884A2" w14:textId="2B75654A" w:rsidR="007C4381" w:rsidRPr="00EE6B5E" w:rsidRDefault="00234E16" w:rsidP="00EE6B5E">
      <w:pPr>
        <w:pStyle w:val="Heading2"/>
        <w:rPr>
          <w:caps/>
        </w:rPr>
      </w:pPr>
      <w:bookmarkStart w:id="20" w:name="_Toc7428853"/>
      <w:r w:rsidRPr="00EE6B5E">
        <w:rPr>
          <w:rFonts w:eastAsia="Malgun Gothic"/>
          <w:lang w:eastAsia="x-none"/>
        </w:rPr>
        <w:lastRenderedPageBreak/>
        <w:t>9/13.</w:t>
      </w:r>
      <w:r w:rsidRPr="00EE6B5E">
        <w:rPr>
          <w:rFonts w:eastAsia="Malgun Gothic"/>
          <w:lang w:eastAsia="x-none"/>
        </w:rPr>
        <w:tab/>
        <w:t>Evaluation des risques et gestion des risques (articles 15 et 16)</w:t>
      </w:r>
      <w:bookmarkEnd w:id="20"/>
    </w:p>
    <w:p w14:paraId="6A352326" w14:textId="77777777" w:rsidR="007C4381" w:rsidRPr="006E00F7" w:rsidRDefault="007C4381" w:rsidP="00EE6B5E">
      <w:pPr>
        <w:pStyle w:val="Para1"/>
        <w:numPr>
          <w:ilvl w:val="0"/>
          <w:numId w:val="0"/>
        </w:numPr>
        <w:suppressLineNumbers/>
        <w:suppressAutoHyphens/>
        <w:kinsoku w:val="0"/>
        <w:overflowPunct w:val="0"/>
        <w:autoSpaceDE w:val="0"/>
        <w:autoSpaceDN w:val="0"/>
        <w:adjustRightInd w:val="0"/>
        <w:spacing w:before="240"/>
        <w:ind w:firstLine="709"/>
        <w:rPr>
          <w:i/>
        </w:rPr>
      </w:pPr>
      <w:r w:rsidRPr="00414731">
        <w:rPr>
          <w:i/>
        </w:rPr>
        <w:t>La Conférence des Parties siég</w:t>
      </w:r>
      <w:r>
        <w:rPr>
          <w:i/>
        </w:rPr>
        <w:t>eant en tant que réunion des Parties au Pro</w:t>
      </w:r>
      <w:r w:rsidRPr="00414731">
        <w:rPr>
          <w:i/>
        </w:rPr>
        <w:t xml:space="preserve">tocole de Cartagena </w:t>
      </w:r>
      <w:r>
        <w:rPr>
          <w:i/>
        </w:rPr>
        <w:t xml:space="preserve">sur la prévention des risques </w:t>
      </w:r>
      <w:r w:rsidRPr="006E00F7">
        <w:rPr>
          <w:i/>
        </w:rPr>
        <w:t>biotechnologiques,</w:t>
      </w:r>
    </w:p>
    <w:p w14:paraId="13926304" w14:textId="77777777" w:rsidR="007C4381" w:rsidRDefault="007C4381" w:rsidP="007C4381">
      <w:pPr>
        <w:pStyle w:val="Para1"/>
        <w:numPr>
          <w:ilvl w:val="0"/>
          <w:numId w:val="0"/>
        </w:numPr>
        <w:suppressLineNumbers/>
        <w:suppressAutoHyphens/>
        <w:kinsoku w:val="0"/>
        <w:overflowPunct w:val="0"/>
        <w:autoSpaceDE w:val="0"/>
        <w:autoSpaceDN w:val="0"/>
        <w:snapToGrid w:val="0"/>
        <w:ind w:firstLine="709"/>
        <w:rPr>
          <w:lang w:val="fr-CA"/>
        </w:rPr>
      </w:pPr>
      <w:r w:rsidRPr="006E00F7">
        <w:rPr>
          <w:i/>
          <w:lang w:val="fr-CA" w:bidi="fr-FR"/>
        </w:rPr>
        <w:t>Rappelant</w:t>
      </w:r>
      <w:r w:rsidRPr="006E00F7">
        <w:rPr>
          <w:lang w:val="fr-CA" w:bidi="fr-FR"/>
        </w:rPr>
        <w:t xml:space="preserve"> les décisions </w:t>
      </w:r>
      <w:hyperlink r:id="rId24" w:history="1">
        <w:r w:rsidRPr="006E00F7">
          <w:rPr>
            <w:rStyle w:val="Hyperlink"/>
            <w:lang w:val="fr-CA" w:bidi="fr-FR"/>
          </w:rPr>
          <w:t>BS</w:t>
        </w:r>
        <w:r w:rsidRPr="006E00F7">
          <w:rPr>
            <w:rStyle w:val="Hyperlink"/>
            <w:lang w:val="fr-CA" w:bidi="fr-FR"/>
          </w:rPr>
          <w:noBreakHyphen/>
          <w:t>VII/12</w:t>
        </w:r>
      </w:hyperlink>
      <w:r w:rsidRPr="006E00F7">
        <w:rPr>
          <w:lang w:val="fr-CA" w:bidi="fr-FR"/>
        </w:rPr>
        <w:t xml:space="preserve"> et </w:t>
      </w:r>
      <w:hyperlink r:id="rId25" w:history="1">
        <w:r w:rsidRPr="006E00F7">
          <w:rPr>
            <w:rStyle w:val="Hyperlink"/>
            <w:lang w:val="fr-CA" w:bidi="fr-FR"/>
          </w:rPr>
          <w:t>XII/24</w:t>
        </w:r>
      </w:hyperlink>
      <w:r w:rsidRPr="006E00F7">
        <w:rPr>
          <w:lang w:val="fr-CA" w:bidi="fr-FR"/>
        </w:rPr>
        <w:t xml:space="preserve"> qui</w:t>
      </w:r>
      <w:r w:rsidRPr="00860D94">
        <w:rPr>
          <w:lang w:val="fr-CA" w:bidi="fr-FR"/>
        </w:rPr>
        <w:t xml:space="preserve"> recommandent une approche coordonnée sur la question de la </w:t>
      </w:r>
      <w:r>
        <w:rPr>
          <w:lang w:val="fr-CA" w:bidi="fr-FR"/>
        </w:rPr>
        <w:t>biologie de synthèse</w:t>
      </w:r>
      <w:r w:rsidRPr="00860D94">
        <w:rPr>
          <w:lang w:val="fr-CA" w:bidi="fr-FR"/>
        </w:rPr>
        <w:t>,</w:t>
      </w:r>
    </w:p>
    <w:p w14:paraId="71ED4DBE" w14:textId="77777777" w:rsidR="007C4381" w:rsidRPr="00860D94" w:rsidRDefault="007C4381" w:rsidP="007C4381">
      <w:pPr>
        <w:pStyle w:val="Para1"/>
        <w:numPr>
          <w:ilvl w:val="0"/>
          <w:numId w:val="0"/>
        </w:numPr>
        <w:suppressLineNumbers/>
        <w:suppressAutoHyphens/>
        <w:kinsoku w:val="0"/>
        <w:overflowPunct w:val="0"/>
        <w:autoSpaceDE w:val="0"/>
        <w:autoSpaceDN w:val="0"/>
        <w:snapToGrid w:val="0"/>
        <w:ind w:firstLine="709"/>
        <w:rPr>
          <w:lang w:val="fr-CA"/>
        </w:rPr>
      </w:pPr>
      <w:r w:rsidRPr="00860D94">
        <w:rPr>
          <w:i/>
          <w:lang w:val="fr-CA" w:bidi="fr-FR"/>
        </w:rPr>
        <w:t>Réaffirmant</w:t>
      </w:r>
      <w:r>
        <w:rPr>
          <w:lang w:val="fr-CA" w:bidi="fr-FR"/>
        </w:rPr>
        <w:t xml:space="preserve"> la décision </w:t>
      </w:r>
      <w:r w:rsidRPr="00860D94">
        <w:rPr>
          <w:lang w:val="fr-CA" w:bidi="fr-FR"/>
        </w:rPr>
        <w:t>XII/24 de la Conférence</w:t>
      </w:r>
      <w:r>
        <w:rPr>
          <w:lang w:val="fr-CA" w:bidi="fr-FR"/>
        </w:rPr>
        <w:t xml:space="preserve"> des Parties qui exhorte</w:t>
      </w:r>
      <w:r w:rsidRPr="00860D94">
        <w:rPr>
          <w:lang w:val="fr-CA" w:bidi="fr-FR"/>
        </w:rPr>
        <w:t xml:space="preserve"> les Parties et invite </w:t>
      </w:r>
      <w:r>
        <w:rPr>
          <w:lang w:val="fr-CA" w:bidi="fr-FR"/>
        </w:rPr>
        <w:t>les autres gouvernements à utilis</w:t>
      </w:r>
      <w:r w:rsidRPr="00860D94">
        <w:rPr>
          <w:lang w:val="fr-CA" w:bidi="fr-FR"/>
        </w:rPr>
        <w:t xml:space="preserve">er une approche de précaution, conformément au préambule </w:t>
      </w:r>
      <w:r>
        <w:rPr>
          <w:lang w:val="fr-CA" w:bidi="fr-FR"/>
        </w:rPr>
        <w:t>de la Convention et à son article 14, pour gérer les</w:t>
      </w:r>
      <w:r w:rsidRPr="00860D94">
        <w:rPr>
          <w:lang w:val="fr-CA" w:bidi="fr-FR"/>
        </w:rPr>
        <w:t xml:space="preserve"> menaces de réduction ou de perte significati</w:t>
      </w:r>
      <w:r>
        <w:rPr>
          <w:lang w:val="fr-CA" w:bidi="fr-FR"/>
        </w:rPr>
        <w:t>ve de diversité biologique présentées</w:t>
      </w:r>
      <w:r w:rsidRPr="00860D94">
        <w:rPr>
          <w:lang w:val="fr-CA" w:bidi="fr-FR"/>
        </w:rPr>
        <w:t xml:space="preserve"> par les organismes, les composants et les produits issus de la </w:t>
      </w:r>
      <w:r>
        <w:rPr>
          <w:lang w:val="fr-CA" w:bidi="fr-FR"/>
        </w:rPr>
        <w:t>biologie de synthèse, conformément aux dispositions de</w:t>
      </w:r>
      <w:r w:rsidRPr="00860D94">
        <w:rPr>
          <w:lang w:val="fr-CA" w:bidi="fr-FR"/>
        </w:rPr>
        <w:t xml:space="preserve"> </w:t>
      </w:r>
      <w:r>
        <w:rPr>
          <w:lang w:val="fr-CA" w:bidi="fr-FR"/>
        </w:rPr>
        <w:t xml:space="preserve">la législation nationale et aux autres </w:t>
      </w:r>
      <w:r w:rsidRPr="00860D94">
        <w:rPr>
          <w:lang w:val="fr-CA" w:bidi="fr-FR"/>
        </w:rPr>
        <w:t>obligations internationales pertinentes,</w:t>
      </w:r>
    </w:p>
    <w:p w14:paraId="37CC6231" w14:textId="77777777" w:rsidR="007C4381" w:rsidRPr="00860D94"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860D94">
        <w:rPr>
          <w:i/>
          <w:lang w:val="fr-CA" w:bidi="fr-FR"/>
        </w:rPr>
        <w:t xml:space="preserve">Note </w:t>
      </w:r>
      <w:r>
        <w:rPr>
          <w:lang w:val="fr-CA" w:bidi="fr-FR"/>
        </w:rPr>
        <w:t>la disponibilité de nombreux d</w:t>
      </w:r>
      <w:r w:rsidRPr="00860D94">
        <w:rPr>
          <w:lang w:val="fr-CA" w:bidi="fr-FR"/>
        </w:rPr>
        <w:t>ocuments d</w:t>
      </w:r>
      <w:r>
        <w:rPr>
          <w:lang w:val="fr-CA" w:bidi="fr-FR"/>
        </w:rPr>
        <w:t>’</w:t>
      </w:r>
      <w:r w:rsidRPr="00860D94">
        <w:rPr>
          <w:lang w:val="fr-CA" w:bidi="fr-FR"/>
        </w:rPr>
        <w:t>orientation et d</w:t>
      </w:r>
      <w:r>
        <w:rPr>
          <w:lang w:val="fr-CA" w:bidi="fr-FR"/>
        </w:rPr>
        <w:t>’autres ressources pour appuye</w:t>
      </w:r>
      <w:r w:rsidRPr="00860D94">
        <w:rPr>
          <w:lang w:val="fr-CA" w:bidi="fr-FR"/>
        </w:rPr>
        <w:t>r le processus d</w:t>
      </w:r>
      <w:r>
        <w:rPr>
          <w:lang w:val="fr-CA" w:bidi="fr-FR"/>
        </w:rPr>
        <w:t>’</w:t>
      </w:r>
      <w:r w:rsidRPr="00860D94">
        <w:rPr>
          <w:lang w:val="fr-CA" w:bidi="fr-FR"/>
        </w:rPr>
        <w:t xml:space="preserve">évaluation des risques, mais </w:t>
      </w:r>
      <w:r w:rsidRPr="00860D94">
        <w:rPr>
          <w:i/>
          <w:lang w:val="fr-CA" w:bidi="fr-FR"/>
        </w:rPr>
        <w:t>reconnaît</w:t>
      </w:r>
      <w:r w:rsidRPr="00860D94">
        <w:rPr>
          <w:lang w:val="fr-CA" w:bidi="fr-FR"/>
        </w:rPr>
        <w:t xml:space="preserve"> les lacunes et les besoins</w:t>
      </w:r>
      <w:r>
        <w:rPr>
          <w:lang w:val="fr-CA" w:bidi="fr-FR"/>
        </w:rPr>
        <w:t xml:space="preserve"> recensés par certaines Parties;</w:t>
      </w:r>
    </w:p>
    <w:p w14:paraId="36DFC87E" w14:textId="77777777" w:rsidR="007C4381"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860D94">
        <w:rPr>
          <w:i/>
          <w:lang w:val="fr-CA" w:bidi="fr-FR"/>
        </w:rPr>
        <w:t>Constate</w:t>
      </w:r>
      <w:r>
        <w:rPr>
          <w:lang w:val="fr-CA" w:bidi="fr-FR"/>
        </w:rPr>
        <w:t xml:space="preserve"> la divergence de vues entre </w:t>
      </w:r>
      <w:r w:rsidRPr="00860D94">
        <w:rPr>
          <w:lang w:val="fr-CA" w:bidi="fr-FR"/>
        </w:rPr>
        <w:t>les Parti</w:t>
      </w:r>
      <w:r>
        <w:rPr>
          <w:lang w:val="fr-CA" w:bidi="fr-FR"/>
        </w:rPr>
        <w:t xml:space="preserve">es sur le point de savoir si des orientations </w:t>
      </w:r>
      <w:r w:rsidRPr="00860D94">
        <w:rPr>
          <w:lang w:val="fr-CA" w:bidi="fr-FR"/>
        </w:rPr>
        <w:t>supplémentaires sur des aspects spécifiques de l</w:t>
      </w:r>
      <w:r>
        <w:rPr>
          <w:lang w:val="fr-CA" w:bidi="fr-FR"/>
        </w:rPr>
        <w:t>’évaluation des risques sont requises;</w:t>
      </w:r>
    </w:p>
    <w:p w14:paraId="421B69AF" w14:textId="77777777" w:rsidR="007C4381" w:rsidRPr="009B7EAC"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9B7EAC">
        <w:rPr>
          <w:i/>
          <w:snapToGrid/>
          <w:spacing w:val="-4"/>
          <w:lang w:val="fr-CA"/>
        </w:rPr>
        <w:t xml:space="preserve">Reconnaît aussi </w:t>
      </w:r>
      <w:r w:rsidRPr="009B7EAC">
        <w:rPr>
          <w:snapToGrid/>
          <w:spacing w:val="-4"/>
          <w:lang w:val="fr-CA"/>
        </w:rPr>
        <w:t>que</w:t>
      </w:r>
      <w:r>
        <w:rPr>
          <w:snapToGrid/>
          <w:spacing w:val="-4"/>
          <w:lang w:val="fr-CA"/>
        </w:rPr>
        <w:t>,</w:t>
      </w:r>
      <w:r w:rsidRPr="00E01135">
        <w:rPr>
          <w:snapToGrid/>
          <w:spacing w:val="-4"/>
          <w:lang w:val="fr-CA"/>
        </w:rPr>
        <w:t xml:space="preserve"> </w:t>
      </w:r>
      <w:r>
        <w:rPr>
          <w:snapToGrid/>
          <w:spacing w:val="-4"/>
          <w:lang w:val="fr-CA"/>
        </w:rPr>
        <w:t xml:space="preserve">puisque des </w:t>
      </w:r>
      <w:r w:rsidRPr="009B7EAC">
        <w:rPr>
          <w:snapToGrid/>
          <w:spacing w:val="-4"/>
          <w:lang w:val="fr-CA"/>
        </w:rPr>
        <w:t xml:space="preserve">effets défavorables potentiels </w:t>
      </w:r>
      <w:r>
        <w:rPr>
          <w:snapToGrid/>
          <w:spacing w:val="-4"/>
          <w:lang w:val="fr-CA"/>
        </w:rPr>
        <w:t>peuvent résulter d’organismes résultant du forçage génétique, il convient d’effectuer des recherches et analyses et des orientations précises peuvent être utiles pour appuyer une évaluation des risques au cas par cas,</w:t>
      </w:r>
      <w:r w:rsidRPr="00E01135">
        <w:rPr>
          <w:snapToGrid/>
          <w:spacing w:val="-4"/>
          <w:lang w:val="fr-CA"/>
        </w:rPr>
        <w:t xml:space="preserve"> </w:t>
      </w:r>
      <w:r w:rsidRPr="009B7EAC">
        <w:rPr>
          <w:snapToGrid/>
          <w:spacing w:val="-4"/>
          <w:lang w:val="fr-CA"/>
        </w:rPr>
        <w:t>av</w:t>
      </w:r>
      <w:r>
        <w:rPr>
          <w:snapToGrid/>
          <w:spacing w:val="-4"/>
          <w:lang w:val="fr-CA"/>
        </w:rPr>
        <w:t>ant d’envisager</w:t>
      </w:r>
      <w:r w:rsidRPr="009B7EAC">
        <w:rPr>
          <w:snapToGrid/>
          <w:spacing w:val="-4"/>
          <w:lang w:val="fr-CA"/>
        </w:rPr>
        <w:t xml:space="preserve"> </w:t>
      </w:r>
      <w:r>
        <w:rPr>
          <w:snapToGrid/>
          <w:spacing w:val="-4"/>
          <w:lang w:val="fr-CA"/>
        </w:rPr>
        <w:t xml:space="preserve">la libération de tels </w:t>
      </w:r>
      <w:r w:rsidRPr="009B7EAC">
        <w:rPr>
          <w:snapToGrid/>
          <w:spacing w:val="-4"/>
          <w:lang w:val="fr-CA"/>
        </w:rPr>
        <w:t>organism</w:t>
      </w:r>
      <w:r>
        <w:rPr>
          <w:snapToGrid/>
          <w:spacing w:val="-4"/>
          <w:lang w:val="fr-CA"/>
        </w:rPr>
        <w:t>e</w:t>
      </w:r>
      <w:r w:rsidRPr="009B7EAC">
        <w:rPr>
          <w:snapToGrid/>
          <w:spacing w:val="-4"/>
          <w:lang w:val="fr-CA"/>
        </w:rPr>
        <w:t>s</w:t>
      </w:r>
      <w:r>
        <w:rPr>
          <w:snapToGrid/>
          <w:spacing w:val="-4"/>
          <w:lang w:val="fr-CA"/>
        </w:rPr>
        <w:t xml:space="preserve"> dans l’environnement</w:t>
      </w:r>
      <w:r w:rsidRPr="009B7EAC">
        <w:rPr>
          <w:snapToGrid/>
          <w:spacing w:val="-4"/>
          <w:lang w:val="fr-CA"/>
        </w:rPr>
        <w:t>;</w:t>
      </w:r>
    </w:p>
    <w:p w14:paraId="30B2253C" w14:textId="77777777" w:rsidR="007C4381" w:rsidRPr="007B787A"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7B787A">
        <w:rPr>
          <w:i/>
          <w:snapToGrid/>
          <w:lang w:val="fr-CA"/>
        </w:rPr>
        <w:t>Prend note</w:t>
      </w:r>
      <w:r>
        <w:rPr>
          <w:snapToGrid/>
          <w:lang w:val="fr-CA"/>
        </w:rPr>
        <w:t xml:space="preserve"> des conclusions du G</w:t>
      </w:r>
      <w:r w:rsidRPr="007B787A">
        <w:rPr>
          <w:snapToGrid/>
          <w:lang w:val="fr-CA"/>
        </w:rPr>
        <w:t>roupe spécial d’experts techniqu</w:t>
      </w:r>
      <w:r>
        <w:rPr>
          <w:snapToGrid/>
          <w:lang w:val="fr-CA"/>
        </w:rPr>
        <w:t>es sur la biologie de synthèse, à savoir, qu’</w:t>
      </w:r>
      <w:r w:rsidRPr="007B787A">
        <w:rPr>
          <w:snapToGrid/>
          <w:lang w:val="fr-CA"/>
        </w:rPr>
        <w:t>en raison des incertitu</w:t>
      </w:r>
      <w:r>
        <w:rPr>
          <w:snapToGrid/>
          <w:lang w:val="fr-CA"/>
        </w:rPr>
        <w:t>des actuelles concern</w:t>
      </w:r>
      <w:r w:rsidRPr="007B787A">
        <w:rPr>
          <w:snapToGrid/>
          <w:lang w:val="fr-CA"/>
        </w:rPr>
        <w:t>ant le forçage génétique, il convient d’obtenir le consente</w:t>
      </w:r>
      <w:r>
        <w:rPr>
          <w:snapToGrid/>
          <w:lang w:val="fr-CA"/>
        </w:rPr>
        <w:t>ment préalable, donné librement et en connaissance de cause des peu</w:t>
      </w:r>
      <w:r w:rsidRPr="007B787A">
        <w:rPr>
          <w:snapToGrid/>
          <w:lang w:val="fr-CA"/>
        </w:rPr>
        <w:t>ples autochtones et communautés locales lorsqu</w:t>
      </w:r>
      <w:r>
        <w:rPr>
          <w:snapToGrid/>
          <w:lang w:val="fr-CA"/>
        </w:rPr>
        <w:t xml:space="preserve">’une libération éventuelle d’organismes résultant du forçage génétique est envisagée, qui peuvent avoir un </w:t>
      </w:r>
      <w:r w:rsidRPr="007B787A">
        <w:rPr>
          <w:snapToGrid/>
          <w:lang w:val="fr-CA"/>
        </w:rPr>
        <w:t xml:space="preserve">impact </w:t>
      </w:r>
      <w:r>
        <w:rPr>
          <w:snapToGrid/>
          <w:lang w:val="fr-CA"/>
        </w:rPr>
        <w:t>sur leurs connaissances</w:t>
      </w:r>
      <w:r w:rsidRPr="007B787A">
        <w:rPr>
          <w:snapToGrid/>
          <w:lang w:val="fr-CA"/>
        </w:rPr>
        <w:t>, innovation</w:t>
      </w:r>
      <w:r>
        <w:rPr>
          <w:snapToGrid/>
          <w:lang w:val="fr-CA"/>
        </w:rPr>
        <w:t>s, pratiques, moyens de subsistance et utilisations traditionnels des terres et des eaux</w:t>
      </w:r>
      <w:r w:rsidRPr="007B787A">
        <w:rPr>
          <w:snapToGrid/>
          <w:lang w:val="fr-CA"/>
        </w:rPr>
        <w:t>;</w:t>
      </w:r>
    </w:p>
    <w:p w14:paraId="3D4B2D4A" w14:textId="77777777" w:rsidR="007C4381" w:rsidRPr="00860D94" w:rsidRDefault="007C4381" w:rsidP="004C7DBD">
      <w:pPr>
        <w:pStyle w:val="Para1"/>
        <w:numPr>
          <w:ilvl w:val="0"/>
          <w:numId w:val="43"/>
        </w:numPr>
        <w:suppressLineNumbers/>
        <w:suppressAutoHyphens/>
        <w:kinsoku w:val="0"/>
        <w:overflowPunct w:val="0"/>
        <w:autoSpaceDE w:val="0"/>
        <w:autoSpaceDN w:val="0"/>
        <w:snapToGrid w:val="0"/>
        <w:ind w:left="0" w:firstLine="709"/>
        <w:rPr>
          <w:lang w:val="fr-CA"/>
        </w:rPr>
      </w:pPr>
      <w:r>
        <w:rPr>
          <w:i/>
          <w:lang w:val="fr-CA" w:bidi="fr-FR"/>
        </w:rPr>
        <w:t xml:space="preserve">Demande </w:t>
      </w:r>
      <w:r>
        <w:rPr>
          <w:lang w:val="fr-CA" w:bidi="fr-FR"/>
        </w:rPr>
        <w:t>une large coopération internationale, un</w:t>
      </w:r>
      <w:r w:rsidRPr="00860D94">
        <w:rPr>
          <w:lang w:val="fr-CA" w:bidi="fr-FR"/>
        </w:rPr>
        <w:t xml:space="preserve"> partage des connaissances et </w:t>
      </w:r>
      <w:r>
        <w:rPr>
          <w:lang w:val="fr-CA" w:bidi="fr-FR"/>
        </w:rPr>
        <w:t xml:space="preserve">un renforcement </w:t>
      </w:r>
      <w:r w:rsidRPr="00860D94">
        <w:rPr>
          <w:lang w:val="fr-CA" w:bidi="fr-FR"/>
        </w:rPr>
        <w:t>des capacités pour soutenir</w:t>
      </w:r>
      <w:r>
        <w:rPr>
          <w:lang w:val="fr-CA" w:bidi="fr-FR"/>
        </w:rPr>
        <w:t xml:space="preserve">, entre autres, les Parties dans l’évaluation des </w:t>
      </w:r>
      <w:r w:rsidRPr="00860D94">
        <w:rPr>
          <w:lang w:val="fr-CA" w:bidi="fr-FR"/>
        </w:rPr>
        <w:t>effets défavorables</w:t>
      </w:r>
      <w:r>
        <w:rPr>
          <w:lang w:val="fr-CA" w:bidi="fr-FR"/>
        </w:rPr>
        <w:t xml:space="preserve"> potentiels sur </w:t>
      </w:r>
      <w:r w:rsidRPr="00860D94">
        <w:rPr>
          <w:lang w:val="fr-CA" w:bidi="fr-FR"/>
        </w:rPr>
        <w:t xml:space="preserve">la conservation et </w:t>
      </w:r>
      <w:r>
        <w:rPr>
          <w:lang w:val="fr-CA" w:bidi="fr-FR"/>
        </w:rPr>
        <w:t>l’</w:t>
      </w:r>
      <w:r w:rsidRPr="00860D94">
        <w:rPr>
          <w:lang w:val="fr-CA" w:bidi="fr-FR"/>
        </w:rPr>
        <w:t>utilisation durab</w:t>
      </w:r>
      <w:r>
        <w:rPr>
          <w:lang w:val="fr-CA" w:bidi="fr-FR"/>
        </w:rPr>
        <w:t>le de la diversité biologique résultant</w:t>
      </w:r>
      <w:r w:rsidRPr="00860D94">
        <w:rPr>
          <w:lang w:val="fr-CA" w:bidi="fr-FR"/>
        </w:rPr>
        <w:t xml:space="preserve"> </w:t>
      </w:r>
      <w:r>
        <w:rPr>
          <w:lang w:val="fr-CA" w:bidi="fr-FR"/>
        </w:rPr>
        <w:t xml:space="preserve">de poissons vivants modifiés ou d’autres </w:t>
      </w:r>
      <w:r w:rsidRPr="00860D94">
        <w:rPr>
          <w:lang w:val="fr-CA" w:bidi="fr-FR"/>
        </w:rPr>
        <w:t xml:space="preserve">organismes vivants modifiés produits </w:t>
      </w:r>
      <w:r>
        <w:rPr>
          <w:lang w:val="fr-CA" w:bidi="fr-FR"/>
        </w:rPr>
        <w:t xml:space="preserve">par les nouvelles avancées de la biotechnologie moderne, y compris les organismes vivants modifiés issus d’une réécriture génomique et les </w:t>
      </w:r>
      <w:r w:rsidRPr="00860D94">
        <w:rPr>
          <w:lang w:val="fr-CA" w:bidi="fr-FR"/>
        </w:rPr>
        <w:t>organismes vivan</w:t>
      </w:r>
      <w:r>
        <w:rPr>
          <w:lang w:val="fr-CA" w:bidi="fr-FR"/>
        </w:rPr>
        <w:t>ts modifiés ayant subi un forçage génétique</w:t>
      </w:r>
      <w:r w:rsidRPr="00860D94">
        <w:rPr>
          <w:lang w:val="fr-CA" w:bidi="fr-FR"/>
        </w:rPr>
        <w:t>, en tenant compte des risques pour la santé humaine, de la valeur de la biodiversité pour les peuples autochtones et les communautés locales, et des expériences p</w:t>
      </w:r>
      <w:r>
        <w:rPr>
          <w:lang w:val="fr-CA" w:bidi="fr-FR"/>
        </w:rPr>
        <w:t>ertinentes de chaque pays en matière d’évaluation des risques présentés par</w:t>
      </w:r>
      <w:r w:rsidRPr="00860D94">
        <w:rPr>
          <w:lang w:val="fr-CA" w:bidi="fr-FR"/>
        </w:rPr>
        <w:t xml:space="preserve"> ces org</w:t>
      </w:r>
      <w:r>
        <w:rPr>
          <w:lang w:val="fr-CA" w:bidi="fr-FR"/>
        </w:rPr>
        <w:t>anismes, conformément à l’annexe </w:t>
      </w:r>
      <w:r w:rsidRPr="00860D94">
        <w:rPr>
          <w:lang w:val="fr-CA" w:bidi="fr-FR"/>
        </w:rPr>
        <w:t>III du Pr</w:t>
      </w:r>
      <w:r>
        <w:rPr>
          <w:lang w:val="fr-CA" w:bidi="fr-FR"/>
        </w:rPr>
        <w:t>otocole de Cartagena;</w:t>
      </w:r>
    </w:p>
    <w:p w14:paraId="08153618" w14:textId="77777777" w:rsidR="007C4381" w:rsidRPr="00860D94" w:rsidRDefault="007C4381" w:rsidP="004C7DBD">
      <w:pPr>
        <w:pStyle w:val="Para1"/>
        <w:numPr>
          <w:ilvl w:val="0"/>
          <w:numId w:val="43"/>
        </w:numPr>
        <w:suppressLineNumbers/>
        <w:suppressAutoHyphens/>
        <w:kinsoku w:val="0"/>
        <w:overflowPunct w:val="0"/>
        <w:autoSpaceDE w:val="0"/>
        <w:autoSpaceDN w:val="0"/>
        <w:snapToGrid w:val="0"/>
        <w:ind w:left="0" w:firstLine="720"/>
        <w:rPr>
          <w:lang w:val="fr-CA"/>
        </w:rPr>
      </w:pPr>
      <w:r>
        <w:rPr>
          <w:i/>
          <w:lang w:val="fr-CA" w:bidi="fr-FR"/>
        </w:rPr>
        <w:t>Décide</w:t>
      </w:r>
      <w:r w:rsidRPr="00860D94">
        <w:rPr>
          <w:lang w:val="fr-CA" w:bidi="fr-FR"/>
        </w:rPr>
        <w:t xml:space="preserve"> </w:t>
      </w:r>
      <w:r>
        <w:rPr>
          <w:lang w:val="fr-CA" w:bidi="fr-FR"/>
        </w:rPr>
        <w:t xml:space="preserve">de mettre en place </w:t>
      </w:r>
      <w:r w:rsidRPr="00860D94">
        <w:rPr>
          <w:lang w:val="fr-CA" w:bidi="fr-FR"/>
        </w:rPr>
        <w:t>un processus d</w:t>
      </w:r>
      <w:r>
        <w:rPr>
          <w:lang w:val="fr-CA" w:bidi="fr-FR"/>
        </w:rPr>
        <w:t>’identification et de hiérarchisation des problèmes spécifiques concernant l’</w:t>
      </w:r>
      <w:r w:rsidRPr="00860D94">
        <w:rPr>
          <w:lang w:val="fr-CA" w:bidi="fr-FR"/>
        </w:rPr>
        <w:t>éva</w:t>
      </w:r>
      <w:r>
        <w:rPr>
          <w:lang w:val="fr-CA" w:bidi="fr-FR"/>
        </w:rPr>
        <w:t>luation des risques présentés par les</w:t>
      </w:r>
      <w:r w:rsidRPr="00860D94">
        <w:rPr>
          <w:lang w:val="fr-CA" w:bidi="fr-FR"/>
        </w:rPr>
        <w:t xml:space="preserve"> organismes vivants modifiés</w:t>
      </w:r>
      <w:r>
        <w:rPr>
          <w:lang w:val="fr-CA" w:bidi="fr-FR"/>
        </w:rPr>
        <w:t>,</w:t>
      </w:r>
      <w:r w:rsidRPr="00860D94">
        <w:rPr>
          <w:lang w:val="fr-CA" w:bidi="fr-FR"/>
        </w:rPr>
        <w:t xml:space="preserve"> aux fins d</w:t>
      </w:r>
      <w:r>
        <w:rPr>
          <w:lang w:val="fr-CA" w:bidi="fr-FR"/>
        </w:rPr>
        <w:t>’</w:t>
      </w:r>
      <w:r w:rsidRPr="00860D94">
        <w:rPr>
          <w:lang w:val="fr-CA" w:bidi="fr-FR"/>
        </w:rPr>
        <w:t xml:space="preserve">examen par la </w:t>
      </w:r>
      <w:r>
        <w:rPr>
          <w:lang w:val="fr-CA" w:bidi="fr-FR"/>
        </w:rPr>
        <w:t xml:space="preserve">Conférence des Parties siégeant en tant que réunion des Parties au Protocole de Cartagena, en vue d’élaborer d’autres orientations </w:t>
      </w:r>
      <w:r w:rsidRPr="00860D94">
        <w:rPr>
          <w:lang w:val="fr-CA" w:bidi="fr-FR"/>
        </w:rPr>
        <w:t>sur l</w:t>
      </w:r>
      <w:r>
        <w:rPr>
          <w:lang w:val="fr-CA" w:bidi="fr-FR"/>
        </w:rPr>
        <w:t>’</w:t>
      </w:r>
      <w:r w:rsidRPr="00860D94">
        <w:rPr>
          <w:lang w:val="fr-CA" w:bidi="fr-FR"/>
        </w:rPr>
        <w:t>évaluati</w:t>
      </w:r>
      <w:r>
        <w:rPr>
          <w:lang w:val="fr-CA" w:bidi="fr-FR"/>
        </w:rPr>
        <w:t>on des risques pour les problèmes</w:t>
      </w:r>
      <w:r w:rsidRPr="00860D94">
        <w:rPr>
          <w:lang w:val="fr-CA" w:bidi="fr-FR"/>
        </w:rPr>
        <w:t xml:space="preserve"> spécifiques ident</w:t>
      </w:r>
      <w:r>
        <w:rPr>
          <w:lang w:val="fr-CA" w:bidi="fr-FR"/>
        </w:rPr>
        <w:t>ifiés, compte tenu de l’annexe I;</w:t>
      </w:r>
    </w:p>
    <w:p w14:paraId="30C8F1C3" w14:textId="77777777" w:rsidR="007C4381" w:rsidRPr="00860D94" w:rsidRDefault="007C4381" w:rsidP="004C7DBD">
      <w:pPr>
        <w:pStyle w:val="Para1"/>
        <w:numPr>
          <w:ilvl w:val="0"/>
          <w:numId w:val="43"/>
        </w:numPr>
        <w:suppressLineNumbers/>
        <w:suppressAutoHyphens/>
        <w:kinsoku w:val="0"/>
        <w:overflowPunct w:val="0"/>
        <w:autoSpaceDE w:val="0"/>
        <w:autoSpaceDN w:val="0"/>
        <w:snapToGrid w:val="0"/>
        <w:ind w:left="0" w:firstLine="720"/>
        <w:rPr>
          <w:lang w:val="fr-CA"/>
        </w:rPr>
      </w:pPr>
      <w:r>
        <w:rPr>
          <w:i/>
          <w:lang w:val="fr-CA" w:bidi="fr-FR"/>
        </w:rPr>
        <w:t>Décide aussi</w:t>
      </w:r>
      <w:r w:rsidRPr="00860D94">
        <w:rPr>
          <w:i/>
          <w:lang w:val="fr-CA" w:bidi="fr-FR"/>
        </w:rPr>
        <w:t xml:space="preserve"> </w:t>
      </w:r>
      <w:r w:rsidRPr="00860D94">
        <w:rPr>
          <w:lang w:val="fr-CA" w:bidi="fr-FR"/>
        </w:rPr>
        <w:t>d</w:t>
      </w:r>
      <w:r>
        <w:rPr>
          <w:lang w:val="fr-CA" w:bidi="fr-FR"/>
        </w:rPr>
        <w:t>’</w:t>
      </w:r>
      <w:r w:rsidRPr="00860D94">
        <w:rPr>
          <w:lang w:val="fr-CA" w:bidi="fr-FR"/>
        </w:rPr>
        <w:t xml:space="preserve">examiner, à sa dixième réunion, </w:t>
      </w:r>
      <w:r>
        <w:rPr>
          <w:lang w:val="fr-CA" w:bidi="fr-FR"/>
        </w:rPr>
        <w:t xml:space="preserve">la question de savoir </w:t>
      </w:r>
      <w:r w:rsidRPr="00860D94">
        <w:rPr>
          <w:lang w:val="fr-CA" w:bidi="fr-FR"/>
        </w:rPr>
        <w:t>si du matériel d</w:t>
      </w:r>
      <w:r>
        <w:rPr>
          <w:lang w:val="fr-CA" w:bidi="fr-FR"/>
        </w:rPr>
        <w:t>’</w:t>
      </w:r>
      <w:r w:rsidRPr="00860D94">
        <w:rPr>
          <w:lang w:val="fr-CA" w:bidi="fr-FR"/>
        </w:rPr>
        <w:t>orientation supplémentaire sur l</w:t>
      </w:r>
      <w:r>
        <w:rPr>
          <w:lang w:val="fr-CA" w:bidi="fr-FR"/>
        </w:rPr>
        <w:t>’</w:t>
      </w:r>
      <w:r w:rsidRPr="00860D94">
        <w:rPr>
          <w:lang w:val="fr-CA" w:bidi="fr-FR"/>
        </w:rPr>
        <w:t>évaluation des r</w:t>
      </w:r>
      <w:r>
        <w:rPr>
          <w:lang w:val="fr-CA" w:bidi="fr-FR"/>
        </w:rPr>
        <w:t>isques est nécessaire pour : a</w:t>
      </w:r>
      <w:r w:rsidRPr="00860D94">
        <w:rPr>
          <w:lang w:val="fr-CA" w:bidi="fr-FR"/>
        </w:rPr>
        <w:t xml:space="preserve">) </w:t>
      </w:r>
      <w:r>
        <w:rPr>
          <w:lang w:val="fr-CA" w:bidi="fr-FR"/>
        </w:rPr>
        <w:t xml:space="preserve">les </w:t>
      </w:r>
      <w:r w:rsidRPr="00860D94">
        <w:rPr>
          <w:lang w:val="fr-CA" w:bidi="fr-FR"/>
        </w:rPr>
        <w:t xml:space="preserve">organismes vivants modifiés </w:t>
      </w:r>
      <w:r>
        <w:rPr>
          <w:lang w:val="fr-CA" w:bidi="fr-FR"/>
        </w:rPr>
        <w:t>ayant subi un forçage génétique, et b) les poissons vivants modifiés;</w:t>
      </w:r>
    </w:p>
    <w:p w14:paraId="27EFA4C7" w14:textId="77777777" w:rsidR="007C4381" w:rsidRPr="00860D94"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860D94">
        <w:rPr>
          <w:i/>
          <w:lang w:val="fr-CA" w:bidi="fr-FR"/>
        </w:rPr>
        <w:t>Décide en outre</w:t>
      </w:r>
      <w:r w:rsidRPr="00860D94">
        <w:rPr>
          <w:lang w:val="fr-CA" w:bidi="fr-FR"/>
        </w:rPr>
        <w:t xml:space="preserve"> d</w:t>
      </w:r>
      <w:r>
        <w:rPr>
          <w:lang w:val="fr-CA" w:bidi="fr-FR"/>
        </w:rPr>
        <w:t>e constituer un G</w:t>
      </w:r>
      <w:r w:rsidRPr="00860D94">
        <w:rPr>
          <w:lang w:val="fr-CA" w:bidi="fr-FR"/>
        </w:rPr>
        <w:t>roupe spécial d</w:t>
      </w:r>
      <w:r>
        <w:rPr>
          <w:lang w:val="fr-CA" w:bidi="fr-FR"/>
        </w:rPr>
        <w:t>’</w:t>
      </w:r>
      <w:r w:rsidRPr="00860D94">
        <w:rPr>
          <w:lang w:val="fr-CA" w:bidi="fr-FR"/>
        </w:rPr>
        <w:t>experts techniques sur l</w:t>
      </w:r>
      <w:r>
        <w:rPr>
          <w:lang w:val="fr-CA" w:bidi="fr-FR"/>
        </w:rPr>
        <w:t>’</w:t>
      </w:r>
      <w:r w:rsidRPr="00860D94">
        <w:rPr>
          <w:lang w:val="fr-CA" w:bidi="fr-FR"/>
        </w:rPr>
        <w:t>évaluation des risques, composé d</w:t>
      </w:r>
      <w:r>
        <w:rPr>
          <w:lang w:val="fr-CA" w:bidi="fr-FR"/>
        </w:rPr>
        <w:t xml:space="preserve">e spécialistes sélectionnés selon le mode de fonctionnement </w:t>
      </w:r>
      <w:r w:rsidRPr="00860D94">
        <w:rPr>
          <w:noProof/>
          <w:lang w:val="fr-CA" w:bidi="fr-FR"/>
        </w:rPr>
        <w:t>consolidé de l</w:t>
      </w:r>
      <w:r>
        <w:rPr>
          <w:noProof/>
          <w:lang w:val="fr-CA" w:bidi="fr-FR"/>
        </w:rPr>
        <w:t>’</w:t>
      </w:r>
      <w:r w:rsidRPr="00860D94">
        <w:rPr>
          <w:noProof/>
          <w:lang w:val="fr-CA" w:bidi="fr-FR"/>
        </w:rPr>
        <w:t>Organe</w:t>
      </w:r>
      <w:r w:rsidRPr="00860D94">
        <w:rPr>
          <w:lang w:val="fr-CA" w:bidi="fr-FR"/>
        </w:rPr>
        <w:t xml:space="preserve"> </w:t>
      </w:r>
      <w:r w:rsidRPr="00860D94">
        <w:rPr>
          <w:lang w:val="fr-CA" w:bidi="fr-FR"/>
        </w:rPr>
        <w:lastRenderedPageBreak/>
        <w:t>subsidiaire chargé de fournir des avis scientifique</w:t>
      </w:r>
      <w:r>
        <w:rPr>
          <w:lang w:val="fr-CA" w:bidi="fr-FR"/>
        </w:rPr>
        <w:t>s, techniques et technologiques</w:t>
      </w:r>
      <w:r w:rsidRPr="00860D94">
        <w:rPr>
          <w:rStyle w:val="FootnoteReference"/>
          <w:rFonts w:eastAsiaTheme="majorEastAsia"/>
          <w:lang w:val="fr-CA" w:bidi="fr-FR"/>
        </w:rPr>
        <w:footnoteReference w:id="21"/>
      </w:r>
      <w:r>
        <w:rPr>
          <w:lang w:val="fr-CA" w:bidi="fr-FR"/>
        </w:rPr>
        <w:t xml:space="preserve">, en accord avec le mandat figurant </w:t>
      </w:r>
      <w:r w:rsidRPr="00860D94">
        <w:rPr>
          <w:lang w:val="fr-CA" w:bidi="fr-FR"/>
        </w:rPr>
        <w:t>à l</w:t>
      </w:r>
      <w:r>
        <w:rPr>
          <w:lang w:val="fr-CA" w:bidi="fr-FR"/>
        </w:rPr>
        <w:t>’annexe II;</w:t>
      </w:r>
    </w:p>
    <w:p w14:paraId="2F911F17" w14:textId="77777777" w:rsidR="007C4381" w:rsidRPr="00860D94"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860D94">
        <w:rPr>
          <w:i/>
          <w:lang w:val="fr-CA" w:bidi="fr-FR"/>
        </w:rPr>
        <w:t>Décide</w:t>
      </w:r>
      <w:r w:rsidRPr="00860D94">
        <w:rPr>
          <w:lang w:val="fr-CA" w:bidi="fr-FR"/>
        </w:rPr>
        <w:t xml:space="preserve"> d</w:t>
      </w:r>
      <w:r>
        <w:rPr>
          <w:lang w:val="fr-CA" w:bidi="fr-FR"/>
        </w:rPr>
        <w:t>e proroger</w:t>
      </w:r>
      <w:r w:rsidRPr="00860D94">
        <w:rPr>
          <w:lang w:val="fr-CA" w:bidi="fr-FR"/>
        </w:rPr>
        <w:t xml:space="preserve"> le forum en ligne sur l</w:t>
      </w:r>
      <w:r>
        <w:rPr>
          <w:lang w:val="fr-CA" w:bidi="fr-FR"/>
        </w:rPr>
        <w:t>’</w:t>
      </w:r>
      <w:r w:rsidRPr="00860D94">
        <w:rPr>
          <w:lang w:val="fr-CA" w:bidi="fr-FR"/>
        </w:rPr>
        <w:t>évaluation des risques et la gestion des risques</w:t>
      </w:r>
      <w:r>
        <w:rPr>
          <w:lang w:val="fr-CA" w:bidi="fr-FR"/>
        </w:rPr>
        <w:t>,</w:t>
      </w:r>
      <w:r w:rsidRPr="00860D94">
        <w:rPr>
          <w:lang w:val="fr-CA" w:bidi="fr-FR"/>
        </w:rPr>
        <w:t xml:space="preserve"> afin d</w:t>
      </w:r>
      <w:r>
        <w:rPr>
          <w:lang w:val="fr-CA" w:bidi="fr-FR"/>
        </w:rPr>
        <w:t>’aider le G</w:t>
      </w:r>
      <w:r w:rsidRPr="00860D94">
        <w:rPr>
          <w:lang w:val="fr-CA" w:bidi="fr-FR"/>
        </w:rPr>
        <w:t>roupe spécial d</w:t>
      </w:r>
      <w:r>
        <w:rPr>
          <w:lang w:val="fr-CA" w:bidi="fr-FR"/>
        </w:rPr>
        <w:t>’</w:t>
      </w:r>
      <w:r w:rsidRPr="00860D94">
        <w:rPr>
          <w:lang w:val="fr-CA" w:bidi="fr-FR"/>
        </w:rPr>
        <w:t>experts techniques sur l</w:t>
      </w:r>
      <w:r>
        <w:rPr>
          <w:lang w:val="fr-CA" w:bidi="fr-FR"/>
        </w:rPr>
        <w:t>’évaluation des risques;</w:t>
      </w:r>
    </w:p>
    <w:p w14:paraId="6D62830E" w14:textId="77777777" w:rsidR="007C4381" w:rsidRPr="00860D94"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860D94">
        <w:rPr>
          <w:i/>
          <w:lang w:val="fr-CA" w:bidi="fr-FR"/>
        </w:rPr>
        <w:t xml:space="preserve">Invite </w:t>
      </w:r>
      <w:r w:rsidRPr="00D35A43">
        <w:rPr>
          <w:lang w:val="fr-CA" w:bidi="fr-FR"/>
        </w:rPr>
        <w:t xml:space="preserve">les </w:t>
      </w:r>
      <w:r w:rsidRPr="00860D94">
        <w:rPr>
          <w:lang w:val="fr-CA" w:bidi="fr-FR"/>
        </w:rPr>
        <w:t xml:space="preserve">Parties, </w:t>
      </w:r>
      <w:r>
        <w:rPr>
          <w:lang w:val="fr-CA" w:bidi="fr-FR"/>
        </w:rPr>
        <w:t xml:space="preserve">les </w:t>
      </w:r>
      <w:r w:rsidRPr="00860D94">
        <w:rPr>
          <w:lang w:val="fr-CA" w:bidi="fr-FR"/>
        </w:rPr>
        <w:t xml:space="preserve">autres gouvernements, les peuples autochtones et communautés locales et les </w:t>
      </w:r>
      <w:r>
        <w:rPr>
          <w:lang w:val="fr-CA" w:bidi="fr-FR"/>
        </w:rPr>
        <w:t>organisations compétentes à transm</w:t>
      </w:r>
      <w:r w:rsidRPr="00860D94">
        <w:rPr>
          <w:lang w:val="fr-CA" w:bidi="fr-FR"/>
        </w:rPr>
        <w:t>ettre à la Secrétaire exécutive toute in</w:t>
      </w:r>
      <w:r>
        <w:rPr>
          <w:lang w:val="fr-CA" w:bidi="fr-FR"/>
        </w:rPr>
        <w:t xml:space="preserve">formation pertinente sur </w:t>
      </w:r>
      <w:r w:rsidRPr="00860D94">
        <w:rPr>
          <w:lang w:val="fr-CA" w:bidi="fr-FR"/>
        </w:rPr>
        <w:t>les trava</w:t>
      </w:r>
      <w:r>
        <w:rPr>
          <w:lang w:val="fr-CA" w:bidi="fr-FR"/>
        </w:rPr>
        <w:t>ux du forum en ligne et du Groupe spécial d’experts techniques;</w:t>
      </w:r>
    </w:p>
    <w:p w14:paraId="774A97C9" w14:textId="77777777" w:rsidR="007C4381" w:rsidRPr="00860D94" w:rsidRDefault="007C4381" w:rsidP="004C7DBD">
      <w:pPr>
        <w:pStyle w:val="Para1"/>
        <w:numPr>
          <w:ilvl w:val="0"/>
          <w:numId w:val="43"/>
        </w:numPr>
        <w:suppressLineNumbers/>
        <w:tabs>
          <w:tab w:val="left" w:pos="720"/>
        </w:tabs>
        <w:suppressAutoHyphens/>
        <w:kinsoku w:val="0"/>
        <w:overflowPunct w:val="0"/>
        <w:autoSpaceDE w:val="0"/>
        <w:autoSpaceDN w:val="0"/>
        <w:snapToGrid w:val="0"/>
        <w:ind w:left="0" w:firstLine="720"/>
        <w:rPr>
          <w:lang w:val="fr-CA"/>
        </w:rPr>
      </w:pPr>
      <w:r w:rsidRPr="00860D94">
        <w:rPr>
          <w:i/>
          <w:lang w:val="fr-CA" w:bidi="fr-FR"/>
        </w:rPr>
        <w:t>Demande</w:t>
      </w:r>
      <w:r>
        <w:rPr>
          <w:lang w:val="fr-CA" w:bidi="fr-FR"/>
        </w:rPr>
        <w:t xml:space="preserve"> à la Secrétaire exécutive, dans la limite des ressources disponibles</w:t>
      </w:r>
      <w:r w:rsidRPr="00860D94">
        <w:rPr>
          <w:lang w:val="fr-CA" w:bidi="fr-FR"/>
        </w:rPr>
        <w:t>, de :</w:t>
      </w:r>
    </w:p>
    <w:p w14:paraId="03ADE2D9" w14:textId="77777777" w:rsidR="007C4381" w:rsidRPr="00860D94" w:rsidRDefault="007C4381" w:rsidP="004C7DBD">
      <w:pPr>
        <w:pStyle w:val="ListParagraph"/>
        <w:numPr>
          <w:ilvl w:val="0"/>
          <w:numId w:val="42"/>
        </w:numPr>
        <w:suppressLineNumbers/>
        <w:tabs>
          <w:tab w:val="left" w:pos="1440"/>
        </w:tabs>
        <w:suppressAutoHyphens/>
        <w:kinsoku w:val="0"/>
        <w:overflowPunct w:val="0"/>
        <w:autoSpaceDE w:val="0"/>
        <w:autoSpaceDN w:val="0"/>
        <w:spacing w:before="120" w:after="120"/>
        <w:ind w:left="0" w:firstLine="720"/>
        <w:rPr>
          <w:snapToGrid w:val="0"/>
          <w:kern w:val="22"/>
          <w:szCs w:val="22"/>
          <w:lang w:val="fr-CA"/>
        </w:rPr>
      </w:pPr>
      <w:r>
        <w:rPr>
          <w:snapToGrid w:val="0"/>
          <w:kern w:val="22"/>
          <w:szCs w:val="22"/>
          <w:lang w:val="fr-CA" w:bidi="fr-FR"/>
        </w:rPr>
        <w:t>Commander une étude éclairant</w:t>
      </w:r>
      <w:r w:rsidRPr="00860D94">
        <w:rPr>
          <w:snapToGrid w:val="0"/>
          <w:kern w:val="22"/>
          <w:szCs w:val="22"/>
          <w:lang w:val="fr-CA" w:bidi="fr-FR"/>
        </w:rPr>
        <w:t xml:space="preserve"> l</w:t>
      </w:r>
      <w:r>
        <w:rPr>
          <w:snapToGrid w:val="0"/>
          <w:kern w:val="22"/>
          <w:szCs w:val="22"/>
          <w:lang w:val="fr-CA" w:bidi="fr-FR"/>
        </w:rPr>
        <w:t>’</w:t>
      </w:r>
      <w:r w:rsidRPr="00860D94">
        <w:rPr>
          <w:snapToGrid w:val="0"/>
          <w:kern w:val="22"/>
          <w:szCs w:val="22"/>
          <w:lang w:val="fr-CA" w:bidi="fr-FR"/>
        </w:rPr>
        <w:t>application de l</w:t>
      </w:r>
      <w:r>
        <w:rPr>
          <w:snapToGrid w:val="0"/>
          <w:kern w:val="22"/>
          <w:szCs w:val="22"/>
          <w:lang w:val="fr-CA" w:bidi="fr-FR"/>
        </w:rPr>
        <w:t xml:space="preserve">’annexe I aux </w:t>
      </w:r>
      <w:r>
        <w:rPr>
          <w:lang w:val="fr-CA" w:bidi="fr-FR"/>
        </w:rPr>
        <w:t xml:space="preserve">: </w:t>
      </w:r>
      <w:r>
        <w:rPr>
          <w:kern w:val="22"/>
          <w:szCs w:val="22"/>
          <w:lang w:val="fr-CA" w:bidi="fr-FR"/>
        </w:rPr>
        <w:t>i</w:t>
      </w:r>
      <w:r w:rsidRPr="00860D94">
        <w:rPr>
          <w:kern w:val="22"/>
          <w:szCs w:val="22"/>
          <w:lang w:val="fr-CA" w:bidi="fr-FR"/>
        </w:rPr>
        <w:t xml:space="preserve">) organismes vivants modifiés </w:t>
      </w:r>
      <w:r>
        <w:rPr>
          <w:kern w:val="22"/>
          <w:szCs w:val="22"/>
          <w:lang w:val="fr-CA" w:bidi="fr-FR"/>
        </w:rPr>
        <w:t xml:space="preserve">ayant subi un forçage génétique, et </w:t>
      </w:r>
      <w:r w:rsidRPr="00860D94">
        <w:rPr>
          <w:kern w:val="22"/>
          <w:szCs w:val="22"/>
          <w:lang w:val="fr-CA" w:bidi="fr-FR"/>
        </w:rPr>
        <w:t xml:space="preserve">ii) </w:t>
      </w:r>
      <w:r>
        <w:rPr>
          <w:kern w:val="22"/>
          <w:szCs w:val="22"/>
          <w:lang w:val="fr-CA" w:bidi="fr-FR"/>
        </w:rPr>
        <w:t>poissons vivants modifiés</w:t>
      </w:r>
      <w:r w:rsidRPr="00860D94">
        <w:rPr>
          <w:kern w:val="22"/>
          <w:szCs w:val="22"/>
          <w:lang w:val="fr-CA" w:bidi="fr-FR"/>
        </w:rPr>
        <w:t xml:space="preserve">, pour faciliter </w:t>
      </w:r>
      <w:r>
        <w:rPr>
          <w:kern w:val="22"/>
          <w:szCs w:val="22"/>
          <w:lang w:val="fr-CA" w:bidi="fr-FR"/>
        </w:rPr>
        <w:t xml:space="preserve">le processus visé </w:t>
      </w:r>
      <w:r>
        <w:rPr>
          <w:noProof/>
          <w:kern w:val="22"/>
          <w:szCs w:val="22"/>
          <w:lang w:val="fr-CA" w:bidi="fr-FR"/>
        </w:rPr>
        <w:t>au paragraphe 6</w:t>
      </w:r>
      <w:r w:rsidRPr="00860D94">
        <w:rPr>
          <w:noProof/>
          <w:kern w:val="22"/>
          <w:szCs w:val="22"/>
          <w:lang w:val="fr-CA" w:bidi="fr-FR"/>
        </w:rPr>
        <w:t xml:space="preserve"> ci</w:t>
      </w:r>
      <w:r>
        <w:rPr>
          <w:noProof/>
          <w:kern w:val="22"/>
          <w:szCs w:val="22"/>
          <w:lang w:val="fr-CA" w:bidi="fr-FR"/>
        </w:rPr>
        <w:noBreakHyphen/>
      </w:r>
      <w:r w:rsidRPr="00860D94">
        <w:rPr>
          <w:noProof/>
          <w:kern w:val="22"/>
          <w:szCs w:val="22"/>
          <w:lang w:val="fr-CA" w:bidi="fr-FR"/>
        </w:rPr>
        <w:t>dessus, et</w:t>
      </w:r>
      <w:r>
        <w:rPr>
          <w:kern w:val="22"/>
          <w:szCs w:val="22"/>
          <w:lang w:val="fr-CA" w:bidi="fr-FR"/>
        </w:rPr>
        <w:t xml:space="preserve"> </w:t>
      </w:r>
      <w:r w:rsidRPr="00860D94">
        <w:rPr>
          <w:kern w:val="22"/>
          <w:szCs w:val="22"/>
          <w:lang w:val="fr-CA" w:bidi="fr-FR"/>
        </w:rPr>
        <w:t xml:space="preserve">présenter </w:t>
      </w:r>
      <w:r>
        <w:rPr>
          <w:kern w:val="22"/>
          <w:szCs w:val="22"/>
          <w:lang w:val="fr-CA" w:bidi="fr-FR"/>
        </w:rPr>
        <w:t>cette étude au f</w:t>
      </w:r>
      <w:r w:rsidRPr="00860D94">
        <w:rPr>
          <w:kern w:val="22"/>
          <w:szCs w:val="22"/>
          <w:lang w:val="fr-CA" w:bidi="fr-FR"/>
        </w:rPr>
        <w:t xml:space="preserve">orum en ligne à composition non limitée et au </w:t>
      </w:r>
      <w:r>
        <w:rPr>
          <w:kern w:val="22"/>
          <w:szCs w:val="22"/>
          <w:lang w:val="fr-CA" w:bidi="fr-FR"/>
        </w:rPr>
        <w:t xml:space="preserve">Groupe spécial d’experts techniques sur l’évaluation des risques et la gestion des </w:t>
      </w:r>
      <w:r w:rsidRPr="00860D94">
        <w:rPr>
          <w:kern w:val="22"/>
          <w:szCs w:val="22"/>
          <w:lang w:val="fr-CA" w:bidi="fr-FR"/>
        </w:rPr>
        <w:t>risques</w:t>
      </w:r>
      <w:r>
        <w:rPr>
          <w:kern w:val="22"/>
          <w:szCs w:val="22"/>
          <w:lang w:val="fr-CA" w:bidi="fr-FR"/>
        </w:rPr>
        <w:t>;</w:t>
      </w:r>
      <w:r w:rsidRPr="00860D94">
        <w:rPr>
          <w:kern w:val="22"/>
          <w:szCs w:val="22"/>
          <w:lang w:val="fr-CA" w:bidi="fr-FR"/>
        </w:rPr>
        <w:t xml:space="preserve"> </w:t>
      </w:r>
    </w:p>
    <w:p w14:paraId="40E456CE" w14:textId="77777777" w:rsidR="007C4381" w:rsidRPr="00860D94" w:rsidRDefault="007C4381" w:rsidP="004C7DBD">
      <w:pPr>
        <w:pStyle w:val="ListParagraph"/>
        <w:numPr>
          <w:ilvl w:val="0"/>
          <w:numId w:val="42"/>
        </w:numPr>
        <w:suppressLineNumbers/>
        <w:tabs>
          <w:tab w:val="left" w:pos="1440"/>
        </w:tabs>
        <w:suppressAutoHyphens/>
        <w:kinsoku w:val="0"/>
        <w:overflowPunct w:val="0"/>
        <w:autoSpaceDE w:val="0"/>
        <w:autoSpaceDN w:val="0"/>
        <w:spacing w:before="120" w:after="120"/>
        <w:ind w:left="0" w:firstLine="720"/>
        <w:rPr>
          <w:snapToGrid w:val="0"/>
          <w:kern w:val="22"/>
          <w:szCs w:val="22"/>
          <w:lang w:val="fr-CA"/>
        </w:rPr>
      </w:pPr>
      <w:r w:rsidRPr="00860D94">
        <w:rPr>
          <w:snapToGrid w:val="0"/>
          <w:kern w:val="22"/>
          <w:szCs w:val="22"/>
          <w:lang w:val="fr-CA" w:bidi="fr-FR"/>
        </w:rPr>
        <w:t xml:space="preserve">Recueillir et </w:t>
      </w:r>
      <w:r>
        <w:rPr>
          <w:snapToGrid w:val="0"/>
          <w:kern w:val="22"/>
          <w:szCs w:val="22"/>
          <w:lang w:val="fr-CA" w:bidi="fr-FR"/>
        </w:rPr>
        <w:t>résumer</w:t>
      </w:r>
      <w:r w:rsidRPr="00860D94">
        <w:rPr>
          <w:snapToGrid w:val="0"/>
          <w:kern w:val="22"/>
          <w:szCs w:val="22"/>
          <w:lang w:val="fr-CA" w:bidi="fr-FR"/>
        </w:rPr>
        <w:t xml:space="preserve"> les informations pertinentes pour faciliter le t</w:t>
      </w:r>
      <w:r>
        <w:rPr>
          <w:snapToGrid w:val="0"/>
          <w:kern w:val="22"/>
          <w:szCs w:val="22"/>
          <w:lang w:val="fr-CA" w:bidi="fr-FR"/>
        </w:rPr>
        <w:t>ravail du forum en ligne et du G</w:t>
      </w:r>
      <w:r w:rsidRPr="00860D94">
        <w:rPr>
          <w:snapToGrid w:val="0"/>
          <w:kern w:val="22"/>
          <w:szCs w:val="22"/>
          <w:lang w:val="fr-CA" w:bidi="fr-FR"/>
        </w:rPr>
        <w:t>roupe spécial d</w:t>
      </w:r>
      <w:r>
        <w:rPr>
          <w:snapToGrid w:val="0"/>
          <w:kern w:val="22"/>
          <w:szCs w:val="22"/>
          <w:lang w:val="fr-CA" w:bidi="fr-FR"/>
        </w:rPr>
        <w:t>’</w:t>
      </w:r>
      <w:r w:rsidRPr="00860D94">
        <w:rPr>
          <w:snapToGrid w:val="0"/>
          <w:kern w:val="22"/>
          <w:szCs w:val="22"/>
          <w:lang w:val="fr-CA" w:bidi="fr-FR"/>
        </w:rPr>
        <w:t>experts techniques</w:t>
      </w:r>
      <w:r>
        <w:rPr>
          <w:snapToGrid w:val="0"/>
          <w:kern w:val="22"/>
          <w:szCs w:val="22"/>
          <w:lang w:val="fr-CA" w:bidi="fr-FR"/>
        </w:rPr>
        <w:t>;</w:t>
      </w:r>
    </w:p>
    <w:p w14:paraId="12E2EA9D" w14:textId="77777777" w:rsidR="007C4381" w:rsidRPr="00860D94" w:rsidRDefault="007C4381" w:rsidP="004C7DBD">
      <w:pPr>
        <w:pStyle w:val="ListParagraph"/>
        <w:numPr>
          <w:ilvl w:val="0"/>
          <w:numId w:val="42"/>
        </w:numPr>
        <w:suppressLineNumbers/>
        <w:tabs>
          <w:tab w:val="left" w:pos="1440"/>
        </w:tabs>
        <w:suppressAutoHyphens/>
        <w:kinsoku w:val="0"/>
        <w:overflowPunct w:val="0"/>
        <w:autoSpaceDE w:val="0"/>
        <w:autoSpaceDN w:val="0"/>
        <w:spacing w:before="120" w:after="120"/>
        <w:ind w:left="0" w:firstLine="720"/>
        <w:rPr>
          <w:snapToGrid w:val="0"/>
          <w:color w:val="000000"/>
          <w:kern w:val="22"/>
          <w:szCs w:val="22"/>
          <w:lang w:val="fr-CA"/>
        </w:rPr>
      </w:pPr>
      <w:r w:rsidRPr="00860D94">
        <w:rPr>
          <w:snapToGrid w:val="0"/>
          <w:color w:val="000000"/>
          <w:kern w:val="22"/>
          <w:szCs w:val="22"/>
          <w:lang w:val="fr-CA" w:bidi="fr-FR"/>
        </w:rPr>
        <w:t>Aider le modérateur principal du forum en lig</w:t>
      </w:r>
      <w:r>
        <w:rPr>
          <w:snapToGrid w:val="0"/>
          <w:color w:val="000000"/>
          <w:kern w:val="22"/>
          <w:szCs w:val="22"/>
          <w:lang w:val="fr-CA" w:bidi="fr-FR"/>
        </w:rPr>
        <w:t>ne à organiser des débats et à rendre compte de leurs résultats;</w:t>
      </w:r>
    </w:p>
    <w:p w14:paraId="264F5158" w14:textId="77777777" w:rsidR="007C4381" w:rsidRPr="00860D94" w:rsidRDefault="007C4381" w:rsidP="004C7DBD">
      <w:pPr>
        <w:pStyle w:val="ListParagraph"/>
        <w:numPr>
          <w:ilvl w:val="0"/>
          <w:numId w:val="42"/>
        </w:numPr>
        <w:suppressLineNumbers/>
        <w:tabs>
          <w:tab w:val="left" w:pos="1440"/>
        </w:tabs>
        <w:suppressAutoHyphens/>
        <w:kinsoku w:val="0"/>
        <w:overflowPunct w:val="0"/>
        <w:autoSpaceDE w:val="0"/>
        <w:autoSpaceDN w:val="0"/>
        <w:spacing w:before="120" w:after="120"/>
        <w:ind w:left="0" w:firstLine="720"/>
        <w:rPr>
          <w:noProof/>
          <w:snapToGrid w:val="0"/>
          <w:kern w:val="22"/>
          <w:szCs w:val="22"/>
          <w:lang w:val="fr-CA"/>
        </w:rPr>
      </w:pPr>
      <w:r w:rsidRPr="00860D94">
        <w:rPr>
          <w:snapToGrid w:val="0"/>
          <w:kern w:val="22"/>
          <w:szCs w:val="22"/>
          <w:lang w:val="fr-CA" w:bidi="fr-FR"/>
        </w:rPr>
        <w:t xml:space="preserve">Convoquer une réunion en </w:t>
      </w:r>
      <w:r w:rsidRPr="00860D94">
        <w:rPr>
          <w:noProof/>
          <w:snapToGrid w:val="0"/>
          <w:kern w:val="22"/>
          <w:szCs w:val="22"/>
          <w:lang w:val="fr-CA" w:bidi="fr-FR"/>
        </w:rPr>
        <w:t>face</w:t>
      </w:r>
      <w:r>
        <w:rPr>
          <w:noProof/>
          <w:snapToGrid w:val="0"/>
          <w:kern w:val="22"/>
          <w:szCs w:val="22"/>
          <w:lang w:val="fr-CA" w:bidi="fr-FR"/>
        </w:rPr>
        <w:noBreakHyphen/>
      </w:r>
      <w:r w:rsidRPr="00860D94">
        <w:rPr>
          <w:noProof/>
          <w:snapToGrid w:val="0"/>
          <w:kern w:val="22"/>
          <w:szCs w:val="22"/>
          <w:lang w:val="fr-CA" w:bidi="fr-FR"/>
        </w:rPr>
        <w:t>à</w:t>
      </w:r>
      <w:r>
        <w:rPr>
          <w:noProof/>
          <w:snapToGrid w:val="0"/>
          <w:kern w:val="22"/>
          <w:szCs w:val="22"/>
          <w:lang w:val="fr-CA" w:bidi="fr-FR"/>
        </w:rPr>
        <w:noBreakHyphen/>
        <w:t>face du G</w:t>
      </w:r>
      <w:r w:rsidRPr="00860D94">
        <w:rPr>
          <w:noProof/>
          <w:snapToGrid w:val="0"/>
          <w:kern w:val="22"/>
          <w:szCs w:val="22"/>
          <w:lang w:val="fr-CA" w:bidi="fr-FR"/>
        </w:rPr>
        <w:t>roupe spécial d</w:t>
      </w:r>
      <w:r>
        <w:rPr>
          <w:noProof/>
          <w:snapToGrid w:val="0"/>
          <w:kern w:val="22"/>
          <w:szCs w:val="22"/>
          <w:lang w:val="fr-CA" w:bidi="fr-FR"/>
        </w:rPr>
        <w:t>’</w:t>
      </w:r>
      <w:r w:rsidRPr="00860D94">
        <w:rPr>
          <w:noProof/>
          <w:snapToGrid w:val="0"/>
          <w:kern w:val="22"/>
          <w:szCs w:val="22"/>
          <w:lang w:val="fr-CA" w:bidi="fr-FR"/>
        </w:rPr>
        <w:t>experts techniques sur l</w:t>
      </w:r>
      <w:r>
        <w:rPr>
          <w:noProof/>
          <w:snapToGrid w:val="0"/>
          <w:kern w:val="22"/>
          <w:szCs w:val="22"/>
          <w:lang w:val="fr-CA" w:bidi="fr-FR"/>
        </w:rPr>
        <w:t>’</w:t>
      </w:r>
      <w:r w:rsidRPr="00860D94">
        <w:rPr>
          <w:noProof/>
          <w:snapToGrid w:val="0"/>
          <w:kern w:val="22"/>
          <w:szCs w:val="22"/>
          <w:lang w:val="fr-CA" w:bidi="fr-FR"/>
        </w:rPr>
        <w:t xml:space="preserve">évaluation des </w:t>
      </w:r>
      <w:r>
        <w:rPr>
          <w:noProof/>
          <w:snapToGrid w:val="0"/>
          <w:kern w:val="22"/>
          <w:szCs w:val="22"/>
          <w:lang w:val="fr-CA" w:bidi="fr-FR"/>
        </w:rPr>
        <w:t>risques;</w:t>
      </w:r>
    </w:p>
    <w:p w14:paraId="4BF05B4F" w14:textId="77777777" w:rsidR="007C4381" w:rsidRPr="00890D44" w:rsidRDefault="007C4381" w:rsidP="004C7DBD">
      <w:pPr>
        <w:pStyle w:val="ListParagraph"/>
        <w:numPr>
          <w:ilvl w:val="0"/>
          <w:numId w:val="43"/>
        </w:numPr>
        <w:ind w:left="0" w:firstLine="720"/>
        <w:contextualSpacing/>
        <w:rPr>
          <w:i/>
          <w:kern w:val="22"/>
          <w:szCs w:val="22"/>
          <w:lang w:val="fr-CA"/>
        </w:rPr>
      </w:pPr>
      <w:r w:rsidRPr="00860D94">
        <w:rPr>
          <w:i/>
          <w:kern w:val="22"/>
          <w:szCs w:val="22"/>
          <w:lang w:val="fr-CA" w:bidi="fr-FR"/>
        </w:rPr>
        <w:t xml:space="preserve">Demande </w:t>
      </w:r>
      <w:r>
        <w:rPr>
          <w:kern w:val="22"/>
          <w:szCs w:val="22"/>
          <w:lang w:val="fr-CA" w:bidi="fr-FR"/>
        </w:rPr>
        <w:t xml:space="preserve">à </w:t>
      </w:r>
      <w:r w:rsidRPr="00860D94">
        <w:rPr>
          <w:noProof/>
          <w:kern w:val="22"/>
          <w:szCs w:val="22"/>
          <w:lang w:val="fr-CA" w:bidi="fr-FR"/>
        </w:rPr>
        <w:t>l</w:t>
      </w:r>
      <w:r>
        <w:rPr>
          <w:noProof/>
          <w:kern w:val="22"/>
          <w:szCs w:val="22"/>
          <w:lang w:val="fr-CA" w:bidi="fr-FR"/>
        </w:rPr>
        <w:t>’</w:t>
      </w:r>
      <w:r w:rsidRPr="00860D94">
        <w:rPr>
          <w:noProof/>
          <w:kern w:val="22"/>
          <w:szCs w:val="22"/>
          <w:lang w:val="fr-CA" w:bidi="fr-FR"/>
        </w:rPr>
        <w:t>Organe</w:t>
      </w:r>
      <w:r w:rsidRPr="00860D94">
        <w:rPr>
          <w:kern w:val="22"/>
          <w:szCs w:val="22"/>
          <w:lang w:val="fr-CA" w:bidi="fr-FR"/>
        </w:rPr>
        <w:t xml:space="preserve"> subsidiaire chargé de fournir des avis scientifiques, techniques et technologiques </w:t>
      </w:r>
      <w:r>
        <w:rPr>
          <w:kern w:val="22"/>
          <w:szCs w:val="22"/>
          <w:lang w:val="fr-CA" w:bidi="fr-FR"/>
        </w:rPr>
        <w:t>de formuler une recommandation sur la question de savoir si du</w:t>
      </w:r>
      <w:r w:rsidRPr="00860D94">
        <w:rPr>
          <w:kern w:val="22"/>
          <w:szCs w:val="22"/>
          <w:lang w:val="fr-CA" w:bidi="fr-FR"/>
        </w:rPr>
        <w:t xml:space="preserve"> matériel d</w:t>
      </w:r>
      <w:r>
        <w:rPr>
          <w:kern w:val="22"/>
          <w:szCs w:val="22"/>
          <w:lang w:val="fr-CA" w:bidi="fr-FR"/>
        </w:rPr>
        <w:t>’</w:t>
      </w:r>
      <w:r w:rsidRPr="00860D94">
        <w:rPr>
          <w:kern w:val="22"/>
          <w:szCs w:val="22"/>
          <w:lang w:val="fr-CA" w:bidi="fr-FR"/>
        </w:rPr>
        <w:t>orientation supplémentaire sur l</w:t>
      </w:r>
      <w:r>
        <w:rPr>
          <w:kern w:val="22"/>
          <w:szCs w:val="22"/>
          <w:lang w:val="fr-CA" w:bidi="fr-FR"/>
        </w:rPr>
        <w:t>’</w:t>
      </w:r>
      <w:r w:rsidRPr="00860D94">
        <w:rPr>
          <w:kern w:val="22"/>
          <w:szCs w:val="22"/>
          <w:lang w:val="fr-CA" w:bidi="fr-FR"/>
        </w:rPr>
        <w:t>é</w:t>
      </w:r>
      <w:r>
        <w:rPr>
          <w:kern w:val="22"/>
          <w:szCs w:val="22"/>
          <w:lang w:val="fr-CA" w:bidi="fr-FR"/>
        </w:rPr>
        <w:t>valuation des risques est nécessaire pour : a</w:t>
      </w:r>
      <w:r w:rsidRPr="00860D94">
        <w:rPr>
          <w:kern w:val="22"/>
          <w:szCs w:val="22"/>
          <w:lang w:val="fr-CA" w:bidi="fr-FR"/>
        </w:rPr>
        <w:t xml:space="preserve">) </w:t>
      </w:r>
      <w:r>
        <w:rPr>
          <w:kern w:val="22"/>
          <w:szCs w:val="22"/>
          <w:lang w:val="fr-CA" w:bidi="fr-FR"/>
        </w:rPr>
        <w:t xml:space="preserve">les </w:t>
      </w:r>
      <w:r w:rsidRPr="00860D94">
        <w:rPr>
          <w:kern w:val="22"/>
          <w:szCs w:val="22"/>
          <w:lang w:val="fr-CA" w:bidi="fr-FR"/>
        </w:rPr>
        <w:t xml:space="preserve">organismes vivants modifiés </w:t>
      </w:r>
      <w:r>
        <w:rPr>
          <w:kern w:val="22"/>
          <w:szCs w:val="22"/>
          <w:lang w:val="fr-CA" w:bidi="fr-FR"/>
        </w:rPr>
        <w:t>ayant subi un forçage génétique, et b</w:t>
      </w:r>
      <w:r w:rsidRPr="00860D94">
        <w:rPr>
          <w:kern w:val="22"/>
          <w:szCs w:val="22"/>
          <w:lang w:val="fr-CA" w:bidi="fr-FR"/>
        </w:rPr>
        <w:t xml:space="preserve">) </w:t>
      </w:r>
      <w:r>
        <w:rPr>
          <w:kern w:val="22"/>
          <w:szCs w:val="22"/>
          <w:lang w:val="fr-CA" w:bidi="fr-FR"/>
        </w:rPr>
        <w:t>les poissons vivants modifiés,</w:t>
      </w:r>
      <w:r w:rsidRPr="00860D94">
        <w:rPr>
          <w:kern w:val="22"/>
          <w:szCs w:val="22"/>
          <w:lang w:val="fr-CA" w:bidi="fr-FR"/>
        </w:rPr>
        <w:t xml:space="preserve"> pour examen par la </w:t>
      </w:r>
      <w:r w:rsidRPr="00860D94">
        <w:rPr>
          <w:snapToGrid w:val="0"/>
          <w:kern w:val="22"/>
          <w:szCs w:val="22"/>
          <w:lang w:val="fr-CA" w:bidi="fr-FR"/>
        </w:rPr>
        <w:t>Conférence des Parties siégeant en tant que réunion des Pa</w:t>
      </w:r>
      <w:r>
        <w:rPr>
          <w:snapToGrid w:val="0"/>
          <w:kern w:val="22"/>
          <w:szCs w:val="22"/>
          <w:lang w:val="fr-CA" w:bidi="fr-FR"/>
        </w:rPr>
        <w:t>rties au Protocole de Cartagena</w:t>
      </w:r>
      <w:r w:rsidRPr="00860D94">
        <w:rPr>
          <w:kern w:val="22"/>
          <w:szCs w:val="22"/>
          <w:lang w:val="fr-CA" w:bidi="fr-FR"/>
        </w:rPr>
        <w:t xml:space="preserve"> à sa dixième réunion.</w:t>
      </w:r>
    </w:p>
    <w:p w14:paraId="5EEBC455" w14:textId="77777777" w:rsidR="007C4381" w:rsidRDefault="007C4381" w:rsidP="007C4381">
      <w:pPr>
        <w:spacing w:after="120"/>
        <w:contextualSpacing/>
        <w:rPr>
          <w:i/>
          <w:kern w:val="22"/>
          <w:szCs w:val="22"/>
          <w:lang w:val="fr-CA"/>
        </w:rPr>
      </w:pPr>
    </w:p>
    <w:p w14:paraId="15D7DA88" w14:textId="77777777" w:rsidR="007C4381" w:rsidRDefault="007C4381" w:rsidP="007C4381">
      <w:pPr>
        <w:spacing w:after="120"/>
        <w:contextualSpacing/>
        <w:rPr>
          <w:i/>
          <w:kern w:val="22"/>
          <w:szCs w:val="22"/>
          <w:lang w:val="fr-CA"/>
        </w:rPr>
      </w:pPr>
    </w:p>
    <w:p w14:paraId="14E74B3B" w14:textId="77777777" w:rsidR="007C4381" w:rsidRDefault="007C4381" w:rsidP="007C4381">
      <w:pPr>
        <w:spacing w:after="120"/>
        <w:contextualSpacing/>
        <w:rPr>
          <w:i/>
          <w:kern w:val="22"/>
          <w:szCs w:val="22"/>
          <w:lang w:val="fr-CA"/>
        </w:rPr>
      </w:pPr>
    </w:p>
    <w:p w14:paraId="083DD647" w14:textId="77777777" w:rsidR="007C4381" w:rsidRPr="00860D94" w:rsidRDefault="007C4381" w:rsidP="007C4381">
      <w:pPr>
        <w:jc w:val="center"/>
        <w:rPr>
          <w:i/>
          <w:kern w:val="22"/>
          <w:szCs w:val="22"/>
          <w:lang w:val="fr-CA"/>
        </w:rPr>
      </w:pPr>
      <w:r>
        <w:rPr>
          <w:i/>
          <w:kern w:val="22"/>
          <w:szCs w:val="22"/>
          <w:lang w:val="fr-CA" w:bidi="fr-FR"/>
        </w:rPr>
        <w:t>Annexe </w:t>
      </w:r>
      <w:r w:rsidRPr="00860D94">
        <w:rPr>
          <w:i/>
          <w:kern w:val="22"/>
          <w:szCs w:val="22"/>
          <w:lang w:val="fr-CA" w:bidi="fr-FR"/>
        </w:rPr>
        <w:t>I</w:t>
      </w:r>
    </w:p>
    <w:p w14:paraId="47520BFA" w14:textId="77777777" w:rsidR="007C4381" w:rsidRPr="00860D94" w:rsidRDefault="007C4381" w:rsidP="007C4381">
      <w:pPr>
        <w:suppressLineNumbers/>
        <w:suppressAutoHyphens/>
        <w:kinsoku w:val="0"/>
        <w:overflowPunct w:val="0"/>
        <w:autoSpaceDE w:val="0"/>
        <w:autoSpaceDN w:val="0"/>
        <w:spacing w:before="120" w:after="360"/>
        <w:jc w:val="center"/>
        <w:rPr>
          <w:b/>
          <w:snapToGrid w:val="0"/>
          <w:kern w:val="22"/>
          <w:szCs w:val="22"/>
          <w:lang w:val="fr-CA"/>
        </w:rPr>
      </w:pPr>
      <w:r>
        <w:rPr>
          <w:b/>
          <w:snapToGrid w:val="0"/>
          <w:kern w:val="22"/>
          <w:szCs w:val="22"/>
          <w:lang w:val="fr-CA" w:bidi="fr-FR"/>
        </w:rPr>
        <w:t>Identification et hiérarch</w:t>
      </w:r>
      <w:r w:rsidRPr="00860D94">
        <w:rPr>
          <w:b/>
          <w:snapToGrid w:val="0"/>
          <w:kern w:val="22"/>
          <w:szCs w:val="22"/>
          <w:lang w:val="fr-CA" w:bidi="fr-FR"/>
        </w:rPr>
        <w:t>isation</w:t>
      </w:r>
      <w:r>
        <w:rPr>
          <w:b/>
          <w:snapToGrid w:val="0"/>
          <w:kern w:val="22"/>
          <w:szCs w:val="22"/>
          <w:lang w:val="fr-CA" w:bidi="fr-FR"/>
        </w:rPr>
        <w:t xml:space="preserve"> des problèmes spécifiques d’évaluation des risques présentés par les</w:t>
      </w:r>
      <w:r w:rsidRPr="00860D94">
        <w:rPr>
          <w:b/>
          <w:snapToGrid w:val="0"/>
          <w:kern w:val="22"/>
          <w:szCs w:val="22"/>
          <w:lang w:val="fr-CA" w:bidi="fr-FR"/>
        </w:rPr>
        <w:t xml:space="preserve"> organ</w:t>
      </w:r>
      <w:r>
        <w:rPr>
          <w:b/>
          <w:snapToGrid w:val="0"/>
          <w:kern w:val="22"/>
          <w:szCs w:val="22"/>
          <w:lang w:val="fr-CA" w:bidi="fr-FR"/>
        </w:rPr>
        <w:t xml:space="preserve">ismes vivants modifiés méritant </w:t>
      </w:r>
      <w:r w:rsidRPr="00860D94">
        <w:rPr>
          <w:b/>
          <w:snapToGrid w:val="0"/>
          <w:kern w:val="22"/>
          <w:szCs w:val="22"/>
          <w:lang w:val="fr-CA" w:bidi="fr-FR"/>
        </w:rPr>
        <w:t>examen</w:t>
      </w:r>
    </w:p>
    <w:p w14:paraId="31A259C7" w14:textId="77777777" w:rsidR="007C4381" w:rsidRPr="00860D94" w:rsidRDefault="007C4381" w:rsidP="007C4381">
      <w:pPr>
        <w:suppressLineNumber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Le processus permettant de recommander des problèmes spécifiques d</w:t>
      </w:r>
      <w:r>
        <w:rPr>
          <w:snapToGrid w:val="0"/>
          <w:kern w:val="22"/>
          <w:szCs w:val="22"/>
          <w:lang w:val="fr-CA" w:bidi="fr-FR"/>
        </w:rPr>
        <w:t>’</w:t>
      </w:r>
      <w:r w:rsidRPr="00860D94">
        <w:rPr>
          <w:snapToGrid w:val="0"/>
          <w:kern w:val="22"/>
          <w:szCs w:val="22"/>
          <w:lang w:val="fr-CA" w:bidi="fr-FR"/>
        </w:rPr>
        <w:t>évaluation des risques aux fins d</w:t>
      </w:r>
      <w:r>
        <w:rPr>
          <w:snapToGrid w:val="0"/>
          <w:kern w:val="22"/>
          <w:szCs w:val="22"/>
          <w:lang w:val="fr-CA" w:bidi="fr-FR"/>
        </w:rPr>
        <w:t>’</w:t>
      </w:r>
      <w:r w:rsidRPr="00860D94">
        <w:rPr>
          <w:snapToGrid w:val="0"/>
          <w:kern w:val="22"/>
          <w:szCs w:val="22"/>
          <w:lang w:val="fr-CA" w:bidi="fr-FR"/>
        </w:rPr>
        <w:t xml:space="preserve">examen par la Conférence des Parties siégeant en tant que réunion des Parties au Protocole de Cartagena </w:t>
      </w:r>
      <w:r>
        <w:rPr>
          <w:snapToGrid w:val="0"/>
          <w:kern w:val="22"/>
          <w:szCs w:val="22"/>
          <w:lang w:val="fr-CA" w:bidi="fr-FR"/>
        </w:rPr>
        <w:t xml:space="preserve">sur la prévention des risques biotechnologiques </w:t>
      </w:r>
      <w:r w:rsidRPr="00860D94">
        <w:rPr>
          <w:snapToGrid w:val="0"/>
          <w:kern w:val="22"/>
          <w:szCs w:val="22"/>
          <w:lang w:val="fr-CA" w:bidi="fr-FR"/>
        </w:rPr>
        <w:t>devrait inclure une analyse structurée pour évaluer</w:t>
      </w:r>
      <w:r>
        <w:rPr>
          <w:snapToGrid w:val="0"/>
          <w:kern w:val="22"/>
          <w:szCs w:val="22"/>
          <w:lang w:val="fr-CA" w:bidi="fr-FR"/>
        </w:rPr>
        <w:t xml:space="preserve"> si les problèmes spécifiques remplissent les critères suivants</w:t>
      </w:r>
      <w:r w:rsidRPr="00860D94">
        <w:rPr>
          <w:snapToGrid w:val="0"/>
          <w:kern w:val="22"/>
          <w:szCs w:val="22"/>
          <w:lang w:val="fr-CA" w:bidi="fr-FR"/>
        </w:rPr>
        <w:t> :</w:t>
      </w:r>
    </w:p>
    <w:p w14:paraId="3C5AE69C" w14:textId="77777777" w:rsidR="007C4381" w:rsidRPr="00860D94" w:rsidRDefault="007C4381" w:rsidP="007C4381">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 xml:space="preserve">a) </w:t>
      </w:r>
      <w:r>
        <w:rPr>
          <w:snapToGrid w:val="0"/>
          <w:kern w:val="22"/>
          <w:szCs w:val="22"/>
          <w:lang w:val="fr-CA" w:bidi="fr-FR"/>
        </w:rPr>
        <w:tab/>
        <w:t>Ils sont identifié</w:t>
      </w:r>
      <w:r w:rsidRPr="00860D94">
        <w:rPr>
          <w:snapToGrid w:val="0"/>
          <w:kern w:val="22"/>
          <w:szCs w:val="22"/>
          <w:lang w:val="fr-CA" w:bidi="fr-FR"/>
        </w:rPr>
        <w:t>s par les P</w:t>
      </w:r>
      <w:r>
        <w:rPr>
          <w:snapToGrid w:val="0"/>
          <w:kern w:val="22"/>
          <w:szCs w:val="22"/>
          <w:lang w:val="fr-CA" w:bidi="fr-FR"/>
        </w:rPr>
        <w:t>arties comme des questions prioritaires,</w:t>
      </w:r>
      <w:r w:rsidRPr="00860D94">
        <w:rPr>
          <w:snapToGrid w:val="0"/>
          <w:kern w:val="22"/>
          <w:szCs w:val="22"/>
          <w:lang w:val="fr-CA" w:bidi="fr-FR"/>
        </w:rPr>
        <w:t xml:space="preserve"> en prenant en compte les difficultés d</w:t>
      </w:r>
      <w:r>
        <w:rPr>
          <w:snapToGrid w:val="0"/>
          <w:kern w:val="22"/>
          <w:szCs w:val="22"/>
          <w:lang w:val="fr-CA" w:bidi="fr-FR"/>
        </w:rPr>
        <w:t>’</w:t>
      </w:r>
      <w:r w:rsidRPr="00860D94">
        <w:rPr>
          <w:snapToGrid w:val="0"/>
          <w:kern w:val="22"/>
          <w:szCs w:val="22"/>
          <w:lang w:val="fr-CA" w:bidi="fr-FR"/>
        </w:rPr>
        <w:t>évaluation des risques, en particulier celles rencontrées par les</w:t>
      </w:r>
      <w:r>
        <w:rPr>
          <w:snapToGrid w:val="0"/>
          <w:kern w:val="22"/>
          <w:szCs w:val="22"/>
          <w:lang w:val="fr-CA" w:bidi="fr-FR"/>
        </w:rPr>
        <w:t xml:space="preserve"> pays en développement Parties e</w:t>
      </w:r>
      <w:r w:rsidRPr="00860D94">
        <w:rPr>
          <w:snapToGrid w:val="0"/>
          <w:kern w:val="22"/>
          <w:szCs w:val="22"/>
          <w:lang w:val="fr-CA" w:bidi="fr-FR"/>
        </w:rPr>
        <w:t>t les pays à économie en transition</w:t>
      </w:r>
      <w:r>
        <w:rPr>
          <w:snapToGrid w:val="0"/>
          <w:kern w:val="22"/>
          <w:szCs w:val="22"/>
          <w:lang w:val="fr-CA" w:bidi="fr-FR"/>
        </w:rPr>
        <w:t>;</w:t>
      </w:r>
    </w:p>
    <w:p w14:paraId="064DB4CF" w14:textId="77777777" w:rsidR="007C4381" w:rsidRPr="00860D94" w:rsidRDefault="007C4381" w:rsidP="007C4381">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b)</w:t>
      </w:r>
      <w:r>
        <w:rPr>
          <w:snapToGrid w:val="0"/>
          <w:kern w:val="22"/>
          <w:szCs w:val="22"/>
          <w:lang w:val="fr-CA" w:bidi="fr-FR"/>
        </w:rPr>
        <w:tab/>
        <w:t>Ils entrent dans le champ d’application et font partie de l’objectif</w:t>
      </w:r>
      <w:r w:rsidRPr="00860D94">
        <w:rPr>
          <w:snapToGrid w:val="0"/>
          <w:kern w:val="22"/>
          <w:szCs w:val="22"/>
          <w:lang w:val="fr-CA" w:bidi="fr-FR"/>
        </w:rPr>
        <w:t xml:space="preserve"> du Protocole de Cartagena</w:t>
      </w:r>
      <w:r>
        <w:rPr>
          <w:snapToGrid w:val="0"/>
          <w:kern w:val="22"/>
          <w:szCs w:val="22"/>
          <w:lang w:val="fr-CA" w:bidi="fr-FR"/>
        </w:rPr>
        <w:t>;</w:t>
      </w:r>
    </w:p>
    <w:p w14:paraId="6E1E1D46" w14:textId="77777777" w:rsidR="007C4381" w:rsidRPr="00860D94" w:rsidRDefault="007C4381" w:rsidP="007C4381">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 xml:space="preserve">c) </w:t>
      </w:r>
      <w:r>
        <w:rPr>
          <w:snapToGrid w:val="0"/>
          <w:kern w:val="22"/>
          <w:szCs w:val="22"/>
          <w:lang w:val="fr-CA" w:bidi="fr-FR"/>
        </w:rPr>
        <w:tab/>
        <w:t>Ils présentent des difficultés pour les</w:t>
      </w:r>
      <w:r w:rsidRPr="00860D94">
        <w:rPr>
          <w:snapToGrid w:val="0"/>
          <w:kern w:val="22"/>
          <w:szCs w:val="22"/>
          <w:lang w:val="fr-CA" w:bidi="fr-FR"/>
        </w:rPr>
        <w:t xml:space="preserve"> cadres, </w:t>
      </w:r>
      <w:r>
        <w:rPr>
          <w:snapToGrid w:val="0"/>
          <w:kern w:val="22"/>
          <w:szCs w:val="22"/>
          <w:lang w:val="fr-CA" w:bidi="fr-FR"/>
        </w:rPr>
        <w:t>les orientation</w:t>
      </w:r>
      <w:r w:rsidRPr="00860D94">
        <w:rPr>
          <w:snapToGrid w:val="0"/>
          <w:kern w:val="22"/>
          <w:szCs w:val="22"/>
          <w:lang w:val="fr-CA" w:bidi="fr-FR"/>
        </w:rPr>
        <w:t xml:space="preserve">s et </w:t>
      </w:r>
      <w:r>
        <w:rPr>
          <w:snapToGrid w:val="0"/>
          <w:kern w:val="22"/>
          <w:szCs w:val="22"/>
          <w:lang w:val="fr-CA" w:bidi="fr-FR"/>
        </w:rPr>
        <w:t xml:space="preserve">les </w:t>
      </w:r>
      <w:r w:rsidRPr="00860D94">
        <w:rPr>
          <w:snapToGrid w:val="0"/>
          <w:kern w:val="22"/>
          <w:szCs w:val="22"/>
          <w:lang w:val="fr-CA" w:bidi="fr-FR"/>
        </w:rPr>
        <w:t>méthodes d</w:t>
      </w:r>
      <w:r>
        <w:rPr>
          <w:snapToGrid w:val="0"/>
          <w:kern w:val="22"/>
          <w:szCs w:val="22"/>
          <w:lang w:val="fr-CA" w:bidi="fr-FR"/>
        </w:rPr>
        <w:t>’</w:t>
      </w:r>
      <w:r w:rsidRPr="00860D94">
        <w:rPr>
          <w:snapToGrid w:val="0"/>
          <w:kern w:val="22"/>
          <w:szCs w:val="22"/>
          <w:lang w:val="fr-CA" w:bidi="fr-FR"/>
        </w:rPr>
        <w:t xml:space="preserve">évaluation des risques, </w:t>
      </w:r>
      <w:r>
        <w:rPr>
          <w:snapToGrid w:val="0"/>
          <w:kern w:val="22"/>
          <w:szCs w:val="22"/>
          <w:lang w:val="fr-CA" w:bidi="fr-FR"/>
        </w:rPr>
        <w:t xml:space="preserve">comme par exemple lorsque le problème en question a été examiné en utilisant les </w:t>
      </w:r>
      <w:r w:rsidRPr="00860D94">
        <w:rPr>
          <w:snapToGrid w:val="0"/>
          <w:kern w:val="22"/>
          <w:szCs w:val="22"/>
          <w:lang w:val="fr-CA" w:bidi="fr-FR"/>
        </w:rPr>
        <w:t>cadres d</w:t>
      </w:r>
      <w:r>
        <w:rPr>
          <w:snapToGrid w:val="0"/>
          <w:kern w:val="22"/>
          <w:szCs w:val="22"/>
          <w:lang w:val="fr-CA" w:bidi="fr-FR"/>
        </w:rPr>
        <w:t>’</w:t>
      </w:r>
      <w:r w:rsidRPr="00860D94">
        <w:rPr>
          <w:snapToGrid w:val="0"/>
          <w:kern w:val="22"/>
          <w:szCs w:val="22"/>
          <w:lang w:val="fr-CA" w:bidi="fr-FR"/>
        </w:rPr>
        <w:t xml:space="preserve">évaluation des risques </w:t>
      </w:r>
      <w:r>
        <w:rPr>
          <w:snapToGrid w:val="0"/>
          <w:kern w:val="22"/>
          <w:szCs w:val="22"/>
          <w:lang w:val="fr-CA" w:bidi="fr-FR"/>
        </w:rPr>
        <w:t>en place, mais présente des difficulté</w:t>
      </w:r>
      <w:r w:rsidRPr="00860D94">
        <w:rPr>
          <w:snapToGrid w:val="0"/>
          <w:kern w:val="22"/>
          <w:szCs w:val="22"/>
          <w:lang w:val="fr-CA" w:bidi="fr-FR"/>
        </w:rPr>
        <w:t>s technique</w:t>
      </w:r>
      <w:r>
        <w:rPr>
          <w:snapToGrid w:val="0"/>
          <w:kern w:val="22"/>
          <w:szCs w:val="22"/>
          <w:lang w:val="fr-CA" w:bidi="fr-FR"/>
        </w:rPr>
        <w:t>s ou méthodologiques spécifique</w:t>
      </w:r>
      <w:r w:rsidRPr="00860D94">
        <w:rPr>
          <w:snapToGrid w:val="0"/>
          <w:kern w:val="22"/>
          <w:szCs w:val="22"/>
          <w:lang w:val="fr-CA" w:bidi="fr-FR"/>
        </w:rPr>
        <w:t>s</w:t>
      </w:r>
      <w:r>
        <w:rPr>
          <w:snapToGrid w:val="0"/>
          <w:kern w:val="22"/>
          <w:szCs w:val="22"/>
          <w:lang w:val="fr-CA" w:bidi="fr-FR"/>
        </w:rPr>
        <w:t xml:space="preserve"> qui doivent être examinées plus avant; </w:t>
      </w:r>
    </w:p>
    <w:p w14:paraId="1455E97D" w14:textId="77777777" w:rsidR="007C4381" w:rsidRPr="00860D94" w:rsidRDefault="007C4381" w:rsidP="007C4381">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 xml:space="preserve">d) </w:t>
      </w:r>
      <w:r w:rsidRPr="00860D94">
        <w:rPr>
          <w:snapToGrid w:val="0"/>
          <w:kern w:val="22"/>
          <w:szCs w:val="22"/>
          <w:lang w:val="fr-CA" w:bidi="fr-FR"/>
        </w:rPr>
        <w:tab/>
        <w:t>L</w:t>
      </w:r>
      <w:r>
        <w:rPr>
          <w:snapToGrid w:val="0"/>
          <w:kern w:val="22"/>
          <w:szCs w:val="22"/>
          <w:lang w:val="fr-CA" w:bidi="fr-FR"/>
        </w:rPr>
        <w:t>es difficulté</w:t>
      </w:r>
      <w:r w:rsidRPr="00860D94">
        <w:rPr>
          <w:snapToGrid w:val="0"/>
          <w:kern w:val="22"/>
          <w:szCs w:val="22"/>
          <w:lang w:val="fr-CA" w:bidi="fr-FR"/>
        </w:rPr>
        <w:t>s</w:t>
      </w:r>
      <w:r>
        <w:rPr>
          <w:snapToGrid w:val="0"/>
          <w:kern w:val="22"/>
          <w:szCs w:val="22"/>
          <w:lang w:val="fr-CA" w:bidi="fr-FR"/>
        </w:rPr>
        <w:t xml:space="preserve"> présentées par la gestion du problème </w:t>
      </w:r>
      <w:r w:rsidRPr="00860D94">
        <w:rPr>
          <w:snapToGrid w:val="0"/>
          <w:kern w:val="22"/>
          <w:szCs w:val="22"/>
          <w:lang w:val="fr-CA" w:bidi="fr-FR"/>
        </w:rPr>
        <w:t>spécifique sont clairement décrit</w:t>
      </w:r>
      <w:r>
        <w:rPr>
          <w:snapToGrid w:val="0"/>
          <w:kern w:val="22"/>
          <w:szCs w:val="22"/>
          <w:lang w:val="fr-CA" w:bidi="fr-FR"/>
        </w:rPr>
        <w:t>e</w:t>
      </w:r>
      <w:r w:rsidRPr="00860D94">
        <w:rPr>
          <w:snapToGrid w:val="0"/>
          <w:kern w:val="22"/>
          <w:szCs w:val="22"/>
          <w:lang w:val="fr-CA" w:bidi="fr-FR"/>
        </w:rPr>
        <w:t>s</w:t>
      </w:r>
      <w:r>
        <w:rPr>
          <w:snapToGrid w:val="0"/>
          <w:kern w:val="22"/>
          <w:szCs w:val="22"/>
          <w:lang w:val="fr-CA" w:bidi="fr-FR"/>
        </w:rPr>
        <w:t>;</w:t>
      </w:r>
    </w:p>
    <w:p w14:paraId="3EEB18FB" w14:textId="77777777" w:rsidR="007C4381" w:rsidRPr="00860D94" w:rsidRDefault="007C4381" w:rsidP="007C4381">
      <w:pPr>
        <w:suppressLineNumbers/>
        <w:suppressAutoHyphens/>
        <w:kinsoku w:val="0"/>
        <w:overflowPunct w:val="0"/>
        <w:autoSpaceDE w:val="0"/>
        <w:autoSpaceDN w:val="0"/>
        <w:spacing w:before="120" w:after="120"/>
        <w:rPr>
          <w:snapToGrid w:val="0"/>
          <w:kern w:val="22"/>
          <w:szCs w:val="22"/>
          <w:lang w:val="fr-CA"/>
        </w:rPr>
      </w:pPr>
      <w:r>
        <w:rPr>
          <w:snapToGrid w:val="0"/>
          <w:kern w:val="22"/>
          <w:szCs w:val="22"/>
          <w:lang w:val="fr-CA" w:bidi="fr-FR"/>
        </w:rPr>
        <w:lastRenderedPageBreak/>
        <w:t>et en prenant en compte</w:t>
      </w:r>
      <w:r w:rsidRPr="00860D94">
        <w:rPr>
          <w:snapToGrid w:val="0"/>
          <w:kern w:val="22"/>
          <w:szCs w:val="22"/>
          <w:lang w:val="fr-CA" w:bidi="fr-FR"/>
        </w:rPr>
        <w:t>, entre autres :</w:t>
      </w:r>
    </w:p>
    <w:p w14:paraId="5C2A3457" w14:textId="77777777" w:rsidR="007C4381" w:rsidRPr="00860D94" w:rsidRDefault="007C4381" w:rsidP="007C4381">
      <w:pPr>
        <w:suppressLineNumbers/>
        <w:suppressAutoHyphens/>
        <w:kinsoku w:val="0"/>
        <w:overflowPunct w:val="0"/>
        <w:autoSpaceDE w:val="0"/>
        <w:autoSpaceDN w:val="0"/>
        <w:spacing w:before="120" w:after="120"/>
        <w:ind w:left="709"/>
        <w:rPr>
          <w:snapToGrid w:val="0"/>
          <w:kern w:val="22"/>
          <w:szCs w:val="22"/>
          <w:lang w:val="fr-CA"/>
        </w:rPr>
      </w:pPr>
      <w:r>
        <w:rPr>
          <w:snapToGrid w:val="0"/>
          <w:kern w:val="22"/>
          <w:szCs w:val="22"/>
          <w:lang w:val="fr-CA" w:bidi="fr-FR"/>
        </w:rPr>
        <w:t xml:space="preserve"> e) </w:t>
      </w:r>
      <w:r>
        <w:rPr>
          <w:snapToGrid w:val="0"/>
          <w:kern w:val="22"/>
          <w:szCs w:val="22"/>
          <w:lang w:val="fr-CA" w:bidi="fr-FR"/>
        </w:rPr>
        <w:tab/>
        <w:t>Les problèmes spécifiques concernant d</w:t>
      </w:r>
      <w:r w:rsidRPr="00860D94">
        <w:rPr>
          <w:snapToGrid w:val="0"/>
          <w:kern w:val="22"/>
          <w:szCs w:val="22"/>
          <w:lang w:val="fr-CA" w:bidi="fr-FR"/>
        </w:rPr>
        <w:t>es organismes vivants modifiés qui :</w:t>
      </w:r>
    </w:p>
    <w:p w14:paraId="5A26E1AB" w14:textId="77777777" w:rsidR="007C4381" w:rsidRPr="00860D94" w:rsidRDefault="007C4381" w:rsidP="007C4381">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w:t>
      </w:r>
      <w:r w:rsidRPr="00860D94">
        <w:rPr>
          <w:snapToGrid w:val="0"/>
          <w:kern w:val="22"/>
          <w:szCs w:val="22"/>
          <w:lang w:val="fr-CA" w:bidi="fr-FR"/>
        </w:rPr>
        <w:tab/>
        <w:t>Sont susceptibles de causer des effets défavo</w:t>
      </w:r>
      <w:r>
        <w:rPr>
          <w:snapToGrid w:val="0"/>
          <w:kern w:val="22"/>
          <w:szCs w:val="22"/>
          <w:lang w:val="fr-CA" w:bidi="fr-FR"/>
        </w:rPr>
        <w:t>rables</w:t>
      </w:r>
      <w:r w:rsidRPr="00860D94">
        <w:rPr>
          <w:snapToGrid w:val="0"/>
          <w:kern w:val="22"/>
          <w:szCs w:val="22"/>
          <w:lang w:val="fr-CA" w:bidi="fr-FR"/>
        </w:rPr>
        <w:t xml:space="preserve"> sur la diversité biologique, </w:t>
      </w:r>
      <w:r>
        <w:rPr>
          <w:snapToGrid w:val="0"/>
          <w:kern w:val="22"/>
          <w:szCs w:val="22"/>
          <w:lang w:val="fr-CA" w:bidi="fr-FR"/>
        </w:rPr>
        <w:t xml:space="preserve">en particulier des effets qui sont graves ou irréversibles, </w:t>
      </w:r>
      <w:r w:rsidRPr="00860D94">
        <w:rPr>
          <w:snapToGrid w:val="0"/>
          <w:kern w:val="22"/>
          <w:szCs w:val="22"/>
          <w:lang w:val="fr-CA" w:bidi="fr-FR"/>
        </w:rPr>
        <w:t xml:space="preserve">compte </w:t>
      </w:r>
      <w:r>
        <w:rPr>
          <w:snapToGrid w:val="0"/>
          <w:kern w:val="22"/>
          <w:szCs w:val="22"/>
          <w:lang w:val="fr-CA" w:bidi="fr-FR"/>
        </w:rPr>
        <w:t xml:space="preserve">tenu </w:t>
      </w:r>
      <w:r w:rsidRPr="00860D94">
        <w:rPr>
          <w:snapToGrid w:val="0"/>
          <w:kern w:val="22"/>
          <w:szCs w:val="22"/>
          <w:lang w:val="fr-CA" w:bidi="fr-FR"/>
        </w:rPr>
        <w:t xml:space="preserve">de la nécessité urgente de protéger certains aspects </w:t>
      </w:r>
      <w:r>
        <w:rPr>
          <w:snapToGrid w:val="0"/>
          <w:kern w:val="22"/>
          <w:szCs w:val="22"/>
          <w:lang w:val="fr-CA" w:bidi="fr-FR"/>
        </w:rPr>
        <w:t xml:space="preserve">spécifiques </w:t>
      </w:r>
      <w:r w:rsidRPr="00860D94">
        <w:rPr>
          <w:snapToGrid w:val="0"/>
          <w:kern w:val="22"/>
          <w:szCs w:val="22"/>
          <w:lang w:val="fr-CA" w:bidi="fr-FR"/>
        </w:rPr>
        <w:t>de la biodiversité</w:t>
      </w:r>
      <w:r>
        <w:rPr>
          <w:snapToGrid w:val="0"/>
          <w:kern w:val="22"/>
          <w:szCs w:val="22"/>
          <w:lang w:val="fr-CA" w:bidi="fr-FR"/>
        </w:rPr>
        <w:t>, tels qu’</w:t>
      </w:r>
      <w:r w:rsidRPr="00860D94">
        <w:rPr>
          <w:snapToGrid w:val="0"/>
          <w:kern w:val="22"/>
          <w:szCs w:val="22"/>
          <w:lang w:val="fr-CA" w:bidi="fr-FR"/>
        </w:rPr>
        <w:t>une espèce endé</w:t>
      </w:r>
      <w:r>
        <w:rPr>
          <w:snapToGrid w:val="0"/>
          <w:kern w:val="22"/>
          <w:szCs w:val="22"/>
          <w:lang w:val="fr-CA" w:bidi="fr-FR"/>
        </w:rPr>
        <w:t xml:space="preserve">mique/rare, ou un habitat ou </w:t>
      </w:r>
      <w:r w:rsidRPr="00860D94">
        <w:rPr>
          <w:snapToGrid w:val="0"/>
          <w:kern w:val="22"/>
          <w:szCs w:val="22"/>
          <w:lang w:val="fr-CA" w:bidi="fr-FR"/>
        </w:rPr>
        <w:t xml:space="preserve">écosystème unique, </w:t>
      </w:r>
      <w:r>
        <w:rPr>
          <w:snapToGrid w:val="0"/>
          <w:kern w:val="22"/>
          <w:szCs w:val="22"/>
          <w:lang w:val="fr-CA" w:bidi="fr-FR"/>
        </w:rPr>
        <w:t xml:space="preserve">en tenant compte </w:t>
      </w:r>
      <w:r w:rsidRPr="00860D94">
        <w:rPr>
          <w:snapToGrid w:val="0"/>
          <w:kern w:val="22"/>
          <w:szCs w:val="22"/>
          <w:lang w:val="fr-CA" w:bidi="fr-FR"/>
        </w:rPr>
        <w:t>des</w:t>
      </w:r>
      <w:r>
        <w:rPr>
          <w:snapToGrid w:val="0"/>
          <w:kern w:val="22"/>
          <w:szCs w:val="22"/>
          <w:lang w:val="fr-CA" w:bidi="fr-FR"/>
        </w:rPr>
        <w:t xml:space="preserve"> risques pour la santé humaine et de la valeur de</w:t>
      </w:r>
      <w:r w:rsidRPr="00860D94">
        <w:rPr>
          <w:snapToGrid w:val="0"/>
          <w:kern w:val="22"/>
          <w:szCs w:val="22"/>
          <w:lang w:val="fr-CA" w:bidi="fr-FR"/>
        </w:rPr>
        <w:t xml:space="preserve"> la diversité biologique pour les peuples autochtones et les communautés locales</w:t>
      </w:r>
      <w:r>
        <w:rPr>
          <w:snapToGrid w:val="0"/>
          <w:kern w:val="22"/>
          <w:szCs w:val="22"/>
          <w:lang w:val="fr-CA" w:bidi="fr-FR"/>
        </w:rPr>
        <w:t>;</w:t>
      </w:r>
    </w:p>
    <w:p w14:paraId="20AC44D3" w14:textId="77777777" w:rsidR="007C4381" w:rsidRPr="00860D94" w:rsidRDefault="007C4381" w:rsidP="007C4381">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 xml:space="preserve">ii) </w:t>
      </w:r>
      <w:r w:rsidRPr="00860D94">
        <w:rPr>
          <w:snapToGrid w:val="0"/>
          <w:kern w:val="22"/>
          <w:szCs w:val="22"/>
          <w:lang w:val="fr-CA" w:bidi="fr-FR"/>
        </w:rPr>
        <w:tab/>
        <w:t>P</w:t>
      </w:r>
      <w:r>
        <w:rPr>
          <w:snapToGrid w:val="0"/>
          <w:kern w:val="22"/>
          <w:szCs w:val="22"/>
          <w:lang w:val="fr-CA" w:bidi="fr-FR"/>
        </w:rPr>
        <w:t>euvent être introduits</w:t>
      </w:r>
      <w:r w:rsidRPr="00860D94">
        <w:rPr>
          <w:snapToGrid w:val="0"/>
          <w:kern w:val="22"/>
          <w:szCs w:val="22"/>
          <w:lang w:val="fr-CA" w:bidi="fr-FR"/>
        </w:rPr>
        <w:t xml:space="preserve"> dans l</w:t>
      </w:r>
      <w:r>
        <w:rPr>
          <w:snapToGrid w:val="0"/>
          <w:kern w:val="22"/>
          <w:szCs w:val="22"/>
          <w:lang w:val="fr-CA" w:bidi="fr-FR"/>
        </w:rPr>
        <w:t xml:space="preserve">’environnement intentionnellement ou </w:t>
      </w:r>
      <w:r w:rsidRPr="00860D94">
        <w:rPr>
          <w:snapToGrid w:val="0"/>
          <w:kern w:val="22"/>
          <w:szCs w:val="22"/>
          <w:lang w:val="fr-CA" w:bidi="fr-FR"/>
        </w:rPr>
        <w:t>accidentellement</w:t>
      </w:r>
      <w:r>
        <w:rPr>
          <w:snapToGrid w:val="0"/>
          <w:kern w:val="22"/>
          <w:szCs w:val="22"/>
          <w:lang w:val="fr-CA" w:bidi="fr-FR"/>
        </w:rPr>
        <w:t>;</w:t>
      </w:r>
    </w:p>
    <w:p w14:paraId="0BD9151E" w14:textId="77777777" w:rsidR="007C4381" w:rsidRPr="00860D94" w:rsidRDefault="007C4381" w:rsidP="007C4381">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iii)</w:t>
      </w:r>
      <w:r w:rsidRPr="00860D94">
        <w:rPr>
          <w:snapToGrid w:val="0"/>
          <w:kern w:val="22"/>
          <w:szCs w:val="22"/>
          <w:lang w:val="fr-CA" w:bidi="fr-FR"/>
        </w:rPr>
        <w:tab/>
        <w:t xml:space="preserve">Sont susceptibles de se </w:t>
      </w:r>
      <w:r>
        <w:rPr>
          <w:noProof/>
          <w:snapToGrid w:val="0"/>
          <w:kern w:val="22"/>
          <w:szCs w:val="22"/>
          <w:lang w:val="fr-CA" w:bidi="fr-FR"/>
        </w:rPr>
        <w:t>propager</w:t>
      </w:r>
      <w:r w:rsidRPr="00860D94">
        <w:rPr>
          <w:noProof/>
          <w:snapToGrid w:val="0"/>
          <w:kern w:val="22"/>
          <w:szCs w:val="22"/>
          <w:lang w:val="fr-CA" w:bidi="fr-FR"/>
        </w:rPr>
        <w:t xml:space="preserve"> au</w:t>
      </w:r>
      <w:r>
        <w:rPr>
          <w:noProof/>
          <w:snapToGrid w:val="0"/>
          <w:kern w:val="22"/>
          <w:szCs w:val="22"/>
          <w:lang w:val="fr-CA" w:bidi="fr-FR"/>
        </w:rPr>
        <w:noBreakHyphen/>
      </w:r>
      <w:r w:rsidRPr="00860D94">
        <w:rPr>
          <w:noProof/>
          <w:snapToGrid w:val="0"/>
          <w:kern w:val="22"/>
          <w:szCs w:val="22"/>
          <w:lang w:val="fr-CA" w:bidi="fr-FR"/>
        </w:rPr>
        <w:t>delà des</w:t>
      </w:r>
      <w:r w:rsidRPr="00860D94">
        <w:rPr>
          <w:snapToGrid w:val="0"/>
          <w:kern w:val="22"/>
          <w:szCs w:val="22"/>
          <w:lang w:val="fr-CA" w:bidi="fr-FR"/>
        </w:rPr>
        <w:t xml:space="preserve"> frontières nationales</w:t>
      </w:r>
      <w:r>
        <w:rPr>
          <w:snapToGrid w:val="0"/>
          <w:kern w:val="22"/>
          <w:szCs w:val="22"/>
          <w:lang w:val="fr-CA" w:bidi="fr-FR"/>
        </w:rPr>
        <w:t>;</w:t>
      </w:r>
      <w:r w:rsidRPr="00860D94">
        <w:rPr>
          <w:snapToGrid w:val="0"/>
          <w:kern w:val="22"/>
          <w:szCs w:val="22"/>
          <w:lang w:val="fr-CA" w:bidi="fr-FR"/>
        </w:rPr>
        <w:t xml:space="preserve"> </w:t>
      </w:r>
    </w:p>
    <w:p w14:paraId="220BD7CC" w14:textId="77777777" w:rsidR="007C4381" w:rsidRPr="00860D94" w:rsidRDefault="007C4381" w:rsidP="007C4381">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iv)</w:t>
      </w:r>
      <w:r w:rsidRPr="00860D94">
        <w:rPr>
          <w:snapToGrid w:val="0"/>
          <w:kern w:val="22"/>
          <w:szCs w:val="22"/>
          <w:lang w:val="fr-CA" w:bidi="fr-FR"/>
        </w:rPr>
        <w:tab/>
        <w:t>Sont déjà commercialisés ou utilisés quelque part dans le monde, ou sont susceptibles de l</w:t>
      </w:r>
      <w:r>
        <w:rPr>
          <w:snapToGrid w:val="0"/>
          <w:kern w:val="22"/>
          <w:szCs w:val="22"/>
          <w:lang w:val="fr-CA" w:bidi="fr-FR"/>
        </w:rPr>
        <w:t>’</w:t>
      </w:r>
      <w:r w:rsidRPr="00860D94">
        <w:rPr>
          <w:snapToGrid w:val="0"/>
          <w:kern w:val="22"/>
          <w:szCs w:val="22"/>
          <w:lang w:val="fr-CA" w:bidi="fr-FR"/>
        </w:rPr>
        <w:t>être</w:t>
      </w:r>
      <w:r>
        <w:rPr>
          <w:snapToGrid w:val="0"/>
          <w:kern w:val="22"/>
          <w:szCs w:val="22"/>
          <w:lang w:val="fr-CA" w:bidi="fr-FR"/>
        </w:rPr>
        <w:t>;</w:t>
      </w:r>
    </w:p>
    <w:p w14:paraId="3B6273EB" w14:textId="77777777" w:rsidR="007C4381" w:rsidRPr="00860D94" w:rsidRDefault="007C4381" w:rsidP="007C4381">
      <w:pPr>
        <w:suppressLineNumbers/>
        <w:suppressAutoHyphens/>
        <w:kinsoku w:val="0"/>
        <w:overflowPunct w:val="0"/>
        <w:autoSpaceDE w:val="0"/>
        <w:autoSpaceDN w:val="0"/>
        <w:spacing w:before="120" w:after="600"/>
        <w:rPr>
          <w:snapToGrid w:val="0"/>
          <w:kern w:val="22"/>
          <w:szCs w:val="22"/>
          <w:lang w:val="fr-CA"/>
        </w:rPr>
      </w:pPr>
      <w:r>
        <w:rPr>
          <w:snapToGrid w:val="0"/>
          <w:kern w:val="22"/>
          <w:szCs w:val="22"/>
          <w:lang w:val="fr-CA" w:bidi="fr-FR"/>
        </w:rPr>
        <w:t xml:space="preserve">et </w:t>
      </w:r>
      <w:r w:rsidRPr="00860D94">
        <w:rPr>
          <w:snapToGrid w:val="0"/>
          <w:kern w:val="22"/>
          <w:szCs w:val="22"/>
          <w:lang w:val="fr-CA" w:bidi="fr-FR"/>
        </w:rPr>
        <w:t>envisager</w:t>
      </w:r>
      <w:r>
        <w:rPr>
          <w:snapToGrid w:val="0"/>
          <w:kern w:val="22"/>
          <w:szCs w:val="22"/>
          <w:lang w:val="fr-CA" w:bidi="fr-FR"/>
        </w:rPr>
        <w:t xml:space="preserve"> un exercice d’inventaire pour déterminer si des ressources ont été élaborées pour des problèmes semblables </w:t>
      </w:r>
      <w:r w:rsidRPr="00860D94">
        <w:rPr>
          <w:snapToGrid w:val="0"/>
          <w:kern w:val="22"/>
          <w:szCs w:val="22"/>
          <w:lang w:val="fr-CA" w:bidi="fr-FR"/>
        </w:rPr>
        <w:t>par des or</w:t>
      </w:r>
      <w:r>
        <w:rPr>
          <w:snapToGrid w:val="0"/>
          <w:kern w:val="22"/>
          <w:szCs w:val="22"/>
          <w:lang w:val="fr-CA" w:bidi="fr-FR"/>
        </w:rPr>
        <w:t>ganismes nationaux, régionaux ou internationaux et, le cas échéant</w:t>
      </w:r>
      <w:r w:rsidRPr="00860D94">
        <w:rPr>
          <w:snapToGrid w:val="0"/>
          <w:kern w:val="22"/>
          <w:szCs w:val="22"/>
          <w:lang w:val="fr-CA" w:bidi="fr-FR"/>
        </w:rPr>
        <w:t xml:space="preserve">, </w:t>
      </w:r>
      <w:r>
        <w:rPr>
          <w:noProof/>
          <w:snapToGrid w:val="0"/>
          <w:kern w:val="22"/>
          <w:szCs w:val="22"/>
          <w:lang w:val="fr-CA" w:bidi="fr-FR"/>
        </w:rPr>
        <w:t>si ces ressources</w:t>
      </w:r>
      <w:r w:rsidRPr="00860D94">
        <w:rPr>
          <w:noProof/>
          <w:snapToGrid w:val="0"/>
          <w:kern w:val="22"/>
          <w:szCs w:val="22"/>
          <w:lang w:val="fr-CA" w:bidi="fr-FR"/>
        </w:rPr>
        <w:t xml:space="preserve"> peuve</w:t>
      </w:r>
      <w:r w:rsidRPr="00860D94">
        <w:rPr>
          <w:snapToGrid w:val="0"/>
          <w:kern w:val="22"/>
          <w:szCs w:val="22"/>
          <w:lang w:val="fr-CA" w:bidi="fr-FR"/>
        </w:rPr>
        <w:t>n</w:t>
      </w:r>
      <w:r>
        <w:rPr>
          <w:snapToGrid w:val="0"/>
          <w:kern w:val="22"/>
          <w:szCs w:val="22"/>
          <w:lang w:val="fr-CA" w:bidi="fr-FR"/>
        </w:rPr>
        <w:t xml:space="preserve">t être révisées ou adaptées à </w:t>
      </w:r>
      <w:r w:rsidRPr="00860D94">
        <w:rPr>
          <w:snapToGrid w:val="0"/>
          <w:kern w:val="22"/>
          <w:szCs w:val="22"/>
          <w:lang w:val="fr-CA" w:bidi="fr-FR"/>
        </w:rPr>
        <w:t>l</w:t>
      </w:r>
      <w:r>
        <w:rPr>
          <w:snapToGrid w:val="0"/>
          <w:kern w:val="22"/>
          <w:szCs w:val="22"/>
          <w:lang w:val="fr-CA" w:bidi="fr-FR"/>
        </w:rPr>
        <w:t>’</w:t>
      </w:r>
      <w:r w:rsidRPr="00860D94">
        <w:rPr>
          <w:snapToGrid w:val="0"/>
          <w:kern w:val="22"/>
          <w:szCs w:val="22"/>
          <w:lang w:val="fr-CA" w:bidi="fr-FR"/>
        </w:rPr>
        <w:t>objectif du Protocole de Cartagena</w:t>
      </w:r>
      <w:r>
        <w:rPr>
          <w:snapToGrid w:val="0"/>
          <w:kern w:val="22"/>
          <w:szCs w:val="22"/>
          <w:lang w:val="fr-CA" w:bidi="fr-FR"/>
        </w:rPr>
        <w:t>, selon qu’il convient</w:t>
      </w:r>
      <w:r w:rsidRPr="00860D94">
        <w:rPr>
          <w:snapToGrid w:val="0"/>
          <w:kern w:val="22"/>
          <w:szCs w:val="22"/>
          <w:lang w:val="fr-CA" w:bidi="fr-FR"/>
        </w:rPr>
        <w:t>.</w:t>
      </w:r>
    </w:p>
    <w:p w14:paraId="4B05CACC" w14:textId="77777777" w:rsidR="007C4381" w:rsidRPr="00860D94" w:rsidRDefault="007C4381" w:rsidP="007C4381">
      <w:pPr>
        <w:keepNext/>
        <w:suppressLineNumbers/>
        <w:suppressAutoHyphens/>
        <w:kinsoku w:val="0"/>
        <w:overflowPunct w:val="0"/>
        <w:autoSpaceDE w:val="0"/>
        <w:autoSpaceDN w:val="0"/>
        <w:spacing w:before="120" w:after="120"/>
        <w:jc w:val="center"/>
        <w:rPr>
          <w:i/>
          <w:snapToGrid w:val="0"/>
          <w:kern w:val="22"/>
          <w:szCs w:val="22"/>
          <w:lang w:val="fr-CA"/>
        </w:rPr>
      </w:pPr>
      <w:r>
        <w:rPr>
          <w:i/>
          <w:snapToGrid w:val="0"/>
          <w:kern w:val="22"/>
          <w:szCs w:val="22"/>
          <w:lang w:val="fr-CA" w:bidi="fr-FR"/>
        </w:rPr>
        <w:t>Annexe </w:t>
      </w:r>
      <w:r w:rsidRPr="00860D94">
        <w:rPr>
          <w:i/>
          <w:snapToGrid w:val="0"/>
          <w:kern w:val="22"/>
          <w:szCs w:val="22"/>
          <w:lang w:val="fr-CA" w:bidi="fr-FR"/>
        </w:rPr>
        <w:t>II</w:t>
      </w:r>
    </w:p>
    <w:p w14:paraId="3841D870" w14:textId="77777777" w:rsidR="007C4381" w:rsidRPr="00860D94" w:rsidRDefault="007C4381" w:rsidP="007C4381">
      <w:pPr>
        <w:suppressLineNumbers/>
        <w:suppressAutoHyphens/>
        <w:kinsoku w:val="0"/>
        <w:overflowPunct w:val="0"/>
        <w:autoSpaceDE w:val="0"/>
        <w:autoSpaceDN w:val="0"/>
        <w:spacing w:before="120" w:after="360"/>
        <w:jc w:val="center"/>
        <w:rPr>
          <w:b/>
          <w:kern w:val="22"/>
          <w:szCs w:val="22"/>
          <w:lang w:val="fr-CA"/>
        </w:rPr>
      </w:pPr>
      <w:r>
        <w:rPr>
          <w:b/>
          <w:color w:val="000000"/>
          <w:lang w:val="fr-CA" w:bidi="fr-FR"/>
        </w:rPr>
        <w:t>Mandat du G</w:t>
      </w:r>
      <w:r w:rsidRPr="00860D94">
        <w:rPr>
          <w:b/>
          <w:color w:val="000000"/>
          <w:lang w:val="fr-CA" w:bidi="fr-FR"/>
        </w:rPr>
        <w:t>roupe spécial d</w:t>
      </w:r>
      <w:r>
        <w:rPr>
          <w:b/>
          <w:color w:val="000000"/>
          <w:lang w:val="fr-CA" w:bidi="fr-FR"/>
        </w:rPr>
        <w:t>’</w:t>
      </w:r>
      <w:r w:rsidRPr="00860D94">
        <w:rPr>
          <w:b/>
          <w:color w:val="000000"/>
          <w:lang w:val="fr-CA" w:bidi="fr-FR"/>
        </w:rPr>
        <w:t>experts techniques sur l</w:t>
      </w:r>
      <w:r>
        <w:rPr>
          <w:b/>
          <w:color w:val="000000"/>
          <w:lang w:val="fr-CA" w:bidi="fr-FR"/>
        </w:rPr>
        <w:t>’</w:t>
      </w:r>
      <w:r w:rsidRPr="00860D94">
        <w:rPr>
          <w:b/>
          <w:color w:val="000000"/>
          <w:lang w:val="fr-CA" w:bidi="fr-FR"/>
        </w:rPr>
        <w:t>évaluation des risques</w:t>
      </w:r>
    </w:p>
    <w:p w14:paraId="511922D8" w14:textId="77777777" w:rsidR="007C4381" w:rsidRPr="00860D94" w:rsidRDefault="007C4381" w:rsidP="007C4381">
      <w:pPr>
        <w:suppressLineNumbers/>
        <w:suppressAutoHyphens/>
        <w:kinsoku w:val="0"/>
        <w:overflowPunct w:val="0"/>
        <w:autoSpaceDE w:val="0"/>
        <w:autoSpaceDN w:val="0"/>
        <w:spacing w:before="120" w:after="120"/>
        <w:rPr>
          <w:kern w:val="22"/>
          <w:szCs w:val="22"/>
          <w:lang w:val="fr-CA"/>
        </w:rPr>
      </w:pPr>
      <w:r w:rsidRPr="00860D94">
        <w:rPr>
          <w:kern w:val="22"/>
          <w:szCs w:val="22"/>
          <w:lang w:val="fr-CA" w:bidi="fr-FR"/>
        </w:rPr>
        <w:t>Le Groupe spécial d</w:t>
      </w:r>
      <w:r>
        <w:rPr>
          <w:kern w:val="22"/>
          <w:szCs w:val="22"/>
          <w:lang w:val="fr-CA" w:bidi="fr-FR"/>
        </w:rPr>
        <w:t>’</w:t>
      </w:r>
      <w:r w:rsidRPr="00860D94">
        <w:rPr>
          <w:kern w:val="22"/>
          <w:szCs w:val="22"/>
          <w:lang w:val="fr-CA" w:bidi="fr-FR"/>
        </w:rPr>
        <w:t>experts techniques sur l</w:t>
      </w:r>
      <w:r>
        <w:rPr>
          <w:kern w:val="22"/>
          <w:szCs w:val="22"/>
          <w:lang w:val="fr-CA" w:bidi="fr-FR"/>
        </w:rPr>
        <w:t>’</w:t>
      </w:r>
      <w:r w:rsidRPr="00860D94">
        <w:rPr>
          <w:kern w:val="22"/>
          <w:szCs w:val="22"/>
          <w:lang w:val="fr-CA" w:bidi="fr-FR"/>
        </w:rPr>
        <w:t>évaluat</w:t>
      </w:r>
      <w:r>
        <w:rPr>
          <w:kern w:val="22"/>
          <w:szCs w:val="22"/>
          <w:lang w:val="fr-CA" w:bidi="fr-FR"/>
        </w:rPr>
        <w:t xml:space="preserve">ion des risques, </w:t>
      </w:r>
      <w:r w:rsidRPr="00860D94">
        <w:rPr>
          <w:kern w:val="22"/>
          <w:szCs w:val="22"/>
          <w:lang w:val="fr-CA" w:bidi="fr-FR"/>
        </w:rPr>
        <w:t xml:space="preserve">compte </w:t>
      </w:r>
      <w:r>
        <w:rPr>
          <w:kern w:val="22"/>
          <w:szCs w:val="22"/>
          <w:lang w:val="fr-CA" w:bidi="fr-FR"/>
        </w:rPr>
        <w:t xml:space="preserve">tenu </w:t>
      </w:r>
      <w:r w:rsidRPr="00860D94">
        <w:rPr>
          <w:kern w:val="22"/>
          <w:szCs w:val="22"/>
          <w:lang w:val="fr-CA" w:bidi="fr-FR"/>
        </w:rPr>
        <w:t>des travaux réalisés par le Groupe spécial d</w:t>
      </w:r>
      <w:r>
        <w:rPr>
          <w:kern w:val="22"/>
          <w:szCs w:val="22"/>
          <w:lang w:val="fr-CA" w:bidi="fr-FR"/>
        </w:rPr>
        <w:t>’</w:t>
      </w:r>
      <w:r w:rsidRPr="00860D94">
        <w:rPr>
          <w:kern w:val="22"/>
          <w:szCs w:val="22"/>
          <w:lang w:val="fr-CA" w:bidi="fr-FR"/>
        </w:rPr>
        <w:t xml:space="preserve">experts techniques sur la </w:t>
      </w:r>
      <w:r>
        <w:rPr>
          <w:kern w:val="22"/>
          <w:szCs w:val="22"/>
          <w:lang w:val="fr-CA" w:bidi="fr-FR"/>
        </w:rPr>
        <w:t>biologie de synthèse, est chargé de</w:t>
      </w:r>
      <w:r w:rsidRPr="00860D94">
        <w:rPr>
          <w:kern w:val="22"/>
          <w:szCs w:val="22"/>
          <w:lang w:val="fr-CA" w:bidi="fr-FR"/>
        </w:rPr>
        <w:t> :</w:t>
      </w:r>
    </w:p>
    <w:p w14:paraId="4C5A905C" w14:textId="77777777" w:rsidR="007C4381" w:rsidRDefault="007C4381" w:rsidP="007C4381">
      <w:pPr>
        <w:pStyle w:val="Para1"/>
        <w:numPr>
          <w:ilvl w:val="0"/>
          <w:numId w:val="0"/>
        </w:numPr>
        <w:suppressLineNumbers/>
        <w:tabs>
          <w:tab w:val="left" w:pos="0"/>
        </w:tabs>
        <w:suppressAutoHyphens/>
        <w:kinsoku w:val="0"/>
        <w:overflowPunct w:val="0"/>
        <w:autoSpaceDE w:val="0"/>
        <w:autoSpaceDN w:val="0"/>
        <w:snapToGrid w:val="0"/>
        <w:ind w:firstLine="709"/>
        <w:rPr>
          <w:lang w:val="fr-CA"/>
        </w:rPr>
      </w:pPr>
      <w:r>
        <w:rPr>
          <w:lang w:val="fr-CA" w:bidi="fr-FR"/>
        </w:rPr>
        <w:t>a)</w:t>
      </w:r>
      <w:r>
        <w:rPr>
          <w:lang w:val="fr-CA" w:bidi="fr-FR"/>
        </w:rPr>
        <w:tab/>
        <w:t>E</w:t>
      </w:r>
      <w:r w:rsidRPr="00860D94">
        <w:rPr>
          <w:lang w:val="fr-CA" w:bidi="fr-FR"/>
        </w:rPr>
        <w:t>xaminer l</w:t>
      </w:r>
      <w:r>
        <w:rPr>
          <w:lang w:val="fr-CA" w:bidi="fr-FR"/>
        </w:rPr>
        <w:t>’étude dont il est question au paragraphe </w:t>
      </w:r>
      <w:r>
        <w:rPr>
          <w:noProof/>
          <w:lang w:val="fr-CA" w:bidi="fr-FR"/>
        </w:rPr>
        <w:t>11</w:t>
      </w:r>
      <w:r w:rsidRPr="00860D94">
        <w:rPr>
          <w:noProof/>
          <w:lang w:val="fr-CA" w:bidi="fr-FR"/>
        </w:rPr>
        <w:t xml:space="preserve"> </w:t>
      </w:r>
      <w:r>
        <w:rPr>
          <w:noProof/>
          <w:lang w:val="fr-CA" w:bidi="fr-FR"/>
        </w:rPr>
        <w:t>a) de la décision CP-9/13,</w:t>
      </w:r>
      <w:r w:rsidRPr="00860D94">
        <w:rPr>
          <w:noProof/>
          <w:lang w:val="fr-CA" w:bidi="fr-FR"/>
        </w:rPr>
        <w:t xml:space="preserve"> et effectuer une analyse</w:t>
      </w:r>
      <w:r>
        <w:rPr>
          <w:noProof/>
          <w:lang w:val="fr-CA" w:bidi="fr-FR"/>
        </w:rPr>
        <w:t xml:space="preserve"> sur : i</w:t>
      </w:r>
      <w:r w:rsidRPr="00860D94">
        <w:rPr>
          <w:noProof/>
          <w:lang w:val="fr-CA" w:bidi="fr-FR"/>
        </w:rPr>
        <w:t>)</w:t>
      </w:r>
      <w:r>
        <w:rPr>
          <w:lang w:val="fr-CA" w:bidi="fr-FR"/>
        </w:rPr>
        <w:t xml:space="preserve"> l</w:t>
      </w:r>
      <w:r w:rsidRPr="00860D94">
        <w:rPr>
          <w:lang w:val="fr-CA" w:bidi="fr-FR"/>
        </w:rPr>
        <w:t xml:space="preserve">es organismes vivants modifiés </w:t>
      </w:r>
      <w:r>
        <w:rPr>
          <w:lang w:val="fr-CA" w:bidi="fr-FR"/>
        </w:rPr>
        <w:t>ayant subi un forçage génétique, et ii) l</w:t>
      </w:r>
      <w:r w:rsidRPr="00860D94">
        <w:rPr>
          <w:lang w:val="fr-CA" w:bidi="fr-FR"/>
        </w:rPr>
        <w:t xml:space="preserve">es </w:t>
      </w:r>
      <w:r>
        <w:rPr>
          <w:lang w:val="fr-CA" w:bidi="fr-FR"/>
        </w:rPr>
        <w:t>poissons vivants modifiés, conformément à l’annexe </w:t>
      </w:r>
      <w:r w:rsidRPr="00860D94">
        <w:rPr>
          <w:lang w:val="fr-CA" w:bidi="fr-FR"/>
        </w:rPr>
        <w:t>I</w:t>
      </w:r>
      <w:r>
        <w:rPr>
          <w:lang w:val="fr-CA" w:bidi="fr-FR"/>
        </w:rPr>
        <w:t>, et confortée par les</w:t>
      </w:r>
      <w:r w:rsidRPr="00860D94">
        <w:rPr>
          <w:lang w:val="fr-CA" w:bidi="fr-FR"/>
        </w:rPr>
        <w:t xml:space="preserve"> données de l</w:t>
      </w:r>
      <w:r>
        <w:rPr>
          <w:lang w:val="fr-CA" w:bidi="fr-FR"/>
        </w:rPr>
        <w:t>’</w:t>
      </w:r>
      <w:r w:rsidRPr="00860D94">
        <w:rPr>
          <w:lang w:val="fr-CA" w:bidi="fr-FR"/>
        </w:rPr>
        <w:t>étude</w:t>
      </w:r>
      <w:r>
        <w:rPr>
          <w:lang w:val="fr-CA" w:bidi="fr-FR"/>
        </w:rPr>
        <w:t>;</w:t>
      </w:r>
      <w:r w:rsidRPr="00860D94">
        <w:rPr>
          <w:lang w:val="fr-CA" w:bidi="fr-FR"/>
        </w:rPr>
        <w:t xml:space="preserve"> </w:t>
      </w:r>
    </w:p>
    <w:p w14:paraId="4960F5BC" w14:textId="77777777" w:rsidR="007C4381" w:rsidRDefault="007C4381" w:rsidP="007C4381">
      <w:pPr>
        <w:pStyle w:val="Para1"/>
        <w:numPr>
          <w:ilvl w:val="0"/>
          <w:numId w:val="0"/>
        </w:numPr>
        <w:suppressLineNumbers/>
        <w:tabs>
          <w:tab w:val="left" w:pos="0"/>
        </w:tabs>
        <w:suppressAutoHyphens/>
        <w:kinsoku w:val="0"/>
        <w:overflowPunct w:val="0"/>
        <w:autoSpaceDE w:val="0"/>
        <w:autoSpaceDN w:val="0"/>
        <w:snapToGrid w:val="0"/>
        <w:ind w:firstLine="709"/>
        <w:rPr>
          <w:lang w:val="fr-CA"/>
        </w:rPr>
      </w:pPr>
      <w:r>
        <w:rPr>
          <w:lang w:val="fr-CA" w:bidi="fr-FR"/>
        </w:rPr>
        <w:t xml:space="preserve">b) </w:t>
      </w:r>
      <w:r>
        <w:rPr>
          <w:lang w:val="fr-CA" w:bidi="fr-FR"/>
        </w:rPr>
        <w:tab/>
        <w:t>E</w:t>
      </w:r>
      <w:r w:rsidRPr="00860D94">
        <w:rPr>
          <w:lang w:val="fr-CA" w:bidi="fr-FR"/>
        </w:rPr>
        <w:t xml:space="preserve">xaminer les besoins et les priorités </w:t>
      </w:r>
      <w:r>
        <w:rPr>
          <w:lang w:val="fr-CA" w:bidi="fr-FR"/>
        </w:rPr>
        <w:t>pour l’élaboration d’autres orientation</w:t>
      </w:r>
      <w:r w:rsidRPr="00860D94">
        <w:rPr>
          <w:lang w:val="fr-CA" w:bidi="fr-FR"/>
        </w:rPr>
        <w:t>s</w:t>
      </w:r>
      <w:r>
        <w:rPr>
          <w:lang w:val="fr-CA" w:bidi="fr-FR"/>
        </w:rPr>
        <w:t>, ainsi</w:t>
      </w:r>
      <w:r w:rsidRPr="00860D94">
        <w:rPr>
          <w:lang w:val="fr-CA" w:bidi="fr-FR"/>
        </w:rPr>
        <w:t xml:space="preserve"> </w:t>
      </w:r>
      <w:r>
        <w:rPr>
          <w:lang w:val="fr-CA" w:bidi="fr-FR"/>
        </w:rPr>
        <w:t xml:space="preserve">que </w:t>
      </w:r>
      <w:r w:rsidRPr="00860D94">
        <w:rPr>
          <w:lang w:val="fr-CA" w:bidi="fr-FR"/>
        </w:rPr>
        <w:t xml:space="preserve">les lacunes </w:t>
      </w:r>
      <w:r>
        <w:rPr>
          <w:lang w:val="fr-CA" w:bidi="fr-FR"/>
        </w:rPr>
        <w:t>subsistant dans l</w:t>
      </w:r>
      <w:r w:rsidRPr="00860D94">
        <w:rPr>
          <w:lang w:val="fr-CA" w:bidi="fr-FR"/>
        </w:rPr>
        <w:t>es orientations existantes</w:t>
      </w:r>
      <w:r>
        <w:rPr>
          <w:lang w:val="fr-CA" w:bidi="fr-FR"/>
        </w:rPr>
        <w:t>,</w:t>
      </w:r>
      <w:r w:rsidRPr="00860D94">
        <w:rPr>
          <w:lang w:val="fr-CA" w:bidi="fr-FR"/>
        </w:rPr>
        <w:t xml:space="preserve"> </w:t>
      </w:r>
      <w:r>
        <w:rPr>
          <w:lang w:val="fr-CA" w:bidi="fr-FR"/>
        </w:rPr>
        <w:t>tels que recensé</w:t>
      </w:r>
      <w:r w:rsidRPr="00860D94">
        <w:rPr>
          <w:lang w:val="fr-CA" w:bidi="fr-FR"/>
        </w:rPr>
        <w:t>s par les P</w:t>
      </w:r>
      <w:r>
        <w:rPr>
          <w:lang w:val="fr-CA" w:bidi="fr-FR"/>
        </w:rPr>
        <w:t>arties en application de la décision </w:t>
      </w:r>
      <w:r w:rsidRPr="00860D94">
        <w:rPr>
          <w:lang w:val="fr-CA" w:bidi="fr-FR"/>
        </w:rPr>
        <w:t>VIII/CP</w:t>
      </w:r>
      <w:r>
        <w:rPr>
          <w:lang w:val="fr-CA" w:bidi="fr-FR"/>
        </w:rPr>
        <w:noBreakHyphen/>
      </w:r>
      <w:r w:rsidRPr="00860D94">
        <w:rPr>
          <w:lang w:val="fr-CA" w:bidi="fr-FR"/>
        </w:rPr>
        <w:t>12</w:t>
      </w:r>
      <w:r>
        <w:rPr>
          <w:lang w:val="fr-CA" w:bidi="fr-FR"/>
        </w:rPr>
        <w:t>,</w:t>
      </w:r>
      <w:r w:rsidRPr="00860D94">
        <w:rPr>
          <w:lang w:val="fr-CA" w:bidi="fr-FR"/>
        </w:rPr>
        <w:t xml:space="preserve"> concer</w:t>
      </w:r>
      <w:r>
        <w:rPr>
          <w:lang w:val="fr-CA" w:bidi="fr-FR"/>
        </w:rPr>
        <w:t>nant des sujets spécifiques relatifs à l’évaluation des risques,</w:t>
      </w:r>
      <w:r w:rsidRPr="00860D94">
        <w:rPr>
          <w:lang w:val="fr-CA" w:bidi="fr-FR"/>
        </w:rPr>
        <w:t xml:space="preserve"> et préparer une analyse</w:t>
      </w:r>
      <w:r>
        <w:rPr>
          <w:lang w:val="fr-CA" w:bidi="fr-FR"/>
        </w:rPr>
        <w:t>;</w:t>
      </w:r>
      <w:r w:rsidRPr="00860D94">
        <w:rPr>
          <w:lang w:val="fr-CA" w:bidi="fr-FR"/>
        </w:rPr>
        <w:t xml:space="preserve"> </w:t>
      </w:r>
    </w:p>
    <w:p w14:paraId="27BFFEBF" w14:textId="77777777" w:rsidR="007C4381" w:rsidRDefault="007C4381" w:rsidP="007C4381">
      <w:pPr>
        <w:pStyle w:val="Para1"/>
        <w:numPr>
          <w:ilvl w:val="0"/>
          <w:numId w:val="0"/>
        </w:numPr>
        <w:suppressLineNumbers/>
        <w:tabs>
          <w:tab w:val="left" w:pos="0"/>
        </w:tabs>
        <w:suppressAutoHyphens/>
        <w:kinsoku w:val="0"/>
        <w:overflowPunct w:val="0"/>
        <w:autoSpaceDE w:val="0"/>
        <w:autoSpaceDN w:val="0"/>
        <w:snapToGrid w:val="0"/>
        <w:ind w:firstLine="709"/>
        <w:rPr>
          <w:lang w:val="fr-CA" w:bidi="fr-FR"/>
        </w:rPr>
      </w:pPr>
      <w:r w:rsidRPr="00860D94">
        <w:rPr>
          <w:lang w:val="fr-CA" w:bidi="fr-FR"/>
        </w:rPr>
        <w:t xml:space="preserve">c) </w:t>
      </w:r>
      <w:r w:rsidRPr="00860D94">
        <w:rPr>
          <w:lang w:val="fr-CA" w:bidi="fr-FR"/>
        </w:rPr>
        <w:tab/>
      </w:r>
      <w:r>
        <w:rPr>
          <w:lang w:val="fr-CA" w:bidi="fr-FR"/>
        </w:rPr>
        <w:t>Formuler des recommandations sur i) la nécessité d’élaborer des orientation</w:t>
      </w:r>
      <w:r w:rsidRPr="00860D94">
        <w:rPr>
          <w:lang w:val="fr-CA" w:bidi="fr-FR"/>
        </w:rPr>
        <w:t>s sur l</w:t>
      </w:r>
      <w:r>
        <w:rPr>
          <w:lang w:val="fr-CA" w:bidi="fr-FR"/>
        </w:rPr>
        <w:t>’</w:t>
      </w:r>
      <w:r w:rsidRPr="00860D94">
        <w:rPr>
          <w:lang w:val="fr-CA" w:bidi="fr-FR"/>
        </w:rPr>
        <w:t xml:space="preserve">évaluation des risques </w:t>
      </w:r>
      <w:r>
        <w:rPr>
          <w:lang w:val="fr-CA" w:bidi="fr-FR"/>
        </w:rPr>
        <w:t>présentés par les organismes vivants modifiés ayant subi un forçage génétique</w:t>
      </w:r>
      <w:r w:rsidRPr="00860D94">
        <w:rPr>
          <w:lang w:val="fr-CA" w:bidi="fr-FR"/>
        </w:rPr>
        <w:t xml:space="preserve"> e</w:t>
      </w:r>
      <w:r>
        <w:rPr>
          <w:lang w:val="fr-CA" w:bidi="fr-FR"/>
        </w:rPr>
        <w:t xml:space="preserve">t les poissons vivants modifiés, et ii) toute modification à apporter </w:t>
      </w:r>
      <w:r w:rsidRPr="00860D94">
        <w:rPr>
          <w:lang w:val="fr-CA" w:bidi="fr-FR"/>
        </w:rPr>
        <w:t>à l</w:t>
      </w:r>
      <w:r>
        <w:rPr>
          <w:lang w:val="fr-CA" w:bidi="fr-FR"/>
        </w:rPr>
        <w:t>’</w:t>
      </w:r>
      <w:r w:rsidRPr="00860D94">
        <w:rPr>
          <w:lang w:val="fr-CA" w:bidi="fr-FR"/>
        </w:rPr>
        <w:t>anne</w:t>
      </w:r>
      <w:r>
        <w:rPr>
          <w:lang w:val="fr-CA" w:bidi="fr-FR"/>
        </w:rPr>
        <w:t>xe I de la décision CP-9/13;</w:t>
      </w:r>
    </w:p>
    <w:p w14:paraId="0B9CA9E0" w14:textId="77777777" w:rsidR="007C4381" w:rsidRPr="001127A3" w:rsidRDefault="007C4381" w:rsidP="007C4381">
      <w:pPr>
        <w:pStyle w:val="Para1"/>
        <w:numPr>
          <w:ilvl w:val="0"/>
          <w:numId w:val="0"/>
        </w:numPr>
        <w:suppressLineNumbers/>
        <w:tabs>
          <w:tab w:val="left" w:pos="0"/>
        </w:tabs>
        <w:suppressAutoHyphens/>
        <w:kinsoku w:val="0"/>
        <w:overflowPunct w:val="0"/>
        <w:autoSpaceDE w:val="0"/>
        <w:autoSpaceDN w:val="0"/>
        <w:snapToGrid w:val="0"/>
        <w:spacing w:after="240"/>
        <w:ind w:firstLine="709"/>
        <w:rPr>
          <w:lang w:val="fr-CA"/>
        </w:rPr>
      </w:pPr>
      <w:r>
        <w:rPr>
          <w:lang w:val="fr-CA" w:bidi="fr-FR"/>
        </w:rPr>
        <w:t xml:space="preserve">d) </w:t>
      </w:r>
      <w:r>
        <w:rPr>
          <w:lang w:val="fr-CA" w:bidi="fr-FR"/>
        </w:rPr>
        <w:tab/>
        <w:t>Établir</w:t>
      </w:r>
      <w:r w:rsidRPr="00860D94">
        <w:rPr>
          <w:lang w:val="fr-CA" w:bidi="fr-FR"/>
        </w:rPr>
        <w:t xml:space="preserve"> un rapport</w:t>
      </w:r>
      <w:r>
        <w:rPr>
          <w:lang w:val="fr-CA" w:bidi="fr-FR"/>
        </w:rPr>
        <w:t>, pour exam</w:t>
      </w:r>
      <w:r w:rsidRPr="00860D94">
        <w:rPr>
          <w:lang w:val="fr-CA" w:bidi="fr-FR"/>
        </w:rPr>
        <w:t>en par l</w:t>
      </w:r>
      <w:r>
        <w:rPr>
          <w:lang w:val="fr-CA" w:bidi="fr-FR"/>
        </w:rPr>
        <w:t>’</w:t>
      </w:r>
      <w:r>
        <w:rPr>
          <w:rStyle w:val="st"/>
          <w:lang w:val="fr-CA" w:bidi="fr-FR"/>
        </w:rPr>
        <w:t>Organe subsidiaire chargé de fournir d</w:t>
      </w:r>
      <w:r w:rsidRPr="00860D94">
        <w:rPr>
          <w:rStyle w:val="st"/>
          <w:lang w:val="fr-CA" w:bidi="fr-FR"/>
        </w:rPr>
        <w:t>es avis scientifiques, techniques et technologiques</w:t>
      </w:r>
      <w:r>
        <w:rPr>
          <w:rStyle w:val="st"/>
          <w:lang w:val="fr-CA" w:bidi="fr-FR"/>
        </w:rPr>
        <w:t>,</w:t>
      </w:r>
      <w:r>
        <w:rPr>
          <w:lang w:val="fr-CA" w:bidi="fr-FR"/>
        </w:rPr>
        <w:t xml:space="preserve"> en </w:t>
      </w:r>
      <w:r w:rsidRPr="00860D94">
        <w:rPr>
          <w:lang w:val="fr-CA" w:bidi="fr-FR"/>
        </w:rPr>
        <w:t>vue de permettre à l</w:t>
      </w:r>
      <w:r>
        <w:rPr>
          <w:lang w:val="fr-CA" w:bidi="fr-FR"/>
        </w:rPr>
        <w:t>’</w:t>
      </w:r>
      <w:r>
        <w:rPr>
          <w:rStyle w:val="st"/>
          <w:lang w:val="fr-CA" w:bidi="fr-FR"/>
        </w:rPr>
        <w:t>O</w:t>
      </w:r>
      <w:r w:rsidRPr="00860D94">
        <w:rPr>
          <w:rStyle w:val="st"/>
          <w:lang w:val="fr-CA" w:bidi="fr-FR"/>
        </w:rPr>
        <w:t xml:space="preserve">rgane subsidiaire </w:t>
      </w:r>
      <w:r>
        <w:rPr>
          <w:lang w:val="fr-CA" w:bidi="fr-FR"/>
        </w:rPr>
        <w:t xml:space="preserve">d’élaborer une </w:t>
      </w:r>
      <w:r w:rsidRPr="00860D94">
        <w:rPr>
          <w:lang w:val="fr-CA" w:bidi="fr-FR"/>
        </w:rPr>
        <w:t>recommandation</w:t>
      </w:r>
      <w:r>
        <w:rPr>
          <w:lang w:val="fr-CA" w:bidi="fr-FR"/>
        </w:rPr>
        <w:t xml:space="preserve">, pour </w:t>
      </w:r>
      <w:r w:rsidRPr="00860D94">
        <w:rPr>
          <w:lang w:val="fr-CA" w:bidi="fr-FR"/>
        </w:rPr>
        <w:t xml:space="preserve">examen par la Conférence des Parties siégeant en tant que réunion des Parties au Protocole de Cartagena </w:t>
      </w:r>
      <w:r>
        <w:rPr>
          <w:lang w:val="fr-CA" w:bidi="fr-FR"/>
        </w:rPr>
        <w:t xml:space="preserve">sur la prévention des risques biotechnologiques </w:t>
      </w:r>
      <w:r w:rsidRPr="00860D94">
        <w:rPr>
          <w:lang w:val="fr-CA" w:bidi="fr-FR"/>
        </w:rPr>
        <w:t>à sa dixième réunion</w:t>
      </w:r>
      <w:r>
        <w:rPr>
          <w:lang w:val="fr-CA" w:bidi="fr-FR"/>
        </w:rPr>
        <w:t>.</w:t>
      </w:r>
    </w:p>
    <w:p w14:paraId="45B7B0E0" w14:textId="77777777" w:rsidR="007C4381" w:rsidRDefault="007C4381">
      <w:pPr>
        <w:jc w:val="left"/>
        <w:rPr>
          <w:rFonts w:cs="Times New Roman"/>
          <w:b/>
          <w:snapToGrid w:val="0"/>
          <w:kern w:val="22"/>
          <w:szCs w:val="22"/>
          <w:lang w:val="fr-CA"/>
        </w:rPr>
      </w:pPr>
      <w:r>
        <w:rPr>
          <w:rFonts w:cs="Times New Roman"/>
          <w:b/>
          <w:snapToGrid w:val="0"/>
          <w:kern w:val="22"/>
          <w:szCs w:val="22"/>
          <w:lang w:val="fr-CA"/>
        </w:rPr>
        <w:br w:type="page"/>
      </w:r>
    </w:p>
    <w:p w14:paraId="23708B3F" w14:textId="31C7938F" w:rsidR="007C4381" w:rsidRPr="00EE6B5E" w:rsidRDefault="00F4211E" w:rsidP="00EE6B5E">
      <w:pPr>
        <w:pStyle w:val="Heading2"/>
        <w:rPr>
          <w:caps/>
          <w:kern w:val="22"/>
        </w:rPr>
      </w:pPr>
      <w:bookmarkStart w:id="21" w:name="_Toc7428854"/>
      <w:r w:rsidRPr="00EE6B5E">
        <w:rPr>
          <w:caps/>
          <w:kern w:val="22"/>
          <w:szCs w:val="22"/>
        </w:rPr>
        <w:lastRenderedPageBreak/>
        <w:t>9/14.</w:t>
      </w:r>
      <w:r w:rsidRPr="00EE6B5E">
        <w:rPr>
          <w:caps/>
          <w:kern w:val="22"/>
          <w:szCs w:val="22"/>
        </w:rPr>
        <w:tab/>
      </w:r>
      <w:r w:rsidRPr="00EE6B5E">
        <w:rPr>
          <w:kern w:val="22"/>
          <w:szCs w:val="22"/>
        </w:rPr>
        <w:t>Considérations socioéconomiques (article 26)</w:t>
      </w:r>
      <w:bookmarkEnd w:id="21"/>
    </w:p>
    <w:p w14:paraId="2F9AC2E9" w14:textId="77777777" w:rsidR="007C4381" w:rsidRPr="0045560E" w:rsidRDefault="007C4381" w:rsidP="00EE6B5E">
      <w:pPr>
        <w:adjustRightInd w:val="0"/>
        <w:snapToGrid w:val="0"/>
        <w:spacing w:before="240" w:after="120"/>
        <w:ind w:firstLine="720"/>
        <w:rPr>
          <w:i/>
          <w:color w:val="000000" w:themeColor="text1"/>
          <w:kern w:val="22"/>
          <w:szCs w:val="22"/>
        </w:rPr>
      </w:pPr>
      <w:r w:rsidRPr="0045560E">
        <w:rPr>
          <w:i/>
          <w:kern w:val="22"/>
          <w:szCs w:val="22"/>
        </w:rPr>
        <w:t>La Conférence de</w:t>
      </w:r>
      <w:r>
        <w:rPr>
          <w:i/>
          <w:kern w:val="22"/>
          <w:szCs w:val="22"/>
        </w:rPr>
        <w:t>s Parties siégeant en tant que r</w:t>
      </w:r>
      <w:r w:rsidRPr="0045560E">
        <w:rPr>
          <w:i/>
          <w:kern w:val="22"/>
          <w:szCs w:val="22"/>
        </w:rPr>
        <w:t>éunion des Parties au Protocole de Cartagena sur la prévention des risques biotechnologiques</w:t>
      </w:r>
      <w:r w:rsidRPr="0045560E">
        <w:rPr>
          <w:i/>
          <w:color w:val="000000" w:themeColor="text1"/>
          <w:kern w:val="22"/>
          <w:szCs w:val="22"/>
        </w:rPr>
        <w:t>,</w:t>
      </w:r>
    </w:p>
    <w:p w14:paraId="5F342202" w14:textId="77777777" w:rsidR="007C4381" w:rsidRPr="0045560E" w:rsidRDefault="007C4381" w:rsidP="007C4381">
      <w:pPr>
        <w:pStyle w:val="Para1"/>
        <w:numPr>
          <w:ilvl w:val="0"/>
          <w:numId w:val="0"/>
        </w:numPr>
        <w:ind w:left="720"/>
        <w:rPr>
          <w:i/>
        </w:rPr>
      </w:pPr>
      <w:r w:rsidRPr="0045560E">
        <w:rPr>
          <w:i/>
        </w:rPr>
        <w:t xml:space="preserve">Rappelant </w:t>
      </w:r>
      <w:r w:rsidRPr="0045560E">
        <w:t xml:space="preserve">les décisions </w:t>
      </w:r>
      <w:hyperlink r:id="rId26" w:history="1">
        <w:r w:rsidRPr="0045560E">
          <w:rPr>
            <w:rStyle w:val="Hyperlink"/>
          </w:rPr>
          <w:t>BS-VI/13</w:t>
        </w:r>
      </w:hyperlink>
      <w:r w:rsidRPr="0045560E">
        <w:t xml:space="preserve">, </w:t>
      </w:r>
      <w:hyperlink r:id="rId27" w:history="1">
        <w:r w:rsidRPr="0045560E">
          <w:rPr>
            <w:rStyle w:val="Hyperlink"/>
          </w:rPr>
          <w:t>BS-VII/13</w:t>
        </w:r>
      </w:hyperlink>
      <w:r w:rsidRPr="0045560E">
        <w:t xml:space="preserve"> et </w:t>
      </w:r>
      <w:hyperlink r:id="rId28" w:history="1">
        <w:r w:rsidRPr="0045560E">
          <w:rPr>
            <w:rStyle w:val="Hyperlink"/>
          </w:rPr>
          <w:t>CP-VIII/13</w:t>
        </w:r>
      </w:hyperlink>
      <w:r w:rsidRPr="0045560E">
        <w:t>,</w:t>
      </w:r>
    </w:p>
    <w:p w14:paraId="6E099DDC" w14:textId="77777777" w:rsidR="007C4381" w:rsidRPr="0045560E" w:rsidRDefault="007C4381" w:rsidP="007C4381">
      <w:pPr>
        <w:pStyle w:val="Para1"/>
        <w:numPr>
          <w:ilvl w:val="0"/>
          <w:numId w:val="0"/>
        </w:numPr>
        <w:ind w:firstLine="709"/>
      </w:pPr>
      <w:r w:rsidRPr="0045560E">
        <w:rPr>
          <w:i/>
          <w:snapToGrid/>
        </w:rPr>
        <w:t>Rappelant</w:t>
      </w:r>
      <w:r w:rsidRPr="0045560E">
        <w:rPr>
          <w:snapToGrid/>
        </w:rPr>
        <w:t xml:space="preserve"> que, conformément au paragraphe 1 de l'article 26, les Parties, lorsqu’elles prennent une</w:t>
      </w:r>
      <w:r w:rsidRPr="0045560E">
        <w:t xml:space="preserve"> </w:t>
      </w:r>
      <w:r w:rsidRPr="0045560E">
        <w:rPr>
          <w:snapToGrid/>
        </w:rPr>
        <w:t>décision concernant l’i</w:t>
      </w:r>
      <w:r>
        <w:rPr>
          <w:snapToGrid/>
        </w:rPr>
        <w:t xml:space="preserve">mportation, en vertu du </w:t>
      </w:r>
      <w:r w:rsidRPr="0045560E">
        <w:rPr>
          <w:snapToGrid/>
        </w:rPr>
        <w:t>Protocole ou en vertu des mesures nationales qu’elles ont prises pour appliquer le Protocol</w:t>
      </w:r>
      <w:r>
        <w:rPr>
          <w:snapToGrid/>
        </w:rPr>
        <w:t>e, peuvent tenir compte, en acco</w:t>
      </w:r>
      <w:r w:rsidRPr="0045560E">
        <w:rPr>
          <w:snapToGrid/>
        </w:rPr>
        <w:t>rd avec leurs obligations intern</w:t>
      </w:r>
      <w:r>
        <w:rPr>
          <w:snapToGrid/>
        </w:rPr>
        <w:t>ationales, des incidences socio</w:t>
      </w:r>
      <w:r w:rsidRPr="0045560E">
        <w:rPr>
          <w:snapToGrid/>
        </w:rPr>
        <w:t>économi</w:t>
      </w:r>
      <w:r>
        <w:rPr>
          <w:snapToGrid/>
        </w:rPr>
        <w:t xml:space="preserve">ques de l’impact des organismes </w:t>
      </w:r>
      <w:r w:rsidRPr="0045560E">
        <w:rPr>
          <w:snapToGrid/>
        </w:rPr>
        <w:t>vivants modifiés sur la conservation et l’utilisation durable de la diversité biologique, eu égard à la valeur de la diversité biologique pour les communautés autochtones et locales, en particulier,</w:t>
      </w:r>
    </w:p>
    <w:p w14:paraId="01F9F9C9" w14:textId="77777777" w:rsidR="007C4381" w:rsidRPr="0045560E" w:rsidRDefault="007C4381" w:rsidP="007C4381">
      <w:pPr>
        <w:suppressLineNumbers/>
        <w:suppressAutoHyphens/>
        <w:kinsoku w:val="0"/>
        <w:overflowPunct w:val="0"/>
        <w:autoSpaceDE w:val="0"/>
        <w:autoSpaceDN w:val="0"/>
        <w:snapToGrid w:val="0"/>
        <w:spacing w:before="120" w:after="120"/>
        <w:ind w:firstLine="720"/>
        <w:rPr>
          <w:kern w:val="22"/>
          <w:szCs w:val="22"/>
        </w:rPr>
      </w:pPr>
      <w:r w:rsidRPr="0045560E">
        <w:rPr>
          <w:i/>
          <w:kern w:val="22"/>
          <w:szCs w:val="22"/>
        </w:rPr>
        <w:t>Reconnaissant</w:t>
      </w:r>
      <w:r w:rsidRPr="0045560E">
        <w:rPr>
          <w:kern w:val="22"/>
          <w:szCs w:val="22"/>
        </w:rPr>
        <w:t xml:space="preserve"> que les </w:t>
      </w:r>
      <w:r w:rsidRPr="0045560E">
        <w:rPr>
          <w:kern w:val="22"/>
        </w:rPr>
        <w:t>« Orientations sur l'évaluation des considérations socioéconomiques dans le contexte de l'article 26 du Protocole de Cartagena sur la prévention des risques biotechnologiques »</w:t>
      </w:r>
      <w:r w:rsidRPr="0045560E">
        <w:rPr>
          <w:kern w:val="22"/>
          <w:szCs w:val="22"/>
        </w:rPr>
        <w:t xml:space="preserve"> ne peu</w:t>
      </w:r>
      <w:r>
        <w:rPr>
          <w:kern w:val="22"/>
          <w:szCs w:val="22"/>
        </w:rPr>
        <w:t xml:space="preserve">vent en aucun cas </w:t>
      </w:r>
      <w:r w:rsidRPr="0045560E">
        <w:rPr>
          <w:kern w:val="22"/>
          <w:szCs w:val="22"/>
        </w:rPr>
        <w:t>être interprété</w:t>
      </w:r>
      <w:r>
        <w:rPr>
          <w:kern w:val="22"/>
          <w:szCs w:val="22"/>
        </w:rPr>
        <w:t>es</w:t>
      </w:r>
      <w:r w:rsidRPr="0045560E">
        <w:rPr>
          <w:kern w:val="22"/>
          <w:szCs w:val="22"/>
        </w:rPr>
        <w:t xml:space="preserve"> ou utilisé</w:t>
      </w:r>
      <w:r>
        <w:rPr>
          <w:kern w:val="22"/>
          <w:szCs w:val="22"/>
        </w:rPr>
        <w:t>es pour justifier des barrière</w:t>
      </w:r>
      <w:r w:rsidRPr="0045560E">
        <w:rPr>
          <w:kern w:val="22"/>
          <w:szCs w:val="22"/>
        </w:rPr>
        <w:t>s non tarifaires au commerce, ou des manquements aux obligations en matière de droit international des droits de l'homme, notamment en ce qui concerne les droits des p</w:t>
      </w:r>
      <w:r>
        <w:rPr>
          <w:kern w:val="22"/>
          <w:szCs w:val="22"/>
        </w:rPr>
        <w:t xml:space="preserve">euples autochtones </w:t>
      </w:r>
      <w:r w:rsidRPr="0045560E">
        <w:rPr>
          <w:kern w:val="22"/>
          <w:szCs w:val="22"/>
        </w:rPr>
        <w:t>et des communautés locales,</w:t>
      </w:r>
    </w:p>
    <w:p w14:paraId="6DF0470B" w14:textId="77777777" w:rsidR="007C4381" w:rsidRPr="0045560E" w:rsidRDefault="007C4381" w:rsidP="007C4381">
      <w:pPr>
        <w:suppressLineNumbers/>
        <w:suppressAutoHyphens/>
        <w:kinsoku w:val="0"/>
        <w:overflowPunct w:val="0"/>
        <w:autoSpaceDE w:val="0"/>
        <w:autoSpaceDN w:val="0"/>
        <w:snapToGrid w:val="0"/>
        <w:spacing w:before="120" w:after="120"/>
        <w:ind w:firstLine="720"/>
        <w:rPr>
          <w:kern w:val="22"/>
          <w:szCs w:val="22"/>
        </w:rPr>
      </w:pPr>
      <w:r w:rsidRPr="0045560E">
        <w:rPr>
          <w:i/>
          <w:kern w:val="22"/>
          <w:szCs w:val="22"/>
        </w:rPr>
        <w:t>Consciente</w:t>
      </w:r>
      <w:r w:rsidRPr="0045560E">
        <w:rPr>
          <w:kern w:val="22"/>
          <w:szCs w:val="22"/>
        </w:rPr>
        <w:t xml:space="preserve"> que les accords </w:t>
      </w:r>
      <w:r>
        <w:rPr>
          <w:kern w:val="22"/>
          <w:szCs w:val="22"/>
        </w:rPr>
        <w:t>relatifs au commerce</w:t>
      </w:r>
      <w:r w:rsidRPr="0045560E">
        <w:rPr>
          <w:kern w:val="22"/>
          <w:szCs w:val="22"/>
        </w:rPr>
        <w:t xml:space="preserve"> et </w:t>
      </w:r>
      <w:r>
        <w:rPr>
          <w:kern w:val="22"/>
          <w:szCs w:val="22"/>
        </w:rPr>
        <w:t>à l’environnement</w:t>
      </w:r>
      <w:r w:rsidRPr="0045560E">
        <w:rPr>
          <w:kern w:val="22"/>
          <w:szCs w:val="22"/>
        </w:rPr>
        <w:t xml:space="preserve"> devraient se renfo</w:t>
      </w:r>
      <w:r>
        <w:rPr>
          <w:kern w:val="22"/>
          <w:szCs w:val="22"/>
        </w:rPr>
        <w:t>rcer mutuellement en vue de parvenir à</w:t>
      </w:r>
      <w:r w:rsidRPr="0045560E">
        <w:rPr>
          <w:kern w:val="22"/>
          <w:szCs w:val="22"/>
        </w:rPr>
        <w:t xml:space="preserve"> un développement durable,</w:t>
      </w:r>
    </w:p>
    <w:p w14:paraId="35E26596" w14:textId="77777777" w:rsidR="007C4381" w:rsidRPr="0045560E" w:rsidRDefault="007C4381" w:rsidP="007C4381">
      <w:pPr>
        <w:suppressLineNumbers/>
        <w:suppressAutoHyphens/>
        <w:kinsoku w:val="0"/>
        <w:overflowPunct w:val="0"/>
        <w:autoSpaceDE w:val="0"/>
        <w:autoSpaceDN w:val="0"/>
        <w:snapToGrid w:val="0"/>
        <w:spacing w:before="120" w:after="120"/>
        <w:ind w:firstLine="720"/>
        <w:rPr>
          <w:kern w:val="22"/>
          <w:szCs w:val="22"/>
        </w:rPr>
      </w:pPr>
      <w:r w:rsidRPr="0045560E">
        <w:rPr>
          <w:i/>
          <w:kern w:val="22"/>
          <w:szCs w:val="22"/>
        </w:rPr>
        <w:t>Soulignant</w:t>
      </w:r>
      <w:r>
        <w:rPr>
          <w:kern w:val="22"/>
          <w:szCs w:val="22"/>
        </w:rPr>
        <w:t xml:space="preserve"> que les dispositions du Protocole ne peuvent être interprétées</w:t>
      </w:r>
      <w:r w:rsidRPr="0045560E">
        <w:rPr>
          <w:kern w:val="22"/>
          <w:szCs w:val="22"/>
        </w:rPr>
        <w:t xml:space="preserve"> comme entraînant une modification des droits et </w:t>
      </w:r>
      <w:r>
        <w:rPr>
          <w:kern w:val="22"/>
          <w:szCs w:val="22"/>
        </w:rPr>
        <w:t xml:space="preserve">des </w:t>
      </w:r>
      <w:r w:rsidRPr="0045560E">
        <w:rPr>
          <w:kern w:val="22"/>
          <w:szCs w:val="22"/>
        </w:rPr>
        <w:t>obligations d'une Partie en vertu de tout accord international existant,</w:t>
      </w:r>
    </w:p>
    <w:p w14:paraId="49600E53" w14:textId="77777777" w:rsidR="007C4381" w:rsidRPr="0045560E" w:rsidRDefault="007C4381" w:rsidP="007C4381">
      <w:pPr>
        <w:suppressLineNumbers/>
        <w:suppressAutoHyphens/>
        <w:kinsoku w:val="0"/>
        <w:overflowPunct w:val="0"/>
        <w:autoSpaceDE w:val="0"/>
        <w:autoSpaceDN w:val="0"/>
        <w:snapToGrid w:val="0"/>
        <w:spacing w:before="120" w:after="120"/>
        <w:ind w:firstLine="720"/>
        <w:rPr>
          <w:kern w:val="22"/>
          <w:szCs w:val="22"/>
        </w:rPr>
      </w:pPr>
      <w:r w:rsidRPr="0045560E">
        <w:rPr>
          <w:i/>
          <w:kern w:val="22"/>
          <w:szCs w:val="22"/>
        </w:rPr>
        <w:t>Considérant</w:t>
      </w:r>
      <w:r w:rsidRPr="0045560E">
        <w:rPr>
          <w:kern w:val="22"/>
          <w:szCs w:val="22"/>
        </w:rPr>
        <w:t xml:space="preserve"> que ce q</w:t>
      </w:r>
      <w:r>
        <w:rPr>
          <w:kern w:val="22"/>
          <w:szCs w:val="22"/>
        </w:rPr>
        <w:t>ui précède n’a pas pour objet de</w:t>
      </w:r>
      <w:r w:rsidRPr="0045560E">
        <w:rPr>
          <w:kern w:val="22"/>
          <w:szCs w:val="22"/>
        </w:rPr>
        <w:t xml:space="preserve"> subordonner le Protocole à d'autres accords internationaux,</w:t>
      </w:r>
    </w:p>
    <w:p w14:paraId="05125009" w14:textId="77777777" w:rsidR="007C4381" w:rsidRPr="0045560E" w:rsidRDefault="007C4381" w:rsidP="007C4381">
      <w:pPr>
        <w:suppressLineNumbers/>
        <w:suppressAutoHyphens/>
        <w:kinsoku w:val="0"/>
        <w:overflowPunct w:val="0"/>
        <w:autoSpaceDE w:val="0"/>
        <w:autoSpaceDN w:val="0"/>
        <w:snapToGrid w:val="0"/>
        <w:spacing w:before="120" w:after="120"/>
        <w:ind w:firstLine="720"/>
        <w:rPr>
          <w:kern w:val="22"/>
          <w:szCs w:val="22"/>
        </w:rPr>
      </w:pPr>
      <w:r w:rsidRPr="0045560E">
        <w:rPr>
          <w:i/>
          <w:kern w:val="22"/>
          <w:szCs w:val="22"/>
        </w:rPr>
        <w:t>Rappelant</w:t>
      </w:r>
      <w:r w:rsidRPr="0045560E">
        <w:rPr>
          <w:kern w:val="22"/>
          <w:szCs w:val="22"/>
        </w:rPr>
        <w:t xml:space="preserve"> que les Orientations sont destinées à être utilisées</w:t>
      </w:r>
      <w:r>
        <w:rPr>
          <w:kern w:val="22"/>
          <w:szCs w:val="22"/>
        </w:rPr>
        <w:t xml:space="preserve"> sur une base volontaire</w:t>
      </w:r>
      <w:r w:rsidRPr="0045560E">
        <w:rPr>
          <w:kern w:val="22"/>
          <w:szCs w:val="22"/>
        </w:rPr>
        <w:t>,</w:t>
      </w:r>
    </w:p>
    <w:p w14:paraId="2A95207E" w14:textId="77777777" w:rsidR="007C4381" w:rsidRPr="0045560E" w:rsidRDefault="007C4381" w:rsidP="006B735C">
      <w:pPr>
        <w:pStyle w:val="Para1"/>
        <w:numPr>
          <w:ilvl w:val="0"/>
          <w:numId w:val="49"/>
        </w:numPr>
        <w:ind w:firstLine="709"/>
      </w:pPr>
      <w:r w:rsidRPr="0045560E">
        <w:rPr>
          <w:i/>
        </w:rPr>
        <w:t xml:space="preserve">Prend note </w:t>
      </w:r>
      <w:r w:rsidRPr="0045560E">
        <w:t>des « Orientations sur l'évaluation des considérations socioéconomiques dans le contexte de l'article 26 du Protocole de Cartagena sur la prévention des risques biotechnologiques »</w:t>
      </w:r>
      <w:r w:rsidRPr="0045560E">
        <w:rPr>
          <w:rStyle w:val="FootnoteReference"/>
        </w:rPr>
        <w:footnoteReference w:id="22"/>
      </w:r>
      <w:r w:rsidRPr="0045560E">
        <w:t>;</w:t>
      </w:r>
    </w:p>
    <w:p w14:paraId="360C5698" w14:textId="77777777" w:rsidR="007C4381" w:rsidRPr="0045560E" w:rsidRDefault="007C4381" w:rsidP="007C4381">
      <w:pPr>
        <w:pStyle w:val="Para1"/>
        <w:numPr>
          <w:ilvl w:val="0"/>
          <w:numId w:val="13"/>
        </w:numPr>
        <w:tabs>
          <w:tab w:val="clear" w:pos="360"/>
        </w:tabs>
        <w:ind w:firstLine="720"/>
      </w:pPr>
      <w:r w:rsidRPr="0045560E">
        <w:rPr>
          <w:i/>
        </w:rPr>
        <w:t xml:space="preserve">Invite </w:t>
      </w:r>
      <w:r w:rsidRPr="0045560E">
        <w:t>les Parties, les autres gouvernements, les organisations compétentes et les autres parties prenantes, selon qu</w:t>
      </w:r>
      <w:r>
        <w:t>'il convient, à utiliser les O</w:t>
      </w:r>
      <w:r w:rsidRPr="0045560E">
        <w:t xml:space="preserve">rientations </w:t>
      </w:r>
      <w:r>
        <w:t>facultatives</w:t>
      </w:r>
      <w:r w:rsidRPr="0045560E">
        <w:t xml:space="preserve"> et </w:t>
      </w:r>
      <w:r>
        <w:t xml:space="preserve">à </w:t>
      </w:r>
      <w:r w:rsidRPr="0045560E">
        <w:t>communiquer des d</w:t>
      </w:r>
      <w:r>
        <w:t>onnées d'expérience initiales, ainsi que</w:t>
      </w:r>
      <w:r w:rsidRPr="0045560E">
        <w:t xml:space="preserve"> des exemples de méthodes </w:t>
      </w:r>
      <w:r>
        <w:t>d’évaluation</w:t>
      </w:r>
      <w:r w:rsidRPr="0045560E">
        <w:t xml:space="preserve"> de</w:t>
      </w:r>
      <w:r>
        <w:t>s</w:t>
      </w:r>
      <w:r w:rsidRPr="0045560E">
        <w:t xml:space="preserve"> considérations socioéconomiques </w:t>
      </w:r>
      <w:r>
        <w:t xml:space="preserve">et de mise en application, </w:t>
      </w:r>
      <w:r w:rsidRPr="0045560E">
        <w:t xml:space="preserve">sur la base des </w:t>
      </w:r>
      <w:r>
        <w:t>éléments qui figurent dans les O</w:t>
      </w:r>
      <w:r w:rsidRPr="0045560E">
        <w:t xml:space="preserve">rientations </w:t>
      </w:r>
      <w:r>
        <w:t xml:space="preserve">facultatives, </w:t>
      </w:r>
      <w:r w:rsidRPr="0045560E">
        <w:t>et de préfér</w:t>
      </w:r>
      <w:r>
        <w:t>ence sous forme d'études de cas</w:t>
      </w:r>
      <w:r w:rsidRPr="0045560E">
        <w:t>;</w:t>
      </w:r>
    </w:p>
    <w:p w14:paraId="1262D060" w14:textId="77777777" w:rsidR="007C4381" w:rsidRPr="0045560E" w:rsidRDefault="007C4381" w:rsidP="007C4381">
      <w:pPr>
        <w:pStyle w:val="Para1"/>
        <w:numPr>
          <w:ilvl w:val="0"/>
          <w:numId w:val="13"/>
        </w:numPr>
        <w:tabs>
          <w:tab w:val="clear" w:pos="360"/>
        </w:tabs>
        <w:ind w:firstLine="720"/>
      </w:pPr>
      <w:r>
        <w:rPr>
          <w:i/>
        </w:rPr>
        <w:t>Instaure</w:t>
      </w:r>
      <w:r>
        <w:t xml:space="preserve"> un forum en ligne sur les considérations socio</w:t>
      </w:r>
      <w:r w:rsidRPr="0045560E">
        <w:t xml:space="preserve">économiques </w:t>
      </w:r>
      <w:r>
        <w:t>dans le cadre du</w:t>
      </w:r>
      <w:r w:rsidRPr="0045560E">
        <w:t xml:space="preserve"> Centre d'échange pour la préventio</w:t>
      </w:r>
      <w:r>
        <w:t>n des risques biotechnologiques</w:t>
      </w:r>
      <w:r w:rsidRPr="0045560E">
        <w:t>;</w:t>
      </w:r>
    </w:p>
    <w:p w14:paraId="73E0AD77" w14:textId="77777777" w:rsidR="007C4381" w:rsidRPr="0045560E" w:rsidRDefault="007C4381" w:rsidP="007C4381">
      <w:pPr>
        <w:pStyle w:val="Para1"/>
        <w:numPr>
          <w:ilvl w:val="0"/>
          <w:numId w:val="13"/>
        </w:numPr>
        <w:tabs>
          <w:tab w:val="clear" w:pos="360"/>
        </w:tabs>
        <w:ind w:firstLine="720"/>
      </w:pPr>
      <w:r w:rsidRPr="0045560E">
        <w:rPr>
          <w:i/>
        </w:rPr>
        <w:t>Prie</w:t>
      </w:r>
      <w:r w:rsidRPr="0045560E">
        <w:t xml:space="preserve"> la Secrétaire exécutive </w:t>
      </w:r>
      <w:r>
        <w:t xml:space="preserve">de : a) </w:t>
      </w:r>
      <w:r w:rsidRPr="0045560E">
        <w:t>compiler les informations communiquées en application d</w:t>
      </w:r>
      <w:r>
        <w:t xml:space="preserve">u paragraphe 2 ci-dessus, b) </w:t>
      </w:r>
      <w:r w:rsidRPr="0045560E">
        <w:t xml:space="preserve">organiser des débats </w:t>
      </w:r>
      <w:r>
        <w:t xml:space="preserve">du forum en ligne </w:t>
      </w:r>
      <w:r w:rsidRPr="0045560E">
        <w:t>animés par un modérateur</w:t>
      </w:r>
      <w:r>
        <w:t>, afin d’obteni</w:t>
      </w:r>
      <w:r w:rsidRPr="0045560E">
        <w:t xml:space="preserve">r des observations </w:t>
      </w:r>
      <w:r>
        <w:t xml:space="preserve">et d’autres points de vue pour réviser </w:t>
      </w:r>
      <w:r w:rsidRPr="0045560E">
        <w:t>cette compilation d'informations</w:t>
      </w:r>
      <w:r>
        <w:t>,</w:t>
      </w:r>
      <w:r w:rsidRPr="0045560E">
        <w:t xml:space="preserve"> </w:t>
      </w:r>
      <w:r>
        <w:t xml:space="preserve">et c) </w:t>
      </w:r>
      <w:r w:rsidRPr="0045560E">
        <w:t>désigner, en consultation avec le Bureau de la Conférence de</w:t>
      </w:r>
      <w:r>
        <w:t>s Parties siégeant en tant que r</w:t>
      </w:r>
      <w:r w:rsidRPr="0045560E">
        <w:t xml:space="preserve">éunion des Parties au Protocole de Cartagena, deux rapporteurs chargés de résumer les débats en ligne animés </w:t>
      </w:r>
      <w:r>
        <w:t>par un modérateur et d’établir un rapport</w:t>
      </w:r>
      <w:r w:rsidRPr="0045560E">
        <w:t>;</w:t>
      </w:r>
    </w:p>
    <w:p w14:paraId="0D6BB016" w14:textId="77777777" w:rsidR="007C4381" w:rsidRPr="0045560E" w:rsidRDefault="007C4381" w:rsidP="007C4381">
      <w:pPr>
        <w:pStyle w:val="Para1"/>
        <w:numPr>
          <w:ilvl w:val="0"/>
          <w:numId w:val="13"/>
        </w:numPr>
        <w:tabs>
          <w:tab w:val="clear" w:pos="360"/>
        </w:tabs>
        <w:ind w:firstLine="720"/>
      </w:pPr>
      <w:r w:rsidRPr="0045560E">
        <w:rPr>
          <w:i/>
        </w:rPr>
        <w:t>Prolonge</w:t>
      </w:r>
      <w:r w:rsidRPr="0045560E">
        <w:t xml:space="preserve"> le mandat du Groupe spécial d'experts techniques </w:t>
      </w:r>
      <w:r>
        <w:t>sur les</w:t>
      </w:r>
      <w:r w:rsidRPr="0045560E">
        <w:t xml:space="preserve"> cons</w:t>
      </w:r>
      <w:r>
        <w:t>idérations socioéconomiques, afin</w:t>
      </w:r>
      <w:r w:rsidRPr="0045560E">
        <w:t xml:space="preserve"> qu'il examine les résultats d</w:t>
      </w:r>
      <w:r>
        <w:t>es débats du</w:t>
      </w:r>
      <w:r w:rsidRPr="0045560E">
        <w:t xml:space="preserve"> forum en ligne, conformément au mandat énoncé dans l'annexe, et </w:t>
      </w:r>
      <w:r w:rsidRPr="006D63D2">
        <w:rPr>
          <w:i/>
        </w:rPr>
        <w:t>prie</w:t>
      </w:r>
      <w:r w:rsidRPr="0045560E">
        <w:t xml:space="preserve"> la Secrétaire exécutive, en fonction des ressources disponibles, d'organiser une r</w:t>
      </w:r>
      <w:r>
        <w:t>éunion en face à face du Groupe</w:t>
      </w:r>
      <w:r w:rsidRPr="0045560E">
        <w:t>;</w:t>
      </w:r>
    </w:p>
    <w:p w14:paraId="774EE739" w14:textId="77777777" w:rsidR="007C4381" w:rsidRPr="0045560E" w:rsidRDefault="007C4381" w:rsidP="007C4381">
      <w:pPr>
        <w:pStyle w:val="Para1"/>
        <w:numPr>
          <w:ilvl w:val="0"/>
          <w:numId w:val="13"/>
        </w:numPr>
        <w:tabs>
          <w:tab w:val="clear" w:pos="360"/>
        </w:tabs>
        <w:spacing w:after="240"/>
        <w:ind w:firstLine="720"/>
      </w:pPr>
      <w:r w:rsidRPr="0045560E">
        <w:rPr>
          <w:i/>
        </w:rPr>
        <w:t>Décide</w:t>
      </w:r>
      <w:r w:rsidRPr="0045560E">
        <w:t xml:space="preserve"> d'examiner, à sa dixième réunion, les résultats du processus décrit ci-dessus.</w:t>
      </w:r>
    </w:p>
    <w:p w14:paraId="29096E7E" w14:textId="77777777" w:rsidR="007C4381" w:rsidRPr="0045560E" w:rsidRDefault="007C4381" w:rsidP="007C4381">
      <w:pPr>
        <w:pStyle w:val="Para1"/>
        <w:numPr>
          <w:ilvl w:val="0"/>
          <w:numId w:val="0"/>
        </w:numPr>
      </w:pPr>
    </w:p>
    <w:p w14:paraId="69E0AA1E" w14:textId="77777777" w:rsidR="007C4381" w:rsidRPr="0045560E" w:rsidRDefault="007C4381" w:rsidP="007C4381">
      <w:pPr>
        <w:suppressLineNumbers/>
        <w:suppressAutoHyphens/>
        <w:kinsoku w:val="0"/>
        <w:overflowPunct w:val="0"/>
        <w:autoSpaceDE w:val="0"/>
        <w:autoSpaceDN w:val="0"/>
        <w:snapToGrid w:val="0"/>
        <w:spacing w:before="120" w:after="120"/>
        <w:jc w:val="center"/>
        <w:rPr>
          <w:kern w:val="22"/>
          <w:szCs w:val="22"/>
        </w:rPr>
      </w:pPr>
      <w:r w:rsidRPr="0045560E">
        <w:rPr>
          <w:i/>
          <w:kern w:val="22"/>
          <w:szCs w:val="22"/>
        </w:rPr>
        <w:t>Annexe</w:t>
      </w:r>
    </w:p>
    <w:p w14:paraId="6AEB32A3" w14:textId="77777777" w:rsidR="007C4381" w:rsidRPr="0045560E" w:rsidRDefault="007C4381" w:rsidP="007C4381">
      <w:pPr>
        <w:suppressLineNumbers/>
        <w:suppressAutoHyphens/>
        <w:kinsoku w:val="0"/>
        <w:overflowPunct w:val="0"/>
        <w:autoSpaceDE w:val="0"/>
        <w:autoSpaceDN w:val="0"/>
        <w:snapToGrid w:val="0"/>
        <w:spacing w:before="120" w:after="240"/>
        <w:jc w:val="center"/>
        <w:rPr>
          <w:b/>
          <w:kern w:val="22"/>
          <w:szCs w:val="22"/>
        </w:rPr>
      </w:pPr>
      <w:r w:rsidRPr="0045560E">
        <w:rPr>
          <w:b/>
          <w:kern w:val="22"/>
          <w:szCs w:val="22"/>
        </w:rPr>
        <w:t>MANDAT DU GROUP</w:t>
      </w:r>
      <w:r>
        <w:rPr>
          <w:b/>
          <w:kern w:val="22"/>
          <w:szCs w:val="22"/>
        </w:rPr>
        <w:t>E SPÉCIAL D'EXPERTS TECHNIQUES SUR L</w:t>
      </w:r>
      <w:r w:rsidRPr="0045560E">
        <w:rPr>
          <w:b/>
          <w:kern w:val="22"/>
          <w:szCs w:val="22"/>
        </w:rPr>
        <w:t>ES CONSIDÉRATIONS SOCIOÉCONOMIQUES</w:t>
      </w:r>
    </w:p>
    <w:p w14:paraId="5C028D13" w14:textId="77777777" w:rsidR="007C4381" w:rsidRPr="0045560E" w:rsidRDefault="007C4381" w:rsidP="007C4381">
      <w:pPr>
        <w:suppressLineNumbers/>
        <w:suppressAutoHyphens/>
        <w:kinsoku w:val="0"/>
        <w:overflowPunct w:val="0"/>
        <w:autoSpaceDE w:val="0"/>
        <w:autoSpaceDN w:val="0"/>
        <w:snapToGrid w:val="0"/>
        <w:spacing w:before="120" w:after="120"/>
        <w:rPr>
          <w:kern w:val="22"/>
          <w:szCs w:val="22"/>
        </w:rPr>
      </w:pPr>
      <w:r w:rsidRPr="0045560E">
        <w:rPr>
          <w:kern w:val="22"/>
          <w:szCs w:val="22"/>
        </w:rPr>
        <w:t>Le Groupe</w:t>
      </w:r>
      <w:r>
        <w:rPr>
          <w:kern w:val="22"/>
          <w:szCs w:val="22"/>
        </w:rPr>
        <w:t xml:space="preserve"> spécial d'experts techniques sur le</w:t>
      </w:r>
      <w:r w:rsidRPr="0045560E">
        <w:rPr>
          <w:kern w:val="22"/>
          <w:szCs w:val="22"/>
        </w:rPr>
        <w:t>s considérations socioéconomiques :</w:t>
      </w:r>
    </w:p>
    <w:p w14:paraId="68EB0776" w14:textId="77777777" w:rsidR="007C4381" w:rsidRPr="0045560E" w:rsidRDefault="007C4381" w:rsidP="007C4381">
      <w:pPr>
        <w:suppressLineNumbers/>
        <w:suppressAutoHyphens/>
        <w:kinsoku w:val="0"/>
        <w:overflowPunct w:val="0"/>
        <w:autoSpaceDE w:val="0"/>
        <w:autoSpaceDN w:val="0"/>
        <w:snapToGrid w:val="0"/>
        <w:spacing w:before="120" w:after="120"/>
        <w:ind w:firstLine="720"/>
        <w:rPr>
          <w:kern w:val="22"/>
          <w:szCs w:val="22"/>
        </w:rPr>
      </w:pPr>
      <w:r w:rsidRPr="0045560E">
        <w:rPr>
          <w:kern w:val="22"/>
          <w:szCs w:val="22"/>
        </w:rPr>
        <w:t>a)</w:t>
      </w:r>
      <w:r w:rsidRPr="0045560E">
        <w:rPr>
          <w:kern w:val="22"/>
          <w:szCs w:val="22"/>
        </w:rPr>
        <w:tab/>
        <w:t>Examin</w:t>
      </w:r>
      <w:r>
        <w:rPr>
          <w:kern w:val="22"/>
          <w:szCs w:val="22"/>
        </w:rPr>
        <w:t>e les communications transmises</w:t>
      </w:r>
      <w:r w:rsidRPr="0045560E">
        <w:rPr>
          <w:kern w:val="22"/>
          <w:szCs w:val="22"/>
        </w:rPr>
        <w:t xml:space="preserve"> en application du paragraphe 2 de la décision</w:t>
      </w:r>
      <w:r>
        <w:rPr>
          <w:kern w:val="22"/>
          <w:szCs w:val="22"/>
        </w:rPr>
        <w:t> </w:t>
      </w:r>
      <w:r w:rsidRPr="0045560E">
        <w:rPr>
          <w:kern w:val="22"/>
          <w:szCs w:val="22"/>
        </w:rPr>
        <w:t>CP</w:t>
      </w:r>
      <w:r>
        <w:rPr>
          <w:kern w:val="22"/>
          <w:szCs w:val="22"/>
        </w:rPr>
        <w:t>-9/14,</w:t>
      </w:r>
      <w:r w:rsidRPr="0045560E">
        <w:rPr>
          <w:kern w:val="22"/>
          <w:szCs w:val="22"/>
        </w:rPr>
        <w:t xml:space="preserve"> </w:t>
      </w:r>
      <w:r>
        <w:rPr>
          <w:kern w:val="22"/>
          <w:szCs w:val="22"/>
        </w:rPr>
        <w:t>ainsi que</w:t>
      </w:r>
      <w:r w:rsidRPr="0045560E">
        <w:rPr>
          <w:kern w:val="22"/>
          <w:szCs w:val="22"/>
        </w:rPr>
        <w:t xml:space="preserve"> les résultats des discussions en ligne animées par un modérateur</w:t>
      </w:r>
      <w:r>
        <w:rPr>
          <w:kern w:val="22"/>
          <w:szCs w:val="22"/>
        </w:rPr>
        <w:t>,</w:t>
      </w:r>
      <w:r w:rsidRPr="0045560E">
        <w:rPr>
          <w:kern w:val="22"/>
          <w:szCs w:val="22"/>
        </w:rPr>
        <w:t xml:space="preserve"> et utilise ces informations pour compléter les Orientations facultatives, en indiquant pour quelle étape du processus d'éval</w:t>
      </w:r>
      <w:r>
        <w:rPr>
          <w:kern w:val="22"/>
          <w:szCs w:val="22"/>
        </w:rPr>
        <w:t>uation, comme indiqué dans les Orientations facultativ</w:t>
      </w:r>
      <w:r w:rsidRPr="0045560E">
        <w:rPr>
          <w:kern w:val="22"/>
          <w:szCs w:val="22"/>
        </w:rPr>
        <w:t>es, ces informations pourraient être pertinentes;</w:t>
      </w:r>
    </w:p>
    <w:p w14:paraId="1B8A39D9" w14:textId="77777777" w:rsidR="007C4381" w:rsidRPr="0045560E" w:rsidRDefault="007C4381" w:rsidP="007C4381">
      <w:pPr>
        <w:suppressLineNumbers/>
        <w:suppressAutoHyphens/>
        <w:kinsoku w:val="0"/>
        <w:overflowPunct w:val="0"/>
        <w:autoSpaceDE w:val="0"/>
        <w:autoSpaceDN w:val="0"/>
        <w:snapToGrid w:val="0"/>
        <w:spacing w:before="120" w:after="120"/>
        <w:ind w:firstLine="720"/>
        <w:rPr>
          <w:kern w:val="22"/>
          <w:szCs w:val="22"/>
        </w:rPr>
      </w:pPr>
      <w:r w:rsidRPr="0045560E">
        <w:rPr>
          <w:kern w:val="22"/>
          <w:szCs w:val="22"/>
        </w:rPr>
        <w:t>b)</w:t>
      </w:r>
      <w:r w:rsidRPr="0045560E">
        <w:rPr>
          <w:kern w:val="22"/>
          <w:szCs w:val="22"/>
        </w:rPr>
        <w:tab/>
      </w:r>
      <w:r>
        <w:rPr>
          <w:kern w:val="22"/>
          <w:szCs w:val="22"/>
        </w:rPr>
        <w:t xml:space="preserve"> Élabore</w:t>
      </w:r>
      <w:r w:rsidRPr="0045560E">
        <w:rPr>
          <w:kern w:val="22"/>
          <w:szCs w:val="22"/>
        </w:rPr>
        <w:t>, sur la base de cet exa</w:t>
      </w:r>
      <w:r>
        <w:rPr>
          <w:kern w:val="22"/>
          <w:szCs w:val="22"/>
        </w:rPr>
        <w:t>men, un rapport faisant état de ses travaux et présente ce rapport</w:t>
      </w:r>
      <w:r w:rsidRPr="0045560E">
        <w:rPr>
          <w:kern w:val="22"/>
          <w:szCs w:val="22"/>
        </w:rPr>
        <w:t xml:space="preserve"> à la Conférence de</w:t>
      </w:r>
      <w:r>
        <w:rPr>
          <w:kern w:val="22"/>
          <w:szCs w:val="22"/>
        </w:rPr>
        <w:t>s Parties siégeant en tant que r</w:t>
      </w:r>
      <w:r w:rsidRPr="0045560E">
        <w:rPr>
          <w:kern w:val="22"/>
          <w:szCs w:val="22"/>
        </w:rPr>
        <w:t>éunion des Parties au Protocole de Cartagena</w:t>
      </w:r>
      <w:r>
        <w:rPr>
          <w:kern w:val="22"/>
          <w:szCs w:val="22"/>
        </w:rPr>
        <w:t>,</w:t>
      </w:r>
      <w:r w:rsidRPr="0045560E">
        <w:rPr>
          <w:kern w:val="22"/>
          <w:szCs w:val="22"/>
        </w:rPr>
        <w:t xml:space="preserve"> pour examen à sa dixième réunion.</w:t>
      </w:r>
    </w:p>
    <w:p w14:paraId="39AC2F3B" w14:textId="77777777" w:rsidR="00B63B63" w:rsidRDefault="00B63B63">
      <w:pPr>
        <w:jc w:val="left"/>
        <w:rPr>
          <w:rFonts w:cs="Times New Roman"/>
          <w:b/>
          <w:snapToGrid w:val="0"/>
          <w:kern w:val="22"/>
          <w:szCs w:val="22"/>
        </w:rPr>
      </w:pPr>
      <w:r>
        <w:rPr>
          <w:rFonts w:cs="Times New Roman"/>
          <w:b/>
          <w:snapToGrid w:val="0"/>
          <w:kern w:val="22"/>
          <w:szCs w:val="22"/>
        </w:rPr>
        <w:br w:type="page"/>
      </w:r>
    </w:p>
    <w:p w14:paraId="3165A0DC" w14:textId="3675AA62" w:rsidR="00B63B63" w:rsidRPr="00EE6B5E" w:rsidRDefault="00F4211E" w:rsidP="00EE6B5E">
      <w:pPr>
        <w:pStyle w:val="Heading2"/>
        <w:rPr>
          <w:caps/>
          <w:kern w:val="22"/>
          <w:szCs w:val="22"/>
          <w:lang w:val="fr-CA"/>
        </w:rPr>
      </w:pPr>
      <w:bookmarkStart w:id="22" w:name="_Toc7428855"/>
      <w:r w:rsidRPr="00EE6B5E">
        <w:rPr>
          <w:bCs w:val="0"/>
        </w:rPr>
        <w:lastRenderedPageBreak/>
        <w:t>9/15.</w:t>
      </w:r>
      <w:r w:rsidRPr="00EE6B5E">
        <w:rPr>
          <w:bCs w:val="0"/>
        </w:rPr>
        <w:tab/>
        <w:t xml:space="preserve">Protocole additionnel de Nagoya </w:t>
      </w:r>
      <w:r w:rsidRPr="00EE6B5E">
        <w:t xml:space="preserve">– </w:t>
      </w:r>
      <w:r w:rsidRPr="00EE6B5E">
        <w:rPr>
          <w:bCs w:val="0"/>
        </w:rPr>
        <w:t>Kuala Lumpur sur la responsabilité et la réparation</w:t>
      </w:r>
      <w:bookmarkEnd w:id="22"/>
      <w:r w:rsidRPr="00EE6B5E">
        <w:rPr>
          <w:bCs w:val="0"/>
        </w:rPr>
        <w:t xml:space="preserve"> </w:t>
      </w:r>
    </w:p>
    <w:p w14:paraId="22D8DE35" w14:textId="77777777" w:rsidR="00B63B63" w:rsidRPr="00AC6FA3" w:rsidRDefault="00B63B63" w:rsidP="00EE6B5E">
      <w:pPr>
        <w:pStyle w:val="Para1"/>
        <w:numPr>
          <w:ilvl w:val="0"/>
          <w:numId w:val="0"/>
        </w:numPr>
        <w:spacing w:before="240"/>
        <w:ind w:firstLine="720"/>
        <w:rPr>
          <w:i/>
          <w:snapToGrid/>
          <w:szCs w:val="24"/>
          <w:lang w:val="fr-CA"/>
        </w:rPr>
      </w:pPr>
      <w:r w:rsidRPr="00414731">
        <w:rPr>
          <w:i/>
        </w:rPr>
        <w:t xml:space="preserve">La Conférence des Parties siégeant en tant que </w:t>
      </w:r>
      <w:r>
        <w:rPr>
          <w:i/>
        </w:rPr>
        <w:t>réunion des Parties au Pro</w:t>
      </w:r>
      <w:r w:rsidRPr="00414731">
        <w:rPr>
          <w:i/>
        </w:rPr>
        <w:t xml:space="preserve">tocole de Cartagena </w:t>
      </w:r>
      <w:r>
        <w:rPr>
          <w:i/>
        </w:rPr>
        <w:t xml:space="preserve">sur la prévention des risques biotechnologiques et </w:t>
      </w:r>
      <w:r w:rsidRPr="00414731">
        <w:rPr>
          <w:i/>
        </w:rPr>
        <w:t xml:space="preserve">siégeant en tant que </w:t>
      </w:r>
      <w:r>
        <w:rPr>
          <w:i/>
        </w:rPr>
        <w:t>réunion des Parties au Protocole additionnel de</w:t>
      </w:r>
      <w:r w:rsidRPr="00414731">
        <w:rPr>
          <w:i/>
        </w:rPr>
        <w:t xml:space="preserve"> Nagoya </w:t>
      </w:r>
      <w:r w:rsidRPr="00414731">
        <w:rPr>
          <w:rFonts w:hint="eastAsia"/>
          <w:i/>
        </w:rPr>
        <w:t>–</w:t>
      </w:r>
      <w:r>
        <w:rPr>
          <w:i/>
        </w:rPr>
        <w:t xml:space="preserve"> Kuala Lumpur sur la responsabilité et la réparation</w:t>
      </w:r>
      <w:r w:rsidRPr="003333A1">
        <w:rPr>
          <w:rStyle w:val="FootnoteReference"/>
        </w:rPr>
        <w:footnoteReference w:id="23"/>
      </w:r>
      <w:r>
        <w:rPr>
          <w:i/>
        </w:rPr>
        <w:t>,</w:t>
      </w:r>
    </w:p>
    <w:p w14:paraId="74D15943"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Accueille avec satisfaction</w:t>
      </w:r>
      <w:r w:rsidRPr="00F4211E">
        <w:rPr>
          <w:rFonts w:ascii="Times New Roman" w:hAnsi="Times New Roman"/>
          <w:b w:val="0"/>
          <w:bCs w:val="0"/>
          <w:caps w:val="0"/>
          <w:snapToGrid w:val="0"/>
          <w:szCs w:val="18"/>
        </w:rPr>
        <w:t xml:space="preserve"> l’entrée en vigueur du Protocole additionnel de Nagoya – Kuala Lumpur sur la responsabilité et la réparation relatif au Protocole de Cartagena sur la prévention des risques biotechnologiques;</w:t>
      </w:r>
    </w:p>
    <w:p w14:paraId="1E5A6085"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Félicite</w:t>
      </w:r>
      <w:r w:rsidRPr="00F4211E">
        <w:rPr>
          <w:rFonts w:ascii="Times New Roman" w:hAnsi="Times New Roman"/>
          <w:b w:val="0"/>
          <w:bCs w:val="0"/>
          <w:caps w:val="0"/>
          <w:snapToGrid w:val="0"/>
          <w:szCs w:val="18"/>
        </w:rPr>
        <w:t xml:space="preserve"> les Parties qui ont déposé leur instrument de ratification, d’acceptation, d’approbation ou d’adhésion au Protocole additionnel, et les invite instamment à prendre les mesures nécessaires pour son application;</w:t>
      </w:r>
    </w:p>
    <w:p w14:paraId="0C35877D"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Invite instamment</w:t>
      </w:r>
      <w:r w:rsidRPr="00F4211E">
        <w:rPr>
          <w:rFonts w:ascii="Times New Roman" w:hAnsi="Times New Roman"/>
          <w:b w:val="0"/>
          <w:bCs w:val="0"/>
          <w:caps w:val="0"/>
          <w:snapToGrid w:val="0"/>
          <w:szCs w:val="18"/>
        </w:rPr>
        <w:t xml:space="preserve"> les Parties au Protocole de Cartagena sur la prévention des risques biotechnologiques qui ne l’ont pas encore fait à déposer leur instrument de ratification, d’acceptation, d’approbation ou d’adhésion au Protocole additionnel, dans les plus brefs délais;</w:t>
      </w:r>
    </w:p>
    <w:p w14:paraId="7C9B9096"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Accueille</w:t>
      </w:r>
      <w:r w:rsidRPr="00F4211E">
        <w:rPr>
          <w:rFonts w:ascii="Times New Roman" w:hAnsi="Times New Roman"/>
          <w:b w:val="0"/>
          <w:bCs w:val="0"/>
          <w:caps w:val="0"/>
          <w:snapToGrid w:val="0"/>
          <w:szCs w:val="18"/>
        </w:rPr>
        <w:t xml:space="preserve"> </w:t>
      </w:r>
      <w:r w:rsidRPr="00F4211E">
        <w:rPr>
          <w:rFonts w:ascii="Times New Roman" w:hAnsi="Times New Roman"/>
          <w:b w:val="0"/>
          <w:bCs w:val="0"/>
          <w:i/>
          <w:caps w:val="0"/>
          <w:snapToGrid w:val="0"/>
          <w:szCs w:val="18"/>
        </w:rPr>
        <w:t>avec satisfaction</w:t>
      </w:r>
      <w:r w:rsidRPr="00F4211E">
        <w:rPr>
          <w:rFonts w:ascii="Times New Roman" w:hAnsi="Times New Roman"/>
          <w:b w:val="0"/>
          <w:bCs w:val="0"/>
          <w:caps w:val="0"/>
          <w:snapToGrid w:val="0"/>
          <w:szCs w:val="18"/>
        </w:rPr>
        <w:t xml:space="preserve"> les activités entreprises pour faciliter l’entrée en vigueur et l’application du Protocole additionnel, ainsi que l’aide fournie par les bailleurs de fonds dans ce but;</w:t>
      </w:r>
    </w:p>
    <w:p w14:paraId="7706C3F3"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Demande</w:t>
      </w:r>
      <w:r w:rsidRPr="00F4211E">
        <w:rPr>
          <w:rFonts w:ascii="Times New Roman" w:hAnsi="Times New Roman"/>
          <w:b w:val="0"/>
          <w:bCs w:val="0"/>
          <w:caps w:val="0"/>
          <w:snapToGrid w:val="0"/>
          <w:szCs w:val="18"/>
        </w:rPr>
        <w:t xml:space="preserve"> à la Secrétaire exécutive, dans la limite des ressources financières disponibles provenant du Fonds d’affectation spéciale volontaire, de continuer à entreprendre des activités de sensibilisation et de renforcement des capacités et de fournir une aide aux Parties pour l’application du Protocole additionnel à l’échelon national;</w:t>
      </w:r>
    </w:p>
    <w:p w14:paraId="59982C0D"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Demande</w:t>
      </w:r>
      <w:r w:rsidRPr="00F4211E">
        <w:rPr>
          <w:rFonts w:ascii="Times New Roman" w:hAnsi="Times New Roman"/>
          <w:b w:val="0"/>
          <w:bCs w:val="0"/>
          <w:caps w:val="0"/>
          <w:snapToGrid w:val="0"/>
          <w:szCs w:val="18"/>
        </w:rPr>
        <w:t xml:space="preserve"> aux Parties au Protocole additionnel de désigner une autorité compétente, afin que cette dernière s’acquitte des fonctions énumérées à l’article 5 du Protocole additionnel, et de communiquer les coordonnées de leur autorité compétente au Centre d’échange pour la prévention des risques biotechnologiques; </w:t>
      </w:r>
    </w:p>
    <w:p w14:paraId="3DDEC26B"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Demande</w:t>
      </w:r>
      <w:r w:rsidRPr="00F4211E">
        <w:rPr>
          <w:rFonts w:ascii="Times New Roman" w:hAnsi="Times New Roman"/>
          <w:b w:val="0"/>
          <w:bCs w:val="0"/>
          <w:caps w:val="0"/>
          <w:snapToGrid w:val="0"/>
          <w:szCs w:val="18"/>
        </w:rPr>
        <w:t xml:space="preserve"> aux Parties au Protocole additionnel et </w:t>
      </w:r>
      <w:r w:rsidRPr="00F4211E">
        <w:rPr>
          <w:rFonts w:ascii="Times New Roman" w:hAnsi="Times New Roman"/>
          <w:b w:val="0"/>
          <w:bCs w:val="0"/>
          <w:i/>
          <w:caps w:val="0"/>
          <w:snapToGrid w:val="0"/>
          <w:szCs w:val="18"/>
        </w:rPr>
        <w:t>invite</w:t>
      </w:r>
      <w:r w:rsidRPr="00F4211E">
        <w:rPr>
          <w:rFonts w:ascii="Times New Roman" w:hAnsi="Times New Roman"/>
          <w:b w:val="0"/>
          <w:bCs w:val="0"/>
          <w:caps w:val="0"/>
          <w:snapToGrid w:val="0"/>
          <w:szCs w:val="18"/>
        </w:rPr>
        <w:t xml:space="preserve"> les autres gouvernements à rendre compte des mesures qu’ils ont prises pour appliquer le Protocole additionnel, en répondant aux questions relatives à ce dernier dans le modèle de quatrième rapport national au titre du Protocole de Cartagena, qui figure dans l’annexe à la décision CP-9/5;</w:t>
      </w:r>
    </w:p>
    <w:p w14:paraId="25D55897" w14:textId="77777777" w:rsidR="00B63B63" w:rsidRPr="00F4211E" w:rsidRDefault="00B63B63" w:rsidP="004C7DBD">
      <w:pPr>
        <w:pStyle w:val="HEADING"/>
        <w:keepNext w:val="0"/>
        <w:numPr>
          <w:ilvl w:val="0"/>
          <w:numId w:val="45"/>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i/>
          <w:caps w:val="0"/>
          <w:snapToGrid w:val="0"/>
          <w:szCs w:val="18"/>
        </w:rPr>
        <w:t>Demande</w:t>
      </w:r>
      <w:r w:rsidRPr="00F4211E">
        <w:rPr>
          <w:rFonts w:ascii="Times New Roman" w:hAnsi="Times New Roman"/>
          <w:b w:val="0"/>
          <w:bCs w:val="0"/>
          <w:caps w:val="0"/>
          <w:snapToGrid w:val="0"/>
          <w:szCs w:val="18"/>
        </w:rPr>
        <w:t xml:space="preserve"> à la Secrétaire exécutive d’entreprendre une étude complète, dans la limite des ressources financières disponibles provenant du Fonds d’affectation spéciale volontaire, aux fins d’examen par la Conférence des Parties siégeant en tant que réunion des Parties au Protocole de Cartagena sur la prévention des risques biotechnologiques et siégeant en tant que réunion des Parties au Protocole additionnel, à sa prochaine réunion, et abordant les questions suivantes :</w:t>
      </w:r>
    </w:p>
    <w:p w14:paraId="04B46AE8" w14:textId="77777777" w:rsidR="00B63B63" w:rsidRPr="00F4211E" w:rsidRDefault="00B63B63" w:rsidP="004C7DBD">
      <w:pPr>
        <w:pStyle w:val="HEADING"/>
        <w:keepNext w:val="0"/>
        <w:numPr>
          <w:ilvl w:val="0"/>
          <w:numId w:val="44"/>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caps w:val="0"/>
          <w:snapToGrid w:val="0"/>
          <w:szCs w:val="18"/>
        </w:rPr>
        <w:t>Les modalités des mécanismes de garantie financière;</w:t>
      </w:r>
    </w:p>
    <w:p w14:paraId="1875F5CA" w14:textId="77777777" w:rsidR="00B63B63" w:rsidRPr="00F4211E" w:rsidRDefault="00B63B63" w:rsidP="004C7DBD">
      <w:pPr>
        <w:pStyle w:val="HEADING"/>
        <w:keepNext w:val="0"/>
        <w:numPr>
          <w:ilvl w:val="0"/>
          <w:numId w:val="44"/>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caps w:val="0"/>
          <w:snapToGrid w:val="0"/>
          <w:szCs w:val="18"/>
        </w:rPr>
        <w:t>Une évaluation des impacts environnementaux, économiques et sociaux de tels mécanismes, en particulier sur les pays en développement;</w:t>
      </w:r>
    </w:p>
    <w:p w14:paraId="00630002" w14:textId="77777777" w:rsidR="00B63B63" w:rsidRPr="00F4211E" w:rsidRDefault="00B63B63" w:rsidP="004C7DBD">
      <w:pPr>
        <w:pStyle w:val="HEADING"/>
        <w:keepNext w:val="0"/>
        <w:numPr>
          <w:ilvl w:val="0"/>
          <w:numId w:val="44"/>
        </w:numPr>
        <w:tabs>
          <w:tab w:val="clear" w:pos="426"/>
        </w:tabs>
        <w:ind w:left="0" w:firstLine="709"/>
        <w:jc w:val="both"/>
        <w:rPr>
          <w:rFonts w:ascii="Times New Roman" w:hAnsi="Times New Roman"/>
          <w:b w:val="0"/>
          <w:bCs w:val="0"/>
          <w:caps w:val="0"/>
          <w:snapToGrid w:val="0"/>
          <w:szCs w:val="18"/>
        </w:rPr>
      </w:pPr>
      <w:r w:rsidRPr="00F4211E">
        <w:rPr>
          <w:rFonts w:ascii="Times New Roman" w:hAnsi="Times New Roman"/>
          <w:b w:val="0"/>
          <w:bCs w:val="0"/>
          <w:caps w:val="0"/>
          <w:snapToGrid w:val="0"/>
          <w:szCs w:val="18"/>
        </w:rPr>
        <w:t>Un recensement des entités appropriées qui fournissent une garantie financière;</w:t>
      </w:r>
    </w:p>
    <w:p w14:paraId="7103F3FC" w14:textId="77777777" w:rsidR="00B63B63" w:rsidRPr="00760C21" w:rsidRDefault="00B63B63" w:rsidP="00B63B63">
      <w:pPr>
        <w:pStyle w:val="Para1"/>
        <w:numPr>
          <w:ilvl w:val="0"/>
          <w:numId w:val="0"/>
        </w:numPr>
        <w:spacing w:after="360"/>
        <w:ind w:firstLine="709"/>
      </w:pPr>
      <w:r w:rsidRPr="00F4211E">
        <w:t>9.</w:t>
      </w:r>
      <w:r w:rsidRPr="00F4211E">
        <w:tab/>
      </w:r>
      <w:r w:rsidRPr="00F4211E">
        <w:rPr>
          <w:i/>
        </w:rPr>
        <w:t>Demande</w:t>
      </w:r>
      <w:r w:rsidRPr="00F4211E">
        <w:t xml:space="preserve"> </w:t>
      </w:r>
      <w:r w:rsidRPr="00F4211E">
        <w:rPr>
          <w:i/>
        </w:rPr>
        <w:t>également</w:t>
      </w:r>
      <w:r w:rsidRPr="00F4211E">
        <w:t xml:space="preserve"> à la Secrétaire exécutive de créer un modèle commun approprié dans le Centre d’échange pour la prévention des risques biotechnologiques, afin d’aider les Parties à communiquer les coordonnées de leurs</w:t>
      </w:r>
      <w:r w:rsidRPr="00760C21">
        <w:t xml:space="preserve"> autor</w:t>
      </w:r>
      <w:r>
        <w:t>ités compétentes, en application de</w:t>
      </w:r>
      <w:r w:rsidRPr="00760C21">
        <w:t xml:space="preserve"> l’article 5 du Protocol</w:t>
      </w:r>
      <w:r>
        <w:t>e additionnel.</w:t>
      </w:r>
    </w:p>
    <w:p w14:paraId="16A85220" w14:textId="77777777" w:rsidR="00B63B63" w:rsidRDefault="00B63B63">
      <w:pPr>
        <w:jc w:val="left"/>
        <w:rPr>
          <w:rFonts w:cs="Times New Roman"/>
          <w:b/>
          <w:snapToGrid w:val="0"/>
          <w:kern w:val="22"/>
          <w:szCs w:val="22"/>
        </w:rPr>
      </w:pPr>
      <w:r>
        <w:rPr>
          <w:rFonts w:cs="Times New Roman"/>
          <w:b/>
          <w:snapToGrid w:val="0"/>
          <w:kern w:val="22"/>
          <w:szCs w:val="22"/>
        </w:rPr>
        <w:br w:type="page"/>
      </w:r>
    </w:p>
    <w:p w14:paraId="517D2323" w14:textId="77777777" w:rsidR="00B63B63" w:rsidRPr="00E311E7" w:rsidRDefault="00B63B63" w:rsidP="00B63B63">
      <w:pPr>
        <w:pStyle w:val="Heading1"/>
        <w:suppressLineNumbers/>
        <w:suppressAutoHyphens/>
        <w:spacing w:after="360"/>
        <w:rPr>
          <w:snapToGrid w:val="0"/>
          <w:kern w:val="22"/>
        </w:rPr>
      </w:pPr>
      <w:bookmarkStart w:id="23" w:name="_Toc7428856"/>
      <w:r w:rsidRPr="00E311E7">
        <w:rPr>
          <w:snapToGrid w:val="0"/>
          <w:kern w:val="22"/>
        </w:rPr>
        <w:lastRenderedPageBreak/>
        <w:t>9/16.</w:t>
      </w:r>
      <w:r w:rsidRPr="00E311E7">
        <w:rPr>
          <w:snapToGrid w:val="0"/>
          <w:kern w:val="22"/>
        </w:rPr>
        <w:tab/>
        <w:t>P</w:t>
      </w:r>
      <w:r w:rsidRPr="00E311E7">
        <w:rPr>
          <w:caps w:val="0"/>
          <w:snapToGrid w:val="0"/>
          <w:kern w:val="22"/>
        </w:rPr>
        <w:t>rogramme de travail et budget (Protocole de Cartagena)</w:t>
      </w:r>
      <w:bookmarkEnd w:id="23"/>
    </w:p>
    <w:p w14:paraId="48B9D9D2" w14:textId="77777777" w:rsidR="00B63B63" w:rsidRPr="00E311E7" w:rsidRDefault="00B63B63" w:rsidP="00B63B63">
      <w:pPr>
        <w:suppressLineNumbers/>
        <w:shd w:val="clear" w:color="auto" w:fill="FFFFFF" w:themeFill="background1"/>
        <w:suppressAutoHyphens/>
        <w:spacing w:before="120" w:after="120"/>
        <w:ind w:firstLine="720"/>
        <w:rPr>
          <w:rFonts w:eastAsia="Malgun Gothic"/>
          <w:i/>
          <w:snapToGrid w:val="0"/>
          <w:kern w:val="22"/>
        </w:rPr>
      </w:pPr>
      <w:r w:rsidRPr="00414731">
        <w:rPr>
          <w:i/>
          <w:kern w:val="22"/>
          <w:szCs w:val="22"/>
        </w:rPr>
        <w:t xml:space="preserve">La Conférence des Parties siégeant en tant que </w:t>
      </w:r>
      <w:r>
        <w:rPr>
          <w:i/>
          <w:kern w:val="22"/>
          <w:szCs w:val="22"/>
        </w:rPr>
        <w:t>réunion des Parties au Pro</w:t>
      </w:r>
      <w:r w:rsidRPr="00414731">
        <w:rPr>
          <w:i/>
          <w:kern w:val="22"/>
          <w:szCs w:val="22"/>
        </w:rPr>
        <w:t xml:space="preserve">tocole de Cartagena </w:t>
      </w:r>
      <w:r>
        <w:rPr>
          <w:i/>
          <w:kern w:val="22"/>
          <w:szCs w:val="22"/>
        </w:rPr>
        <w:t>sur la prévention des risques biotechnologiques</w:t>
      </w:r>
      <w:r w:rsidRPr="00E311E7">
        <w:rPr>
          <w:rFonts w:eastAsia="Malgun Gothic"/>
          <w:i/>
          <w:snapToGrid w:val="0"/>
          <w:kern w:val="22"/>
        </w:rPr>
        <w:t>,</w:t>
      </w:r>
    </w:p>
    <w:p w14:paraId="1CE61A8B" w14:textId="77777777" w:rsidR="00B63B63" w:rsidRPr="00E311E7" w:rsidRDefault="00B63B63" w:rsidP="00B63B63">
      <w:pPr>
        <w:suppressLineNumbers/>
        <w:shd w:val="clear" w:color="auto" w:fill="FFFFFF" w:themeFill="background1"/>
        <w:suppressAutoHyphens/>
        <w:spacing w:before="120" w:after="120"/>
        <w:ind w:firstLine="720"/>
        <w:rPr>
          <w:rFonts w:eastAsia="Malgun Gothic"/>
          <w:snapToGrid w:val="0"/>
          <w:kern w:val="22"/>
          <w:lang w:eastAsia="x-none"/>
        </w:rPr>
      </w:pPr>
      <w:r w:rsidRPr="00E311E7">
        <w:rPr>
          <w:rFonts w:eastAsia="Malgun Gothic"/>
          <w:i/>
          <w:snapToGrid w:val="0"/>
          <w:kern w:val="22"/>
          <w:lang w:eastAsia="x-none"/>
        </w:rPr>
        <w:t xml:space="preserve">Rappelant </w:t>
      </w:r>
      <w:r w:rsidRPr="00E311E7">
        <w:rPr>
          <w:rFonts w:eastAsia="Malgun Gothic"/>
          <w:snapToGrid w:val="0"/>
          <w:kern w:val="22"/>
          <w:lang w:eastAsia="x-none"/>
        </w:rPr>
        <w:t xml:space="preserve">sa décision </w:t>
      </w:r>
      <w:hyperlink r:id="rId29" w:history="1">
        <w:r w:rsidRPr="00E311E7">
          <w:rPr>
            <w:rStyle w:val="Hyperlink"/>
            <w:rFonts w:eastAsia="Malgun Gothic"/>
            <w:snapToGrid w:val="0"/>
            <w:kern w:val="22"/>
            <w:lang w:eastAsia="x-none"/>
          </w:rPr>
          <w:t>VIII/7</w:t>
        </w:r>
      </w:hyperlink>
      <w:r w:rsidRPr="00E311E7">
        <w:rPr>
          <w:rFonts w:eastAsia="Malgun Gothic"/>
          <w:snapToGrid w:val="0"/>
          <w:kern w:val="22"/>
          <w:lang w:eastAsia="x-none"/>
        </w:rPr>
        <w:t xml:space="preserve">, et la décision </w:t>
      </w:r>
      <w:hyperlink r:id="rId30" w:history="1">
        <w:r w:rsidRPr="00E311E7">
          <w:rPr>
            <w:rStyle w:val="Hyperlink"/>
            <w:rFonts w:eastAsia="Malgun Gothic"/>
            <w:snapToGrid w:val="0"/>
            <w:kern w:val="22"/>
            <w:lang w:eastAsia="x-none"/>
          </w:rPr>
          <w:t>XIII/32</w:t>
        </w:r>
      </w:hyperlink>
      <w:r w:rsidRPr="00E311E7">
        <w:rPr>
          <w:rFonts w:eastAsia="Malgun Gothic"/>
          <w:snapToGrid w:val="0"/>
          <w:kern w:val="22"/>
          <w:lang w:eastAsia="x-none"/>
        </w:rPr>
        <w:t xml:space="preserve"> </w:t>
      </w:r>
      <w:r w:rsidRPr="00E311E7">
        <w:rPr>
          <w:iCs/>
          <w:color w:val="0D0D0D"/>
          <w:kern w:val="22"/>
        </w:rPr>
        <w:t xml:space="preserve">de la </w:t>
      </w:r>
      <w:r w:rsidRPr="00E311E7">
        <w:rPr>
          <w:iCs/>
          <w:color w:val="0D0D0D"/>
          <w:kern w:val="22"/>
          <w:sz w:val="21"/>
          <w:szCs w:val="21"/>
        </w:rPr>
        <w:t>Conférence des Parties</w:t>
      </w:r>
      <w:r w:rsidRPr="00E311E7">
        <w:rPr>
          <w:iCs/>
          <w:color w:val="0D0D0D"/>
          <w:kern w:val="22"/>
        </w:rPr>
        <w:t xml:space="preserve"> à la </w:t>
      </w:r>
      <w:r w:rsidRPr="00E311E7">
        <w:rPr>
          <w:rFonts w:eastAsia="Malgun Gothic"/>
          <w:snapToGrid w:val="0"/>
          <w:kern w:val="22"/>
          <w:lang w:eastAsia="x-none"/>
        </w:rPr>
        <w:t xml:space="preserve">Convention sur la diversité biologique, </w:t>
      </w:r>
      <w:r>
        <w:rPr>
          <w:rFonts w:eastAsia="Malgun Gothic"/>
          <w:kern w:val="22"/>
          <w:lang w:eastAsia="x-none"/>
        </w:rPr>
        <w:t>ainsi que la</w:t>
      </w:r>
      <w:r w:rsidRPr="00E311E7">
        <w:rPr>
          <w:rFonts w:eastAsia="Malgun Gothic"/>
          <w:kern w:val="22"/>
          <w:lang w:eastAsia="x-none"/>
        </w:rPr>
        <w:t xml:space="preserve"> </w:t>
      </w:r>
      <w:r>
        <w:rPr>
          <w:rFonts w:eastAsia="Malgun Gothic"/>
          <w:snapToGrid w:val="0"/>
          <w:kern w:val="22"/>
          <w:lang w:eastAsia="x-none"/>
        </w:rPr>
        <w:t>dé</w:t>
      </w:r>
      <w:r w:rsidRPr="00E311E7">
        <w:rPr>
          <w:rFonts w:eastAsia="Malgun Gothic"/>
          <w:snapToGrid w:val="0"/>
          <w:kern w:val="22"/>
          <w:lang w:eastAsia="x-none"/>
        </w:rPr>
        <w:t xml:space="preserve">cision </w:t>
      </w:r>
      <w:hyperlink r:id="rId31" w:history="1">
        <w:r w:rsidRPr="00E311E7">
          <w:rPr>
            <w:rStyle w:val="Hyperlink"/>
            <w:rFonts w:eastAsia="Malgun Gothic"/>
            <w:snapToGrid w:val="0"/>
            <w:kern w:val="22"/>
            <w:lang w:eastAsia="x-none"/>
          </w:rPr>
          <w:t>NP-2/13</w:t>
        </w:r>
      </w:hyperlink>
      <w:r w:rsidRPr="00E311E7">
        <w:rPr>
          <w:rFonts w:eastAsia="Malgun Gothic"/>
          <w:snapToGrid w:val="0"/>
          <w:kern w:val="22"/>
          <w:lang w:eastAsia="x-none"/>
        </w:rPr>
        <w:t xml:space="preserve"> </w:t>
      </w:r>
      <w:r w:rsidRPr="00A50737">
        <w:rPr>
          <w:iCs/>
          <w:color w:val="0D0D0D"/>
          <w:kern w:val="22"/>
          <w:lang w:val="fr-CA"/>
        </w:rPr>
        <w:t xml:space="preserve">de la </w:t>
      </w:r>
      <w:r w:rsidRPr="00A50737">
        <w:rPr>
          <w:iCs/>
          <w:color w:val="0D0D0D"/>
          <w:kern w:val="22"/>
          <w:sz w:val="21"/>
          <w:szCs w:val="21"/>
        </w:rPr>
        <w:t>Conférence des Parties</w:t>
      </w:r>
      <w:r w:rsidRPr="00A50737">
        <w:rPr>
          <w:iCs/>
          <w:color w:val="0D0D0D"/>
          <w:kern w:val="22"/>
          <w:lang w:val="fr-CA"/>
        </w:rPr>
        <w:t xml:space="preserve"> siégeant en tant que réunion des Parties au Protocole de Nagoya sur l’accès</w:t>
      </w:r>
      <w:r>
        <w:rPr>
          <w:rFonts w:eastAsia="Malgun Gothic"/>
          <w:snapToGrid w:val="0"/>
          <w:kern w:val="22"/>
          <w:lang w:eastAsia="x-none"/>
        </w:rPr>
        <w:t xml:space="preserve"> et le partage des avantages</w:t>
      </w:r>
      <w:r w:rsidRPr="00E311E7">
        <w:rPr>
          <w:rFonts w:eastAsia="Malgun Gothic"/>
          <w:snapToGrid w:val="0"/>
          <w:kern w:val="22"/>
          <w:lang w:eastAsia="x-none"/>
        </w:rPr>
        <w:t>,</w:t>
      </w:r>
    </w:p>
    <w:p w14:paraId="42950463" w14:textId="77777777" w:rsidR="00B63B63" w:rsidRPr="00E311E7" w:rsidRDefault="00B63B63" w:rsidP="00B63B63">
      <w:pPr>
        <w:suppressLineNumbers/>
        <w:suppressAutoHyphens/>
        <w:spacing w:before="120" w:after="120"/>
        <w:ind w:firstLine="720"/>
        <w:rPr>
          <w:rFonts w:eastAsia="Malgun Gothic"/>
          <w:color w:val="000000"/>
          <w:kern w:val="22"/>
          <w:lang w:eastAsia="x-none"/>
        </w:rPr>
      </w:pPr>
      <w:r>
        <w:rPr>
          <w:i/>
          <w:color w:val="000000"/>
          <w:kern w:val="22"/>
          <w:szCs w:val="22"/>
          <w:lang w:eastAsia="fr-FR"/>
        </w:rPr>
        <w:t>Rappelant également</w:t>
      </w:r>
      <w:r w:rsidRPr="00E311E7">
        <w:rPr>
          <w:i/>
          <w:color w:val="000000"/>
          <w:kern w:val="22"/>
          <w:szCs w:val="22"/>
          <w:lang w:eastAsia="fr-FR"/>
        </w:rPr>
        <w:t xml:space="preserve"> </w:t>
      </w:r>
      <w:r w:rsidRPr="00E311E7">
        <w:rPr>
          <w:color w:val="000000"/>
          <w:kern w:val="22"/>
          <w:szCs w:val="22"/>
          <w:lang w:eastAsia="fr-FR"/>
        </w:rPr>
        <w:t xml:space="preserve">la décision </w:t>
      </w:r>
      <w:hyperlink r:id="rId32" w:history="1">
        <w:r w:rsidRPr="00E311E7">
          <w:rPr>
            <w:rStyle w:val="Hyperlink"/>
            <w:kern w:val="22"/>
            <w:szCs w:val="22"/>
            <w:lang w:eastAsia="fr-FR"/>
          </w:rPr>
          <w:t>III/1</w:t>
        </w:r>
      </w:hyperlink>
      <w:r w:rsidRPr="00E311E7">
        <w:rPr>
          <w:color w:val="000000"/>
          <w:kern w:val="22"/>
          <w:szCs w:val="22"/>
          <w:lang w:eastAsia="fr-FR"/>
        </w:rPr>
        <w:t xml:space="preserve">, </w:t>
      </w:r>
      <w:r>
        <w:rPr>
          <w:color w:val="000000"/>
          <w:kern w:val="22"/>
          <w:szCs w:val="22"/>
          <w:lang w:eastAsia="fr-FR"/>
        </w:rPr>
        <w:t>qui précise</w:t>
      </w:r>
      <w:r w:rsidRPr="00E311E7">
        <w:rPr>
          <w:color w:val="000000"/>
          <w:kern w:val="22"/>
          <w:szCs w:val="22"/>
          <w:lang w:eastAsia="fr-FR"/>
        </w:rPr>
        <w:t xml:space="preserve"> que les propositions de budget devraient </w:t>
      </w:r>
      <w:r>
        <w:rPr>
          <w:color w:val="000000"/>
          <w:kern w:val="22"/>
          <w:szCs w:val="22"/>
          <w:lang w:eastAsia="fr-FR"/>
        </w:rPr>
        <w:t>être distribuées</w:t>
      </w:r>
      <w:r w:rsidRPr="00E311E7">
        <w:rPr>
          <w:color w:val="000000"/>
          <w:kern w:val="22"/>
          <w:szCs w:val="22"/>
          <w:lang w:eastAsia="fr-FR"/>
        </w:rPr>
        <w:t xml:space="preserve"> 90 </w:t>
      </w:r>
      <w:r>
        <w:rPr>
          <w:color w:val="000000"/>
          <w:kern w:val="22"/>
          <w:szCs w:val="22"/>
          <w:lang w:eastAsia="fr-FR"/>
        </w:rPr>
        <w:t>jours avant les réunions de la Conférence des</w:t>
      </w:r>
      <w:r w:rsidRPr="00E311E7">
        <w:rPr>
          <w:color w:val="000000"/>
          <w:kern w:val="22"/>
          <w:szCs w:val="22"/>
          <w:lang w:eastAsia="fr-FR"/>
        </w:rPr>
        <w:t xml:space="preserve"> Parties,</w:t>
      </w:r>
    </w:p>
    <w:p w14:paraId="69D62526" w14:textId="77777777" w:rsidR="00B63B63" w:rsidRPr="00E311E7" w:rsidRDefault="00B63B63" w:rsidP="00B63B63">
      <w:pPr>
        <w:suppressLineNumbers/>
        <w:suppressAutoHyphens/>
        <w:spacing w:before="120" w:after="120"/>
        <w:ind w:firstLine="720"/>
        <w:rPr>
          <w:rFonts w:eastAsia="Malgun Gothic"/>
          <w:color w:val="000000"/>
          <w:kern w:val="22"/>
          <w:lang w:eastAsia="x-none"/>
        </w:rPr>
      </w:pPr>
      <w:r w:rsidRPr="00E311E7">
        <w:rPr>
          <w:rFonts w:eastAsia="Malgun Gothic"/>
          <w:i/>
          <w:color w:val="000000"/>
          <w:kern w:val="22"/>
          <w:lang w:eastAsia="x-none"/>
        </w:rPr>
        <w:t xml:space="preserve">Rappelant en outre </w:t>
      </w:r>
      <w:r w:rsidRPr="00E311E7">
        <w:rPr>
          <w:rFonts w:eastAsia="Malgun Gothic"/>
          <w:color w:val="000000"/>
          <w:kern w:val="22"/>
          <w:lang w:eastAsia="x-none"/>
        </w:rPr>
        <w:t>la résolution 2/18</w:t>
      </w:r>
      <w:r w:rsidRPr="00E311E7">
        <w:rPr>
          <w:rFonts w:eastAsia="Malgun Gothic"/>
          <w:i/>
          <w:color w:val="000000"/>
          <w:kern w:val="22"/>
          <w:lang w:eastAsia="x-none"/>
        </w:rPr>
        <w:t xml:space="preserve"> </w:t>
      </w:r>
      <w:r>
        <w:rPr>
          <w:rFonts w:eastAsia="Malgun Gothic"/>
          <w:color w:val="000000"/>
          <w:kern w:val="18"/>
          <w:lang w:eastAsia="x-none"/>
        </w:rPr>
        <w:t>de l’Assemblée des Nations Unies pour l’environnement</w:t>
      </w:r>
      <w:r w:rsidRPr="00E311E7">
        <w:rPr>
          <w:rFonts w:eastAsia="Malgun Gothic"/>
          <w:color w:val="000000"/>
          <w:kern w:val="22"/>
          <w:lang w:eastAsia="x-none"/>
        </w:rPr>
        <w:t xml:space="preserve"> </w:t>
      </w:r>
      <w:r>
        <w:rPr>
          <w:rFonts w:eastAsia="Malgun Gothic"/>
          <w:color w:val="000000"/>
          <w:kern w:val="18"/>
          <w:lang w:eastAsia="x-none"/>
        </w:rPr>
        <w:t>sur les relations entre le Programme des Nations Unies pour l’environnement et les accords multilatéraux sur l’environnement dont il assure le secrétariat</w:t>
      </w:r>
      <w:r w:rsidRPr="00E311E7">
        <w:rPr>
          <w:rFonts w:eastAsia="Malgun Gothic"/>
          <w:color w:val="000000"/>
          <w:kern w:val="22"/>
          <w:lang w:eastAsia="x-none"/>
        </w:rPr>
        <w:t>,</w:t>
      </w:r>
    </w:p>
    <w:p w14:paraId="575C252E" w14:textId="77777777" w:rsidR="00B63B63" w:rsidRPr="00E311E7" w:rsidRDefault="00B63B63" w:rsidP="00B63B63">
      <w:pPr>
        <w:suppressLineNumbers/>
        <w:shd w:val="clear" w:color="auto" w:fill="FFFFFF" w:themeFill="background1"/>
        <w:suppressAutoHyphens/>
        <w:spacing w:before="120" w:after="120"/>
        <w:ind w:firstLine="720"/>
        <w:rPr>
          <w:rFonts w:eastAsia="Malgun Gothic"/>
          <w:iCs/>
          <w:snapToGrid w:val="0"/>
          <w:kern w:val="22"/>
          <w:lang w:eastAsia="ko-KR"/>
        </w:rPr>
      </w:pPr>
      <w:r w:rsidRPr="00E311E7">
        <w:rPr>
          <w:kern w:val="22"/>
        </w:rPr>
        <w:t>1.</w:t>
      </w:r>
      <w:r w:rsidRPr="00E311E7">
        <w:rPr>
          <w:rFonts w:eastAsia="Malgun Gothic"/>
          <w:snapToGrid w:val="0"/>
          <w:kern w:val="22"/>
          <w:lang w:eastAsia="ko-KR"/>
        </w:rPr>
        <w:tab/>
      </w:r>
      <w:r w:rsidRPr="00162DB6">
        <w:rPr>
          <w:i/>
          <w:color w:val="0D0D0D"/>
          <w:lang w:val="fr-CA"/>
        </w:rPr>
        <w:t>Décide</w:t>
      </w:r>
      <w:r w:rsidRPr="00162DB6">
        <w:rPr>
          <w:i/>
          <w:color w:val="0D0D0D"/>
          <w:kern w:val="22"/>
          <w:lang w:val="fr-CA"/>
        </w:rPr>
        <w:t xml:space="preserve"> </w:t>
      </w:r>
      <w:r w:rsidRPr="00162DB6">
        <w:rPr>
          <w:color w:val="0D0D0D"/>
          <w:kern w:val="22"/>
          <w:lang w:val="fr-CA"/>
        </w:rPr>
        <w:t xml:space="preserve">d’adopter </w:t>
      </w:r>
      <w:r>
        <w:rPr>
          <w:color w:val="0D0D0D"/>
          <w:kern w:val="22"/>
          <w:lang w:val="fr-CA"/>
        </w:rPr>
        <w:t>un programme de travail et un budget intégrés pour</w:t>
      </w:r>
      <w:r w:rsidRPr="00162DB6">
        <w:rPr>
          <w:color w:val="0D0D0D"/>
          <w:kern w:val="22"/>
          <w:lang w:val="fr-CA"/>
        </w:rPr>
        <w:t xml:space="preserve"> la Convention sur la </w:t>
      </w:r>
      <w:r w:rsidRPr="00162DB6">
        <w:rPr>
          <w:snapToGrid w:val="0"/>
          <w:color w:val="0D0D0D"/>
          <w:kern w:val="22"/>
          <w:lang w:bidi="fr-FR"/>
        </w:rPr>
        <w:t>diversité biologique</w:t>
      </w:r>
      <w:r>
        <w:rPr>
          <w:color w:val="0D0D0D"/>
          <w:kern w:val="22"/>
          <w:lang w:val="fr-CA"/>
        </w:rPr>
        <w:t>, le</w:t>
      </w:r>
      <w:r w:rsidRPr="00162DB6">
        <w:rPr>
          <w:color w:val="0D0D0D"/>
          <w:kern w:val="22"/>
          <w:lang w:val="fr-CA"/>
        </w:rPr>
        <w:t xml:space="preserve"> Protocole</w:t>
      </w:r>
      <w:r w:rsidRPr="00162DB6">
        <w:rPr>
          <w:iCs/>
          <w:color w:val="0D0D0D"/>
          <w:kern w:val="22"/>
          <w:lang w:val="fr-CA"/>
        </w:rPr>
        <w:t xml:space="preserve"> de Cartagena sur la prévention des</w:t>
      </w:r>
      <w:r>
        <w:rPr>
          <w:iCs/>
          <w:color w:val="0D0D0D"/>
          <w:kern w:val="22"/>
          <w:lang w:val="fr-CA"/>
        </w:rPr>
        <w:t xml:space="preserve"> risques biotechnologiques et le</w:t>
      </w:r>
      <w:r w:rsidRPr="00162DB6">
        <w:rPr>
          <w:iCs/>
          <w:color w:val="0D0D0D"/>
          <w:kern w:val="22"/>
          <w:lang w:val="fr-CA"/>
        </w:rPr>
        <w:t xml:space="preserve"> Protocole de Nagoya sur l’accès </w:t>
      </w:r>
      <w:r>
        <w:rPr>
          <w:rFonts w:eastAsia="Malgun Gothic"/>
          <w:iCs/>
          <w:snapToGrid w:val="0"/>
          <w:kern w:val="22"/>
          <w:lang w:eastAsia="ko-KR"/>
        </w:rPr>
        <w:t>et le partage des avantages</w:t>
      </w:r>
      <w:r w:rsidRPr="00E311E7">
        <w:rPr>
          <w:rFonts w:eastAsia="Malgun Gothic"/>
          <w:iCs/>
          <w:snapToGrid w:val="0"/>
          <w:kern w:val="22"/>
          <w:lang w:eastAsia="ko-KR"/>
        </w:rPr>
        <w:t>;</w:t>
      </w:r>
    </w:p>
    <w:p w14:paraId="050B31A7" w14:textId="77777777" w:rsidR="00B63B63" w:rsidRPr="00E311E7" w:rsidRDefault="00B63B63" w:rsidP="00B63B63">
      <w:pPr>
        <w:suppressLineNumbers/>
        <w:shd w:val="clear" w:color="auto" w:fill="FFFFFF" w:themeFill="background1"/>
        <w:suppressAutoHyphens/>
        <w:spacing w:before="120" w:after="120"/>
        <w:ind w:firstLine="720"/>
        <w:rPr>
          <w:rFonts w:eastAsia="Malgun Gothic"/>
          <w:snapToGrid w:val="0"/>
          <w:kern w:val="22"/>
          <w:lang w:eastAsia="x-none"/>
        </w:rPr>
      </w:pPr>
      <w:r w:rsidRPr="00E311E7">
        <w:rPr>
          <w:kern w:val="22"/>
        </w:rPr>
        <w:t>2.</w:t>
      </w:r>
      <w:r>
        <w:rPr>
          <w:rFonts w:eastAsia="Malgun Gothic"/>
          <w:i/>
          <w:iCs/>
          <w:snapToGrid w:val="0"/>
          <w:kern w:val="22"/>
          <w:lang w:eastAsia="ko-KR"/>
        </w:rPr>
        <w:tab/>
      </w:r>
      <w:r w:rsidRPr="00162DB6">
        <w:rPr>
          <w:i/>
          <w:color w:val="0D0D0D"/>
        </w:rPr>
        <w:t>Décide également</w:t>
      </w:r>
      <w:r w:rsidRPr="00162DB6">
        <w:rPr>
          <w:color w:val="0D0D0D"/>
        </w:rPr>
        <w:t xml:space="preserve"> de répartir l’ensemble des coûts des services de secrétariat entre la Convention, le Protocole de Cartagena et le Protocole de Nagoya selon un ratio </w:t>
      </w:r>
      <w:r>
        <w:rPr>
          <w:rFonts w:eastAsia="Malgun Gothic"/>
          <w:iCs/>
          <w:snapToGrid w:val="0"/>
          <w:kern w:val="22"/>
          <w:lang w:eastAsia="x-none"/>
        </w:rPr>
        <w:t>de</w:t>
      </w:r>
      <w:r w:rsidRPr="00E311E7">
        <w:rPr>
          <w:rFonts w:eastAsia="Malgun Gothic"/>
          <w:iCs/>
          <w:snapToGrid w:val="0"/>
          <w:kern w:val="22"/>
          <w:lang w:eastAsia="x-none"/>
        </w:rPr>
        <w:t xml:space="preserve"> 74/15/11</w:t>
      </w:r>
      <w:r w:rsidRPr="00E311E7">
        <w:rPr>
          <w:iCs/>
          <w:kern w:val="22"/>
          <w:lang w:eastAsia="x-none"/>
        </w:rPr>
        <w:t xml:space="preserve"> </w:t>
      </w:r>
      <w:r>
        <w:rPr>
          <w:rFonts w:eastAsia="Malgun Gothic"/>
          <w:iCs/>
          <w:snapToGrid w:val="0"/>
          <w:kern w:val="22"/>
          <w:lang w:eastAsia="x-none"/>
        </w:rPr>
        <w:t>pour l’exercice biennal</w:t>
      </w:r>
      <w:r w:rsidRPr="00E311E7">
        <w:rPr>
          <w:rFonts w:eastAsia="Malgun Gothic"/>
          <w:iCs/>
          <w:snapToGrid w:val="0"/>
          <w:kern w:val="22"/>
          <w:lang w:eastAsia="x-none"/>
        </w:rPr>
        <w:t xml:space="preserve"> 2019-2020;</w:t>
      </w:r>
    </w:p>
    <w:p w14:paraId="197C8247" w14:textId="77777777" w:rsidR="00B63B63" w:rsidRPr="009C57F8" w:rsidRDefault="00B63B63" w:rsidP="00B63B63">
      <w:pPr>
        <w:suppressLineNumbers/>
        <w:shd w:val="clear" w:color="auto" w:fill="FFFFFF" w:themeFill="background1"/>
        <w:suppressAutoHyphens/>
        <w:spacing w:before="120" w:after="120"/>
        <w:ind w:firstLine="720"/>
        <w:rPr>
          <w:rFonts w:eastAsia="Malgun Gothic"/>
          <w:iCs/>
          <w:snapToGrid w:val="0"/>
          <w:kern w:val="22"/>
          <w:lang w:eastAsia="x-none"/>
        </w:rPr>
      </w:pPr>
      <w:r w:rsidRPr="009C57F8">
        <w:rPr>
          <w:rFonts w:eastAsia="Malgun Gothic"/>
          <w:iCs/>
          <w:snapToGrid w:val="0"/>
          <w:kern w:val="22"/>
          <w:lang w:eastAsia="x-none"/>
        </w:rPr>
        <w:t>3.</w:t>
      </w:r>
      <w:r w:rsidRPr="009C57F8">
        <w:rPr>
          <w:rFonts w:eastAsia="Malgun Gothic"/>
          <w:iCs/>
          <w:snapToGrid w:val="0"/>
          <w:kern w:val="22"/>
          <w:lang w:eastAsia="x-none"/>
        </w:rPr>
        <w:tab/>
      </w:r>
      <w:r w:rsidRPr="009C57F8">
        <w:rPr>
          <w:rFonts w:eastAsia="Malgun Gothic"/>
          <w:i/>
          <w:iCs/>
          <w:snapToGrid w:val="0"/>
          <w:kern w:val="22"/>
          <w:lang w:eastAsia="x-none"/>
        </w:rPr>
        <w:t>Approuve</w:t>
      </w:r>
      <w:r w:rsidRPr="009C57F8">
        <w:rPr>
          <w:rFonts w:eastAsia="Malgun Gothic"/>
          <w:iCs/>
          <w:snapToGrid w:val="0"/>
          <w:kern w:val="22"/>
          <w:lang w:eastAsia="x-none"/>
        </w:rPr>
        <w:t xml:space="preserve"> un budget-programme de base (BG) pour le Protocole de Cartagena </w:t>
      </w:r>
      <w:r>
        <w:rPr>
          <w:rFonts w:eastAsia="Malgun Gothic"/>
          <w:iCs/>
          <w:snapToGrid w:val="0"/>
          <w:kern w:val="22"/>
          <w:lang w:eastAsia="x-none"/>
        </w:rPr>
        <w:t>sur la pré</w:t>
      </w:r>
      <w:r w:rsidRPr="009C57F8">
        <w:rPr>
          <w:rFonts w:eastAsia="Malgun Gothic"/>
          <w:iCs/>
          <w:snapToGrid w:val="0"/>
          <w:kern w:val="22"/>
          <w:lang w:eastAsia="x-none"/>
        </w:rPr>
        <w:t>vention des risques biotechnologiques d’un montant de 2 842 300</w:t>
      </w:r>
      <w:r w:rsidRPr="009C57F8">
        <w:rPr>
          <w:iCs/>
          <w:kern w:val="22"/>
          <w:lang w:eastAsia="x-none"/>
        </w:rPr>
        <w:t xml:space="preserve"> </w:t>
      </w:r>
      <w:r w:rsidRPr="009C57F8">
        <w:rPr>
          <w:rFonts w:eastAsia="Malgun Gothic"/>
          <w:iCs/>
          <w:noProof/>
          <w:color w:val="000000"/>
          <w:kern w:val="18"/>
          <w:lang w:eastAsia="x-none"/>
        </w:rPr>
        <w:t xml:space="preserve">dollars </w:t>
      </w:r>
      <w:r w:rsidRPr="009C57F8">
        <w:rPr>
          <w:noProof/>
          <w:color w:val="0D0D0D"/>
        </w:rPr>
        <w:t>É.-U. pour l’année</w:t>
      </w:r>
      <w:r w:rsidRPr="009C57F8">
        <w:rPr>
          <w:rFonts w:eastAsia="Malgun Gothic"/>
          <w:iCs/>
          <w:snapToGrid w:val="0"/>
          <w:kern w:val="22"/>
          <w:lang w:eastAsia="x-none"/>
        </w:rPr>
        <w:t xml:space="preserve"> 2019, et de 2 984 300</w:t>
      </w:r>
      <w:r w:rsidRPr="009C57F8">
        <w:rPr>
          <w:iCs/>
          <w:kern w:val="22"/>
          <w:lang w:eastAsia="x-none"/>
        </w:rPr>
        <w:t xml:space="preserve"> </w:t>
      </w:r>
      <w:r w:rsidRPr="009C57F8">
        <w:rPr>
          <w:rFonts w:eastAsia="Malgun Gothic"/>
          <w:iCs/>
          <w:noProof/>
          <w:color w:val="000000"/>
          <w:kern w:val="18"/>
          <w:lang w:eastAsia="x-none"/>
        </w:rPr>
        <w:t xml:space="preserve">dollars </w:t>
      </w:r>
      <w:r w:rsidRPr="009C57F8">
        <w:rPr>
          <w:noProof/>
          <w:color w:val="0D0D0D"/>
        </w:rPr>
        <w:t>É.-U. pour l’année</w:t>
      </w:r>
      <w:r w:rsidRPr="009C57F8">
        <w:rPr>
          <w:rFonts w:eastAsia="Malgun Gothic"/>
          <w:iCs/>
          <w:snapToGrid w:val="0"/>
          <w:kern w:val="22"/>
          <w:lang w:eastAsia="x-none"/>
        </w:rPr>
        <w:t xml:space="preserve"> 2020, </w:t>
      </w:r>
      <w:r w:rsidRPr="00162DB6">
        <w:rPr>
          <w:noProof/>
          <w:color w:val="0D0D0D"/>
        </w:rPr>
        <w:t>ce qui représente</w:t>
      </w:r>
      <w:r w:rsidRPr="009C57F8">
        <w:rPr>
          <w:rFonts w:eastAsia="Malgun Gothic"/>
          <w:iCs/>
          <w:snapToGrid w:val="0"/>
          <w:kern w:val="22"/>
          <w:lang w:eastAsia="x-none"/>
        </w:rPr>
        <w:t xml:space="preserve"> 15</w:t>
      </w:r>
      <w:r>
        <w:rPr>
          <w:noProof/>
          <w:color w:val="000000"/>
          <w:kern w:val="18"/>
        </w:rPr>
        <w:t>% du budget intégré qui s’élève à</w:t>
      </w:r>
      <w:r>
        <w:rPr>
          <w:rFonts w:eastAsia="Malgun Gothic"/>
          <w:iCs/>
          <w:snapToGrid w:val="0"/>
          <w:kern w:val="22"/>
          <w:lang w:eastAsia="x-none"/>
        </w:rPr>
        <w:t xml:space="preserve"> 18 949 </w:t>
      </w:r>
      <w:r w:rsidRPr="009C57F8">
        <w:rPr>
          <w:rFonts w:eastAsia="Malgun Gothic"/>
          <w:iCs/>
          <w:snapToGrid w:val="0"/>
          <w:kern w:val="22"/>
          <w:lang w:eastAsia="x-none"/>
        </w:rPr>
        <w:t>900</w:t>
      </w:r>
      <w:r w:rsidRPr="009C57F8">
        <w:rPr>
          <w:iCs/>
          <w:kern w:val="22"/>
          <w:lang w:eastAsia="x-none"/>
        </w:rPr>
        <w:t xml:space="preserve"> </w:t>
      </w:r>
      <w:r w:rsidRPr="009C57F8">
        <w:rPr>
          <w:rFonts w:eastAsia="Malgun Gothic"/>
          <w:iCs/>
          <w:noProof/>
          <w:color w:val="000000"/>
          <w:kern w:val="18"/>
          <w:lang w:eastAsia="x-none"/>
        </w:rPr>
        <w:t xml:space="preserve">dollars </w:t>
      </w:r>
      <w:r w:rsidRPr="009C57F8">
        <w:rPr>
          <w:noProof/>
          <w:color w:val="0D0D0D"/>
        </w:rPr>
        <w:t>É.-U. pour l’année</w:t>
      </w:r>
      <w:r>
        <w:rPr>
          <w:rFonts w:eastAsia="Malgun Gothic"/>
          <w:iCs/>
          <w:snapToGrid w:val="0"/>
          <w:kern w:val="22"/>
          <w:lang w:eastAsia="x-none"/>
        </w:rPr>
        <w:t xml:space="preserve"> 2019 et à 19 </w:t>
      </w:r>
      <w:r w:rsidRPr="009C57F8">
        <w:rPr>
          <w:rFonts w:eastAsia="Malgun Gothic"/>
          <w:iCs/>
          <w:snapToGrid w:val="0"/>
          <w:kern w:val="22"/>
          <w:lang w:eastAsia="x-none"/>
        </w:rPr>
        <w:t>89</w:t>
      </w:r>
      <w:r>
        <w:rPr>
          <w:rFonts w:eastAsia="Malgun Gothic"/>
          <w:iCs/>
          <w:snapToGrid w:val="0"/>
          <w:kern w:val="22"/>
          <w:lang w:eastAsia="x-none"/>
        </w:rPr>
        <w:t xml:space="preserve">5 </w:t>
      </w:r>
      <w:r w:rsidRPr="009C57F8">
        <w:rPr>
          <w:rFonts w:eastAsia="Malgun Gothic"/>
          <w:iCs/>
          <w:snapToGrid w:val="0"/>
          <w:kern w:val="22"/>
          <w:lang w:eastAsia="x-none"/>
        </w:rPr>
        <w:t>200</w:t>
      </w:r>
      <w:r w:rsidRPr="009C57F8">
        <w:rPr>
          <w:iCs/>
          <w:kern w:val="22"/>
          <w:lang w:eastAsia="x-none"/>
        </w:rPr>
        <w:t xml:space="preserve"> </w:t>
      </w:r>
      <w:r w:rsidRPr="009C57F8">
        <w:rPr>
          <w:rFonts w:eastAsia="Malgun Gothic"/>
          <w:iCs/>
          <w:noProof/>
          <w:color w:val="000000"/>
          <w:kern w:val="18"/>
          <w:lang w:eastAsia="x-none"/>
        </w:rPr>
        <w:t xml:space="preserve">dollars </w:t>
      </w:r>
      <w:r w:rsidRPr="009C57F8">
        <w:rPr>
          <w:noProof/>
          <w:color w:val="0D0D0D"/>
        </w:rPr>
        <w:t>É.-U. pour l’année</w:t>
      </w:r>
      <w:r w:rsidRPr="009C57F8">
        <w:rPr>
          <w:rFonts w:eastAsia="Malgun Gothic"/>
          <w:iCs/>
          <w:snapToGrid w:val="0"/>
          <w:kern w:val="22"/>
          <w:lang w:eastAsia="x-none"/>
        </w:rPr>
        <w:t xml:space="preserve"> </w:t>
      </w:r>
      <w:r>
        <w:rPr>
          <w:rFonts w:eastAsia="Malgun Gothic"/>
          <w:iCs/>
          <w:snapToGrid w:val="0"/>
          <w:kern w:val="22"/>
          <w:lang w:eastAsia="x-none"/>
        </w:rPr>
        <w:t>2020 pour la Convention et ses</w:t>
      </w:r>
      <w:r w:rsidRPr="009C57F8">
        <w:rPr>
          <w:rFonts w:eastAsia="Malgun Gothic"/>
          <w:iCs/>
          <w:snapToGrid w:val="0"/>
          <w:kern w:val="22"/>
          <w:lang w:eastAsia="x-none"/>
        </w:rPr>
        <w:t xml:space="preserve"> Protocol</w:t>
      </w:r>
      <w:r>
        <w:rPr>
          <w:rFonts w:eastAsia="Malgun Gothic"/>
          <w:iCs/>
          <w:snapToGrid w:val="0"/>
          <w:kern w:val="22"/>
          <w:lang w:eastAsia="x-none"/>
        </w:rPr>
        <w:t>e</w:t>
      </w:r>
      <w:r w:rsidRPr="009C57F8">
        <w:rPr>
          <w:rFonts w:eastAsia="Malgun Gothic"/>
          <w:iCs/>
          <w:snapToGrid w:val="0"/>
          <w:kern w:val="22"/>
          <w:lang w:eastAsia="x-none"/>
        </w:rPr>
        <w:t xml:space="preserve">s, </w:t>
      </w:r>
      <w:r>
        <w:rPr>
          <w:rFonts w:eastAsia="Malgun Gothic"/>
          <w:iCs/>
          <w:snapToGrid w:val="0"/>
          <w:kern w:val="22"/>
          <w:lang w:eastAsia="x-none"/>
        </w:rPr>
        <w:t>afin de répondre aux besoins recensés dans les tableaux</w:t>
      </w:r>
      <w:r w:rsidRPr="009C57F8">
        <w:rPr>
          <w:rFonts w:eastAsia="Malgun Gothic"/>
          <w:iCs/>
          <w:snapToGrid w:val="0"/>
          <w:kern w:val="22"/>
          <w:lang w:eastAsia="x-none"/>
        </w:rPr>
        <w:t xml:space="preserve"> 1a</w:t>
      </w:r>
      <w:r>
        <w:rPr>
          <w:rFonts w:eastAsia="Malgun Gothic"/>
          <w:iCs/>
          <w:snapToGrid w:val="0"/>
          <w:kern w:val="22"/>
          <w:lang w:eastAsia="x-none"/>
        </w:rPr>
        <w:t xml:space="preserve"> et</w:t>
      </w:r>
      <w:r w:rsidRPr="009C57F8">
        <w:rPr>
          <w:rFonts w:eastAsia="Malgun Gothic"/>
          <w:iCs/>
          <w:snapToGrid w:val="0"/>
          <w:kern w:val="22"/>
          <w:lang w:eastAsia="x-none"/>
        </w:rPr>
        <w:t xml:space="preserve"> 1b</w:t>
      </w:r>
      <w:r>
        <w:rPr>
          <w:rFonts w:eastAsia="Malgun Gothic"/>
          <w:iCs/>
          <w:snapToGrid w:val="0"/>
          <w:kern w:val="22"/>
          <w:lang w:eastAsia="x-none"/>
        </w:rPr>
        <w:t xml:space="preserve"> ci-dessous</w:t>
      </w:r>
      <w:r w:rsidRPr="009C57F8">
        <w:rPr>
          <w:rFonts w:eastAsia="Malgun Gothic"/>
          <w:iCs/>
          <w:snapToGrid w:val="0"/>
          <w:kern w:val="22"/>
          <w:lang w:eastAsia="x-none"/>
        </w:rPr>
        <w:t>;</w:t>
      </w:r>
    </w:p>
    <w:p w14:paraId="589E9085" w14:textId="77777777" w:rsidR="00B63B63" w:rsidRPr="009C57F8" w:rsidRDefault="00B63B63" w:rsidP="00B63B63">
      <w:pPr>
        <w:suppressLineNumbers/>
        <w:shd w:val="clear" w:color="auto" w:fill="FFFFFF" w:themeFill="background1"/>
        <w:suppressAutoHyphens/>
        <w:spacing w:before="120" w:after="120"/>
        <w:ind w:firstLine="720"/>
        <w:rPr>
          <w:rFonts w:eastAsia="Malgun Gothic"/>
          <w:i/>
          <w:iCs/>
          <w:snapToGrid w:val="0"/>
          <w:kern w:val="22"/>
          <w:lang w:eastAsia="x-none"/>
        </w:rPr>
      </w:pPr>
      <w:r w:rsidRPr="009C57F8">
        <w:rPr>
          <w:rFonts w:eastAsia="Malgun Gothic"/>
          <w:iCs/>
          <w:snapToGrid w:val="0"/>
          <w:kern w:val="22"/>
          <w:lang w:eastAsia="x-none"/>
        </w:rPr>
        <w:t>4.</w:t>
      </w:r>
      <w:r w:rsidRPr="009C57F8">
        <w:rPr>
          <w:rFonts w:eastAsia="Malgun Gothic"/>
          <w:iCs/>
          <w:snapToGrid w:val="0"/>
          <w:kern w:val="22"/>
          <w:lang w:eastAsia="x-none"/>
        </w:rPr>
        <w:tab/>
      </w:r>
      <w:r w:rsidRPr="00A610AA">
        <w:rPr>
          <w:i/>
          <w:color w:val="0D0D0D"/>
          <w:kern w:val="22"/>
          <w:lang w:val="fr-CA"/>
        </w:rPr>
        <w:t xml:space="preserve">Adopte </w:t>
      </w:r>
      <w:r w:rsidRPr="00A610AA">
        <w:rPr>
          <w:color w:val="0D0D0D"/>
          <w:kern w:val="22"/>
          <w:lang w:val="fr-CA"/>
        </w:rPr>
        <w:t>le</w:t>
      </w:r>
      <w:r w:rsidRPr="009C57F8">
        <w:rPr>
          <w:color w:val="0D0D0D"/>
          <w:kern w:val="22"/>
          <w:lang w:val="fr-CA"/>
        </w:rPr>
        <w:t xml:space="preserve"> barème</w:t>
      </w:r>
      <w:r w:rsidRPr="00A610AA">
        <w:rPr>
          <w:color w:val="0D0D0D"/>
          <w:kern w:val="22"/>
          <w:lang w:val="fr-CA"/>
        </w:rPr>
        <w:t xml:space="preserve"> des quotes-parts pou</w:t>
      </w:r>
      <w:r>
        <w:rPr>
          <w:color w:val="0D0D0D"/>
          <w:kern w:val="22"/>
          <w:lang w:val="fr-CA"/>
        </w:rPr>
        <w:t>r la répartition des dépenses en</w:t>
      </w:r>
      <w:r w:rsidRPr="00A610AA">
        <w:rPr>
          <w:color w:val="0D0D0D"/>
          <w:kern w:val="22"/>
          <w:lang w:val="fr-CA"/>
        </w:rPr>
        <w:t xml:space="preserve"> </w:t>
      </w:r>
      <w:r>
        <w:rPr>
          <w:rFonts w:eastAsia="Malgun Gothic"/>
          <w:iCs/>
          <w:snapToGrid w:val="0"/>
          <w:kern w:val="22"/>
          <w:lang w:eastAsia="x-none"/>
        </w:rPr>
        <w:t>2019 et</w:t>
      </w:r>
      <w:r w:rsidRPr="009C57F8">
        <w:rPr>
          <w:rFonts w:eastAsia="Malgun Gothic"/>
          <w:iCs/>
          <w:snapToGrid w:val="0"/>
          <w:kern w:val="22"/>
          <w:lang w:eastAsia="x-none"/>
        </w:rPr>
        <w:t xml:space="preserve"> 2020</w:t>
      </w:r>
      <w:r>
        <w:rPr>
          <w:rFonts w:eastAsia="Malgun Gothic"/>
          <w:iCs/>
          <w:snapToGrid w:val="0"/>
          <w:kern w:val="22"/>
          <w:lang w:eastAsia="x-none"/>
        </w:rPr>
        <w:t>,</w:t>
      </w:r>
      <w:r w:rsidRPr="009C57F8">
        <w:rPr>
          <w:rFonts w:eastAsia="Malgun Gothic"/>
          <w:iCs/>
          <w:snapToGrid w:val="0"/>
          <w:kern w:val="22"/>
          <w:lang w:eastAsia="x-none"/>
        </w:rPr>
        <w:t xml:space="preserve"> </w:t>
      </w:r>
      <w:r>
        <w:rPr>
          <w:rFonts w:eastAsia="Malgun Gothic"/>
          <w:iCs/>
          <w:snapToGrid w:val="0"/>
          <w:kern w:val="22"/>
          <w:lang w:eastAsia="x-none"/>
        </w:rPr>
        <w:t xml:space="preserve">figurant dans le </w:t>
      </w:r>
      <w:r w:rsidRPr="009C57F8">
        <w:rPr>
          <w:rFonts w:eastAsia="Malgun Gothic"/>
          <w:iCs/>
          <w:snapToGrid w:val="0"/>
          <w:kern w:val="22"/>
          <w:lang w:eastAsia="x-none"/>
        </w:rPr>
        <w:t>table</w:t>
      </w:r>
      <w:r>
        <w:rPr>
          <w:rFonts w:eastAsia="Malgun Gothic"/>
          <w:iCs/>
          <w:snapToGrid w:val="0"/>
          <w:kern w:val="22"/>
          <w:lang w:eastAsia="x-none"/>
        </w:rPr>
        <w:t>au</w:t>
      </w:r>
      <w:r w:rsidRPr="009C57F8">
        <w:rPr>
          <w:rFonts w:eastAsia="Malgun Gothic"/>
          <w:iCs/>
          <w:snapToGrid w:val="0"/>
          <w:kern w:val="22"/>
          <w:lang w:eastAsia="x-none"/>
        </w:rPr>
        <w:t> 2</w:t>
      </w:r>
      <w:r>
        <w:rPr>
          <w:rFonts w:eastAsia="Malgun Gothic"/>
          <w:iCs/>
          <w:snapToGrid w:val="0"/>
          <w:kern w:val="22"/>
          <w:lang w:eastAsia="x-none"/>
        </w:rPr>
        <w:t xml:space="preserve"> ci-dessous</w:t>
      </w:r>
      <w:r>
        <w:rPr>
          <w:rStyle w:val="FootnoteReference"/>
          <w:rFonts w:eastAsia="Malgun Gothic"/>
          <w:iCs/>
          <w:snapToGrid w:val="0"/>
          <w:kern w:val="22"/>
          <w:lang w:eastAsia="x-none"/>
        </w:rPr>
        <w:footnoteReference w:id="24"/>
      </w:r>
      <w:r w:rsidRPr="009C57F8">
        <w:rPr>
          <w:rFonts w:eastAsia="Malgun Gothic"/>
          <w:iCs/>
          <w:snapToGrid w:val="0"/>
          <w:kern w:val="22"/>
          <w:lang w:eastAsia="x-none"/>
        </w:rPr>
        <w:t>;</w:t>
      </w:r>
    </w:p>
    <w:p w14:paraId="561B1708" w14:textId="77777777" w:rsidR="00B63B63" w:rsidRPr="00383248" w:rsidRDefault="00B63B63" w:rsidP="00B63B63">
      <w:pPr>
        <w:suppressLineNumbers/>
        <w:shd w:val="clear" w:color="auto" w:fill="FFFFFF" w:themeFill="background1"/>
        <w:suppressAutoHyphens/>
        <w:spacing w:before="120" w:after="120"/>
        <w:ind w:firstLine="720"/>
        <w:rPr>
          <w:rFonts w:eastAsia="Malgun Gothic"/>
          <w:iCs/>
          <w:snapToGrid w:val="0"/>
          <w:kern w:val="22"/>
          <w:lang w:eastAsia="x-none"/>
        </w:rPr>
      </w:pPr>
      <w:r w:rsidRPr="00383248">
        <w:rPr>
          <w:rFonts w:eastAsia="Malgun Gothic"/>
          <w:iCs/>
          <w:snapToGrid w:val="0"/>
          <w:kern w:val="22"/>
          <w:lang w:eastAsia="x-none"/>
        </w:rPr>
        <w:t>5.</w:t>
      </w:r>
      <w:r w:rsidRPr="00383248">
        <w:rPr>
          <w:rFonts w:eastAsia="Malgun Gothic"/>
          <w:iCs/>
          <w:snapToGrid w:val="0"/>
          <w:kern w:val="22"/>
          <w:lang w:eastAsia="x-none"/>
        </w:rPr>
        <w:tab/>
      </w:r>
      <w:r>
        <w:rPr>
          <w:rFonts w:eastAsia="Malgun Gothic"/>
          <w:i/>
          <w:iCs/>
          <w:kern w:val="22"/>
          <w:lang w:eastAsia="x-none"/>
        </w:rPr>
        <w:t>Prend acte</w:t>
      </w:r>
      <w:r>
        <w:rPr>
          <w:rFonts w:eastAsia="Malgun Gothic"/>
          <w:iCs/>
          <w:kern w:val="22"/>
          <w:lang w:eastAsia="x-none"/>
        </w:rPr>
        <w:t xml:space="preserve"> des estimations de financement </w:t>
      </w:r>
      <w:r>
        <w:rPr>
          <w:color w:val="0D0D0D"/>
          <w:kern w:val="22"/>
        </w:rPr>
        <w:t>pour le</w:t>
      </w:r>
      <w:r w:rsidRPr="00383248">
        <w:rPr>
          <w:color w:val="0D0D0D"/>
          <w:kern w:val="22"/>
          <w:lang w:eastAsia="ko-KR"/>
        </w:rPr>
        <w:t xml:space="preserve"> Fonds d'affectation spéciale de contributions volontaires en appui aux activités approuvées au titre du Protocole de </w:t>
      </w:r>
      <w:r>
        <w:rPr>
          <w:rFonts w:eastAsia="Malgun Gothic"/>
          <w:iCs/>
          <w:snapToGrid w:val="0"/>
          <w:kern w:val="22"/>
          <w:lang w:eastAsia="x-none"/>
        </w:rPr>
        <w:t>Cartagena pour la</w:t>
      </w:r>
      <w:r>
        <w:rPr>
          <w:rFonts w:eastAsia="Malgun Gothic"/>
          <w:iCs/>
          <w:kern w:val="22"/>
          <w:lang w:eastAsia="x-none"/>
        </w:rPr>
        <w:t xml:space="preserve"> pé</w:t>
      </w:r>
      <w:r w:rsidRPr="00383248">
        <w:rPr>
          <w:rFonts w:eastAsia="Malgun Gothic"/>
          <w:iCs/>
          <w:kern w:val="22"/>
          <w:lang w:eastAsia="x-none"/>
        </w:rPr>
        <w:t>riod</w:t>
      </w:r>
      <w:r>
        <w:rPr>
          <w:rFonts w:eastAsia="Malgun Gothic"/>
          <w:iCs/>
          <w:kern w:val="22"/>
          <w:lang w:eastAsia="x-none"/>
        </w:rPr>
        <w:t>e</w:t>
      </w:r>
      <w:r w:rsidRPr="00383248">
        <w:rPr>
          <w:rFonts w:eastAsia="Malgun Gothic"/>
          <w:iCs/>
          <w:kern w:val="22"/>
          <w:lang w:eastAsia="x-none"/>
        </w:rPr>
        <w:t xml:space="preserve"> 2019-2020</w:t>
      </w:r>
      <w:r>
        <w:rPr>
          <w:rFonts w:eastAsia="Malgun Gothic"/>
          <w:iCs/>
          <w:kern w:val="22"/>
          <w:lang w:eastAsia="x-none"/>
        </w:rPr>
        <w:t>, figurant dans le</w:t>
      </w:r>
      <w:r w:rsidRPr="00383248">
        <w:rPr>
          <w:rFonts w:eastAsia="Malgun Gothic"/>
          <w:iCs/>
          <w:kern w:val="22"/>
          <w:lang w:eastAsia="x-none"/>
        </w:rPr>
        <w:t xml:space="preserve"> </w:t>
      </w:r>
      <w:r w:rsidRPr="00383248">
        <w:rPr>
          <w:iCs/>
          <w:kern w:val="22"/>
          <w:lang w:eastAsia="x-none"/>
        </w:rPr>
        <w:t>table</w:t>
      </w:r>
      <w:r>
        <w:rPr>
          <w:iCs/>
          <w:kern w:val="22"/>
          <w:lang w:eastAsia="x-none"/>
        </w:rPr>
        <w:t>au</w:t>
      </w:r>
      <w:r w:rsidRPr="00383248">
        <w:rPr>
          <w:iCs/>
          <w:kern w:val="22"/>
          <w:lang w:eastAsia="x-none"/>
        </w:rPr>
        <w:t xml:space="preserve"> 3 </w:t>
      </w:r>
      <w:r>
        <w:rPr>
          <w:iCs/>
          <w:kern w:val="22"/>
          <w:lang w:eastAsia="x-none"/>
        </w:rPr>
        <w:t>de la</w:t>
      </w:r>
      <w:r w:rsidRPr="00383248">
        <w:rPr>
          <w:iCs/>
          <w:kern w:val="22"/>
          <w:lang w:eastAsia="x-none"/>
        </w:rPr>
        <w:t xml:space="preserve"> </w:t>
      </w:r>
      <w:r>
        <w:rPr>
          <w:iCs/>
          <w:kern w:val="22"/>
          <w:lang w:eastAsia="x-none"/>
        </w:rPr>
        <w:t>dé</w:t>
      </w:r>
      <w:r w:rsidRPr="00383248">
        <w:rPr>
          <w:iCs/>
          <w:kern w:val="22"/>
          <w:lang w:eastAsia="x-none"/>
        </w:rPr>
        <w:t>cision 14/37</w:t>
      </w:r>
      <w:r>
        <w:rPr>
          <w:iCs/>
          <w:kern w:val="22"/>
          <w:lang w:eastAsia="x-none"/>
        </w:rPr>
        <w:t xml:space="preserve"> de la Conférence des</w:t>
      </w:r>
      <w:r w:rsidRPr="00383248">
        <w:rPr>
          <w:iCs/>
          <w:kern w:val="22"/>
          <w:lang w:eastAsia="x-none"/>
        </w:rPr>
        <w:t xml:space="preserve"> Parties</w:t>
      </w:r>
      <w:r w:rsidRPr="00383248">
        <w:rPr>
          <w:rFonts w:eastAsia="Malgun Gothic"/>
          <w:iCs/>
          <w:kern w:val="22"/>
          <w:lang w:eastAsia="x-none"/>
        </w:rPr>
        <w:t>;</w:t>
      </w:r>
    </w:p>
    <w:p w14:paraId="684F6A24" w14:textId="77777777" w:rsidR="00B63B63" w:rsidRPr="00383248" w:rsidRDefault="00B63B63" w:rsidP="00B63B63">
      <w:pPr>
        <w:suppressLineNumbers/>
        <w:shd w:val="clear" w:color="auto" w:fill="FFFFFF" w:themeFill="background1"/>
        <w:suppressAutoHyphens/>
        <w:spacing w:before="120" w:after="120"/>
        <w:ind w:firstLine="720"/>
        <w:rPr>
          <w:rFonts w:eastAsia="Malgun Gothic"/>
          <w:iCs/>
          <w:snapToGrid w:val="0"/>
          <w:kern w:val="22"/>
          <w:lang w:eastAsia="x-none"/>
        </w:rPr>
      </w:pPr>
      <w:r w:rsidRPr="00383248">
        <w:rPr>
          <w:rFonts w:eastAsia="Malgun Gothic"/>
          <w:iCs/>
          <w:snapToGrid w:val="0"/>
          <w:kern w:val="22"/>
          <w:lang w:eastAsia="x-none"/>
        </w:rPr>
        <w:t>6.</w:t>
      </w:r>
      <w:r w:rsidRPr="00383248">
        <w:rPr>
          <w:rFonts w:eastAsia="Malgun Gothic"/>
          <w:iCs/>
          <w:snapToGrid w:val="0"/>
          <w:kern w:val="22"/>
          <w:lang w:eastAsia="x-none"/>
        </w:rPr>
        <w:tab/>
      </w:r>
      <w:r w:rsidRPr="00383248">
        <w:rPr>
          <w:rFonts w:eastAsia="Malgun Gothic"/>
          <w:i/>
          <w:iCs/>
          <w:snapToGrid w:val="0"/>
          <w:kern w:val="22"/>
          <w:lang w:eastAsia="x-none"/>
        </w:rPr>
        <w:t>Décide</w:t>
      </w:r>
      <w:r w:rsidRPr="00383248">
        <w:rPr>
          <w:rFonts w:eastAsia="Malgun Gothic"/>
          <w:iCs/>
          <w:snapToGrid w:val="0"/>
          <w:kern w:val="22"/>
          <w:lang w:eastAsia="x-none"/>
        </w:rPr>
        <w:t xml:space="preserve"> d’appliquer, </w:t>
      </w:r>
      <w:r w:rsidRPr="00383248">
        <w:rPr>
          <w:i/>
          <w:kern w:val="22"/>
        </w:rPr>
        <w:t>mutatis mutandis</w:t>
      </w:r>
      <w:r w:rsidRPr="00383248">
        <w:rPr>
          <w:rFonts w:eastAsia="Malgun Gothic"/>
          <w:snapToGrid w:val="0"/>
          <w:kern w:val="22"/>
          <w:lang w:eastAsia="x-none"/>
        </w:rPr>
        <w:t>,</w:t>
      </w:r>
      <w:r w:rsidRPr="00383248">
        <w:rPr>
          <w:rFonts w:eastAsia="Malgun Gothic"/>
          <w:iCs/>
          <w:snapToGrid w:val="0"/>
          <w:kern w:val="22"/>
          <w:lang w:eastAsia="x-none"/>
        </w:rPr>
        <w:t xml:space="preserve"> les paragraphes 3 à 5 </w:t>
      </w:r>
      <w:r w:rsidRPr="00383248">
        <w:rPr>
          <w:rFonts w:eastAsia="Malgun Gothic"/>
          <w:iCs/>
          <w:kern w:val="22"/>
          <w:lang w:eastAsia="x-none"/>
        </w:rPr>
        <w:t>et 7 à 50</w:t>
      </w:r>
      <w:r w:rsidRPr="00383248">
        <w:rPr>
          <w:iCs/>
          <w:kern w:val="22"/>
          <w:lang w:eastAsia="x-none"/>
        </w:rPr>
        <w:t xml:space="preserve"> </w:t>
      </w:r>
      <w:r w:rsidRPr="00383248">
        <w:rPr>
          <w:rFonts w:eastAsia="Malgun Gothic"/>
          <w:iCs/>
          <w:snapToGrid w:val="0"/>
          <w:kern w:val="22"/>
          <w:lang w:eastAsia="x-none"/>
        </w:rPr>
        <w:t>de la</w:t>
      </w:r>
      <w:r>
        <w:rPr>
          <w:rFonts w:eastAsia="Malgun Gothic"/>
          <w:iCs/>
          <w:snapToGrid w:val="0"/>
          <w:kern w:val="22"/>
          <w:lang w:eastAsia="x-none"/>
        </w:rPr>
        <w:t xml:space="preserve"> dé</w:t>
      </w:r>
      <w:r w:rsidRPr="00383248">
        <w:rPr>
          <w:rFonts w:eastAsia="Malgun Gothic"/>
          <w:iCs/>
          <w:snapToGrid w:val="0"/>
          <w:kern w:val="22"/>
          <w:lang w:eastAsia="x-none"/>
        </w:rPr>
        <w:t>cision 14/37</w:t>
      </w:r>
      <w:r>
        <w:rPr>
          <w:rFonts w:eastAsia="Malgun Gothic"/>
          <w:iCs/>
          <w:snapToGrid w:val="0"/>
          <w:kern w:val="22"/>
          <w:lang w:eastAsia="x-none"/>
        </w:rPr>
        <w:t xml:space="preserve"> de la Conférence des</w:t>
      </w:r>
      <w:r w:rsidRPr="00383248">
        <w:rPr>
          <w:rFonts w:eastAsia="Malgun Gothic"/>
          <w:iCs/>
          <w:snapToGrid w:val="0"/>
          <w:kern w:val="22"/>
          <w:lang w:eastAsia="x-none"/>
        </w:rPr>
        <w:t xml:space="preserve"> Parties.</w:t>
      </w:r>
    </w:p>
    <w:p w14:paraId="49A7D7EB" w14:textId="77777777" w:rsidR="00B63B63" w:rsidRPr="00383248" w:rsidRDefault="00B63B63" w:rsidP="00B63B63">
      <w:pPr>
        <w:suppressLineNumbers/>
        <w:suppressAutoHyphens/>
        <w:jc w:val="left"/>
        <w:rPr>
          <w:kern w:val="22"/>
        </w:rPr>
      </w:pPr>
      <w:r w:rsidRPr="00383248">
        <w:rPr>
          <w:kern w:val="22"/>
        </w:rPr>
        <w:br w:type="page"/>
      </w:r>
    </w:p>
    <w:p w14:paraId="47134157" w14:textId="77777777" w:rsidR="00B63B63" w:rsidRPr="00AB780A" w:rsidRDefault="00B63B63" w:rsidP="00B63B63">
      <w:pPr>
        <w:keepNext/>
        <w:suppressLineNumbers/>
        <w:suppressAutoHyphens/>
        <w:spacing w:before="120" w:after="120"/>
        <w:ind w:left="1418" w:hanging="1276"/>
        <w:jc w:val="left"/>
        <w:rPr>
          <w:rFonts w:eastAsia="Malgun Gothic"/>
          <w:b/>
          <w:bCs/>
          <w:iCs/>
          <w:snapToGrid w:val="0"/>
          <w:kern w:val="22"/>
          <w:lang w:eastAsia="x-none"/>
        </w:rPr>
      </w:pPr>
      <w:r w:rsidRPr="00AB780A">
        <w:rPr>
          <w:rFonts w:eastAsia="Malgun Gothic"/>
          <w:b/>
          <w:bCs/>
          <w:iCs/>
          <w:snapToGrid w:val="0"/>
          <w:kern w:val="22"/>
          <w:lang w:eastAsia="x-none"/>
        </w:rPr>
        <w:lastRenderedPageBreak/>
        <w:t>Tableau 1a.</w:t>
      </w:r>
      <w:r w:rsidRPr="00AB780A">
        <w:rPr>
          <w:rFonts w:eastAsia="Malgun Gothic"/>
          <w:b/>
          <w:bCs/>
          <w:iCs/>
          <w:snapToGrid w:val="0"/>
          <w:kern w:val="22"/>
          <w:lang w:eastAsia="x-none"/>
        </w:rPr>
        <w:tab/>
      </w:r>
      <w:r>
        <w:rPr>
          <w:rFonts w:eastAsia="Malgun Gothic"/>
          <w:b/>
          <w:bCs/>
          <w:color w:val="000000"/>
          <w:kern w:val="18"/>
          <w:lang w:eastAsia="ko-KR"/>
        </w:rPr>
        <w:t xml:space="preserve">Budget </w:t>
      </w:r>
      <w:r w:rsidRPr="001D4697">
        <w:rPr>
          <w:rFonts w:eastAsia="Malgun Gothic"/>
          <w:b/>
          <w:bCs/>
          <w:color w:val="000000"/>
          <w:kern w:val="18"/>
          <w:lang w:eastAsia="ko-KR"/>
        </w:rPr>
        <w:t>intégré</w:t>
      </w:r>
      <w:r>
        <w:rPr>
          <w:rFonts w:eastAsia="Malgun Gothic"/>
          <w:b/>
          <w:bCs/>
          <w:color w:val="000000"/>
          <w:kern w:val="18"/>
          <w:lang w:eastAsia="ko-KR"/>
        </w:rPr>
        <w:t xml:space="preserve"> des F</w:t>
      </w:r>
      <w:r w:rsidRPr="001D4697">
        <w:rPr>
          <w:rFonts w:eastAsia="Malgun Gothic"/>
          <w:b/>
          <w:bCs/>
          <w:color w:val="000000"/>
          <w:kern w:val="18"/>
          <w:lang w:eastAsia="ko-KR"/>
        </w:rPr>
        <w:t xml:space="preserve">onds d’affectation spéciale de la Convention sur la </w:t>
      </w:r>
      <w:r>
        <w:rPr>
          <w:rFonts w:eastAsia="Malgun Gothic"/>
          <w:b/>
          <w:bCs/>
          <w:color w:val="000000"/>
          <w:kern w:val="18"/>
          <w:lang w:eastAsia="ko-KR"/>
        </w:rPr>
        <w:t>diversité biologique et de ses P</w:t>
      </w:r>
      <w:r w:rsidRPr="001D4697">
        <w:rPr>
          <w:rFonts w:eastAsia="Malgun Gothic"/>
          <w:b/>
          <w:bCs/>
          <w:color w:val="000000"/>
          <w:kern w:val="18"/>
          <w:lang w:eastAsia="ko-KR"/>
        </w:rPr>
        <w:t>rotocol</w:t>
      </w:r>
      <w:r>
        <w:rPr>
          <w:rFonts w:eastAsia="Malgun Gothic"/>
          <w:b/>
          <w:bCs/>
          <w:color w:val="000000"/>
          <w:kern w:val="18"/>
          <w:lang w:eastAsia="ko-KR"/>
        </w:rPr>
        <w:t>e</w:t>
      </w:r>
      <w:r w:rsidRPr="001D4697">
        <w:rPr>
          <w:rFonts w:eastAsia="Malgun Gothic"/>
          <w:b/>
          <w:bCs/>
          <w:color w:val="000000"/>
          <w:kern w:val="18"/>
          <w:lang w:eastAsia="ko-KR"/>
        </w:rPr>
        <w:t xml:space="preserve">s </w:t>
      </w:r>
      <w:r>
        <w:rPr>
          <w:rFonts w:eastAsia="Malgun Gothic"/>
          <w:b/>
          <w:bCs/>
          <w:iCs/>
          <w:snapToGrid w:val="0"/>
          <w:kern w:val="22"/>
          <w:lang w:eastAsia="x-none"/>
        </w:rPr>
        <w:t xml:space="preserve">pour l’exercice biennal </w:t>
      </w:r>
      <w:r w:rsidRPr="00AB780A">
        <w:rPr>
          <w:rFonts w:eastAsia="Malgun Gothic"/>
          <w:b/>
          <w:bCs/>
          <w:iCs/>
          <w:snapToGrid w:val="0"/>
          <w:kern w:val="22"/>
          <w:lang w:eastAsia="x-none"/>
        </w:rPr>
        <w:t>2019-2020</w:t>
      </w:r>
    </w:p>
    <w:p w14:paraId="48BE80D2" w14:textId="77777777" w:rsidR="00B63B63" w:rsidRPr="00AB780A" w:rsidRDefault="00B63B63" w:rsidP="00B63B63">
      <w:pPr>
        <w:suppressLineNumbers/>
        <w:suppressAutoHyphens/>
        <w:jc w:val="left"/>
        <w:rPr>
          <w:kern w:val="22"/>
        </w:rPr>
      </w:pPr>
    </w:p>
    <w:tbl>
      <w:tblPr>
        <w:tblW w:w="9120" w:type="dxa"/>
        <w:tblInd w:w="93" w:type="dxa"/>
        <w:tblLook w:val="04A0" w:firstRow="1" w:lastRow="0" w:firstColumn="1" w:lastColumn="0" w:noHBand="0" w:noVBand="1"/>
      </w:tblPr>
      <w:tblGrid>
        <w:gridCol w:w="4520"/>
        <w:gridCol w:w="1360"/>
        <w:gridCol w:w="1600"/>
        <w:gridCol w:w="1640"/>
      </w:tblGrid>
      <w:tr w:rsidR="00B63B63" w:rsidRPr="001570B4" w14:paraId="4587E513" w14:textId="77777777" w:rsidTr="00E36C22">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4F60C670" w14:textId="77777777" w:rsidR="00B63B63" w:rsidRPr="00AB780A" w:rsidRDefault="00B63B63" w:rsidP="00E36C22">
            <w:pPr>
              <w:suppressLineNumbers/>
              <w:suppressAutoHyphens/>
              <w:jc w:val="left"/>
              <w:rPr>
                <w:i/>
                <w:iCs/>
                <w:color w:val="000000"/>
                <w:kern w:val="22"/>
                <w:sz w:val="15"/>
                <w:szCs w:val="15"/>
                <w:lang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4EA9A1D6" w14:textId="77777777" w:rsidR="00B63B63" w:rsidRPr="00AB780A" w:rsidRDefault="00B63B63" w:rsidP="00E36C22">
            <w:pPr>
              <w:suppressLineNumbers/>
              <w:suppressAutoHyphens/>
              <w:jc w:val="center"/>
              <w:rPr>
                <w:i/>
                <w:iCs/>
                <w:color w:val="000000"/>
                <w:kern w:val="22"/>
                <w:sz w:val="15"/>
                <w:szCs w:val="15"/>
                <w:lang w:eastAsia="en-CA"/>
              </w:rPr>
            </w:pPr>
            <w:r w:rsidRPr="00AB780A">
              <w:rPr>
                <w:i/>
                <w:iCs/>
                <w:color w:val="000000"/>
                <w:kern w:val="22"/>
                <w:sz w:val="15"/>
                <w:szCs w:val="15"/>
                <w:lang w:eastAsia="en-CA"/>
              </w:rPr>
              <w:t>2019</w:t>
            </w:r>
            <w:r w:rsidRPr="00AB780A">
              <w:rPr>
                <w:i/>
                <w:iCs/>
                <w:color w:val="000000"/>
                <w:kern w:val="22"/>
                <w:sz w:val="15"/>
                <w:szCs w:val="15"/>
                <w:lang w:eastAsia="en-CA"/>
              </w:rPr>
              <w:br/>
              <w:t>(en milliers de dollars É.-U)</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5CB25ED7" w14:textId="77777777" w:rsidR="00B63B63" w:rsidRPr="00AB780A" w:rsidRDefault="00B63B63" w:rsidP="00E36C22">
            <w:pPr>
              <w:suppressLineNumbers/>
              <w:suppressAutoHyphens/>
              <w:jc w:val="center"/>
              <w:rPr>
                <w:i/>
                <w:iCs/>
                <w:color w:val="000000"/>
                <w:kern w:val="22"/>
                <w:sz w:val="15"/>
                <w:szCs w:val="15"/>
                <w:lang w:eastAsia="en-CA"/>
              </w:rPr>
            </w:pPr>
            <w:r w:rsidRPr="00AB780A">
              <w:rPr>
                <w:i/>
                <w:iCs/>
                <w:color w:val="000000"/>
                <w:kern w:val="22"/>
                <w:sz w:val="15"/>
                <w:szCs w:val="15"/>
                <w:lang w:eastAsia="en-CA"/>
              </w:rPr>
              <w:t>2020</w:t>
            </w:r>
            <w:r w:rsidRPr="00AB780A">
              <w:rPr>
                <w:i/>
                <w:iCs/>
                <w:color w:val="000000"/>
                <w:kern w:val="22"/>
                <w:sz w:val="15"/>
                <w:szCs w:val="15"/>
                <w:lang w:eastAsia="en-CA"/>
              </w:rPr>
              <w:br/>
              <w:t>(en milliers de dollars É.-U)</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41ED3E9D" w14:textId="77777777" w:rsidR="00B63B63" w:rsidRPr="00AB780A" w:rsidRDefault="00B63B63" w:rsidP="00E36C22">
            <w:pPr>
              <w:suppressLineNumbers/>
              <w:suppressAutoHyphens/>
              <w:jc w:val="center"/>
              <w:rPr>
                <w:i/>
                <w:iCs/>
                <w:color w:val="000000"/>
                <w:kern w:val="22"/>
                <w:sz w:val="15"/>
                <w:szCs w:val="15"/>
                <w:lang w:eastAsia="en-CA"/>
              </w:rPr>
            </w:pPr>
            <w:r w:rsidRPr="00AB780A">
              <w:rPr>
                <w:i/>
                <w:iCs/>
                <w:color w:val="000000"/>
                <w:kern w:val="22"/>
                <w:sz w:val="15"/>
                <w:szCs w:val="15"/>
                <w:lang w:eastAsia="en-CA"/>
              </w:rPr>
              <w:t>Total</w:t>
            </w:r>
            <w:r w:rsidRPr="00AB780A">
              <w:rPr>
                <w:i/>
                <w:iCs/>
                <w:color w:val="000000"/>
                <w:kern w:val="22"/>
                <w:sz w:val="15"/>
                <w:szCs w:val="15"/>
                <w:lang w:eastAsia="en-CA"/>
              </w:rPr>
              <w:br/>
              <w:t>(en milliers de dollars É.-U)</w:t>
            </w:r>
          </w:p>
        </w:tc>
      </w:tr>
      <w:tr w:rsidR="00B63B63" w:rsidRPr="001570B4" w14:paraId="0C62ECA1" w14:textId="77777777" w:rsidTr="00E36C22">
        <w:trPr>
          <w:trHeight w:val="288"/>
        </w:trPr>
        <w:tc>
          <w:tcPr>
            <w:tcW w:w="4520" w:type="dxa"/>
            <w:vMerge/>
            <w:tcBorders>
              <w:top w:val="single" w:sz="8" w:space="0" w:color="auto"/>
              <w:left w:val="nil"/>
              <w:bottom w:val="single" w:sz="12" w:space="0" w:color="000000"/>
              <w:right w:val="nil"/>
            </w:tcBorders>
            <w:vAlign w:val="center"/>
            <w:hideMark/>
          </w:tcPr>
          <w:p w14:paraId="096BF428" w14:textId="77777777" w:rsidR="00B63B63" w:rsidRPr="00AB780A" w:rsidRDefault="00B63B63" w:rsidP="00E36C22">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0D824560" w14:textId="77777777" w:rsidR="00B63B63" w:rsidRPr="00AB780A" w:rsidRDefault="00B63B63" w:rsidP="00E36C22">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9AC391C" w14:textId="77777777" w:rsidR="00B63B63" w:rsidRPr="00AB780A" w:rsidRDefault="00B63B63" w:rsidP="00E36C22">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3F17BAB8" w14:textId="77777777" w:rsidR="00B63B63" w:rsidRPr="00AB780A" w:rsidRDefault="00B63B63" w:rsidP="00E36C22">
            <w:pPr>
              <w:suppressLineNumbers/>
              <w:suppressAutoHyphens/>
              <w:jc w:val="left"/>
              <w:rPr>
                <w:i/>
                <w:iCs/>
                <w:color w:val="000000"/>
                <w:kern w:val="22"/>
                <w:sz w:val="15"/>
                <w:szCs w:val="15"/>
                <w:lang w:eastAsia="en-CA"/>
              </w:rPr>
            </w:pPr>
          </w:p>
        </w:tc>
      </w:tr>
      <w:tr w:rsidR="00B63B63" w:rsidRPr="001570B4" w14:paraId="69B744B6" w14:textId="77777777" w:rsidTr="00E36C22">
        <w:trPr>
          <w:trHeight w:val="300"/>
        </w:trPr>
        <w:tc>
          <w:tcPr>
            <w:tcW w:w="4520" w:type="dxa"/>
            <w:vMerge/>
            <w:tcBorders>
              <w:top w:val="single" w:sz="8" w:space="0" w:color="auto"/>
              <w:left w:val="nil"/>
              <w:bottom w:val="single" w:sz="12" w:space="0" w:color="000000"/>
              <w:right w:val="nil"/>
            </w:tcBorders>
            <w:vAlign w:val="center"/>
            <w:hideMark/>
          </w:tcPr>
          <w:p w14:paraId="4A1C906A" w14:textId="77777777" w:rsidR="00B63B63" w:rsidRPr="00AB780A" w:rsidRDefault="00B63B63" w:rsidP="00E36C22">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44DD07A0" w14:textId="77777777" w:rsidR="00B63B63" w:rsidRPr="00AB780A" w:rsidRDefault="00B63B63" w:rsidP="00E36C22">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6E7A6C26" w14:textId="77777777" w:rsidR="00B63B63" w:rsidRPr="00AB780A" w:rsidRDefault="00B63B63" w:rsidP="00E36C22">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6993E4A4" w14:textId="77777777" w:rsidR="00B63B63" w:rsidRPr="00AB780A" w:rsidRDefault="00B63B63" w:rsidP="00E36C22">
            <w:pPr>
              <w:suppressLineNumbers/>
              <w:suppressAutoHyphens/>
              <w:jc w:val="left"/>
              <w:rPr>
                <w:i/>
                <w:iCs/>
                <w:color w:val="000000"/>
                <w:kern w:val="22"/>
                <w:sz w:val="15"/>
                <w:szCs w:val="15"/>
                <w:lang w:eastAsia="en-CA"/>
              </w:rPr>
            </w:pPr>
          </w:p>
        </w:tc>
      </w:tr>
      <w:tr w:rsidR="00B63B63" w:rsidRPr="001570B4" w14:paraId="635B98F2" w14:textId="77777777" w:rsidTr="00E36C22">
        <w:trPr>
          <w:trHeight w:val="300"/>
        </w:trPr>
        <w:tc>
          <w:tcPr>
            <w:tcW w:w="4520" w:type="dxa"/>
            <w:tcBorders>
              <w:top w:val="nil"/>
              <w:left w:val="nil"/>
              <w:bottom w:val="nil"/>
              <w:right w:val="nil"/>
            </w:tcBorders>
            <w:shd w:val="clear" w:color="auto" w:fill="auto"/>
            <w:vAlign w:val="center"/>
            <w:hideMark/>
          </w:tcPr>
          <w:p w14:paraId="36D3F1DA" w14:textId="77777777" w:rsidR="00B63B63" w:rsidRPr="00AB780A" w:rsidRDefault="00B63B63" w:rsidP="00E36C22">
            <w:pPr>
              <w:suppressLineNumbers/>
              <w:suppressAutoHyphens/>
              <w:jc w:val="left"/>
              <w:rPr>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7BF21C12" w14:textId="77777777" w:rsidR="00B63B63" w:rsidRPr="00AB780A" w:rsidRDefault="00B63B63" w:rsidP="00E36C22">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122BE39D" w14:textId="77777777" w:rsidR="00B63B63" w:rsidRPr="00AB780A" w:rsidRDefault="00B63B63" w:rsidP="00E36C22">
            <w:pPr>
              <w:suppressLineNumbers/>
              <w:suppressAutoHyphens/>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38C7C84A" w14:textId="77777777" w:rsidR="00B63B63" w:rsidRPr="00AB780A" w:rsidRDefault="00B63B63" w:rsidP="00E36C22">
            <w:pPr>
              <w:suppressLineNumbers/>
              <w:suppressAutoHyphens/>
              <w:jc w:val="right"/>
              <w:rPr>
                <w:color w:val="000000"/>
                <w:kern w:val="22"/>
                <w:sz w:val="17"/>
                <w:szCs w:val="17"/>
                <w:lang w:eastAsia="en-CA"/>
              </w:rPr>
            </w:pPr>
          </w:p>
        </w:tc>
      </w:tr>
      <w:tr w:rsidR="00B63B63" w:rsidRPr="001C261A" w14:paraId="3D40FD25" w14:textId="77777777" w:rsidTr="00E36C22">
        <w:trPr>
          <w:trHeight w:val="288"/>
        </w:trPr>
        <w:tc>
          <w:tcPr>
            <w:tcW w:w="4520" w:type="dxa"/>
            <w:tcBorders>
              <w:top w:val="nil"/>
              <w:left w:val="nil"/>
              <w:bottom w:val="nil"/>
              <w:right w:val="nil"/>
            </w:tcBorders>
            <w:shd w:val="clear" w:color="auto" w:fill="auto"/>
            <w:hideMark/>
          </w:tcPr>
          <w:p w14:paraId="4C07627E"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lang w:eastAsia="en-CA"/>
              </w:rPr>
              <w:t>A. Organes directeurs et subsidiaires</w:t>
            </w:r>
          </w:p>
        </w:tc>
        <w:tc>
          <w:tcPr>
            <w:tcW w:w="1360" w:type="dxa"/>
            <w:tcBorders>
              <w:top w:val="nil"/>
              <w:left w:val="nil"/>
              <w:bottom w:val="nil"/>
              <w:right w:val="nil"/>
            </w:tcBorders>
            <w:shd w:val="clear" w:color="auto" w:fill="auto"/>
            <w:hideMark/>
          </w:tcPr>
          <w:p w14:paraId="525A48CD"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889</w:t>
            </w:r>
            <w:r>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nil"/>
              <w:right w:val="nil"/>
            </w:tcBorders>
            <w:shd w:val="clear" w:color="auto" w:fill="auto"/>
            <w:hideMark/>
          </w:tcPr>
          <w:p w14:paraId="6CA7AFD2"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484</w:t>
            </w:r>
            <w:r>
              <w:rPr>
                <w:color w:val="000000"/>
                <w:kern w:val="22"/>
                <w:sz w:val="17"/>
                <w:szCs w:val="17"/>
                <w:lang w:eastAsia="en-CA"/>
              </w:rPr>
              <w:t>,</w:t>
            </w:r>
            <w:r w:rsidRPr="00F41283">
              <w:rPr>
                <w:color w:val="000000"/>
                <w:kern w:val="22"/>
                <w:sz w:val="17"/>
                <w:szCs w:val="17"/>
                <w:lang w:eastAsia="en-CA"/>
              </w:rPr>
              <w:t>0</w:t>
            </w:r>
          </w:p>
        </w:tc>
        <w:tc>
          <w:tcPr>
            <w:tcW w:w="1640" w:type="dxa"/>
            <w:tcBorders>
              <w:top w:val="nil"/>
              <w:left w:val="nil"/>
              <w:bottom w:val="nil"/>
              <w:right w:val="nil"/>
            </w:tcBorders>
            <w:shd w:val="clear" w:color="auto" w:fill="auto"/>
            <w:hideMark/>
          </w:tcPr>
          <w:p w14:paraId="7810F2D6"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373</w:t>
            </w:r>
            <w:r>
              <w:rPr>
                <w:color w:val="000000"/>
                <w:kern w:val="22"/>
                <w:sz w:val="17"/>
                <w:szCs w:val="17"/>
                <w:lang w:eastAsia="en-CA"/>
              </w:rPr>
              <w:t>,</w:t>
            </w:r>
            <w:r w:rsidRPr="00F41283">
              <w:rPr>
                <w:color w:val="000000"/>
                <w:kern w:val="22"/>
                <w:sz w:val="17"/>
                <w:szCs w:val="17"/>
                <w:lang w:eastAsia="en-CA"/>
              </w:rPr>
              <w:t>0</w:t>
            </w:r>
          </w:p>
        </w:tc>
      </w:tr>
      <w:tr w:rsidR="00B63B63" w:rsidRPr="001C261A" w14:paraId="0AC97DF3" w14:textId="77777777" w:rsidTr="00E36C22">
        <w:trPr>
          <w:trHeight w:val="288"/>
        </w:trPr>
        <w:tc>
          <w:tcPr>
            <w:tcW w:w="4520" w:type="dxa"/>
            <w:tcBorders>
              <w:top w:val="nil"/>
              <w:left w:val="nil"/>
              <w:bottom w:val="nil"/>
              <w:right w:val="nil"/>
            </w:tcBorders>
            <w:shd w:val="clear" w:color="auto" w:fill="auto"/>
            <w:hideMark/>
          </w:tcPr>
          <w:p w14:paraId="013C4299" w14:textId="77777777" w:rsidR="00B63B63" w:rsidRPr="00A353A6" w:rsidRDefault="00B63B63" w:rsidP="00E36C22">
            <w:pPr>
              <w:suppressLineNumbers/>
              <w:suppressAutoHyphens/>
              <w:jc w:val="left"/>
              <w:rPr>
                <w:color w:val="000000"/>
                <w:kern w:val="22"/>
                <w:sz w:val="17"/>
                <w:szCs w:val="17"/>
                <w:lang w:eastAsia="en-CA"/>
              </w:rPr>
            </w:pPr>
            <w:r w:rsidRPr="00A353A6">
              <w:rPr>
                <w:color w:val="000000"/>
                <w:kern w:val="22"/>
                <w:sz w:val="17"/>
                <w:szCs w:val="17"/>
                <w:lang w:eastAsia="en-CA"/>
              </w:rPr>
              <w:t xml:space="preserve">B. Direction </w:t>
            </w:r>
            <w:r>
              <w:rPr>
                <w:color w:val="000000"/>
                <w:kern w:val="22"/>
                <w:sz w:val="17"/>
                <w:szCs w:val="17"/>
                <w:lang w:eastAsia="en-CA"/>
              </w:rPr>
              <w:t>exécutive et administration</w:t>
            </w:r>
          </w:p>
        </w:tc>
        <w:tc>
          <w:tcPr>
            <w:tcW w:w="1360" w:type="dxa"/>
            <w:tcBorders>
              <w:top w:val="nil"/>
              <w:left w:val="nil"/>
              <w:bottom w:val="nil"/>
              <w:right w:val="nil"/>
            </w:tcBorders>
            <w:shd w:val="clear" w:color="auto" w:fill="auto"/>
            <w:hideMark/>
          </w:tcPr>
          <w:p w14:paraId="7FD38600"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634</w:t>
            </w:r>
            <w:r>
              <w:rPr>
                <w:color w:val="000000"/>
                <w:kern w:val="22"/>
                <w:sz w:val="17"/>
                <w:szCs w:val="17"/>
                <w:lang w:eastAsia="en-CA"/>
              </w:rPr>
              <w:t>,</w:t>
            </w:r>
            <w:r w:rsidRPr="00F41283">
              <w:rPr>
                <w:color w:val="000000"/>
                <w:kern w:val="22"/>
                <w:sz w:val="17"/>
                <w:szCs w:val="17"/>
                <w:lang w:eastAsia="en-CA"/>
              </w:rPr>
              <w:t>5</w:t>
            </w:r>
          </w:p>
        </w:tc>
        <w:tc>
          <w:tcPr>
            <w:tcW w:w="1600" w:type="dxa"/>
            <w:tcBorders>
              <w:top w:val="nil"/>
              <w:left w:val="nil"/>
              <w:bottom w:val="nil"/>
              <w:right w:val="nil"/>
            </w:tcBorders>
            <w:shd w:val="clear" w:color="auto" w:fill="auto"/>
            <w:hideMark/>
          </w:tcPr>
          <w:p w14:paraId="70C8A476"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669</w:t>
            </w:r>
            <w:r>
              <w:rPr>
                <w:color w:val="000000"/>
                <w:kern w:val="22"/>
                <w:sz w:val="17"/>
                <w:szCs w:val="17"/>
                <w:lang w:eastAsia="en-CA"/>
              </w:rPr>
              <w:t>,</w:t>
            </w:r>
            <w:r w:rsidRPr="00F41283">
              <w:rPr>
                <w:color w:val="000000"/>
                <w:kern w:val="22"/>
                <w:sz w:val="17"/>
                <w:szCs w:val="17"/>
                <w:lang w:eastAsia="en-CA"/>
              </w:rPr>
              <w:t>8</w:t>
            </w:r>
          </w:p>
        </w:tc>
        <w:tc>
          <w:tcPr>
            <w:tcW w:w="1640" w:type="dxa"/>
            <w:tcBorders>
              <w:top w:val="nil"/>
              <w:left w:val="nil"/>
              <w:bottom w:val="nil"/>
              <w:right w:val="nil"/>
            </w:tcBorders>
            <w:shd w:val="clear" w:color="auto" w:fill="auto"/>
            <w:hideMark/>
          </w:tcPr>
          <w:p w14:paraId="5C5A2EFD"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5</w:t>
            </w:r>
            <w:r>
              <w:rPr>
                <w:color w:val="000000"/>
                <w:kern w:val="22"/>
                <w:sz w:val="17"/>
                <w:szCs w:val="17"/>
                <w:lang w:eastAsia="en-CA"/>
              </w:rPr>
              <w:t xml:space="preserve"> </w:t>
            </w:r>
            <w:r w:rsidRPr="00F41283">
              <w:rPr>
                <w:color w:val="000000"/>
                <w:kern w:val="22"/>
                <w:sz w:val="17"/>
                <w:szCs w:val="17"/>
                <w:lang w:eastAsia="en-CA"/>
              </w:rPr>
              <w:t>304</w:t>
            </w:r>
            <w:r>
              <w:rPr>
                <w:color w:val="000000"/>
                <w:kern w:val="22"/>
                <w:sz w:val="17"/>
                <w:szCs w:val="17"/>
                <w:lang w:eastAsia="en-CA"/>
              </w:rPr>
              <w:t>,</w:t>
            </w:r>
            <w:r w:rsidRPr="00F41283">
              <w:rPr>
                <w:color w:val="000000"/>
                <w:kern w:val="22"/>
                <w:sz w:val="17"/>
                <w:szCs w:val="17"/>
                <w:lang w:eastAsia="en-CA"/>
              </w:rPr>
              <w:t>3</w:t>
            </w:r>
          </w:p>
        </w:tc>
      </w:tr>
      <w:tr w:rsidR="00B63B63" w:rsidRPr="001C261A" w14:paraId="146FB869" w14:textId="77777777" w:rsidTr="00E36C22">
        <w:trPr>
          <w:trHeight w:val="288"/>
        </w:trPr>
        <w:tc>
          <w:tcPr>
            <w:tcW w:w="4520" w:type="dxa"/>
            <w:tcBorders>
              <w:top w:val="nil"/>
              <w:left w:val="nil"/>
              <w:bottom w:val="nil"/>
              <w:right w:val="nil"/>
            </w:tcBorders>
            <w:shd w:val="clear" w:color="auto" w:fill="auto"/>
            <w:hideMark/>
          </w:tcPr>
          <w:p w14:paraId="6EF1852D" w14:textId="77777777" w:rsidR="00B63B63" w:rsidRPr="00F41283" w:rsidRDefault="00B63B63" w:rsidP="00E36C22">
            <w:pPr>
              <w:suppressLineNumbers/>
              <w:suppressAutoHyphens/>
              <w:jc w:val="left"/>
              <w:rPr>
                <w:color w:val="000000"/>
                <w:kern w:val="22"/>
                <w:sz w:val="17"/>
                <w:szCs w:val="17"/>
                <w:lang w:eastAsia="en-CA"/>
              </w:rPr>
            </w:pPr>
            <w:r>
              <w:rPr>
                <w:color w:val="000000"/>
                <w:kern w:val="22"/>
                <w:sz w:val="17"/>
                <w:szCs w:val="17"/>
                <w:lang w:eastAsia="en-CA"/>
              </w:rPr>
              <w:t>C. Programme de travail</w:t>
            </w:r>
          </w:p>
        </w:tc>
        <w:tc>
          <w:tcPr>
            <w:tcW w:w="1360" w:type="dxa"/>
            <w:tcBorders>
              <w:top w:val="nil"/>
              <w:left w:val="nil"/>
              <w:bottom w:val="nil"/>
              <w:right w:val="nil"/>
            </w:tcBorders>
            <w:shd w:val="clear" w:color="auto" w:fill="auto"/>
            <w:hideMark/>
          </w:tcPr>
          <w:p w14:paraId="428F0E80"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9</w:t>
            </w:r>
            <w:r>
              <w:rPr>
                <w:color w:val="000000"/>
                <w:kern w:val="22"/>
                <w:sz w:val="17"/>
                <w:szCs w:val="17"/>
                <w:lang w:eastAsia="en-CA"/>
              </w:rPr>
              <w:t xml:space="preserve"> </w:t>
            </w:r>
            <w:r w:rsidRPr="00F41283">
              <w:rPr>
                <w:color w:val="000000"/>
                <w:kern w:val="22"/>
                <w:sz w:val="17"/>
                <w:szCs w:val="17"/>
                <w:lang w:eastAsia="en-CA"/>
              </w:rPr>
              <w:t>309</w:t>
            </w:r>
            <w:r>
              <w:rPr>
                <w:color w:val="000000"/>
                <w:kern w:val="22"/>
                <w:sz w:val="17"/>
                <w:szCs w:val="17"/>
                <w:lang w:eastAsia="en-CA"/>
              </w:rPr>
              <w:t>,</w:t>
            </w:r>
            <w:r w:rsidRPr="00F41283">
              <w:rPr>
                <w:color w:val="000000"/>
                <w:kern w:val="22"/>
                <w:sz w:val="17"/>
                <w:szCs w:val="17"/>
                <w:lang w:eastAsia="en-CA"/>
              </w:rPr>
              <w:t>4</w:t>
            </w:r>
          </w:p>
        </w:tc>
        <w:tc>
          <w:tcPr>
            <w:tcW w:w="1600" w:type="dxa"/>
            <w:tcBorders>
              <w:top w:val="nil"/>
              <w:left w:val="nil"/>
              <w:bottom w:val="nil"/>
              <w:right w:val="nil"/>
            </w:tcBorders>
            <w:shd w:val="clear" w:color="auto" w:fill="auto"/>
            <w:hideMark/>
          </w:tcPr>
          <w:p w14:paraId="052C27C9"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9</w:t>
            </w:r>
            <w:r>
              <w:rPr>
                <w:color w:val="000000"/>
                <w:kern w:val="22"/>
                <w:sz w:val="17"/>
                <w:szCs w:val="17"/>
                <w:lang w:eastAsia="en-CA"/>
              </w:rPr>
              <w:t xml:space="preserve"> </w:t>
            </w:r>
            <w:r w:rsidRPr="00F41283">
              <w:rPr>
                <w:color w:val="000000"/>
                <w:kern w:val="22"/>
                <w:sz w:val="17"/>
                <w:szCs w:val="17"/>
                <w:lang w:eastAsia="en-CA"/>
              </w:rPr>
              <w:t>243</w:t>
            </w:r>
            <w:r>
              <w:rPr>
                <w:color w:val="000000"/>
                <w:kern w:val="22"/>
                <w:sz w:val="17"/>
                <w:szCs w:val="17"/>
                <w:lang w:eastAsia="en-CA"/>
              </w:rPr>
              <w:t>,</w:t>
            </w:r>
            <w:r w:rsidRPr="00F41283">
              <w:rPr>
                <w:color w:val="000000"/>
                <w:kern w:val="22"/>
                <w:sz w:val="17"/>
                <w:szCs w:val="17"/>
                <w:lang w:eastAsia="en-CA"/>
              </w:rPr>
              <w:t>1</w:t>
            </w:r>
          </w:p>
        </w:tc>
        <w:tc>
          <w:tcPr>
            <w:tcW w:w="1640" w:type="dxa"/>
            <w:tcBorders>
              <w:top w:val="nil"/>
              <w:left w:val="nil"/>
              <w:bottom w:val="nil"/>
              <w:right w:val="nil"/>
            </w:tcBorders>
            <w:shd w:val="clear" w:color="auto" w:fill="auto"/>
            <w:hideMark/>
          </w:tcPr>
          <w:p w14:paraId="09FEF0FC"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18</w:t>
            </w:r>
            <w:r>
              <w:rPr>
                <w:color w:val="000000"/>
                <w:kern w:val="22"/>
                <w:sz w:val="17"/>
                <w:szCs w:val="17"/>
                <w:lang w:eastAsia="en-CA"/>
              </w:rPr>
              <w:t xml:space="preserve"> </w:t>
            </w:r>
            <w:r w:rsidRPr="00F41283">
              <w:rPr>
                <w:color w:val="000000"/>
                <w:kern w:val="22"/>
                <w:sz w:val="17"/>
                <w:szCs w:val="17"/>
                <w:lang w:eastAsia="en-CA"/>
              </w:rPr>
              <w:t>552</w:t>
            </w:r>
            <w:r>
              <w:rPr>
                <w:color w:val="000000"/>
                <w:kern w:val="22"/>
                <w:sz w:val="17"/>
                <w:szCs w:val="17"/>
                <w:lang w:eastAsia="en-CA"/>
              </w:rPr>
              <w:t>,</w:t>
            </w:r>
            <w:r w:rsidRPr="00F41283">
              <w:rPr>
                <w:color w:val="000000"/>
                <w:kern w:val="22"/>
                <w:sz w:val="17"/>
                <w:szCs w:val="17"/>
                <w:lang w:eastAsia="en-CA"/>
              </w:rPr>
              <w:t>5</w:t>
            </w:r>
          </w:p>
        </w:tc>
      </w:tr>
      <w:tr w:rsidR="00B63B63" w:rsidRPr="00A353A6" w14:paraId="70229FDA" w14:textId="77777777" w:rsidTr="00E36C22">
        <w:trPr>
          <w:trHeight w:val="300"/>
        </w:trPr>
        <w:tc>
          <w:tcPr>
            <w:tcW w:w="4520" w:type="dxa"/>
            <w:tcBorders>
              <w:top w:val="nil"/>
              <w:left w:val="nil"/>
              <w:bottom w:val="single" w:sz="8" w:space="0" w:color="auto"/>
              <w:right w:val="nil"/>
            </w:tcBorders>
            <w:shd w:val="clear" w:color="auto" w:fill="auto"/>
            <w:hideMark/>
          </w:tcPr>
          <w:p w14:paraId="1D0244DA" w14:textId="77777777" w:rsidR="00B63B63" w:rsidRPr="00A353A6" w:rsidRDefault="00B63B63" w:rsidP="00E36C22">
            <w:pPr>
              <w:suppressLineNumbers/>
              <w:suppressAutoHyphens/>
              <w:jc w:val="left"/>
              <w:rPr>
                <w:color w:val="000000"/>
                <w:kern w:val="22"/>
                <w:sz w:val="17"/>
                <w:szCs w:val="17"/>
                <w:lang w:eastAsia="en-CA"/>
              </w:rPr>
            </w:pPr>
            <w:r w:rsidRPr="00A353A6">
              <w:rPr>
                <w:color w:val="000000"/>
                <w:kern w:val="22"/>
                <w:sz w:val="17"/>
                <w:szCs w:val="17"/>
                <w:lang w:eastAsia="en-CA"/>
              </w:rPr>
              <w:t>D. S</w:t>
            </w:r>
            <w:r>
              <w:rPr>
                <w:color w:val="000000"/>
                <w:kern w:val="22"/>
                <w:sz w:val="17"/>
                <w:szCs w:val="17"/>
                <w:lang w:eastAsia="en-CA"/>
              </w:rPr>
              <w:t>outien</w:t>
            </w:r>
            <w:r w:rsidRPr="00A353A6">
              <w:rPr>
                <w:color w:val="000000"/>
                <w:kern w:val="22"/>
                <w:sz w:val="17"/>
                <w:szCs w:val="17"/>
                <w:lang w:eastAsia="en-CA"/>
              </w:rPr>
              <w:t xml:space="preserve"> administratif</w:t>
            </w:r>
          </w:p>
        </w:tc>
        <w:tc>
          <w:tcPr>
            <w:tcW w:w="1360" w:type="dxa"/>
            <w:tcBorders>
              <w:top w:val="nil"/>
              <w:left w:val="nil"/>
              <w:bottom w:val="single" w:sz="8" w:space="0" w:color="auto"/>
              <w:right w:val="nil"/>
            </w:tcBorders>
            <w:shd w:val="clear" w:color="auto" w:fill="auto"/>
            <w:hideMark/>
          </w:tcPr>
          <w:p w14:paraId="7B181537" w14:textId="77777777" w:rsidR="00B63B63" w:rsidRPr="00A353A6" w:rsidRDefault="00B63B63" w:rsidP="00E36C22">
            <w:pPr>
              <w:suppressLineNumbers/>
              <w:suppressAutoHyphens/>
              <w:jc w:val="right"/>
              <w:rPr>
                <w:color w:val="000000"/>
                <w:kern w:val="22"/>
                <w:sz w:val="17"/>
                <w:szCs w:val="17"/>
                <w:lang w:eastAsia="en-CA"/>
              </w:rPr>
            </w:pPr>
            <w:r w:rsidRPr="00A353A6">
              <w:rPr>
                <w:color w:val="000000"/>
                <w:kern w:val="22"/>
                <w:sz w:val="17"/>
                <w:szCs w:val="17"/>
                <w:lang w:eastAsia="en-CA"/>
              </w:rPr>
              <w:t>2 886,0</w:t>
            </w:r>
          </w:p>
        </w:tc>
        <w:tc>
          <w:tcPr>
            <w:tcW w:w="1600" w:type="dxa"/>
            <w:tcBorders>
              <w:top w:val="nil"/>
              <w:left w:val="nil"/>
              <w:bottom w:val="single" w:sz="8" w:space="0" w:color="auto"/>
              <w:right w:val="nil"/>
            </w:tcBorders>
            <w:shd w:val="clear" w:color="auto" w:fill="auto"/>
            <w:hideMark/>
          </w:tcPr>
          <w:p w14:paraId="65F2DDC2" w14:textId="77777777" w:rsidR="00B63B63" w:rsidRPr="00A353A6" w:rsidRDefault="00B63B63" w:rsidP="00E36C22">
            <w:pPr>
              <w:suppressLineNumbers/>
              <w:suppressAutoHyphens/>
              <w:jc w:val="right"/>
              <w:rPr>
                <w:color w:val="000000"/>
                <w:kern w:val="22"/>
                <w:sz w:val="17"/>
                <w:szCs w:val="17"/>
                <w:lang w:eastAsia="en-CA"/>
              </w:rPr>
            </w:pPr>
            <w:r w:rsidRPr="00A353A6">
              <w:rPr>
                <w:color w:val="000000"/>
                <w:kern w:val="22"/>
                <w:sz w:val="17"/>
                <w:szCs w:val="17"/>
                <w:lang w:eastAsia="en-CA"/>
              </w:rPr>
              <w:t>3 093,7</w:t>
            </w:r>
          </w:p>
        </w:tc>
        <w:tc>
          <w:tcPr>
            <w:tcW w:w="1640" w:type="dxa"/>
            <w:tcBorders>
              <w:top w:val="nil"/>
              <w:left w:val="nil"/>
              <w:bottom w:val="single" w:sz="8" w:space="0" w:color="auto"/>
              <w:right w:val="nil"/>
            </w:tcBorders>
            <w:shd w:val="clear" w:color="auto" w:fill="auto"/>
            <w:hideMark/>
          </w:tcPr>
          <w:p w14:paraId="31324234" w14:textId="77777777" w:rsidR="00B63B63" w:rsidRPr="00A353A6" w:rsidRDefault="00B63B63" w:rsidP="00E36C22">
            <w:pPr>
              <w:suppressLineNumbers/>
              <w:suppressAutoHyphens/>
              <w:jc w:val="right"/>
              <w:rPr>
                <w:color w:val="000000"/>
                <w:kern w:val="22"/>
                <w:sz w:val="17"/>
                <w:szCs w:val="17"/>
                <w:lang w:eastAsia="en-CA"/>
              </w:rPr>
            </w:pPr>
            <w:r w:rsidRPr="00A353A6">
              <w:rPr>
                <w:color w:val="000000"/>
                <w:kern w:val="22"/>
                <w:sz w:val="17"/>
                <w:szCs w:val="17"/>
                <w:lang w:eastAsia="en-CA"/>
              </w:rPr>
              <w:t>5 979,7</w:t>
            </w:r>
          </w:p>
        </w:tc>
      </w:tr>
      <w:tr w:rsidR="00B63B63" w:rsidRPr="00A353A6" w14:paraId="27A7C1B0" w14:textId="77777777" w:rsidTr="00E36C22">
        <w:trPr>
          <w:trHeight w:val="300"/>
        </w:trPr>
        <w:tc>
          <w:tcPr>
            <w:tcW w:w="4520" w:type="dxa"/>
            <w:tcBorders>
              <w:top w:val="nil"/>
              <w:left w:val="nil"/>
              <w:bottom w:val="single" w:sz="12" w:space="0" w:color="auto"/>
              <w:right w:val="nil"/>
            </w:tcBorders>
            <w:shd w:val="clear" w:color="auto" w:fill="auto"/>
            <w:hideMark/>
          </w:tcPr>
          <w:p w14:paraId="7B5B5BAA" w14:textId="77777777" w:rsidR="00B63B63" w:rsidRPr="00A353A6" w:rsidRDefault="00B63B63" w:rsidP="00E36C22">
            <w:pPr>
              <w:suppressLineNumbers/>
              <w:suppressAutoHyphens/>
              <w:jc w:val="left"/>
              <w:rPr>
                <w:b/>
                <w:bCs/>
                <w:color w:val="000000"/>
                <w:kern w:val="22"/>
                <w:sz w:val="17"/>
                <w:szCs w:val="17"/>
                <w:lang w:eastAsia="en-CA"/>
              </w:rPr>
            </w:pPr>
            <w:r w:rsidRPr="00A353A6">
              <w:rPr>
                <w:b/>
                <w:bCs/>
                <w:color w:val="000000"/>
                <w:kern w:val="22"/>
                <w:sz w:val="17"/>
                <w:szCs w:val="17"/>
                <w:lang w:eastAsia="en-CA"/>
              </w:rPr>
              <w:t>Sous-total</w:t>
            </w:r>
          </w:p>
        </w:tc>
        <w:tc>
          <w:tcPr>
            <w:tcW w:w="1360" w:type="dxa"/>
            <w:tcBorders>
              <w:top w:val="nil"/>
              <w:left w:val="nil"/>
              <w:bottom w:val="single" w:sz="12" w:space="0" w:color="auto"/>
              <w:right w:val="nil"/>
            </w:tcBorders>
            <w:shd w:val="clear" w:color="auto" w:fill="auto"/>
            <w:hideMark/>
          </w:tcPr>
          <w:p w14:paraId="7AD87121" w14:textId="77777777" w:rsidR="00B63B63" w:rsidRPr="00A353A6" w:rsidRDefault="00B63B63" w:rsidP="00E36C22">
            <w:pPr>
              <w:suppressLineNumbers/>
              <w:suppressAutoHyphens/>
              <w:jc w:val="right"/>
              <w:rPr>
                <w:b/>
                <w:bCs/>
                <w:color w:val="000000"/>
                <w:kern w:val="22"/>
                <w:sz w:val="17"/>
                <w:szCs w:val="17"/>
                <w:lang w:eastAsia="en-CA"/>
              </w:rPr>
            </w:pPr>
            <w:r w:rsidRPr="00A353A6">
              <w:rPr>
                <w:b/>
                <w:bCs/>
                <w:color w:val="000000"/>
                <w:kern w:val="22"/>
                <w:sz w:val="17"/>
                <w:szCs w:val="17"/>
                <w:lang w:eastAsia="en-CA"/>
              </w:rPr>
              <w:t>16 718,9</w:t>
            </w:r>
          </w:p>
        </w:tc>
        <w:tc>
          <w:tcPr>
            <w:tcW w:w="1600" w:type="dxa"/>
            <w:tcBorders>
              <w:top w:val="nil"/>
              <w:left w:val="nil"/>
              <w:bottom w:val="single" w:sz="12" w:space="0" w:color="auto"/>
              <w:right w:val="nil"/>
            </w:tcBorders>
            <w:shd w:val="clear" w:color="auto" w:fill="auto"/>
            <w:hideMark/>
          </w:tcPr>
          <w:p w14:paraId="5C79003D" w14:textId="77777777" w:rsidR="00B63B63" w:rsidRPr="00A353A6" w:rsidRDefault="00B63B63" w:rsidP="00E36C22">
            <w:pPr>
              <w:suppressLineNumbers/>
              <w:suppressAutoHyphens/>
              <w:jc w:val="right"/>
              <w:rPr>
                <w:b/>
                <w:bCs/>
                <w:color w:val="000000"/>
                <w:kern w:val="22"/>
                <w:sz w:val="17"/>
                <w:szCs w:val="17"/>
                <w:lang w:eastAsia="en-CA"/>
              </w:rPr>
            </w:pPr>
            <w:r w:rsidRPr="00A353A6">
              <w:rPr>
                <w:b/>
                <w:bCs/>
                <w:color w:val="000000"/>
                <w:kern w:val="22"/>
                <w:sz w:val="17"/>
                <w:szCs w:val="17"/>
                <w:lang w:eastAsia="en-CA"/>
              </w:rPr>
              <w:t>17 490,6</w:t>
            </w:r>
          </w:p>
        </w:tc>
        <w:tc>
          <w:tcPr>
            <w:tcW w:w="1640" w:type="dxa"/>
            <w:tcBorders>
              <w:top w:val="nil"/>
              <w:left w:val="nil"/>
              <w:bottom w:val="single" w:sz="12" w:space="0" w:color="auto"/>
              <w:right w:val="nil"/>
            </w:tcBorders>
            <w:shd w:val="clear" w:color="auto" w:fill="auto"/>
            <w:hideMark/>
          </w:tcPr>
          <w:p w14:paraId="290B0ABD" w14:textId="77777777" w:rsidR="00B63B63" w:rsidRPr="00A353A6" w:rsidRDefault="00B63B63" w:rsidP="00E36C22">
            <w:pPr>
              <w:suppressLineNumbers/>
              <w:suppressAutoHyphens/>
              <w:jc w:val="right"/>
              <w:rPr>
                <w:b/>
                <w:bCs/>
                <w:color w:val="000000"/>
                <w:kern w:val="22"/>
                <w:sz w:val="17"/>
                <w:szCs w:val="17"/>
                <w:lang w:eastAsia="en-CA"/>
              </w:rPr>
            </w:pPr>
            <w:r w:rsidRPr="00A353A6">
              <w:rPr>
                <w:b/>
                <w:bCs/>
                <w:color w:val="000000"/>
                <w:kern w:val="22"/>
                <w:sz w:val="17"/>
                <w:szCs w:val="17"/>
                <w:lang w:eastAsia="en-CA"/>
              </w:rPr>
              <w:t>34 209,5</w:t>
            </w:r>
          </w:p>
        </w:tc>
      </w:tr>
      <w:tr w:rsidR="00B63B63" w:rsidRPr="00A353A6" w14:paraId="4E0D7081" w14:textId="77777777" w:rsidTr="00E36C22">
        <w:trPr>
          <w:trHeight w:val="300"/>
        </w:trPr>
        <w:tc>
          <w:tcPr>
            <w:tcW w:w="4520" w:type="dxa"/>
            <w:tcBorders>
              <w:top w:val="nil"/>
              <w:left w:val="nil"/>
              <w:bottom w:val="nil"/>
              <w:right w:val="nil"/>
            </w:tcBorders>
            <w:shd w:val="clear" w:color="auto" w:fill="auto"/>
            <w:hideMark/>
          </w:tcPr>
          <w:p w14:paraId="69BE4C49" w14:textId="77777777" w:rsidR="00B63B63" w:rsidRPr="00AB780A" w:rsidRDefault="00B63B63" w:rsidP="00E36C22">
            <w:pPr>
              <w:suppressLineNumbers/>
              <w:suppressAutoHyphens/>
              <w:jc w:val="left"/>
              <w:rPr>
                <w:color w:val="000000"/>
                <w:kern w:val="22"/>
                <w:sz w:val="17"/>
                <w:szCs w:val="17"/>
                <w:lang w:eastAsia="en-CA"/>
              </w:rPr>
            </w:pPr>
            <w:r>
              <w:rPr>
                <w:color w:val="000000"/>
                <w:kern w:val="22"/>
                <w:sz w:val="17"/>
                <w:szCs w:val="17"/>
                <w:lang w:eastAsia="en-CA"/>
              </w:rPr>
              <w:t>Dépense</w:t>
            </w:r>
            <w:r w:rsidRPr="00AB780A">
              <w:rPr>
                <w:color w:val="000000"/>
                <w:kern w:val="22"/>
                <w:sz w:val="17"/>
                <w:szCs w:val="17"/>
                <w:lang w:eastAsia="en-CA"/>
              </w:rPr>
              <w:t>s d’appui au programme</w:t>
            </w:r>
          </w:p>
        </w:tc>
        <w:tc>
          <w:tcPr>
            <w:tcW w:w="1360" w:type="dxa"/>
            <w:tcBorders>
              <w:top w:val="nil"/>
              <w:left w:val="nil"/>
              <w:bottom w:val="nil"/>
              <w:right w:val="nil"/>
            </w:tcBorders>
            <w:shd w:val="clear" w:color="auto" w:fill="auto"/>
            <w:noWrap/>
            <w:hideMark/>
          </w:tcPr>
          <w:p w14:paraId="44817412" w14:textId="77777777" w:rsidR="00B63B63" w:rsidRPr="00A353A6" w:rsidRDefault="00B63B63" w:rsidP="00E36C22">
            <w:pPr>
              <w:suppressLineNumbers/>
              <w:suppressAutoHyphens/>
              <w:jc w:val="right"/>
              <w:rPr>
                <w:color w:val="000000"/>
                <w:kern w:val="22"/>
                <w:sz w:val="17"/>
                <w:szCs w:val="17"/>
                <w:lang w:eastAsia="en-CA"/>
              </w:rPr>
            </w:pPr>
            <w:r w:rsidRPr="00A353A6">
              <w:rPr>
                <w:color w:val="000000"/>
                <w:kern w:val="22"/>
                <w:sz w:val="17"/>
                <w:szCs w:val="17"/>
                <w:lang w:eastAsia="en-CA"/>
              </w:rPr>
              <w:t>2 173,5</w:t>
            </w:r>
          </w:p>
        </w:tc>
        <w:tc>
          <w:tcPr>
            <w:tcW w:w="1600" w:type="dxa"/>
            <w:tcBorders>
              <w:top w:val="nil"/>
              <w:left w:val="nil"/>
              <w:bottom w:val="nil"/>
              <w:right w:val="nil"/>
            </w:tcBorders>
            <w:shd w:val="clear" w:color="auto" w:fill="auto"/>
            <w:hideMark/>
          </w:tcPr>
          <w:p w14:paraId="354EB16E" w14:textId="77777777" w:rsidR="00B63B63" w:rsidRPr="00A353A6" w:rsidRDefault="00B63B63" w:rsidP="00E36C22">
            <w:pPr>
              <w:suppressLineNumbers/>
              <w:suppressAutoHyphens/>
              <w:jc w:val="right"/>
              <w:rPr>
                <w:color w:val="000000"/>
                <w:kern w:val="22"/>
                <w:sz w:val="17"/>
                <w:szCs w:val="17"/>
                <w:lang w:eastAsia="en-CA"/>
              </w:rPr>
            </w:pPr>
            <w:r w:rsidRPr="00A353A6">
              <w:rPr>
                <w:color w:val="000000"/>
                <w:kern w:val="22"/>
                <w:sz w:val="17"/>
                <w:szCs w:val="17"/>
                <w:lang w:eastAsia="en-CA"/>
              </w:rPr>
              <w:t>2 273,8</w:t>
            </w:r>
          </w:p>
        </w:tc>
        <w:tc>
          <w:tcPr>
            <w:tcW w:w="1640" w:type="dxa"/>
            <w:tcBorders>
              <w:top w:val="nil"/>
              <w:left w:val="nil"/>
              <w:bottom w:val="nil"/>
              <w:right w:val="nil"/>
            </w:tcBorders>
            <w:shd w:val="clear" w:color="auto" w:fill="auto"/>
            <w:hideMark/>
          </w:tcPr>
          <w:p w14:paraId="26F9891A" w14:textId="77777777" w:rsidR="00B63B63" w:rsidRPr="00A353A6" w:rsidRDefault="00B63B63" w:rsidP="00E36C22">
            <w:pPr>
              <w:suppressLineNumbers/>
              <w:suppressAutoHyphens/>
              <w:jc w:val="right"/>
              <w:rPr>
                <w:color w:val="000000"/>
                <w:kern w:val="22"/>
                <w:sz w:val="17"/>
                <w:szCs w:val="17"/>
                <w:lang w:eastAsia="en-CA"/>
              </w:rPr>
            </w:pPr>
            <w:r w:rsidRPr="00A353A6">
              <w:rPr>
                <w:color w:val="000000"/>
                <w:kern w:val="22"/>
                <w:sz w:val="17"/>
                <w:szCs w:val="17"/>
                <w:lang w:eastAsia="en-CA"/>
              </w:rPr>
              <w:t>4 447,2</w:t>
            </w:r>
          </w:p>
        </w:tc>
      </w:tr>
      <w:tr w:rsidR="00B63B63" w:rsidRPr="001C261A" w14:paraId="4477531F" w14:textId="77777777" w:rsidTr="00E36C22">
        <w:trPr>
          <w:trHeight w:val="300"/>
        </w:trPr>
        <w:tc>
          <w:tcPr>
            <w:tcW w:w="4520" w:type="dxa"/>
            <w:tcBorders>
              <w:top w:val="nil"/>
              <w:left w:val="nil"/>
              <w:bottom w:val="single" w:sz="8" w:space="0" w:color="auto"/>
              <w:right w:val="nil"/>
            </w:tcBorders>
            <w:shd w:val="clear" w:color="auto" w:fill="auto"/>
            <w:hideMark/>
          </w:tcPr>
          <w:p w14:paraId="74A1D855" w14:textId="77777777" w:rsidR="00B63B63" w:rsidRPr="005642DE" w:rsidRDefault="00B63B63" w:rsidP="00E36C22">
            <w:pPr>
              <w:suppressLineNumbers/>
              <w:suppressAutoHyphens/>
              <w:jc w:val="left"/>
              <w:rPr>
                <w:color w:val="000000"/>
                <w:kern w:val="22"/>
                <w:sz w:val="17"/>
                <w:szCs w:val="17"/>
                <w:lang w:eastAsia="en-CA"/>
              </w:rPr>
            </w:pPr>
            <w:r w:rsidRPr="005642DE">
              <w:rPr>
                <w:color w:val="000000"/>
                <w:kern w:val="22"/>
                <w:sz w:val="17"/>
                <w:szCs w:val="17"/>
                <w:lang w:eastAsia="en-CA"/>
              </w:rPr>
              <w:t>Réserve du fonds de roulement</w:t>
            </w:r>
          </w:p>
        </w:tc>
        <w:tc>
          <w:tcPr>
            <w:tcW w:w="1360" w:type="dxa"/>
            <w:tcBorders>
              <w:top w:val="nil"/>
              <w:left w:val="nil"/>
              <w:bottom w:val="single" w:sz="8" w:space="0" w:color="auto"/>
              <w:right w:val="nil"/>
            </w:tcBorders>
            <w:shd w:val="clear" w:color="auto" w:fill="auto"/>
            <w:noWrap/>
            <w:hideMark/>
          </w:tcPr>
          <w:p w14:paraId="7FF51C0D"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56</w:t>
            </w:r>
            <w:r>
              <w:rPr>
                <w:color w:val="000000"/>
                <w:kern w:val="22"/>
                <w:sz w:val="17"/>
                <w:szCs w:val="17"/>
                <w:lang w:eastAsia="en-CA"/>
              </w:rPr>
              <w:t>,</w:t>
            </w:r>
            <w:r w:rsidRPr="00F41283">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14:paraId="79422391"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130</w:t>
            </w:r>
            <w:r>
              <w:rPr>
                <w:color w:val="000000"/>
                <w:kern w:val="22"/>
                <w:sz w:val="17"/>
                <w:szCs w:val="17"/>
                <w:lang w:eastAsia="en-CA"/>
              </w:rPr>
              <w:t>,</w:t>
            </w:r>
            <w:r w:rsidRPr="00F41283">
              <w:rPr>
                <w:color w:val="000000"/>
                <w:kern w:val="22"/>
                <w:sz w:val="17"/>
                <w:szCs w:val="17"/>
                <w:lang w:eastAsia="en-CA"/>
              </w:rPr>
              <w:t>7</w:t>
            </w:r>
          </w:p>
        </w:tc>
        <w:tc>
          <w:tcPr>
            <w:tcW w:w="1640" w:type="dxa"/>
            <w:tcBorders>
              <w:top w:val="nil"/>
              <w:left w:val="nil"/>
              <w:bottom w:val="single" w:sz="8" w:space="0" w:color="auto"/>
              <w:right w:val="nil"/>
            </w:tcBorders>
            <w:shd w:val="clear" w:color="auto" w:fill="auto"/>
            <w:hideMark/>
          </w:tcPr>
          <w:p w14:paraId="795B73D3"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187</w:t>
            </w:r>
            <w:r>
              <w:rPr>
                <w:color w:val="000000"/>
                <w:kern w:val="22"/>
                <w:sz w:val="17"/>
                <w:szCs w:val="17"/>
                <w:lang w:eastAsia="en-CA"/>
              </w:rPr>
              <w:t>,</w:t>
            </w:r>
            <w:r w:rsidRPr="00F41283">
              <w:rPr>
                <w:color w:val="000000"/>
                <w:kern w:val="22"/>
                <w:sz w:val="17"/>
                <w:szCs w:val="17"/>
                <w:lang w:eastAsia="en-CA"/>
              </w:rPr>
              <w:t>4</w:t>
            </w:r>
          </w:p>
        </w:tc>
      </w:tr>
      <w:tr w:rsidR="00B63B63" w:rsidRPr="001C261A" w14:paraId="174F9583" w14:textId="77777777" w:rsidTr="00E36C22">
        <w:trPr>
          <w:trHeight w:val="300"/>
        </w:trPr>
        <w:tc>
          <w:tcPr>
            <w:tcW w:w="4520" w:type="dxa"/>
            <w:tcBorders>
              <w:top w:val="nil"/>
              <w:left w:val="nil"/>
              <w:bottom w:val="single" w:sz="8" w:space="0" w:color="auto"/>
              <w:right w:val="nil"/>
            </w:tcBorders>
            <w:shd w:val="clear" w:color="auto" w:fill="auto"/>
            <w:hideMark/>
          </w:tcPr>
          <w:p w14:paraId="30BCB4A3" w14:textId="77777777" w:rsidR="00B63B63" w:rsidRPr="00F41283" w:rsidRDefault="00B63B63" w:rsidP="00E36C22">
            <w:pPr>
              <w:suppressLineNumbers/>
              <w:suppressAutoHyphens/>
              <w:jc w:val="left"/>
              <w:rPr>
                <w:b/>
                <w:bCs/>
                <w:color w:val="000000"/>
                <w:kern w:val="22"/>
                <w:sz w:val="17"/>
                <w:szCs w:val="17"/>
                <w:lang w:eastAsia="en-CA"/>
              </w:rPr>
            </w:pPr>
            <w:r w:rsidRPr="00F41283">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14:paraId="526AAC07"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Pr>
                <w:b/>
                <w:bCs/>
                <w:color w:val="000000"/>
                <w:kern w:val="22"/>
                <w:sz w:val="17"/>
                <w:szCs w:val="17"/>
                <w:lang w:eastAsia="en-CA"/>
              </w:rPr>
              <w:t xml:space="preserve"> </w:t>
            </w:r>
            <w:r w:rsidRPr="00F41283">
              <w:rPr>
                <w:b/>
                <w:bCs/>
                <w:color w:val="000000"/>
                <w:kern w:val="22"/>
                <w:sz w:val="17"/>
                <w:szCs w:val="17"/>
                <w:lang w:eastAsia="en-CA"/>
              </w:rPr>
              <w:t>949</w:t>
            </w:r>
            <w:r>
              <w:rPr>
                <w:b/>
                <w:bCs/>
                <w:color w:val="000000"/>
                <w:kern w:val="22"/>
                <w:sz w:val="17"/>
                <w:szCs w:val="17"/>
                <w:lang w:eastAsia="en-CA"/>
              </w:rPr>
              <w:t>,</w:t>
            </w:r>
            <w:r w:rsidRPr="00F41283">
              <w:rPr>
                <w:b/>
                <w:bCs/>
                <w:color w:val="000000"/>
                <w:kern w:val="22"/>
                <w:sz w:val="17"/>
                <w:szCs w:val="17"/>
                <w:lang w:eastAsia="en-CA"/>
              </w:rPr>
              <w:t>0</w:t>
            </w:r>
          </w:p>
        </w:tc>
        <w:tc>
          <w:tcPr>
            <w:tcW w:w="1600" w:type="dxa"/>
            <w:tcBorders>
              <w:top w:val="nil"/>
              <w:left w:val="nil"/>
              <w:bottom w:val="single" w:sz="8" w:space="0" w:color="auto"/>
              <w:right w:val="nil"/>
            </w:tcBorders>
            <w:shd w:val="clear" w:color="auto" w:fill="auto"/>
            <w:noWrap/>
            <w:hideMark/>
          </w:tcPr>
          <w:p w14:paraId="61566813"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Pr>
                <w:b/>
                <w:bCs/>
                <w:color w:val="000000"/>
                <w:kern w:val="22"/>
                <w:sz w:val="17"/>
                <w:szCs w:val="17"/>
                <w:lang w:eastAsia="en-CA"/>
              </w:rPr>
              <w:t xml:space="preserve"> </w:t>
            </w:r>
            <w:r w:rsidRPr="00F41283">
              <w:rPr>
                <w:b/>
                <w:bCs/>
                <w:color w:val="000000"/>
                <w:kern w:val="22"/>
                <w:sz w:val="17"/>
                <w:szCs w:val="17"/>
                <w:lang w:eastAsia="en-CA"/>
              </w:rPr>
              <w:t>895</w:t>
            </w:r>
            <w:r>
              <w:rPr>
                <w:b/>
                <w:bCs/>
                <w:color w:val="000000"/>
                <w:kern w:val="22"/>
                <w:sz w:val="17"/>
                <w:szCs w:val="17"/>
                <w:lang w:eastAsia="en-CA"/>
              </w:rPr>
              <w:t>,</w:t>
            </w:r>
            <w:r w:rsidRPr="00F41283">
              <w:rPr>
                <w:b/>
                <w:bCs/>
                <w:color w:val="000000"/>
                <w:kern w:val="22"/>
                <w:sz w:val="17"/>
                <w:szCs w:val="17"/>
                <w:lang w:eastAsia="en-CA"/>
              </w:rPr>
              <w:t>1</w:t>
            </w:r>
          </w:p>
        </w:tc>
        <w:tc>
          <w:tcPr>
            <w:tcW w:w="1640" w:type="dxa"/>
            <w:tcBorders>
              <w:top w:val="nil"/>
              <w:left w:val="nil"/>
              <w:bottom w:val="single" w:sz="8" w:space="0" w:color="auto"/>
              <w:right w:val="nil"/>
            </w:tcBorders>
            <w:shd w:val="clear" w:color="auto" w:fill="auto"/>
            <w:noWrap/>
            <w:hideMark/>
          </w:tcPr>
          <w:p w14:paraId="4AE39172"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Pr>
                <w:b/>
                <w:bCs/>
                <w:color w:val="000000"/>
                <w:kern w:val="22"/>
                <w:sz w:val="17"/>
                <w:szCs w:val="17"/>
                <w:lang w:eastAsia="en-CA"/>
              </w:rPr>
              <w:t xml:space="preserve"> </w:t>
            </w:r>
            <w:r w:rsidRPr="00F41283">
              <w:rPr>
                <w:b/>
                <w:bCs/>
                <w:color w:val="000000"/>
                <w:kern w:val="22"/>
                <w:sz w:val="17"/>
                <w:szCs w:val="17"/>
                <w:lang w:eastAsia="en-CA"/>
              </w:rPr>
              <w:t>844</w:t>
            </w:r>
            <w:r>
              <w:rPr>
                <w:b/>
                <w:bCs/>
                <w:color w:val="000000"/>
                <w:kern w:val="22"/>
                <w:sz w:val="17"/>
                <w:szCs w:val="17"/>
                <w:lang w:eastAsia="en-CA"/>
              </w:rPr>
              <w:t>,</w:t>
            </w:r>
            <w:r w:rsidRPr="00F41283">
              <w:rPr>
                <w:b/>
                <w:bCs/>
                <w:color w:val="000000"/>
                <w:kern w:val="22"/>
                <w:sz w:val="17"/>
                <w:szCs w:val="17"/>
                <w:lang w:eastAsia="en-CA"/>
              </w:rPr>
              <w:t>1</w:t>
            </w:r>
          </w:p>
        </w:tc>
      </w:tr>
      <w:tr w:rsidR="00B63B63" w:rsidRPr="001C261A" w14:paraId="2A0F9358" w14:textId="77777777" w:rsidTr="00E36C22">
        <w:trPr>
          <w:trHeight w:val="288"/>
        </w:trPr>
        <w:tc>
          <w:tcPr>
            <w:tcW w:w="4520" w:type="dxa"/>
            <w:tcBorders>
              <w:top w:val="nil"/>
              <w:left w:val="nil"/>
              <w:bottom w:val="single" w:sz="4" w:space="0" w:color="auto"/>
              <w:right w:val="nil"/>
            </w:tcBorders>
            <w:shd w:val="clear" w:color="auto" w:fill="auto"/>
            <w:vAlign w:val="center"/>
            <w:hideMark/>
          </w:tcPr>
          <w:p w14:paraId="632786EC" w14:textId="77777777" w:rsidR="00B63B63" w:rsidRPr="005642DE" w:rsidRDefault="00B63B63" w:rsidP="00E36C22">
            <w:pPr>
              <w:suppressLineNumbers/>
              <w:suppressAutoHyphens/>
              <w:jc w:val="left"/>
              <w:rPr>
                <w:kern w:val="22"/>
                <w:sz w:val="17"/>
                <w:szCs w:val="17"/>
                <w:lang w:eastAsia="en-CA"/>
              </w:rPr>
            </w:pPr>
            <w:r w:rsidRPr="005642DE">
              <w:rPr>
                <w:kern w:val="22"/>
                <w:sz w:val="17"/>
                <w:szCs w:val="17"/>
                <w:lang w:eastAsia="en-CA"/>
              </w:rPr>
              <w:t>Part du</w:t>
            </w:r>
            <w:r>
              <w:rPr>
                <w:kern w:val="22"/>
                <w:sz w:val="17"/>
                <w:szCs w:val="17"/>
                <w:lang w:eastAsia="en-CA"/>
              </w:rPr>
              <w:t xml:space="preserve"> budget intégré consacrée au Protocole de Cartagena </w:t>
            </w:r>
            <w:r w:rsidRPr="005642DE">
              <w:rPr>
                <w:kern w:val="22"/>
                <w:sz w:val="17"/>
                <w:szCs w:val="17"/>
                <w:lang w:eastAsia="en-CA"/>
              </w:rPr>
              <w:t>(15%)</w:t>
            </w:r>
          </w:p>
        </w:tc>
        <w:tc>
          <w:tcPr>
            <w:tcW w:w="1360" w:type="dxa"/>
            <w:tcBorders>
              <w:top w:val="nil"/>
              <w:left w:val="nil"/>
              <w:bottom w:val="single" w:sz="4" w:space="0" w:color="auto"/>
              <w:right w:val="nil"/>
            </w:tcBorders>
            <w:shd w:val="clear" w:color="auto" w:fill="auto"/>
            <w:vAlign w:val="center"/>
            <w:hideMark/>
          </w:tcPr>
          <w:p w14:paraId="7E6FFEBF"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842</w:t>
            </w:r>
            <w:r>
              <w:rPr>
                <w:kern w:val="22"/>
                <w:sz w:val="17"/>
                <w:szCs w:val="17"/>
                <w:lang w:eastAsia="en-CA"/>
              </w:rPr>
              <w:t>,</w:t>
            </w:r>
            <w:r w:rsidRPr="00F41283">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14:paraId="298CDE9F"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984</w:t>
            </w:r>
            <w:r>
              <w:rPr>
                <w:kern w:val="22"/>
                <w:sz w:val="17"/>
                <w:szCs w:val="17"/>
                <w:lang w:eastAsia="en-CA"/>
              </w:rPr>
              <w:t>,</w:t>
            </w:r>
            <w:r w:rsidRPr="00F41283">
              <w:rPr>
                <w:kern w:val="22"/>
                <w:sz w:val="17"/>
                <w:szCs w:val="17"/>
                <w:lang w:eastAsia="en-CA"/>
              </w:rPr>
              <w:t>3</w:t>
            </w:r>
          </w:p>
        </w:tc>
        <w:tc>
          <w:tcPr>
            <w:tcW w:w="1640" w:type="dxa"/>
            <w:tcBorders>
              <w:top w:val="nil"/>
              <w:left w:val="nil"/>
              <w:bottom w:val="single" w:sz="4" w:space="0" w:color="auto"/>
              <w:right w:val="nil"/>
            </w:tcBorders>
            <w:shd w:val="clear" w:color="auto" w:fill="auto"/>
            <w:noWrap/>
            <w:hideMark/>
          </w:tcPr>
          <w:p w14:paraId="1C454FB5"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5</w:t>
            </w:r>
            <w:r>
              <w:rPr>
                <w:b/>
                <w:bCs/>
                <w:color w:val="000000"/>
                <w:kern w:val="22"/>
                <w:sz w:val="17"/>
                <w:szCs w:val="17"/>
                <w:lang w:eastAsia="en-CA"/>
              </w:rPr>
              <w:t xml:space="preserve"> </w:t>
            </w:r>
            <w:r w:rsidRPr="00F41283">
              <w:rPr>
                <w:b/>
                <w:bCs/>
                <w:color w:val="000000"/>
                <w:kern w:val="22"/>
                <w:sz w:val="17"/>
                <w:szCs w:val="17"/>
                <w:lang w:eastAsia="en-CA"/>
              </w:rPr>
              <w:t>826</w:t>
            </w:r>
            <w:r>
              <w:rPr>
                <w:b/>
                <w:bCs/>
                <w:color w:val="000000"/>
                <w:kern w:val="22"/>
                <w:sz w:val="17"/>
                <w:szCs w:val="17"/>
                <w:lang w:eastAsia="en-CA"/>
              </w:rPr>
              <w:t>,</w:t>
            </w:r>
            <w:r w:rsidRPr="00F41283">
              <w:rPr>
                <w:b/>
                <w:bCs/>
                <w:color w:val="000000"/>
                <w:kern w:val="22"/>
                <w:sz w:val="17"/>
                <w:szCs w:val="17"/>
                <w:lang w:eastAsia="en-CA"/>
              </w:rPr>
              <w:t>7</w:t>
            </w:r>
          </w:p>
        </w:tc>
      </w:tr>
      <w:tr w:rsidR="00B63B63" w:rsidRPr="001C261A" w14:paraId="695055CA" w14:textId="77777777" w:rsidTr="00E36C22">
        <w:trPr>
          <w:trHeight w:val="288"/>
        </w:trPr>
        <w:tc>
          <w:tcPr>
            <w:tcW w:w="4520" w:type="dxa"/>
            <w:tcBorders>
              <w:top w:val="nil"/>
              <w:left w:val="nil"/>
              <w:bottom w:val="nil"/>
              <w:right w:val="nil"/>
            </w:tcBorders>
            <w:shd w:val="clear" w:color="auto" w:fill="auto"/>
            <w:hideMark/>
          </w:tcPr>
          <w:p w14:paraId="32946079" w14:textId="77777777" w:rsidR="00B63B63" w:rsidRPr="00AB780A" w:rsidRDefault="00B63B63" w:rsidP="00E36C22">
            <w:pPr>
              <w:suppressLineNumbers/>
              <w:suppressAutoHyphens/>
              <w:jc w:val="left"/>
              <w:rPr>
                <w:color w:val="000000"/>
                <w:kern w:val="22"/>
                <w:sz w:val="17"/>
                <w:szCs w:val="17"/>
                <w:lang w:eastAsia="en-CA"/>
              </w:rPr>
            </w:pPr>
            <w:r w:rsidRPr="00AB780A">
              <w:rPr>
                <w:color w:val="000000"/>
                <w:kern w:val="22"/>
                <w:sz w:val="17"/>
                <w:szCs w:val="17"/>
                <w:u w:val="single"/>
                <w:lang w:eastAsia="en-CA"/>
              </w:rPr>
              <w:t>Moins</w:t>
            </w:r>
            <w:r>
              <w:rPr>
                <w:color w:val="000000"/>
                <w:kern w:val="22"/>
                <w:sz w:val="17"/>
                <w:szCs w:val="17"/>
                <w:lang w:eastAsia="en-CA"/>
              </w:rPr>
              <w:t>:</w:t>
            </w:r>
            <w:r w:rsidRPr="00AB780A">
              <w:rPr>
                <w:color w:val="000000"/>
                <w:kern w:val="22"/>
                <w:sz w:val="17"/>
                <w:szCs w:val="17"/>
                <w:lang w:eastAsia="en-CA"/>
              </w:rPr>
              <w:t xml:space="preserve"> Contribution du pays h</w:t>
            </w:r>
            <w:r>
              <w:rPr>
                <w:color w:val="000000"/>
                <w:kern w:val="22"/>
                <w:sz w:val="17"/>
                <w:szCs w:val="17"/>
                <w:lang w:eastAsia="en-CA"/>
              </w:rPr>
              <w:t>ôte</w:t>
            </w:r>
          </w:p>
        </w:tc>
        <w:tc>
          <w:tcPr>
            <w:tcW w:w="1360" w:type="dxa"/>
            <w:tcBorders>
              <w:top w:val="nil"/>
              <w:left w:val="nil"/>
              <w:bottom w:val="nil"/>
              <w:right w:val="nil"/>
            </w:tcBorders>
            <w:shd w:val="clear" w:color="auto" w:fill="auto"/>
            <w:vAlign w:val="center"/>
            <w:hideMark/>
          </w:tcPr>
          <w:p w14:paraId="0145E311"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(184</w:t>
            </w:r>
            <w:r>
              <w:rPr>
                <w:kern w:val="22"/>
                <w:sz w:val="17"/>
                <w:szCs w:val="17"/>
                <w:lang w:eastAsia="en-CA"/>
              </w:rPr>
              <w:t>,</w:t>
            </w:r>
            <w:r w:rsidRPr="00F41283">
              <w:rPr>
                <w:kern w:val="22"/>
                <w:sz w:val="17"/>
                <w:szCs w:val="17"/>
                <w:lang w:eastAsia="en-CA"/>
              </w:rPr>
              <w:t>4)</w:t>
            </w:r>
          </w:p>
        </w:tc>
        <w:tc>
          <w:tcPr>
            <w:tcW w:w="1600" w:type="dxa"/>
            <w:tcBorders>
              <w:top w:val="nil"/>
              <w:left w:val="nil"/>
              <w:bottom w:val="nil"/>
              <w:right w:val="nil"/>
            </w:tcBorders>
            <w:shd w:val="clear" w:color="auto" w:fill="auto"/>
            <w:vAlign w:val="center"/>
            <w:hideMark/>
          </w:tcPr>
          <w:p w14:paraId="7124C63C"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(213</w:t>
            </w:r>
            <w:r>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14:paraId="2AD5DB71"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(397</w:t>
            </w:r>
            <w:r>
              <w:rPr>
                <w:kern w:val="22"/>
                <w:sz w:val="17"/>
                <w:szCs w:val="17"/>
                <w:lang w:eastAsia="en-CA"/>
              </w:rPr>
              <w:t>,</w:t>
            </w:r>
            <w:r w:rsidRPr="00F41283">
              <w:rPr>
                <w:kern w:val="22"/>
                <w:sz w:val="17"/>
                <w:szCs w:val="17"/>
                <w:lang w:eastAsia="en-CA"/>
              </w:rPr>
              <w:t>9)</w:t>
            </w:r>
          </w:p>
        </w:tc>
      </w:tr>
      <w:tr w:rsidR="00B63B63" w:rsidRPr="001C261A" w14:paraId="131171C8" w14:textId="77777777" w:rsidTr="00E36C22">
        <w:trPr>
          <w:trHeight w:val="288"/>
        </w:trPr>
        <w:tc>
          <w:tcPr>
            <w:tcW w:w="4520" w:type="dxa"/>
            <w:tcBorders>
              <w:top w:val="nil"/>
              <w:left w:val="nil"/>
              <w:bottom w:val="nil"/>
              <w:right w:val="nil"/>
            </w:tcBorders>
            <w:shd w:val="clear" w:color="auto" w:fill="auto"/>
            <w:hideMark/>
          </w:tcPr>
          <w:p w14:paraId="49F81B1F"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u w:val="single"/>
                <w:lang w:eastAsia="en-CA"/>
              </w:rPr>
              <w:t>Moins</w:t>
            </w:r>
            <w:r>
              <w:rPr>
                <w:color w:val="000000"/>
                <w:kern w:val="22"/>
                <w:sz w:val="17"/>
                <w:szCs w:val="17"/>
                <w:lang w:eastAsia="en-CA"/>
              </w:rPr>
              <w:t>:</w:t>
            </w:r>
            <w:r w:rsidRPr="00044264">
              <w:rPr>
                <w:color w:val="000000"/>
                <w:kern w:val="22"/>
                <w:sz w:val="17"/>
                <w:szCs w:val="17"/>
                <w:lang w:eastAsia="en-CA"/>
              </w:rPr>
              <w:t xml:space="preserve"> Emploi des </w:t>
            </w:r>
            <w:r>
              <w:rPr>
                <w:color w:val="000000"/>
                <w:kern w:val="22"/>
                <w:sz w:val="17"/>
                <w:szCs w:val="17"/>
                <w:lang w:eastAsia="en-CA"/>
              </w:rPr>
              <w:t>économies des réunions extraordinaires</w:t>
            </w:r>
          </w:p>
        </w:tc>
        <w:tc>
          <w:tcPr>
            <w:tcW w:w="1360" w:type="dxa"/>
            <w:tcBorders>
              <w:top w:val="nil"/>
              <w:left w:val="nil"/>
              <w:bottom w:val="nil"/>
              <w:right w:val="nil"/>
            </w:tcBorders>
            <w:shd w:val="clear" w:color="auto" w:fill="auto"/>
            <w:vAlign w:val="center"/>
            <w:hideMark/>
          </w:tcPr>
          <w:p w14:paraId="4E354DF3"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(127</w:t>
            </w:r>
            <w:r>
              <w:rPr>
                <w:kern w:val="22"/>
                <w:sz w:val="17"/>
                <w:szCs w:val="17"/>
                <w:lang w:eastAsia="en-CA"/>
              </w:rPr>
              <w:t>,</w:t>
            </w:r>
            <w:r w:rsidRPr="00F41283">
              <w:rPr>
                <w:kern w:val="22"/>
                <w:sz w:val="17"/>
                <w:szCs w:val="17"/>
                <w:lang w:eastAsia="en-CA"/>
              </w:rPr>
              <w:t>1)</w:t>
            </w:r>
          </w:p>
        </w:tc>
        <w:tc>
          <w:tcPr>
            <w:tcW w:w="1600" w:type="dxa"/>
            <w:tcBorders>
              <w:top w:val="nil"/>
              <w:left w:val="nil"/>
              <w:bottom w:val="nil"/>
              <w:right w:val="nil"/>
            </w:tcBorders>
            <w:shd w:val="clear" w:color="auto" w:fill="auto"/>
            <w:vAlign w:val="center"/>
            <w:hideMark/>
          </w:tcPr>
          <w:p w14:paraId="6DFC4D60"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(94</w:t>
            </w:r>
            <w:r>
              <w:rPr>
                <w:kern w:val="22"/>
                <w:sz w:val="17"/>
                <w:szCs w:val="17"/>
                <w:lang w:eastAsia="en-CA"/>
              </w:rPr>
              <w:t>,</w:t>
            </w:r>
            <w:r w:rsidRPr="00F41283">
              <w:rPr>
                <w:kern w:val="22"/>
                <w:sz w:val="17"/>
                <w:szCs w:val="17"/>
                <w:lang w:eastAsia="en-CA"/>
              </w:rPr>
              <w:t>9)</w:t>
            </w:r>
          </w:p>
        </w:tc>
        <w:tc>
          <w:tcPr>
            <w:tcW w:w="1640" w:type="dxa"/>
            <w:tcBorders>
              <w:top w:val="nil"/>
              <w:left w:val="nil"/>
              <w:bottom w:val="nil"/>
              <w:right w:val="nil"/>
            </w:tcBorders>
            <w:shd w:val="clear" w:color="auto" w:fill="auto"/>
            <w:vAlign w:val="center"/>
            <w:hideMark/>
          </w:tcPr>
          <w:p w14:paraId="03313D83"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(222</w:t>
            </w:r>
            <w:r>
              <w:rPr>
                <w:kern w:val="22"/>
                <w:sz w:val="17"/>
                <w:szCs w:val="17"/>
                <w:lang w:eastAsia="en-CA"/>
              </w:rPr>
              <w:t>,</w:t>
            </w:r>
            <w:r w:rsidRPr="00F41283">
              <w:rPr>
                <w:kern w:val="22"/>
                <w:sz w:val="17"/>
                <w:szCs w:val="17"/>
                <w:lang w:eastAsia="en-CA"/>
              </w:rPr>
              <w:t>0)</w:t>
            </w:r>
          </w:p>
        </w:tc>
      </w:tr>
      <w:tr w:rsidR="00B63B63" w:rsidRPr="001C261A" w14:paraId="70B45847" w14:textId="77777777" w:rsidTr="00E36C22">
        <w:trPr>
          <w:trHeight w:val="288"/>
        </w:trPr>
        <w:tc>
          <w:tcPr>
            <w:tcW w:w="4520" w:type="dxa"/>
            <w:tcBorders>
              <w:top w:val="nil"/>
              <w:left w:val="nil"/>
              <w:bottom w:val="nil"/>
              <w:right w:val="nil"/>
            </w:tcBorders>
            <w:shd w:val="clear" w:color="auto" w:fill="auto"/>
            <w:hideMark/>
          </w:tcPr>
          <w:p w14:paraId="1F46B910"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u w:val="single"/>
                <w:lang w:eastAsia="en-CA"/>
              </w:rPr>
              <w:t>Moins</w:t>
            </w:r>
            <w:r>
              <w:rPr>
                <w:color w:val="000000"/>
                <w:kern w:val="22"/>
                <w:sz w:val="17"/>
                <w:szCs w:val="17"/>
                <w:lang w:eastAsia="en-CA"/>
              </w:rPr>
              <w:t>:</w:t>
            </w:r>
            <w:r w:rsidRPr="00044264">
              <w:rPr>
                <w:color w:val="000000"/>
                <w:kern w:val="22"/>
                <w:sz w:val="17"/>
                <w:szCs w:val="17"/>
                <w:lang w:eastAsia="en-CA"/>
              </w:rPr>
              <w:t xml:space="preserve"> Emploi des économies des années précédentes</w:t>
            </w:r>
          </w:p>
        </w:tc>
        <w:tc>
          <w:tcPr>
            <w:tcW w:w="1360" w:type="dxa"/>
            <w:tcBorders>
              <w:top w:val="nil"/>
              <w:left w:val="nil"/>
              <w:bottom w:val="nil"/>
              <w:right w:val="nil"/>
            </w:tcBorders>
            <w:shd w:val="clear" w:color="auto" w:fill="auto"/>
            <w:vAlign w:val="center"/>
            <w:hideMark/>
          </w:tcPr>
          <w:p w14:paraId="77365627"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(129</w:t>
            </w:r>
            <w:r>
              <w:rPr>
                <w:kern w:val="22"/>
                <w:sz w:val="17"/>
                <w:szCs w:val="17"/>
                <w:lang w:eastAsia="en-CA"/>
              </w:rPr>
              <w:t>,</w:t>
            </w:r>
            <w:r w:rsidRPr="00F41283">
              <w:rPr>
                <w:kern w:val="22"/>
                <w:sz w:val="17"/>
                <w:szCs w:val="17"/>
                <w:lang w:eastAsia="en-CA"/>
              </w:rPr>
              <w:t>5)</w:t>
            </w:r>
          </w:p>
        </w:tc>
        <w:tc>
          <w:tcPr>
            <w:tcW w:w="1600" w:type="dxa"/>
            <w:tcBorders>
              <w:top w:val="nil"/>
              <w:left w:val="nil"/>
              <w:bottom w:val="nil"/>
              <w:right w:val="nil"/>
            </w:tcBorders>
            <w:shd w:val="clear" w:color="auto" w:fill="auto"/>
            <w:vAlign w:val="center"/>
            <w:hideMark/>
          </w:tcPr>
          <w:p w14:paraId="7A9410F9"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(129</w:t>
            </w:r>
            <w:r>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14:paraId="1D5C1593"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(259</w:t>
            </w:r>
            <w:r>
              <w:rPr>
                <w:kern w:val="22"/>
                <w:sz w:val="17"/>
                <w:szCs w:val="17"/>
                <w:lang w:eastAsia="en-CA"/>
              </w:rPr>
              <w:t>,</w:t>
            </w:r>
            <w:r w:rsidRPr="00F41283">
              <w:rPr>
                <w:kern w:val="22"/>
                <w:sz w:val="17"/>
                <w:szCs w:val="17"/>
                <w:lang w:eastAsia="en-CA"/>
              </w:rPr>
              <w:t>0)</w:t>
            </w:r>
          </w:p>
        </w:tc>
      </w:tr>
      <w:tr w:rsidR="00B63B63" w:rsidRPr="001C261A" w14:paraId="2F285534" w14:textId="77777777" w:rsidTr="00E36C22">
        <w:trPr>
          <w:trHeight w:val="300"/>
        </w:trPr>
        <w:tc>
          <w:tcPr>
            <w:tcW w:w="4520" w:type="dxa"/>
            <w:tcBorders>
              <w:top w:val="single" w:sz="4" w:space="0" w:color="auto"/>
              <w:left w:val="nil"/>
              <w:bottom w:val="single" w:sz="8" w:space="0" w:color="auto"/>
              <w:right w:val="nil"/>
            </w:tcBorders>
            <w:shd w:val="clear" w:color="auto" w:fill="auto"/>
            <w:hideMark/>
          </w:tcPr>
          <w:p w14:paraId="51AB9E9E" w14:textId="77777777" w:rsidR="00B63B63" w:rsidRPr="00AB780A" w:rsidRDefault="00B63B63" w:rsidP="00E36C22">
            <w:pPr>
              <w:suppressLineNumbers/>
              <w:suppressAutoHyphens/>
              <w:jc w:val="left"/>
              <w:rPr>
                <w:b/>
                <w:bCs/>
                <w:color w:val="000000"/>
                <w:kern w:val="22"/>
                <w:sz w:val="17"/>
                <w:szCs w:val="17"/>
                <w:lang w:eastAsia="en-CA"/>
              </w:rPr>
            </w:pPr>
            <w:r w:rsidRPr="00AB780A">
              <w:rPr>
                <w:b/>
                <w:bCs/>
                <w:color w:val="000000"/>
                <w:kern w:val="22"/>
                <w:sz w:val="17"/>
                <w:szCs w:val="17"/>
                <w:lang w:eastAsia="en-CA"/>
              </w:rPr>
              <w:t>Total net</w:t>
            </w:r>
            <w:r>
              <w:rPr>
                <w:b/>
                <w:bCs/>
                <w:color w:val="000000"/>
                <w:kern w:val="22"/>
                <w:sz w:val="17"/>
                <w:szCs w:val="17"/>
                <w:lang w:eastAsia="en-CA"/>
              </w:rPr>
              <w:t xml:space="preserve"> (montant à réparti</w:t>
            </w:r>
            <w:r w:rsidRPr="00AB780A">
              <w:rPr>
                <w:b/>
                <w:bCs/>
                <w:color w:val="000000"/>
                <w:kern w:val="22"/>
                <w:sz w:val="17"/>
                <w:szCs w:val="17"/>
                <w:lang w:eastAsia="en-CA"/>
              </w:rPr>
              <w:t>r entre les Parties)</w:t>
            </w:r>
          </w:p>
        </w:tc>
        <w:tc>
          <w:tcPr>
            <w:tcW w:w="1360" w:type="dxa"/>
            <w:tcBorders>
              <w:top w:val="single" w:sz="4" w:space="0" w:color="auto"/>
              <w:left w:val="nil"/>
              <w:bottom w:val="single" w:sz="8" w:space="0" w:color="auto"/>
              <w:right w:val="nil"/>
            </w:tcBorders>
            <w:shd w:val="clear" w:color="auto" w:fill="auto"/>
            <w:hideMark/>
          </w:tcPr>
          <w:p w14:paraId="3FF0F2E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401</w:t>
            </w:r>
            <w:r>
              <w:rPr>
                <w:color w:val="000000"/>
                <w:kern w:val="22"/>
                <w:sz w:val="17"/>
                <w:szCs w:val="17"/>
                <w:lang w:eastAsia="en-CA"/>
              </w:rPr>
              <w:t>,</w:t>
            </w:r>
            <w:r w:rsidRPr="00F41283">
              <w:rPr>
                <w:color w:val="000000"/>
                <w:kern w:val="22"/>
                <w:sz w:val="17"/>
                <w:szCs w:val="17"/>
                <w:lang w:eastAsia="en-CA"/>
              </w:rPr>
              <w:t>4</w:t>
            </w:r>
          </w:p>
        </w:tc>
        <w:tc>
          <w:tcPr>
            <w:tcW w:w="1600" w:type="dxa"/>
            <w:tcBorders>
              <w:top w:val="single" w:sz="4" w:space="0" w:color="auto"/>
              <w:left w:val="nil"/>
              <w:bottom w:val="single" w:sz="8" w:space="0" w:color="auto"/>
              <w:right w:val="nil"/>
            </w:tcBorders>
            <w:shd w:val="clear" w:color="auto" w:fill="auto"/>
            <w:hideMark/>
          </w:tcPr>
          <w:p w14:paraId="19A48502"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546</w:t>
            </w:r>
            <w:r>
              <w:rPr>
                <w:color w:val="000000"/>
                <w:kern w:val="22"/>
                <w:sz w:val="17"/>
                <w:szCs w:val="17"/>
                <w:lang w:eastAsia="en-CA"/>
              </w:rPr>
              <w:t>,</w:t>
            </w:r>
            <w:r w:rsidRPr="00F41283">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14:paraId="578F4A75"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947</w:t>
            </w:r>
            <w:r>
              <w:rPr>
                <w:color w:val="000000"/>
                <w:kern w:val="22"/>
                <w:sz w:val="17"/>
                <w:szCs w:val="17"/>
                <w:lang w:eastAsia="en-CA"/>
              </w:rPr>
              <w:t>,</w:t>
            </w:r>
            <w:r w:rsidRPr="00F41283">
              <w:rPr>
                <w:color w:val="000000"/>
                <w:kern w:val="22"/>
                <w:sz w:val="17"/>
                <w:szCs w:val="17"/>
                <w:lang w:eastAsia="en-CA"/>
              </w:rPr>
              <w:t>8</w:t>
            </w:r>
          </w:p>
        </w:tc>
      </w:tr>
      <w:tr w:rsidR="00B63B63" w:rsidRPr="00803DFA" w14:paraId="0584A86D" w14:textId="77777777" w:rsidTr="00E36C22">
        <w:trPr>
          <w:trHeight w:val="300"/>
        </w:trPr>
        <w:tc>
          <w:tcPr>
            <w:tcW w:w="4520" w:type="dxa"/>
            <w:tcBorders>
              <w:top w:val="nil"/>
              <w:left w:val="nil"/>
              <w:bottom w:val="nil"/>
              <w:right w:val="nil"/>
            </w:tcBorders>
            <w:shd w:val="clear" w:color="auto" w:fill="auto"/>
            <w:noWrap/>
            <w:vAlign w:val="bottom"/>
            <w:hideMark/>
          </w:tcPr>
          <w:p w14:paraId="3959788B" w14:textId="77777777" w:rsidR="00B63B63" w:rsidRPr="00F41283" w:rsidRDefault="00B63B63" w:rsidP="00E36C22">
            <w:pPr>
              <w:suppressLineNumbers/>
              <w:suppressAutoHyphens/>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38723F5E" w14:textId="77777777" w:rsidR="00B63B63" w:rsidRPr="00F41283" w:rsidRDefault="00B63B63" w:rsidP="00E36C22">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11F5CEF2" w14:textId="77777777" w:rsidR="00B63B63" w:rsidRPr="00F41283" w:rsidRDefault="00B63B63" w:rsidP="00E36C22">
            <w:pPr>
              <w:suppressLineNumbers/>
              <w:suppressAutoHyphens/>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1E10CC91" w14:textId="77777777" w:rsidR="00B63B63" w:rsidRPr="00F41283" w:rsidRDefault="00B63B63" w:rsidP="00E36C22">
            <w:pPr>
              <w:suppressLineNumbers/>
              <w:suppressAutoHyphens/>
              <w:jc w:val="left"/>
              <w:rPr>
                <w:color w:val="000000"/>
                <w:kern w:val="22"/>
                <w:sz w:val="17"/>
                <w:szCs w:val="17"/>
                <w:lang w:eastAsia="en-CA"/>
              </w:rPr>
            </w:pPr>
          </w:p>
        </w:tc>
      </w:tr>
      <w:tr w:rsidR="00B63B63" w:rsidRPr="001570B4" w14:paraId="5D681550" w14:textId="77777777" w:rsidTr="00E36C22">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4D3E1797" w14:textId="77777777" w:rsidR="00B63B63" w:rsidRPr="00F41283" w:rsidRDefault="00B63B63" w:rsidP="00E36C22">
            <w:pPr>
              <w:suppressLineNumbers/>
              <w:suppressAutoHyphens/>
              <w:jc w:val="left"/>
              <w:rPr>
                <w:i/>
                <w:iCs/>
                <w:color w:val="000000"/>
                <w:kern w:val="22"/>
                <w:sz w:val="15"/>
                <w:szCs w:val="15"/>
                <w:lang w:eastAsia="en-CA"/>
              </w:rPr>
            </w:pPr>
            <w:r w:rsidRPr="00F41283">
              <w:rPr>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621BEC52" w14:textId="77777777" w:rsidR="00B63B63" w:rsidRPr="00AB780A" w:rsidRDefault="00B63B63" w:rsidP="00E36C22">
            <w:pPr>
              <w:suppressLineNumbers/>
              <w:suppressAutoHyphens/>
              <w:jc w:val="center"/>
              <w:rPr>
                <w:i/>
                <w:iCs/>
                <w:color w:val="000000"/>
                <w:kern w:val="22"/>
                <w:sz w:val="15"/>
                <w:szCs w:val="15"/>
                <w:lang w:eastAsia="en-CA"/>
              </w:rPr>
            </w:pPr>
            <w:r w:rsidRPr="00AB780A">
              <w:rPr>
                <w:i/>
                <w:iCs/>
                <w:color w:val="000000"/>
                <w:kern w:val="22"/>
                <w:sz w:val="15"/>
                <w:szCs w:val="15"/>
                <w:lang w:eastAsia="en-CA"/>
              </w:rPr>
              <w:t>2019</w:t>
            </w:r>
            <w:r w:rsidRPr="00AB780A">
              <w:rPr>
                <w:i/>
                <w:iCs/>
                <w:color w:val="000000"/>
                <w:kern w:val="22"/>
                <w:sz w:val="15"/>
                <w:szCs w:val="15"/>
                <w:lang w:eastAsia="en-CA"/>
              </w:rPr>
              <w:br/>
              <w:t>(en milliers de dollars É.-U)</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6445F847" w14:textId="77777777" w:rsidR="00B63B63" w:rsidRPr="00AB780A" w:rsidRDefault="00B63B63" w:rsidP="00E36C22">
            <w:pPr>
              <w:suppressLineNumbers/>
              <w:suppressAutoHyphens/>
              <w:jc w:val="center"/>
              <w:rPr>
                <w:i/>
                <w:iCs/>
                <w:color w:val="000000"/>
                <w:kern w:val="22"/>
                <w:sz w:val="15"/>
                <w:szCs w:val="15"/>
                <w:lang w:eastAsia="en-CA"/>
              </w:rPr>
            </w:pPr>
            <w:r w:rsidRPr="00AB780A">
              <w:rPr>
                <w:i/>
                <w:iCs/>
                <w:color w:val="000000"/>
                <w:kern w:val="22"/>
                <w:sz w:val="15"/>
                <w:szCs w:val="15"/>
                <w:lang w:eastAsia="en-CA"/>
              </w:rPr>
              <w:t>2020</w:t>
            </w:r>
            <w:r w:rsidRPr="00AB780A">
              <w:rPr>
                <w:i/>
                <w:iCs/>
                <w:color w:val="000000"/>
                <w:kern w:val="22"/>
                <w:sz w:val="15"/>
                <w:szCs w:val="15"/>
                <w:lang w:eastAsia="en-CA"/>
              </w:rPr>
              <w:br/>
              <w:t>(en milliers de dollars É.-U)</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6B52AA9C" w14:textId="77777777" w:rsidR="00B63B63" w:rsidRPr="00AB780A" w:rsidRDefault="00B63B63" w:rsidP="00E36C22">
            <w:pPr>
              <w:suppressLineNumbers/>
              <w:suppressAutoHyphens/>
              <w:jc w:val="center"/>
              <w:rPr>
                <w:i/>
                <w:iCs/>
                <w:color w:val="000000"/>
                <w:kern w:val="22"/>
                <w:sz w:val="15"/>
                <w:szCs w:val="15"/>
                <w:lang w:eastAsia="en-CA"/>
              </w:rPr>
            </w:pPr>
            <w:r w:rsidRPr="00AB780A">
              <w:rPr>
                <w:i/>
                <w:iCs/>
                <w:color w:val="000000"/>
                <w:kern w:val="22"/>
                <w:sz w:val="15"/>
                <w:szCs w:val="15"/>
                <w:lang w:eastAsia="en-CA"/>
              </w:rPr>
              <w:t>Total</w:t>
            </w:r>
            <w:r w:rsidRPr="00AB780A">
              <w:rPr>
                <w:i/>
                <w:iCs/>
                <w:color w:val="000000"/>
                <w:kern w:val="22"/>
                <w:sz w:val="15"/>
                <w:szCs w:val="15"/>
                <w:lang w:eastAsia="en-CA"/>
              </w:rPr>
              <w:br/>
              <w:t>(en milliers de dollars É.-U)</w:t>
            </w:r>
          </w:p>
        </w:tc>
      </w:tr>
      <w:tr w:rsidR="00B63B63" w:rsidRPr="001570B4" w14:paraId="1E24D2B5" w14:textId="77777777" w:rsidTr="00E36C22">
        <w:trPr>
          <w:trHeight w:val="288"/>
        </w:trPr>
        <w:tc>
          <w:tcPr>
            <w:tcW w:w="4520" w:type="dxa"/>
            <w:vMerge/>
            <w:tcBorders>
              <w:top w:val="single" w:sz="8" w:space="0" w:color="auto"/>
              <w:left w:val="nil"/>
              <w:bottom w:val="single" w:sz="12" w:space="0" w:color="000000"/>
              <w:right w:val="nil"/>
            </w:tcBorders>
            <w:vAlign w:val="center"/>
            <w:hideMark/>
          </w:tcPr>
          <w:p w14:paraId="7D06749A" w14:textId="77777777" w:rsidR="00B63B63" w:rsidRPr="00AB780A" w:rsidRDefault="00B63B63" w:rsidP="00E36C22">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7BB43047" w14:textId="77777777" w:rsidR="00B63B63" w:rsidRPr="00AB780A" w:rsidRDefault="00B63B63" w:rsidP="00E36C22">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4AAD0935" w14:textId="77777777" w:rsidR="00B63B63" w:rsidRPr="00AB780A" w:rsidRDefault="00B63B63" w:rsidP="00E36C22">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6B470201" w14:textId="77777777" w:rsidR="00B63B63" w:rsidRPr="00AB780A" w:rsidRDefault="00B63B63" w:rsidP="00E36C22">
            <w:pPr>
              <w:suppressLineNumbers/>
              <w:suppressAutoHyphens/>
              <w:jc w:val="left"/>
              <w:rPr>
                <w:i/>
                <w:iCs/>
                <w:color w:val="000000"/>
                <w:kern w:val="22"/>
                <w:sz w:val="15"/>
                <w:szCs w:val="15"/>
                <w:lang w:eastAsia="en-CA"/>
              </w:rPr>
            </w:pPr>
          </w:p>
        </w:tc>
      </w:tr>
      <w:tr w:rsidR="00B63B63" w:rsidRPr="001570B4" w14:paraId="09568C2A" w14:textId="77777777" w:rsidTr="00E36C22">
        <w:trPr>
          <w:trHeight w:val="300"/>
        </w:trPr>
        <w:tc>
          <w:tcPr>
            <w:tcW w:w="4520" w:type="dxa"/>
            <w:vMerge/>
            <w:tcBorders>
              <w:top w:val="single" w:sz="8" w:space="0" w:color="auto"/>
              <w:left w:val="nil"/>
              <w:bottom w:val="single" w:sz="12" w:space="0" w:color="000000"/>
              <w:right w:val="nil"/>
            </w:tcBorders>
            <w:vAlign w:val="center"/>
            <w:hideMark/>
          </w:tcPr>
          <w:p w14:paraId="05B4246D" w14:textId="77777777" w:rsidR="00B63B63" w:rsidRPr="00AB780A" w:rsidRDefault="00B63B63" w:rsidP="00E36C22">
            <w:pPr>
              <w:suppressLineNumbers/>
              <w:suppressAutoHyphens/>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6AE625B0" w14:textId="77777777" w:rsidR="00B63B63" w:rsidRPr="00AB780A" w:rsidRDefault="00B63B63" w:rsidP="00E36C22">
            <w:pPr>
              <w:suppressLineNumbers/>
              <w:suppressAutoHyphens/>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1A40C4B4" w14:textId="77777777" w:rsidR="00B63B63" w:rsidRPr="00AB780A" w:rsidRDefault="00B63B63" w:rsidP="00E36C22">
            <w:pPr>
              <w:suppressLineNumbers/>
              <w:suppressAutoHyphens/>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41C6F94B" w14:textId="77777777" w:rsidR="00B63B63" w:rsidRPr="00AB780A" w:rsidRDefault="00B63B63" w:rsidP="00E36C22">
            <w:pPr>
              <w:suppressLineNumbers/>
              <w:suppressAutoHyphens/>
              <w:jc w:val="left"/>
              <w:rPr>
                <w:i/>
                <w:iCs/>
                <w:color w:val="000000"/>
                <w:kern w:val="22"/>
                <w:sz w:val="15"/>
                <w:szCs w:val="15"/>
                <w:lang w:eastAsia="en-CA"/>
              </w:rPr>
            </w:pPr>
          </w:p>
        </w:tc>
      </w:tr>
      <w:tr w:rsidR="00B63B63" w:rsidRPr="001C261A" w14:paraId="26B8F027" w14:textId="77777777" w:rsidTr="00E36C22">
        <w:trPr>
          <w:trHeight w:val="300"/>
        </w:trPr>
        <w:tc>
          <w:tcPr>
            <w:tcW w:w="4520" w:type="dxa"/>
            <w:tcBorders>
              <w:top w:val="nil"/>
              <w:left w:val="nil"/>
              <w:bottom w:val="nil"/>
              <w:right w:val="nil"/>
            </w:tcBorders>
            <w:shd w:val="clear" w:color="auto" w:fill="auto"/>
            <w:hideMark/>
          </w:tcPr>
          <w:p w14:paraId="584BD989" w14:textId="77777777" w:rsidR="00B63B63" w:rsidRPr="00F41283" w:rsidRDefault="00B63B63" w:rsidP="00E36C22">
            <w:pPr>
              <w:suppressLineNumbers/>
              <w:suppressAutoHyphens/>
              <w:jc w:val="left"/>
              <w:rPr>
                <w:b/>
                <w:bCs/>
                <w:color w:val="000000"/>
                <w:kern w:val="22"/>
                <w:sz w:val="17"/>
                <w:szCs w:val="17"/>
                <w:lang w:eastAsia="en-CA"/>
              </w:rPr>
            </w:pPr>
            <w:r w:rsidRPr="00F41283">
              <w:rPr>
                <w:b/>
                <w:bCs/>
                <w:color w:val="000000"/>
                <w:kern w:val="22"/>
                <w:sz w:val="17"/>
                <w:szCs w:val="17"/>
                <w:lang w:eastAsia="en-CA"/>
              </w:rPr>
              <w:t>I. Programmes:</w:t>
            </w:r>
          </w:p>
        </w:tc>
        <w:tc>
          <w:tcPr>
            <w:tcW w:w="1360" w:type="dxa"/>
            <w:tcBorders>
              <w:top w:val="nil"/>
              <w:left w:val="nil"/>
              <w:bottom w:val="nil"/>
              <w:right w:val="nil"/>
            </w:tcBorders>
            <w:shd w:val="clear" w:color="auto" w:fill="auto"/>
            <w:vAlign w:val="center"/>
            <w:hideMark/>
          </w:tcPr>
          <w:p w14:paraId="70E53209" w14:textId="77777777" w:rsidR="00B63B63" w:rsidRPr="00F41283" w:rsidRDefault="00B63B63" w:rsidP="00E36C22">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23BD783C" w14:textId="77777777" w:rsidR="00B63B63" w:rsidRPr="00F41283" w:rsidRDefault="00B63B63" w:rsidP="00E36C22">
            <w:pPr>
              <w:suppressLineNumbers/>
              <w:suppressAutoHyphens/>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36BA5E1B" w14:textId="77777777" w:rsidR="00B63B63" w:rsidRPr="00F41283" w:rsidRDefault="00B63B63" w:rsidP="00E36C22">
            <w:pPr>
              <w:suppressLineNumbers/>
              <w:suppressAutoHyphens/>
              <w:jc w:val="right"/>
              <w:rPr>
                <w:color w:val="000000"/>
                <w:kern w:val="22"/>
                <w:sz w:val="17"/>
                <w:szCs w:val="17"/>
                <w:lang w:eastAsia="en-CA"/>
              </w:rPr>
            </w:pPr>
          </w:p>
        </w:tc>
      </w:tr>
      <w:tr w:rsidR="00B63B63" w:rsidRPr="001C261A" w14:paraId="6173BB05" w14:textId="77777777" w:rsidTr="00E36C22">
        <w:trPr>
          <w:trHeight w:val="288"/>
        </w:trPr>
        <w:tc>
          <w:tcPr>
            <w:tcW w:w="4520" w:type="dxa"/>
            <w:tcBorders>
              <w:top w:val="nil"/>
              <w:left w:val="nil"/>
              <w:bottom w:val="nil"/>
              <w:right w:val="nil"/>
            </w:tcBorders>
            <w:shd w:val="clear" w:color="auto" w:fill="auto"/>
            <w:hideMark/>
          </w:tcPr>
          <w:p w14:paraId="1FE1C071" w14:textId="77777777" w:rsidR="00B63B63" w:rsidRPr="001570B4" w:rsidRDefault="00B63B63" w:rsidP="00E36C22">
            <w:pPr>
              <w:suppressLineNumbers/>
              <w:suppressAutoHyphens/>
              <w:jc w:val="left"/>
              <w:rPr>
                <w:color w:val="000000"/>
                <w:kern w:val="22"/>
                <w:sz w:val="17"/>
                <w:szCs w:val="17"/>
                <w:lang w:eastAsia="en-CA"/>
              </w:rPr>
            </w:pPr>
            <w:r w:rsidRPr="001570B4">
              <w:rPr>
                <w:color w:val="000000"/>
                <w:kern w:val="22"/>
                <w:sz w:val="17"/>
                <w:szCs w:val="17"/>
                <w:lang w:eastAsia="en-CA"/>
              </w:rPr>
              <w:t xml:space="preserve">  Bureau de la Secrétaire </w:t>
            </w:r>
            <w:r>
              <w:rPr>
                <w:color w:val="000000"/>
                <w:kern w:val="22"/>
                <w:sz w:val="17"/>
                <w:szCs w:val="17"/>
                <w:lang w:eastAsia="en-CA"/>
              </w:rPr>
              <w:t>exé</w:t>
            </w:r>
            <w:r w:rsidRPr="001570B4">
              <w:rPr>
                <w:color w:val="000000"/>
                <w:kern w:val="22"/>
                <w:sz w:val="17"/>
                <w:szCs w:val="17"/>
                <w:lang w:eastAsia="en-CA"/>
              </w:rPr>
              <w:t>cutive</w:t>
            </w:r>
          </w:p>
        </w:tc>
        <w:tc>
          <w:tcPr>
            <w:tcW w:w="1360" w:type="dxa"/>
            <w:tcBorders>
              <w:top w:val="nil"/>
              <w:left w:val="nil"/>
              <w:bottom w:val="nil"/>
              <w:right w:val="nil"/>
            </w:tcBorders>
            <w:shd w:val="clear" w:color="auto" w:fill="auto"/>
            <w:hideMark/>
          </w:tcPr>
          <w:p w14:paraId="32A07256"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534</w:t>
            </w:r>
            <w:r>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nil"/>
              <w:right w:val="nil"/>
            </w:tcBorders>
            <w:shd w:val="clear" w:color="auto" w:fill="auto"/>
            <w:hideMark/>
          </w:tcPr>
          <w:p w14:paraId="504F2B6D"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444</w:t>
            </w:r>
            <w:r>
              <w:rPr>
                <w:color w:val="000000"/>
                <w:kern w:val="22"/>
                <w:sz w:val="17"/>
                <w:szCs w:val="17"/>
                <w:lang w:eastAsia="en-CA"/>
              </w:rPr>
              <w:t>,</w:t>
            </w:r>
            <w:r w:rsidRPr="00F41283">
              <w:rPr>
                <w:color w:val="000000"/>
                <w:kern w:val="22"/>
                <w:sz w:val="17"/>
                <w:szCs w:val="17"/>
                <w:lang w:eastAsia="en-CA"/>
              </w:rPr>
              <w:t>8</w:t>
            </w:r>
          </w:p>
        </w:tc>
        <w:tc>
          <w:tcPr>
            <w:tcW w:w="1640" w:type="dxa"/>
            <w:tcBorders>
              <w:top w:val="nil"/>
              <w:left w:val="nil"/>
              <w:bottom w:val="nil"/>
              <w:right w:val="nil"/>
            </w:tcBorders>
            <w:shd w:val="clear" w:color="auto" w:fill="auto"/>
            <w:hideMark/>
          </w:tcPr>
          <w:p w14:paraId="0841DACE"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6</w:t>
            </w:r>
            <w:r>
              <w:rPr>
                <w:color w:val="000000"/>
                <w:kern w:val="22"/>
                <w:sz w:val="17"/>
                <w:szCs w:val="17"/>
                <w:lang w:eastAsia="en-CA"/>
              </w:rPr>
              <w:t xml:space="preserve"> </w:t>
            </w:r>
            <w:r w:rsidRPr="00F41283">
              <w:rPr>
                <w:color w:val="000000"/>
                <w:kern w:val="22"/>
                <w:sz w:val="17"/>
                <w:szCs w:val="17"/>
                <w:lang w:eastAsia="en-CA"/>
              </w:rPr>
              <w:t>978</w:t>
            </w:r>
            <w:r>
              <w:rPr>
                <w:color w:val="000000"/>
                <w:kern w:val="22"/>
                <w:sz w:val="17"/>
                <w:szCs w:val="17"/>
                <w:lang w:eastAsia="en-CA"/>
              </w:rPr>
              <w:t>,</w:t>
            </w:r>
            <w:r w:rsidRPr="00F41283">
              <w:rPr>
                <w:color w:val="000000"/>
                <w:kern w:val="22"/>
                <w:sz w:val="17"/>
                <w:szCs w:val="17"/>
                <w:lang w:eastAsia="en-CA"/>
              </w:rPr>
              <w:t>8</w:t>
            </w:r>
          </w:p>
        </w:tc>
      </w:tr>
      <w:tr w:rsidR="00B63B63" w:rsidRPr="001C261A" w14:paraId="468B0AAB" w14:textId="77777777" w:rsidTr="00E36C22">
        <w:trPr>
          <w:trHeight w:val="288"/>
        </w:trPr>
        <w:tc>
          <w:tcPr>
            <w:tcW w:w="4520" w:type="dxa"/>
            <w:tcBorders>
              <w:top w:val="nil"/>
              <w:left w:val="nil"/>
              <w:bottom w:val="nil"/>
              <w:right w:val="nil"/>
            </w:tcBorders>
            <w:shd w:val="clear" w:color="auto" w:fill="auto"/>
            <w:hideMark/>
          </w:tcPr>
          <w:p w14:paraId="2FDA92C6"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lang w:eastAsia="en-CA"/>
              </w:rPr>
              <w:t xml:space="preserve">  </w:t>
            </w:r>
            <w:r>
              <w:rPr>
                <w:color w:val="000000"/>
                <w:kern w:val="22"/>
                <w:sz w:val="17"/>
                <w:szCs w:val="17"/>
                <w:lang w:eastAsia="en-CA"/>
              </w:rPr>
              <w:t>Protocole</w:t>
            </w:r>
            <w:r w:rsidRPr="00044264">
              <w:rPr>
                <w:color w:val="000000"/>
                <w:kern w:val="22"/>
                <w:sz w:val="17"/>
                <w:szCs w:val="17"/>
                <w:lang w:eastAsia="en-CA"/>
              </w:rPr>
              <w:t xml:space="preserve"> sur l’accès et le partage des avantages et </w:t>
            </w:r>
            <w:r>
              <w:rPr>
                <w:color w:val="000000"/>
                <w:kern w:val="22"/>
                <w:sz w:val="17"/>
                <w:szCs w:val="17"/>
                <w:lang w:eastAsia="en-CA"/>
              </w:rPr>
              <w:t xml:space="preserve">Protocole </w:t>
            </w:r>
            <w:r w:rsidRPr="00044264">
              <w:rPr>
                <w:color w:val="000000"/>
                <w:kern w:val="22"/>
                <w:sz w:val="17"/>
                <w:szCs w:val="17"/>
                <w:lang w:eastAsia="en-CA"/>
              </w:rPr>
              <w:t xml:space="preserve">sur la </w:t>
            </w:r>
            <w:r>
              <w:rPr>
                <w:color w:val="000000"/>
                <w:kern w:val="22"/>
                <w:sz w:val="17"/>
                <w:szCs w:val="17"/>
                <w:lang w:eastAsia="en-CA"/>
              </w:rPr>
              <w:t>pré</w:t>
            </w:r>
            <w:r w:rsidRPr="00044264">
              <w:rPr>
                <w:color w:val="000000"/>
                <w:kern w:val="22"/>
                <w:sz w:val="17"/>
                <w:szCs w:val="17"/>
                <w:lang w:eastAsia="en-CA"/>
              </w:rPr>
              <w:t xml:space="preserve">vention </w:t>
            </w:r>
            <w:r>
              <w:rPr>
                <w:color w:val="000000"/>
                <w:kern w:val="22"/>
                <w:sz w:val="17"/>
                <w:szCs w:val="17"/>
                <w:lang w:eastAsia="en-CA"/>
              </w:rPr>
              <w:t>des risques biotechnologique</w:t>
            </w:r>
          </w:p>
        </w:tc>
        <w:tc>
          <w:tcPr>
            <w:tcW w:w="1360" w:type="dxa"/>
            <w:tcBorders>
              <w:top w:val="nil"/>
              <w:left w:val="nil"/>
              <w:bottom w:val="nil"/>
              <w:right w:val="nil"/>
            </w:tcBorders>
            <w:shd w:val="clear" w:color="auto" w:fill="auto"/>
            <w:hideMark/>
          </w:tcPr>
          <w:p w14:paraId="6F3D753E"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322</w:t>
            </w:r>
            <w:r>
              <w:rPr>
                <w:color w:val="000000"/>
                <w:kern w:val="22"/>
                <w:sz w:val="17"/>
                <w:szCs w:val="17"/>
                <w:lang w:eastAsia="en-CA"/>
              </w:rPr>
              <w:t>,</w:t>
            </w:r>
            <w:r w:rsidRPr="00F41283">
              <w:rPr>
                <w:color w:val="000000"/>
                <w:kern w:val="22"/>
                <w:sz w:val="17"/>
                <w:szCs w:val="17"/>
                <w:lang w:eastAsia="en-CA"/>
              </w:rPr>
              <w:t>6</w:t>
            </w:r>
          </w:p>
        </w:tc>
        <w:tc>
          <w:tcPr>
            <w:tcW w:w="1600" w:type="dxa"/>
            <w:tcBorders>
              <w:top w:val="nil"/>
              <w:left w:val="nil"/>
              <w:bottom w:val="nil"/>
              <w:right w:val="nil"/>
            </w:tcBorders>
            <w:shd w:val="clear" w:color="auto" w:fill="auto"/>
            <w:hideMark/>
          </w:tcPr>
          <w:p w14:paraId="23C7B806"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375</w:t>
            </w:r>
            <w:r>
              <w:rPr>
                <w:color w:val="000000"/>
                <w:kern w:val="22"/>
                <w:sz w:val="17"/>
                <w:szCs w:val="17"/>
                <w:lang w:eastAsia="en-CA"/>
              </w:rPr>
              <w:t>,</w:t>
            </w:r>
            <w:r w:rsidRPr="00F41283">
              <w:rPr>
                <w:color w:val="000000"/>
                <w:kern w:val="22"/>
                <w:sz w:val="17"/>
                <w:szCs w:val="17"/>
                <w:lang w:eastAsia="en-CA"/>
              </w:rPr>
              <w:t>9</w:t>
            </w:r>
          </w:p>
        </w:tc>
        <w:tc>
          <w:tcPr>
            <w:tcW w:w="1640" w:type="dxa"/>
            <w:tcBorders>
              <w:top w:val="nil"/>
              <w:left w:val="nil"/>
              <w:bottom w:val="nil"/>
              <w:right w:val="nil"/>
            </w:tcBorders>
            <w:shd w:val="clear" w:color="auto" w:fill="auto"/>
            <w:hideMark/>
          </w:tcPr>
          <w:p w14:paraId="3FEB7241"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698</w:t>
            </w:r>
            <w:r>
              <w:rPr>
                <w:color w:val="000000"/>
                <w:kern w:val="22"/>
                <w:sz w:val="17"/>
                <w:szCs w:val="17"/>
                <w:lang w:eastAsia="en-CA"/>
              </w:rPr>
              <w:t>,</w:t>
            </w:r>
            <w:r w:rsidRPr="00F41283">
              <w:rPr>
                <w:color w:val="000000"/>
                <w:kern w:val="22"/>
                <w:sz w:val="17"/>
                <w:szCs w:val="17"/>
                <w:lang w:eastAsia="en-CA"/>
              </w:rPr>
              <w:t>5</w:t>
            </w:r>
          </w:p>
        </w:tc>
      </w:tr>
      <w:tr w:rsidR="00B63B63" w:rsidRPr="001C261A" w14:paraId="7B17A2E2" w14:textId="77777777" w:rsidTr="00E36C22">
        <w:trPr>
          <w:trHeight w:val="288"/>
        </w:trPr>
        <w:tc>
          <w:tcPr>
            <w:tcW w:w="4520" w:type="dxa"/>
            <w:tcBorders>
              <w:top w:val="nil"/>
              <w:left w:val="nil"/>
              <w:bottom w:val="nil"/>
              <w:right w:val="nil"/>
            </w:tcBorders>
            <w:shd w:val="clear" w:color="auto" w:fill="auto"/>
            <w:hideMark/>
          </w:tcPr>
          <w:p w14:paraId="5F2520E7"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lang w:eastAsia="en-CA"/>
              </w:rPr>
              <w:t xml:space="preserve">  Division de la science, </w:t>
            </w:r>
            <w:r>
              <w:rPr>
                <w:color w:val="000000"/>
                <w:kern w:val="22"/>
                <w:sz w:val="17"/>
                <w:szCs w:val="17"/>
                <w:lang w:eastAsia="en-CA"/>
              </w:rPr>
              <w:t xml:space="preserve">de </w:t>
            </w:r>
            <w:r w:rsidRPr="00044264">
              <w:rPr>
                <w:color w:val="000000"/>
                <w:kern w:val="22"/>
                <w:sz w:val="17"/>
                <w:szCs w:val="17"/>
                <w:lang w:eastAsia="en-CA"/>
              </w:rPr>
              <w:t>la s</w:t>
            </w:r>
            <w:r>
              <w:rPr>
                <w:color w:val="000000"/>
                <w:kern w:val="22"/>
                <w:sz w:val="17"/>
                <w:szCs w:val="17"/>
                <w:lang w:eastAsia="en-CA"/>
              </w:rPr>
              <w:t>ociété et de l’avenir durable</w:t>
            </w:r>
          </w:p>
        </w:tc>
        <w:tc>
          <w:tcPr>
            <w:tcW w:w="1360" w:type="dxa"/>
            <w:tcBorders>
              <w:top w:val="nil"/>
              <w:left w:val="nil"/>
              <w:bottom w:val="nil"/>
              <w:right w:val="nil"/>
            </w:tcBorders>
            <w:shd w:val="clear" w:color="auto" w:fill="auto"/>
            <w:hideMark/>
          </w:tcPr>
          <w:p w14:paraId="2E6C3581"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912</w:t>
            </w:r>
            <w:r>
              <w:rPr>
                <w:color w:val="000000"/>
                <w:kern w:val="22"/>
                <w:sz w:val="17"/>
                <w:szCs w:val="17"/>
                <w:lang w:eastAsia="en-CA"/>
              </w:rPr>
              <w:t>,</w:t>
            </w:r>
            <w:r w:rsidRPr="00F41283">
              <w:rPr>
                <w:color w:val="000000"/>
                <w:kern w:val="22"/>
                <w:sz w:val="17"/>
                <w:szCs w:val="17"/>
                <w:lang w:eastAsia="en-CA"/>
              </w:rPr>
              <w:t>3</w:t>
            </w:r>
          </w:p>
        </w:tc>
        <w:tc>
          <w:tcPr>
            <w:tcW w:w="1600" w:type="dxa"/>
            <w:tcBorders>
              <w:top w:val="nil"/>
              <w:left w:val="nil"/>
              <w:bottom w:val="nil"/>
              <w:right w:val="nil"/>
            </w:tcBorders>
            <w:shd w:val="clear" w:color="auto" w:fill="auto"/>
            <w:hideMark/>
          </w:tcPr>
          <w:p w14:paraId="084D6BC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909</w:t>
            </w:r>
            <w:r>
              <w:rPr>
                <w:color w:val="000000"/>
                <w:kern w:val="22"/>
                <w:sz w:val="17"/>
                <w:szCs w:val="17"/>
                <w:lang w:eastAsia="en-CA"/>
              </w:rPr>
              <w:t>,</w:t>
            </w:r>
            <w:r w:rsidRPr="00F41283">
              <w:rPr>
                <w:color w:val="000000"/>
                <w:kern w:val="22"/>
                <w:sz w:val="17"/>
                <w:szCs w:val="17"/>
                <w:lang w:eastAsia="en-CA"/>
              </w:rPr>
              <w:t>0</w:t>
            </w:r>
          </w:p>
        </w:tc>
        <w:tc>
          <w:tcPr>
            <w:tcW w:w="1640" w:type="dxa"/>
            <w:tcBorders>
              <w:top w:val="nil"/>
              <w:left w:val="nil"/>
              <w:bottom w:val="nil"/>
              <w:right w:val="nil"/>
            </w:tcBorders>
            <w:shd w:val="clear" w:color="auto" w:fill="auto"/>
            <w:hideMark/>
          </w:tcPr>
          <w:p w14:paraId="1D2DA4CA"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7</w:t>
            </w:r>
            <w:r>
              <w:rPr>
                <w:color w:val="000000"/>
                <w:kern w:val="22"/>
                <w:sz w:val="17"/>
                <w:szCs w:val="17"/>
                <w:lang w:eastAsia="en-CA"/>
              </w:rPr>
              <w:t xml:space="preserve"> </w:t>
            </w:r>
            <w:r w:rsidRPr="00F41283">
              <w:rPr>
                <w:color w:val="000000"/>
                <w:kern w:val="22"/>
                <w:sz w:val="17"/>
                <w:szCs w:val="17"/>
                <w:lang w:eastAsia="en-CA"/>
              </w:rPr>
              <w:t>821</w:t>
            </w:r>
            <w:r>
              <w:rPr>
                <w:color w:val="000000"/>
                <w:kern w:val="22"/>
                <w:sz w:val="17"/>
                <w:szCs w:val="17"/>
                <w:lang w:eastAsia="en-CA"/>
              </w:rPr>
              <w:t>,</w:t>
            </w:r>
            <w:r w:rsidRPr="00F41283">
              <w:rPr>
                <w:color w:val="000000"/>
                <w:kern w:val="22"/>
                <w:sz w:val="17"/>
                <w:szCs w:val="17"/>
                <w:lang w:eastAsia="en-CA"/>
              </w:rPr>
              <w:t>3</w:t>
            </w:r>
          </w:p>
        </w:tc>
      </w:tr>
      <w:tr w:rsidR="00B63B63" w:rsidRPr="001C261A" w14:paraId="5C93C32B" w14:textId="77777777" w:rsidTr="00E36C22">
        <w:trPr>
          <w:trHeight w:val="300"/>
        </w:trPr>
        <w:tc>
          <w:tcPr>
            <w:tcW w:w="4520" w:type="dxa"/>
            <w:tcBorders>
              <w:top w:val="nil"/>
              <w:left w:val="nil"/>
              <w:bottom w:val="single" w:sz="8" w:space="0" w:color="auto"/>
              <w:right w:val="nil"/>
            </w:tcBorders>
            <w:shd w:val="clear" w:color="auto" w:fill="auto"/>
            <w:hideMark/>
          </w:tcPr>
          <w:p w14:paraId="54D0BF92" w14:textId="77777777" w:rsidR="00B63B63" w:rsidRPr="005642DE" w:rsidRDefault="00B63B63" w:rsidP="00E36C22">
            <w:pPr>
              <w:suppressLineNumbers/>
              <w:suppressAutoHyphens/>
              <w:jc w:val="left"/>
              <w:rPr>
                <w:color w:val="000000"/>
                <w:kern w:val="22"/>
                <w:sz w:val="17"/>
                <w:szCs w:val="17"/>
                <w:lang w:eastAsia="en-CA"/>
              </w:rPr>
            </w:pPr>
            <w:r w:rsidRPr="005642DE">
              <w:rPr>
                <w:color w:val="000000"/>
                <w:kern w:val="22"/>
                <w:sz w:val="17"/>
                <w:szCs w:val="17"/>
                <w:lang w:eastAsia="en-CA"/>
              </w:rPr>
              <w:t xml:space="preserve">  Division</w:t>
            </w:r>
            <w:r>
              <w:rPr>
                <w:color w:val="000000"/>
                <w:kern w:val="22"/>
                <w:sz w:val="17"/>
                <w:szCs w:val="17"/>
                <w:lang w:eastAsia="en-CA"/>
              </w:rPr>
              <w:t xml:space="preserve"> de l’appui à la mise en œuvre </w:t>
            </w:r>
          </w:p>
        </w:tc>
        <w:tc>
          <w:tcPr>
            <w:tcW w:w="1360" w:type="dxa"/>
            <w:tcBorders>
              <w:top w:val="nil"/>
              <w:left w:val="nil"/>
              <w:bottom w:val="single" w:sz="8" w:space="0" w:color="auto"/>
              <w:right w:val="nil"/>
            </w:tcBorders>
            <w:shd w:val="clear" w:color="auto" w:fill="auto"/>
            <w:hideMark/>
          </w:tcPr>
          <w:p w14:paraId="67522D76"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105</w:t>
            </w:r>
            <w:r>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14:paraId="56A6F782"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708</w:t>
            </w:r>
            <w:r>
              <w:rPr>
                <w:color w:val="000000"/>
                <w:kern w:val="22"/>
                <w:sz w:val="17"/>
                <w:szCs w:val="17"/>
                <w:lang w:eastAsia="en-CA"/>
              </w:rPr>
              <w:t>,</w:t>
            </w:r>
            <w:r w:rsidRPr="00F41283">
              <w:rPr>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14:paraId="5E7228CA"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6</w:t>
            </w:r>
            <w:r>
              <w:rPr>
                <w:color w:val="000000"/>
                <w:kern w:val="22"/>
                <w:sz w:val="17"/>
                <w:szCs w:val="17"/>
                <w:lang w:eastAsia="en-CA"/>
              </w:rPr>
              <w:t xml:space="preserve"> </w:t>
            </w:r>
            <w:r w:rsidRPr="00F41283">
              <w:rPr>
                <w:color w:val="000000"/>
                <w:kern w:val="22"/>
                <w:sz w:val="17"/>
                <w:szCs w:val="17"/>
                <w:lang w:eastAsia="en-CA"/>
              </w:rPr>
              <w:t>813</w:t>
            </w:r>
            <w:r>
              <w:rPr>
                <w:color w:val="000000"/>
                <w:kern w:val="22"/>
                <w:sz w:val="17"/>
                <w:szCs w:val="17"/>
                <w:lang w:eastAsia="en-CA"/>
              </w:rPr>
              <w:t>,</w:t>
            </w:r>
            <w:r w:rsidRPr="00F41283">
              <w:rPr>
                <w:color w:val="000000"/>
                <w:kern w:val="22"/>
                <w:sz w:val="17"/>
                <w:szCs w:val="17"/>
                <w:lang w:eastAsia="en-CA"/>
              </w:rPr>
              <w:t>2</w:t>
            </w:r>
          </w:p>
        </w:tc>
      </w:tr>
      <w:tr w:rsidR="00B63B63" w:rsidRPr="001C261A" w14:paraId="1F991CE1" w14:textId="77777777" w:rsidTr="00E36C22">
        <w:trPr>
          <w:trHeight w:val="300"/>
        </w:trPr>
        <w:tc>
          <w:tcPr>
            <w:tcW w:w="4520" w:type="dxa"/>
            <w:tcBorders>
              <w:top w:val="nil"/>
              <w:left w:val="nil"/>
              <w:bottom w:val="single" w:sz="8" w:space="0" w:color="auto"/>
              <w:right w:val="nil"/>
            </w:tcBorders>
            <w:shd w:val="clear" w:color="auto" w:fill="auto"/>
            <w:hideMark/>
          </w:tcPr>
          <w:p w14:paraId="2BB33724" w14:textId="77777777" w:rsidR="00B63B63" w:rsidRPr="005642DE" w:rsidRDefault="00B63B63" w:rsidP="00E36C22">
            <w:pPr>
              <w:suppressLineNumbers/>
              <w:suppressAutoHyphens/>
              <w:jc w:val="left"/>
              <w:rPr>
                <w:b/>
                <w:bCs/>
                <w:color w:val="000000"/>
                <w:kern w:val="22"/>
                <w:sz w:val="17"/>
                <w:szCs w:val="17"/>
                <w:lang w:eastAsia="en-CA"/>
              </w:rPr>
            </w:pPr>
            <w:r w:rsidRPr="005642DE">
              <w:rPr>
                <w:b/>
                <w:bCs/>
                <w:color w:val="000000"/>
                <w:kern w:val="22"/>
                <w:sz w:val="17"/>
                <w:szCs w:val="17"/>
                <w:lang w:eastAsia="en-CA"/>
              </w:rPr>
              <w:t>II. Administration, finances et services de conférence</w:t>
            </w:r>
          </w:p>
        </w:tc>
        <w:tc>
          <w:tcPr>
            <w:tcW w:w="1360" w:type="dxa"/>
            <w:tcBorders>
              <w:top w:val="nil"/>
              <w:left w:val="nil"/>
              <w:bottom w:val="single" w:sz="8" w:space="0" w:color="auto"/>
              <w:right w:val="nil"/>
            </w:tcBorders>
            <w:shd w:val="clear" w:color="auto" w:fill="auto"/>
            <w:hideMark/>
          </w:tcPr>
          <w:p w14:paraId="155736D9"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845</w:t>
            </w:r>
            <w:r>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14:paraId="4DDFE358"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052</w:t>
            </w:r>
            <w:r>
              <w:rPr>
                <w:color w:val="000000"/>
                <w:kern w:val="22"/>
                <w:sz w:val="17"/>
                <w:szCs w:val="17"/>
                <w:lang w:eastAsia="en-CA"/>
              </w:rPr>
              <w:t>,</w:t>
            </w:r>
            <w:r w:rsidRPr="00F41283">
              <w:rPr>
                <w:color w:val="000000"/>
                <w:kern w:val="22"/>
                <w:sz w:val="17"/>
                <w:szCs w:val="17"/>
                <w:lang w:eastAsia="en-CA"/>
              </w:rPr>
              <w:t>6</w:t>
            </w:r>
          </w:p>
        </w:tc>
        <w:tc>
          <w:tcPr>
            <w:tcW w:w="1640" w:type="dxa"/>
            <w:tcBorders>
              <w:top w:val="nil"/>
              <w:left w:val="nil"/>
              <w:bottom w:val="single" w:sz="8" w:space="0" w:color="auto"/>
              <w:right w:val="nil"/>
            </w:tcBorders>
            <w:shd w:val="clear" w:color="auto" w:fill="auto"/>
            <w:hideMark/>
          </w:tcPr>
          <w:p w14:paraId="21218FD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7</w:t>
            </w:r>
            <w:r>
              <w:rPr>
                <w:color w:val="000000"/>
                <w:kern w:val="22"/>
                <w:sz w:val="17"/>
                <w:szCs w:val="17"/>
                <w:lang w:eastAsia="en-CA"/>
              </w:rPr>
              <w:t xml:space="preserve"> </w:t>
            </w:r>
            <w:r w:rsidRPr="00F41283">
              <w:rPr>
                <w:color w:val="000000"/>
                <w:kern w:val="22"/>
                <w:sz w:val="17"/>
                <w:szCs w:val="17"/>
                <w:lang w:eastAsia="en-CA"/>
              </w:rPr>
              <w:t>897</w:t>
            </w:r>
            <w:r>
              <w:rPr>
                <w:color w:val="000000"/>
                <w:kern w:val="22"/>
                <w:sz w:val="17"/>
                <w:szCs w:val="17"/>
                <w:lang w:eastAsia="en-CA"/>
              </w:rPr>
              <w:t>,</w:t>
            </w:r>
            <w:r w:rsidRPr="00F41283">
              <w:rPr>
                <w:color w:val="000000"/>
                <w:kern w:val="22"/>
                <w:sz w:val="17"/>
                <w:szCs w:val="17"/>
                <w:lang w:eastAsia="en-CA"/>
              </w:rPr>
              <w:t>6</w:t>
            </w:r>
          </w:p>
        </w:tc>
      </w:tr>
      <w:tr w:rsidR="00B63B63" w:rsidRPr="001C261A" w14:paraId="2396AB82" w14:textId="77777777" w:rsidTr="00E36C22">
        <w:trPr>
          <w:trHeight w:val="300"/>
        </w:trPr>
        <w:tc>
          <w:tcPr>
            <w:tcW w:w="4520" w:type="dxa"/>
            <w:tcBorders>
              <w:top w:val="nil"/>
              <w:left w:val="nil"/>
              <w:bottom w:val="single" w:sz="12" w:space="0" w:color="auto"/>
              <w:right w:val="nil"/>
            </w:tcBorders>
            <w:shd w:val="clear" w:color="auto" w:fill="auto"/>
            <w:hideMark/>
          </w:tcPr>
          <w:p w14:paraId="4FF5A66C" w14:textId="77777777" w:rsidR="00B63B63" w:rsidRPr="00F41283" w:rsidRDefault="00B63B63" w:rsidP="00E36C22">
            <w:pPr>
              <w:suppressLineNumbers/>
              <w:suppressAutoHyphens/>
              <w:jc w:val="left"/>
              <w:rPr>
                <w:b/>
                <w:bCs/>
                <w:color w:val="000000"/>
                <w:kern w:val="22"/>
                <w:sz w:val="17"/>
                <w:szCs w:val="17"/>
                <w:lang w:eastAsia="en-CA"/>
              </w:rPr>
            </w:pPr>
            <w:r>
              <w:rPr>
                <w:b/>
                <w:bCs/>
                <w:color w:val="000000"/>
                <w:kern w:val="22"/>
                <w:sz w:val="17"/>
                <w:szCs w:val="17"/>
                <w:lang w:eastAsia="en-CA"/>
              </w:rPr>
              <w:t>Sous-</w:t>
            </w:r>
            <w:r w:rsidRPr="00F41283">
              <w:rPr>
                <w:b/>
                <w:bCs/>
                <w:color w:val="000000"/>
                <w:kern w:val="22"/>
                <w:sz w:val="17"/>
                <w:szCs w:val="17"/>
                <w:lang w:eastAsia="en-CA"/>
              </w:rPr>
              <w:t>total</w:t>
            </w:r>
          </w:p>
        </w:tc>
        <w:tc>
          <w:tcPr>
            <w:tcW w:w="1360" w:type="dxa"/>
            <w:tcBorders>
              <w:top w:val="nil"/>
              <w:left w:val="nil"/>
              <w:bottom w:val="single" w:sz="12" w:space="0" w:color="auto"/>
              <w:right w:val="nil"/>
            </w:tcBorders>
            <w:shd w:val="clear" w:color="auto" w:fill="auto"/>
            <w:hideMark/>
          </w:tcPr>
          <w:p w14:paraId="1DFE7067"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16</w:t>
            </w:r>
            <w:r>
              <w:rPr>
                <w:b/>
                <w:bCs/>
                <w:color w:val="000000"/>
                <w:kern w:val="22"/>
                <w:sz w:val="17"/>
                <w:szCs w:val="17"/>
                <w:lang w:eastAsia="en-CA"/>
              </w:rPr>
              <w:t xml:space="preserve"> </w:t>
            </w:r>
            <w:r w:rsidRPr="00F41283">
              <w:rPr>
                <w:b/>
                <w:bCs/>
                <w:color w:val="000000"/>
                <w:kern w:val="22"/>
                <w:sz w:val="17"/>
                <w:szCs w:val="17"/>
                <w:lang w:eastAsia="en-CA"/>
              </w:rPr>
              <w:t>718</w:t>
            </w:r>
            <w:r>
              <w:rPr>
                <w:b/>
                <w:bCs/>
                <w:color w:val="000000"/>
                <w:kern w:val="22"/>
                <w:sz w:val="17"/>
                <w:szCs w:val="17"/>
                <w:lang w:eastAsia="en-CA"/>
              </w:rPr>
              <w:t>,</w:t>
            </w:r>
            <w:r w:rsidRPr="00F41283">
              <w:rPr>
                <w:b/>
                <w:bCs/>
                <w:color w:val="000000"/>
                <w:kern w:val="22"/>
                <w:sz w:val="17"/>
                <w:szCs w:val="17"/>
                <w:lang w:eastAsia="en-CA"/>
              </w:rPr>
              <w:t>9</w:t>
            </w:r>
          </w:p>
        </w:tc>
        <w:tc>
          <w:tcPr>
            <w:tcW w:w="1600" w:type="dxa"/>
            <w:tcBorders>
              <w:top w:val="nil"/>
              <w:left w:val="nil"/>
              <w:bottom w:val="single" w:sz="12" w:space="0" w:color="auto"/>
              <w:right w:val="nil"/>
            </w:tcBorders>
            <w:shd w:val="clear" w:color="auto" w:fill="auto"/>
            <w:hideMark/>
          </w:tcPr>
          <w:p w14:paraId="452AD9DD"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17</w:t>
            </w:r>
            <w:r>
              <w:rPr>
                <w:b/>
                <w:bCs/>
                <w:color w:val="000000"/>
                <w:kern w:val="22"/>
                <w:sz w:val="17"/>
                <w:szCs w:val="17"/>
                <w:lang w:eastAsia="en-CA"/>
              </w:rPr>
              <w:t xml:space="preserve"> </w:t>
            </w:r>
            <w:r w:rsidRPr="00F41283">
              <w:rPr>
                <w:b/>
                <w:bCs/>
                <w:color w:val="000000"/>
                <w:kern w:val="22"/>
                <w:sz w:val="17"/>
                <w:szCs w:val="17"/>
                <w:lang w:eastAsia="en-CA"/>
              </w:rPr>
              <w:t>490</w:t>
            </w:r>
            <w:r>
              <w:rPr>
                <w:b/>
                <w:bCs/>
                <w:color w:val="000000"/>
                <w:kern w:val="22"/>
                <w:sz w:val="17"/>
                <w:szCs w:val="17"/>
                <w:lang w:eastAsia="en-CA"/>
              </w:rPr>
              <w:t>,</w:t>
            </w:r>
            <w:r w:rsidRPr="00F41283">
              <w:rPr>
                <w:b/>
                <w:bCs/>
                <w:color w:val="000000"/>
                <w:kern w:val="22"/>
                <w:sz w:val="17"/>
                <w:szCs w:val="17"/>
                <w:lang w:eastAsia="en-CA"/>
              </w:rPr>
              <w:t>5</w:t>
            </w:r>
          </w:p>
        </w:tc>
        <w:tc>
          <w:tcPr>
            <w:tcW w:w="1640" w:type="dxa"/>
            <w:tcBorders>
              <w:top w:val="nil"/>
              <w:left w:val="nil"/>
              <w:bottom w:val="single" w:sz="12" w:space="0" w:color="auto"/>
              <w:right w:val="nil"/>
            </w:tcBorders>
            <w:shd w:val="clear" w:color="auto" w:fill="auto"/>
            <w:hideMark/>
          </w:tcPr>
          <w:p w14:paraId="17F4C0D7"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34</w:t>
            </w:r>
            <w:r>
              <w:rPr>
                <w:b/>
                <w:bCs/>
                <w:color w:val="000000"/>
                <w:kern w:val="22"/>
                <w:sz w:val="17"/>
                <w:szCs w:val="17"/>
                <w:lang w:eastAsia="en-CA"/>
              </w:rPr>
              <w:t xml:space="preserve"> </w:t>
            </w:r>
            <w:r w:rsidRPr="00F41283">
              <w:rPr>
                <w:b/>
                <w:bCs/>
                <w:color w:val="000000"/>
                <w:kern w:val="22"/>
                <w:sz w:val="17"/>
                <w:szCs w:val="17"/>
                <w:lang w:eastAsia="en-CA"/>
              </w:rPr>
              <w:t>209</w:t>
            </w:r>
            <w:r>
              <w:rPr>
                <w:b/>
                <w:bCs/>
                <w:color w:val="000000"/>
                <w:kern w:val="22"/>
                <w:sz w:val="17"/>
                <w:szCs w:val="17"/>
                <w:lang w:eastAsia="en-CA"/>
              </w:rPr>
              <w:t>,</w:t>
            </w:r>
            <w:r w:rsidRPr="00F41283">
              <w:rPr>
                <w:b/>
                <w:bCs/>
                <w:color w:val="000000"/>
                <w:kern w:val="22"/>
                <w:sz w:val="17"/>
                <w:szCs w:val="17"/>
                <w:lang w:eastAsia="en-CA"/>
              </w:rPr>
              <w:t>4</w:t>
            </w:r>
          </w:p>
        </w:tc>
      </w:tr>
      <w:tr w:rsidR="00B63B63" w:rsidRPr="001C261A" w14:paraId="21BA0E0B" w14:textId="77777777" w:rsidTr="00E36C22">
        <w:trPr>
          <w:trHeight w:val="300"/>
        </w:trPr>
        <w:tc>
          <w:tcPr>
            <w:tcW w:w="4520" w:type="dxa"/>
            <w:tcBorders>
              <w:top w:val="nil"/>
              <w:left w:val="nil"/>
              <w:bottom w:val="nil"/>
              <w:right w:val="nil"/>
            </w:tcBorders>
            <w:shd w:val="clear" w:color="auto" w:fill="auto"/>
            <w:hideMark/>
          </w:tcPr>
          <w:p w14:paraId="663E64EE" w14:textId="77777777" w:rsidR="00B63B63" w:rsidRPr="00F41283" w:rsidRDefault="00B63B63" w:rsidP="00E36C22">
            <w:pPr>
              <w:suppressLineNumbers/>
              <w:suppressAutoHyphens/>
              <w:jc w:val="left"/>
              <w:rPr>
                <w:color w:val="000000"/>
                <w:kern w:val="22"/>
                <w:sz w:val="17"/>
                <w:szCs w:val="17"/>
                <w:lang w:eastAsia="en-CA"/>
              </w:rPr>
            </w:pPr>
            <w:r>
              <w:rPr>
                <w:color w:val="000000"/>
                <w:kern w:val="22"/>
                <w:sz w:val="17"/>
                <w:szCs w:val="17"/>
                <w:lang w:eastAsia="en-CA"/>
              </w:rPr>
              <w:t>Dépenses d’appui au programme</w:t>
            </w:r>
          </w:p>
        </w:tc>
        <w:tc>
          <w:tcPr>
            <w:tcW w:w="1360" w:type="dxa"/>
            <w:tcBorders>
              <w:top w:val="nil"/>
              <w:left w:val="nil"/>
              <w:bottom w:val="nil"/>
              <w:right w:val="nil"/>
            </w:tcBorders>
            <w:shd w:val="clear" w:color="auto" w:fill="auto"/>
            <w:noWrap/>
            <w:hideMark/>
          </w:tcPr>
          <w:p w14:paraId="02B2DBFA"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173</w:t>
            </w:r>
            <w:r>
              <w:rPr>
                <w:color w:val="000000"/>
                <w:kern w:val="22"/>
                <w:sz w:val="17"/>
                <w:szCs w:val="17"/>
                <w:lang w:eastAsia="en-CA"/>
              </w:rPr>
              <w:t>,</w:t>
            </w:r>
            <w:r w:rsidRPr="00F41283">
              <w:rPr>
                <w:color w:val="000000"/>
                <w:kern w:val="22"/>
                <w:sz w:val="17"/>
                <w:szCs w:val="17"/>
                <w:lang w:eastAsia="en-CA"/>
              </w:rPr>
              <w:t>4</w:t>
            </w:r>
          </w:p>
        </w:tc>
        <w:tc>
          <w:tcPr>
            <w:tcW w:w="1600" w:type="dxa"/>
            <w:tcBorders>
              <w:top w:val="nil"/>
              <w:left w:val="nil"/>
              <w:bottom w:val="nil"/>
              <w:right w:val="nil"/>
            </w:tcBorders>
            <w:shd w:val="clear" w:color="auto" w:fill="auto"/>
            <w:noWrap/>
            <w:hideMark/>
          </w:tcPr>
          <w:p w14:paraId="22ADAD4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273</w:t>
            </w:r>
            <w:r>
              <w:rPr>
                <w:color w:val="000000"/>
                <w:kern w:val="22"/>
                <w:sz w:val="17"/>
                <w:szCs w:val="17"/>
                <w:lang w:eastAsia="en-CA"/>
              </w:rPr>
              <w:t>,</w:t>
            </w:r>
            <w:r w:rsidRPr="00F41283">
              <w:rPr>
                <w:color w:val="000000"/>
                <w:kern w:val="22"/>
                <w:sz w:val="17"/>
                <w:szCs w:val="17"/>
                <w:lang w:eastAsia="en-CA"/>
              </w:rPr>
              <w:t>9</w:t>
            </w:r>
          </w:p>
        </w:tc>
        <w:tc>
          <w:tcPr>
            <w:tcW w:w="1640" w:type="dxa"/>
            <w:tcBorders>
              <w:top w:val="nil"/>
              <w:left w:val="nil"/>
              <w:bottom w:val="nil"/>
              <w:right w:val="nil"/>
            </w:tcBorders>
            <w:shd w:val="clear" w:color="auto" w:fill="auto"/>
            <w:hideMark/>
          </w:tcPr>
          <w:p w14:paraId="7BDE7EF9"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447</w:t>
            </w:r>
            <w:r>
              <w:rPr>
                <w:color w:val="000000"/>
                <w:kern w:val="22"/>
                <w:sz w:val="17"/>
                <w:szCs w:val="17"/>
                <w:lang w:eastAsia="en-CA"/>
              </w:rPr>
              <w:t>,</w:t>
            </w:r>
            <w:r w:rsidRPr="00F41283">
              <w:rPr>
                <w:color w:val="000000"/>
                <w:kern w:val="22"/>
                <w:sz w:val="17"/>
                <w:szCs w:val="17"/>
                <w:lang w:eastAsia="en-CA"/>
              </w:rPr>
              <w:t>2</w:t>
            </w:r>
          </w:p>
        </w:tc>
      </w:tr>
      <w:tr w:rsidR="00B63B63" w:rsidRPr="001C261A" w14:paraId="65C1D126" w14:textId="77777777" w:rsidTr="00E36C22">
        <w:trPr>
          <w:trHeight w:val="300"/>
        </w:trPr>
        <w:tc>
          <w:tcPr>
            <w:tcW w:w="4520" w:type="dxa"/>
            <w:tcBorders>
              <w:top w:val="nil"/>
              <w:left w:val="nil"/>
              <w:bottom w:val="single" w:sz="8" w:space="0" w:color="auto"/>
              <w:right w:val="nil"/>
            </w:tcBorders>
            <w:shd w:val="clear" w:color="auto" w:fill="auto"/>
            <w:hideMark/>
          </w:tcPr>
          <w:p w14:paraId="79B991F0" w14:textId="77777777" w:rsidR="00B63B63" w:rsidRPr="005642DE" w:rsidRDefault="00B63B63" w:rsidP="00E36C22">
            <w:pPr>
              <w:suppressLineNumbers/>
              <w:suppressAutoHyphens/>
              <w:jc w:val="left"/>
              <w:rPr>
                <w:b/>
                <w:bCs/>
                <w:color w:val="000000"/>
                <w:kern w:val="22"/>
                <w:sz w:val="17"/>
                <w:szCs w:val="17"/>
                <w:lang w:eastAsia="en-CA"/>
              </w:rPr>
            </w:pPr>
            <w:r w:rsidRPr="005642DE">
              <w:rPr>
                <w:b/>
                <w:bCs/>
                <w:color w:val="000000"/>
                <w:kern w:val="22"/>
                <w:sz w:val="17"/>
                <w:szCs w:val="17"/>
                <w:lang w:eastAsia="en-CA"/>
              </w:rPr>
              <w:t>III. Réserve du fonds de roulement</w:t>
            </w:r>
          </w:p>
        </w:tc>
        <w:tc>
          <w:tcPr>
            <w:tcW w:w="1360" w:type="dxa"/>
            <w:tcBorders>
              <w:top w:val="nil"/>
              <w:left w:val="nil"/>
              <w:bottom w:val="single" w:sz="8" w:space="0" w:color="auto"/>
              <w:right w:val="nil"/>
            </w:tcBorders>
            <w:shd w:val="clear" w:color="auto" w:fill="auto"/>
            <w:noWrap/>
            <w:hideMark/>
          </w:tcPr>
          <w:p w14:paraId="5F208B23"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56</w:t>
            </w:r>
            <w:r>
              <w:rPr>
                <w:color w:val="000000"/>
                <w:kern w:val="22"/>
                <w:sz w:val="17"/>
                <w:szCs w:val="17"/>
                <w:lang w:eastAsia="en-CA"/>
              </w:rPr>
              <w:t>,</w:t>
            </w:r>
            <w:r w:rsidRPr="00F41283">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14:paraId="7E86ADBB"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130</w:t>
            </w:r>
            <w:r>
              <w:rPr>
                <w:color w:val="000000"/>
                <w:kern w:val="22"/>
                <w:sz w:val="17"/>
                <w:szCs w:val="17"/>
                <w:lang w:eastAsia="en-CA"/>
              </w:rPr>
              <w:t>,</w:t>
            </w:r>
            <w:r w:rsidRPr="00F41283">
              <w:rPr>
                <w:color w:val="000000"/>
                <w:kern w:val="22"/>
                <w:sz w:val="17"/>
                <w:szCs w:val="17"/>
                <w:lang w:eastAsia="en-CA"/>
              </w:rPr>
              <w:t>8</w:t>
            </w:r>
          </w:p>
        </w:tc>
        <w:tc>
          <w:tcPr>
            <w:tcW w:w="1640" w:type="dxa"/>
            <w:tcBorders>
              <w:top w:val="nil"/>
              <w:left w:val="nil"/>
              <w:bottom w:val="single" w:sz="8" w:space="0" w:color="auto"/>
              <w:right w:val="nil"/>
            </w:tcBorders>
            <w:shd w:val="clear" w:color="auto" w:fill="auto"/>
            <w:hideMark/>
          </w:tcPr>
          <w:p w14:paraId="0FC3CDFB"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187</w:t>
            </w:r>
            <w:r>
              <w:rPr>
                <w:color w:val="000000"/>
                <w:kern w:val="22"/>
                <w:sz w:val="17"/>
                <w:szCs w:val="17"/>
                <w:lang w:eastAsia="en-CA"/>
              </w:rPr>
              <w:t>,</w:t>
            </w:r>
            <w:r w:rsidRPr="00F41283">
              <w:rPr>
                <w:color w:val="000000"/>
                <w:kern w:val="22"/>
                <w:sz w:val="17"/>
                <w:szCs w:val="17"/>
                <w:lang w:eastAsia="en-CA"/>
              </w:rPr>
              <w:t>5</w:t>
            </w:r>
          </w:p>
        </w:tc>
      </w:tr>
      <w:tr w:rsidR="00B63B63" w:rsidRPr="001C261A" w14:paraId="23ABE51C" w14:textId="77777777" w:rsidTr="00E36C22">
        <w:trPr>
          <w:trHeight w:val="300"/>
        </w:trPr>
        <w:tc>
          <w:tcPr>
            <w:tcW w:w="4520" w:type="dxa"/>
            <w:tcBorders>
              <w:top w:val="nil"/>
              <w:left w:val="nil"/>
              <w:bottom w:val="single" w:sz="8" w:space="0" w:color="auto"/>
              <w:right w:val="nil"/>
            </w:tcBorders>
            <w:shd w:val="clear" w:color="auto" w:fill="auto"/>
            <w:hideMark/>
          </w:tcPr>
          <w:p w14:paraId="57819D22" w14:textId="77777777" w:rsidR="00B63B63" w:rsidRPr="00F41283" w:rsidRDefault="00B63B63" w:rsidP="00E36C22">
            <w:pPr>
              <w:suppressLineNumbers/>
              <w:suppressAutoHyphens/>
              <w:jc w:val="left"/>
              <w:rPr>
                <w:b/>
                <w:bCs/>
                <w:color w:val="000000"/>
                <w:kern w:val="22"/>
                <w:sz w:val="17"/>
                <w:szCs w:val="17"/>
                <w:lang w:eastAsia="en-CA"/>
              </w:rPr>
            </w:pPr>
            <w:r w:rsidRPr="00F41283">
              <w:rPr>
                <w:b/>
                <w:bCs/>
                <w:color w:val="000000"/>
                <w:kern w:val="22"/>
                <w:sz w:val="17"/>
                <w:szCs w:val="17"/>
                <w:lang w:eastAsia="en-CA"/>
              </w:rPr>
              <w:t>Total </w:t>
            </w:r>
          </w:p>
        </w:tc>
        <w:tc>
          <w:tcPr>
            <w:tcW w:w="1360" w:type="dxa"/>
            <w:tcBorders>
              <w:top w:val="nil"/>
              <w:left w:val="nil"/>
              <w:bottom w:val="single" w:sz="8" w:space="0" w:color="auto"/>
              <w:right w:val="nil"/>
            </w:tcBorders>
            <w:shd w:val="clear" w:color="auto" w:fill="auto"/>
            <w:noWrap/>
            <w:hideMark/>
          </w:tcPr>
          <w:p w14:paraId="227604A2"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Pr>
                <w:b/>
                <w:bCs/>
                <w:color w:val="000000"/>
                <w:kern w:val="22"/>
                <w:sz w:val="17"/>
                <w:szCs w:val="17"/>
                <w:lang w:eastAsia="en-CA"/>
              </w:rPr>
              <w:t xml:space="preserve"> </w:t>
            </w:r>
            <w:r w:rsidRPr="00F41283">
              <w:rPr>
                <w:b/>
                <w:bCs/>
                <w:color w:val="000000"/>
                <w:kern w:val="22"/>
                <w:sz w:val="17"/>
                <w:szCs w:val="17"/>
                <w:lang w:eastAsia="en-CA"/>
              </w:rPr>
              <w:t>948</w:t>
            </w:r>
            <w:r>
              <w:rPr>
                <w:b/>
                <w:bCs/>
                <w:color w:val="000000"/>
                <w:kern w:val="22"/>
                <w:sz w:val="17"/>
                <w:szCs w:val="17"/>
                <w:lang w:eastAsia="en-CA"/>
              </w:rPr>
              <w:t>,</w:t>
            </w:r>
            <w:r w:rsidRPr="00F41283">
              <w:rPr>
                <w:b/>
                <w:bCs/>
                <w:color w:val="000000"/>
                <w:kern w:val="22"/>
                <w:sz w:val="17"/>
                <w:szCs w:val="17"/>
                <w:lang w:eastAsia="en-CA"/>
              </w:rPr>
              <w:t>9</w:t>
            </w:r>
          </w:p>
        </w:tc>
        <w:tc>
          <w:tcPr>
            <w:tcW w:w="1600" w:type="dxa"/>
            <w:tcBorders>
              <w:top w:val="nil"/>
              <w:left w:val="nil"/>
              <w:bottom w:val="single" w:sz="8" w:space="0" w:color="auto"/>
              <w:right w:val="nil"/>
            </w:tcBorders>
            <w:shd w:val="clear" w:color="auto" w:fill="auto"/>
            <w:noWrap/>
            <w:hideMark/>
          </w:tcPr>
          <w:p w14:paraId="249C882E"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Pr>
                <w:b/>
                <w:bCs/>
                <w:color w:val="000000"/>
                <w:kern w:val="22"/>
                <w:sz w:val="17"/>
                <w:szCs w:val="17"/>
                <w:lang w:eastAsia="en-CA"/>
              </w:rPr>
              <w:t xml:space="preserve"> </w:t>
            </w:r>
            <w:r w:rsidRPr="00F41283">
              <w:rPr>
                <w:b/>
                <w:bCs/>
                <w:color w:val="000000"/>
                <w:kern w:val="22"/>
                <w:sz w:val="17"/>
                <w:szCs w:val="17"/>
                <w:lang w:eastAsia="en-CA"/>
              </w:rPr>
              <w:t>895</w:t>
            </w:r>
            <w:r>
              <w:rPr>
                <w:b/>
                <w:bCs/>
                <w:color w:val="000000"/>
                <w:kern w:val="22"/>
                <w:sz w:val="17"/>
                <w:szCs w:val="17"/>
                <w:lang w:eastAsia="en-CA"/>
              </w:rPr>
              <w:t>,</w:t>
            </w:r>
            <w:r w:rsidRPr="00F41283">
              <w:rPr>
                <w:b/>
                <w:bCs/>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14:paraId="24211192"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Pr>
                <w:b/>
                <w:bCs/>
                <w:color w:val="000000"/>
                <w:kern w:val="22"/>
                <w:sz w:val="17"/>
                <w:szCs w:val="17"/>
                <w:lang w:eastAsia="en-CA"/>
              </w:rPr>
              <w:t xml:space="preserve"> </w:t>
            </w:r>
            <w:r w:rsidRPr="00F41283">
              <w:rPr>
                <w:b/>
                <w:bCs/>
                <w:color w:val="000000"/>
                <w:kern w:val="22"/>
                <w:sz w:val="17"/>
                <w:szCs w:val="17"/>
                <w:lang w:eastAsia="en-CA"/>
              </w:rPr>
              <w:t>844</w:t>
            </w:r>
            <w:r>
              <w:rPr>
                <w:b/>
                <w:bCs/>
                <w:color w:val="000000"/>
                <w:kern w:val="22"/>
                <w:sz w:val="17"/>
                <w:szCs w:val="17"/>
                <w:lang w:eastAsia="en-CA"/>
              </w:rPr>
              <w:t>,</w:t>
            </w:r>
            <w:r w:rsidRPr="00F41283">
              <w:rPr>
                <w:b/>
                <w:bCs/>
                <w:color w:val="000000"/>
                <w:kern w:val="22"/>
                <w:sz w:val="17"/>
                <w:szCs w:val="17"/>
                <w:lang w:eastAsia="en-CA"/>
              </w:rPr>
              <w:t>1</w:t>
            </w:r>
          </w:p>
        </w:tc>
      </w:tr>
      <w:tr w:rsidR="00B63B63" w:rsidRPr="001C261A" w14:paraId="66F130C4" w14:textId="77777777" w:rsidTr="00E36C22">
        <w:trPr>
          <w:trHeight w:val="288"/>
        </w:trPr>
        <w:tc>
          <w:tcPr>
            <w:tcW w:w="4520" w:type="dxa"/>
            <w:tcBorders>
              <w:top w:val="nil"/>
              <w:left w:val="nil"/>
              <w:bottom w:val="single" w:sz="4" w:space="0" w:color="auto"/>
              <w:right w:val="nil"/>
            </w:tcBorders>
            <w:shd w:val="clear" w:color="auto" w:fill="auto"/>
            <w:vAlign w:val="center"/>
            <w:hideMark/>
          </w:tcPr>
          <w:p w14:paraId="14811933" w14:textId="77777777" w:rsidR="00B63B63" w:rsidRPr="00044264" w:rsidRDefault="00B63B63" w:rsidP="00E36C22">
            <w:pPr>
              <w:suppressLineNumbers/>
              <w:suppressAutoHyphens/>
              <w:jc w:val="left"/>
              <w:rPr>
                <w:kern w:val="22"/>
                <w:sz w:val="17"/>
                <w:szCs w:val="17"/>
                <w:lang w:eastAsia="en-CA"/>
              </w:rPr>
            </w:pPr>
            <w:r>
              <w:rPr>
                <w:kern w:val="22"/>
                <w:sz w:val="17"/>
                <w:szCs w:val="17"/>
                <w:lang w:eastAsia="en-CA"/>
              </w:rPr>
              <w:t>Part du budget intégré consacr</w:t>
            </w:r>
            <w:r w:rsidRPr="00044264">
              <w:rPr>
                <w:kern w:val="22"/>
                <w:sz w:val="17"/>
                <w:szCs w:val="17"/>
                <w:lang w:eastAsia="en-CA"/>
              </w:rPr>
              <w:t>ée au Protocole de Cartagena (15%)</w:t>
            </w:r>
          </w:p>
        </w:tc>
        <w:tc>
          <w:tcPr>
            <w:tcW w:w="1360" w:type="dxa"/>
            <w:tcBorders>
              <w:top w:val="nil"/>
              <w:left w:val="nil"/>
              <w:bottom w:val="single" w:sz="4" w:space="0" w:color="auto"/>
              <w:right w:val="nil"/>
            </w:tcBorders>
            <w:shd w:val="clear" w:color="auto" w:fill="auto"/>
            <w:vAlign w:val="center"/>
            <w:hideMark/>
          </w:tcPr>
          <w:p w14:paraId="37B06B95"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842</w:t>
            </w:r>
            <w:r>
              <w:rPr>
                <w:kern w:val="22"/>
                <w:sz w:val="17"/>
                <w:szCs w:val="17"/>
                <w:lang w:eastAsia="en-CA"/>
              </w:rPr>
              <w:t>,</w:t>
            </w:r>
            <w:r w:rsidRPr="00F41283">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14:paraId="061BF37F"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984</w:t>
            </w:r>
            <w:r>
              <w:rPr>
                <w:kern w:val="22"/>
                <w:sz w:val="17"/>
                <w:szCs w:val="17"/>
                <w:lang w:eastAsia="en-CA"/>
              </w:rPr>
              <w:t>,</w:t>
            </w:r>
            <w:r w:rsidRPr="00F41283">
              <w:rPr>
                <w:kern w:val="22"/>
                <w:sz w:val="17"/>
                <w:szCs w:val="17"/>
                <w:lang w:eastAsia="en-CA"/>
              </w:rPr>
              <w:t>3</w:t>
            </w:r>
          </w:p>
        </w:tc>
        <w:tc>
          <w:tcPr>
            <w:tcW w:w="1640" w:type="dxa"/>
            <w:tcBorders>
              <w:top w:val="nil"/>
              <w:left w:val="nil"/>
              <w:bottom w:val="single" w:sz="4" w:space="0" w:color="auto"/>
              <w:right w:val="nil"/>
            </w:tcBorders>
            <w:shd w:val="clear" w:color="auto" w:fill="auto"/>
            <w:noWrap/>
            <w:hideMark/>
          </w:tcPr>
          <w:p w14:paraId="795903BC"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5</w:t>
            </w:r>
            <w:r>
              <w:rPr>
                <w:b/>
                <w:bCs/>
                <w:color w:val="000000"/>
                <w:kern w:val="22"/>
                <w:sz w:val="17"/>
                <w:szCs w:val="17"/>
                <w:lang w:eastAsia="en-CA"/>
              </w:rPr>
              <w:t xml:space="preserve"> </w:t>
            </w:r>
            <w:r w:rsidRPr="00F41283">
              <w:rPr>
                <w:b/>
                <w:bCs/>
                <w:color w:val="000000"/>
                <w:kern w:val="22"/>
                <w:sz w:val="17"/>
                <w:szCs w:val="17"/>
                <w:lang w:eastAsia="en-CA"/>
              </w:rPr>
              <w:t>826</w:t>
            </w:r>
            <w:r>
              <w:rPr>
                <w:b/>
                <w:bCs/>
                <w:color w:val="000000"/>
                <w:kern w:val="22"/>
                <w:sz w:val="17"/>
                <w:szCs w:val="17"/>
                <w:lang w:eastAsia="en-CA"/>
              </w:rPr>
              <w:t>,</w:t>
            </w:r>
            <w:r w:rsidRPr="00F41283">
              <w:rPr>
                <w:b/>
                <w:bCs/>
                <w:color w:val="000000"/>
                <w:kern w:val="22"/>
                <w:sz w:val="17"/>
                <w:szCs w:val="17"/>
                <w:lang w:eastAsia="en-CA"/>
              </w:rPr>
              <w:t>7</w:t>
            </w:r>
          </w:p>
        </w:tc>
      </w:tr>
      <w:tr w:rsidR="00B63B63" w:rsidRPr="001C261A" w14:paraId="0C0FD323" w14:textId="77777777" w:rsidTr="00E36C22">
        <w:trPr>
          <w:trHeight w:val="288"/>
        </w:trPr>
        <w:tc>
          <w:tcPr>
            <w:tcW w:w="4520" w:type="dxa"/>
            <w:tcBorders>
              <w:top w:val="nil"/>
              <w:left w:val="nil"/>
              <w:bottom w:val="nil"/>
              <w:right w:val="nil"/>
            </w:tcBorders>
            <w:shd w:val="clear" w:color="auto" w:fill="auto"/>
            <w:hideMark/>
          </w:tcPr>
          <w:p w14:paraId="4DE8B794"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u w:val="single"/>
                <w:lang w:eastAsia="en-CA"/>
              </w:rPr>
              <w:t>Moins</w:t>
            </w:r>
            <w:r>
              <w:rPr>
                <w:color w:val="000000"/>
                <w:kern w:val="22"/>
                <w:sz w:val="17"/>
                <w:szCs w:val="17"/>
                <w:lang w:eastAsia="en-CA"/>
              </w:rPr>
              <w:t xml:space="preserve">: </w:t>
            </w:r>
            <w:r w:rsidRPr="00044264">
              <w:rPr>
                <w:color w:val="000000"/>
                <w:kern w:val="22"/>
                <w:sz w:val="17"/>
                <w:szCs w:val="17"/>
                <w:lang w:eastAsia="en-CA"/>
              </w:rPr>
              <w:t>Contribution du pays h</w:t>
            </w:r>
            <w:r>
              <w:rPr>
                <w:color w:val="000000"/>
                <w:kern w:val="22"/>
                <w:sz w:val="17"/>
                <w:szCs w:val="17"/>
                <w:lang w:eastAsia="en-CA"/>
              </w:rPr>
              <w:t>ôte</w:t>
            </w:r>
          </w:p>
        </w:tc>
        <w:tc>
          <w:tcPr>
            <w:tcW w:w="1360" w:type="dxa"/>
            <w:tcBorders>
              <w:top w:val="nil"/>
              <w:left w:val="nil"/>
              <w:bottom w:val="nil"/>
              <w:right w:val="nil"/>
            </w:tcBorders>
            <w:shd w:val="clear" w:color="auto" w:fill="auto"/>
            <w:vAlign w:val="center"/>
            <w:hideMark/>
          </w:tcPr>
          <w:p w14:paraId="73D78393" w14:textId="77777777" w:rsidR="00B63B63" w:rsidRPr="00F41283" w:rsidRDefault="00B63B63" w:rsidP="00E36C22">
            <w:pPr>
              <w:suppressLineNumbers/>
              <w:suppressAutoHyphens/>
              <w:jc w:val="right"/>
              <w:rPr>
                <w:kern w:val="22"/>
                <w:sz w:val="17"/>
                <w:szCs w:val="17"/>
                <w:lang w:eastAsia="en-CA"/>
              </w:rPr>
            </w:pPr>
            <w:r w:rsidRPr="00044264">
              <w:rPr>
                <w:kern w:val="22"/>
                <w:sz w:val="17"/>
                <w:szCs w:val="17"/>
                <w:lang w:eastAsia="en-CA"/>
              </w:rPr>
              <w:t xml:space="preserve"> </w:t>
            </w:r>
            <w:r w:rsidRPr="00F41283">
              <w:rPr>
                <w:kern w:val="22"/>
                <w:sz w:val="17"/>
                <w:szCs w:val="17"/>
                <w:lang w:eastAsia="en-CA"/>
              </w:rPr>
              <w:t>(184</w:t>
            </w:r>
            <w:r>
              <w:rPr>
                <w:kern w:val="22"/>
                <w:sz w:val="17"/>
                <w:szCs w:val="17"/>
                <w:lang w:eastAsia="en-CA"/>
              </w:rPr>
              <w:t>,</w:t>
            </w:r>
            <w:r w:rsidRPr="00F41283">
              <w:rPr>
                <w:kern w:val="22"/>
                <w:sz w:val="17"/>
                <w:szCs w:val="17"/>
                <w:lang w:eastAsia="en-CA"/>
              </w:rPr>
              <w:t>4)</w:t>
            </w:r>
          </w:p>
        </w:tc>
        <w:tc>
          <w:tcPr>
            <w:tcW w:w="1600" w:type="dxa"/>
            <w:tcBorders>
              <w:top w:val="nil"/>
              <w:left w:val="nil"/>
              <w:bottom w:val="nil"/>
              <w:right w:val="nil"/>
            </w:tcBorders>
            <w:shd w:val="clear" w:color="auto" w:fill="auto"/>
            <w:vAlign w:val="center"/>
            <w:hideMark/>
          </w:tcPr>
          <w:p w14:paraId="2DDFA44D"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 xml:space="preserve"> (213</w:t>
            </w:r>
            <w:r>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14:paraId="77AEE839"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 xml:space="preserve">  (397</w:t>
            </w:r>
            <w:r>
              <w:rPr>
                <w:kern w:val="22"/>
                <w:sz w:val="17"/>
                <w:szCs w:val="17"/>
                <w:lang w:eastAsia="en-CA"/>
              </w:rPr>
              <w:t>,</w:t>
            </w:r>
            <w:r w:rsidRPr="00F41283">
              <w:rPr>
                <w:kern w:val="22"/>
                <w:sz w:val="17"/>
                <w:szCs w:val="17"/>
                <w:lang w:eastAsia="en-CA"/>
              </w:rPr>
              <w:t>9)</w:t>
            </w:r>
          </w:p>
        </w:tc>
      </w:tr>
      <w:tr w:rsidR="00B63B63" w:rsidRPr="001C261A" w14:paraId="10B7CA2C" w14:textId="77777777" w:rsidTr="00E36C22">
        <w:trPr>
          <w:trHeight w:val="288"/>
        </w:trPr>
        <w:tc>
          <w:tcPr>
            <w:tcW w:w="4520" w:type="dxa"/>
            <w:tcBorders>
              <w:top w:val="nil"/>
              <w:left w:val="nil"/>
              <w:bottom w:val="nil"/>
              <w:right w:val="nil"/>
            </w:tcBorders>
            <w:shd w:val="clear" w:color="auto" w:fill="auto"/>
            <w:hideMark/>
          </w:tcPr>
          <w:p w14:paraId="5623A614"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u w:val="single"/>
                <w:lang w:eastAsia="en-CA"/>
              </w:rPr>
              <w:t>Moins</w:t>
            </w:r>
            <w:r w:rsidRPr="00044264">
              <w:rPr>
                <w:color w:val="000000"/>
                <w:kern w:val="22"/>
                <w:sz w:val="17"/>
                <w:szCs w:val="17"/>
                <w:lang w:eastAsia="en-CA"/>
              </w:rPr>
              <w:t xml:space="preserve">: </w:t>
            </w:r>
            <w:r>
              <w:rPr>
                <w:color w:val="000000"/>
                <w:kern w:val="22"/>
                <w:sz w:val="17"/>
                <w:szCs w:val="17"/>
                <w:lang w:eastAsia="en-CA"/>
              </w:rPr>
              <w:t>Utilisation des réserves pour les</w:t>
            </w:r>
            <w:r w:rsidRPr="00044264">
              <w:rPr>
                <w:color w:val="000000"/>
                <w:kern w:val="22"/>
                <w:sz w:val="17"/>
                <w:szCs w:val="17"/>
                <w:lang w:eastAsia="en-CA"/>
              </w:rPr>
              <w:t xml:space="preserve"> réunions extraordinaires</w:t>
            </w:r>
          </w:p>
        </w:tc>
        <w:tc>
          <w:tcPr>
            <w:tcW w:w="1360" w:type="dxa"/>
            <w:tcBorders>
              <w:top w:val="nil"/>
              <w:left w:val="nil"/>
              <w:bottom w:val="nil"/>
              <w:right w:val="nil"/>
            </w:tcBorders>
            <w:shd w:val="clear" w:color="auto" w:fill="auto"/>
            <w:vAlign w:val="center"/>
            <w:hideMark/>
          </w:tcPr>
          <w:p w14:paraId="30A7283B" w14:textId="77777777" w:rsidR="00B63B63" w:rsidRPr="00F41283" w:rsidRDefault="00B63B63" w:rsidP="00E36C22">
            <w:pPr>
              <w:suppressLineNumbers/>
              <w:suppressAutoHyphens/>
              <w:jc w:val="right"/>
              <w:rPr>
                <w:kern w:val="22"/>
                <w:sz w:val="17"/>
                <w:szCs w:val="17"/>
                <w:lang w:eastAsia="en-CA"/>
              </w:rPr>
            </w:pPr>
            <w:r w:rsidRPr="00044264">
              <w:rPr>
                <w:kern w:val="22"/>
                <w:sz w:val="17"/>
                <w:szCs w:val="17"/>
                <w:lang w:eastAsia="en-CA"/>
              </w:rPr>
              <w:t xml:space="preserve"> </w:t>
            </w:r>
            <w:r w:rsidRPr="00F41283">
              <w:rPr>
                <w:kern w:val="22"/>
                <w:sz w:val="17"/>
                <w:szCs w:val="17"/>
                <w:lang w:eastAsia="en-CA"/>
              </w:rPr>
              <w:t>(127</w:t>
            </w:r>
            <w:r>
              <w:rPr>
                <w:kern w:val="22"/>
                <w:sz w:val="17"/>
                <w:szCs w:val="17"/>
                <w:lang w:eastAsia="en-CA"/>
              </w:rPr>
              <w:t>,</w:t>
            </w:r>
            <w:r w:rsidRPr="00F41283">
              <w:rPr>
                <w:kern w:val="22"/>
                <w:sz w:val="17"/>
                <w:szCs w:val="17"/>
                <w:lang w:eastAsia="en-CA"/>
              </w:rPr>
              <w:t>1)</w:t>
            </w:r>
          </w:p>
        </w:tc>
        <w:tc>
          <w:tcPr>
            <w:tcW w:w="1600" w:type="dxa"/>
            <w:tcBorders>
              <w:top w:val="nil"/>
              <w:left w:val="nil"/>
              <w:bottom w:val="nil"/>
              <w:right w:val="nil"/>
            </w:tcBorders>
            <w:shd w:val="clear" w:color="auto" w:fill="auto"/>
            <w:vAlign w:val="center"/>
            <w:hideMark/>
          </w:tcPr>
          <w:p w14:paraId="17BF268B"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 xml:space="preserve">   (94</w:t>
            </w:r>
            <w:r>
              <w:rPr>
                <w:kern w:val="22"/>
                <w:sz w:val="17"/>
                <w:szCs w:val="17"/>
                <w:lang w:eastAsia="en-CA"/>
              </w:rPr>
              <w:t>,</w:t>
            </w:r>
            <w:r w:rsidRPr="00F41283">
              <w:rPr>
                <w:kern w:val="22"/>
                <w:sz w:val="17"/>
                <w:szCs w:val="17"/>
                <w:lang w:eastAsia="en-CA"/>
              </w:rPr>
              <w:t>9)</w:t>
            </w:r>
          </w:p>
        </w:tc>
        <w:tc>
          <w:tcPr>
            <w:tcW w:w="1640" w:type="dxa"/>
            <w:tcBorders>
              <w:top w:val="nil"/>
              <w:left w:val="nil"/>
              <w:bottom w:val="nil"/>
              <w:right w:val="nil"/>
            </w:tcBorders>
            <w:shd w:val="clear" w:color="auto" w:fill="auto"/>
            <w:vAlign w:val="center"/>
            <w:hideMark/>
          </w:tcPr>
          <w:p w14:paraId="1B366470"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 xml:space="preserve">  (222</w:t>
            </w:r>
            <w:r>
              <w:rPr>
                <w:kern w:val="22"/>
                <w:sz w:val="17"/>
                <w:szCs w:val="17"/>
                <w:lang w:eastAsia="en-CA"/>
              </w:rPr>
              <w:t>,</w:t>
            </w:r>
            <w:r w:rsidRPr="00F41283">
              <w:rPr>
                <w:kern w:val="22"/>
                <w:sz w:val="17"/>
                <w:szCs w:val="17"/>
                <w:lang w:eastAsia="en-CA"/>
              </w:rPr>
              <w:t>0)</w:t>
            </w:r>
          </w:p>
        </w:tc>
      </w:tr>
      <w:tr w:rsidR="00B63B63" w:rsidRPr="001C261A" w14:paraId="49440543" w14:textId="77777777" w:rsidTr="00E36C22">
        <w:trPr>
          <w:trHeight w:val="288"/>
        </w:trPr>
        <w:tc>
          <w:tcPr>
            <w:tcW w:w="4520" w:type="dxa"/>
            <w:tcBorders>
              <w:top w:val="nil"/>
              <w:left w:val="nil"/>
              <w:bottom w:val="nil"/>
              <w:right w:val="nil"/>
            </w:tcBorders>
            <w:shd w:val="clear" w:color="auto" w:fill="auto"/>
            <w:hideMark/>
          </w:tcPr>
          <w:p w14:paraId="75D3B746"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u w:val="single"/>
                <w:lang w:eastAsia="en-CA"/>
              </w:rPr>
              <w:t>Moins</w:t>
            </w:r>
            <w:r w:rsidRPr="00044264">
              <w:rPr>
                <w:color w:val="000000"/>
                <w:kern w:val="22"/>
                <w:sz w:val="17"/>
                <w:szCs w:val="17"/>
                <w:lang w:eastAsia="en-CA"/>
              </w:rPr>
              <w:t>: Emploi des économies des années précédentes</w:t>
            </w:r>
          </w:p>
        </w:tc>
        <w:tc>
          <w:tcPr>
            <w:tcW w:w="1360" w:type="dxa"/>
            <w:tcBorders>
              <w:top w:val="nil"/>
              <w:left w:val="nil"/>
              <w:bottom w:val="nil"/>
              <w:right w:val="nil"/>
            </w:tcBorders>
            <w:shd w:val="clear" w:color="auto" w:fill="auto"/>
            <w:vAlign w:val="center"/>
            <w:hideMark/>
          </w:tcPr>
          <w:p w14:paraId="562AE899" w14:textId="77777777" w:rsidR="00B63B63" w:rsidRPr="00F41283" w:rsidRDefault="00B63B63" w:rsidP="00E36C22">
            <w:pPr>
              <w:suppressLineNumbers/>
              <w:suppressAutoHyphens/>
              <w:jc w:val="right"/>
              <w:rPr>
                <w:kern w:val="22"/>
                <w:sz w:val="17"/>
                <w:szCs w:val="17"/>
                <w:lang w:eastAsia="en-CA"/>
              </w:rPr>
            </w:pPr>
            <w:r w:rsidRPr="00044264">
              <w:rPr>
                <w:kern w:val="22"/>
                <w:sz w:val="17"/>
                <w:szCs w:val="17"/>
                <w:lang w:eastAsia="en-CA"/>
              </w:rPr>
              <w:t xml:space="preserve"> </w:t>
            </w:r>
            <w:r w:rsidRPr="00F41283">
              <w:rPr>
                <w:kern w:val="22"/>
                <w:sz w:val="17"/>
                <w:szCs w:val="17"/>
                <w:lang w:eastAsia="en-CA"/>
              </w:rPr>
              <w:t>(129</w:t>
            </w:r>
            <w:r>
              <w:rPr>
                <w:kern w:val="22"/>
                <w:sz w:val="17"/>
                <w:szCs w:val="17"/>
                <w:lang w:eastAsia="en-CA"/>
              </w:rPr>
              <w:t>,</w:t>
            </w:r>
            <w:r w:rsidRPr="00F41283">
              <w:rPr>
                <w:kern w:val="22"/>
                <w:sz w:val="17"/>
                <w:szCs w:val="17"/>
                <w:lang w:eastAsia="en-CA"/>
              </w:rPr>
              <w:t>5)</w:t>
            </w:r>
          </w:p>
        </w:tc>
        <w:tc>
          <w:tcPr>
            <w:tcW w:w="1600" w:type="dxa"/>
            <w:tcBorders>
              <w:top w:val="nil"/>
              <w:left w:val="nil"/>
              <w:bottom w:val="nil"/>
              <w:right w:val="nil"/>
            </w:tcBorders>
            <w:shd w:val="clear" w:color="auto" w:fill="auto"/>
            <w:vAlign w:val="center"/>
            <w:hideMark/>
          </w:tcPr>
          <w:p w14:paraId="472A0C46"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(129</w:t>
            </w:r>
            <w:r>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14:paraId="3325B957"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(259</w:t>
            </w:r>
            <w:r>
              <w:rPr>
                <w:kern w:val="22"/>
                <w:sz w:val="17"/>
                <w:szCs w:val="17"/>
                <w:lang w:eastAsia="en-CA"/>
              </w:rPr>
              <w:t>,</w:t>
            </w:r>
            <w:r w:rsidRPr="00F41283">
              <w:rPr>
                <w:kern w:val="22"/>
                <w:sz w:val="17"/>
                <w:szCs w:val="17"/>
                <w:lang w:eastAsia="en-CA"/>
              </w:rPr>
              <w:t>0)</w:t>
            </w:r>
          </w:p>
        </w:tc>
      </w:tr>
      <w:tr w:rsidR="00B63B63" w:rsidRPr="001C261A" w14:paraId="5C93667E" w14:textId="77777777" w:rsidTr="00E36C22">
        <w:trPr>
          <w:trHeight w:val="300"/>
        </w:trPr>
        <w:tc>
          <w:tcPr>
            <w:tcW w:w="4520" w:type="dxa"/>
            <w:tcBorders>
              <w:top w:val="single" w:sz="4" w:space="0" w:color="auto"/>
              <w:left w:val="nil"/>
              <w:bottom w:val="single" w:sz="8" w:space="0" w:color="auto"/>
              <w:right w:val="nil"/>
            </w:tcBorders>
            <w:shd w:val="clear" w:color="auto" w:fill="auto"/>
            <w:hideMark/>
          </w:tcPr>
          <w:p w14:paraId="518AC031" w14:textId="77777777" w:rsidR="00B63B63" w:rsidRPr="00044264" w:rsidRDefault="00B63B63" w:rsidP="00E36C22">
            <w:pPr>
              <w:suppressLineNumbers/>
              <w:suppressAutoHyphens/>
              <w:jc w:val="left"/>
              <w:rPr>
                <w:color w:val="000000"/>
                <w:kern w:val="22"/>
                <w:sz w:val="17"/>
                <w:szCs w:val="17"/>
                <w:lang w:eastAsia="en-CA"/>
              </w:rPr>
            </w:pPr>
            <w:r w:rsidRPr="00044264">
              <w:rPr>
                <w:color w:val="000000"/>
                <w:kern w:val="22"/>
                <w:sz w:val="17"/>
                <w:szCs w:val="17"/>
                <w:lang w:eastAsia="en-CA"/>
              </w:rPr>
              <w:t>Total net (montant à répartir entre les Parties)</w:t>
            </w:r>
          </w:p>
        </w:tc>
        <w:tc>
          <w:tcPr>
            <w:tcW w:w="1360" w:type="dxa"/>
            <w:tcBorders>
              <w:top w:val="single" w:sz="4" w:space="0" w:color="auto"/>
              <w:left w:val="nil"/>
              <w:bottom w:val="single" w:sz="8" w:space="0" w:color="auto"/>
              <w:right w:val="nil"/>
            </w:tcBorders>
            <w:shd w:val="clear" w:color="auto" w:fill="auto"/>
            <w:hideMark/>
          </w:tcPr>
          <w:p w14:paraId="52FC045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401</w:t>
            </w:r>
            <w:r>
              <w:rPr>
                <w:color w:val="000000"/>
                <w:kern w:val="22"/>
                <w:sz w:val="17"/>
                <w:szCs w:val="17"/>
                <w:lang w:eastAsia="en-CA"/>
              </w:rPr>
              <w:t>,</w:t>
            </w:r>
            <w:r w:rsidRPr="00F41283">
              <w:rPr>
                <w:color w:val="000000"/>
                <w:kern w:val="22"/>
                <w:sz w:val="17"/>
                <w:szCs w:val="17"/>
                <w:lang w:eastAsia="en-CA"/>
              </w:rPr>
              <w:t>4</w:t>
            </w:r>
          </w:p>
        </w:tc>
        <w:tc>
          <w:tcPr>
            <w:tcW w:w="1600" w:type="dxa"/>
            <w:tcBorders>
              <w:top w:val="single" w:sz="4" w:space="0" w:color="auto"/>
              <w:left w:val="nil"/>
              <w:bottom w:val="single" w:sz="8" w:space="0" w:color="auto"/>
              <w:right w:val="nil"/>
            </w:tcBorders>
            <w:shd w:val="clear" w:color="auto" w:fill="auto"/>
            <w:hideMark/>
          </w:tcPr>
          <w:p w14:paraId="294091EC"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546</w:t>
            </w:r>
            <w:r>
              <w:rPr>
                <w:color w:val="000000"/>
                <w:kern w:val="22"/>
                <w:sz w:val="17"/>
                <w:szCs w:val="17"/>
                <w:lang w:eastAsia="en-CA"/>
              </w:rPr>
              <w:t>,</w:t>
            </w:r>
            <w:r w:rsidRPr="00F41283">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14:paraId="2D2AC34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947</w:t>
            </w:r>
            <w:r>
              <w:rPr>
                <w:color w:val="000000"/>
                <w:kern w:val="22"/>
                <w:sz w:val="17"/>
                <w:szCs w:val="17"/>
                <w:lang w:eastAsia="en-CA"/>
              </w:rPr>
              <w:t>,</w:t>
            </w:r>
            <w:r w:rsidRPr="00F41283">
              <w:rPr>
                <w:color w:val="000000"/>
                <w:kern w:val="22"/>
                <w:sz w:val="17"/>
                <w:szCs w:val="17"/>
                <w:lang w:eastAsia="en-CA"/>
              </w:rPr>
              <w:t>8</w:t>
            </w:r>
          </w:p>
        </w:tc>
      </w:tr>
    </w:tbl>
    <w:p w14:paraId="1DCFE3D7" w14:textId="77777777" w:rsidR="00B63B63" w:rsidRPr="00F41283" w:rsidRDefault="00B63B63" w:rsidP="00B63B63">
      <w:pPr>
        <w:suppressLineNumbers/>
        <w:suppressAutoHyphens/>
        <w:jc w:val="left"/>
        <w:rPr>
          <w:kern w:val="22"/>
        </w:rPr>
      </w:pPr>
    </w:p>
    <w:p w14:paraId="4B647071" w14:textId="77777777" w:rsidR="00B63B63" w:rsidRPr="00F41283" w:rsidRDefault="00B63B63" w:rsidP="00B63B63">
      <w:pPr>
        <w:suppressLineNumbers/>
        <w:suppressAutoHyphens/>
        <w:jc w:val="left"/>
        <w:rPr>
          <w:kern w:val="22"/>
        </w:rPr>
      </w:pPr>
    </w:p>
    <w:p w14:paraId="673A87E0" w14:textId="77777777" w:rsidR="00B63B63" w:rsidRPr="00A15179" w:rsidRDefault="00B63B63" w:rsidP="00B63B63">
      <w:pPr>
        <w:keepNext/>
        <w:suppressLineNumbers/>
        <w:suppressAutoHyphens/>
        <w:spacing w:before="120" w:after="120"/>
        <w:ind w:left="1276" w:hanging="1276"/>
        <w:jc w:val="left"/>
        <w:rPr>
          <w:rFonts w:eastAsia="Malgun Gothic"/>
          <w:b/>
          <w:bCs/>
          <w:iCs/>
          <w:snapToGrid w:val="0"/>
          <w:kern w:val="22"/>
          <w:lang w:eastAsia="x-none"/>
        </w:rPr>
      </w:pPr>
      <w:r w:rsidRPr="00896457">
        <w:rPr>
          <w:rFonts w:eastAsia="Malgun Gothic"/>
          <w:b/>
          <w:bCs/>
          <w:iCs/>
          <w:snapToGrid w:val="0"/>
          <w:kern w:val="22"/>
          <w:lang w:eastAsia="x-none"/>
        </w:rPr>
        <w:lastRenderedPageBreak/>
        <w:t>Tableau 1b.</w:t>
      </w:r>
      <w:r w:rsidRPr="00896457">
        <w:rPr>
          <w:rFonts w:eastAsia="Malgun Gothic"/>
          <w:b/>
          <w:bCs/>
          <w:iCs/>
          <w:snapToGrid w:val="0"/>
          <w:kern w:val="22"/>
          <w:lang w:eastAsia="x-none"/>
        </w:rPr>
        <w:tab/>
      </w:r>
      <w:r w:rsidRPr="00A15179">
        <w:rPr>
          <w:rFonts w:eastAsia="Malgun Gothic"/>
          <w:b/>
          <w:bCs/>
          <w:color w:val="000000"/>
          <w:kern w:val="18"/>
          <w:lang w:eastAsia="ko-KR"/>
        </w:rPr>
        <w:t xml:space="preserve">Budget intégré des Fonds d’affectation spéciale de la Convention sur la diversité biologique et de ses Protocoles </w:t>
      </w:r>
      <w:r w:rsidRPr="00A15179">
        <w:rPr>
          <w:rFonts w:eastAsia="Malgun Gothic"/>
          <w:b/>
          <w:bCs/>
          <w:iCs/>
          <w:snapToGrid w:val="0"/>
          <w:kern w:val="22"/>
          <w:lang w:eastAsia="x-none"/>
        </w:rPr>
        <w:t>pour l’exercice biennal 2019-2020</w:t>
      </w:r>
      <w:r>
        <w:rPr>
          <w:rFonts w:eastAsia="Malgun Gothic"/>
          <w:b/>
          <w:bCs/>
          <w:iCs/>
          <w:snapToGrid w:val="0"/>
          <w:kern w:val="22"/>
          <w:lang w:eastAsia="x-none"/>
        </w:rPr>
        <w:t xml:space="preserve"> (par poste de dépense</w:t>
      </w:r>
      <w:r w:rsidRPr="00A15179">
        <w:rPr>
          <w:rFonts w:eastAsia="Malgun Gothic"/>
          <w:b/>
          <w:bCs/>
          <w:iCs/>
          <w:snapToGrid w:val="0"/>
          <w:kern w:val="22"/>
          <w:lang w:eastAsia="x-none"/>
        </w:rPr>
        <w:t>)</w:t>
      </w:r>
    </w:p>
    <w:p w14:paraId="4B7B7AA2" w14:textId="77777777" w:rsidR="00B63B63" w:rsidRPr="00A15179" w:rsidRDefault="00B63B63" w:rsidP="00B63B63">
      <w:pPr>
        <w:keepNext/>
        <w:suppressLineNumbers/>
        <w:suppressAutoHyphens/>
        <w:spacing w:before="120" w:after="120"/>
        <w:ind w:left="990" w:hanging="990"/>
        <w:rPr>
          <w:rFonts w:eastAsia="Malgun Gothic"/>
          <w:b/>
          <w:bCs/>
          <w:iCs/>
          <w:snapToGrid w:val="0"/>
          <w:kern w:val="22"/>
          <w:lang w:eastAsia="x-none"/>
        </w:rPr>
      </w:pPr>
    </w:p>
    <w:tbl>
      <w:tblPr>
        <w:tblW w:w="0" w:type="auto"/>
        <w:tblInd w:w="93" w:type="dxa"/>
        <w:tblLook w:val="04A0" w:firstRow="1" w:lastRow="0" w:firstColumn="1" w:lastColumn="0" w:noHBand="0" w:noVBand="1"/>
      </w:tblPr>
      <w:tblGrid>
        <w:gridCol w:w="340"/>
        <w:gridCol w:w="81"/>
        <w:gridCol w:w="3013"/>
        <w:gridCol w:w="2632"/>
        <w:gridCol w:w="1101"/>
        <w:gridCol w:w="1101"/>
        <w:gridCol w:w="1101"/>
      </w:tblGrid>
      <w:tr w:rsidR="00B63B63" w:rsidRPr="00A740C0" w14:paraId="658FF6C5"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5B1C8605" w14:textId="77777777" w:rsidR="00B63B63" w:rsidRPr="00A15179" w:rsidRDefault="00B63B63" w:rsidP="00E36C22">
            <w:pPr>
              <w:suppressLineNumbers/>
              <w:suppressAutoHyphens/>
              <w:jc w:val="right"/>
              <w:rPr>
                <w:color w:val="000000"/>
                <w:kern w:val="22"/>
                <w:sz w:val="17"/>
                <w:szCs w:val="17"/>
                <w:lang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704E609B" w14:textId="77777777" w:rsidR="00B63B63" w:rsidRPr="00F41283" w:rsidRDefault="00B63B63" w:rsidP="00E36C22">
            <w:pPr>
              <w:suppressLineNumbers/>
              <w:suppressAutoHyphens/>
              <w:jc w:val="center"/>
              <w:rPr>
                <w:bCs/>
                <w:i/>
                <w:color w:val="000000"/>
                <w:kern w:val="22"/>
                <w:sz w:val="17"/>
                <w:szCs w:val="17"/>
                <w:lang w:eastAsia="en-CA"/>
              </w:rPr>
            </w:pPr>
            <w:r>
              <w:rPr>
                <w:bCs/>
                <w:i/>
                <w:color w:val="000000"/>
                <w:kern w:val="22"/>
                <w:sz w:val="17"/>
                <w:szCs w:val="17"/>
                <w:lang w:eastAsia="en-CA"/>
              </w:rPr>
              <w:t>Poste de dépense</w:t>
            </w:r>
          </w:p>
        </w:tc>
        <w:tc>
          <w:tcPr>
            <w:tcW w:w="0" w:type="auto"/>
            <w:tcBorders>
              <w:top w:val="single" w:sz="8" w:space="0" w:color="auto"/>
              <w:left w:val="nil"/>
              <w:bottom w:val="nil"/>
              <w:right w:val="nil"/>
            </w:tcBorders>
            <w:shd w:val="clear" w:color="auto" w:fill="auto"/>
            <w:vAlign w:val="center"/>
            <w:hideMark/>
          </w:tcPr>
          <w:p w14:paraId="09DCFEA4" w14:textId="77777777" w:rsidR="00B63B63" w:rsidRPr="00F41283" w:rsidRDefault="00B63B63" w:rsidP="00E36C22">
            <w:pPr>
              <w:suppressLineNumbers/>
              <w:suppressAutoHyphens/>
              <w:jc w:val="center"/>
              <w:rPr>
                <w:bCs/>
                <w:i/>
                <w:color w:val="000000"/>
                <w:kern w:val="22"/>
                <w:sz w:val="17"/>
                <w:szCs w:val="17"/>
                <w:lang w:eastAsia="en-CA"/>
              </w:rPr>
            </w:pPr>
            <w:r w:rsidRPr="00F41283">
              <w:rPr>
                <w:bCs/>
                <w:i/>
                <w:color w:val="000000"/>
                <w:kern w:val="22"/>
                <w:sz w:val="17"/>
                <w:szCs w:val="17"/>
                <w:lang w:eastAsia="en-CA"/>
              </w:rPr>
              <w:t>2019</w:t>
            </w:r>
          </w:p>
        </w:tc>
        <w:tc>
          <w:tcPr>
            <w:tcW w:w="0" w:type="auto"/>
            <w:tcBorders>
              <w:top w:val="single" w:sz="8" w:space="0" w:color="auto"/>
              <w:left w:val="nil"/>
              <w:bottom w:val="nil"/>
              <w:right w:val="nil"/>
            </w:tcBorders>
            <w:shd w:val="clear" w:color="auto" w:fill="auto"/>
            <w:vAlign w:val="center"/>
            <w:hideMark/>
          </w:tcPr>
          <w:p w14:paraId="7E219571" w14:textId="77777777" w:rsidR="00B63B63" w:rsidRPr="00F41283" w:rsidRDefault="00B63B63" w:rsidP="00E36C22">
            <w:pPr>
              <w:suppressLineNumbers/>
              <w:suppressAutoHyphens/>
              <w:jc w:val="center"/>
              <w:rPr>
                <w:bCs/>
                <w:i/>
                <w:color w:val="000000"/>
                <w:kern w:val="22"/>
                <w:sz w:val="17"/>
                <w:szCs w:val="17"/>
                <w:lang w:eastAsia="en-CA"/>
              </w:rPr>
            </w:pPr>
            <w:r w:rsidRPr="00F41283">
              <w:rPr>
                <w:bCs/>
                <w:i/>
                <w:color w:val="000000"/>
                <w:kern w:val="22"/>
                <w:sz w:val="17"/>
                <w:szCs w:val="17"/>
                <w:lang w:eastAsia="en-CA"/>
              </w:rPr>
              <w:t>2020</w:t>
            </w:r>
          </w:p>
        </w:tc>
        <w:tc>
          <w:tcPr>
            <w:tcW w:w="0" w:type="auto"/>
            <w:tcBorders>
              <w:top w:val="single" w:sz="8" w:space="0" w:color="auto"/>
              <w:left w:val="nil"/>
              <w:bottom w:val="nil"/>
              <w:right w:val="nil"/>
            </w:tcBorders>
            <w:shd w:val="clear" w:color="auto" w:fill="auto"/>
            <w:vAlign w:val="center"/>
            <w:hideMark/>
          </w:tcPr>
          <w:p w14:paraId="696F1545" w14:textId="77777777" w:rsidR="00B63B63" w:rsidRPr="00F41283" w:rsidRDefault="00B63B63" w:rsidP="00E36C22">
            <w:pPr>
              <w:suppressLineNumbers/>
              <w:suppressAutoHyphens/>
              <w:jc w:val="center"/>
              <w:rPr>
                <w:bCs/>
                <w:i/>
                <w:color w:val="000000"/>
                <w:kern w:val="22"/>
                <w:sz w:val="17"/>
                <w:szCs w:val="17"/>
                <w:lang w:eastAsia="en-CA"/>
              </w:rPr>
            </w:pPr>
            <w:r w:rsidRPr="00F41283">
              <w:rPr>
                <w:bCs/>
                <w:i/>
                <w:color w:val="000000"/>
                <w:kern w:val="22"/>
                <w:sz w:val="17"/>
                <w:szCs w:val="17"/>
                <w:lang w:eastAsia="en-CA"/>
              </w:rPr>
              <w:t>Total</w:t>
            </w:r>
          </w:p>
        </w:tc>
      </w:tr>
      <w:tr w:rsidR="00B63B63" w:rsidRPr="001570B4" w14:paraId="1650EEA7"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5EFAC353" w14:textId="77777777" w:rsidR="00B63B63" w:rsidRPr="00F41283" w:rsidRDefault="00B63B63" w:rsidP="00E36C22">
            <w:pPr>
              <w:suppressLineNumbers/>
              <w:suppressAutoHyphens/>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5524263C" w14:textId="77777777" w:rsidR="00B63B63" w:rsidRPr="00F41283" w:rsidRDefault="00B63B63" w:rsidP="00E36C22">
            <w:pPr>
              <w:suppressLineNumbers/>
              <w:suppressAutoHyphens/>
              <w:rPr>
                <w:bCs/>
                <w:i/>
                <w:color w:val="000000"/>
                <w:kern w:val="22"/>
                <w:sz w:val="17"/>
                <w:szCs w:val="17"/>
                <w:lang w:eastAsia="en-CA"/>
              </w:rPr>
            </w:pPr>
          </w:p>
        </w:tc>
        <w:tc>
          <w:tcPr>
            <w:tcW w:w="0" w:type="auto"/>
            <w:gridSpan w:val="3"/>
            <w:tcBorders>
              <w:top w:val="nil"/>
              <w:left w:val="nil"/>
              <w:bottom w:val="nil"/>
              <w:right w:val="nil"/>
            </w:tcBorders>
            <w:shd w:val="clear" w:color="auto" w:fill="auto"/>
            <w:vAlign w:val="center"/>
            <w:hideMark/>
          </w:tcPr>
          <w:p w14:paraId="66DBB8E4" w14:textId="77777777" w:rsidR="00B63B63" w:rsidRPr="00A15179" w:rsidRDefault="00B63B63" w:rsidP="00E36C22">
            <w:pPr>
              <w:suppressLineNumbers/>
              <w:suppressAutoHyphens/>
              <w:jc w:val="center"/>
              <w:rPr>
                <w:i/>
                <w:iCs/>
                <w:color w:val="000000"/>
                <w:kern w:val="22"/>
                <w:sz w:val="17"/>
                <w:szCs w:val="17"/>
                <w:lang w:eastAsia="en-CA"/>
              </w:rPr>
            </w:pPr>
            <w:r w:rsidRPr="00A15179">
              <w:rPr>
                <w:i/>
                <w:iCs/>
                <w:color w:val="000000"/>
                <w:kern w:val="22"/>
                <w:sz w:val="17"/>
                <w:szCs w:val="17"/>
                <w:lang w:eastAsia="en-CA"/>
              </w:rPr>
              <w:t>(en milliers de dollars É-U)</w:t>
            </w:r>
          </w:p>
        </w:tc>
      </w:tr>
      <w:tr w:rsidR="00B63B63" w:rsidRPr="001570B4" w14:paraId="595189E2" w14:textId="77777777" w:rsidTr="00E36C22">
        <w:trPr>
          <w:trHeight w:val="48"/>
        </w:trPr>
        <w:tc>
          <w:tcPr>
            <w:tcW w:w="0" w:type="auto"/>
            <w:gridSpan w:val="2"/>
            <w:tcBorders>
              <w:top w:val="nil"/>
              <w:left w:val="nil"/>
              <w:bottom w:val="nil"/>
              <w:right w:val="nil"/>
            </w:tcBorders>
            <w:shd w:val="clear" w:color="auto" w:fill="auto"/>
            <w:noWrap/>
            <w:vAlign w:val="center"/>
            <w:hideMark/>
          </w:tcPr>
          <w:p w14:paraId="39E03EC1" w14:textId="77777777" w:rsidR="00B63B63" w:rsidRPr="00A15179" w:rsidRDefault="00B63B63" w:rsidP="00E36C22">
            <w:pPr>
              <w:suppressLineNumbers/>
              <w:suppressAutoHyphens/>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6AD453E4" w14:textId="77777777" w:rsidR="00B63B63" w:rsidRPr="00A15179" w:rsidRDefault="00B63B63" w:rsidP="00E36C22">
            <w:pPr>
              <w:suppressLineNumbers/>
              <w:suppressAutoHyphens/>
              <w:rPr>
                <w:bCs/>
                <w:i/>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6EA3539A" w14:textId="77777777" w:rsidR="00B63B63" w:rsidRPr="00A15179" w:rsidRDefault="00B63B63" w:rsidP="00E36C22">
            <w:pPr>
              <w:suppressLineNumbers/>
              <w:suppressAutoHyphens/>
              <w:jc w:val="center"/>
              <w:rPr>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0ACB2BDE" w14:textId="77777777" w:rsidR="00B63B63" w:rsidRPr="00A15179" w:rsidRDefault="00B63B63" w:rsidP="00E36C22">
            <w:pPr>
              <w:suppressLineNumbers/>
              <w:suppressAutoHyphens/>
              <w:jc w:val="center"/>
              <w:rPr>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2F5E8CEF" w14:textId="77777777" w:rsidR="00B63B63" w:rsidRPr="00A15179" w:rsidRDefault="00B63B63" w:rsidP="00E36C22">
            <w:pPr>
              <w:suppressLineNumbers/>
              <w:suppressAutoHyphens/>
              <w:jc w:val="center"/>
              <w:rPr>
                <w:bCs/>
                <w:color w:val="000000"/>
                <w:kern w:val="22"/>
                <w:sz w:val="17"/>
                <w:szCs w:val="17"/>
                <w:lang w:eastAsia="en-CA"/>
              </w:rPr>
            </w:pPr>
          </w:p>
        </w:tc>
      </w:tr>
      <w:tr w:rsidR="00B63B63" w:rsidRPr="00A740C0" w14:paraId="2B47FF62"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282393D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A.</w:t>
            </w:r>
          </w:p>
        </w:tc>
        <w:tc>
          <w:tcPr>
            <w:tcW w:w="0" w:type="auto"/>
            <w:gridSpan w:val="2"/>
            <w:tcBorders>
              <w:top w:val="single" w:sz="8" w:space="0" w:color="auto"/>
              <w:left w:val="nil"/>
              <w:bottom w:val="nil"/>
              <w:right w:val="nil"/>
            </w:tcBorders>
            <w:shd w:val="clear" w:color="auto" w:fill="auto"/>
            <w:vAlign w:val="center"/>
            <w:hideMark/>
          </w:tcPr>
          <w:p w14:paraId="77EC93A5"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Dépenses de personnel</w:t>
            </w:r>
          </w:p>
        </w:tc>
        <w:tc>
          <w:tcPr>
            <w:tcW w:w="0" w:type="auto"/>
            <w:tcBorders>
              <w:top w:val="nil"/>
              <w:left w:val="nil"/>
              <w:bottom w:val="nil"/>
              <w:right w:val="nil"/>
            </w:tcBorders>
            <w:shd w:val="clear" w:color="auto" w:fill="auto"/>
            <w:vAlign w:val="center"/>
            <w:hideMark/>
          </w:tcPr>
          <w:p w14:paraId="49E925A4"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11</w:t>
            </w:r>
            <w:r>
              <w:rPr>
                <w:color w:val="000000"/>
                <w:kern w:val="22"/>
                <w:sz w:val="17"/>
                <w:szCs w:val="17"/>
                <w:lang w:eastAsia="en-CA"/>
              </w:rPr>
              <w:t xml:space="preserve"> </w:t>
            </w:r>
            <w:r w:rsidRPr="00F41283">
              <w:rPr>
                <w:color w:val="000000"/>
                <w:kern w:val="22"/>
                <w:sz w:val="17"/>
                <w:szCs w:val="17"/>
                <w:lang w:eastAsia="en-CA"/>
              </w:rPr>
              <w:t>453</w:t>
            </w:r>
            <w:r>
              <w:rPr>
                <w:color w:val="000000"/>
                <w:kern w:val="22"/>
                <w:sz w:val="17"/>
                <w:szCs w:val="17"/>
                <w:lang w:eastAsia="en-CA"/>
              </w:rPr>
              <w:t>,</w:t>
            </w:r>
            <w:r w:rsidRPr="00F41283">
              <w:rPr>
                <w:color w:val="000000"/>
                <w:kern w:val="22"/>
                <w:sz w:val="17"/>
                <w:szCs w:val="17"/>
                <w:lang w:eastAsia="en-CA"/>
              </w:rPr>
              <w:t>9</w:t>
            </w:r>
          </w:p>
        </w:tc>
        <w:tc>
          <w:tcPr>
            <w:tcW w:w="0" w:type="auto"/>
            <w:tcBorders>
              <w:top w:val="nil"/>
              <w:left w:val="nil"/>
              <w:bottom w:val="nil"/>
              <w:right w:val="nil"/>
            </w:tcBorders>
            <w:shd w:val="clear" w:color="auto" w:fill="auto"/>
            <w:vAlign w:val="center"/>
            <w:hideMark/>
          </w:tcPr>
          <w:p w14:paraId="1055D26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11</w:t>
            </w:r>
            <w:r>
              <w:rPr>
                <w:color w:val="000000"/>
                <w:kern w:val="22"/>
                <w:sz w:val="17"/>
                <w:szCs w:val="17"/>
                <w:lang w:eastAsia="en-CA"/>
              </w:rPr>
              <w:t xml:space="preserve"> </w:t>
            </w:r>
            <w:r w:rsidRPr="00F41283">
              <w:rPr>
                <w:color w:val="000000"/>
                <w:kern w:val="22"/>
                <w:sz w:val="17"/>
                <w:szCs w:val="17"/>
                <w:lang w:eastAsia="en-CA"/>
              </w:rPr>
              <w:t>626</w:t>
            </w:r>
            <w:r>
              <w:rPr>
                <w:color w:val="000000"/>
                <w:kern w:val="22"/>
                <w:sz w:val="17"/>
                <w:szCs w:val="17"/>
                <w:lang w:eastAsia="en-CA"/>
              </w:rPr>
              <w:t>,</w:t>
            </w:r>
            <w:r w:rsidRPr="00F41283">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14:paraId="4776953C"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23</w:t>
            </w:r>
            <w:r>
              <w:rPr>
                <w:color w:val="000000"/>
                <w:kern w:val="22"/>
                <w:sz w:val="17"/>
                <w:szCs w:val="17"/>
                <w:lang w:eastAsia="en-CA"/>
              </w:rPr>
              <w:t xml:space="preserve"> </w:t>
            </w:r>
            <w:r w:rsidRPr="00F41283">
              <w:rPr>
                <w:color w:val="000000"/>
                <w:kern w:val="22"/>
                <w:sz w:val="17"/>
                <w:szCs w:val="17"/>
                <w:lang w:eastAsia="en-CA"/>
              </w:rPr>
              <w:t>080</w:t>
            </w:r>
            <w:r>
              <w:rPr>
                <w:color w:val="000000"/>
                <w:kern w:val="22"/>
                <w:sz w:val="17"/>
                <w:szCs w:val="17"/>
                <w:lang w:eastAsia="en-CA"/>
              </w:rPr>
              <w:t>,</w:t>
            </w:r>
            <w:r w:rsidRPr="00F41283">
              <w:rPr>
                <w:color w:val="000000"/>
                <w:kern w:val="22"/>
                <w:sz w:val="17"/>
                <w:szCs w:val="17"/>
                <w:lang w:eastAsia="en-CA"/>
              </w:rPr>
              <w:t>5</w:t>
            </w:r>
          </w:p>
        </w:tc>
      </w:tr>
      <w:tr w:rsidR="00B63B63" w:rsidRPr="00A740C0" w14:paraId="35D94E11"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041D0B40"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B.</w:t>
            </w:r>
          </w:p>
        </w:tc>
        <w:tc>
          <w:tcPr>
            <w:tcW w:w="0" w:type="auto"/>
            <w:gridSpan w:val="2"/>
            <w:tcBorders>
              <w:top w:val="nil"/>
              <w:left w:val="nil"/>
              <w:bottom w:val="nil"/>
              <w:right w:val="nil"/>
            </w:tcBorders>
            <w:shd w:val="clear" w:color="auto" w:fill="auto"/>
            <w:vAlign w:val="center"/>
            <w:hideMark/>
          </w:tcPr>
          <w:p w14:paraId="69455603"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Réunions du Bureau</w:t>
            </w:r>
          </w:p>
        </w:tc>
        <w:tc>
          <w:tcPr>
            <w:tcW w:w="0" w:type="auto"/>
            <w:tcBorders>
              <w:top w:val="nil"/>
              <w:left w:val="nil"/>
              <w:bottom w:val="nil"/>
              <w:right w:val="nil"/>
            </w:tcBorders>
            <w:shd w:val="clear" w:color="auto" w:fill="auto"/>
            <w:vAlign w:val="center"/>
            <w:hideMark/>
          </w:tcPr>
          <w:p w14:paraId="2401A109"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150</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6D8B97FB"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215</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1F525D7D"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365</w:t>
            </w:r>
            <w:r>
              <w:rPr>
                <w:color w:val="000000"/>
                <w:kern w:val="22"/>
                <w:sz w:val="17"/>
                <w:szCs w:val="17"/>
                <w:lang w:eastAsia="en-CA"/>
              </w:rPr>
              <w:t>,</w:t>
            </w:r>
            <w:r w:rsidRPr="00F41283">
              <w:rPr>
                <w:color w:val="000000"/>
                <w:kern w:val="22"/>
                <w:sz w:val="17"/>
                <w:szCs w:val="17"/>
                <w:lang w:eastAsia="en-CA"/>
              </w:rPr>
              <w:t>0</w:t>
            </w:r>
          </w:p>
        </w:tc>
      </w:tr>
      <w:tr w:rsidR="00B63B63" w:rsidRPr="00A740C0" w14:paraId="2BAB6B56"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6C94AADB"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C.</w:t>
            </w:r>
          </w:p>
        </w:tc>
        <w:tc>
          <w:tcPr>
            <w:tcW w:w="0" w:type="auto"/>
            <w:gridSpan w:val="2"/>
            <w:tcBorders>
              <w:top w:val="nil"/>
              <w:left w:val="nil"/>
              <w:bottom w:val="nil"/>
              <w:right w:val="nil"/>
            </w:tcBorders>
            <w:shd w:val="clear" w:color="auto" w:fill="auto"/>
            <w:vAlign w:val="center"/>
            <w:hideMark/>
          </w:tcPr>
          <w:p w14:paraId="1E6B74BE"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Voyages en mission</w:t>
            </w:r>
          </w:p>
        </w:tc>
        <w:tc>
          <w:tcPr>
            <w:tcW w:w="0" w:type="auto"/>
            <w:tcBorders>
              <w:top w:val="nil"/>
              <w:left w:val="nil"/>
              <w:bottom w:val="nil"/>
              <w:right w:val="nil"/>
            </w:tcBorders>
            <w:shd w:val="clear" w:color="auto" w:fill="auto"/>
            <w:vAlign w:val="center"/>
            <w:hideMark/>
          </w:tcPr>
          <w:p w14:paraId="1B6A6721"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400</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5C03291D"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400</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004D2C5C"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800</w:t>
            </w:r>
            <w:r>
              <w:rPr>
                <w:color w:val="000000"/>
                <w:kern w:val="22"/>
                <w:sz w:val="17"/>
                <w:szCs w:val="17"/>
                <w:lang w:eastAsia="en-CA"/>
              </w:rPr>
              <w:t>,</w:t>
            </w:r>
            <w:r w:rsidRPr="00F41283">
              <w:rPr>
                <w:color w:val="000000"/>
                <w:kern w:val="22"/>
                <w:sz w:val="17"/>
                <w:szCs w:val="17"/>
                <w:lang w:eastAsia="en-CA"/>
              </w:rPr>
              <w:t>0</w:t>
            </w:r>
          </w:p>
        </w:tc>
      </w:tr>
      <w:tr w:rsidR="00B63B63" w:rsidRPr="00A740C0" w14:paraId="3A86CB7D"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6A4198A2"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D.</w:t>
            </w:r>
          </w:p>
        </w:tc>
        <w:tc>
          <w:tcPr>
            <w:tcW w:w="0" w:type="auto"/>
            <w:gridSpan w:val="2"/>
            <w:tcBorders>
              <w:top w:val="nil"/>
              <w:left w:val="nil"/>
              <w:bottom w:val="nil"/>
              <w:right w:val="nil"/>
            </w:tcBorders>
            <w:shd w:val="clear" w:color="auto" w:fill="auto"/>
            <w:vAlign w:val="center"/>
            <w:hideMark/>
          </w:tcPr>
          <w:p w14:paraId="718977A2" w14:textId="77777777" w:rsidR="00B63B63" w:rsidRPr="00F41283" w:rsidRDefault="00B63B63" w:rsidP="00E36C22">
            <w:pPr>
              <w:suppressLineNumbers/>
              <w:suppressAutoHyphens/>
              <w:rPr>
                <w:kern w:val="22"/>
                <w:sz w:val="17"/>
                <w:szCs w:val="17"/>
                <w:lang w:eastAsia="en-CA"/>
              </w:rPr>
            </w:pPr>
            <w:r>
              <w:rPr>
                <w:kern w:val="22"/>
                <w:sz w:val="17"/>
                <w:szCs w:val="17"/>
                <w:lang w:eastAsia="en-CA"/>
              </w:rPr>
              <w:t>Consultants/sous-traitant</w:t>
            </w:r>
            <w:r w:rsidRPr="00F41283">
              <w:rPr>
                <w:kern w:val="22"/>
                <w:sz w:val="17"/>
                <w:szCs w:val="17"/>
                <w:lang w:eastAsia="en-CA"/>
              </w:rPr>
              <w:t>s</w:t>
            </w:r>
          </w:p>
        </w:tc>
        <w:tc>
          <w:tcPr>
            <w:tcW w:w="0" w:type="auto"/>
            <w:tcBorders>
              <w:top w:val="nil"/>
              <w:left w:val="nil"/>
              <w:bottom w:val="nil"/>
              <w:right w:val="nil"/>
            </w:tcBorders>
            <w:shd w:val="clear" w:color="auto" w:fill="auto"/>
            <w:vAlign w:val="center"/>
            <w:hideMark/>
          </w:tcPr>
          <w:p w14:paraId="41BF7A90"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50</w:t>
            </w:r>
            <w:r>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14:paraId="69CDB1C3"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50</w:t>
            </w:r>
            <w:r>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14:paraId="132982AC"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100</w:t>
            </w:r>
            <w:r>
              <w:rPr>
                <w:color w:val="000000"/>
                <w:kern w:val="22"/>
                <w:sz w:val="17"/>
                <w:szCs w:val="17"/>
                <w:lang w:eastAsia="en-CA"/>
              </w:rPr>
              <w:t>,</w:t>
            </w:r>
            <w:r w:rsidRPr="00F41283">
              <w:rPr>
                <w:color w:val="000000"/>
                <w:kern w:val="22"/>
                <w:sz w:val="17"/>
                <w:szCs w:val="17"/>
                <w:lang w:eastAsia="en-CA"/>
              </w:rPr>
              <w:t>0</w:t>
            </w:r>
          </w:p>
        </w:tc>
      </w:tr>
      <w:tr w:rsidR="00B63B63" w:rsidRPr="00A740C0" w14:paraId="53742BC5"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60394D6E"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E.</w:t>
            </w:r>
          </w:p>
        </w:tc>
        <w:tc>
          <w:tcPr>
            <w:tcW w:w="0" w:type="auto"/>
            <w:gridSpan w:val="2"/>
            <w:tcBorders>
              <w:top w:val="nil"/>
              <w:left w:val="nil"/>
              <w:bottom w:val="nil"/>
              <w:right w:val="nil"/>
            </w:tcBorders>
            <w:shd w:val="clear" w:color="auto" w:fill="auto"/>
            <w:vAlign w:val="center"/>
            <w:hideMark/>
          </w:tcPr>
          <w:p w14:paraId="115C58B2" w14:textId="77777777" w:rsidR="00B63B63" w:rsidRPr="00044264" w:rsidRDefault="00B63B63" w:rsidP="00E36C22">
            <w:pPr>
              <w:suppressLineNumbers/>
              <w:suppressAutoHyphens/>
              <w:rPr>
                <w:kern w:val="22"/>
                <w:sz w:val="17"/>
                <w:szCs w:val="17"/>
                <w:lang w:eastAsia="en-CA"/>
              </w:rPr>
            </w:pPr>
            <w:r w:rsidRPr="00044264">
              <w:rPr>
                <w:kern w:val="22"/>
                <w:sz w:val="17"/>
                <w:szCs w:val="17"/>
                <w:lang w:eastAsia="en-CA"/>
              </w:rPr>
              <w:t>Matériel de sensibilisation du public/communications</w:t>
            </w:r>
          </w:p>
        </w:tc>
        <w:tc>
          <w:tcPr>
            <w:tcW w:w="0" w:type="auto"/>
            <w:tcBorders>
              <w:top w:val="nil"/>
              <w:left w:val="nil"/>
              <w:bottom w:val="nil"/>
              <w:right w:val="nil"/>
            </w:tcBorders>
            <w:shd w:val="clear" w:color="auto" w:fill="auto"/>
            <w:vAlign w:val="center"/>
            <w:hideMark/>
          </w:tcPr>
          <w:p w14:paraId="1EC34F13"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50</w:t>
            </w:r>
            <w:r>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14:paraId="45BD5E66"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50</w:t>
            </w:r>
            <w:r>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14:paraId="0CDB485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100</w:t>
            </w:r>
            <w:r>
              <w:rPr>
                <w:color w:val="000000"/>
                <w:kern w:val="22"/>
                <w:sz w:val="17"/>
                <w:szCs w:val="17"/>
                <w:lang w:eastAsia="en-CA"/>
              </w:rPr>
              <w:t>,</w:t>
            </w:r>
            <w:r w:rsidRPr="00F41283">
              <w:rPr>
                <w:color w:val="000000"/>
                <w:kern w:val="22"/>
                <w:sz w:val="17"/>
                <w:szCs w:val="17"/>
                <w:lang w:eastAsia="en-CA"/>
              </w:rPr>
              <w:t>0</w:t>
            </w:r>
          </w:p>
        </w:tc>
      </w:tr>
      <w:tr w:rsidR="00B63B63" w:rsidRPr="00A740C0" w14:paraId="257E18BB"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2ABFF471"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F.</w:t>
            </w:r>
          </w:p>
        </w:tc>
        <w:tc>
          <w:tcPr>
            <w:tcW w:w="0" w:type="auto"/>
            <w:gridSpan w:val="2"/>
            <w:tcBorders>
              <w:top w:val="nil"/>
              <w:left w:val="nil"/>
              <w:bottom w:val="nil"/>
              <w:right w:val="nil"/>
            </w:tcBorders>
            <w:shd w:val="clear" w:color="auto" w:fill="auto"/>
            <w:vAlign w:val="center"/>
            <w:hideMark/>
          </w:tcPr>
          <w:p w14:paraId="21115EA8"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A</w:t>
            </w:r>
            <w:r w:rsidRPr="00F41283">
              <w:rPr>
                <w:color w:val="000000"/>
                <w:kern w:val="22"/>
                <w:sz w:val="17"/>
                <w:szCs w:val="17"/>
                <w:lang w:eastAsia="en-CA"/>
              </w:rPr>
              <w:t>ssistance</w:t>
            </w:r>
            <w:r>
              <w:rPr>
                <w:color w:val="000000"/>
                <w:kern w:val="22"/>
                <w:sz w:val="17"/>
                <w:szCs w:val="17"/>
                <w:lang w:eastAsia="en-CA"/>
              </w:rPr>
              <w:t xml:space="preserve"> temporaire</w:t>
            </w:r>
            <w:r w:rsidRPr="00F41283">
              <w:rPr>
                <w:color w:val="000000"/>
                <w:kern w:val="22"/>
                <w:sz w:val="17"/>
                <w:szCs w:val="17"/>
                <w:lang w:eastAsia="en-CA"/>
              </w:rPr>
              <w:t>/</w:t>
            </w:r>
            <w:r>
              <w:rPr>
                <w:color w:val="000000"/>
                <w:kern w:val="22"/>
                <w:sz w:val="17"/>
                <w:szCs w:val="17"/>
                <w:lang w:eastAsia="en-CA"/>
              </w:rPr>
              <w:t>heures supplémentaires</w:t>
            </w:r>
          </w:p>
        </w:tc>
        <w:tc>
          <w:tcPr>
            <w:tcW w:w="0" w:type="auto"/>
            <w:tcBorders>
              <w:top w:val="nil"/>
              <w:left w:val="nil"/>
              <w:bottom w:val="nil"/>
              <w:right w:val="nil"/>
            </w:tcBorders>
            <w:shd w:val="clear" w:color="auto" w:fill="auto"/>
            <w:vAlign w:val="center"/>
            <w:hideMark/>
          </w:tcPr>
          <w:p w14:paraId="32691113"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100</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03C0C8AB"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100</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15DEF588"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200</w:t>
            </w:r>
            <w:r>
              <w:rPr>
                <w:color w:val="000000"/>
                <w:kern w:val="22"/>
                <w:sz w:val="17"/>
                <w:szCs w:val="17"/>
                <w:lang w:eastAsia="en-CA"/>
              </w:rPr>
              <w:t>,</w:t>
            </w:r>
            <w:r w:rsidRPr="00F41283">
              <w:rPr>
                <w:color w:val="000000"/>
                <w:kern w:val="22"/>
                <w:sz w:val="17"/>
                <w:szCs w:val="17"/>
                <w:lang w:eastAsia="en-CA"/>
              </w:rPr>
              <w:t>0</w:t>
            </w:r>
          </w:p>
        </w:tc>
      </w:tr>
      <w:tr w:rsidR="00B63B63" w:rsidRPr="00A740C0" w14:paraId="73FC0B47"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71878BDB"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G.</w:t>
            </w:r>
          </w:p>
        </w:tc>
        <w:tc>
          <w:tcPr>
            <w:tcW w:w="0" w:type="auto"/>
            <w:gridSpan w:val="2"/>
            <w:tcBorders>
              <w:top w:val="nil"/>
              <w:left w:val="nil"/>
              <w:bottom w:val="nil"/>
              <w:right w:val="nil"/>
            </w:tcBorders>
            <w:shd w:val="clear" w:color="auto" w:fill="auto"/>
            <w:vAlign w:val="center"/>
            <w:hideMark/>
          </w:tcPr>
          <w:p w14:paraId="780D4D29"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Formation</w:t>
            </w:r>
          </w:p>
        </w:tc>
        <w:tc>
          <w:tcPr>
            <w:tcW w:w="0" w:type="auto"/>
            <w:tcBorders>
              <w:top w:val="nil"/>
              <w:left w:val="nil"/>
              <w:bottom w:val="nil"/>
              <w:right w:val="nil"/>
            </w:tcBorders>
            <w:shd w:val="clear" w:color="auto" w:fill="auto"/>
            <w:vAlign w:val="center"/>
            <w:hideMark/>
          </w:tcPr>
          <w:p w14:paraId="315620CC"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5</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5034F22C"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5</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1A3B6771"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10</w:t>
            </w:r>
            <w:r>
              <w:rPr>
                <w:color w:val="000000"/>
                <w:kern w:val="22"/>
                <w:sz w:val="17"/>
                <w:szCs w:val="17"/>
                <w:lang w:eastAsia="en-CA"/>
              </w:rPr>
              <w:t>,</w:t>
            </w:r>
            <w:r w:rsidRPr="00F41283">
              <w:rPr>
                <w:color w:val="000000"/>
                <w:kern w:val="22"/>
                <w:sz w:val="17"/>
                <w:szCs w:val="17"/>
                <w:lang w:eastAsia="en-CA"/>
              </w:rPr>
              <w:t>0</w:t>
            </w:r>
          </w:p>
        </w:tc>
      </w:tr>
      <w:tr w:rsidR="00B63B63" w:rsidRPr="00A740C0" w14:paraId="792285CB"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27498999"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H.</w:t>
            </w:r>
          </w:p>
        </w:tc>
        <w:tc>
          <w:tcPr>
            <w:tcW w:w="0" w:type="auto"/>
            <w:gridSpan w:val="2"/>
            <w:tcBorders>
              <w:top w:val="nil"/>
              <w:left w:val="nil"/>
              <w:bottom w:val="nil"/>
              <w:right w:val="nil"/>
            </w:tcBorders>
            <w:shd w:val="clear" w:color="auto" w:fill="auto"/>
            <w:vAlign w:val="center"/>
            <w:hideMark/>
          </w:tcPr>
          <w:p w14:paraId="4B306E26" w14:textId="77777777" w:rsidR="00B63B63" w:rsidRPr="00044264" w:rsidRDefault="00B63B63" w:rsidP="00E36C22">
            <w:pPr>
              <w:suppressLineNumbers/>
              <w:suppressAutoHyphens/>
              <w:rPr>
                <w:color w:val="000000"/>
                <w:kern w:val="22"/>
                <w:sz w:val="17"/>
                <w:szCs w:val="17"/>
                <w:lang w:eastAsia="en-CA"/>
              </w:rPr>
            </w:pPr>
            <w:r>
              <w:rPr>
                <w:color w:val="000000"/>
                <w:kern w:val="22"/>
                <w:sz w:val="17"/>
                <w:szCs w:val="17"/>
                <w:lang w:eastAsia="en-CA"/>
              </w:rPr>
              <w:t>Traduction du s</w:t>
            </w:r>
            <w:r w:rsidRPr="00044264">
              <w:rPr>
                <w:color w:val="000000"/>
                <w:kern w:val="22"/>
                <w:sz w:val="17"/>
                <w:szCs w:val="17"/>
                <w:lang w:eastAsia="en-CA"/>
              </w:rPr>
              <w:t>ite Internet du Centre d’</w:t>
            </w:r>
            <w:r>
              <w:rPr>
                <w:color w:val="000000"/>
                <w:kern w:val="22"/>
                <w:sz w:val="17"/>
                <w:szCs w:val="17"/>
                <w:lang w:eastAsia="en-CA"/>
              </w:rPr>
              <w:t>échange/projet</w:t>
            </w:r>
            <w:r w:rsidRPr="00044264">
              <w:rPr>
                <w:color w:val="000000"/>
                <w:kern w:val="22"/>
                <w:sz w:val="17"/>
                <w:szCs w:val="17"/>
                <w:lang w:eastAsia="en-CA"/>
              </w:rPr>
              <w:t>s</w:t>
            </w:r>
            <w:r>
              <w:rPr>
                <w:color w:val="000000"/>
                <w:kern w:val="22"/>
                <w:sz w:val="17"/>
                <w:szCs w:val="17"/>
                <w:lang w:eastAsia="en-CA"/>
              </w:rPr>
              <w:t xml:space="preserve"> du site Internet</w:t>
            </w:r>
          </w:p>
        </w:tc>
        <w:tc>
          <w:tcPr>
            <w:tcW w:w="0" w:type="auto"/>
            <w:tcBorders>
              <w:top w:val="nil"/>
              <w:left w:val="nil"/>
              <w:bottom w:val="nil"/>
              <w:right w:val="nil"/>
            </w:tcBorders>
            <w:shd w:val="clear" w:color="auto" w:fill="auto"/>
            <w:vAlign w:val="center"/>
            <w:hideMark/>
          </w:tcPr>
          <w:p w14:paraId="1BFE9128"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65</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10136DD9"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65</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5469C7CA"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130</w:t>
            </w:r>
            <w:r>
              <w:rPr>
                <w:color w:val="000000"/>
                <w:kern w:val="22"/>
                <w:sz w:val="17"/>
                <w:szCs w:val="17"/>
                <w:lang w:eastAsia="en-CA"/>
              </w:rPr>
              <w:t>,</w:t>
            </w:r>
            <w:r w:rsidRPr="00F41283">
              <w:rPr>
                <w:color w:val="000000"/>
                <w:kern w:val="22"/>
                <w:sz w:val="17"/>
                <w:szCs w:val="17"/>
                <w:lang w:eastAsia="en-CA"/>
              </w:rPr>
              <w:t>0</w:t>
            </w:r>
          </w:p>
        </w:tc>
      </w:tr>
      <w:tr w:rsidR="00B63B63" w:rsidRPr="00A740C0" w14:paraId="0D309F65"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3C73AECA"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I.</w:t>
            </w:r>
          </w:p>
        </w:tc>
        <w:tc>
          <w:tcPr>
            <w:tcW w:w="0" w:type="auto"/>
            <w:gridSpan w:val="2"/>
            <w:tcBorders>
              <w:top w:val="nil"/>
              <w:left w:val="nil"/>
              <w:bottom w:val="nil"/>
              <w:right w:val="nil"/>
            </w:tcBorders>
            <w:shd w:val="clear" w:color="auto" w:fill="auto"/>
            <w:vAlign w:val="center"/>
            <w:hideMark/>
          </w:tcPr>
          <w:p w14:paraId="3D05408B"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Réunion</w:t>
            </w:r>
            <w:r w:rsidRPr="00F41283">
              <w:rPr>
                <w:color w:val="000000"/>
                <w:kern w:val="22"/>
                <w:sz w:val="17"/>
                <w:szCs w:val="17"/>
                <w:lang w:eastAsia="en-CA"/>
              </w:rPr>
              <w:t>s</w:t>
            </w:r>
            <w:r w:rsidRPr="00F41283">
              <w:rPr>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14:paraId="0D89E114"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569</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7D8C61CD"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119</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0D90F5C1"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688</w:t>
            </w:r>
            <w:r>
              <w:rPr>
                <w:color w:val="000000"/>
                <w:kern w:val="22"/>
                <w:sz w:val="17"/>
                <w:szCs w:val="17"/>
                <w:lang w:eastAsia="en-CA"/>
              </w:rPr>
              <w:t>,</w:t>
            </w:r>
            <w:r w:rsidRPr="00F41283">
              <w:rPr>
                <w:color w:val="000000"/>
                <w:kern w:val="22"/>
                <w:sz w:val="17"/>
                <w:szCs w:val="17"/>
                <w:lang w:eastAsia="en-CA"/>
              </w:rPr>
              <w:t>0</w:t>
            </w:r>
          </w:p>
        </w:tc>
      </w:tr>
      <w:tr w:rsidR="00B63B63" w:rsidRPr="00A740C0" w14:paraId="09346486"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1D5F9499"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J.</w:t>
            </w:r>
          </w:p>
        </w:tc>
        <w:tc>
          <w:tcPr>
            <w:tcW w:w="0" w:type="auto"/>
            <w:gridSpan w:val="2"/>
            <w:tcBorders>
              <w:top w:val="nil"/>
              <w:left w:val="nil"/>
              <w:bottom w:val="nil"/>
              <w:right w:val="nil"/>
            </w:tcBorders>
            <w:shd w:val="clear" w:color="auto" w:fill="auto"/>
            <w:vAlign w:val="center"/>
            <w:hideMark/>
          </w:tcPr>
          <w:p w14:paraId="76D4802E"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Réunions d’expert</w:t>
            </w:r>
            <w:r w:rsidRPr="00F41283">
              <w:rPr>
                <w:color w:val="000000"/>
                <w:kern w:val="22"/>
                <w:sz w:val="17"/>
                <w:szCs w:val="17"/>
                <w:lang w:eastAsia="en-CA"/>
              </w:rPr>
              <w:t>s</w:t>
            </w:r>
          </w:p>
        </w:tc>
        <w:tc>
          <w:tcPr>
            <w:tcW w:w="0" w:type="auto"/>
            <w:tcBorders>
              <w:top w:val="nil"/>
              <w:left w:val="nil"/>
              <w:bottom w:val="nil"/>
              <w:right w:val="nil"/>
            </w:tcBorders>
            <w:shd w:val="clear" w:color="auto" w:fill="auto"/>
            <w:vAlign w:val="center"/>
            <w:hideMark/>
          </w:tcPr>
          <w:p w14:paraId="5146534E"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170</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11F6B513"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150</w:t>
            </w:r>
            <w:r>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14:paraId="408D564B"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320</w:t>
            </w:r>
            <w:r>
              <w:rPr>
                <w:color w:val="000000"/>
                <w:kern w:val="22"/>
                <w:sz w:val="17"/>
                <w:szCs w:val="17"/>
                <w:lang w:eastAsia="en-CA"/>
              </w:rPr>
              <w:t>,</w:t>
            </w:r>
            <w:r w:rsidRPr="00F41283">
              <w:rPr>
                <w:color w:val="000000"/>
                <w:kern w:val="22"/>
                <w:sz w:val="17"/>
                <w:szCs w:val="17"/>
                <w:lang w:eastAsia="en-CA"/>
              </w:rPr>
              <w:t>0</w:t>
            </w:r>
          </w:p>
        </w:tc>
      </w:tr>
      <w:tr w:rsidR="00B63B63" w:rsidRPr="00A740C0" w14:paraId="5E31D736"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3A012406"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K.</w:t>
            </w:r>
          </w:p>
        </w:tc>
        <w:tc>
          <w:tcPr>
            <w:tcW w:w="0" w:type="auto"/>
            <w:gridSpan w:val="2"/>
            <w:tcBorders>
              <w:top w:val="nil"/>
              <w:left w:val="nil"/>
              <w:bottom w:val="nil"/>
              <w:right w:val="nil"/>
            </w:tcBorders>
            <w:shd w:val="clear" w:color="auto" w:fill="auto"/>
            <w:vAlign w:val="center"/>
            <w:hideMark/>
          </w:tcPr>
          <w:p w14:paraId="58CFCE9F" w14:textId="77777777" w:rsidR="00B63B63" w:rsidRPr="00044264" w:rsidRDefault="00B63B63" w:rsidP="00E36C22">
            <w:pPr>
              <w:suppressLineNumbers/>
              <w:suppressAutoHyphens/>
              <w:rPr>
                <w:color w:val="000000"/>
                <w:kern w:val="22"/>
                <w:sz w:val="17"/>
                <w:szCs w:val="17"/>
                <w:lang w:eastAsia="en-CA"/>
              </w:rPr>
            </w:pPr>
            <w:r w:rsidRPr="00044264">
              <w:rPr>
                <w:color w:val="000000"/>
                <w:kern w:val="22"/>
                <w:sz w:val="17"/>
                <w:szCs w:val="17"/>
                <w:lang w:eastAsia="en-CA"/>
              </w:rPr>
              <w:t>Réunions e</w:t>
            </w:r>
            <w:r>
              <w:rPr>
                <w:color w:val="000000"/>
                <w:kern w:val="22"/>
                <w:sz w:val="17"/>
                <w:szCs w:val="17"/>
                <w:lang w:eastAsia="en-CA"/>
              </w:rPr>
              <w:t>xtraordinaires concernant l’</w:t>
            </w:r>
            <w:r w:rsidRPr="00044264">
              <w:rPr>
                <w:color w:val="000000"/>
                <w:kern w:val="22"/>
                <w:sz w:val="17"/>
                <w:szCs w:val="17"/>
                <w:lang w:eastAsia="en-CA"/>
              </w:rPr>
              <w:t>après-2020</w:t>
            </w:r>
            <w:r w:rsidRPr="00044264">
              <w:rPr>
                <w:color w:val="000000"/>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37369ECD"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750</w:t>
            </w:r>
            <w:r>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14:paraId="4576EDAC"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560</w:t>
            </w:r>
            <w:r>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14:paraId="7E88B918"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310</w:t>
            </w:r>
            <w:r>
              <w:rPr>
                <w:color w:val="000000"/>
                <w:kern w:val="22"/>
                <w:sz w:val="17"/>
                <w:szCs w:val="17"/>
                <w:lang w:eastAsia="en-CA"/>
              </w:rPr>
              <w:t>,</w:t>
            </w:r>
            <w:r w:rsidRPr="00F41283">
              <w:rPr>
                <w:color w:val="000000"/>
                <w:kern w:val="22"/>
                <w:sz w:val="17"/>
                <w:szCs w:val="17"/>
                <w:lang w:eastAsia="en-CA"/>
              </w:rPr>
              <w:t>0</w:t>
            </w:r>
          </w:p>
        </w:tc>
      </w:tr>
      <w:tr w:rsidR="00B63B63" w:rsidRPr="00A740C0" w14:paraId="480F3A5A"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391A1872"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L.</w:t>
            </w:r>
          </w:p>
        </w:tc>
        <w:tc>
          <w:tcPr>
            <w:tcW w:w="0" w:type="auto"/>
            <w:gridSpan w:val="2"/>
            <w:tcBorders>
              <w:top w:val="nil"/>
              <w:left w:val="nil"/>
              <w:bottom w:val="nil"/>
              <w:right w:val="nil"/>
            </w:tcBorders>
            <w:shd w:val="clear" w:color="auto" w:fill="auto"/>
            <w:vAlign w:val="center"/>
            <w:hideMark/>
          </w:tcPr>
          <w:p w14:paraId="3928A17C"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Loyer et dépenses connexes</w:t>
            </w:r>
            <w:r w:rsidRPr="00F41283">
              <w:rPr>
                <w:color w:val="000000"/>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66C7E43E"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229</w:t>
            </w:r>
            <w:r>
              <w:rPr>
                <w:color w:val="000000"/>
                <w:kern w:val="22"/>
                <w:sz w:val="17"/>
                <w:szCs w:val="17"/>
                <w:lang w:eastAsia="en-CA"/>
              </w:rPr>
              <w:t>,</w:t>
            </w:r>
            <w:r w:rsidRPr="00F41283">
              <w:rPr>
                <w:color w:val="000000"/>
                <w:kern w:val="22"/>
                <w:sz w:val="17"/>
                <w:szCs w:val="17"/>
                <w:lang w:eastAsia="en-CA"/>
              </w:rPr>
              <w:t>5</w:t>
            </w:r>
          </w:p>
        </w:tc>
        <w:tc>
          <w:tcPr>
            <w:tcW w:w="0" w:type="auto"/>
            <w:tcBorders>
              <w:top w:val="nil"/>
              <w:left w:val="nil"/>
              <w:bottom w:val="nil"/>
              <w:right w:val="nil"/>
            </w:tcBorders>
            <w:shd w:val="clear" w:color="auto" w:fill="auto"/>
            <w:vAlign w:val="center"/>
            <w:hideMark/>
          </w:tcPr>
          <w:p w14:paraId="1D8C0255"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423</w:t>
            </w:r>
            <w:r>
              <w:rPr>
                <w:color w:val="000000"/>
                <w:kern w:val="22"/>
                <w:sz w:val="17"/>
                <w:szCs w:val="17"/>
                <w:lang w:eastAsia="en-CA"/>
              </w:rPr>
              <w:t>,</w:t>
            </w:r>
            <w:r w:rsidRPr="00F41283">
              <w:rPr>
                <w:color w:val="000000"/>
                <w:kern w:val="22"/>
                <w:sz w:val="17"/>
                <w:szCs w:val="17"/>
                <w:lang w:eastAsia="en-CA"/>
              </w:rPr>
              <w:t>4</w:t>
            </w:r>
          </w:p>
        </w:tc>
        <w:tc>
          <w:tcPr>
            <w:tcW w:w="0" w:type="auto"/>
            <w:tcBorders>
              <w:top w:val="nil"/>
              <w:left w:val="nil"/>
              <w:bottom w:val="nil"/>
              <w:right w:val="nil"/>
            </w:tcBorders>
            <w:shd w:val="clear" w:color="auto" w:fill="auto"/>
            <w:vAlign w:val="center"/>
            <w:hideMark/>
          </w:tcPr>
          <w:p w14:paraId="1F422842"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652</w:t>
            </w:r>
            <w:r>
              <w:rPr>
                <w:color w:val="000000"/>
                <w:kern w:val="22"/>
                <w:sz w:val="17"/>
                <w:szCs w:val="17"/>
                <w:lang w:eastAsia="en-CA"/>
              </w:rPr>
              <w:t>,</w:t>
            </w:r>
            <w:r w:rsidRPr="00F41283">
              <w:rPr>
                <w:color w:val="000000"/>
                <w:kern w:val="22"/>
                <w:sz w:val="17"/>
                <w:szCs w:val="17"/>
                <w:lang w:eastAsia="en-CA"/>
              </w:rPr>
              <w:t>9</w:t>
            </w:r>
          </w:p>
        </w:tc>
      </w:tr>
      <w:tr w:rsidR="00B63B63" w:rsidRPr="00A740C0" w14:paraId="4E7F3BEA"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0B3E6863"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M.</w:t>
            </w:r>
          </w:p>
        </w:tc>
        <w:tc>
          <w:tcPr>
            <w:tcW w:w="0" w:type="auto"/>
            <w:gridSpan w:val="2"/>
            <w:tcBorders>
              <w:top w:val="nil"/>
              <w:left w:val="nil"/>
              <w:bottom w:val="single" w:sz="4" w:space="0" w:color="auto"/>
              <w:right w:val="nil"/>
            </w:tcBorders>
            <w:shd w:val="clear" w:color="auto" w:fill="auto"/>
            <w:vAlign w:val="center"/>
            <w:hideMark/>
          </w:tcPr>
          <w:p w14:paraId="743761B2" w14:textId="77777777" w:rsidR="00B63B63" w:rsidRPr="00F41283" w:rsidRDefault="00B63B63" w:rsidP="00E36C22">
            <w:pPr>
              <w:suppressLineNumbers/>
              <w:suppressAutoHyphens/>
              <w:rPr>
                <w:color w:val="000000"/>
                <w:kern w:val="22"/>
                <w:sz w:val="17"/>
                <w:szCs w:val="17"/>
                <w:lang w:eastAsia="en-CA"/>
              </w:rPr>
            </w:pPr>
            <w:r>
              <w:rPr>
                <w:color w:val="000000"/>
                <w:kern w:val="22"/>
                <w:sz w:val="17"/>
                <w:szCs w:val="17"/>
                <w:lang w:eastAsia="en-CA"/>
              </w:rPr>
              <w:t>Dépenses générales d’exploitation</w:t>
            </w:r>
          </w:p>
        </w:tc>
        <w:tc>
          <w:tcPr>
            <w:tcW w:w="0" w:type="auto"/>
            <w:tcBorders>
              <w:top w:val="nil"/>
              <w:left w:val="nil"/>
              <w:bottom w:val="nil"/>
              <w:right w:val="nil"/>
            </w:tcBorders>
            <w:shd w:val="clear" w:color="auto" w:fill="auto"/>
            <w:vAlign w:val="center"/>
            <w:hideMark/>
          </w:tcPr>
          <w:p w14:paraId="0BABF1AA"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726</w:t>
            </w:r>
            <w:r>
              <w:rPr>
                <w:color w:val="000000"/>
                <w:kern w:val="22"/>
                <w:sz w:val="17"/>
                <w:szCs w:val="17"/>
                <w:lang w:eastAsia="en-CA"/>
              </w:rPr>
              <w:t>,</w:t>
            </w:r>
            <w:r w:rsidRPr="00F41283">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14:paraId="5E62ADF2"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726</w:t>
            </w:r>
            <w:r>
              <w:rPr>
                <w:color w:val="000000"/>
                <w:kern w:val="22"/>
                <w:sz w:val="17"/>
                <w:szCs w:val="17"/>
                <w:lang w:eastAsia="en-CA"/>
              </w:rPr>
              <w:t>,</w:t>
            </w:r>
            <w:r w:rsidRPr="00F41283">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14:paraId="0AB7F6AF" w14:textId="77777777" w:rsidR="00B63B63" w:rsidRPr="00F41283" w:rsidRDefault="00B63B63" w:rsidP="00E36C22">
            <w:pPr>
              <w:suppressLineNumbers/>
              <w:suppressAutoHyphens/>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453</w:t>
            </w:r>
            <w:r>
              <w:rPr>
                <w:color w:val="000000"/>
                <w:kern w:val="22"/>
                <w:sz w:val="17"/>
                <w:szCs w:val="17"/>
                <w:lang w:eastAsia="en-CA"/>
              </w:rPr>
              <w:t>,</w:t>
            </w:r>
            <w:r w:rsidRPr="00F41283">
              <w:rPr>
                <w:color w:val="000000"/>
                <w:kern w:val="22"/>
                <w:sz w:val="17"/>
                <w:szCs w:val="17"/>
                <w:lang w:eastAsia="en-CA"/>
              </w:rPr>
              <w:t>2</w:t>
            </w:r>
          </w:p>
        </w:tc>
      </w:tr>
      <w:tr w:rsidR="00B63B63" w:rsidRPr="00A740C0" w14:paraId="3D0E49C0"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022A5D86" w14:textId="77777777" w:rsidR="00B63B63" w:rsidRPr="00F41283" w:rsidRDefault="00B63B63" w:rsidP="00E36C22">
            <w:pPr>
              <w:suppressLineNumbers/>
              <w:suppressAutoHyphens/>
              <w:jc w:val="right"/>
              <w:rPr>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2E52852B" w14:textId="77777777" w:rsidR="00B63B63" w:rsidRPr="00F41283" w:rsidRDefault="00B63B63" w:rsidP="00E36C22">
            <w:pPr>
              <w:suppressLineNumbers/>
              <w:suppressAutoHyphens/>
              <w:rPr>
                <w:b/>
                <w:bCs/>
                <w:kern w:val="22"/>
                <w:sz w:val="17"/>
                <w:szCs w:val="17"/>
                <w:lang w:eastAsia="en-CA"/>
              </w:rPr>
            </w:pPr>
            <w:r>
              <w:rPr>
                <w:b/>
                <w:bCs/>
                <w:kern w:val="22"/>
                <w:sz w:val="17"/>
                <w:szCs w:val="17"/>
                <w:lang w:eastAsia="en-CA"/>
              </w:rPr>
              <w:t>Sous</w:t>
            </w:r>
            <w:r w:rsidRPr="00F41283">
              <w:rPr>
                <w:b/>
                <w:bCs/>
                <w:kern w:val="22"/>
                <w:sz w:val="17"/>
                <w:szCs w:val="17"/>
                <w:lang w:eastAsia="en-CA"/>
              </w:rPr>
              <w:t>-total (I)</w:t>
            </w:r>
          </w:p>
        </w:tc>
        <w:tc>
          <w:tcPr>
            <w:tcW w:w="0" w:type="auto"/>
            <w:tcBorders>
              <w:top w:val="single" w:sz="4" w:space="0" w:color="auto"/>
              <w:left w:val="nil"/>
              <w:bottom w:val="single" w:sz="4" w:space="0" w:color="auto"/>
              <w:right w:val="nil"/>
            </w:tcBorders>
            <w:shd w:val="clear" w:color="auto" w:fill="auto"/>
            <w:vAlign w:val="center"/>
            <w:hideMark/>
          </w:tcPr>
          <w:p w14:paraId="2ECB91E6"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16</w:t>
            </w:r>
            <w:r>
              <w:rPr>
                <w:b/>
                <w:bCs/>
                <w:kern w:val="22"/>
                <w:sz w:val="17"/>
                <w:szCs w:val="17"/>
                <w:lang w:eastAsia="en-CA"/>
              </w:rPr>
              <w:t xml:space="preserve"> </w:t>
            </w:r>
            <w:r w:rsidRPr="00F41283">
              <w:rPr>
                <w:b/>
                <w:bCs/>
                <w:kern w:val="22"/>
                <w:sz w:val="17"/>
                <w:szCs w:val="17"/>
                <w:lang w:eastAsia="en-CA"/>
              </w:rPr>
              <w:t>719</w:t>
            </w:r>
            <w:r>
              <w:rPr>
                <w:b/>
                <w:bCs/>
                <w:kern w:val="22"/>
                <w:sz w:val="17"/>
                <w:szCs w:val="17"/>
                <w:lang w:eastAsia="en-CA"/>
              </w:rPr>
              <w:t>,</w:t>
            </w:r>
            <w:r w:rsidRPr="00F41283">
              <w:rPr>
                <w:b/>
                <w:bCs/>
                <w:kern w:val="22"/>
                <w:sz w:val="17"/>
                <w:szCs w:val="17"/>
                <w:lang w:eastAsia="en-CA"/>
              </w:rPr>
              <w:t>0</w:t>
            </w:r>
          </w:p>
        </w:tc>
        <w:tc>
          <w:tcPr>
            <w:tcW w:w="0" w:type="auto"/>
            <w:tcBorders>
              <w:top w:val="single" w:sz="4" w:space="0" w:color="auto"/>
              <w:left w:val="nil"/>
              <w:bottom w:val="single" w:sz="4" w:space="0" w:color="auto"/>
              <w:right w:val="nil"/>
            </w:tcBorders>
            <w:shd w:val="clear" w:color="auto" w:fill="auto"/>
            <w:vAlign w:val="center"/>
            <w:hideMark/>
          </w:tcPr>
          <w:p w14:paraId="52A8F5C7"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17</w:t>
            </w:r>
            <w:r>
              <w:rPr>
                <w:b/>
                <w:bCs/>
                <w:kern w:val="22"/>
                <w:sz w:val="17"/>
                <w:szCs w:val="17"/>
                <w:lang w:eastAsia="en-CA"/>
              </w:rPr>
              <w:t xml:space="preserve"> </w:t>
            </w:r>
            <w:r w:rsidRPr="00F41283">
              <w:rPr>
                <w:b/>
                <w:bCs/>
                <w:kern w:val="22"/>
                <w:sz w:val="17"/>
                <w:szCs w:val="17"/>
                <w:lang w:eastAsia="en-CA"/>
              </w:rPr>
              <w:t>490</w:t>
            </w:r>
            <w:r>
              <w:rPr>
                <w:b/>
                <w:bCs/>
                <w:kern w:val="22"/>
                <w:sz w:val="17"/>
                <w:szCs w:val="17"/>
                <w:lang w:eastAsia="en-CA"/>
              </w:rPr>
              <w:t>,</w:t>
            </w:r>
            <w:r w:rsidRPr="00F41283">
              <w:rPr>
                <w:b/>
                <w:bCs/>
                <w:kern w:val="22"/>
                <w:sz w:val="17"/>
                <w:szCs w:val="17"/>
                <w:lang w:eastAsia="en-CA"/>
              </w:rPr>
              <w:t>6</w:t>
            </w:r>
          </w:p>
        </w:tc>
        <w:tc>
          <w:tcPr>
            <w:tcW w:w="0" w:type="auto"/>
            <w:tcBorders>
              <w:top w:val="single" w:sz="4" w:space="0" w:color="auto"/>
              <w:left w:val="nil"/>
              <w:bottom w:val="single" w:sz="4" w:space="0" w:color="auto"/>
              <w:right w:val="nil"/>
            </w:tcBorders>
            <w:shd w:val="clear" w:color="auto" w:fill="auto"/>
            <w:vAlign w:val="center"/>
            <w:hideMark/>
          </w:tcPr>
          <w:p w14:paraId="36E9A93D"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34</w:t>
            </w:r>
            <w:r>
              <w:rPr>
                <w:b/>
                <w:bCs/>
                <w:kern w:val="22"/>
                <w:sz w:val="17"/>
                <w:szCs w:val="17"/>
                <w:lang w:eastAsia="en-CA"/>
              </w:rPr>
              <w:t xml:space="preserve"> </w:t>
            </w:r>
            <w:r w:rsidRPr="00F41283">
              <w:rPr>
                <w:b/>
                <w:bCs/>
                <w:kern w:val="22"/>
                <w:sz w:val="17"/>
                <w:szCs w:val="17"/>
                <w:lang w:eastAsia="en-CA"/>
              </w:rPr>
              <w:t>209</w:t>
            </w:r>
            <w:r>
              <w:rPr>
                <w:b/>
                <w:bCs/>
                <w:kern w:val="22"/>
                <w:sz w:val="17"/>
                <w:szCs w:val="17"/>
                <w:lang w:eastAsia="en-CA"/>
              </w:rPr>
              <w:t>,</w:t>
            </w:r>
            <w:r w:rsidRPr="00F41283">
              <w:rPr>
                <w:b/>
                <w:bCs/>
                <w:kern w:val="22"/>
                <w:sz w:val="17"/>
                <w:szCs w:val="17"/>
                <w:lang w:eastAsia="en-CA"/>
              </w:rPr>
              <w:t>6</w:t>
            </w:r>
          </w:p>
        </w:tc>
      </w:tr>
      <w:tr w:rsidR="00B63B63" w:rsidRPr="00A740C0" w14:paraId="3B59BF32"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68301441"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II</w:t>
            </w:r>
          </w:p>
        </w:tc>
        <w:tc>
          <w:tcPr>
            <w:tcW w:w="0" w:type="auto"/>
            <w:gridSpan w:val="2"/>
            <w:tcBorders>
              <w:top w:val="single" w:sz="4" w:space="0" w:color="auto"/>
              <w:left w:val="nil"/>
              <w:bottom w:val="nil"/>
              <w:right w:val="nil"/>
            </w:tcBorders>
            <w:shd w:val="clear" w:color="auto" w:fill="auto"/>
            <w:vAlign w:val="center"/>
            <w:hideMark/>
          </w:tcPr>
          <w:p w14:paraId="1785E2B9" w14:textId="77777777" w:rsidR="00B63B63" w:rsidRPr="00F41283" w:rsidRDefault="00B63B63" w:rsidP="00E36C22">
            <w:pPr>
              <w:suppressLineNumbers/>
              <w:suppressAutoHyphens/>
              <w:rPr>
                <w:b/>
                <w:bCs/>
                <w:kern w:val="22"/>
                <w:sz w:val="17"/>
                <w:szCs w:val="17"/>
                <w:lang w:eastAsia="en-CA"/>
              </w:rPr>
            </w:pPr>
            <w:r>
              <w:rPr>
                <w:b/>
                <w:bCs/>
                <w:kern w:val="22"/>
                <w:sz w:val="17"/>
                <w:szCs w:val="17"/>
                <w:lang w:eastAsia="en-CA"/>
              </w:rPr>
              <w:t>Dépenses d’appui au programme</w:t>
            </w:r>
            <w:r w:rsidRPr="00F41283">
              <w:rPr>
                <w:b/>
                <w:bCs/>
                <w:kern w:val="22"/>
                <w:sz w:val="17"/>
                <w:szCs w:val="17"/>
                <w:lang w:eastAsia="en-CA"/>
              </w:rPr>
              <w:t xml:space="preserve"> (13%)</w:t>
            </w:r>
          </w:p>
        </w:tc>
        <w:tc>
          <w:tcPr>
            <w:tcW w:w="0" w:type="auto"/>
            <w:tcBorders>
              <w:top w:val="nil"/>
              <w:left w:val="nil"/>
              <w:bottom w:val="nil"/>
              <w:right w:val="nil"/>
            </w:tcBorders>
            <w:shd w:val="clear" w:color="auto" w:fill="auto"/>
            <w:vAlign w:val="center"/>
            <w:hideMark/>
          </w:tcPr>
          <w:p w14:paraId="06579646"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173</w:t>
            </w:r>
            <w:r>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14:paraId="692C9E58"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273</w:t>
            </w:r>
            <w:r>
              <w:rPr>
                <w:kern w:val="22"/>
                <w:sz w:val="17"/>
                <w:szCs w:val="17"/>
                <w:lang w:eastAsia="en-CA"/>
              </w:rPr>
              <w:t>,</w:t>
            </w:r>
            <w:r w:rsidRPr="00F41283">
              <w:rPr>
                <w:kern w:val="22"/>
                <w:sz w:val="17"/>
                <w:szCs w:val="17"/>
                <w:lang w:eastAsia="en-CA"/>
              </w:rPr>
              <w:t>8</w:t>
            </w:r>
          </w:p>
        </w:tc>
        <w:tc>
          <w:tcPr>
            <w:tcW w:w="0" w:type="auto"/>
            <w:tcBorders>
              <w:top w:val="nil"/>
              <w:left w:val="nil"/>
              <w:bottom w:val="nil"/>
              <w:right w:val="nil"/>
            </w:tcBorders>
            <w:shd w:val="clear" w:color="auto" w:fill="auto"/>
            <w:vAlign w:val="center"/>
            <w:hideMark/>
          </w:tcPr>
          <w:p w14:paraId="6FC38888"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4</w:t>
            </w:r>
            <w:r>
              <w:rPr>
                <w:kern w:val="22"/>
                <w:sz w:val="17"/>
                <w:szCs w:val="17"/>
                <w:lang w:eastAsia="en-CA"/>
              </w:rPr>
              <w:t xml:space="preserve"> </w:t>
            </w:r>
            <w:r w:rsidRPr="00F41283">
              <w:rPr>
                <w:kern w:val="22"/>
                <w:sz w:val="17"/>
                <w:szCs w:val="17"/>
                <w:lang w:eastAsia="en-CA"/>
              </w:rPr>
              <w:t>447</w:t>
            </w:r>
            <w:r>
              <w:rPr>
                <w:kern w:val="22"/>
                <w:sz w:val="17"/>
                <w:szCs w:val="17"/>
                <w:lang w:eastAsia="en-CA"/>
              </w:rPr>
              <w:t>,</w:t>
            </w:r>
            <w:r w:rsidRPr="00F41283">
              <w:rPr>
                <w:kern w:val="22"/>
                <w:sz w:val="17"/>
                <w:szCs w:val="17"/>
                <w:lang w:eastAsia="en-CA"/>
              </w:rPr>
              <w:t>2</w:t>
            </w:r>
          </w:p>
        </w:tc>
      </w:tr>
      <w:tr w:rsidR="00B63B63" w:rsidRPr="00A740C0" w14:paraId="2BC6C36B"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7D08A951" w14:textId="77777777" w:rsidR="00B63B63" w:rsidRPr="00F41283" w:rsidRDefault="00B63B63" w:rsidP="00E36C22">
            <w:pPr>
              <w:suppressLineNumbers/>
              <w:suppressAutoHyphens/>
              <w:jc w:val="right"/>
              <w:rPr>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5054858E" w14:textId="77777777" w:rsidR="00B63B63" w:rsidRPr="00F41283" w:rsidRDefault="00B63B63" w:rsidP="00E36C22">
            <w:pPr>
              <w:suppressLineNumbers/>
              <w:suppressAutoHyphens/>
              <w:rPr>
                <w:b/>
                <w:bCs/>
                <w:kern w:val="22"/>
                <w:sz w:val="17"/>
                <w:szCs w:val="17"/>
                <w:lang w:eastAsia="en-CA"/>
              </w:rPr>
            </w:pPr>
            <w:r>
              <w:rPr>
                <w:b/>
                <w:bCs/>
                <w:kern w:val="22"/>
                <w:sz w:val="17"/>
                <w:szCs w:val="17"/>
                <w:lang w:eastAsia="en-CA"/>
              </w:rPr>
              <w:t>Sous</w:t>
            </w:r>
            <w:r w:rsidRPr="00F41283">
              <w:rPr>
                <w:b/>
                <w:bCs/>
                <w:kern w:val="22"/>
                <w:sz w:val="17"/>
                <w:szCs w:val="17"/>
                <w:lang w:eastAsia="en-CA"/>
              </w:rPr>
              <w:t>-total (I + II)</w:t>
            </w:r>
          </w:p>
        </w:tc>
        <w:tc>
          <w:tcPr>
            <w:tcW w:w="0" w:type="auto"/>
            <w:tcBorders>
              <w:top w:val="nil"/>
              <w:left w:val="nil"/>
              <w:bottom w:val="single" w:sz="4" w:space="0" w:color="auto"/>
              <w:right w:val="nil"/>
            </w:tcBorders>
            <w:shd w:val="clear" w:color="auto" w:fill="auto"/>
            <w:vAlign w:val="center"/>
            <w:hideMark/>
          </w:tcPr>
          <w:p w14:paraId="55947F9D"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18</w:t>
            </w:r>
            <w:r>
              <w:rPr>
                <w:b/>
                <w:bCs/>
                <w:kern w:val="22"/>
                <w:sz w:val="17"/>
                <w:szCs w:val="17"/>
                <w:lang w:eastAsia="en-CA"/>
              </w:rPr>
              <w:t xml:space="preserve"> </w:t>
            </w:r>
            <w:r w:rsidRPr="00F41283">
              <w:rPr>
                <w:b/>
                <w:bCs/>
                <w:kern w:val="22"/>
                <w:sz w:val="17"/>
                <w:szCs w:val="17"/>
                <w:lang w:eastAsia="en-CA"/>
              </w:rPr>
              <w:t>892</w:t>
            </w:r>
            <w:r>
              <w:rPr>
                <w:b/>
                <w:bCs/>
                <w:kern w:val="22"/>
                <w:sz w:val="17"/>
                <w:szCs w:val="17"/>
                <w:lang w:eastAsia="en-CA"/>
              </w:rPr>
              <w:t>,</w:t>
            </w:r>
            <w:r w:rsidRPr="00F41283">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14:paraId="3CF07A82"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19</w:t>
            </w:r>
            <w:r>
              <w:rPr>
                <w:b/>
                <w:bCs/>
                <w:kern w:val="22"/>
                <w:sz w:val="17"/>
                <w:szCs w:val="17"/>
                <w:lang w:eastAsia="en-CA"/>
              </w:rPr>
              <w:t xml:space="preserve"> </w:t>
            </w:r>
            <w:r w:rsidRPr="00F41283">
              <w:rPr>
                <w:b/>
                <w:bCs/>
                <w:kern w:val="22"/>
                <w:sz w:val="17"/>
                <w:szCs w:val="17"/>
                <w:lang w:eastAsia="en-CA"/>
              </w:rPr>
              <w:t>764</w:t>
            </w:r>
            <w:r>
              <w:rPr>
                <w:b/>
                <w:bCs/>
                <w:kern w:val="22"/>
                <w:sz w:val="17"/>
                <w:szCs w:val="17"/>
                <w:lang w:eastAsia="en-CA"/>
              </w:rPr>
              <w:t>,</w:t>
            </w:r>
            <w:r w:rsidRPr="00F41283">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14:paraId="7098AA36"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38</w:t>
            </w:r>
            <w:r>
              <w:rPr>
                <w:b/>
                <w:bCs/>
                <w:kern w:val="22"/>
                <w:sz w:val="17"/>
                <w:szCs w:val="17"/>
                <w:lang w:eastAsia="en-CA"/>
              </w:rPr>
              <w:t xml:space="preserve"> </w:t>
            </w:r>
            <w:r w:rsidRPr="00F41283">
              <w:rPr>
                <w:b/>
                <w:bCs/>
                <w:kern w:val="22"/>
                <w:sz w:val="17"/>
                <w:szCs w:val="17"/>
                <w:lang w:eastAsia="en-CA"/>
              </w:rPr>
              <w:t>656</w:t>
            </w:r>
            <w:r>
              <w:rPr>
                <w:b/>
                <w:bCs/>
                <w:kern w:val="22"/>
                <w:sz w:val="17"/>
                <w:szCs w:val="17"/>
                <w:lang w:eastAsia="en-CA"/>
              </w:rPr>
              <w:t>,</w:t>
            </w:r>
            <w:r w:rsidRPr="00F41283">
              <w:rPr>
                <w:b/>
                <w:bCs/>
                <w:kern w:val="22"/>
                <w:sz w:val="17"/>
                <w:szCs w:val="17"/>
                <w:lang w:eastAsia="en-CA"/>
              </w:rPr>
              <w:t>8</w:t>
            </w:r>
          </w:p>
        </w:tc>
      </w:tr>
      <w:tr w:rsidR="00B63B63" w:rsidRPr="00A740C0" w14:paraId="02877C29"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0343A5A2"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III</w:t>
            </w:r>
          </w:p>
        </w:tc>
        <w:tc>
          <w:tcPr>
            <w:tcW w:w="0" w:type="auto"/>
            <w:gridSpan w:val="2"/>
            <w:tcBorders>
              <w:top w:val="single" w:sz="4" w:space="0" w:color="auto"/>
              <w:left w:val="nil"/>
              <w:bottom w:val="nil"/>
              <w:right w:val="nil"/>
            </w:tcBorders>
            <w:shd w:val="clear" w:color="auto" w:fill="auto"/>
            <w:vAlign w:val="center"/>
            <w:hideMark/>
          </w:tcPr>
          <w:p w14:paraId="5535EF73" w14:textId="77777777" w:rsidR="00B63B63" w:rsidRPr="00A15179" w:rsidRDefault="00B63B63" w:rsidP="00E36C22">
            <w:pPr>
              <w:suppressLineNumbers/>
              <w:suppressAutoHyphens/>
              <w:rPr>
                <w:kern w:val="22"/>
                <w:sz w:val="17"/>
                <w:szCs w:val="17"/>
                <w:lang w:eastAsia="en-CA"/>
              </w:rPr>
            </w:pPr>
            <w:r w:rsidRPr="00A15179">
              <w:rPr>
                <w:kern w:val="22"/>
                <w:sz w:val="17"/>
                <w:szCs w:val="17"/>
                <w:lang w:eastAsia="en-CA"/>
              </w:rPr>
              <w:t>Réserve du fonds de roulement</w:t>
            </w:r>
          </w:p>
        </w:tc>
        <w:tc>
          <w:tcPr>
            <w:tcW w:w="0" w:type="auto"/>
            <w:tcBorders>
              <w:top w:val="nil"/>
              <w:left w:val="nil"/>
              <w:bottom w:val="nil"/>
              <w:right w:val="nil"/>
            </w:tcBorders>
            <w:shd w:val="clear" w:color="auto" w:fill="auto"/>
            <w:vAlign w:val="center"/>
            <w:hideMark/>
          </w:tcPr>
          <w:p w14:paraId="112FE014"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56</w:t>
            </w:r>
            <w:r>
              <w:rPr>
                <w:kern w:val="22"/>
                <w:sz w:val="17"/>
                <w:szCs w:val="17"/>
                <w:lang w:eastAsia="en-CA"/>
              </w:rPr>
              <w:t>,</w:t>
            </w:r>
            <w:r w:rsidRPr="00F41283">
              <w:rPr>
                <w:kern w:val="22"/>
                <w:sz w:val="17"/>
                <w:szCs w:val="17"/>
                <w:lang w:eastAsia="en-CA"/>
              </w:rPr>
              <w:t xml:space="preserve">6 </w:t>
            </w:r>
          </w:p>
        </w:tc>
        <w:tc>
          <w:tcPr>
            <w:tcW w:w="0" w:type="auto"/>
            <w:tcBorders>
              <w:top w:val="nil"/>
              <w:left w:val="nil"/>
              <w:bottom w:val="nil"/>
              <w:right w:val="nil"/>
            </w:tcBorders>
            <w:shd w:val="clear" w:color="auto" w:fill="auto"/>
            <w:vAlign w:val="center"/>
            <w:hideMark/>
          </w:tcPr>
          <w:p w14:paraId="74B42CD0"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130</w:t>
            </w:r>
            <w:r>
              <w:rPr>
                <w:kern w:val="22"/>
                <w:sz w:val="17"/>
                <w:szCs w:val="17"/>
                <w:lang w:eastAsia="en-CA"/>
              </w:rPr>
              <w:t>,</w:t>
            </w:r>
            <w:r w:rsidRPr="00F41283">
              <w:rPr>
                <w:kern w:val="22"/>
                <w:sz w:val="17"/>
                <w:szCs w:val="17"/>
                <w:lang w:eastAsia="en-CA"/>
              </w:rPr>
              <w:t>8</w:t>
            </w:r>
          </w:p>
        </w:tc>
        <w:tc>
          <w:tcPr>
            <w:tcW w:w="0" w:type="auto"/>
            <w:tcBorders>
              <w:top w:val="nil"/>
              <w:left w:val="nil"/>
              <w:bottom w:val="nil"/>
              <w:right w:val="nil"/>
            </w:tcBorders>
            <w:shd w:val="clear" w:color="auto" w:fill="auto"/>
            <w:vAlign w:val="center"/>
            <w:hideMark/>
          </w:tcPr>
          <w:p w14:paraId="3F2827B1"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187</w:t>
            </w:r>
            <w:r>
              <w:rPr>
                <w:kern w:val="22"/>
                <w:sz w:val="17"/>
                <w:szCs w:val="17"/>
                <w:lang w:eastAsia="en-CA"/>
              </w:rPr>
              <w:t>,</w:t>
            </w:r>
            <w:r w:rsidRPr="00F41283">
              <w:rPr>
                <w:kern w:val="22"/>
                <w:sz w:val="17"/>
                <w:szCs w:val="17"/>
                <w:lang w:eastAsia="en-CA"/>
              </w:rPr>
              <w:t>3</w:t>
            </w:r>
          </w:p>
        </w:tc>
      </w:tr>
      <w:tr w:rsidR="00B63B63" w:rsidRPr="00A740C0" w14:paraId="521EEE1E"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22B2CF9E" w14:textId="77777777" w:rsidR="00B63B63" w:rsidRPr="00F41283" w:rsidRDefault="00B63B63" w:rsidP="00E36C22">
            <w:pPr>
              <w:suppressLineNumbers/>
              <w:suppressAutoHyphens/>
              <w:jc w:val="right"/>
              <w:rPr>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14:paraId="40D3A602" w14:textId="77777777" w:rsidR="00B63B63" w:rsidRPr="00F41283" w:rsidRDefault="00B63B63" w:rsidP="00E36C22">
            <w:pPr>
              <w:suppressLineNumbers/>
              <w:suppressAutoHyphens/>
              <w:rPr>
                <w:b/>
                <w:bCs/>
                <w:color w:val="000000"/>
                <w:kern w:val="22"/>
                <w:sz w:val="17"/>
                <w:szCs w:val="17"/>
                <w:lang w:eastAsia="en-CA"/>
              </w:rPr>
            </w:pPr>
            <w:r w:rsidRPr="00F41283">
              <w:rPr>
                <w:b/>
                <w:bCs/>
                <w:color w:val="000000"/>
                <w:kern w:val="22"/>
                <w:sz w:val="17"/>
                <w:szCs w:val="17"/>
                <w:lang w:eastAsia="en-CA"/>
              </w:rPr>
              <w:t>Total</w:t>
            </w:r>
            <w:r>
              <w:rPr>
                <w:b/>
                <w:bCs/>
                <w:color w:val="000000"/>
                <w:kern w:val="22"/>
                <w:sz w:val="17"/>
                <w:szCs w:val="17"/>
                <w:lang w:eastAsia="en-CA"/>
              </w:rPr>
              <w:t xml:space="preserve"> général</w:t>
            </w:r>
            <w:r w:rsidRPr="00F41283">
              <w:rPr>
                <w:b/>
                <w:bCs/>
                <w:color w:val="000000"/>
                <w:kern w:val="22"/>
                <w:sz w:val="17"/>
                <w:szCs w:val="17"/>
                <w:lang w:eastAsia="en-CA"/>
              </w:rPr>
              <w:t xml:space="preserve"> (II + III)</w:t>
            </w:r>
          </w:p>
        </w:tc>
        <w:tc>
          <w:tcPr>
            <w:tcW w:w="0" w:type="auto"/>
            <w:tcBorders>
              <w:top w:val="nil"/>
              <w:left w:val="nil"/>
              <w:bottom w:val="single" w:sz="8" w:space="0" w:color="auto"/>
              <w:right w:val="nil"/>
            </w:tcBorders>
            <w:shd w:val="clear" w:color="auto" w:fill="auto"/>
            <w:vAlign w:val="center"/>
            <w:hideMark/>
          </w:tcPr>
          <w:p w14:paraId="129481C2"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Pr>
                <w:b/>
                <w:bCs/>
                <w:color w:val="000000"/>
                <w:kern w:val="22"/>
                <w:sz w:val="17"/>
                <w:szCs w:val="17"/>
                <w:lang w:eastAsia="en-CA"/>
              </w:rPr>
              <w:t xml:space="preserve"> </w:t>
            </w:r>
            <w:r w:rsidRPr="00F41283">
              <w:rPr>
                <w:b/>
                <w:bCs/>
                <w:color w:val="000000"/>
                <w:kern w:val="22"/>
                <w:sz w:val="17"/>
                <w:szCs w:val="17"/>
                <w:lang w:eastAsia="en-CA"/>
              </w:rPr>
              <w:t>949</w:t>
            </w:r>
            <w:r>
              <w:rPr>
                <w:b/>
                <w:bCs/>
                <w:color w:val="000000"/>
                <w:kern w:val="22"/>
                <w:sz w:val="17"/>
                <w:szCs w:val="17"/>
                <w:lang w:eastAsia="en-CA"/>
              </w:rPr>
              <w:t>,</w:t>
            </w:r>
            <w:r w:rsidRPr="00F41283">
              <w:rPr>
                <w:b/>
                <w:bCs/>
                <w:color w:val="000000"/>
                <w:kern w:val="22"/>
                <w:sz w:val="17"/>
                <w:szCs w:val="17"/>
                <w:lang w:eastAsia="en-CA"/>
              </w:rPr>
              <w:t>0</w:t>
            </w:r>
          </w:p>
        </w:tc>
        <w:tc>
          <w:tcPr>
            <w:tcW w:w="0" w:type="auto"/>
            <w:tcBorders>
              <w:top w:val="nil"/>
              <w:left w:val="nil"/>
              <w:bottom w:val="single" w:sz="8" w:space="0" w:color="auto"/>
              <w:right w:val="nil"/>
            </w:tcBorders>
            <w:shd w:val="clear" w:color="auto" w:fill="auto"/>
            <w:vAlign w:val="center"/>
            <w:hideMark/>
          </w:tcPr>
          <w:p w14:paraId="66429996"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Pr>
                <w:b/>
                <w:bCs/>
                <w:color w:val="000000"/>
                <w:kern w:val="22"/>
                <w:sz w:val="17"/>
                <w:szCs w:val="17"/>
                <w:lang w:eastAsia="en-CA"/>
              </w:rPr>
              <w:t xml:space="preserve"> </w:t>
            </w:r>
            <w:r w:rsidRPr="00F41283">
              <w:rPr>
                <w:b/>
                <w:bCs/>
                <w:color w:val="000000"/>
                <w:kern w:val="22"/>
                <w:sz w:val="17"/>
                <w:szCs w:val="17"/>
                <w:lang w:eastAsia="en-CA"/>
              </w:rPr>
              <w:t>895</w:t>
            </w:r>
            <w:r>
              <w:rPr>
                <w:b/>
                <w:bCs/>
                <w:color w:val="000000"/>
                <w:kern w:val="22"/>
                <w:sz w:val="17"/>
                <w:szCs w:val="17"/>
                <w:lang w:eastAsia="en-CA"/>
              </w:rPr>
              <w:t>,</w:t>
            </w:r>
            <w:r w:rsidRPr="00F41283">
              <w:rPr>
                <w:b/>
                <w:bCs/>
                <w:color w:val="000000"/>
                <w:kern w:val="22"/>
                <w:sz w:val="17"/>
                <w:szCs w:val="17"/>
                <w:lang w:eastAsia="en-CA"/>
              </w:rPr>
              <w:t>1</w:t>
            </w:r>
          </w:p>
        </w:tc>
        <w:tc>
          <w:tcPr>
            <w:tcW w:w="0" w:type="auto"/>
            <w:tcBorders>
              <w:top w:val="nil"/>
              <w:left w:val="nil"/>
              <w:bottom w:val="single" w:sz="8" w:space="0" w:color="auto"/>
              <w:right w:val="nil"/>
            </w:tcBorders>
            <w:shd w:val="clear" w:color="auto" w:fill="auto"/>
            <w:vAlign w:val="center"/>
            <w:hideMark/>
          </w:tcPr>
          <w:p w14:paraId="240AEC7B" w14:textId="77777777" w:rsidR="00B63B63" w:rsidRPr="00F41283" w:rsidRDefault="00B63B63" w:rsidP="00E36C22">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Pr>
                <w:b/>
                <w:bCs/>
                <w:color w:val="000000"/>
                <w:kern w:val="22"/>
                <w:sz w:val="17"/>
                <w:szCs w:val="17"/>
                <w:lang w:eastAsia="en-CA"/>
              </w:rPr>
              <w:t xml:space="preserve"> </w:t>
            </w:r>
            <w:r w:rsidRPr="00F41283">
              <w:rPr>
                <w:b/>
                <w:bCs/>
                <w:color w:val="000000"/>
                <w:kern w:val="22"/>
                <w:sz w:val="17"/>
                <w:szCs w:val="17"/>
                <w:lang w:eastAsia="en-CA"/>
              </w:rPr>
              <w:t>844</w:t>
            </w:r>
            <w:r>
              <w:rPr>
                <w:b/>
                <w:bCs/>
                <w:color w:val="000000"/>
                <w:kern w:val="22"/>
                <w:sz w:val="17"/>
                <w:szCs w:val="17"/>
                <w:lang w:eastAsia="en-CA"/>
              </w:rPr>
              <w:t>,</w:t>
            </w:r>
            <w:r w:rsidRPr="00F41283">
              <w:rPr>
                <w:b/>
                <w:bCs/>
                <w:color w:val="000000"/>
                <w:kern w:val="22"/>
                <w:sz w:val="17"/>
                <w:szCs w:val="17"/>
                <w:lang w:eastAsia="en-CA"/>
              </w:rPr>
              <w:t>1</w:t>
            </w:r>
          </w:p>
        </w:tc>
      </w:tr>
      <w:tr w:rsidR="00B63B63" w:rsidRPr="00A740C0" w14:paraId="44E8EB26" w14:textId="77777777" w:rsidTr="00E36C22">
        <w:trPr>
          <w:trHeight w:val="396"/>
        </w:trPr>
        <w:tc>
          <w:tcPr>
            <w:tcW w:w="0" w:type="auto"/>
            <w:gridSpan w:val="2"/>
            <w:tcBorders>
              <w:top w:val="nil"/>
              <w:left w:val="nil"/>
              <w:bottom w:val="nil"/>
              <w:right w:val="nil"/>
            </w:tcBorders>
            <w:shd w:val="clear" w:color="auto" w:fill="auto"/>
            <w:noWrap/>
            <w:vAlign w:val="center"/>
            <w:hideMark/>
          </w:tcPr>
          <w:p w14:paraId="07A1E106" w14:textId="77777777" w:rsidR="00B63B63" w:rsidRPr="00F41283" w:rsidRDefault="00B63B63" w:rsidP="00E36C22">
            <w:pPr>
              <w:suppressLineNumbers/>
              <w:suppressAutoHyphens/>
              <w:jc w:val="right"/>
              <w:rPr>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68425AC6" w14:textId="77777777" w:rsidR="00B63B63" w:rsidRPr="00A15179" w:rsidRDefault="00B63B63" w:rsidP="00E36C22">
            <w:pPr>
              <w:suppressLineNumbers/>
              <w:suppressAutoHyphens/>
              <w:jc w:val="left"/>
              <w:rPr>
                <w:kern w:val="22"/>
                <w:sz w:val="17"/>
                <w:szCs w:val="17"/>
                <w:lang w:eastAsia="en-CA"/>
              </w:rPr>
            </w:pPr>
            <w:r w:rsidRPr="00A15179">
              <w:rPr>
                <w:kern w:val="22"/>
                <w:sz w:val="17"/>
                <w:szCs w:val="17"/>
                <w:lang w:eastAsia="en-CA"/>
              </w:rPr>
              <w:t xml:space="preserve">Part du </w:t>
            </w:r>
            <w:r>
              <w:rPr>
                <w:kern w:val="22"/>
                <w:sz w:val="17"/>
                <w:szCs w:val="17"/>
                <w:lang w:eastAsia="en-CA"/>
              </w:rPr>
              <w:t xml:space="preserve">budget intégré consacrée au Protocole de Cartagena </w:t>
            </w:r>
            <w:r w:rsidRPr="00A15179">
              <w:rPr>
                <w:kern w:val="22"/>
                <w:sz w:val="17"/>
                <w:szCs w:val="17"/>
                <w:lang w:eastAsia="en-CA"/>
              </w:rPr>
              <w:t>(15%)</w:t>
            </w:r>
          </w:p>
        </w:tc>
        <w:tc>
          <w:tcPr>
            <w:tcW w:w="0" w:type="auto"/>
            <w:tcBorders>
              <w:top w:val="nil"/>
              <w:left w:val="nil"/>
              <w:bottom w:val="single" w:sz="8" w:space="0" w:color="auto"/>
              <w:right w:val="nil"/>
            </w:tcBorders>
            <w:shd w:val="clear" w:color="auto" w:fill="auto"/>
            <w:vAlign w:val="center"/>
            <w:hideMark/>
          </w:tcPr>
          <w:p w14:paraId="54A15597"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842</w:t>
            </w:r>
            <w:r>
              <w:rPr>
                <w:kern w:val="22"/>
                <w:sz w:val="17"/>
                <w:szCs w:val="17"/>
                <w:lang w:eastAsia="en-CA"/>
              </w:rPr>
              <w:t>,</w:t>
            </w:r>
            <w:r w:rsidRPr="00F41283">
              <w:rPr>
                <w:kern w:val="22"/>
                <w:sz w:val="17"/>
                <w:szCs w:val="17"/>
                <w:lang w:eastAsia="en-CA"/>
              </w:rPr>
              <w:t>3</w:t>
            </w:r>
          </w:p>
        </w:tc>
        <w:tc>
          <w:tcPr>
            <w:tcW w:w="0" w:type="auto"/>
            <w:tcBorders>
              <w:top w:val="nil"/>
              <w:left w:val="nil"/>
              <w:bottom w:val="single" w:sz="8" w:space="0" w:color="auto"/>
              <w:right w:val="nil"/>
            </w:tcBorders>
            <w:shd w:val="clear" w:color="auto" w:fill="auto"/>
            <w:vAlign w:val="center"/>
            <w:hideMark/>
          </w:tcPr>
          <w:p w14:paraId="4C5D5EC4"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984</w:t>
            </w:r>
            <w:r>
              <w:rPr>
                <w:kern w:val="22"/>
                <w:sz w:val="17"/>
                <w:szCs w:val="17"/>
                <w:lang w:eastAsia="en-CA"/>
              </w:rPr>
              <w:t>,</w:t>
            </w:r>
            <w:r w:rsidRPr="00F41283">
              <w:rPr>
                <w:kern w:val="22"/>
                <w:sz w:val="17"/>
                <w:szCs w:val="17"/>
                <w:lang w:eastAsia="en-CA"/>
              </w:rPr>
              <w:t>3</w:t>
            </w:r>
          </w:p>
        </w:tc>
        <w:tc>
          <w:tcPr>
            <w:tcW w:w="0" w:type="auto"/>
            <w:tcBorders>
              <w:top w:val="nil"/>
              <w:left w:val="nil"/>
              <w:bottom w:val="single" w:sz="8" w:space="0" w:color="auto"/>
              <w:right w:val="nil"/>
            </w:tcBorders>
            <w:shd w:val="clear" w:color="auto" w:fill="auto"/>
            <w:vAlign w:val="center"/>
            <w:hideMark/>
          </w:tcPr>
          <w:p w14:paraId="35096809"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5</w:t>
            </w:r>
            <w:r>
              <w:rPr>
                <w:kern w:val="22"/>
                <w:sz w:val="17"/>
                <w:szCs w:val="17"/>
                <w:lang w:eastAsia="en-CA"/>
              </w:rPr>
              <w:t xml:space="preserve"> </w:t>
            </w:r>
            <w:r w:rsidRPr="00F41283">
              <w:rPr>
                <w:kern w:val="22"/>
                <w:sz w:val="17"/>
                <w:szCs w:val="17"/>
                <w:lang w:eastAsia="en-CA"/>
              </w:rPr>
              <w:t>826</w:t>
            </w:r>
            <w:r>
              <w:rPr>
                <w:kern w:val="22"/>
                <w:sz w:val="17"/>
                <w:szCs w:val="17"/>
                <w:lang w:eastAsia="en-CA"/>
              </w:rPr>
              <w:t>,</w:t>
            </w:r>
            <w:r w:rsidRPr="00F41283">
              <w:rPr>
                <w:kern w:val="22"/>
                <w:sz w:val="17"/>
                <w:szCs w:val="17"/>
                <w:lang w:eastAsia="en-CA"/>
              </w:rPr>
              <w:t>6</w:t>
            </w:r>
          </w:p>
        </w:tc>
      </w:tr>
      <w:tr w:rsidR="00B63B63" w:rsidRPr="00A740C0" w14:paraId="0FE26D15"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3691EE64" w14:textId="77777777" w:rsidR="00B63B63" w:rsidRPr="00F41283" w:rsidRDefault="00B63B63" w:rsidP="00E36C22">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17734726" w14:textId="77777777" w:rsidR="00B63B63" w:rsidRPr="00A15179" w:rsidRDefault="00B63B63" w:rsidP="00E36C22">
            <w:pPr>
              <w:suppressLineNumbers/>
              <w:suppressAutoHyphens/>
              <w:rPr>
                <w:kern w:val="22"/>
                <w:sz w:val="17"/>
                <w:szCs w:val="17"/>
                <w:lang w:eastAsia="en-CA"/>
              </w:rPr>
            </w:pPr>
            <w:r w:rsidRPr="00A15179">
              <w:rPr>
                <w:kern w:val="22"/>
                <w:sz w:val="17"/>
                <w:szCs w:val="17"/>
                <w:u w:val="single"/>
                <w:lang w:eastAsia="en-CA"/>
              </w:rPr>
              <w:t>Moins</w:t>
            </w:r>
            <w:r w:rsidRPr="00A15179">
              <w:rPr>
                <w:kern w:val="22"/>
                <w:sz w:val="17"/>
                <w:szCs w:val="17"/>
                <w:lang w:eastAsia="en-CA"/>
              </w:rPr>
              <w:t xml:space="preserve"> la contribution du pays hôte</w:t>
            </w:r>
            <w:r w:rsidRPr="00A15179">
              <w:rPr>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3C7D47F5"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(184</w:t>
            </w:r>
            <w:r>
              <w:rPr>
                <w:kern w:val="22"/>
                <w:sz w:val="17"/>
                <w:szCs w:val="17"/>
                <w:lang w:eastAsia="en-CA"/>
              </w:rPr>
              <w:t>,</w:t>
            </w:r>
            <w:r w:rsidRPr="00F41283">
              <w:rPr>
                <w:kern w:val="22"/>
                <w:sz w:val="17"/>
                <w:szCs w:val="17"/>
                <w:lang w:eastAsia="en-CA"/>
              </w:rPr>
              <w:t>4)</w:t>
            </w:r>
          </w:p>
        </w:tc>
        <w:tc>
          <w:tcPr>
            <w:tcW w:w="0" w:type="auto"/>
            <w:tcBorders>
              <w:top w:val="nil"/>
              <w:left w:val="nil"/>
              <w:bottom w:val="nil"/>
              <w:right w:val="nil"/>
            </w:tcBorders>
            <w:shd w:val="clear" w:color="auto" w:fill="auto"/>
            <w:vAlign w:val="center"/>
            <w:hideMark/>
          </w:tcPr>
          <w:p w14:paraId="2D3E62F6"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(213</w:t>
            </w:r>
            <w:r>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14:paraId="4D6752DB"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(397</w:t>
            </w:r>
            <w:r>
              <w:rPr>
                <w:kern w:val="22"/>
                <w:sz w:val="17"/>
                <w:szCs w:val="17"/>
                <w:lang w:eastAsia="en-CA"/>
              </w:rPr>
              <w:t>,</w:t>
            </w:r>
            <w:r w:rsidRPr="00F41283">
              <w:rPr>
                <w:kern w:val="22"/>
                <w:sz w:val="17"/>
                <w:szCs w:val="17"/>
                <w:lang w:eastAsia="en-CA"/>
              </w:rPr>
              <w:t>9)</w:t>
            </w:r>
          </w:p>
        </w:tc>
      </w:tr>
      <w:tr w:rsidR="00B63B63" w:rsidRPr="00A740C0" w14:paraId="26EAAE78"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7C7F8A14" w14:textId="77777777" w:rsidR="00B63B63" w:rsidRPr="00F41283" w:rsidRDefault="00B63B63" w:rsidP="00E36C22">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43E11E19" w14:textId="77777777" w:rsidR="00B63B63" w:rsidRPr="00044264" w:rsidRDefault="00B63B63" w:rsidP="00E36C22">
            <w:pPr>
              <w:suppressLineNumbers/>
              <w:suppressAutoHyphens/>
              <w:rPr>
                <w:kern w:val="22"/>
                <w:sz w:val="17"/>
                <w:szCs w:val="17"/>
                <w:lang w:eastAsia="en-CA"/>
              </w:rPr>
            </w:pPr>
            <w:r w:rsidRPr="00044264">
              <w:rPr>
                <w:kern w:val="22"/>
                <w:sz w:val="17"/>
                <w:szCs w:val="17"/>
                <w:u w:val="single"/>
                <w:lang w:eastAsia="en-CA"/>
              </w:rPr>
              <w:t>Moins</w:t>
            </w:r>
            <w:r w:rsidRPr="00044264">
              <w:rPr>
                <w:kern w:val="22"/>
                <w:sz w:val="17"/>
                <w:szCs w:val="17"/>
                <w:lang w:eastAsia="en-CA"/>
              </w:rPr>
              <w:t xml:space="preserve"> </w:t>
            </w:r>
            <w:r>
              <w:rPr>
                <w:kern w:val="22"/>
                <w:sz w:val="17"/>
                <w:szCs w:val="17"/>
                <w:lang w:eastAsia="en-CA"/>
              </w:rPr>
              <w:t>l’utilisation des réserves pour l</w:t>
            </w:r>
            <w:r w:rsidRPr="00044264">
              <w:rPr>
                <w:kern w:val="22"/>
                <w:sz w:val="17"/>
                <w:szCs w:val="17"/>
                <w:lang w:eastAsia="en-CA"/>
              </w:rPr>
              <w:t>es réunions extraordinaires</w:t>
            </w:r>
            <w:r w:rsidRPr="00044264">
              <w:rPr>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2E4C703D"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(127</w:t>
            </w:r>
            <w:r>
              <w:rPr>
                <w:kern w:val="22"/>
                <w:sz w:val="17"/>
                <w:szCs w:val="17"/>
                <w:lang w:eastAsia="en-CA"/>
              </w:rPr>
              <w:t>,</w:t>
            </w:r>
            <w:r w:rsidRPr="00F41283">
              <w:rPr>
                <w:kern w:val="22"/>
                <w:sz w:val="17"/>
                <w:szCs w:val="17"/>
                <w:lang w:eastAsia="en-CA"/>
              </w:rPr>
              <w:t>1)</w:t>
            </w:r>
          </w:p>
        </w:tc>
        <w:tc>
          <w:tcPr>
            <w:tcW w:w="0" w:type="auto"/>
            <w:tcBorders>
              <w:top w:val="nil"/>
              <w:left w:val="nil"/>
              <w:bottom w:val="nil"/>
              <w:right w:val="nil"/>
            </w:tcBorders>
            <w:shd w:val="clear" w:color="auto" w:fill="auto"/>
            <w:vAlign w:val="center"/>
            <w:hideMark/>
          </w:tcPr>
          <w:p w14:paraId="457A8EC1"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(94</w:t>
            </w:r>
            <w:r>
              <w:rPr>
                <w:kern w:val="22"/>
                <w:sz w:val="17"/>
                <w:szCs w:val="17"/>
                <w:lang w:eastAsia="en-CA"/>
              </w:rPr>
              <w:t>,</w:t>
            </w:r>
            <w:r w:rsidRPr="00F41283">
              <w:rPr>
                <w:kern w:val="22"/>
                <w:sz w:val="17"/>
                <w:szCs w:val="17"/>
                <w:lang w:eastAsia="en-CA"/>
              </w:rPr>
              <w:t>9)</w:t>
            </w:r>
          </w:p>
        </w:tc>
        <w:tc>
          <w:tcPr>
            <w:tcW w:w="0" w:type="auto"/>
            <w:tcBorders>
              <w:top w:val="nil"/>
              <w:left w:val="nil"/>
              <w:bottom w:val="nil"/>
              <w:right w:val="nil"/>
            </w:tcBorders>
            <w:shd w:val="clear" w:color="auto" w:fill="auto"/>
            <w:vAlign w:val="center"/>
            <w:hideMark/>
          </w:tcPr>
          <w:p w14:paraId="09C35D9B"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(222</w:t>
            </w:r>
            <w:r>
              <w:rPr>
                <w:kern w:val="22"/>
                <w:sz w:val="17"/>
                <w:szCs w:val="17"/>
                <w:lang w:eastAsia="en-CA"/>
              </w:rPr>
              <w:t>,</w:t>
            </w:r>
            <w:r w:rsidRPr="00F41283">
              <w:rPr>
                <w:kern w:val="22"/>
                <w:sz w:val="17"/>
                <w:szCs w:val="17"/>
                <w:lang w:eastAsia="en-CA"/>
              </w:rPr>
              <w:t>0)</w:t>
            </w:r>
          </w:p>
        </w:tc>
      </w:tr>
      <w:tr w:rsidR="00B63B63" w:rsidRPr="00A740C0" w14:paraId="71AFE0BA"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1433FD0D" w14:textId="77777777" w:rsidR="00B63B63" w:rsidRPr="00F41283" w:rsidRDefault="00B63B63" w:rsidP="00E36C22">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297F8BD4" w14:textId="77777777" w:rsidR="00B63B63" w:rsidRPr="00044264" w:rsidRDefault="00B63B63" w:rsidP="00E36C22">
            <w:pPr>
              <w:suppressLineNumbers/>
              <w:suppressAutoHyphens/>
              <w:rPr>
                <w:kern w:val="22"/>
                <w:sz w:val="17"/>
                <w:szCs w:val="17"/>
                <w:lang w:eastAsia="en-CA"/>
              </w:rPr>
            </w:pPr>
            <w:r w:rsidRPr="00044264">
              <w:rPr>
                <w:kern w:val="22"/>
                <w:sz w:val="17"/>
                <w:szCs w:val="17"/>
                <w:u w:val="single"/>
                <w:lang w:eastAsia="en-CA"/>
              </w:rPr>
              <w:t>Moins</w:t>
            </w:r>
            <w:r w:rsidRPr="00044264">
              <w:rPr>
                <w:kern w:val="22"/>
                <w:sz w:val="17"/>
                <w:szCs w:val="17"/>
                <w:lang w:eastAsia="en-CA"/>
              </w:rPr>
              <w:t xml:space="preserve"> l’emploi des économies des années précé</w:t>
            </w:r>
            <w:r>
              <w:rPr>
                <w:kern w:val="22"/>
                <w:sz w:val="17"/>
                <w:szCs w:val="17"/>
                <w:lang w:eastAsia="en-CA"/>
              </w:rPr>
              <w:t>d</w:t>
            </w:r>
            <w:r w:rsidRPr="00044264">
              <w:rPr>
                <w:kern w:val="22"/>
                <w:sz w:val="17"/>
                <w:szCs w:val="17"/>
                <w:lang w:eastAsia="en-CA"/>
              </w:rPr>
              <w:t>entes</w:t>
            </w:r>
          </w:p>
        </w:tc>
        <w:tc>
          <w:tcPr>
            <w:tcW w:w="0" w:type="auto"/>
            <w:tcBorders>
              <w:top w:val="nil"/>
              <w:left w:val="nil"/>
              <w:bottom w:val="nil"/>
              <w:right w:val="nil"/>
            </w:tcBorders>
            <w:shd w:val="clear" w:color="auto" w:fill="auto"/>
            <w:vAlign w:val="center"/>
            <w:hideMark/>
          </w:tcPr>
          <w:p w14:paraId="1D240F05"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(129</w:t>
            </w:r>
            <w:r>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14:paraId="0B6105D7"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(129</w:t>
            </w:r>
            <w:r>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14:paraId="2429C679" w14:textId="77777777" w:rsidR="00B63B63" w:rsidRPr="00F41283" w:rsidRDefault="00B63B63" w:rsidP="00E36C22">
            <w:pPr>
              <w:suppressLineNumbers/>
              <w:suppressAutoHyphens/>
              <w:jc w:val="right"/>
              <w:rPr>
                <w:kern w:val="22"/>
                <w:sz w:val="17"/>
                <w:szCs w:val="17"/>
                <w:lang w:eastAsia="en-CA"/>
              </w:rPr>
            </w:pPr>
            <w:r w:rsidRPr="00F41283">
              <w:rPr>
                <w:kern w:val="22"/>
                <w:sz w:val="17"/>
                <w:szCs w:val="17"/>
                <w:lang w:eastAsia="en-CA"/>
              </w:rPr>
              <w:t>(258</w:t>
            </w:r>
            <w:r>
              <w:rPr>
                <w:kern w:val="22"/>
                <w:sz w:val="17"/>
                <w:szCs w:val="17"/>
                <w:lang w:eastAsia="en-CA"/>
              </w:rPr>
              <w:t>,</w:t>
            </w:r>
            <w:r w:rsidRPr="00F41283">
              <w:rPr>
                <w:kern w:val="22"/>
                <w:sz w:val="17"/>
                <w:szCs w:val="17"/>
                <w:lang w:eastAsia="en-CA"/>
              </w:rPr>
              <w:t>9)</w:t>
            </w:r>
          </w:p>
        </w:tc>
      </w:tr>
      <w:tr w:rsidR="00B63B63" w:rsidRPr="00A740C0" w14:paraId="53359E48" w14:textId="77777777" w:rsidTr="00E36C22">
        <w:trPr>
          <w:trHeight w:val="261"/>
        </w:trPr>
        <w:tc>
          <w:tcPr>
            <w:tcW w:w="0" w:type="auto"/>
            <w:gridSpan w:val="2"/>
            <w:tcBorders>
              <w:top w:val="nil"/>
              <w:left w:val="nil"/>
              <w:bottom w:val="nil"/>
              <w:right w:val="nil"/>
            </w:tcBorders>
            <w:shd w:val="clear" w:color="auto" w:fill="auto"/>
            <w:noWrap/>
            <w:vAlign w:val="center"/>
            <w:hideMark/>
          </w:tcPr>
          <w:p w14:paraId="034D386F" w14:textId="77777777" w:rsidR="00B63B63" w:rsidRPr="00F41283" w:rsidRDefault="00B63B63" w:rsidP="00E36C22">
            <w:pPr>
              <w:suppressLineNumbers/>
              <w:suppressAutoHyphens/>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447AAD5A" w14:textId="77777777" w:rsidR="00B63B63" w:rsidRPr="00A15179" w:rsidRDefault="00B63B63" w:rsidP="00E36C22">
            <w:pPr>
              <w:suppressLineNumbers/>
              <w:suppressAutoHyphens/>
              <w:rPr>
                <w:b/>
                <w:bCs/>
                <w:kern w:val="22"/>
                <w:sz w:val="17"/>
                <w:szCs w:val="17"/>
                <w:lang w:eastAsia="en-CA"/>
              </w:rPr>
            </w:pPr>
            <w:r w:rsidRPr="00A15179">
              <w:rPr>
                <w:b/>
                <w:bCs/>
                <w:kern w:val="22"/>
                <w:sz w:val="17"/>
                <w:szCs w:val="17"/>
                <w:lang w:eastAsia="en-CA"/>
              </w:rPr>
              <w:t>Total net (montant à répartir entre les Parties)</w:t>
            </w:r>
          </w:p>
        </w:tc>
        <w:tc>
          <w:tcPr>
            <w:tcW w:w="0" w:type="auto"/>
            <w:tcBorders>
              <w:top w:val="nil"/>
              <w:left w:val="nil"/>
              <w:bottom w:val="single" w:sz="4" w:space="0" w:color="auto"/>
              <w:right w:val="nil"/>
            </w:tcBorders>
            <w:shd w:val="clear" w:color="auto" w:fill="auto"/>
            <w:vAlign w:val="center"/>
            <w:hideMark/>
          </w:tcPr>
          <w:p w14:paraId="315923ED"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2</w:t>
            </w:r>
            <w:r>
              <w:rPr>
                <w:b/>
                <w:bCs/>
                <w:kern w:val="22"/>
                <w:sz w:val="17"/>
                <w:szCs w:val="17"/>
                <w:lang w:eastAsia="en-CA"/>
              </w:rPr>
              <w:t xml:space="preserve"> </w:t>
            </w:r>
            <w:r w:rsidRPr="00F41283">
              <w:rPr>
                <w:b/>
                <w:bCs/>
                <w:kern w:val="22"/>
                <w:sz w:val="17"/>
                <w:szCs w:val="17"/>
                <w:lang w:eastAsia="en-CA"/>
              </w:rPr>
              <w:t>401</w:t>
            </w:r>
            <w:r>
              <w:rPr>
                <w:b/>
                <w:bCs/>
                <w:kern w:val="22"/>
                <w:sz w:val="17"/>
                <w:szCs w:val="17"/>
                <w:lang w:eastAsia="en-CA"/>
              </w:rPr>
              <w:t>,</w:t>
            </w:r>
            <w:r w:rsidRPr="00F41283">
              <w:rPr>
                <w:b/>
                <w:bCs/>
                <w:kern w:val="22"/>
                <w:sz w:val="17"/>
                <w:szCs w:val="17"/>
                <w:lang w:eastAsia="en-CA"/>
              </w:rPr>
              <w:t>3</w:t>
            </w:r>
          </w:p>
        </w:tc>
        <w:tc>
          <w:tcPr>
            <w:tcW w:w="0" w:type="auto"/>
            <w:tcBorders>
              <w:top w:val="nil"/>
              <w:left w:val="nil"/>
              <w:bottom w:val="single" w:sz="4" w:space="0" w:color="auto"/>
              <w:right w:val="nil"/>
            </w:tcBorders>
            <w:shd w:val="clear" w:color="auto" w:fill="auto"/>
            <w:vAlign w:val="center"/>
            <w:hideMark/>
          </w:tcPr>
          <w:p w14:paraId="43C3F77D"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2</w:t>
            </w:r>
            <w:r>
              <w:rPr>
                <w:b/>
                <w:bCs/>
                <w:kern w:val="22"/>
                <w:sz w:val="17"/>
                <w:szCs w:val="17"/>
                <w:lang w:eastAsia="en-CA"/>
              </w:rPr>
              <w:t xml:space="preserve"> </w:t>
            </w:r>
            <w:r w:rsidRPr="00F41283">
              <w:rPr>
                <w:b/>
                <w:bCs/>
                <w:kern w:val="22"/>
                <w:sz w:val="17"/>
                <w:szCs w:val="17"/>
                <w:lang w:eastAsia="en-CA"/>
              </w:rPr>
              <w:t>546</w:t>
            </w:r>
            <w:r>
              <w:rPr>
                <w:b/>
                <w:bCs/>
                <w:kern w:val="22"/>
                <w:sz w:val="17"/>
                <w:szCs w:val="17"/>
                <w:lang w:eastAsia="en-CA"/>
              </w:rPr>
              <w:t>,</w:t>
            </w:r>
            <w:r w:rsidRPr="00F41283">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14:paraId="4FFA5FAF" w14:textId="77777777" w:rsidR="00B63B63" w:rsidRPr="00F41283" w:rsidRDefault="00B63B63" w:rsidP="00E36C22">
            <w:pPr>
              <w:suppressLineNumbers/>
              <w:suppressAutoHyphens/>
              <w:jc w:val="right"/>
              <w:rPr>
                <w:b/>
                <w:bCs/>
                <w:kern w:val="22"/>
                <w:sz w:val="17"/>
                <w:szCs w:val="17"/>
                <w:lang w:eastAsia="en-CA"/>
              </w:rPr>
            </w:pPr>
            <w:r w:rsidRPr="00F41283">
              <w:rPr>
                <w:b/>
                <w:bCs/>
                <w:kern w:val="22"/>
                <w:sz w:val="17"/>
                <w:szCs w:val="17"/>
                <w:lang w:eastAsia="en-CA"/>
              </w:rPr>
              <w:t>4</w:t>
            </w:r>
            <w:r>
              <w:rPr>
                <w:b/>
                <w:bCs/>
                <w:kern w:val="22"/>
                <w:sz w:val="17"/>
                <w:szCs w:val="17"/>
                <w:lang w:eastAsia="en-CA"/>
              </w:rPr>
              <w:t xml:space="preserve"> </w:t>
            </w:r>
            <w:r w:rsidRPr="00F41283">
              <w:rPr>
                <w:b/>
                <w:bCs/>
                <w:kern w:val="22"/>
                <w:sz w:val="17"/>
                <w:szCs w:val="17"/>
                <w:lang w:eastAsia="en-CA"/>
              </w:rPr>
              <w:t>947</w:t>
            </w:r>
            <w:r>
              <w:rPr>
                <w:b/>
                <w:bCs/>
                <w:kern w:val="22"/>
                <w:sz w:val="17"/>
                <w:szCs w:val="17"/>
                <w:lang w:eastAsia="en-CA"/>
              </w:rPr>
              <w:t>,</w:t>
            </w:r>
            <w:r w:rsidRPr="00F41283">
              <w:rPr>
                <w:b/>
                <w:bCs/>
                <w:kern w:val="22"/>
                <w:sz w:val="17"/>
                <w:szCs w:val="17"/>
                <w:lang w:eastAsia="en-CA"/>
              </w:rPr>
              <w:t>7</w:t>
            </w:r>
          </w:p>
        </w:tc>
      </w:tr>
      <w:tr w:rsidR="00B63B63" w:rsidRPr="00A740C0" w14:paraId="2F2E2707" w14:textId="77777777" w:rsidTr="00E36C22">
        <w:trPr>
          <w:trHeight w:val="288"/>
        </w:trPr>
        <w:tc>
          <w:tcPr>
            <w:tcW w:w="0" w:type="auto"/>
            <w:gridSpan w:val="2"/>
            <w:tcBorders>
              <w:top w:val="nil"/>
              <w:left w:val="nil"/>
              <w:bottom w:val="nil"/>
              <w:right w:val="nil"/>
            </w:tcBorders>
            <w:shd w:val="clear" w:color="auto" w:fill="auto"/>
            <w:noWrap/>
            <w:vAlign w:val="center"/>
            <w:hideMark/>
          </w:tcPr>
          <w:p w14:paraId="4B06049A" w14:textId="77777777" w:rsidR="00B63B63" w:rsidRPr="00F41283" w:rsidRDefault="00B63B63" w:rsidP="00E36C22">
            <w:pPr>
              <w:suppressLineNumbers/>
              <w:suppressAutoHyphens/>
              <w:jc w:val="right"/>
              <w:rPr>
                <w:color w:val="000000"/>
                <w:kern w:val="22"/>
                <w:sz w:val="17"/>
                <w:szCs w:val="17"/>
                <w:lang w:eastAsia="en-CA"/>
              </w:rPr>
            </w:pPr>
          </w:p>
        </w:tc>
        <w:tc>
          <w:tcPr>
            <w:tcW w:w="0" w:type="auto"/>
            <w:tcBorders>
              <w:top w:val="nil"/>
              <w:left w:val="nil"/>
              <w:bottom w:val="nil"/>
              <w:right w:val="nil"/>
            </w:tcBorders>
            <w:shd w:val="clear" w:color="auto" w:fill="auto"/>
            <w:noWrap/>
            <w:vAlign w:val="center"/>
            <w:hideMark/>
          </w:tcPr>
          <w:p w14:paraId="40EB569F" w14:textId="77777777" w:rsidR="00B63B63" w:rsidRPr="00F41283" w:rsidRDefault="00B63B63" w:rsidP="00E36C22">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1F66E0F7" w14:textId="77777777" w:rsidR="00B63B63" w:rsidRPr="00F41283" w:rsidRDefault="00B63B63" w:rsidP="00E36C22">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48D116FB" w14:textId="77777777" w:rsidR="00B63B63" w:rsidRPr="00F41283" w:rsidRDefault="00B63B63" w:rsidP="00E36C22">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186B7E51" w14:textId="77777777" w:rsidR="00B63B63" w:rsidRPr="00F41283" w:rsidRDefault="00B63B63" w:rsidP="00E36C22">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6ED9A8D0" w14:textId="77777777" w:rsidR="00B63B63" w:rsidRPr="00F41283" w:rsidRDefault="00B63B63" w:rsidP="00E36C22">
            <w:pPr>
              <w:suppressLineNumbers/>
              <w:suppressAutoHyphens/>
              <w:rPr>
                <w:color w:val="000000"/>
                <w:kern w:val="22"/>
                <w:sz w:val="16"/>
                <w:szCs w:val="16"/>
                <w:lang w:eastAsia="en-CA"/>
              </w:rPr>
            </w:pPr>
          </w:p>
        </w:tc>
      </w:tr>
      <w:tr w:rsidR="00B63B63" w:rsidRPr="001570B4" w14:paraId="72AA85D9" w14:textId="77777777" w:rsidTr="00E36C22">
        <w:trPr>
          <w:trHeight w:val="216"/>
        </w:trPr>
        <w:tc>
          <w:tcPr>
            <w:tcW w:w="0" w:type="auto"/>
            <w:gridSpan w:val="2"/>
            <w:tcBorders>
              <w:top w:val="nil"/>
              <w:left w:val="nil"/>
              <w:bottom w:val="nil"/>
              <w:right w:val="nil"/>
            </w:tcBorders>
            <w:shd w:val="clear" w:color="auto" w:fill="auto"/>
            <w:noWrap/>
            <w:hideMark/>
          </w:tcPr>
          <w:p w14:paraId="189C0DF0" w14:textId="77777777" w:rsidR="00B63B63" w:rsidRPr="00F41283" w:rsidRDefault="00B63B63" w:rsidP="00E36C22">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hideMark/>
          </w:tcPr>
          <w:p w14:paraId="35CF7439" w14:textId="77777777" w:rsidR="00B63B63" w:rsidRPr="00A708EB" w:rsidRDefault="00B63B63" w:rsidP="00E36C22">
            <w:pPr>
              <w:suppressLineNumbers/>
              <w:suppressAutoHyphens/>
              <w:jc w:val="left"/>
              <w:rPr>
                <w:color w:val="000000"/>
                <w:kern w:val="22"/>
                <w:sz w:val="16"/>
                <w:szCs w:val="16"/>
                <w:lang w:eastAsia="en-CA"/>
              </w:rPr>
            </w:pPr>
            <w:r w:rsidRPr="00A708EB">
              <w:rPr>
                <w:color w:val="000000"/>
                <w:kern w:val="22"/>
                <w:sz w:val="16"/>
                <w:szCs w:val="16"/>
                <w:lang w:eastAsia="en-CA"/>
              </w:rPr>
              <w:t xml:space="preserve">1/ Réunions ordinaires </w:t>
            </w:r>
            <w:r>
              <w:rPr>
                <w:color w:val="000000"/>
                <w:kern w:val="22"/>
                <w:sz w:val="16"/>
                <w:szCs w:val="16"/>
                <w:lang w:eastAsia="en-CA"/>
              </w:rPr>
              <w:t>qui seront financées à partir du</w:t>
            </w:r>
            <w:r w:rsidRPr="00A708EB">
              <w:rPr>
                <w:color w:val="000000"/>
                <w:kern w:val="22"/>
                <w:sz w:val="16"/>
                <w:szCs w:val="16"/>
                <w:lang w:eastAsia="en-CA"/>
              </w:rPr>
              <w:t xml:space="preserve"> budget de base:</w:t>
            </w:r>
          </w:p>
        </w:tc>
      </w:tr>
      <w:tr w:rsidR="00B63B63" w:rsidRPr="001570B4" w14:paraId="72DDBEC6" w14:textId="77777777" w:rsidTr="00E36C22">
        <w:trPr>
          <w:trHeight w:val="216"/>
        </w:trPr>
        <w:tc>
          <w:tcPr>
            <w:tcW w:w="0" w:type="auto"/>
            <w:gridSpan w:val="2"/>
            <w:tcBorders>
              <w:top w:val="nil"/>
              <w:left w:val="nil"/>
              <w:bottom w:val="nil"/>
              <w:right w:val="nil"/>
            </w:tcBorders>
            <w:shd w:val="clear" w:color="auto" w:fill="auto"/>
            <w:noWrap/>
            <w:hideMark/>
          </w:tcPr>
          <w:p w14:paraId="12DDB931" w14:textId="77777777" w:rsidR="00B63B63" w:rsidRPr="00A708EB" w:rsidRDefault="00B63B63" w:rsidP="00E36C22">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5F163AE1" w14:textId="77777777" w:rsidR="00B63B63" w:rsidRPr="00E44F07" w:rsidRDefault="00B63B63" w:rsidP="00E36C22">
            <w:pPr>
              <w:suppressLineNumbers/>
              <w:suppressAutoHyphens/>
              <w:jc w:val="left"/>
              <w:rPr>
                <w:color w:val="000000"/>
                <w:kern w:val="22"/>
                <w:sz w:val="16"/>
                <w:szCs w:val="16"/>
                <w:lang w:eastAsia="en-CA"/>
              </w:rPr>
            </w:pPr>
            <w:r w:rsidRPr="00E44F07">
              <w:rPr>
                <w:color w:val="000000"/>
                <w:kern w:val="22"/>
                <w:sz w:val="16"/>
                <w:szCs w:val="16"/>
                <w:lang w:eastAsia="en-CA"/>
              </w:rPr>
              <w:t xml:space="preserve">- </w:t>
            </w:r>
            <w:r>
              <w:rPr>
                <w:color w:val="000000"/>
                <w:kern w:val="22"/>
                <w:sz w:val="16"/>
                <w:szCs w:val="16"/>
                <w:lang w:eastAsia="en-CA"/>
              </w:rPr>
              <w:t xml:space="preserve">Onzième </w:t>
            </w:r>
            <w:r w:rsidRPr="003D33BB">
              <w:rPr>
                <w:color w:val="000000"/>
                <w:kern w:val="18"/>
                <w:sz w:val="16"/>
                <w:szCs w:val="16"/>
              </w:rPr>
              <w:t>réunion du Groupe de travail spécial sur l’article 8j) et les dispositions connexes</w:t>
            </w:r>
            <w:r w:rsidRPr="00E44F07">
              <w:rPr>
                <w:color w:val="000000"/>
                <w:kern w:val="22"/>
                <w:sz w:val="16"/>
                <w:szCs w:val="16"/>
                <w:lang w:eastAsia="en-CA"/>
              </w:rPr>
              <w:t>.</w:t>
            </w:r>
          </w:p>
        </w:tc>
      </w:tr>
      <w:tr w:rsidR="00B63B63" w:rsidRPr="001570B4" w14:paraId="2C81A6F8" w14:textId="77777777" w:rsidTr="00E36C22">
        <w:tc>
          <w:tcPr>
            <w:tcW w:w="0" w:type="auto"/>
            <w:tcBorders>
              <w:top w:val="nil"/>
              <w:left w:val="nil"/>
              <w:bottom w:val="nil"/>
              <w:right w:val="nil"/>
            </w:tcBorders>
            <w:shd w:val="clear" w:color="auto" w:fill="auto"/>
            <w:noWrap/>
            <w:hideMark/>
          </w:tcPr>
          <w:p w14:paraId="3FECA77E" w14:textId="77777777" w:rsidR="00B63B63" w:rsidRPr="00E44F07" w:rsidRDefault="00B63B63" w:rsidP="00E36C22">
            <w:pPr>
              <w:suppressLineNumbers/>
              <w:suppressAutoHyphens/>
              <w:jc w:val="left"/>
              <w:rPr>
                <w:color w:val="000000"/>
                <w:kern w:val="22"/>
                <w:sz w:val="17"/>
                <w:szCs w:val="17"/>
                <w:lang w:eastAsia="en-CA"/>
              </w:rPr>
            </w:pPr>
          </w:p>
        </w:tc>
        <w:tc>
          <w:tcPr>
            <w:tcW w:w="0" w:type="auto"/>
            <w:gridSpan w:val="6"/>
            <w:tcBorders>
              <w:top w:val="nil"/>
              <w:left w:val="nil"/>
              <w:bottom w:val="nil"/>
              <w:right w:val="nil"/>
            </w:tcBorders>
            <w:shd w:val="clear" w:color="auto" w:fill="auto"/>
            <w:noWrap/>
            <w:hideMark/>
          </w:tcPr>
          <w:p w14:paraId="74E26676" w14:textId="77777777" w:rsidR="00B63B63" w:rsidRPr="00E44F07" w:rsidRDefault="00B63B63" w:rsidP="00E36C22">
            <w:pPr>
              <w:suppressLineNumbers/>
              <w:suppressAutoHyphens/>
              <w:jc w:val="left"/>
              <w:rPr>
                <w:color w:val="000000"/>
                <w:kern w:val="22"/>
                <w:sz w:val="16"/>
                <w:szCs w:val="16"/>
                <w:lang w:eastAsia="en-CA"/>
              </w:rPr>
            </w:pPr>
            <w:r w:rsidRPr="00E44F07">
              <w:rPr>
                <w:color w:val="000000"/>
                <w:kern w:val="22"/>
                <w:sz w:val="16"/>
                <w:szCs w:val="16"/>
                <w:lang w:eastAsia="en-CA"/>
              </w:rPr>
              <w:t xml:space="preserve">  - </w:t>
            </w:r>
            <w:r>
              <w:rPr>
                <w:color w:val="000000"/>
                <w:kern w:val="22"/>
                <w:sz w:val="16"/>
                <w:szCs w:val="16"/>
                <w:lang w:eastAsia="en-CA"/>
              </w:rPr>
              <w:t xml:space="preserve">Vingt-troisième et vingt-quatrième </w:t>
            </w:r>
            <w:r w:rsidRPr="003D33BB">
              <w:rPr>
                <w:iCs/>
                <w:kern w:val="18"/>
                <w:sz w:val="16"/>
                <w:szCs w:val="16"/>
              </w:rPr>
              <w:t>réunions de l’Organe subsidiaire chargé de fournir des avis scientifiques, techniques et technologiques</w:t>
            </w:r>
            <w:r w:rsidRPr="00E44F07">
              <w:rPr>
                <w:color w:val="000000"/>
                <w:kern w:val="22"/>
                <w:sz w:val="16"/>
                <w:szCs w:val="16"/>
                <w:lang w:eastAsia="en-CA"/>
              </w:rPr>
              <w:t>.</w:t>
            </w:r>
          </w:p>
        </w:tc>
      </w:tr>
      <w:tr w:rsidR="00B63B63" w:rsidRPr="001570B4" w14:paraId="71519122" w14:textId="77777777" w:rsidTr="00E36C22">
        <w:trPr>
          <w:trHeight w:val="216"/>
        </w:trPr>
        <w:tc>
          <w:tcPr>
            <w:tcW w:w="0" w:type="auto"/>
            <w:gridSpan w:val="2"/>
            <w:tcBorders>
              <w:top w:val="nil"/>
              <w:left w:val="nil"/>
              <w:bottom w:val="nil"/>
              <w:right w:val="nil"/>
            </w:tcBorders>
            <w:shd w:val="clear" w:color="auto" w:fill="auto"/>
            <w:noWrap/>
            <w:hideMark/>
          </w:tcPr>
          <w:p w14:paraId="04EF335E" w14:textId="77777777" w:rsidR="00B63B63" w:rsidRPr="00E44F07" w:rsidRDefault="00B63B63" w:rsidP="00E36C22">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67924442" w14:textId="77777777" w:rsidR="00B63B63" w:rsidRPr="00E44F07" w:rsidRDefault="00B63B63" w:rsidP="00E36C22">
            <w:pPr>
              <w:suppressLineNumbers/>
              <w:suppressAutoHyphens/>
              <w:jc w:val="left"/>
              <w:rPr>
                <w:color w:val="000000"/>
                <w:kern w:val="22"/>
                <w:sz w:val="16"/>
                <w:szCs w:val="16"/>
                <w:lang w:eastAsia="en-CA"/>
              </w:rPr>
            </w:pPr>
            <w:r w:rsidRPr="00E44F07">
              <w:rPr>
                <w:color w:val="000000"/>
                <w:kern w:val="22"/>
                <w:sz w:val="16"/>
                <w:szCs w:val="16"/>
                <w:lang w:eastAsia="en-CA"/>
              </w:rPr>
              <w:t xml:space="preserve">- Troisième </w:t>
            </w:r>
            <w:r w:rsidRPr="00E44F07">
              <w:rPr>
                <w:color w:val="000000"/>
                <w:kern w:val="18"/>
                <w:sz w:val="16"/>
                <w:szCs w:val="16"/>
              </w:rPr>
              <w:t>réunion de l’Organe subsidiaire chargé de l’application</w:t>
            </w:r>
            <w:r w:rsidRPr="00E44F07">
              <w:rPr>
                <w:color w:val="000000"/>
                <w:kern w:val="22"/>
                <w:sz w:val="16"/>
                <w:szCs w:val="16"/>
                <w:lang w:eastAsia="en-CA"/>
              </w:rPr>
              <w:t>.</w:t>
            </w:r>
          </w:p>
        </w:tc>
      </w:tr>
      <w:tr w:rsidR="00B63B63" w:rsidRPr="001570B4" w14:paraId="2B8DB171" w14:textId="77777777" w:rsidTr="00E36C22">
        <w:trPr>
          <w:trHeight w:val="216"/>
        </w:trPr>
        <w:tc>
          <w:tcPr>
            <w:tcW w:w="0" w:type="auto"/>
            <w:gridSpan w:val="2"/>
            <w:tcBorders>
              <w:top w:val="nil"/>
              <w:left w:val="nil"/>
              <w:bottom w:val="nil"/>
              <w:right w:val="nil"/>
            </w:tcBorders>
            <w:shd w:val="clear" w:color="auto" w:fill="auto"/>
            <w:noWrap/>
            <w:hideMark/>
          </w:tcPr>
          <w:p w14:paraId="6139BA8A" w14:textId="77777777" w:rsidR="00B63B63" w:rsidRPr="00E44F07" w:rsidRDefault="00B63B63" w:rsidP="00E36C22">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7EB61D44" w14:textId="77777777" w:rsidR="00B63B63" w:rsidRPr="00AF45BD" w:rsidRDefault="00B63B63" w:rsidP="00E36C22">
            <w:pPr>
              <w:suppressLineNumbers/>
              <w:suppressAutoHyphens/>
              <w:jc w:val="left"/>
              <w:rPr>
                <w:color w:val="000000"/>
                <w:kern w:val="22"/>
                <w:sz w:val="16"/>
                <w:szCs w:val="16"/>
                <w:lang w:eastAsia="en-CA"/>
              </w:rPr>
            </w:pPr>
            <w:r w:rsidRPr="00AF45BD">
              <w:rPr>
                <w:color w:val="000000"/>
                <w:kern w:val="22"/>
                <w:sz w:val="16"/>
                <w:szCs w:val="16"/>
                <w:lang w:eastAsia="en-CA"/>
              </w:rPr>
              <w:t xml:space="preserve">- </w:t>
            </w:r>
            <w:r>
              <w:rPr>
                <w:color w:val="000000"/>
                <w:kern w:val="22"/>
                <w:sz w:val="16"/>
                <w:szCs w:val="16"/>
                <w:lang w:eastAsia="en-CA"/>
              </w:rPr>
              <w:t xml:space="preserve">Quinzième </w:t>
            </w:r>
            <w:r w:rsidRPr="003D33BB">
              <w:rPr>
                <w:kern w:val="18"/>
                <w:sz w:val="16"/>
                <w:szCs w:val="16"/>
              </w:rPr>
              <w:t>réunion de la Conférence d</w:t>
            </w:r>
            <w:r>
              <w:rPr>
                <w:kern w:val="18"/>
                <w:sz w:val="16"/>
                <w:szCs w:val="16"/>
              </w:rPr>
              <w:t>es Parties à la Convention/ Dix</w:t>
            </w:r>
            <w:r w:rsidRPr="003D33BB">
              <w:rPr>
                <w:kern w:val="18"/>
                <w:sz w:val="16"/>
                <w:szCs w:val="16"/>
              </w:rPr>
              <w:t xml:space="preserve">ième réunion des Parties </w:t>
            </w:r>
            <w:r>
              <w:rPr>
                <w:kern w:val="18"/>
                <w:sz w:val="16"/>
                <w:szCs w:val="16"/>
              </w:rPr>
              <w:t>au Protocole  de Cartagena/Quatr</w:t>
            </w:r>
            <w:r w:rsidRPr="003D33BB">
              <w:rPr>
                <w:kern w:val="18"/>
                <w:sz w:val="16"/>
                <w:szCs w:val="16"/>
              </w:rPr>
              <w:t>ième réunion des Parties au Protocol</w:t>
            </w:r>
            <w:r>
              <w:rPr>
                <w:kern w:val="18"/>
                <w:sz w:val="16"/>
                <w:szCs w:val="16"/>
              </w:rPr>
              <w:t>e de Nagoya, tenues de façon concomitante</w:t>
            </w:r>
            <w:r w:rsidRPr="00AF45BD">
              <w:rPr>
                <w:color w:val="000000"/>
                <w:kern w:val="22"/>
                <w:sz w:val="16"/>
                <w:szCs w:val="16"/>
                <w:lang w:eastAsia="en-CA"/>
              </w:rPr>
              <w:t>.</w:t>
            </w:r>
          </w:p>
        </w:tc>
      </w:tr>
      <w:tr w:rsidR="00B63B63" w:rsidRPr="001570B4" w14:paraId="02FBB41C" w14:textId="77777777" w:rsidTr="00E36C22">
        <w:trPr>
          <w:trHeight w:val="99"/>
        </w:trPr>
        <w:tc>
          <w:tcPr>
            <w:tcW w:w="0" w:type="auto"/>
            <w:gridSpan w:val="2"/>
            <w:tcBorders>
              <w:top w:val="nil"/>
              <w:left w:val="nil"/>
              <w:bottom w:val="nil"/>
              <w:right w:val="nil"/>
            </w:tcBorders>
            <w:shd w:val="clear" w:color="auto" w:fill="auto"/>
            <w:noWrap/>
            <w:hideMark/>
          </w:tcPr>
          <w:p w14:paraId="75DCF9B7" w14:textId="77777777" w:rsidR="00B63B63" w:rsidRPr="00AF45BD" w:rsidRDefault="00B63B63" w:rsidP="00E36C22">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3964CE21" w14:textId="77777777" w:rsidR="00B63B63" w:rsidRPr="00AF45BD" w:rsidRDefault="00B63B63" w:rsidP="00E36C22">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6B448A26" w14:textId="77777777" w:rsidR="00B63B63" w:rsidRPr="00AF45BD" w:rsidRDefault="00B63B63" w:rsidP="00E36C22">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3F74BC8E" w14:textId="77777777" w:rsidR="00B63B63" w:rsidRPr="00AF45BD" w:rsidRDefault="00B63B63" w:rsidP="00E36C22">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7C726B06" w14:textId="77777777" w:rsidR="00B63B63" w:rsidRPr="00AF45BD" w:rsidRDefault="00B63B63" w:rsidP="00E36C22">
            <w:pPr>
              <w:suppressLineNumbers/>
              <w:suppressAutoHyphens/>
              <w:jc w:val="left"/>
              <w:rPr>
                <w:color w:val="000000"/>
                <w:kern w:val="22"/>
                <w:sz w:val="16"/>
                <w:szCs w:val="16"/>
                <w:lang w:eastAsia="en-CA"/>
              </w:rPr>
            </w:pPr>
          </w:p>
        </w:tc>
        <w:tc>
          <w:tcPr>
            <w:tcW w:w="0" w:type="auto"/>
            <w:tcBorders>
              <w:top w:val="nil"/>
              <w:left w:val="nil"/>
              <w:bottom w:val="nil"/>
              <w:right w:val="nil"/>
            </w:tcBorders>
            <w:shd w:val="clear" w:color="auto" w:fill="auto"/>
            <w:noWrap/>
            <w:hideMark/>
          </w:tcPr>
          <w:p w14:paraId="4C80C468" w14:textId="77777777" w:rsidR="00B63B63" w:rsidRPr="00AF45BD" w:rsidRDefault="00B63B63" w:rsidP="00E36C22">
            <w:pPr>
              <w:suppressLineNumbers/>
              <w:suppressAutoHyphens/>
              <w:jc w:val="left"/>
              <w:rPr>
                <w:color w:val="000000"/>
                <w:kern w:val="22"/>
                <w:sz w:val="16"/>
                <w:szCs w:val="16"/>
                <w:lang w:eastAsia="en-CA"/>
              </w:rPr>
            </w:pPr>
          </w:p>
        </w:tc>
      </w:tr>
      <w:tr w:rsidR="00B63B63" w:rsidRPr="00AF45BD" w14:paraId="228DA94F" w14:textId="77777777" w:rsidTr="00E36C22">
        <w:tc>
          <w:tcPr>
            <w:tcW w:w="0" w:type="auto"/>
            <w:gridSpan w:val="2"/>
            <w:tcBorders>
              <w:top w:val="nil"/>
              <w:left w:val="nil"/>
              <w:bottom w:val="nil"/>
              <w:right w:val="nil"/>
            </w:tcBorders>
            <w:shd w:val="clear" w:color="auto" w:fill="auto"/>
            <w:noWrap/>
            <w:hideMark/>
          </w:tcPr>
          <w:p w14:paraId="0D393FFC" w14:textId="77777777" w:rsidR="00B63B63" w:rsidRPr="00AF45BD" w:rsidRDefault="00B63B63" w:rsidP="00E36C22">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685867A9" w14:textId="77777777" w:rsidR="00B63B63" w:rsidRPr="00AF45BD" w:rsidRDefault="00B63B63" w:rsidP="00E36C22">
            <w:pPr>
              <w:suppressLineNumbers/>
              <w:suppressAutoHyphens/>
              <w:jc w:val="left"/>
              <w:rPr>
                <w:color w:val="000000"/>
                <w:kern w:val="22"/>
                <w:sz w:val="16"/>
                <w:szCs w:val="16"/>
                <w:lang w:eastAsia="en-CA"/>
              </w:rPr>
            </w:pPr>
            <w:r w:rsidRPr="00AF45BD">
              <w:rPr>
                <w:color w:val="000000"/>
                <w:kern w:val="22"/>
                <w:sz w:val="16"/>
                <w:szCs w:val="16"/>
                <w:lang w:eastAsia="en-CA"/>
              </w:rPr>
              <w:t xml:space="preserve">2/ Réunions </w:t>
            </w:r>
            <w:r>
              <w:rPr>
                <w:color w:val="000000"/>
                <w:kern w:val="22"/>
                <w:sz w:val="16"/>
                <w:szCs w:val="16"/>
                <w:lang w:eastAsia="en-CA"/>
              </w:rPr>
              <w:t>consé</w:t>
            </w:r>
            <w:r w:rsidRPr="00AF45BD">
              <w:rPr>
                <w:color w:val="000000"/>
                <w:kern w:val="22"/>
                <w:sz w:val="16"/>
                <w:szCs w:val="16"/>
                <w:lang w:eastAsia="en-CA"/>
              </w:rPr>
              <w:t>cutives SBSTTA-23 (3 jours</w:t>
            </w:r>
            <w:r>
              <w:rPr>
                <w:color w:val="000000"/>
                <w:kern w:val="22"/>
                <w:sz w:val="16"/>
                <w:szCs w:val="16"/>
                <w:lang w:eastAsia="en-CA"/>
              </w:rPr>
              <w:t>) et</w:t>
            </w:r>
            <w:r w:rsidRPr="00AF45BD">
              <w:rPr>
                <w:color w:val="000000"/>
                <w:kern w:val="22"/>
                <w:sz w:val="16"/>
                <w:szCs w:val="16"/>
                <w:lang w:eastAsia="en-CA"/>
              </w:rPr>
              <w:t xml:space="preserve"> Art. 8 j)-11 (3 jours) en 2019. Réunions consécutives SBSTTA-24 (6 jour</w:t>
            </w:r>
            <w:r>
              <w:rPr>
                <w:color w:val="000000"/>
                <w:kern w:val="22"/>
                <w:sz w:val="16"/>
                <w:szCs w:val="16"/>
                <w:lang w:eastAsia="en-CA"/>
              </w:rPr>
              <w:t>s) et</w:t>
            </w:r>
            <w:r w:rsidRPr="00AF45BD">
              <w:rPr>
                <w:color w:val="000000"/>
                <w:kern w:val="22"/>
                <w:sz w:val="16"/>
                <w:szCs w:val="16"/>
                <w:lang w:eastAsia="en-CA"/>
              </w:rPr>
              <w:t xml:space="preserve"> SBI-3 (5 jours) en 2020.</w:t>
            </w:r>
          </w:p>
        </w:tc>
      </w:tr>
      <w:tr w:rsidR="00B63B63" w:rsidRPr="001570B4" w14:paraId="61879144" w14:textId="77777777" w:rsidTr="00E36C22">
        <w:tc>
          <w:tcPr>
            <w:tcW w:w="0" w:type="auto"/>
            <w:gridSpan w:val="2"/>
            <w:tcBorders>
              <w:top w:val="nil"/>
              <w:left w:val="nil"/>
              <w:bottom w:val="nil"/>
              <w:right w:val="nil"/>
            </w:tcBorders>
            <w:shd w:val="clear" w:color="auto" w:fill="auto"/>
            <w:noWrap/>
            <w:hideMark/>
          </w:tcPr>
          <w:p w14:paraId="2FA50DF9" w14:textId="77777777" w:rsidR="00B63B63" w:rsidRPr="00AF45BD" w:rsidRDefault="00B63B63" w:rsidP="00E36C22">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6A15CDDD" w14:textId="77777777" w:rsidR="00B63B63" w:rsidRPr="00AF45BD" w:rsidRDefault="00B63B63" w:rsidP="00E36C22">
            <w:pPr>
              <w:suppressLineNumbers/>
              <w:suppressAutoHyphens/>
              <w:jc w:val="left"/>
              <w:rPr>
                <w:color w:val="000000"/>
                <w:kern w:val="22"/>
                <w:sz w:val="16"/>
                <w:szCs w:val="16"/>
                <w:lang w:eastAsia="en-CA"/>
              </w:rPr>
            </w:pPr>
            <w:r w:rsidRPr="00AF45BD">
              <w:rPr>
                <w:color w:val="000000"/>
                <w:kern w:val="22"/>
                <w:sz w:val="16"/>
                <w:szCs w:val="16"/>
                <w:lang w:eastAsia="en-CA"/>
              </w:rPr>
              <w:t xml:space="preserve">3/ Budget pour </w:t>
            </w:r>
            <w:r>
              <w:rPr>
                <w:color w:val="000000"/>
                <w:kern w:val="22"/>
                <w:sz w:val="16"/>
                <w:szCs w:val="16"/>
                <w:lang w:eastAsia="en-CA"/>
              </w:rPr>
              <w:t xml:space="preserve">la </w:t>
            </w:r>
            <w:r w:rsidRPr="00AF45BD">
              <w:rPr>
                <w:color w:val="000000"/>
                <w:kern w:val="22"/>
                <w:sz w:val="16"/>
                <w:szCs w:val="16"/>
                <w:lang w:eastAsia="en-CA"/>
              </w:rPr>
              <w:t>COP-15/COP-MOP 10 et COP-MOP 4</w:t>
            </w:r>
            <w:r>
              <w:rPr>
                <w:color w:val="000000"/>
                <w:kern w:val="22"/>
                <w:sz w:val="16"/>
                <w:szCs w:val="16"/>
                <w:lang w:eastAsia="en-CA"/>
              </w:rPr>
              <w:t>,</w:t>
            </w:r>
            <w:r w:rsidRPr="00AF45BD">
              <w:rPr>
                <w:color w:val="000000"/>
                <w:kern w:val="22"/>
                <w:sz w:val="16"/>
                <w:szCs w:val="16"/>
                <w:lang w:eastAsia="en-CA"/>
              </w:rPr>
              <w:t xml:space="preserve"> </w:t>
            </w:r>
            <w:r w:rsidRPr="003D33BB">
              <w:rPr>
                <w:kern w:val="18"/>
                <w:sz w:val="16"/>
                <w:szCs w:val="16"/>
              </w:rPr>
              <w:t xml:space="preserve">divisé en </w:t>
            </w:r>
            <w:r>
              <w:rPr>
                <w:kern w:val="18"/>
                <w:sz w:val="16"/>
                <w:szCs w:val="16"/>
              </w:rPr>
              <w:t xml:space="preserve">deux </w:t>
            </w:r>
            <w:r w:rsidRPr="003D33BB">
              <w:rPr>
                <w:kern w:val="18"/>
                <w:sz w:val="16"/>
                <w:szCs w:val="16"/>
              </w:rPr>
              <w:t>parts égales entre les deux années de l’exercice biennal</w:t>
            </w:r>
            <w:r w:rsidRPr="00AF45BD">
              <w:rPr>
                <w:color w:val="000000"/>
                <w:kern w:val="22"/>
                <w:sz w:val="16"/>
                <w:szCs w:val="16"/>
                <w:lang w:eastAsia="en-CA"/>
              </w:rPr>
              <w:t>.</w:t>
            </w:r>
          </w:p>
        </w:tc>
      </w:tr>
      <w:tr w:rsidR="00B63B63" w:rsidRPr="001570B4" w14:paraId="5275D836" w14:textId="77777777" w:rsidTr="00E36C22">
        <w:tc>
          <w:tcPr>
            <w:tcW w:w="0" w:type="auto"/>
            <w:gridSpan w:val="2"/>
            <w:tcBorders>
              <w:top w:val="nil"/>
              <w:left w:val="nil"/>
              <w:bottom w:val="nil"/>
              <w:right w:val="nil"/>
            </w:tcBorders>
            <w:shd w:val="clear" w:color="auto" w:fill="auto"/>
            <w:noWrap/>
            <w:hideMark/>
          </w:tcPr>
          <w:p w14:paraId="28DCD2D1" w14:textId="77777777" w:rsidR="00B63B63" w:rsidRPr="00AF45BD" w:rsidRDefault="00B63B63" w:rsidP="00E36C22">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3A907218" w14:textId="77777777" w:rsidR="00B63B63" w:rsidRPr="00AF45BD" w:rsidRDefault="00B63B63" w:rsidP="00E36C22">
            <w:pPr>
              <w:suppressLineNumbers/>
              <w:suppressAutoHyphens/>
              <w:jc w:val="left"/>
              <w:rPr>
                <w:color w:val="000000"/>
                <w:kern w:val="22"/>
                <w:sz w:val="16"/>
                <w:szCs w:val="16"/>
                <w:lang w:eastAsia="en-CA"/>
              </w:rPr>
            </w:pPr>
            <w:r w:rsidRPr="00AF45BD">
              <w:rPr>
                <w:color w:val="000000"/>
                <w:kern w:val="22"/>
                <w:sz w:val="16"/>
                <w:szCs w:val="16"/>
                <w:lang w:eastAsia="en-CA"/>
              </w:rPr>
              <w:t xml:space="preserve">4/ </w:t>
            </w:r>
            <w:r>
              <w:rPr>
                <w:color w:val="000000"/>
                <w:kern w:val="22"/>
                <w:sz w:val="16"/>
                <w:szCs w:val="16"/>
                <w:lang w:eastAsia="en-CA"/>
              </w:rPr>
              <w:t>Deux sessions</w:t>
            </w:r>
            <w:r w:rsidRPr="00AF45BD">
              <w:rPr>
                <w:color w:val="000000"/>
                <w:kern w:val="22"/>
                <w:sz w:val="16"/>
                <w:szCs w:val="16"/>
                <w:lang w:eastAsia="en-CA"/>
              </w:rPr>
              <w:t xml:space="preserve"> d</w:t>
            </w:r>
            <w:r>
              <w:rPr>
                <w:color w:val="000000"/>
                <w:kern w:val="22"/>
                <w:sz w:val="16"/>
                <w:szCs w:val="16"/>
                <w:lang w:eastAsia="en-CA"/>
              </w:rPr>
              <w:t>e</w:t>
            </w:r>
            <w:r w:rsidRPr="00AF45BD">
              <w:rPr>
                <w:color w:val="000000"/>
                <w:kern w:val="22"/>
                <w:sz w:val="16"/>
                <w:szCs w:val="16"/>
                <w:lang w:eastAsia="en-CA"/>
              </w:rPr>
              <w:t xml:space="preserve"> réunions extraordinaire</w:t>
            </w:r>
            <w:r>
              <w:rPr>
                <w:color w:val="000000"/>
                <w:kern w:val="22"/>
                <w:sz w:val="16"/>
                <w:szCs w:val="16"/>
                <w:lang w:eastAsia="en-CA"/>
              </w:rPr>
              <w:t>s distinctes, de 5 jours chacune, plus 2 jour</w:t>
            </w:r>
            <w:r w:rsidRPr="00AF45BD">
              <w:rPr>
                <w:color w:val="000000"/>
                <w:kern w:val="22"/>
                <w:sz w:val="16"/>
                <w:szCs w:val="16"/>
                <w:lang w:eastAsia="en-CA"/>
              </w:rPr>
              <w:t>s</w:t>
            </w:r>
            <w:r>
              <w:rPr>
                <w:color w:val="000000"/>
                <w:kern w:val="22"/>
                <w:sz w:val="16"/>
                <w:szCs w:val="16"/>
                <w:lang w:eastAsia="en-CA"/>
              </w:rPr>
              <w:t xml:space="preserve"> ajoutés pour </w:t>
            </w:r>
            <w:r w:rsidRPr="00AF45BD">
              <w:rPr>
                <w:color w:val="000000"/>
                <w:kern w:val="22"/>
                <w:sz w:val="16"/>
                <w:szCs w:val="16"/>
                <w:lang w:eastAsia="en-CA"/>
              </w:rPr>
              <w:t>SBSTTA-23</w:t>
            </w:r>
            <w:r>
              <w:rPr>
                <w:color w:val="000000"/>
                <w:kern w:val="22"/>
                <w:sz w:val="16"/>
                <w:szCs w:val="16"/>
                <w:lang w:eastAsia="en-CA"/>
              </w:rPr>
              <w:t>.</w:t>
            </w:r>
          </w:p>
        </w:tc>
      </w:tr>
      <w:tr w:rsidR="00B63B63" w:rsidRPr="00A740C0" w14:paraId="455D16A2" w14:textId="77777777" w:rsidTr="00E36C22">
        <w:tc>
          <w:tcPr>
            <w:tcW w:w="0" w:type="auto"/>
            <w:gridSpan w:val="2"/>
            <w:tcBorders>
              <w:top w:val="nil"/>
              <w:left w:val="nil"/>
              <w:bottom w:val="nil"/>
              <w:right w:val="nil"/>
            </w:tcBorders>
            <w:shd w:val="clear" w:color="auto" w:fill="auto"/>
            <w:noWrap/>
            <w:hideMark/>
          </w:tcPr>
          <w:p w14:paraId="0DF47320" w14:textId="77777777" w:rsidR="00B63B63" w:rsidRPr="00AF45BD" w:rsidRDefault="00B63B63" w:rsidP="00E36C22">
            <w:pPr>
              <w:suppressLineNumbers/>
              <w:suppressAutoHyphens/>
              <w:jc w:val="left"/>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75F14E7D" w14:textId="77777777" w:rsidR="00B63B63" w:rsidRPr="00F41283" w:rsidRDefault="00B63B63" w:rsidP="00E36C22">
            <w:pPr>
              <w:suppressLineNumbers/>
              <w:suppressAutoHyphens/>
              <w:jc w:val="left"/>
              <w:rPr>
                <w:color w:val="000000"/>
                <w:kern w:val="22"/>
                <w:sz w:val="16"/>
                <w:szCs w:val="16"/>
                <w:lang w:eastAsia="en-CA"/>
              </w:rPr>
            </w:pPr>
            <w:r>
              <w:rPr>
                <w:color w:val="000000"/>
                <w:kern w:val="22"/>
                <w:sz w:val="16"/>
                <w:szCs w:val="16"/>
                <w:lang w:eastAsia="en-CA"/>
              </w:rPr>
              <w:t>5/ Indicatif.</w:t>
            </w:r>
          </w:p>
        </w:tc>
      </w:tr>
    </w:tbl>
    <w:p w14:paraId="33A5AD7F" w14:textId="77777777" w:rsidR="00E36C22" w:rsidRDefault="00E36C22" w:rsidP="00E36C22">
      <w:pPr>
        <w:jc w:val="left"/>
        <w:rPr>
          <w:kern w:val="22"/>
        </w:rPr>
        <w:sectPr w:rsidR="00E36C22" w:rsidSect="00B63B63">
          <w:headerReference w:type="even" r:id="rId33"/>
          <w:headerReference w:type="default" r:id="rId34"/>
          <w:type w:val="continuous"/>
          <w:pgSz w:w="12240" w:h="15840"/>
          <w:pgMar w:top="567" w:right="1389" w:bottom="1134" w:left="1389" w:header="709" w:footer="709" w:gutter="0"/>
          <w:cols w:space="708"/>
          <w:titlePg/>
          <w:docGrid w:linePitch="360"/>
        </w:sectPr>
      </w:pPr>
    </w:p>
    <w:p w14:paraId="479D3EEE" w14:textId="5B6B4FC7" w:rsidR="00E36C22" w:rsidRPr="00F41283" w:rsidRDefault="00E36C22" w:rsidP="00B63B63">
      <w:pPr>
        <w:suppressLineNumbers/>
        <w:suppressAutoHyphens/>
        <w:jc w:val="left"/>
        <w:rPr>
          <w:kern w:val="22"/>
        </w:rPr>
      </w:pPr>
    </w:p>
    <w:p w14:paraId="25E966A0" w14:textId="77777777" w:rsidR="00981B76" w:rsidRPr="00A708EB" w:rsidRDefault="00981B76" w:rsidP="00981B76">
      <w:pPr>
        <w:suppressLineNumbers/>
        <w:suppressAutoHyphens/>
        <w:ind w:left="1134" w:hanging="1134"/>
        <w:rPr>
          <w:b/>
          <w:kern w:val="22"/>
        </w:rPr>
      </w:pPr>
      <w:r w:rsidRPr="00A708EB">
        <w:rPr>
          <w:b/>
          <w:kern w:val="22"/>
        </w:rPr>
        <w:t>Tableau 2.  Contributions au Fonds d'affectation spéciale du Protocole de Cartagen</w:t>
      </w:r>
      <w:r>
        <w:rPr>
          <w:b/>
          <w:kern w:val="22"/>
        </w:rPr>
        <w:t xml:space="preserve">a sur la prévention des risques biotechnologiques pour l’exercice biennal </w:t>
      </w:r>
      <w:r w:rsidRPr="00A708EB">
        <w:rPr>
          <w:b/>
          <w:kern w:val="22"/>
        </w:rPr>
        <w:t>2019-2020</w:t>
      </w:r>
      <w:r w:rsidRPr="00F41283">
        <w:rPr>
          <w:rStyle w:val="FootnoteReference"/>
          <w:b/>
          <w:kern w:val="22"/>
        </w:rPr>
        <w:footnoteReference w:id="25"/>
      </w:r>
    </w:p>
    <w:p w14:paraId="0612DC46" w14:textId="77777777" w:rsidR="00981B76" w:rsidRPr="00A708EB" w:rsidRDefault="00981B76" w:rsidP="00981B76">
      <w:pPr>
        <w:suppressLineNumbers/>
        <w:suppressAutoHyphens/>
        <w:rPr>
          <w:kern w:val="22"/>
        </w:rPr>
      </w:pPr>
    </w:p>
    <w:tbl>
      <w:tblPr>
        <w:tblW w:w="0" w:type="auto"/>
        <w:jc w:val="center"/>
        <w:tblLook w:val="04A0" w:firstRow="1" w:lastRow="0" w:firstColumn="1" w:lastColumn="0" w:noHBand="0" w:noVBand="1"/>
      </w:tblPr>
      <w:tblGrid>
        <w:gridCol w:w="2485"/>
        <w:gridCol w:w="2288"/>
        <w:gridCol w:w="3744"/>
        <w:gridCol w:w="2070"/>
        <w:gridCol w:w="2070"/>
        <w:gridCol w:w="1472"/>
      </w:tblGrid>
      <w:tr w:rsidR="00981B76" w:rsidRPr="00C678EF" w14:paraId="6F109982" w14:textId="77777777" w:rsidTr="00E83799">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91C3C" w14:textId="77777777" w:rsidR="00981B76" w:rsidRPr="008E044D" w:rsidRDefault="00981B76" w:rsidP="00E83799">
            <w:pPr>
              <w:jc w:val="center"/>
              <w:rPr>
                <w:b/>
                <w:bCs/>
                <w:szCs w:val="22"/>
                <w:lang w:eastAsia="en-CA"/>
              </w:rPr>
            </w:pPr>
            <w:r w:rsidRPr="008E044D">
              <w:rPr>
                <w:b/>
                <w:bCs/>
                <w:szCs w:val="22"/>
                <w:lang w:eastAsia="en-CA"/>
              </w:rPr>
              <w:t>Part</w:t>
            </w:r>
            <w:r>
              <w:rPr>
                <w:b/>
                <w:bCs/>
                <w:szCs w:val="22"/>
                <w:lang w:eastAsia="en-CA"/>
              </w:rPr>
              <w:t>ie</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38DCE31E" w14:textId="59411D37" w:rsidR="00981B76" w:rsidRPr="00A708EB" w:rsidRDefault="00981B76" w:rsidP="00E83799">
            <w:pPr>
              <w:jc w:val="center"/>
              <w:rPr>
                <w:b/>
                <w:bCs/>
                <w:szCs w:val="22"/>
                <w:lang w:eastAsia="en-CA"/>
              </w:rPr>
            </w:pPr>
            <w:r w:rsidRPr="00A708EB">
              <w:rPr>
                <w:b/>
                <w:bCs/>
                <w:szCs w:val="22"/>
                <w:lang w:eastAsia="en-CA"/>
              </w:rPr>
              <w:t xml:space="preserve">Barème des </w:t>
            </w:r>
            <w:r w:rsidR="002F0B9E" w:rsidRPr="00A708EB">
              <w:rPr>
                <w:b/>
                <w:bCs/>
                <w:szCs w:val="22"/>
                <w:lang w:eastAsia="en-CA"/>
              </w:rPr>
              <w:t>quotes-parts</w:t>
            </w:r>
            <w:r w:rsidRPr="00A708EB">
              <w:rPr>
                <w:b/>
                <w:bCs/>
                <w:szCs w:val="22"/>
                <w:lang w:eastAsia="en-CA"/>
              </w:rPr>
              <w:t xml:space="preserve"> pour 2016-2018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01CE04" w14:textId="77777777" w:rsidR="00981B76" w:rsidRPr="00A708EB" w:rsidRDefault="00981B76" w:rsidP="00E83799">
            <w:pPr>
              <w:jc w:val="center"/>
              <w:rPr>
                <w:b/>
                <w:bCs/>
                <w:szCs w:val="22"/>
                <w:lang w:eastAsia="en-CA"/>
              </w:rPr>
            </w:pPr>
            <w:r w:rsidRPr="00A708EB">
              <w:rPr>
                <w:b/>
                <w:bCs/>
                <w:szCs w:val="22"/>
                <w:lang w:eastAsia="en-CA"/>
              </w:rPr>
              <w:t>Bar</w:t>
            </w:r>
            <w:r>
              <w:rPr>
                <w:b/>
                <w:bCs/>
                <w:szCs w:val="22"/>
                <w:lang w:eastAsia="en-CA"/>
              </w:rPr>
              <w:t>ème assorti d’un plafond de 22%; aucun pays moins avancé ne paie plus de 0,</w:t>
            </w:r>
            <w:r w:rsidRPr="00A708EB">
              <w:rPr>
                <w:b/>
                <w:bCs/>
                <w:szCs w:val="22"/>
                <w:lang w:eastAsia="en-CA"/>
              </w:rPr>
              <w:t>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493A4F" w14:textId="77777777" w:rsidR="00981B76" w:rsidRPr="00A708EB" w:rsidRDefault="00981B76" w:rsidP="00E83799">
            <w:pPr>
              <w:jc w:val="center"/>
              <w:rPr>
                <w:b/>
                <w:bCs/>
                <w:szCs w:val="22"/>
                <w:lang w:eastAsia="en-CA"/>
              </w:rPr>
            </w:pPr>
            <w:r w:rsidRPr="00A708EB">
              <w:rPr>
                <w:b/>
                <w:bCs/>
                <w:szCs w:val="22"/>
                <w:lang w:eastAsia="en-CA"/>
              </w:rPr>
              <w:t xml:space="preserve">Contribution due </w:t>
            </w:r>
            <w:r>
              <w:rPr>
                <w:b/>
                <w:bCs/>
                <w:szCs w:val="22"/>
                <w:lang w:eastAsia="en-CA"/>
              </w:rPr>
              <w:t>au</w:t>
            </w:r>
            <w:r w:rsidRPr="00A708EB">
              <w:rPr>
                <w:b/>
                <w:bCs/>
                <w:szCs w:val="22"/>
                <w:lang w:eastAsia="en-CA"/>
              </w:rPr>
              <w:t xml:space="preserve"> 1</w:t>
            </w:r>
            <w:r w:rsidRPr="00764C9C">
              <w:rPr>
                <w:b/>
                <w:bCs/>
                <w:szCs w:val="22"/>
                <w:vertAlign w:val="superscript"/>
                <w:lang w:eastAsia="en-CA"/>
              </w:rPr>
              <w:t>er</w:t>
            </w:r>
            <w:r w:rsidRPr="00A708EB">
              <w:rPr>
                <w:b/>
                <w:bCs/>
                <w:szCs w:val="22"/>
                <w:lang w:eastAsia="en-CA"/>
              </w:rPr>
              <w:t> janvier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EADC9" w14:textId="77777777" w:rsidR="00981B76" w:rsidRPr="00A708EB" w:rsidRDefault="00981B76" w:rsidP="00E83799">
            <w:pPr>
              <w:jc w:val="center"/>
              <w:rPr>
                <w:b/>
                <w:bCs/>
                <w:szCs w:val="22"/>
                <w:lang w:eastAsia="en-CA"/>
              </w:rPr>
            </w:pPr>
            <w:r w:rsidRPr="00A708EB">
              <w:rPr>
                <w:b/>
                <w:bCs/>
                <w:szCs w:val="22"/>
                <w:lang w:eastAsia="en-CA"/>
              </w:rPr>
              <w:t xml:space="preserve">Contribution </w:t>
            </w:r>
            <w:r>
              <w:rPr>
                <w:b/>
                <w:bCs/>
                <w:szCs w:val="22"/>
                <w:lang w:eastAsia="en-CA"/>
              </w:rPr>
              <w:t>due au</w:t>
            </w:r>
            <w:r w:rsidRPr="00A708EB">
              <w:rPr>
                <w:b/>
                <w:bCs/>
                <w:szCs w:val="22"/>
                <w:lang w:eastAsia="en-CA"/>
              </w:rPr>
              <w:t xml:space="preserve"> 1</w:t>
            </w:r>
            <w:r w:rsidRPr="00764C9C">
              <w:rPr>
                <w:b/>
                <w:bCs/>
                <w:szCs w:val="22"/>
                <w:vertAlign w:val="superscript"/>
                <w:lang w:eastAsia="en-CA"/>
              </w:rPr>
              <w:t>er</w:t>
            </w:r>
            <w:r w:rsidRPr="00A708EB">
              <w:rPr>
                <w:b/>
                <w:bCs/>
                <w:szCs w:val="22"/>
                <w:lang w:eastAsia="en-CA"/>
              </w:rPr>
              <w:t xml:space="preserve"> janvier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DBDA1" w14:textId="77777777" w:rsidR="00981B76" w:rsidRPr="008E044D" w:rsidRDefault="00981B76" w:rsidP="00E83799">
            <w:pPr>
              <w:jc w:val="center"/>
              <w:rPr>
                <w:b/>
                <w:bCs/>
                <w:szCs w:val="22"/>
                <w:lang w:eastAsia="en-CA"/>
              </w:rPr>
            </w:pPr>
            <w:r w:rsidRPr="008E044D">
              <w:rPr>
                <w:b/>
                <w:bCs/>
                <w:szCs w:val="22"/>
                <w:lang w:eastAsia="en-CA"/>
              </w:rPr>
              <w:t>Total 2019-2020</w:t>
            </w:r>
          </w:p>
        </w:tc>
      </w:tr>
      <w:tr w:rsidR="00981B76" w:rsidRPr="00C678EF" w14:paraId="1CB8FC8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E1020" w14:textId="77777777" w:rsidR="00981B76" w:rsidRPr="008E044D" w:rsidRDefault="00981B76" w:rsidP="00E83799">
            <w:pPr>
              <w:jc w:val="left"/>
              <w:rPr>
                <w:szCs w:val="22"/>
                <w:lang w:eastAsia="en-CA"/>
              </w:rPr>
            </w:pPr>
            <w:r w:rsidRPr="008E044D">
              <w:rPr>
                <w:szCs w:val="22"/>
                <w:lang w:eastAsia="en-CA"/>
              </w:rPr>
              <w:t>Afghanistan</w:t>
            </w:r>
          </w:p>
        </w:tc>
        <w:tc>
          <w:tcPr>
            <w:tcW w:w="2288" w:type="dxa"/>
            <w:tcBorders>
              <w:top w:val="nil"/>
              <w:left w:val="nil"/>
              <w:bottom w:val="single" w:sz="4" w:space="0" w:color="auto"/>
              <w:right w:val="single" w:sz="4" w:space="0" w:color="auto"/>
            </w:tcBorders>
            <w:shd w:val="clear" w:color="auto" w:fill="auto"/>
            <w:vAlign w:val="center"/>
            <w:hideMark/>
          </w:tcPr>
          <w:p w14:paraId="641D9E39"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5F4BE19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14:paraId="7D1B86B2" w14:textId="77777777" w:rsidR="00981B76" w:rsidRPr="008E044D" w:rsidRDefault="00981B76" w:rsidP="00E83799">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240B571F" w14:textId="77777777" w:rsidR="00981B76" w:rsidRPr="008E044D" w:rsidRDefault="00981B76" w:rsidP="00E83799">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621A0EDC" w14:textId="77777777" w:rsidR="00981B76" w:rsidRPr="008E044D" w:rsidRDefault="00981B76" w:rsidP="00E83799">
            <w:pPr>
              <w:ind w:right="276"/>
              <w:jc w:val="right"/>
              <w:rPr>
                <w:szCs w:val="22"/>
                <w:lang w:eastAsia="en-CA"/>
              </w:rPr>
            </w:pPr>
            <w:r w:rsidRPr="008E044D">
              <w:rPr>
                <w:szCs w:val="22"/>
                <w:lang w:eastAsia="en-CA"/>
              </w:rPr>
              <w:t>430</w:t>
            </w:r>
          </w:p>
        </w:tc>
      </w:tr>
      <w:tr w:rsidR="00981B76" w:rsidRPr="00C678EF" w14:paraId="29A4781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C31AF" w14:textId="77777777" w:rsidR="00981B76" w:rsidRPr="008E044D" w:rsidRDefault="00981B76" w:rsidP="00E83799">
            <w:pPr>
              <w:jc w:val="left"/>
              <w:rPr>
                <w:szCs w:val="22"/>
                <w:lang w:eastAsia="en-CA"/>
              </w:rPr>
            </w:pPr>
            <w:r>
              <w:rPr>
                <w:szCs w:val="22"/>
                <w:lang w:eastAsia="en-CA"/>
              </w:rPr>
              <w:t>Afrique du Sud</w:t>
            </w:r>
          </w:p>
        </w:tc>
        <w:tc>
          <w:tcPr>
            <w:tcW w:w="2288" w:type="dxa"/>
            <w:tcBorders>
              <w:top w:val="nil"/>
              <w:left w:val="nil"/>
              <w:bottom w:val="single" w:sz="4" w:space="0" w:color="auto"/>
              <w:right w:val="single" w:sz="4" w:space="0" w:color="auto"/>
            </w:tcBorders>
            <w:shd w:val="clear" w:color="auto" w:fill="auto"/>
            <w:vAlign w:val="center"/>
            <w:hideMark/>
          </w:tcPr>
          <w:p w14:paraId="71CB0FB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364</w:t>
            </w:r>
          </w:p>
        </w:tc>
        <w:tc>
          <w:tcPr>
            <w:tcW w:w="0" w:type="auto"/>
            <w:tcBorders>
              <w:top w:val="nil"/>
              <w:left w:val="nil"/>
              <w:bottom w:val="single" w:sz="4" w:space="0" w:color="auto"/>
              <w:right w:val="single" w:sz="4" w:space="0" w:color="auto"/>
            </w:tcBorders>
            <w:shd w:val="clear" w:color="auto" w:fill="auto"/>
            <w:noWrap/>
            <w:vAlign w:val="center"/>
            <w:hideMark/>
          </w:tcPr>
          <w:p w14:paraId="1625E2B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527</w:t>
            </w:r>
          </w:p>
        </w:tc>
        <w:tc>
          <w:tcPr>
            <w:tcW w:w="0" w:type="auto"/>
            <w:tcBorders>
              <w:top w:val="nil"/>
              <w:left w:val="nil"/>
              <w:bottom w:val="single" w:sz="4" w:space="0" w:color="auto"/>
              <w:right w:val="single" w:sz="4" w:space="0" w:color="auto"/>
            </w:tcBorders>
            <w:shd w:val="clear" w:color="auto" w:fill="auto"/>
            <w:noWrap/>
            <w:vAlign w:val="center"/>
            <w:hideMark/>
          </w:tcPr>
          <w:p w14:paraId="4677C2ED" w14:textId="77777777" w:rsidR="00981B76" w:rsidRPr="008E044D" w:rsidRDefault="00981B76" w:rsidP="00E83799">
            <w:pPr>
              <w:ind w:right="276"/>
              <w:jc w:val="right"/>
              <w:rPr>
                <w:szCs w:val="22"/>
                <w:lang w:eastAsia="en-CA"/>
              </w:rPr>
            </w:pPr>
            <w:r w:rsidRPr="008E044D">
              <w:rPr>
                <w:szCs w:val="22"/>
                <w:lang w:eastAsia="en-CA"/>
              </w:rPr>
              <w:t>12</w:t>
            </w:r>
            <w:r>
              <w:rPr>
                <w:szCs w:val="22"/>
                <w:lang w:eastAsia="en-CA"/>
              </w:rPr>
              <w:t xml:space="preserve"> </w:t>
            </w:r>
            <w:r w:rsidRPr="008E044D">
              <w:rPr>
                <w:szCs w:val="22"/>
                <w:lang w:eastAsia="en-CA"/>
              </w:rPr>
              <w:t>656</w:t>
            </w:r>
          </w:p>
        </w:tc>
        <w:tc>
          <w:tcPr>
            <w:tcW w:w="0" w:type="auto"/>
            <w:tcBorders>
              <w:top w:val="nil"/>
              <w:left w:val="nil"/>
              <w:bottom w:val="single" w:sz="4" w:space="0" w:color="auto"/>
              <w:right w:val="single" w:sz="4" w:space="0" w:color="auto"/>
            </w:tcBorders>
            <w:shd w:val="clear" w:color="auto" w:fill="auto"/>
            <w:noWrap/>
            <w:vAlign w:val="center"/>
            <w:hideMark/>
          </w:tcPr>
          <w:p w14:paraId="7B7DD144" w14:textId="77777777" w:rsidR="00981B76" w:rsidRPr="008E044D" w:rsidRDefault="00981B76" w:rsidP="00E83799">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420</w:t>
            </w:r>
          </w:p>
        </w:tc>
        <w:tc>
          <w:tcPr>
            <w:tcW w:w="0" w:type="auto"/>
            <w:tcBorders>
              <w:top w:val="nil"/>
              <w:left w:val="nil"/>
              <w:bottom w:val="single" w:sz="4" w:space="0" w:color="auto"/>
              <w:right w:val="single" w:sz="4" w:space="0" w:color="auto"/>
            </w:tcBorders>
            <w:shd w:val="clear" w:color="auto" w:fill="auto"/>
            <w:noWrap/>
            <w:vAlign w:val="center"/>
            <w:hideMark/>
          </w:tcPr>
          <w:p w14:paraId="24D20F5F" w14:textId="77777777" w:rsidR="00981B76" w:rsidRPr="008E044D" w:rsidRDefault="00981B76" w:rsidP="00E83799">
            <w:pPr>
              <w:ind w:right="276"/>
              <w:jc w:val="right"/>
              <w:rPr>
                <w:szCs w:val="22"/>
                <w:lang w:eastAsia="en-CA"/>
              </w:rPr>
            </w:pPr>
            <w:r w:rsidRPr="008E044D">
              <w:rPr>
                <w:szCs w:val="22"/>
                <w:lang w:eastAsia="en-CA"/>
              </w:rPr>
              <w:t>26</w:t>
            </w:r>
            <w:r>
              <w:rPr>
                <w:szCs w:val="22"/>
                <w:lang w:eastAsia="en-CA"/>
              </w:rPr>
              <w:t xml:space="preserve"> </w:t>
            </w:r>
            <w:r w:rsidRPr="008E044D">
              <w:rPr>
                <w:szCs w:val="22"/>
                <w:lang w:eastAsia="en-CA"/>
              </w:rPr>
              <w:t>076</w:t>
            </w:r>
          </w:p>
        </w:tc>
      </w:tr>
      <w:tr w:rsidR="00981B76" w:rsidRPr="00C678EF" w14:paraId="31BCDB7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0F11D" w14:textId="77777777" w:rsidR="00981B76" w:rsidRPr="008E044D" w:rsidRDefault="00981B76" w:rsidP="00E83799">
            <w:pPr>
              <w:jc w:val="left"/>
              <w:rPr>
                <w:szCs w:val="22"/>
                <w:lang w:eastAsia="en-CA"/>
              </w:rPr>
            </w:pPr>
            <w:r>
              <w:rPr>
                <w:szCs w:val="22"/>
                <w:lang w:eastAsia="en-CA"/>
              </w:rPr>
              <w:t>Albanie</w:t>
            </w:r>
          </w:p>
        </w:tc>
        <w:tc>
          <w:tcPr>
            <w:tcW w:w="2288" w:type="dxa"/>
            <w:tcBorders>
              <w:top w:val="nil"/>
              <w:left w:val="nil"/>
              <w:bottom w:val="single" w:sz="4" w:space="0" w:color="auto"/>
              <w:right w:val="single" w:sz="4" w:space="0" w:color="auto"/>
            </w:tcBorders>
            <w:shd w:val="clear" w:color="auto" w:fill="auto"/>
            <w:vAlign w:val="center"/>
            <w:hideMark/>
          </w:tcPr>
          <w:p w14:paraId="2A4EB3B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14:paraId="28502BB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14:paraId="26AA284F" w14:textId="77777777" w:rsidR="00981B76" w:rsidRPr="008E044D" w:rsidRDefault="00981B76" w:rsidP="00E83799">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68D918D7" w14:textId="77777777" w:rsidR="00981B76" w:rsidRPr="008E044D" w:rsidRDefault="00981B76" w:rsidP="00E83799">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6B9AEE82" w14:textId="77777777" w:rsidR="00981B76" w:rsidRPr="008E044D" w:rsidRDefault="00981B76" w:rsidP="00E83799">
            <w:pPr>
              <w:ind w:right="276"/>
              <w:jc w:val="right"/>
              <w:rPr>
                <w:szCs w:val="22"/>
                <w:lang w:eastAsia="en-CA"/>
              </w:rPr>
            </w:pPr>
            <w:r w:rsidRPr="008E044D">
              <w:rPr>
                <w:szCs w:val="22"/>
                <w:lang w:eastAsia="en-CA"/>
              </w:rPr>
              <w:t>573</w:t>
            </w:r>
          </w:p>
        </w:tc>
      </w:tr>
      <w:tr w:rsidR="00981B76" w:rsidRPr="00C678EF" w14:paraId="2275D37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3CA0AD" w14:textId="77777777" w:rsidR="00981B76" w:rsidRPr="008E044D" w:rsidRDefault="00981B76" w:rsidP="00E83799">
            <w:pPr>
              <w:jc w:val="left"/>
              <w:rPr>
                <w:szCs w:val="22"/>
                <w:lang w:eastAsia="en-CA"/>
              </w:rPr>
            </w:pPr>
            <w:r>
              <w:rPr>
                <w:szCs w:val="22"/>
                <w:lang w:eastAsia="en-CA"/>
              </w:rPr>
              <w:t>Algérie</w:t>
            </w:r>
          </w:p>
        </w:tc>
        <w:tc>
          <w:tcPr>
            <w:tcW w:w="2288" w:type="dxa"/>
            <w:tcBorders>
              <w:top w:val="nil"/>
              <w:left w:val="nil"/>
              <w:bottom w:val="single" w:sz="4" w:space="0" w:color="auto"/>
              <w:right w:val="single" w:sz="4" w:space="0" w:color="auto"/>
            </w:tcBorders>
            <w:shd w:val="clear" w:color="auto" w:fill="auto"/>
            <w:vAlign w:val="center"/>
            <w:hideMark/>
          </w:tcPr>
          <w:p w14:paraId="71ECE00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161</w:t>
            </w:r>
          </w:p>
        </w:tc>
        <w:tc>
          <w:tcPr>
            <w:tcW w:w="0" w:type="auto"/>
            <w:tcBorders>
              <w:top w:val="nil"/>
              <w:left w:val="nil"/>
              <w:bottom w:val="single" w:sz="4" w:space="0" w:color="auto"/>
              <w:right w:val="single" w:sz="4" w:space="0" w:color="auto"/>
            </w:tcBorders>
            <w:shd w:val="clear" w:color="auto" w:fill="auto"/>
            <w:noWrap/>
            <w:vAlign w:val="center"/>
            <w:hideMark/>
          </w:tcPr>
          <w:p w14:paraId="275AEB1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233</w:t>
            </w:r>
          </w:p>
        </w:tc>
        <w:tc>
          <w:tcPr>
            <w:tcW w:w="0" w:type="auto"/>
            <w:tcBorders>
              <w:top w:val="nil"/>
              <w:left w:val="nil"/>
              <w:bottom w:val="single" w:sz="4" w:space="0" w:color="auto"/>
              <w:right w:val="single" w:sz="4" w:space="0" w:color="auto"/>
            </w:tcBorders>
            <w:shd w:val="clear" w:color="auto" w:fill="auto"/>
            <w:noWrap/>
            <w:vAlign w:val="center"/>
            <w:hideMark/>
          </w:tcPr>
          <w:p w14:paraId="65FACCDE"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598</w:t>
            </w:r>
          </w:p>
        </w:tc>
        <w:tc>
          <w:tcPr>
            <w:tcW w:w="0" w:type="auto"/>
            <w:tcBorders>
              <w:top w:val="nil"/>
              <w:left w:val="nil"/>
              <w:bottom w:val="single" w:sz="4" w:space="0" w:color="auto"/>
              <w:right w:val="single" w:sz="4" w:space="0" w:color="auto"/>
            </w:tcBorders>
            <w:shd w:val="clear" w:color="auto" w:fill="auto"/>
            <w:noWrap/>
            <w:vAlign w:val="center"/>
            <w:hideMark/>
          </w:tcPr>
          <w:p w14:paraId="61923ADC"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936</w:t>
            </w:r>
          </w:p>
        </w:tc>
        <w:tc>
          <w:tcPr>
            <w:tcW w:w="0" w:type="auto"/>
            <w:tcBorders>
              <w:top w:val="nil"/>
              <w:left w:val="nil"/>
              <w:bottom w:val="single" w:sz="4" w:space="0" w:color="auto"/>
              <w:right w:val="single" w:sz="4" w:space="0" w:color="auto"/>
            </w:tcBorders>
            <w:shd w:val="clear" w:color="auto" w:fill="auto"/>
            <w:noWrap/>
            <w:vAlign w:val="center"/>
            <w:hideMark/>
          </w:tcPr>
          <w:p w14:paraId="41E8FE70"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534</w:t>
            </w:r>
          </w:p>
        </w:tc>
      </w:tr>
      <w:tr w:rsidR="00981B76" w:rsidRPr="00C678EF" w14:paraId="6B35EDD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E990F" w14:textId="27413F86" w:rsidR="00981B76" w:rsidRPr="008E044D" w:rsidRDefault="006B2234" w:rsidP="00E83799">
            <w:pPr>
              <w:jc w:val="left"/>
              <w:rPr>
                <w:szCs w:val="22"/>
                <w:lang w:eastAsia="en-CA"/>
              </w:rPr>
            </w:pPr>
            <w:r>
              <w:rPr>
                <w:szCs w:val="22"/>
                <w:lang w:eastAsia="en-CA"/>
              </w:rPr>
              <w:t>Allemagne</w:t>
            </w:r>
          </w:p>
        </w:tc>
        <w:tc>
          <w:tcPr>
            <w:tcW w:w="2288" w:type="dxa"/>
            <w:tcBorders>
              <w:top w:val="nil"/>
              <w:left w:val="nil"/>
              <w:bottom w:val="single" w:sz="4" w:space="0" w:color="auto"/>
              <w:right w:val="single" w:sz="4" w:space="0" w:color="auto"/>
            </w:tcBorders>
            <w:shd w:val="clear" w:color="auto" w:fill="auto"/>
            <w:vAlign w:val="center"/>
            <w:hideMark/>
          </w:tcPr>
          <w:p w14:paraId="05828E99" w14:textId="77777777" w:rsidR="00981B76" w:rsidRPr="008E044D" w:rsidRDefault="00981B76" w:rsidP="00E83799">
            <w:pPr>
              <w:ind w:right="770"/>
              <w:jc w:val="right"/>
              <w:rPr>
                <w:szCs w:val="22"/>
                <w:lang w:eastAsia="en-CA"/>
              </w:rPr>
            </w:pPr>
            <w:r w:rsidRPr="008E044D">
              <w:rPr>
                <w:szCs w:val="22"/>
                <w:lang w:eastAsia="en-CA"/>
              </w:rPr>
              <w:t>6</w:t>
            </w:r>
            <w:r>
              <w:rPr>
                <w:szCs w:val="22"/>
                <w:lang w:eastAsia="en-CA"/>
              </w:rPr>
              <w:t>,</w:t>
            </w:r>
            <w:r w:rsidRPr="008E044D">
              <w:rPr>
                <w:szCs w:val="22"/>
                <w:lang w:eastAsia="en-CA"/>
              </w:rPr>
              <w:t>389</w:t>
            </w:r>
          </w:p>
        </w:tc>
        <w:tc>
          <w:tcPr>
            <w:tcW w:w="0" w:type="auto"/>
            <w:tcBorders>
              <w:top w:val="nil"/>
              <w:left w:val="nil"/>
              <w:bottom w:val="single" w:sz="4" w:space="0" w:color="auto"/>
              <w:right w:val="single" w:sz="4" w:space="0" w:color="auto"/>
            </w:tcBorders>
            <w:shd w:val="clear" w:color="auto" w:fill="auto"/>
            <w:noWrap/>
            <w:vAlign w:val="center"/>
            <w:hideMark/>
          </w:tcPr>
          <w:p w14:paraId="7CA53542" w14:textId="77777777" w:rsidR="00981B76" w:rsidRPr="008E044D" w:rsidRDefault="00981B76" w:rsidP="00E83799">
            <w:pPr>
              <w:ind w:right="1144"/>
              <w:jc w:val="right"/>
              <w:rPr>
                <w:szCs w:val="22"/>
                <w:lang w:eastAsia="en-CA"/>
              </w:rPr>
            </w:pPr>
            <w:r w:rsidRPr="008E044D">
              <w:rPr>
                <w:szCs w:val="22"/>
                <w:lang w:eastAsia="en-CA"/>
              </w:rPr>
              <w:t>9</w:t>
            </w:r>
            <w:r>
              <w:rPr>
                <w:szCs w:val="22"/>
                <w:lang w:eastAsia="en-CA"/>
              </w:rPr>
              <w:t>,</w:t>
            </w:r>
            <w:r w:rsidRPr="008E044D">
              <w:rPr>
                <w:szCs w:val="22"/>
                <w:lang w:eastAsia="en-CA"/>
              </w:rPr>
              <w:t>251</w:t>
            </w:r>
          </w:p>
        </w:tc>
        <w:tc>
          <w:tcPr>
            <w:tcW w:w="0" w:type="auto"/>
            <w:tcBorders>
              <w:top w:val="nil"/>
              <w:left w:val="nil"/>
              <w:bottom w:val="single" w:sz="4" w:space="0" w:color="auto"/>
              <w:right w:val="single" w:sz="4" w:space="0" w:color="auto"/>
            </w:tcBorders>
            <w:shd w:val="clear" w:color="auto" w:fill="auto"/>
            <w:noWrap/>
            <w:vAlign w:val="center"/>
            <w:hideMark/>
          </w:tcPr>
          <w:p w14:paraId="68F90F39" w14:textId="77777777" w:rsidR="00981B76" w:rsidRPr="008E044D" w:rsidRDefault="00981B76" w:rsidP="00E83799">
            <w:pPr>
              <w:ind w:right="276"/>
              <w:jc w:val="right"/>
              <w:rPr>
                <w:szCs w:val="22"/>
                <w:lang w:eastAsia="en-CA"/>
              </w:rPr>
            </w:pPr>
            <w:r w:rsidRPr="008E044D">
              <w:rPr>
                <w:szCs w:val="22"/>
                <w:lang w:eastAsia="en-CA"/>
              </w:rPr>
              <w:t>222</w:t>
            </w:r>
            <w:r>
              <w:rPr>
                <w:szCs w:val="22"/>
                <w:lang w:eastAsia="en-CA"/>
              </w:rPr>
              <w:t xml:space="preserve"> </w:t>
            </w:r>
            <w:r w:rsidRPr="008E044D">
              <w:rPr>
                <w:szCs w:val="22"/>
                <w:lang w:eastAsia="en-CA"/>
              </w:rPr>
              <w:t>140</w:t>
            </w:r>
          </w:p>
        </w:tc>
        <w:tc>
          <w:tcPr>
            <w:tcW w:w="0" w:type="auto"/>
            <w:tcBorders>
              <w:top w:val="nil"/>
              <w:left w:val="nil"/>
              <w:bottom w:val="single" w:sz="4" w:space="0" w:color="auto"/>
              <w:right w:val="single" w:sz="4" w:space="0" w:color="auto"/>
            </w:tcBorders>
            <w:shd w:val="clear" w:color="auto" w:fill="auto"/>
            <w:noWrap/>
            <w:vAlign w:val="center"/>
            <w:hideMark/>
          </w:tcPr>
          <w:p w14:paraId="35C9ED6D" w14:textId="77777777" w:rsidR="00981B76" w:rsidRPr="008E044D" w:rsidRDefault="00981B76" w:rsidP="00E83799">
            <w:pPr>
              <w:ind w:right="276"/>
              <w:jc w:val="right"/>
              <w:rPr>
                <w:szCs w:val="22"/>
                <w:lang w:eastAsia="en-CA"/>
              </w:rPr>
            </w:pPr>
            <w:r w:rsidRPr="008E044D">
              <w:rPr>
                <w:szCs w:val="22"/>
                <w:lang w:eastAsia="en-CA"/>
              </w:rPr>
              <w:t>235</w:t>
            </w:r>
            <w:r>
              <w:rPr>
                <w:szCs w:val="22"/>
                <w:lang w:eastAsia="en-CA"/>
              </w:rPr>
              <w:t xml:space="preserve"> </w:t>
            </w:r>
            <w:r w:rsidRPr="008E044D">
              <w:rPr>
                <w:szCs w:val="22"/>
                <w:lang w:eastAsia="en-CA"/>
              </w:rPr>
              <w:t>558</w:t>
            </w:r>
          </w:p>
        </w:tc>
        <w:tc>
          <w:tcPr>
            <w:tcW w:w="0" w:type="auto"/>
            <w:tcBorders>
              <w:top w:val="nil"/>
              <w:left w:val="nil"/>
              <w:bottom w:val="single" w:sz="4" w:space="0" w:color="auto"/>
              <w:right w:val="single" w:sz="4" w:space="0" w:color="auto"/>
            </w:tcBorders>
            <w:shd w:val="clear" w:color="auto" w:fill="auto"/>
            <w:noWrap/>
            <w:vAlign w:val="center"/>
            <w:hideMark/>
          </w:tcPr>
          <w:p w14:paraId="1EA641C5" w14:textId="77777777" w:rsidR="00981B76" w:rsidRPr="008E044D" w:rsidRDefault="00981B76" w:rsidP="00E83799">
            <w:pPr>
              <w:ind w:right="276"/>
              <w:jc w:val="right"/>
              <w:rPr>
                <w:szCs w:val="22"/>
                <w:lang w:eastAsia="en-CA"/>
              </w:rPr>
            </w:pPr>
            <w:r w:rsidRPr="008E044D">
              <w:rPr>
                <w:szCs w:val="22"/>
                <w:lang w:eastAsia="en-CA"/>
              </w:rPr>
              <w:t>457</w:t>
            </w:r>
            <w:r>
              <w:rPr>
                <w:szCs w:val="22"/>
                <w:lang w:eastAsia="en-CA"/>
              </w:rPr>
              <w:t xml:space="preserve"> </w:t>
            </w:r>
            <w:r w:rsidRPr="008E044D">
              <w:rPr>
                <w:szCs w:val="22"/>
                <w:lang w:eastAsia="en-CA"/>
              </w:rPr>
              <w:t>698</w:t>
            </w:r>
          </w:p>
        </w:tc>
      </w:tr>
      <w:tr w:rsidR="00981B76" w:rsidRPr="00C678EF" w14:paraId="4860EED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34C8C" w14:textId="77777777" w:rsidR="00981B76" w:rsidRPr="008E044D" w:rsidRDefault="00981B76" w:rsidP="00E83799">
            <w:pPr>
              <w:jc w:val="left"/>
              <w:rPr>
                <w:szCs w:val="22"/>
                <w:lang w:eastAsia="en-CA"/>
              </w:rPr>
            </w:pPr>
            <w:r w:rsidRPr="008E044D">
              <w:rPr>
                <w:szCs w:val="22"/>
                <w:lang w:eastAsia="en-CA"/>
              </w:rPr>
              <w:t>Angola</w:t>
            </w:r>
          </w:p>
        </w:tc>
        <w:tc>
          <w:tcPr>
            <w:tcW w:w="2288" w:type="dxa"/>
            <w:tcBorders>
              <w:top w:val="nil"/>
              <w:left w:val="nil"/>
              <w:bottom w:val="single" w:sz="4" w:space="0" w:color="auto"/>
              <w:right w:val="single" w:sz="4" w:space="0" w:color="auto"/>
            </w:tcBorders>
            <w:shd w:val="clear" w:color="auto" w:fill="auto"/>
            <w:vAlign w:val="center"/>
            <w:hideMark/>
          </w:tcPr>
          <w:p w14:paraId="26CC43B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054FA24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5B120205"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CE44D6F"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3D7B9070"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393BA24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81D0D" w14:textId="77777777" w:rsidR="00981B76" w:rsidRPr="008E044D" w:rsidRDefault="00981B76" w:rsidP="00E83799">
            <w:pPr>
              <w:jc w:val="left"/>
              <w:rPr>
                <w:szCs w:val="22"/>
                <w:lang w:eastAsia="en-CA"/>
              </w:rPr>
            </w:pPr>
            <w:r>
              <w:rPr>
                <w:szCs w:val="22"/>
                <w:lang w:eastAsia="en-CA"/>
              </w:rPr>
              <w:t>Antigua-et-</w:t>
            </w:r>
            <w:r w:rsidRPr="008E044D">
              <w:rPr>
                <w:szCs w:val="22"/>
                <w:lang w:eastAsia="en-CA"/>
              </w:rPr>
              <w:t>Barbuda</w:t>
            </w:r>
          </w:p>
        </w:tc>
        <w:tc>
          <w:tcPr>
            <w:tcW w:w="2288" w:type="dxa"/>
            <w:tcBorders>
              <w:top w:val="nil"/>
              <w:left w:val="nil"/>
              <w:bottom w:val="single" w:sz="4" w:space="0" w:color="auto"/>
              <w:right w:val="single" w:sz="4" w:space="0" w:color="auto"/>
            </w:tcBorders>
            <w:shd w:val="clear" w:color="auto" w:fill="auto"/>
            <w:vAlign w:val="center"/>
            <w:hideMark/>
          </w:tcPr>
          <w:p w14:paraId="373F5F3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1535164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30A566D5"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5466D192"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7829FDD"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5241248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C373C" w14:textId="77777777" w:rsidR="00981B76" w:rsidRPr="008E044D" w:rsidRDefault="00981B76" w:rsidP="00E83799">
            <w:pPr>
              <w:jc w:val="left"/>
              <w:rPr>
                <w:szCs w:val="22"/>
                <w:lang w:eastAsia="en-CA"/>
              </w:rPr>
            </w:pPr>
            <w:r>
              <w:rPr>
                <w:szCs w:val="22"/>
                <w:lang w:eastAsia="en-CA"/>
              </w:rPr>
              <w:t>Arabie saoudite</w:t>
            </w:r>
          </w:p>
        </w:tc>
        <w:tc>
          <w:tcPr>
            <w:tcW w:w="2288" w:type="dxa"/>
            <w:tcBorders>
              <w:top w:val="nil"/>
              <w:left w:val="nil"/>
              <w:bottom w:val="single" w:sz="4" w:space="0" w:color="auto"/>
              <w:right w:val="single" w:sz="4" w:space="0" w:color="auto"/>
            </w:tcBorders>
            <w:shd w:val="clear" w:color="auto" w:fill="auto"/>
            <w:vAlign w:val="center"/>
            <w:hideMark/>
          </w:tcPr>
          <w:p w14:paraId="186FC54D" w14:textId="77777777" w:rsidR="00981B76" w:rsidRPr="008E044D" w:rsidRDefault="00981B76" w:rsidP="00E83799">
            <w:pPr>
              <w:ind w:right="770"/>
              <w:jc w:val="right"/>
              <w:rPr>
                <w:szCs w:val="22"/>
                <w:lang w:eastAsia="en-CA"/>
              </w:rPr>
            </w:pPr>
            <w:r w:rsidRPr="008E044D">
              <w:rPr>
                <w:szCs w:val="22"/>
                <w:lang w:eastAsia="en-CA"/>
              </w:rPr>
              <w:t>1</w:t>
            </w:r>
            <w:r>
              <w:rPr>
                <w:szCs w:val="22"/>
                <w:lang w:eastAsia="en-CA"/>
              </w:rPr>
              <w:t>,</w:t>
            </w:r>
            <w:r w:rsidRPr="008E044D">
              <w:rPr>
                <w:szCs w:val="22"/>
                <w:lang w:eastAsia="en-CA"/>
              </w:rPr>
              <w:t>146</w:t>
            </w:r>
          </w:p>
        </w:tc>
        <w:tc>
          <w:tcPr>
            <w:tcW w:w="0" w:type="auto"/>
            <w:tcBorders>
              <w:top w:val="nil"/>
              <w:left w:val="nil"/>
              <w:bottom w:val="single" w:sz="4" w:space="0" w:color="auto"/>
              <w:right w:val="single" w:sz="4" w:space="0" w:color="auto"/>
            </w:tcBorders>
            <w:shd w:val="clear" w:color="auto" w:fill="auto"/>
            <w:noWrap/>
            <w:vAlign w:val="center"/>
            <w:hideMark/>
          </w:tcPr>
          <w:p w14:paraId="12F0DFE9"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14:paraId="3DCAA551" w14:textId="77777777" w:rsidR="00981B76" w:rsidRPr="008E044D" w:rsidRDefault="00981B76" w:rsidP="00E83799">
            <w:pPr>
              <w:ind w:right="276"/>
              <w:jc w:val="right"/>
              <w:rPr>
                <w:szCs w:val="22"/>
                <w:lang w:eastAsia="en-CA"/>
              </w:rPr>
            </w:pPr>
            <w:r w:rsidRPr="008E044D">
              <w:rPr>
                <w:szCs w:val="22"/>
                <w:lang w:eastAsia="en-CA"/>
              </w:rPr>
              <w:t>39</w:t>
            </w:r>
            <w:r>
              <w:rPr>
                <w:szCs w:val="22"/>
                <w:lang w:eastAsia="en-CA"/>
              </w:rPr>
              <w:t xml:space="preserve"> </w:t>
            </w:r>
            <w:r w:rsidRPr="008E044D">
              <w:rPr>
                <w:szCs w:val="22"/>
                <w:lang w:eastAsia="en-CA"/>
              </w:rPr>
              <w:t>845</w:t>
            </w:r>
          </w:p>
        </w:tc>
        <w:tc>
          <w:tcPr>
            <w:tcW w:w="0" w:type="auto"/>
            <w:tcBorders>
              <w:top w:val="nil"/>
              <w:left w:val="nil"/>
              <w:bottom w:val="single" w:sz="4" w:space="0" w:color="auto"/>
              <w:right w:val="single" w:sz="4" w:space="0" w:color="auto"/>
            </w:tcBorders>
            <w:shd w:val="clear" w:color="auto" w:fill="auto"/>
            <w:noWrap/>
            <w:vAlign w:val="center"/>
            <w:hideMark/>
          </w:tcPr>
          <w:p w14:paraId="2234ECB2" w14:textId="77777777" w:rsidR="00981B76" w:rsidRPr="008E044D" w:rsidRDefault="00981B76" w:rsidP="00E83799">
            <w:pPr>
              <w:ind w:right="276"/>
              <w:jc w:val="right"/>
              <w:rPr>
                <w:szCs w:val="22"/>
                <w:lang w:eastAsia="en-CA"/>
              </w:rPr>
            </w:pPr>
            <w:r w:rsidRPr="008E044D">
              <w:rPr>
                <w:szCs w:val="22"/>
                <w:lang w:eastAsia="en-CA"/>
              </w:rPr>
              <w:t>42</w:t>
            </w:r>
            <w:r>
              <w:rPr>
                <w:szCs w:val="22"/>
                <w:lang w:eastAsia="en-CA"/>
              </w:rPr>
              <w:t xml:space="preserve"> </w:t>
            </w:r>
            <w:r w:rsidRPr="008E044D">
              <w:rPr>
                <w:szCs w:val="22"/>
                <w:lang w:eastAsia="en-CA"/>
              </w:rPr>
              <w:t>252</w:t>
            </w:r>
          </w:p>
        </w:tc>
        <w:tc>
          <w:tcPr>
            <w:tcW w:w="0" w:type="auto"/>
            <w:tcBorders>
              <w:top w:val="nil"/>
              <w:left w:val="nil"/>
              <w:bottom w:val="single" w:sz="4" w:space="0" w:color="auto"/>
              <w:right w:val="single" w:sz="4" w:space="0" w:color="auto"/>
            </w:tcBorders>
            <w:shd w:val="clear" w:color="auto" w:fill="auto"/>
            <w:noWrap/>
            <w:vAlign w:val="center"/>
            <w:hideMark/>
          </w:tcPr>
          <w:p w14:paraId="63691B17" w14:textId="77777777" w:rsidR="00981B76" w:rsidRPr="008E044D" w:rsidRDefault="00981B76" w:rsidP="00E83799">
            <w:pPr>
              <w:ind w:right="276"/>
              <w:jc w:val="right"/>
              <w:rPr>
                <w:szCs w:val="22"/>
                <w:lang w:eastAsia="en-CA"/>
              </w:rPr>
            </w:pPr>
            <w:r w:rsidRPr="008E044D">
              <w:rPr>
                <w:szCs w:val="22"/>
                <w:lang w:eastAsia="en-CA"/>
              </w:rPr>
              <w:t>82</w:t>
            </w:r>
            <w:r>
              <w:rPr>
                <w:szCs w:val="22"/>
                <w:lang w:eastAsia="en-CA"/>
              </w:rPr>
              <w:t xml:space="preserve"> </w:t>
            </w:r>
            <w:r w:rsidRPr="008E044D">
              <w:rPr>
                <w:szCs w:val="22"/>
                <w:lang w:eastAsia="en-CA"/>
              </w:rPr>
              <w:t>098</w:t>
            </w:r>
          </w:p>
        </w:tc>
      </w:tr>
      <w:tr w:rsidR="00981B76" w:rsidRPr="00C678EF" w14:paraId="725345E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246EAC" w14:textId="77777777" w:rsidR="00981B76" w:rsidRPr="008E044D" w:rsidRDefault="00981B76" w:rsidP="00E83799">
            <w:pPr>
              <w:jc w:val="left"/>
              <w:rPr>
                <w:szCs w:val="22"/>
                <w:lang w:eastAsia="en-CA"/>
              </w:rPr>
            </w:pPr>
            <w:r>
              <w:rPr>
                <w:szCs w:val="22"/>
                <w:lang w:eastAsia="en-CA"/>
              </w:rPr>
              <w:t>Arménie</w:t>
            </w:r>
          </w:p>
        </w:tc>
        <w:tc>
          <w:tcPr>
            <w:tcW w:w="2288" w:type="dxa"/>
            <w:tcBorders>
              <w:top w:val="nil"/>
              <w:left w:val="nil"/>
              <w:bottom w:val="single" w:sz="4" w:space="0" w:color="auto"/>
              <w:right w:val="single" w:sz="4" w:space="0" w:color="auto"/>
            </w:tcBorders>
            <w:shd w:val="clear" w:color="auto" w:fill="auto"/>
            <w:vAlign w:val="center"/>
            <w:hideMark/>
          </w:tcPr>
          <w:p w14:paraId="18B6857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2D2AFCED"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14:paraId="6535C9A4" w14:textId="77777777" w:rsidR="00981B76" w:rsidRPr="008E044D" w:rsidRDefault="00981B76" w:rsidP="00E83799">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5B858599" w14:textId="77777777" w:rsidR="00981B76" w:rsidRPr="008E044D" w:rsidRDefault="00981B76" w:rsidP="00E83799">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2C632370" w14:textId="77777777" w:rsidR="00981B76" w:rsidRPr="008E044D" w:rsidRDefault="00981B76" w:rsidP="00E83799">
            <w:pPr>
              <w:ind w:right="276"/>
              <w:jc w:val="right"/>
              <w:rPr>
                <w:szCs w:val="22"/>
                <w:lang w:eastAsia="en-CA"/>
              </w:rPr>
            </w:pPr>
            <w:r w:rsidRPr="008E044D">
              <w:rPr>
                <w:szCs w:val="22"/>
                <w:lang w:eastAsia="en-CA"/>
              </w:rPr>
              <w:t>430</w:t>
            </w:r>
          </w:p>
        </w:tc>
      </w:tr>
      <w:tr w:rsidR="00981B76" w:rsidRPr="00C678EF" w14:paraId="6709DFC6"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D4398" w14:textId="55544D94" w:rsidR="00981B76" w:rsidRPr="008E044D" w:rsidRDefault="006B2234" w:rsidP="00E83799">
            <w:pPr>
              <w:jc w:val="left"/>
              <w:rPr>
                <w:szCs w:val="22"/>
                <w:lang w:eastAsia="en-CA"/>
              </w:rPr>
            </w:pPr>
            <w:r>
              <w:rPr>
                <w:szCs w:val="22"/>
                <w:lang w:eastAsia="en-CA"/>
              </w:rPr>
              <w:t>Autriche</w:t>
            </w:r>
          </w:p>
        </w:tc>
        <w:tc>
          <w:tcPr>
            <w:tcW w:w="2288" w:type="dxa"/>
            <w:tcBorders>
              <w:top w:val="nil"/>
              <w:left w:val="nil"/>
              <w:bottom w:val="single" w:sz="4" w:space="0" w:color="auto"/>
              <w:right w:val="single" w:sz="4" w:space="0" w:color="auto"/>
            </w:tcBorders>
            <w:shd w:val="clear" w:color="auto" w:fill="auto"/>
            <w:vAlign w:val="center"/>
            <w:hideMark/>
          </w:tcPr>
          <w:p w14:paraId="3507238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720</w:t>
            </w:r>
          </w:p>
        </w:tc>
        <w:tc>
          <w:tcPr>
            <w:tcW w:w="0" w:type="auto"/>
            <w:tcBorders>
              <w:top w:val="nil"/>
              <w:left w:val="nil"/>
              <w:bottom w:val="single" w:sz="4" w:space="0" w:color="auto"/>
              <w:right w:val="single" w:sz="4" w:space="0" w:color="auto"/>
            </w:tcBorders>
            <w:shd w:val="clear" w:color="auto" w:fill="auto"/>
            <w:noWrap/>
            <w:vAlign w:val="center"/>
            <w:hideMark/>
          </w:tcPr>
          <w:p w14:paraId="6DEA5E2F"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14:paraId="532C2C1B" w14:textId="77777777" w:rsidR="00981B76" w:rsidRPr="008E044D" w:rsidRDefault="00981B76" w:rsidP="00E83799">
            <w:pPr>
              <w:ind w:right="276"/>
              <w:jc w:val="right"/>
              <w:rPr>
                <w:szCs w:val="22"/>
                <w:lang w:eastAsia="en-CA"/>
              </w:rPr>
            </w:pPr>
            <w:r w:rsidRPr="008E044D">
              <w:rPr>
                <w:szCs w:val="22"/>
                <w:lang w:eastAsia="en-CA"/>
              </w:rPr>
              <w:t>25</w:t>
            </w:r>
            <w:r>
              <w:rPr>
                <w:szCs w:val="22"/>
                <w:lang w:eastAsia="en-CA"/>
              </w:rPr>
              <w:t xml:space="preserve"> </w:t>
            </w:r>
            <w:r w:rsidRPr="008E044D">
              <w:rPr>
                <w:szCs w:val="22"/>
                <w:lang w:eastAsia="en-CA"/>
              </w:rPr>
              <w:t>034</w:t>
            </w:r>
          </w:p>
        </w:tc>
        <w:tc>
          <w:tcPr>
            <w:tcW w:w="0" w:type="auto"/>
            <w:tcBorders>
              <w:top w:val="nil"/>
              <w:left w:val="nil"/>
              <w:bottom w:val="single" w:sz="4" w:space="0" w:color="auto"/>
              <w:right w:val="single" w:sz="4" w:space="0" w:color="auto"/>
            </w:tcBorders>
            <w:shd w:val="clear" w:color="auto" w:fill="auto"/>
            <w:noWrap/>
            <w:vAlign w:val="center"/>
            <w:hideMark/>
          </w:tcPr>
          <w:p w14:paraId="60A4EB89" w14:textId="77777777" w:rsidR="00981B76" w:rsidRPr="008E044D" w:rsidRDefault="00981B76" w:rsidP="00E83799">
            <w:pPr>
              <w:ind w:right="276"/>
              <w:jc w:val="right"/>
              <w:rPr>
                <w:szCs w:val="22"/>
                <w:lang w:eastAsia="en-CA"/>
              </w:rPr>
            </w:pPr>
            <w:r w:rsidRPr="008E044D">
              <w:rPr>
                <w:szCs w:val="22"/>
                <w:lang w:eastAsia="en-CA"/>
              </w:rPr>
              <w:t>26</w:t>
            </w:r>
            <w:r>
              <w:rPr>
                <w:szCs w:val="22"/>
                <w:lang w:eastAsia="en-CA"/>
              </w:rPr>
              <w:t xml:space="preserve"> </w:t>
            </w:r>
            <w:r w:rsidRPr="008E044D">
              <w:rPr>
                <w:szCs w:val="22"/>
                <w:lang w:eastAsia="en-CA"/>
              </w:rPr>
              <w:t>546</w:t>
            </w:r>
          </w:p>
        </w:tc>
        <w:tc>
          <w:tcPr>
            <w:tcW w:w="0" w:type="auto"/>
            <w:tcBorders>
              <w:top w:val="nil"/>
              <w:left w:val="nil"/>
              <w:bottom w:val="single" w:sz="4" w:space="0" w:color="auto"/>
              <w:right w:val="single" w:sz="4" w:space="0" w:color="auto"/>
            </w:tcBorders>
            <w:shd w:val="clear" w:color="auto" w:fill="auto"/>
            <w:noWrap/>
            <w:vAlign w:val="center"/>
            <w:hideMark/>
          </w:tcPr>
          <w:p w14:paraId="31ECDDE8" w14:textId="77777777" w:rsidR="00981B76" w:rsidRPr="008E044D" w:rsidRDefault="00981B76" w:rsidP="00E83799">
            <w:pPr>
              <w:ind w:right="276"/>
              <w:jc w:val="right"/>
              <w:rPr>
                <w:szCs w:val="22"/>
                <w:lang w:eastAsia="en-CA"/>
              </w:rPr>
            </w:pPr>
            <w:r w:rsidRPr="008E044D">
              <w:rPr>
                <w:szCs w:val="22"/>
                <w:lang w:eastAsia="en-CA"/>
              </w:rPr>
              <w:t>51</w:t>
            </w:r>
            <w:r>
              <w:rPr>
                <w:szCs w:val="22"/>
                <w:lang w:eastAsia="en-CA"/>
              </w:rPr>
              <w:t xml:space="preserve"> </w:t>
            </w:r>
            <w:r w:rsidRPr="008E044D">
              <w:rPr>
                <w:szCs w:val="22"/>
                <w:lang w:eastAsia="en-CA"/>
              </w:rPr>
              <w:t>580</w:t>
            </w:r>
          </w:p>
        </w:tc>
      </w:tr>
      <w:tr w:rsidR="00981B76" w:rsidRPr="00C678EF" w14:paraId="1F2E708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AAE9D" w14:textId="77777777" w:rsidR="00981B76" w:rsidRPr="008E044D" w:rsidRDefault="00981B76" w:rsidP="00E83799">
            <w:pPr>
              <w:jc w:val="left"/>
              <w:rPr>
                <w:szCs w:val="22"/>
                <w:lang w:eastAsia="en-CA"/>
              </w:rPr>
            </w:pPr>
            <w:r>
              <w:rPr>
                <w:szCs w:val="22"/>
                <w:lang w:eastAsia="en-CA"/>
              </w:rPr>
              <w:t>Azerbaïd</w:t>
            </w:r>
            <w:r w:rsidRPr="008E044D">
              <w:rPr>
                <w:szCs w:val="22"/>
                <w:lang w:eastAsia="en-CA"/>
              </w:rPr>
              <w:t>jan</w:t>
            </w:r>
          </w:p>
        </w:tc>
        <w:tc>
          <w:tcPr>
            <w:tcW w:w="2288" w:type="dxa"/>
            <w:tcBorders>
              <w:top w:val="nil"/>
              <w:left w:val="nil"/>
              <w:bottom w:val="single" w:sz="4" w:space="0" w:color="auto"/>
              <w:right w:val="single" w:sz="4" w:space="0" w:color="auto"/>
            </w:tcBorders>
            <w:shd w:val="clear" w:color="auto" w:fill="auto"/>
            <w:vAlign w:val="center"/>
            <w:hideMark/>
          </w:tcPr>
          <w:p w14:paraId="60695DE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060</w:t>
            </w:r>
          </w:p>
        </w:tc>
        <w:tc>
          <w:tcPr>
            <w:tcW w:w="0" w:type="auto"/>
            <w:tcBorders>
              <w:top w:val="nil"/>
              <w:left w:val="nil"/>
              <w:bottom w:val="single" w:sz="4" w:space="0" w:color="auto"/>
              <w:right w:val="single" w:sz="4" w:space="0" w:color="auto"/>
            </w:tcBorders>
            <w:shd w:val="clear" w:color="auto" w:fill="auto"/>
            <w:noWrap/>
            <w:vAlign w:val="center"/>
            <w:hideMark/>
          </w:tcPr>
          <w:p w14:paraId="4545435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087</w:t>
            </w:r>
          </w:p>
        </w:tc>
        <w:tc>
          <w:tcPr>
            <w:tcW w:w="0" w:type="auto"/>
            <w:tcBorders>
              <w:top w:val="nil"/>
              <w:left w:val="nil"/>
              <w:bottom w:val="single" w:sz="4" w:space="0" w:color="auto"/>
              <w:right w:val="single" w:sz="4" w:space="0" w:color="auto"/>
            </w:tcBorders>
            <w:shd w:val="clear" w:color="auto" w:fill="auto"/>
            <w:noWrap/>
            <w:vAlign w:val="center"/>
            <w:hideMark/>
          </w:tcPr>
          <w:p w14:paraId="0D351150"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086</w:t>
            </w:r>
          </w:p>
        </w:tc>
        <w:tc>
          <w:tcPr>
            <w:tcW w:w="0" w:type="auto"/>
            <w:tcBorders>
              <w:top w:val="nil"/>
              <w:left w:val="nil"/>
              <w:bottom w:val="single" w:sz="4" w:space="0" w:color="auto"/>
              <w:right w:val="single" w:sz="4" w:space="0" w:color="auto"/>
            </w:tcBorders>
            <w:shd w:val="clear" w:color="auto" w:fill="auto"/>
            <w:noWrap/>
            <w:vAlign w:val="center"/>
            <w:hideMark/>
          </w:tcPr>
          <w:p w14:paraId="47E5E016"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212</w:t>
            </w:r>
          </w:p>
        </w:tc>
        <w:tc>
          <w:tcPr>
            <w:tcW w:w="0" w:type="auto"/>
            <w:tcBorders>
              <w:top w:val="nil"/>
              <w:left w:val="nil"/>
              <w:bottom w:val="single" w:sz="4" w:space="0" w:color="auto"/>
              <w:right w:val="single" w:sz="4" w:space="0" w:color="auto"/>
            </w:tcBorders>
            <w:shd w:val="clear" w:color="auto" w:fill="auto"/>
            <w:noWrap/>
            <w:vAlign w:val="center"/>
            <w:hideMark/>
          </w:tcPr>
          <w:p w14:paraId="58D28468"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298</w:t>
            </w:r>
          </w:p>
        </w:tc>
      </w:tr>
      <w:tr w:rsidR="00981B76" w:rsidRPr="00C678EF" w14:paraId="5CCB031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9F0630" w14:textId="77777777" w:rsidR="00981B76" w:rsidRPr="008E044D" w:rsidRDefault="00981B76" w:rsidP="00E83799">
            <w:pPr>
              <w:jc w:val="left"/>
              <w:rPr>
                <w:szCs w:val="22"/>
                <w:lang w:eastAsia="en-CA"/>
              </w:rPr>
            </w:pPr>
            <w:r w:rsidRPr="008E044D">
              <w:rPr>
                <w:szCs w:val="22"/>
                <w:lang w:eastAsia="en-CA"/>
              </w:rPr>
              <w:t>Bahamas</w:t>
            </w:r>
          </w:p>
        </w:tc>
        <w:tc>
          <w:tcPr>
            <w:tcW w:w="2288" w:type="dxa"/>
            <w:tcBorders>
              <w:top w:val="nil"/>
              <w:left w:val="nil"/>
              <w:bottom w:val="single" w:sz="4" w:space="0" w:color="auto"/>
              <w:right w:val="single" w:sz="4" w:space="0" w:color="auto"/>
            </w:tcBorders>
            <w:shd w:val="clear" w:color="auto" w:fill="auto"/>
            <w:vAlign w:val="center"/>
            <w:hideMark/>
          </w:tcPr>
          <w:p w14:paraId="16BD4CE9"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773C489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14:paraId="5EB94FF9" w14:textId="77777777" w:rsidR="00981B76" w:rsidRPr="008E044D" w:rsidRDefault="00981B76" w:rsidP="00E83799">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063DE731" w14:textId="77777777" w:rsidR="00981B76" w:rsidRPr="008E044D" w:rsidRDefault="00981B76" w:rsidP="00E83799">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0FDAED37"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981B76" w:rsidRPr="00C678EF" w14:paraId="643F191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348D9" w14:textId="77777777" w:rsidR="00981B76" w:rsidRPr="008E044D" w:rsidRDefault="00981B76" w:rsidP="00E83799">
            <w:pPr>
              <w:jc w:val="left"/>
              <w:rPr>
                <w:szCs w:val="22"/>
                <w:lang w:eastAsia="en-CA"/>
              </w:rPr>
            </w:pPr>
            <w:r>
              <w:rPr>
                <w:szCs w:val="22"/>
                <w:lang w:eastAsia="en-CA"/>
              </w:rPr>
              <w:t>Bahreï</w:t>
            </w:r>
            <w:r w:rsidRPr="008E044D">
              <w:rPr>
                <w:szCs w:val="22"/>
                <w:lang w:eastAsia="en-CA"/>
              </w:rPr>
              <w:t>n</w:t>
            </w:r>
          </w:p>
        </w:tc>
        <w:tc>
          <w:tcPr>
            <w:tcW w:w="2288" w:type="dxa"/>
            <w:tcBorders>
              <w:top w:val="nil"/>
              <w:left w:val="nil"/>
              <w:bottom w:val="single" w:sz="4" w:space="0" w:color="auto"/>
              <w:right w:val="single" w:sz="4" w:space="0" w:color="auto"/>
            </w:tcBorders>
            <w:shd w:val="clear" w:color="auto" w:fill="auto"/>
            <w:vAlign w:val="center"/>
            <w:hideMark/>
          </w:tcPr>
          <w:p w14:paraId="774E9A7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044</w:t>
            </w:r>
          </w:p>
        </w:tc>
        <w:tc>
          <w:tcPr>
            <w:tcW w:w="0" w:type="auto"/>
            <w:tcBorders>
              <w:top w:val="nil"/>
              <w:left w:val="nil"/>
              <w:bottom w:val="single" w:sz="4" w:space="0" w:color="auto"/>
              <w:right w:val="single" w:sz="4" w:space="0" w:color="auto"/>
            </w:tcBorders>
            <w:shd w:val="clear" w:color="auto" w:fill="auto"/>
            <w:noWrap/>
            <w:vAlign w:val="center"/>
            <w:hideMark/>
          </w:tcPr>
          <w:p w14:paraId="1D88241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064</w:t>
            </w:r>
          </w:p>
        </w:tc>
        <w:tc>
          <w:tcPr>
            <w:tcW w:w="0" w:type="auto"/>
            <w:tcBorders>
              <w:top w:val="nil"/>
              <w:left w:val="nil"/>
              <w:bottom w:val="single" w:sz="4" w:space="0" w:color="auto"/>
              <w:right w:val="single" w:sz="4" w:space="0" w:color="auto"/>
            </w:tcBorders>
            <w:shd w:val="clear" w:color="auto" w:fill="auto"/>
            <w:noWrap/>
            <w:vAlign w:val="center"/>
            <w:hideMark/>
          </w:tcPr>
          <w:p w14:paraId="0ADD5901"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530</w:t>
            </w:r>
          </w:p>
        </w:tc>
        <w:tc>
          <w:tcPr>
            <w:tcW w:w="0" w:type="auto"/>
            <w:tcBorders>
              <w:top w:val="nil"/>
              <w:left w:val="nil"/>
              <w:bottom w:val="single" w:sz="4" w:space="0" w:color="auto"/>
              <w:right w:val="single" w:sz="4" w:space="0" w:color="auto"/>
            </w:tcBorders>
            <w:shd w:val="clear" w:color="auto" w:fill="auto"/>
            <w:noWrap/>
            <w:vAlign w:val="center"/>
            <w:hideMark/>
          </w:tcPr>
          <w:p w14:paraId="68AC3C40"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622</w:t>
            </w:r>
          </w:p>
        </w:tc>
        <w:tc>
          <w:tcPr>
            <w:tcW w:w="0" w:type="auto"/>
            <w:tcBorders>
              <w:top w:val="nil"/>
              <w:left w:val="nil"/>
              <w:bottom w:val="single" w:sz="4" w:space="0" w:color="auto"/>
              <w:right w:val="single" w:sz="4" w:space="0" w:color="auto"/>
            </w:tcBorders>
            <w:shd w:val="clear" w:color="auto" w:fill="auto"/>
            <w:noWrap/>
            <w:vAlign w:val="center"/>
            <w:hideMark/>
          </w:tcPr>
          <w:p w14:paraId="329048A1"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152</w:t>
            </w:r>
          </w:p>
        </w:tc>
      </w:tr>
      <w:tr w:rsidR="00981B76" w:rsidRPr="00C678EF" w14:paraId="1F7A24F6"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B33218" w14:textId="77777777" w:rsidR="00981B76" w:rsidRPr="008E044D" w:rsidRDefault="00981B76" w:rsidP="00E83799">
            <w:pPr>
              <w:jc w:val="left"/>
              <w:rPr>
                <w:szCs w:val="22"/>
                <w:lang w:eastAsia="en-CA"/>
              </w:rPr>
            </w:pPr>
            <w:r w:rsidRPr="008E044D">
              <w:rPr>
                <w:szCs w:val="22"/>
                <w:lang w:eastAsia="en-CA"/>
              </w:rPr>
              <w:t>Bangladesh</w:t>
            </w:r>
          </w:p>
        </w:tc>
        <w:tc>
          <w:tcPr>
            <w:tcW w:w="2288" w:type="dxa"/>
            <w:tcBorders>
              <w:top w:val="nil"/>
              <w:left w:val="nil"/>
              <w:bottom w:val="single" w:sz="4" w:space="0" w:color="auto"/>
              <w:right w:val="single" w:sz="4" w:space="0" w:color="auto"/>
            </w:tcBorders>
            <w:shd w:val="clear" w:color="auto" w:fill="auto"/>
            <w:vAlign w:val="center"/>
            <w:hideMark/>
          </w:tcPr>
          <w:p w14:paraId="6C95A44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43CBFE4D"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03E7A6F8"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68FD2726"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2D3B957"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6B45FED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8A97D" w14:textId="77777777" w:rsidR="00981B76" w:rsidRPr="008E044D" w:rsidRDefault="00981B76" w:rsidP="00E83799">
            <w:pPr>
              <w:jc w:val="left"/>
              <w:rPr>
                <w:szCs w:val="22"/>
                <w:lang w:eastAsia="en-CA"/>
              </w:rPr>
            </w:pPr>
            <w:r>
              <w:rPr>
                <w:szCs w:val="22"/>
                <w:lang w:eastAsia="en-CA"/>
              </w:rPr>
              <w:t>Barbade</w:t>
            </w:r>
          </w:p>
        </w:tc>
        <w:tc>
          <w:tcPr>
            <w:tcW w:w="2288" w:type="dxa"/>
            <w:tcBorders>
              <w:top w:val="nil"/>
              <w:left w:val="nil"/>
              <w:bottom w:val="single" w:sz="4" w:space="0" w:color="auto"/>
              <w:right w:val="single" w:sz="4" w:space="0" w:color="auto"/>
            </w:tcBorders>
            <w:shd w:val="clear" w:color="auto" w:fill="auto"/>
            <w:vAlign w:val="center"/>
            <w:hideMark/>
          </w:tcPr>
          <w:p w14:paraId="17BAFC2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7B6717A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3D04A064" w14:textId="77777777" w:rsidR="00981B76" w:rsidRPr="008E044D" w:rsidRDefault="00981B76" w:rsidP="00E83799">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7589F411" w14:textId="77777777" w:rsidR="00981B76" w:rsidRPr="008E044D" w:rsidRDefault="00981B76" w:rsidP="00E83799">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486524EA" w14:textId="77777777" w:rsidR="00981B76" w:rsidRPr="008E044D" w:rsidRDefault="00981B76" w:rsidP="00E83799">
            <w:pPr>
              <w:ind w:right="276"/>
              <w:jc w:val="right"/>
              <w:rPr>
                <w:szCs w:val="22"/>
                <w:lang w:eastAsia="en-CA"/>
              </w:rPr>
            </w:pPr>
            <w:r w:rsidRPr="008E044D">
              <w:rPr>
                <w:szCs w:val="22"/>
                <w:lang w:eastAsia="en-CA"/>
              </w:rPr>
              <w:t>501</w:t>
            </w:r>
          </w:p>
        </w:tc>
      </w:tr>
      <w:tr w:rsidR="00981B76" w:rsidRPr="00C678EF" w14:paraId="0540696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4E9C80" w14:textId="7360E878" w:rsidR="00981B76" w:rsidRPr="008E044D" w:rsidRDefault="002F0B9E" w:rsidP="00E83799">
            <w:pPr>
              <w:jc w:val="left"/>
              <w:rPr>
                <w:szCs w:val="22"/>
                <w:lang w:eastAsia="en-CA"/>
              </w:rPr>
            </w:pPr>
            <w:r>
              <w:rPr>
                <w:szCs w:val="22"/>
                <w:lang w:eastAsia="en-CA"/>
              </w:rPr>
              <w:t>Be</w:t>
            </w:r>
            <w:r w:rsidRPr="008E044D">
              <w:rPr>
                <w:szCs w:val="22"/>
                <w:lang w:eastAsia="en-CA"/>
              </w:rPr>
              <w:t>larus</w:t>
            </w:r>
          </w:p>
        </w:tc>
        <w:tc>
          <w:tcPr>
            <w:tcW w:w="2288" w:type="dxa"/>
            <w:tcBorders>
              <w:top w:val="nil"/>
              <w:left w:val="nil"/>
              <w:bottom w:val="single" w:sz="4" w:space="0" w:color="auto"/>
              <w:right w:val="single" w:sz="4" w:space="0" w:color="auto"/>
            </w:tcBorders>
            <w:shd w:val="clear" w:color="auto" w:fill="auto"/>
            <w:vAlign w:val="center"/>
            <w:hideMark/>
          </w:tcPr>
          <w:p w14:paraId="1DD6DA6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056</w:t>
            </w:r>
          </w:p>
        </w:tc>
        <w:tc>
          <w:tcPr>
            <w:tcW w:w="0" w:type="auto"/>
            <w:tcBorders>
              <w:top w:val="nil"/>
              <w:left w:val="nil"/>
              <w:bottom w:val="single" w:sz="4" w:space="0" w:color="auto"/>
              <w:right w:val="single" w:sz="4" w:space="0" w:color="auto"/>
            </w:tcBorders>
            <w:shd w:val="clear" w:color="auto" w:fill="auto"/>
            <w:noWrap/>
            <w:vAlign w:val="center"/>
            <w:hideMark/>
          </w:tcPr>
          <w:p w14:paraId="56857DA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081</w:t>
            </w:r>
          </w:p>
        </w:tc>
        <w:tc>
          <w:tcPr>
            <w:tcW w:w="0" w:type="auto"/>
            <w:tcBorders>
              <w:top w:val="nil"/>
              <w:left w:val="nil"/>
              <w:bottom w:val="single" w:sz="4" w:space="0" w:color="auto"/>
              <w:right w:val="single" w:sz="4" w:space="0" w:color="auto"/>
            </w:tcBorders>
            <w:shd w:val="clear" w:color="auto" w:fill="auto"/>
            <w:noWrap/>
            <w:vAlign w:val="center"/>
            <w:hideMark/>
          </w:tcPr>
          <w:p w14:paraId="5A326082"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947</w:t>
            </w:r>
          </w:p>
        </w:tc>
        <w:tc>
          <w:tcPr>
            <w:tcW w:w="0" w:type="auto"/>
            <w:tcBorders>
              <w:top w:val="nil"/>
              <w:left w:val="nil"/>
              <w:bottom w:val="single" w:sz="4" w:space="0" w:color="auto"/>
              <w:right w:val="single" w:sz="4" w:space="0" w:color="auto"/>
            </w:tcBorders>
            <w:shd w:val="clear" w:color="auto" w:fill="auto"/>
            <w:noWrap/>
            <w:vAlign w:val="center"/>
            <w:hideMark/>
          </w:tcPr>
          <w:p w14:paraId="59AD4A32"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065</w:t>
            </w:r>
          </w:p>
        </w:tc>
        <w:tc>
          <w:tcPr>
            <w:tcW w:w="0" w:type="auto"/>
            <w:tcBorders>
              <w:top w:val="nil"/>
              <w:left w:val="nil"/>
              <w:bottom w:val="single" w:sz="4" w:space="0" w:color="auto"/>
              <w:right w:val="single" w:sz="4" w:space="0" w:color="auto"/>
            </w:tcBorders>
            <w:shd w:val="clear" w:color="auto" w:fill="auto"/>
            <w:noWrap/>
            <w:vAlign w:val="center"/>
            <w:hideMark/>
          </w:tcPr>
          <w:p w14:paraId="68043A60"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012</w:t>
            </w:r>
          </w:p>
        </w:tc>
      </w:tr>
      <w:tr w:rsidR="00981B76" w:rsidRPr="00C678EF" w14:paraId="2CCD940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7E61E" w14:textId="59474819" w:rsidR="00981B76" w:rsidRPr="008E044D" w:rsidRDefault="006B2234" w:rsidP="00E83799">
            <w:pPr>
              <w:jc w:val="left"/>
              <w:rPr>
                <w:szCs w:val="22"/>
                <w:lang w:eastAsia="en-CA"/>
              </w:rPr>
            </w:pPr>
            <w:r>
              <w:rPr>
                <w:szCs w:val="22"/>
                <w:lang w:eastAsia="en-CA"/>
              </w:rPr>
              <w:t>Belgique</w:t>
            </w:r>
          </w:p>
        </w:tc>
        <w:tc>
          <w:tcPr>
            <w:tcW w:w="2288" w:type="dxa"/>
            <w:tcBorders>
              <w:top w:val="nil"/>
              <w:left w:val="nil"/>
              <w:bottom w:val="single" w:sz="4" w:space="0" w:color="auto"/>
              <w:right w:val="single" w:sz="4" w:space="0" w:color="auto"/>
            </w:tcBorders>
            <w:shd w:val="clear" w:color="auto" w:fill="auto"/>
            <w:vAlign w:val="center"/>
            <w:hideMark/>
          </w:tcPr>
          <w:p w14:paraId="16E3B6A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14:paraId="38E2455C"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281</w:t>
            </w:r>
          </w:p>
        </w:tc>
        <w:tc>
          <w:tcPr>
            <w:tcW w:w="0" w:type="auto"/>
            <w:tcBorders>
              <w:top w:val="nil"/>
              <w:left w:val="nil"/>
              <w:bottom w:val="single" w:sz="4" w:space="0" w:color="auto"/>
              <w:right w:val="single" w:sz="4" w:space="0" w:color="auto"/>
            </w:tcBorders>
            <w:shd w:val="clear" w:color="auto" w:fill="auto"/>
            <w:noWrap/>
            <w:vAlign w:val="center"/>
            <w:hideMark/>
          </w:tcPr>
          <w:p w14:paraId="5B8BB276" w14:textId="77777777" w:rsidR="00981B76" w:rsidRPr="008E044D" w:rsidRDefault="00981B76" w:rsidP="00E83799">
            <w:pPr>
              <w:ind w:right="276"/>
              <w:jc w:val="right"/>
              <w:rPr>
                <w:szCs w:val="22"/>
                <w:lang w:eastAsia="en-CA"/>
              </w:rPr>
            </w:pPr>
            <w:r w:rsidRPr="008E044D">
              <w:rPr>
                <w:szCs w:val="22"/>
                <w:lang w:eastAsia="en-CA"/>
              </w:rPr>
              <w:t>30</w:t>
            </w:r>
            <w:r>
              <w:rPr>
                <w:szCs w:val="22"/>
                <w:lang w:eastAsia="en-CA"/>
              </w:rPr>
              <w:t xml:space="preserve"> </w:t>
            </w:r>
            <w:r w:rsidRPr="008E044D">
              <w:rPr>
                <w:szCs w:val="22"/>
                <w:lang w:eastAsia="en-CA"/>
              </w:rPr>
              <w:t>771</w:t>
            </w:r>
          </w:p>
        </w:tc>
        <w:tc>
          <w:tcPr>
            <w:tcW w:w="0" w:type="auto"/>
            <w:tcBorders>
              <w:top w:val="nil"/>
              <w:left w:val="nil"/>
              <w:bottom w:val="single" w:sz="4" w:space="0" w:color="auto"/>
              <w:right w:val="single" w:sz="4" w:space="0" w:color="auto"/>
            </w:tcBorders>
            <w:shd w:val="clear" w:color="auto" w:fill="auto"/>
            <w:noWrap/>
            <w:vAlign w:val="center"/>
            <w:hideMark/>
          </w:tcPr>
          <w:p w14:paraId="194A431E" w14:textId="77777777" w:rsidR="00981B76" w:rsidRPr="008E044D" w:rsidRDefault="00981B76" w:rsidP="00E83799">
            <w:pPr>
              <w:ind w:right="276"/>
              <w:jc w:val="right"/>
              <w:rPr>
                <w:szCs w:val="22"/>
                <w:lang w:eastAsia="en-CA"/>
              </w:rPr>
            </w:pPr>
            <w:r w:rsidRPr="008E044D">
              <w:rPr>
                <w:szCs w:val="22"/>
                <w:lang w:eastAsia="en-CA"/>
              </w:rPr>
              <w:t>32</w:t>
            </w:r>
            <w:r>
              <w:rPr>
                <w:szCs w:val="22"/>
                <w:lang w:eastAsia="en-CA"/>
              </w:rPr>
              <w:t xml:space="preserve"> </w:t>
            </w:r>
            <w:r w:rsidRPr="008E044D">
              <w:rPr>
                <w:szCs w:val="22"/>
                <w:lang w:eastAsia="en-CA"/>
              </w:rPr>
              <w:t>629</w:t>
            </w:r>
          </w:p>
        </w:tc>
        <w:tc>
          <w:tcPr>
            <w:tcW w:w="0" w:type="auto"/>
            <w:tcBorders>
              <w:top w:val="nil"/>
              <w:left w:val="nil"/>
              <w:bottom w:val="single" w:sz="4" w:space="0" w:color="auto"/>
              <w:right w:val="single" w:sz="4" w:space="0" w:color="auto"/>
            </w:tcBorders>
            <w:shd w:val="clear" w:color="auto" w:fill="auto"/>
            <w:noWrap/>
            <w:vAlign w:val="center"/>
            <w:hideMark/>
          </w:tcPr>
          <w:p w14:paraId="50FD9F1A" w14:textId="77777777" w:rsidR="00981B76" w:rsidRPr="008E044D" w:rsidRDefault="00981B76" w:rsidP="00E83799">
            <w:pPr>
              <w:ind w:right="276"/>
              <w:jc w:val="right"/>
              <w:rPr>
                <w:szCs w:val="22"/>
                <w:lang w:eastAsia="en-CA"/>
              </w:rPr>
            </w:pPr>
            <w:r w:rsidRPr="008E044D">
              <w:rPr>
                <w:szCs w:val="22"/>
                <w:lang w:eastAsia="en-CA"/>
              </w:rPr>
              <w:t>63</w:t>
            </w:r>
            <w:r>
              <w:rPr>
                <w:szCs w:val="22"/>
                <w:lang w:eastAsia="en-CA"/>
              </w:rPr>
              <w:t xml:space="preserve"> </w:t>
            </w:r>
            <w:r w:rsidRPr="008E044D">
              <w:rPr>
                <w:szCs w:val="22"/>
                <w:lang w:eastAsia="en-CA"/>
              </w:rPr>
              <w:t>400</w:t>
            </w:r>
          </w:p>
        </w:tc>
      </w:tr>
      <w:tr w:rsidR="00981B76" w:rsidRPr="00C678EF" w14:paraId="484FCB5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B53D8A" w14:textId="77777777" w:rsidR="00981B76" w:rsidRPr="008E044D" w:rsidRDefault="00981B76" w:rsidP="00E83799">
            <w:pPr>
              <w:jc w:val="left"/>
              <w:rPr>
                <w:szCs w:val="22"/>
                <w:lang w:eastAsia="en-CA"/>
              </w:rPr>
            </w:pPr>
            <w:r w:rsidRPr="008E044D">
              <w:rPr>
                <w:szCs w:val="22"/>
                <w:lang w:eastAsia="en-CA"/>
              </w:rPr>
              <w:t>Belize</w:t>
            </w:r>
          </w:p>
        </w:tc>
        <w:tc>
          <w:tcPr>
            <w:tcW w:w="2288" w:type="dxa"/>
            <w:tcBorders>
              <w:top w:val="nil"/>
              <w:left w:val="nil"/>
              <w:bottom w:val="single" w:sz="4" w:space="0" w:color="auto"/>
              <w:right w:val="single" w:sz="4" w:space="0" w:color="auto"/>
            </w:tcBorders>
            <w:shd w:val="clear" w:color="auto" w:fill="auto"/>
            <w:vAlign w:val="center"/>
            <w:hideMark/>
          </w:tcPr>
          <w:p w14:paraId="7506C54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1FCB0F1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4C0E6DD2"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097FF48"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2295FDF"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060897A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9E1CA" w14:textId="77777777" w:rsidR="00981B76" w:rsidRPr="008E044D" w:rsidRDefault="00981B76" w:rsidP="00E83799">
            <w:pPr>
              <w:jc w:val="left"/>
              <w:rPr>
                <w:szCs w:val="22"/>
                <w:lang w:eastAsia="en-CA"/>
              </w:rPr>
            </w:pPr>
            <w:r>
              <w:rPr>
                <w:szCs w:val="22"/>
                <w:lang w:eastAsia="en-CA"/>
              </w:rPr>
              <w:t>Bé</w:t>
            </w:r>
            <w:r w:rsidRPr="008E044D">
              <w:rPr>
                <w:szCs w:val="22"/>
                <w:lang w:eastAsia="en-CA"/>
              </w:rPr>
              <w:t>nin</w:t>
            </w:r>
          </w:p>
        </w:tc>
        <w:tc>
          <w:tcPr>
            <w:tcW w:w="2288" w:type="dxa"/>
            <w:tcBorders>
              <w:top w:val="nil"/>
              <w:left w:val="nil"/>
              <w:bottom w:val="single" w:sz="4" w:space="0" w:color="auto"/>
              <w:right w:val="single" w:sz="4" w:space="0" w:color="auto"/>
            </w:tcBorders>
            <w:shd w:val="clear" w:color="auto" w:fill="auto"/>
            <w:vAlign w:val="center"/>
            <w:hideMark/>
          </w:tcPr>
          <w:p w14:paraId="1F97D9E7"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1F8F2C6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52A6B804" w14:textId="77777777" w:rsidR="00981B76" w:rsidRPr="008E044D" w:rsidRDefault="00981B76" w:rsidP="00E83799">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60EE5A6D" w14:textId="77777777" w:rsidR="00981B76" w:rsidRPr="008E044D" w:rsidRDefault="00981B76" w:rsidP="00E83799">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330FF3CC" w14:textId="77777777" w:rsidR="00981B76" w:rsidRPr="008E044D" w:rsidRDefault="00981B76" w:rsidP="00E83799">
            <w:pPr>
              <w:ind w:right="276"/>
              <w:jc w:val="right"/>
              <w:rPr>
                <w:szCs w:val="22"/>
                <w:lang w:eastAsia="en-CA"/>
              </w:rPr>
            </w:pPr>
            <w:r w:rsidRPr="008E044D">
              <w:rPr>
                <w:szCs w:val="22"/>
                <w:lang w:eastAsia="en-CA"/>
              </w:rPr>
              <w:t>215</w:t>
            </w:r>
          </w:p>
        </w:tc>
      </w:tr>
      <w:tr w:rsidR="00981B76" w:rsidRPr="00C678EF" w14:paraId="205C623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AF9507" w14:textId="77777777" w:rsidR="00981B76" w:rsidRPr="008E044D" w:rsidRDefault="00981B76" w:rsidP="00E83799">
            <w:pPr>
              <w:jc w:val="left"/>
              <w:rPr>
                <w:szCs w:val="22"/>
                <w:lang w:eastAsia="en-CA"/>
              </w:rPr>
            </w:pPr>
            <w:r>
              <w:rPr>
                <w:szCs w:val="22"/>
                <w:lang w:eastAsia="en-CA"/>
              </w:rPr>
              <w:t>Bho</w:t>
            </w:r>
            <w:r w:rsidRPr="008E044D">
              <w:rPr>
                <w:szCs w:val="22"/>
                <w:lang w:eastAsia="en-CA"/>
              </w:rPr>
              <w:t>utan</w:t>
            </w:r>
          </w:p>
        </w:tc>
        <w:tc>
          <w:tcPr>
            <w:tcW w:w="2288" w:type="dxa"/>
            <w:tcBorders>
              <w:top w:val="nil"/>
              <w:left w:val="nil"/>
              <w:bottom w:val="single" w:sz="4" w:space="0" w:color="auto"/>
              <w:right w:val="single" w:sz="4" w:space="0" w:color="auto"/>
            </w:tcBorders>
            <w:shd w:val="clear" w:color="auto" w:fill="auto"/>
            <w:vAlign w:val="center"/>
            <w:hideMark/>
          </w:tcPr>
          <w:p w14:paraId="74F4E47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1ED888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409BF1C5"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996F21A"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ED2999F"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27FAF7B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0E91F" w14:textId="77777777" w:rsidR="00981B76" w:rsidRPr="008E044D" w:rsidRDefault="00981B76" w:rsidP="00E83799">
            <w:pPr>
              <w:jc w:val="left"/>
              <w:rPr>
                <w:szCs w:val="22"/>
                <w:lang w:eastAsia="en-CA"/>
              </w:rPr>
            </w:pPr>
            <w:r>
              <w:rPr>
                <w:szCs w:val="22"/>
                <w:lang w:eastAsia="en-CA"/>
              </w:rPr>
              <w:t>Bolivie (Etat plurinational de</w:t>
            </w:r>
            <w:r w:rsidRPr="008E044D">
              <w:rPr>
                <w:szCs w:val="22"/>
                <w:lang w:eastAsia="en-CA"/>
              </w:rPr>
              <w:t>)</w:t>
            </w:r>
          </w:p>
        </w:tc>
        <w:tc>
          <w:tcPr>
            <w:tcW w:w="2288" w:type="dxa"/>
            <w:tcBorders>
              <w:top w:val="nil"/>
              <w:left w:val="nil"/>
              <w:bottom w:val="single" w:sz="4" w:space="0" w:color="auto"/>
              <w:right w:val="single" w:sz="4" w:space="0" w:color="auto"/>
            </w:tcBorders>
            <w:shd w:val="clear" w:color="auto" w:fill="auto"/>
            <w:vAlign w:val="center"/>
            <w:hideMark/>
          </w:tcPr>
          <w:p w14:paraId="566BF78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14:paraId="0703781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14:paraId="2B21FA58" w14:textId="77777777" w:rsidR="00981B76" w:rsidRPr="008E044D" w:rsidRDefault="00981B76" w:rsidP="00E83799">
            <w:pPr>
              <w:ind w:right="276"/>
              <w:jc w:val="right"/>
              <w:rPr>
                <w:szCs w:val="22"/>
                <w:lang w:eastAsia="en-CA"/>
              </w:rPr>
            </w:pPr>
            <w:r w:rsidRPr="008E044D">
              <w:rPr>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518DD776" w14:textId="77777777" w:rsidR="00981B76" w:rsidRPr="008E044D" w:rsidRDefault="00981B76" w:rsidP="00E83799">
            <w:pPr>
              <w:ind w:right="276"/>
              <w:jc w:val="right"/>
              <w:rPr>
                <w:szCs w:val="22"/>
                <w:lang w:eastAsia="en-CA"/>
              </w:rPr>
            </w:pP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498FAD5F" w14:textId="77777777" w:rsidR="00981B76" w:rsidRPr="008E044D" w:rsidRDefault="00981B76" w:rsidP="00E83799">
            <w:pPr>
              <w:ind w:right="276"/>
              <w:jc w:val="right"/>
              <w:rPr>
                <w:szCs w:val="22"/>
                <w:lang w:eastAsia="en-CA"/>
              </w:rPr>
            </w:pPr>
            <w:r w:rsidRPr="008E044D">
              <w:rPr>
                <w:szCs w:val="22"/>
                <w:lang w:eastAsia="en-CA"/>
              </w:rPr>
              <w:t>860</w:t>
            </w:r>
          </w:p>
        </w:tc>
      </w:tr>
      <w:tr w:rsidR="00981B76" w:rsidRPr="00C678EF" w14:paraId="7F3E3D2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FF12E2" w14:textId="77777777" w:rsidR="00981B76" w:rsidRPr="008E044D" w:rsidRDefault="00981B76" w:rsidP="00E83799">
            <w:pPr>
              <w:jc w:val="left"/>
              <w:rPr>
                <w:szCs w:val="22"/>
                <w:lang w:eastAsia="en-CA"/>
              </w:rPr>
            </w:pPr>
            <w:r>
              <w:rPr>
                <w:szCs w:val="22"/>
                <w:lang w:eastAsia="en-CA"/>
              </w:rPr>
              <w:t>Bosnie-Herzégovine</w:t>
            </w:r>
          </w:p>
        </w:tc>
        <w:tc>
          <w:tcPr>
            <w:tcW w:w="2288" w:type="dxa"/>
            <w:tcBorders>
              <w:top w:val="nil"/>
              <w:left w:val="nil"/>
              <w:bottom w:val="single" w:sz="4" w:space="0" w:color="auto"/>
              <w:right w:val="single" w:sz="4" w:space="0" w:color="auto"/>
            </w:tcBorders>
            <w:shd w:val="clear" w:color="auto" w:fill="auto"/>
            <w:vAlign w:val="center"/>
            <w:hideMark/>
          </w:tcPr>
          <w:p w14:paraId="1184404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013</w:t>
            </w:r>
          </w:p>
        </w:tc>
        <w:tc>
          <w:tcPr>
            <w:tcW w:w="0" w:type="auto"/>
            <w:tcBorders>
              <w:top w:val="nil"/>
              <w:left w:val="nil"/>
              <w:bottom w:val="single" w:sz="4" w:space="0" w:color="auto"/>
              <w:right w:val="single" w:sz="4" w:space="0" w:color="auto"/>
            </w:tcBorders>
            <w:shd w:val="clear" w:color="auto" w:fill="auto"/>
            <w:noWrap/>
            <w:vAlign w:val="center"/>
            <w:hideMark/>
          </w:tcPr>
          <w:p w14:paraId="19A34F1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019</w:t>
            </w:r>
          </w:p>
        </w:tc>
        <w:tc>
          <w:tcPr>
            <w:tcW w:w="0" w:type="auto"/>
            <w:tcBorders>
              <w:top w:val="nil"/>
              <w:left w:val="nil"/>
              <w:bottom w:val="single" w:sz="4" w:space="0" w:color="auto"/>
              <w:right w:val="single" w:sz="4" w:space="0" w:color="auto"/>
            </w:tcBorders>
            <w:shd w:val="clear" w:color="auto" w:fill="auto"/>
            <w:noWrap/>
            <w:vAlign w:val="center"/>
            <w:hideMark/>
          </w:tcPr>
          <w:p w14:paraId="291D2681" w14:textId="77777777" w:rsidR="00981B76" w:rsidRPr="008E044D" w:rsidRDefault="00981B76" w:rsidP="00E83799">
            <w:pPr>
              <w:ind w:right="276"/>
              <w:jc w:val="right"/>
              <w:rPr>
                <w:szCs w:val="22"/>
                <w:lang w:eastAsia="en-CA"/>
              </w:rPr>
            </w:pPr>
            <w:r w:rsidRPr="008E044D">
              <w:rPr>
                <w:szCs w:val="22"/>
                <w:lang w:eastAsia="en-CA"/>
              </w:rPr>
              <w:t>452</w:t>
            </w:r>
          </w:p>
        </w:tc>
        <w:tc>
          <w:tcPr>
            <w:tcW w:w="0" w:type="auto"/>
            <w:tcBorders>
              <w:top w:val="nil"/>
              <w:left w:val="nil"/>
              <w:bottom w:val="single" w:sz="4" w:space="0" w:color="auto"/>
              <w:right w:val="single" w:sz="4" w:space="0" w:color="auto"/>
            </w:tcBorders>
            <w:shd w:val="clear" w:color="auto" w:fill="auto"/>
            <w:noWrap/>
            <w:vAlign w:val="center"/>
            <w:hideMark/>
          </w:tcPr>
          <w:p w14:paraId="5E5AE8D8" w14:textId="77777777" w:rsidR="00981B76" w:rsidRPr="008E044D" w:rsidRDefault="00981B76" w:rsidP="00E83799">
            <w:pPr>
              <w:ind w:right="276"/>
              <w:jc w:val="right"/>
              <w:rPr>
                <w:szCs w:val="22"/>
                <w:lang w:eastAsia="en-CA"/>
              </w:rPr>
            </w:pPr>
            <w:r w:rsidRPr="008E044D">
              <w:rPr>
                <w:szCs w:val="22"/>
                <w:lang w:eastAsia="en-CA"/>
              </w:rPr>
              <w:t>479</w:t>
            </w:r>
          </w:p>
        </w:tc>
        <w:tc>
          <w:tcPr>
            <w:tcW w:w="0" w:type="auto"/>
            <w:tcBorders>
              <w:top w:val="nil"/>
              <w:left w:val="nil"/>
              <w:bottom w:val="single" w:sz="4" w:space="0" w:color="auto"/>
              <w:right w:val="single" w:sz="4" w:space="0" w:color="auto"/>
            </w:tcBorders>
            <w:shd w:val="clear" w:color="auto" w:fill="auto"/>
            <w:noWrap/>
            <w:vAlign w:val="center"/>
            <w:hideMark/>
          </w:tcPr>
          <w:p w14:paraId="60A39955" w14:textId="77777777" w:rsidR="00981B76" w:rsidRPr="008E044D" w:rsidRDefault="00981B76" w:rsidP="00E83799">
            <w:pPr>
              <w:ind w:right="276"/>
              <w:jc w:val="right"/>
              <w:rPr>
                <w:szCs w:val="22"/>
                <w:lang w:eastAsia="en-CA"/>
              </w:rPr>
            </w:pPr>
            <w:r w:rsidRPr="008E044D">
              <w:rPr>
                <w:szCs w:val="22"/>
                <w:lang w:eastAsia="en-CA"/>
              </w:rPr>
              <w:t>931</w:t>
            </w:r>
          </w:p>
        </w:tc>
      </w:tr>
      <w:tr w:rsidR="00981B76" w:rsidRPr="00C678EF" w14:paraId="6732317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BDC563" w14:textId="77777777" w:rsidR="00981B76" w:rsidRPr="008E044D" w:rsidRDefault="00981B76" w:rsidP="00E83799">
            <w:pPr>
              <w:jc w:val="left"/>
              <w:rPr>
                <w:szCs w:val="22"/>
                <w:lang w:eastAsia="en-CA"/>
              </w:rPr>
            </w:pPr>
            <w:r w:rsidRPr="008E044D">
              <w:rPr>
                <w:szCs w:val="22"/>
                <w:lang w:eastAsia="en-CA"/>
              </w:rPr>
              <w:t>Botswana</w:t>
            </w:r>
          </w:p>
        </w:tc>
        <w:tc>
          <w:tcPr>
            <w:tcW w:w="2288" w:type="dxa"/>
            <w:tcBorders>
              <w:top w:val="nil"/>
              <w:left w:val="nil"/>
              <w:bottom w:val="single" w:sz="4" w:space="0" w:color="auto"/>
              <w:right w:val="single" w:sz="4" w:space="0" w:color="auto"/>
            </w:tcBorders>
            <w:shd w:val="clear" w:color="auto" w:fill="auto"/>
            <w:vAlign w:val="center"/>
            <w:hideMark/>
          </w:tcPr>
          <w:p w14:paraId="384A18F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0DABB550"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14:paraId="0F5776C9" w14:textId="77777777" w:rsidR="00981B76" w:rsidRPr="008E044D" w:rsidRDefault="00981B76" w:rsidP="00E83799">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2974C3C1" w14:textId="77777777" w:rsidR="00981B76" w:rsidRPr="008E044D" w:rsidRDefault="00981B76" w:rsidP="00E83799">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7F868891"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981B76" w:rsidRPr="00C678EF" w14:paraId="666AB12D" w14:textId="77777777" w:rsidTr="00E8379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A16A58" w14:textId="77777777" w:rsidR="00981B76" w:rsidRPr="008E044D" w:rsidRDefault="00981B76" w:rsidP="00E83799">
            <w:pPr>
              <w:jc w:val="left"/>
              <w:rPr>
                <w:szCs w:val="22"/>
                <w:lang w:eastAsia="en-CA"/>
              </w:rPr>
            </w:pPr>
            <w:r>
              <w:rPr>
                <w:szCs w:val="22"/>
                <w:lang w:eastAsia="en-CA"/>
              </w:rPr>
              <w:t>Brés</w:t>
            </w:r>
            <w:r w:rsidRPr="008E044D">
              <w:rPr>
                <w:szCs w:val="22"/>
                <w:lang w:eastAsia="en-CA"/>
              </w:rPr>
              <w:t>il</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4A7974F4" w14:textId="77777777" w:rsidR="00981B76" w:rsidRPr="008E044D" w:rsidRDefault="00981B76" w:rsidP="00E83799">
            <w:pPr>
              <w:ind w:right="770"/>
              <w:jc w:val="right"/>
              <w:rPr>
                <w:szCs w:val="22"/>
                <w:lang w:eastAsia="en-CA"/>
              </w:rPr>
            </w:pPr>
            <w:r w:rsidRPr="008E044D">
              <w:rPr>
                <w:szCs w:val="22"/>
                <w:lang w:eastAsia="en-CA"/>
              </w:rPr>
              <w:t>3</w:t>
            </w:r>
            <w:r>
              <w:rPr>
                <w:szCs w:val="22"/>
                <w:lang w:eastAsia="en-CA"/>
              </w:rPr>
              <w:t>,</w:t>
            </w:r>
            <w:r w:rsidRPr="008E044D">
              <w:rPr>
                <w:szCs w:val="22"/>
                <w:lang w:eastAsia="en-CA"/>
              </w:rPr>
              <w:t>823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889D51" w14:textId="77777777" w:rsidR="00981B76" w:rsidRPr="008E044D" w:rsidRDefault="00981B76" w:rsidP="00E83799">
            <w:pPr>
              <w:ind w:right="1144"/>
              <w:jc w:val="right"/>
              <w:rPr>
                <w:szCs w:val="22"/>
                <w:lang w:eastAsia="en-CA"/>
              </w:rPr>
            </w:pPr>
            <w:r w:rsidRPr="008E044D">
              <w:rPr>
                <w:szCs w:val="22"/>
                <w:lang w:eastAsia="en-CA"/>
              </w:rPr>
              <w:t>5</w:t>
            </w:r>
            <w:r>
              <w:rPr>
                <w:szCs w:val="22"/>
                <w:lang w:eastAsia="en-CA"/>
              </w:rPr>
              <w:t>,</w:t>
            </w:r>
            <w:r w:rsidRPr="008E044D">
              <w:rPr>
                <w:szCs w:val="22"/>
                <w:lang w:eastAsia="en-CA"/>
              </w:rPr>
              <w:t>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07FCC1" w14:textId="77777777" w:rsidR="00981B76" w:rsidRPr="008E044D" w:rsidRDefault="00981B76" w:rsidP="00E83799">
            <w:pPr>
              <w:ind w:right="276"/>
              <w:jc w:val="right"/>
              <w:rPr>
                <w:szCs w:val="22"/>
                <w:lang w:eastAsia="en-CA"/>
              </w:rPr>
            </w:pPr>
            <w:r w:rsidRPr="008E044D">
              <w:rPr>
                <w:szCs w:val="22"/>
                <w:lang w:eastAsia="en-CA"/>
              </w:rPr>
              <w:t>132</w:t>
            </w:r>
            <w:r>
              <w:rPr>
                <w:szCs w:val="22"/>
                <w:lang w:eastAsia="en-CA"/>
              </w:rPr>
              <w:t xml:space="preserve"> </w:t>
            </w:r>
            <w:r w:rsidRPr="008E044D">
              <w:rPr>
                <w:szCs w:val="22"/>
                <w:lang w:eastAsia="en-CA"/>
              </w:rPr>
              <w:t>922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7820CD" w14:textId="77777777" w:rsidR="00981B76" w:rsidRPr="008E044D" w:rsidRDefault="00981B76" w:rsidP="00E83799">
            <w:pPr>
              <w:ind w:right="276"/>
              <w:jc w:val="right"/>
              <w:rPr>
                <w:szCs w:val="22"/>
                <w:lang w:eastAsia="en-CA"/>
              </w:rPr>
            </w:pPr>
            <w:r w:rsidRPr="008E044D">
              <w:rPr>
                <w:szCs w:val="22"/>
                <w:lang w:eastAsia="en-CA"/>
              </w:rPr>
              <w:t>140</w:t>
            </w:r>
            <w:r>
              <w:rPr>
                <w:szCs w:val="22"/>
                <w:lang w:eastAsia="en-CA"/>
              </w:rPr>
              <w:t xml:space="preserve"> </w:t>
            </w:r>
            <w:r w:rsidRPr="008E044D">
              <w:rPr>
                <w:szCs w:val="22"/>
                <w:lang w:eastAsia="en-CA"/>
              </w:rPr>
              <w:t>951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8F2427" w14:textId="77777777" w:rsidR="00981B76" w:rsidRPr="008E044D" w:rsidRDefault="00981B76" w:rsidP="00E83799">
            <w:pPr>
              <w:ind w:right="276"/>
              <w:jc w:val="right"/>
              <w:rPr>
                <w:szCs w:val="22"/>
                <w:lang w:eastAsia="en-CA"/>
              </w:rPr>
            </w:pPr>
            <w:r w:rsidRPr="008E044D">
              <w:rPr>
                <w:szCs w:val="22"/>
                <w:lang w:eastAsia="en-CA"/>
              </w:rPr>
              <w:t>273</w:t>
            </w:r>
            <w:r>
              <w:rPr>
                <w:szCs w:val="22"/>
                <w:lang w:eastAsia="en-CA"/>
              </w:rPr>
              <w:t xml:space="preserve"> </w:t>
            </w:r>
            <w:r w:rsidRPr="008E044D">
              <w:rPr>
                <w:szCs w:val="22"/>
                <w:lang w:eastAsia="en-CA"/>
              </w:rPr>
              <w:t>874</w:t>
            </w:r>
          </w:p>
        </w:tc>
      </w:tr>
      <w:tr w:rsidR="00981B76" w:rsidRPr="00C678EF" w14:paraId="72108AB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BF05A" w14:textId="77777777" w:rsidR="00981B76" w:rsidRPr="008E044D" w:rsidRDefault="00981B76" w:rsidP="00E83799">
            <w:pPr>
              <w:jc w:val="left"/>
              <w:rPr>
                <w:szCs w:val="22"/>
                <w:lang w:eastAsia="en-CA"/>
              </w:rPr>
            </w:pPr>
            <w:r>
              <w:rPr>
                <w:szCs w:val="22"/>
                <w:lang w:eastAsia="en-CA"/>
              </w:rPr>
              <w:t>Bulgarie</w:t>
            </w:r>
          </w:p>
        </w:tc>
        <w:tc>
          <w:tcPr>
            <w:tcW w:w="2288" w:type="dxa"/>
            <w:tcBorders>
              <w:top w:val="nil"/>
              <w:left w:val="nil"/>
              <w:bottom w:val="single" w:sz="4" w:space="0" w:color="auto"/>
              <w:right w:val="single" w:sz="4" w:space="0" w:color="auto"/>
            </w:tcBorders>
            <w:shd w:val="clear" w:color="auto" w:fill="auto"/>
            <w:vAlign w:val="center"/>
            <w:hideMark/>
          </w:tcPr>
          <w:p w14:paraId="18E080D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045</w:t>
            </w:r>
          </w:p>
        </w:tc>
        <w:tc>
          <w:tcPr>
            <w:tcW w:w="0" w:type="auto"/>
            <w:tcBorders>
              <w:top w:val="nil"/>
              <w:left w:val="nil"/>
              <w:bottom w:val="single" w:sz="4" w:space="0" w:color="auto"/>
              <w:right w:val="single" w:sz="4" w:space="0" w:color="auto"/>
            </w:tcBorders>
            <w:shd w:val="clear" w:color="auto" w:fill="auto"/>
            <w:noWrap/>
            <w:vAlign w:val="center"/>
            <w:hideMark/>
          </w:tcPr>
          <w:p w14:paraId="77BB914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065</w:t>
            </w:r>
          </w:p>
        </w:tc>
        <w:tc>
          <w:tcPr>
            <w:tcW w:w="0" w:type="auto"/>
            <w:tcBorders>
              <w:top w:val="nil"/>
              <w:left w:val="nil"/>
              <w:bottom w:val="single" w:sz="4" w:space="0" w:color="auto"/>
              <w:right w:val="single" w:sz="4" w:space="0" w:color="auto"/>
            </w:tcBorders>
            <w:shd w:val="clear" w:color="auto" w:fill="auto"/>
            <w:noWrap/>
            <w:vAlign w:val="center"/>
            <w:hideMark/>
          </w:tcPr>
          <w:p w14:paraId="71C0E3BF"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565</w:t>
            </w:r>
          </w:p>
        </w:tc>
        <w:tc>
          <w:tcPr>
            <w:tcW w:w="0" w:type="auto"/>
            <w:tcBorders>
              <w:top w:val="nil"/>
              <w:left w:val="nil"/>
              <w:bottom w:val="single" w:sz="4" w:space="0" w:color="auto"/>
              <w:right w:val="single" w:sz="4" w:space="0" w:color="auto"/>
            </w:tcBorders>
            <w:shd w:val="clear" w:color="auto" w:fill="auto"/>
            <w:noWrap/>
            <w:vAlign w:val="center"/>
            <w:hideMark/>
          </w:tcPr>
          <w:p w14:paraId="0FEE14F2"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14:paraId="3BA63373"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224</w:t>
            </w:r>
          </w:p>
        </w:tc>
      </w:tr>
      <w:tr w:rsidR="00981B76" w:rsidRPr="00C678EF" w14:paraId="0A9345C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629FA" w14:textId="77777777" w:rsidR="00981B76" w:rsidRPr="008E044D" w:rsidRDefault="00981B76" w:rsidP="00E83799">
            <w:pPr>
              <w:jc w:val="left"/>
              <w:rPr>
                <w:szCs w:val="22"/>
                <w:lang w:eastAsia="en-CA"/>
              </w:rPr>
            </w:pPr>
            <w:r w:rsidRPr="008E044D">
              <w:rPr>
                <w:szCs w:val="22"/>
                <w:lang w:eastAsia="en-CA"/>
              </w:rPr>
              <w:lastRenderedPageBreak/>
              <w:t>Burkina Faso</w:t>
            </w:r>
          </w:p>
        </w:tc>
        <w:tc>
          <w:tcPr>
            <w:tcW w:w="2288" w:type="dxa"/>
            <w:tcBorders>
              <w:top w:val="nil"/>
              <w:left w:val="nil"/>
              <w:bottom w:val="single" w:sz="4" w:space="0" w:color="auto"/>
              <w:right w:val="single" w:sz="4" w:space="0" w:color="auto"/>
            </w:tcBorders>
            <w:shd w:val="clear" w:color="auto" w:fill="auto"/>
            <w:vAlign w:val="center"/>
            <w:hideMark/>
          </w:tcPr>
          <w:p w14:paraId="24A54F2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74D9BA2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5FC7F643"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53F3EE3"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365C3613"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329870A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E9AD94" w14:textId="77777777" w:rsidR="00981B76" w:rsidRPr="008E044D" w:rsidRDefault="00981B76" w:rsidP="00E83799">
            <w:pPr>
              <w:jc w:val="left"/>
              <w:rPr>
                <w:szCs w:val="22"/>
                <w:lang w:eastAsia="en-CA"/>
              </w:rPr>
            </w:pPr>
            <w:r w:rsidRPr="008E044D">
              <w:rPr>
                <w:szCs w:val="22"/>
                <w:lang w:eastAsia="en-CA"/>
              </w:rPr>
              <w:t>Burundi</w:t>
            </w:r>
          </w:p>
        </w:tc>
        <w:tc>
          <w:tcPr>
            <w:tcW w:w="2288" w:type="dxa"/>
            <w:tcBorders>
              <w:top w:val="nil"/>
              <w:left w:val="nil"/>
              <w:bottom w:val="single" w:sz="4" w:space="0" w:color="auto"/>
              <w:right w:val="single" w:sz="4" w:space="0" w:color="auto"/>
            </w:tcBorders>
            <w:shd w:val="clear" w:color="auto" w:fill="auto"/>
            <w:vAlign w:val="center"/>
            <w:hideMark/>
          </w:tcPr>
          <w:p w14:paraId="75B4D40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53681B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71AD818"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BE0D44E"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B3D8807"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629A8B7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57C2D" w14:textId="77777777" w:rsidR="00981B76" w:rsidRPr="008E044D" w:rsidRDefault="00981B76" w:rsidP="00E83799">
            <w:pPr>
              <w:jc w:val="left"/>
              <w:rPr>
                <w:szCs w:val="22"/>
                <w:lang w:eastAsia="en-CA"/>
              </w:rPr>
            </w:pPr>
            <w:r>
              <w:rPr>
                <w:szCs w:val="22"/>
                <w:lang w:eastAsia="en-CA"/>
              </w:rPr>
              <w:t>Cabo</w:t>
            </w:r>
            <w:r w:rsidRPr="008E044D">
              <w:rPr>
                <w:szCs w:val="22"/>
                <w:lang w:eastAsia="en-CA"/>
              </w:rPr>
              <w:t xml:space="preserve"> Verde</w:t>
            </w:r>
          </w:p>
        </w:tc>
        <w:tc>
          <w:tcPr>
            <w:tcW w:w="2288" w:type="dxa"/>
            <w:tcBorders>
              <w:top w:val="nil"/>
              <w:left w:val="nil"/>
              <w:bottom w:val="single" w:sz="4" w:space="0" w:color="auto"/>
              <w:right w:val="single" w:sz="4" w:space="0" w:color="auto"/>
            </w:tcBorders>
            <w:shd w:val="clear" w:color="auto" w:fill="auto"/>
            <w:vAlign w:val="center"/>
            <w:hideMark/>
          </w:tcPr>
          <w:p w14:paraId="421979D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6664802D"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8963256"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515EDF9"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5575667"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3ECE374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E4B968" w14:textId="77777777" w:rsidR="00981B76" w:rsidRPr="008E044D" w:rsidRDefault="00981B76" w:rsidP="00E83799">
            <w:pPr>
              <w:jc w:val="left"/>
              <w:rPr>
                <w:szCs w:val="22"/>
                <w:lang w:eastAsia="en-CA"/>
              </w:rPr>
            </w:pPr>
            <w:r>
              <w:rPr>
                <w:szCs w:val="22"/>
                <w:lang w:eastAsia="en-CA"/>
              </w:rPr>
              <w:t>Cambodge</w:t>
            </w:r>
          </w:p>
        </w:tc>
        <w:tc>
          <w:tcPr>
            <w:tcW w:w="2288" w:type="dxa"/>
            <w:tcBorders>
              <w:top w:val="nil"/>
              <w:left w:val="nil"/>
              <w:bottom w:val="single" w:sz="4" w:space="0" w:color="auto"/>
              <w:right w:val="single" w:sz="4" w:space="0" w:color="auto"/>
            </w:tcBorders>
            <w:shd w:val="clear" w:color="auto" w:fill="auto"/>
            <w:vAlign w:val="center"/>
            <w:hideMark/>
          </w:tcPr>
          <w:p w14:paraId="2AA9A39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48F4FB3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7957663E"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28FA47DE"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4A3E67E"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47132C2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2A9D65" w14:textId="77777777" w:rsidR="00981B76" w:rsidRPr="008E044D" w:rsidRDefault="00981B76" w:rsidP="00E83799">
            <w:pPr>
              <w:jc w:val="left"/>
              <w:rPr>
                <w:szCs w:val="22"/>
                <w:lang w:eastAsia="en-CA"/>
              </w:rPr>
            </w:pPr>
            <w:r>
              <w:rPr>
                <w:szCs w:val="22"/>
                <w:lang w:eastAsia="en-CA"/>
              </w:rPr>
              <w:t>Camerou</w:t>
            </w:r>
            <w:r w:rsidRPr="008E044D">
              <w:rPr>
                <w:szCs w:val="22"/>
                <w:lang w:eastAsia="en-CA"/>
              </w:rPr>
              <w:t>n</w:t>
            </w:r>
          </w:p>
        </w:tc>
        <w:tc>
          <w:tcPr>
            <w:tcW w:w="2288" w:type="dxa"/>
            <w:tcBorders>
              <w:top w:val="nil"/>
              <w:left w:val="nil"/>
              <w:bottom w:val="single" w:sz="4" w:space="0" w:color="auto"/>
              <w:right w:val="single" w:sz="4" w:space="0" w:color="auto"/>
            </w:tcBorders>
            <w:shd w:val="clear" w:color="auto" w:fill="auto"/>
            <w:vAlign w:val="center"/>
            <w:hideMark/>
          </w:tcPr>
          <w:p w14:paraId="65E4EAE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1A1591F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488E7578" w14:textId="77777777" w:rsidR="00981B76" w:rsidRPr="008E044D" w:rsidRDefault="00981B76" w:rsidP="00E83799">
            <w:pPr>
              <w:ind w:right="276"/>
              <w:jc w:val="right"/>
              <w:rPr>
                <w:szCs w:val="22"/>
                <w:lang w:eastAsia="en-CA"/>
              </w:rPr>
            </w:pPr>
            <w:r w:rsidRPr="008E044D">
              <w:rPr>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1C3D5F47" w14:textId="77777777" w:rsidR="00981B76" w:rsidRPr="008E044D" w:rsidRDefault="00981B76" w:rsidP="00E83799">
            <w:pPr>
              <w:ind w:right="276"/>
              <w:jc w:val="right"/>
              <w:rPr>
                <w:szCs w:val="22"/>
                <w:lang w:eastAsia="en-CA"/>
              </w:rPr>
            </w:pPr>
            <w:r w:rsidRPr="008E044D">
              <w:rPr>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797CE2BC" w14:textId="77777777" w:rsidR="00981B76" w:rsidRPr="008E044D" w:rsidRDefault="00981B76" w:rsidP="00E83799">
            <w:pPr>
              <w:ind w:right="276"/>
              <w:jc w:val="right"/>
              <w:rPr>
                <w:szCs w:val="22"/>
                <w:lang w:eastAsia="en-CA"/>
              </w:rPr>
            </w:pPr>
            <w:r w:rsidRPr="008E044D">
              <w:rPr>
                <w:szCs w:val="22"/>
                <w:lang w:eastAsia="en-CA"/>
              </w:rPr>
              <w:t>716</w:t>
            </w:r>
          </w:p>
        </w:tc>
      </w:tr>
      <w:tr w:rsidR="00981B76" w:rsidRPr="00C678EF" w14:paraId="26CD712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909BC5" w14:textId="77777777" w:rsidR="00981B76" w:rsidRPr="008E044D" w:rsidRDefault="00981B76" w:rsidP="00E83799">
            <w:pPr>
              <w:jc w:val="left"/>
              <w:rPr>
                <w:szCs w:val="22"/>
                <w:lang w:eastAsia="en-CA"/>
              </w:rPr>
            </w:pPr>
            <w:r>
              <w:rPr>
                <w:szCs w:val="22"/>
                <w:lang w:eastAsia="en-CA"/>
              </w:rPr>
              <w:t>Chine</w:t>
            </w:r>
          </w:p>
        </w:tc>
        <w:tc>
          <w:tcPr>
            <w:tcW w:w="2288" w:type="dxa"/>
            <w:tcBorders>
              <w:top w:val="nil"/>
              <w:left w:val="nil"/>
              <w:bottom w:val="single" w:sz="4" w:space="0" w:color="auto"/>
              <w:right w:val="single" w:sz="4" w:space="0" w:color="auto"/>
            </w:tcBorders>
            <w:shd w:val="clear" w:color="auto" w:fill="auto"/>
            <w:vAlign w:val="center"/>
            <w:hideMark/>
          </w:tcPr>
          <w:p w14:paraId="57B4ADBB" w14:textId="77777777" w:rsidR="00981B76" w:rsidRPr="008E044D" w:rsidRDefault="00981B76" w:rsidP="00E83799">
            <w:pPr>
              <w:ind w:right="770"/>
              <w:jc w:val="right"/>
              <w:rPr>
                <w:szCs w:val="22"/>
                <w:lang w:eastAsia="en-CA"/>
              </w:rPr>
            </w:pPr>
            <w:r w:rsidRPr="008E044D">
              <w:rPr>
                <w:szCs w:val="22"/>
                <w:lang w:eastAsia="en-CA"/>
              </w:rPr>
              <w:t>7</w:t>
            </w:r>
            <w:r>
              <w:rPr>
                <w:szCs w:val="22"/>
                <w:lang w:eastAsia="en-CA"/>
              </w:rPr>
              <w:t>,</w:t>
            </w:r>
            <w:r w:rsidRPr="008E044D">
              <w:rPr>
                <w:szCs w:val="22"/>
                <w:lang w:eastAsia="en-CA"/>
              </w:rPr>
              <w:t>921</w:t>
            </w:r>
          </w:p>
        </w:tc>
        <w:tc>
          <w:tcPr>
            <w:tcW w:w="0" w:type="auto"/>
            <w:tcBorders>
              <w:top w:val="nil"/>
              <w:left w:val="nil"/>
              <w:bottom w:val="single" w:sz="4" w:space="0" w:color="auto"/>
              <w:right w:val="single" w:sz="4" w:space="0" w:color="auto"/>
            </w:tcBorders>
            <w:shd w:val="clear" w:color="auto" w:fill="auto"/>
            <w:noWrap/>
            <w:vAlign w:val="center"/>
            <w:hideMark/>
          </w:tcPr>
          <w:p w14:paraId="4979BE9E" w14:textId="77777777" w:rsidR="00981B76" w:rsidRPr="008E044D" w:rsidRDefault="00981B76" w:rsidP="00E83799">
            <w:pPr>
              <w:ind w:right="1144"/>
              <w:jc w:val="right"/>
              <w:rPr>
                <w:szCs w:val="22"/>
                <w:lang w:eastAsia="en-CA"/>
              </w:rPr>
            </w:pPr>
            <w:r w:rsidRPr="008E044D">
              <w:rPr>
                <w:szCs w:val="22"/>
                <w:lang w:eastAsia="en-CA"/>
              </w:rPr>
              <w:t>11</w:t>
            </w:r>
            <w:r>
              <w:rPr>
                <w:szCs w:val="22"/>
                <w:lang w:eastAsia="en-CA"/>
              </w:rPr>
              <w:t>,</w:t>
            </w:r>
            <w:r w:rsidRPr="008E044D">
              <w:rPr>
                <w:szCs w:val="22"/>
                <w:lang w:eastAsia="en-CA"/>
              </w:rPr>
              <w:t>469</w:t>
            </w:r>
          </w:p>
        </w:tc>
        <w:tc>
          <w:tcPr>
            <w:tcW w:w="0" w:type="auto"/>
            <w:tcBorders>
              <w:top w:val="nil"/>
              <w:left w:val="nil"/>
              <w:bottom w:val="single" w:sz="4" w:space="0" w:color="auto"/>
              <w:right w:val="single" w:sz="4" w:space="0" w:color="auto"/>
            </w:tcBorders>
            <w:shd w:val="clear" w:color="auto" w:fill="auto"/>
            <w:noWrap/>
            <w:vAlign w:val="center"/>
            <w:hideMark/>
          </w:tcPr>
          <w:p w14:paraId="5E928B83" w14:textId="77777777" w:rsidR="00981B76" w:rsidRPr="008E044D" w:rsidRDefault="00981B76" w:rsidP="00E83799">
            <w:pPr>
              <w:ind w:right="276"/>
              <w:jc w:val="right"/>
              <w:rPr>
                <w:szCs w:val="22"/>
                <w:lang w:eastAsia="en-CA"/>
              </w:rPr>
            </w:pPr>
            <w:r w:rsidRPr="008E044D">
              <w:rPr>
                <w:szCs w:val="22"/>
                <w:lang w:eastAsia="en-CA"/>
              </w:rPr>
              <w:t>275</w:t>
            </w:r>
            <w:r>
              <w:rPr>
                <w:szCs w:val="22"/>
                <w:lang w:eastAsia="en-CA"/>
              </w:rPr>
              <w:t xml:space="preserve"> </w:t>
            </w:r>
            <w:r w:rsidRPr="008E044D">
              <w:rPr>
                <w:szCs w:val="22"/>
                <w:lang w:eastAsia="en-CA"/>
              </w:rPr>
              <w:t>406</w:t>
            </w:r>
          </w:p>
        </w:tc>
        <w:tc>
          <w:tcPr>
            <w:tcW w:w="0" w:type="auto"/>
            <w:tcBorders>
              <w:top w:val="nil"/>
              <w:left w:val="nil"/>
              <w:bottom w:val="single" w:sz="4" w:space="0" w:color="auto"/>
              <w:right w:val="single" w:sz="4" w:space="0" w:color="auto"/>
            </w:tcBorders>
            <w:shd w:val="clear" w:color="auto" w:fill="auto"/>
            <w:noWrap/>
            <w:vAlign w:val="center"/>
            <w:hideMark/>
          </w:tcPr>
          <w:p w14:paraId="36FF11CF" w14:textId="77777777" w:rsidR="00981B76" w:rsidRPr="008E044D" w:rsidRDefault="00981B76" w:rsidP="00E83799">
            <w:pPr>
              <w:ind w:right="276"/>
              <w:jc w:val="right"/>
              <w:rPr>
                <w:szCs w:val="22"/>
                <w:lang w:eastAsia="en-CA"/>
              </w:rPr>
            </w:pPr>
            <w:r w:rsidRPr="008E044D">
              <w:rPr>
                <w:szCs w:val="22"/>
                <w:lang w:eastAsia="en-CA"/>
              </w:rPr>
              <w:t>292</w:t>
            </w:r>
            <w:r>
              <w:rPr>
                <w:szCs w:val="22"/>
                <w:lang w:eastAsia="en-CA"/>
              </w:rPr>
              <w:t xml:space="preserve"> </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14:paraId="725AF748" w14:textId="77777777" w:rsidR="00981B76" w:rsidRPr="008E044D" w:rsidRDefault="00981B76" w:rsidP="00E83799">
            <w:pPr>
              <w:ind w:right="276"/>
              <w:jc w:val="right"/>
              <w:rPr>
                <w:szCs w:val="22"/>
                <w:lang w:eastAsia="en-CA"/>
              </w:rPr>
            </w:pPr>
            <w:r w:rsidRPr="008E044D">
              <w:rPr>
                <w:szCs w:val="22"/>
                <w:lang w:eastAsia="en-CA"/>
              </w:rPr>
              <w:t>567</w:t>
            </w:r>
            <w:r>
              <w:rPr>
                <w:szCs w:val="22"/>
                <w:lang w:eastAsia="en-CA"/>
              </w:rPr>
              <w:t xml:space="preserve"> </w:t>
            </w:r>
            <w:r w:rsidRPr="008E044D">
              <w:rPr>
                <w:szCs w:val="22"/>
                <w:lang w:eastAsia="en-CA"/>
              </w:rPr>
              <w:t>448</w:t>
            </w:r>
          </w:p>
        </w:tc>
      </w:tr>
      <w:tr w:rsidR="00981B76" w:rsidRPr="00C678EF" w14:paraId="2F82C0B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9CF16" w14:textId="77777777" w:rsidR="00981B76" w:rsidRPr="008E044D" w:rsidRDefault="00981B76" w:rsidP="00E83799">
            <w:pPr>
              <w:jc w:val="left"/>
              <w:rPr>
                <w:szCs w:val="22"/>
                <w:lang w:eastAsia="en-CA"/>
              </w:rPr>
            </w:pPr>
            <w:r>
              <w:rPr>
                <w:szCs w:val="22"/>
                <w:lang w:eastAsia="en-CA"/>
              </w:rPr>
              <w:t>Chypre</w:t>
            </w:r>
          </w:p>
        </w:tc>
        <w:tc>
          <w:tcPr>
            <w:tcW w:w="2288" w:type="dxa"/>
            <w:tcBorders>
              <w:top w:val="nil"/>
              <w:left w:val="nil"/>
              <w:bottom w:val="single" w:sz="4" w:space="0" w:color="auto"/>
              <w:right w:val="single" w:sz="4" w:space="0" w:color="auto"/>
            </w:tcBorders>
            <w:shd w:val="clear" w:color="auto" w:fill="auto"/>
            <w:vAlign w:val="center"/>
            <w:hideMark/>
          </w:tcPr>
          <w:p w14:paraId="060A5F8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043</w:t>
            </w:r>
          </w:p>
        </w:tc>
        <w:tc>
          <w:tcPr>
            <w:tcW w:w="0" w:type="auto"/>
            <w:tcBorders>
              <w:top w:val="nil"/>
              <w:left w:val="nil"/>
              <w:bottom w:val="single" w:sz="4" w:space="0" w:color="auto"/>
              <w:right w:val="single" w:sz="4" w:space="0" w:color="auto"/>
            </w:tcBorders>
            <w:shd w:val="clear" w:color="auto" w:fill="auto"/>
            <w:noWrap/>
            <w:vAlign w:val="center"/>
            <w:hideMark/>
          </w:tcPr>
          <w:p w14:paraId="56FE898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062</w:t>
            </w:r>
          </w:p>
        </w:tc>
        <w:tc>
          <w:tcPr>
            <w:tcW w:w="0" w:type="auto"/>
            <w:tcBorders>
              <w:top w:val="nil"/>
              <w:left w:val="nil"/>
              <w:bottom w:val="single" w:sz="4" w:space="0" w:color="auto"/>
              <w:right w:val="single" w:sz="4" w:space="0" w:color="auto"/>
            </w:tcBorders>
            <w:shd w:val="clear" w:color="auto" w:fill="auto"/>
            <w:noWrap/>
            <w:vAlign w:val="center"/>
            <w:hideMark/>
          </w:tcPr>
          <w:p w14:paraId="7DEF5D61"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495</w:t>
            </w:r>
          </w:p>
        </w:tc>
        <w:tc>
          <w:tcPr>
            <w:tcW w:w="0" w:type="auto"/>
            <w:tcBorders>
              <w:top w:val="nil"/>
              <w:left w:val="nil"/>
              <w:bottom w:val="single" w:sz="4" w:space="0" w:color="auto"/>
              <w:right w:val="single" w:sz="4" w:space="0" w:color="auto"/>
            </w:tcBorders>
            <w:shd w:val="clear" w:color="auto" w:fill="auto"/>
            <w:noWrap/>
            <w:vAlign w:val="center"/>
            <w:hideMark/>
          </w:tcPr>
          <w:p w14:paraId="62DE41CE"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585</w:t>
            </w:r>
          </w:p>
        </w:tc>
        <w:tc>
          <w:tcPr>
            <w:tcW w:w="0" w:type="auto"/>
            <w:tcBorders>
              <w:top w:val="nil"/>
              <w:left w:val="nil"/>
              <w:bottom w:val="single" w:sz="4" w:space="0" w:color="auto"/>
              <w:right w:val="single" w:sz="4" w:space="0" w:color="auto"/>
            </w:tcBorders>
            <w:shd w:val="clear" w:color="auto" w:fill="auto"/>
            <w:noWrap/>
            <w:vAlign w:val="center"/>
            <w:hideMark/>
          </w:tcPr>
          <w:p w14:paraId="038F6783"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080</w:t>
            </w:r>
          </w:p>
        </w:tc>
      </w:tr>
      <w:tr w:rsidR="00981B76" w:rsidRPr="00C678EF" w14:paraId="7DFC421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28FCAF" w14:textId="77777777" w:rsidR="00981B76" w:rsidRPr="008E044D" w:rsidRDefault="00981B76" w:rsidP="00E83799">
            <w:pPr>
              <w:jc w:val="left"/>
              <w:rPr>
                <w:szCs w:val="22"/>
                <w:lang w:eastAsia="en-CA"/>
              </w:rPr>
            </w:pPr>
            <w:r>
              <w:rPr>
                <w:szCs w:val="22"/>
                <w:lang w:eastAsia="en-CA"/>
              </w:rPr>
              <w:t>Colombie</w:t>
            </w:r>
          </w:p>
        </w:tc>
        <w:tc>
          <w:tcPr>
            <w:tcW w:w="2288" w:type="dxa"/>
            <w:tcBorders>
              <w:top w:val="nil"/>
              <w:left w:val="nil"/>
              <w:bottom w:val="single" w:sz="4" w:space="0" w:color="auto"/>
              <w:right w:val="single" w:sz="4" w:space="0" w:color="auto"/>
            </w:tcBorders>
            <w:shd w:val="clear" w:color="auto" w:fill="auto"/>
            <w:vAlign w:val="center"/>
            <w:hideMark/>
          </w:tcPr>
          <w:p w14:paraId="2D72A03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322</w:t>
            </w:r>
          </w:p>
        </w:tc>
        <w:tc>
          <w:tcPr>
            <w:tcW w:w="0" w:type="auto"/>
            <w:tcBorders>
              <w:top w:val="nil"/>
              <w:left w:val="nil"/>
              <w:bottom w:val="single" w:sz="4" w:space="0" w:color="auto"/>
              <w:right w:val="single" w:sz="4" w:space="0" w:color="auto"/>
            </w:tcBorders>
            <w:shd w:val="clear" w:color="auto" w:fill="auto"/>
            <w:noWrap/>
            <w:vAlign w:val="center"/>
            <w:hideMark/>
          </w:tcPr>
          <w:p w14:paraId="217A15C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466</w:t>
            </w:r>
          </w:p>
        </w:tc>
        <w:tc>
          <w:tcPr>
            <w:tcW w:w="0" w:type="auto"/>
            <w:tcBorders>
              <w:top w:val="nil"/>
              <w:left w:val="nil"/>
              <w:bottom w:val="single" w:sz="4" w:space="0" w:color="auto"/>
              <w:right w:val="single" w:sz="4" w:space="0" w:color="auto"/>
            </w:tcBorders>
            <w:shd w:val="clear" w:color="auto" w:fill="auto"/>
            <w:noWrap/>
            <w:vAlign w:val="center"/>
            <w:hideMark/>
          </w:tcPr>
          <w:p w14:paraId="63A185E5"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196</w:t>
            </w:r>
          </w:p>
        </w:tc>
        <w:tc>
          <w:tcPr>
            <w:tcW w:w="0" w:type="auto"/>
            <w:tcBorders>
              <w:top w:val="nil"/>
              <w:left w:val="nil"/>
              <w:bottom w:val="single" w:sz="4" w:space="0" w:color="auto"/>
              <w:right w:val="single" w:sz="4" w:space="0" w:color="auto"/>
            </w:tcBorders>
            <w:shd w:val="clear" w:color="auto" w:fill="auto"/>
            <w:noWrap/>
            <w:vAlign w:val="center"/>
            <w:hideMark/>
          </w:tcPr>
          <w:p w14:paraId="469A9AE7"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872</w:t>
            </w:r>
          </w:p>
        </w:tc>
        <w:tc>
          <w:tcPr>
            <w:tcW w:w="0" w:type="auto"/>
            <w:tcBorders>
              <w:top w:val="nil"/>
              <w:left w:val="nil"/>
              <w:bottom w:val="single" w:sz="4" w:space="0" w:color="auto"/>
              <w:right w:val="single" w:sz="4" w:space="0" w:color="auto"/>
            </w:tcBorders>
            <w:shd w:val="clear" w:color="auto" w:fill="auto"/>
            <w:noWrap/>
            <w:vAlign w:val="center"/>
            <w:hideMark/>
          </w:tcPr>
          <w:p w14:paraId="34355B4C" w14:textId="77777777" w:rsidR="00981B76" w:rsidRPr="008E044D" w:rsidRDefault="00981B76" w:rsidP="00E83799">
            <w:pPr>
              <w:ind w:right="276"/>
              <w:jc w:val="right"/>
              <w:rPr>
                <w:szCs w:val="22"/>
                <w:lang w:eastAsia="en-CA"/>
              </w:rPr>
            </w:pPr>
            <w:r w:rsidRPr="008E044D">
              <w:rPr>
                <w:szCs w:val="22"/>
                <w:lang w:eastAsia="en-CA"/>
              </w:rPr>
              <w:t>23</w:t>
            </w:r>
            <w:r>
              <w:rPr>
                <w:szCs w:val="22"/>
                <w:lang w:eastAsia="en-CA"/>
              </w:rPr>
              <w:t xml:space="preserve"> </w:t>
            </w:r>
            <w:r w:rsidRPr="008E044D">
              <w:rPr>
                <w:szCs w:val="22"/>
                <w:lang w:eastAsia="en-CA"/>
              </w:rPr>
              <w:t>068</w:t>
            </w:r>
          </w:p>
        </w:tc>
      </w:tr>
      <w:tr w:rsidR="00981B76" w:rsidRPr="00C678EF" w14:paraId="3946B87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0FB4C" w14:textId="77777777" w:rsidR="00981B76" w:rsidRPr="008E044D" w:rsidRDefault="00981B76" w:rsidP="00E83799">
            <w:pPr>
              <w:jc w:val="left"/>
              <w:rPr>
                <w:szCs w:val="22"/>
                <w:lang w:eastAsia="en-CA"/>
              </w:rPr>
            </w:pPr>
            <w:r>
              <w:rPr>
                <w:szCs w:val="22"/>
                <w:lang w:eastAsia="en-CA"/>
              </w:rPr>
              <w:t>Comore</w:t>
            </w:r>
            <w:r w:rsidRPr="008E044D">
              <w:rPr>
                <w:szCs w:val="22"/>
                <w:lang w:eastAsia="en-CA"/>
              </w:rPr>
              <w:t>s</w:t>
            </w:r>
          </w:p>
        </w:tc>
        <w:tc>
          <w:tcPr>
            <w:tcW w:w="2288" w:type="dxa"/>
            <w:tcBorders>
              <w:top w:val="nil"/>
              <w:left w:val="nil"/>
              <w:bottom w:val="single" w:sz="4" w:space="0" w:color="auto"/>
              <w:right w:val="single" w:sz="4" w:space="0" w:color="auto"/>
            </w:tcBorders>
            <w:shd w:val="clear" w:color="auto" w:fill="auto"/>
            <w:vAlign w:val="center"/>
            <w:hideMark/>
          </w:tcPr>
          <w:p w14:paraId="5C35654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77A55D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B3CE4A9"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A1D1E61"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A235A28"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00BEC43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F00CC" w14:textId="77777777" w:rsidR="00981B76" w:rsidRPr="008E044D" w:rsidRDefault="00981B76" w:rsidP="00E83799">
            <w:pPr>
              <w:jc w:val="left"/>
              <w:rPr>
                <w:szCs w:val="22"/>
                <w:lang w:eastAsia="en-CA"/>
              </w:rPr>
            </w:pPr>
            <w:r w:rsidRPr="008E044D">
              <w:rPr>
                <w:szCs w:val="22"/>
                <w:lang w:eastAsia="en-CA"/>
              </w:rPr>
              <w:t>Congo</w:t>
            </w:r>
          </w:p>
        </w:tc>
        <w:tc>
          <w:tcPr>
            <w:tcW w:w="2288" w:type="dxa"/>
            <w:tcBorders>
              <w:top w:val="nil"/>
              <w:left w:val="nil"/>
              <w:bottom w:val="single" w:sz="4" w:space="0" w:color="auto"/>
              <w:right w:val="single" w:sz="4" w:space="0" w:color="auto"/>
            </w:tcBorders>
            <w:shd w:val="clear" w:color="auto" w:fill="auto"/>
            <w:vAlign w:val="center"/>
            <w:hideMark/>
          </w:tcPr>
          <w:p w14:paraId="656E76F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59D6A7F0"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14:paraId="1AF58399" w14:textId="77777777" w:rsidR="00981B76" w:rsidRPr="008E044D" w:rsidRDefault="00981B76" w:rsidP="00E83799">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57C63D27" w14:textId="77777777" w:rsidR="00981B76" w:rsidRPr="008E044D" w:rsidRDefault="00981B76" w:rsidP="00E83799">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6B24E053" w14:textId="77777777" w:rsidR="00981B76" w:rsidRPr="008E044D" w:rsidRDefault="00981B76" w:rsidP="00E83799">
            <w:pPr>
              <w:ind w:right="276"/>
              <w:jc w:val="right"/>
              <w:rPr>
                <w:szCs w:val="22"/>
                <w:lang w:eastAsia="en-CA"/>
              </w:rPr>
            </w:pPr>
            <w:r w:rsidRPr="008E044D">
              <w:rPr>
                <w:szCs w:val="22"/>
                <w:lang w:eastAsia="en-CA"/>
              </w:rPr>
              <w:t>430</w:t>
            </w:r>
          </w:p>
        </w:tc>
      </w:tr>
      <w:tr w:rsidR="00981B76" w:rsidRPr="00C678EF" w14:paraId="42A3F7B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A59C2" w14:textId="77777777" w:rsidR="00981B76" w:rsidRPr="008E044D" w:rsidRDefault="00981B76" w:rsidP="00E83799">
            <w:pPr>
              <w:jc w:val="left"/>
              <w:rPr>
                <w:szCs w:val="22"/>
                <w:lang w:eastAsia="en-CA"/>
              </w:rPr>
            </w:pPr>
            <w:r w:rsidRPr="008E044D">
              <w:rPr>
                <w:szCs w:val="22"/>
                <w:lang w:eastAsia="en-CA"/>
              </w:rPr>
              <w:t>Costa Rica</w:t>
            </w:r>
          </w:p>
        </w:tc>
        <w:tc>
          <w:tcPr>
            <w:tcW w:w="2288" w:type="dxa"/>
            <w:tcBorders>
              <w:top w:val="nil"/>
              <w:left w:val="nil"/>
              <w:bottom w:val="single" w:sz="4" w:space="0" w:color="auto"/>
              <w:right w:val="single" w:sz="4" w:space="0" w:color="auto"/>
            </w:tcBorders>
            <w:shd w:val="clear" w:color="auto" w:fill="auto"/>
            <w:vAlign w:val="center"/>
            <w:hideMark/>
          </w:tcPr>
          <w:p w14:paraId="3DD230E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047</w:t>
            </w:r>
          </w:p>
        </w:tc>
        <w:tc>
          <w:tcPr>
            <w:tcW w:w="0" w:type="auto"/>
            <w:tcBorders>
              <w:top w:val="nil"/>
              <w:left w:val="nil"/>
              <w:bottom w:val="single" w:sz="4" w:space="0" w:color="auto"/>
              <w:right w:val="single" w:sz="4" w:space="0" w:color="auto"/>
            </w:tcBorders>
            <w:shd w:val="clear" w:color="auto" w:fill="auto"/>
            <w:noWrap/>
            <w:vAlign w:val="center"/>
            <w:hideMark/>
          </w:tcPr>
          <w:p w14:paraId="43AB19E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068</w:t>
            </w:r>
          </w:p>
        </w:tc>
        <w:tc>
          <w:tcPr>
            <w:tcW w:w="0" w:type="auto"/>
            <w:tcBorders>
              <w:top w:val="nil"/>
              <w:left w:val="nil"/>
              <w:bottom w:val="single" w:sz="4" w:space="0" w:color="auto"/>
              <w:right w:val="single" w:sz="4" w:space="0" w:color="auto"/>
            </w:tcBorders>
            <w:shd w:val="clear" w:color="auto" w:fill="auto"/>
            <w:noWrap/>
            <w:vAlign w:val="center"/>
            <w:hideMark/>
          </w:tcPr>
          <w:p w14:paraId="160E489B"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634</w:t>
            </w:r>
          </w:p>
        </w:tc>
        <w:tc>
          <w:tcPr>
            <w:tcW w:w="0" w:type="auto"/>
            <w:tcBorders>
              <w:top w:val="nil"/>
              <w:left w:val="nil"/>
              <w:bottom w:val="single" w:sz="4" w:space="0" w:color="auto"/>
              <w:right w:val="single" w:sz="4" w:space="0" w:color="auto"/>
            </w:tcBorders>
            <w:shd w:val="clear" w:color="auto" w:fill="auto"/>
            <w:noWrap/>
            <w:vAlign w:val="center"/>
            <w:hideMark/>
          </w:tcPr>
          <w:p w14:paraId="3D041BEE"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733</w:t>
            </w:r>
          </w:p>
        </w:tc>
        <w:tc>
          <w:tcPr>
            <w:tcW w:w="0" w:type="auto"/>
            <w:tcBorders>
              <w:top w:val="nil"/>
              <w:left w:val="nil"/>
              <w:bottom w:val="single" w:sz="4" w:space="0" w:color="auto"/>
              <w:right w:val="single" w:sz="4" w:space="0" w:color="auto"/>
            </w:tcBorders>
            <w:shd w:val="clear" w:color="auto" w:fill="auto"/>
            <w:noWrap/>
            <w:vAlign w:val="center"/>
            <w:hideMark/>
          </w:tcPr>
          <w:p w14:paraId="61B04716"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367</w:t>
            </w:r>
          </w:p>
        </w:tc>
      </w:tr>
      <w:tr w:rsidR="00981B76" w:rsidRPr="00C678EF" w14:paraId="69D6CEC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36128" w14:textId="77777777" w:rsidR="00981B76" w:rsidRPr="008E044D" w:rsidRDefault="00981B76" w:rsidP="00E83799">
            <w:pPr>
              <w:jc w:val="left"/>
              <w:rPr>
                <w:szCs w:val="22"/>
                <w:lang w:eastAsia="en-CA"/>
              </w:rPr>
            </w:pPr>
            <w:r>
              <w:rPr>
                <w:szCs w:val="22"/>
                <w:lang w:eastAsia="en-CA"/>
              </w:rPr>
              <w:t>Cô</w:t>
            </w:r>
            <w:r w:rsidRPr="008E044D">
              <w:rPr>
                <w:szCs w:val="22"/>
                <w:lang w:eastAsia="en-CA"/>
              </w:rPr>
              <w:t>te d</w:t>
            </w:r>
            <w:r>
              <w:rPr>
                <w:szCs w:val="22"/>
                <w:lang w:eastAsia="en-CA"/>
              </w:rPr>
              <w:t>’</w:t>
            </w:r>
            <w:r w:rsidRPr="008E044D">
              <w:rPr>
                <w:szCs w:val="22"/>
                <w:lang w:eastAsia="en-CA"/>
              </w:rPr>
              <w:t>Ivoire</w:t>
            </w:r>
          </w:p>
        </w:tc>
        <w:tc>
          <w:tcPr>
            <w:tcW w:w="2288" w:type="dxa"/>
            <w:tcBorders>
              <w:top w:val="nil"/>
              <w:left w:val="nil"/>
              <w:bottom w:val="single" w:sz="4" w:space="0" w:color="auto"/>
              <w:right w:val="single" w:sz="4" w:space="0" w:color="auto"/>
            </w:tcBorders>
            <w:shd w:val="clear" w:color="auto" w:fill="auto"/>
            <w:vAlign w:val="center"/>
            <w:hideMark/>
          </w:tcPr>
          <w:p w14:paraId="2A92F30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14:paraId="62832A6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013</w:t>
            </w:r>
          </w:p>
        </w:tc>
        <w:tc>
          <w:tcPr>
            <w:tcW w:w="0" w:type="auto"/>
            <w:tcBorders>
              <w:top w:val="nil"/>
              <w:left w:val="nil"/>
              <w:bottom w:val="single" w:sz="4" w:space="0" w:color="auto"/>
              <w:right w:val="single" w:sz="4" w:space="0" w:color="auto"/>
            </w:tcBorders>
            <w:shd w:val="clear" w:color="auto" w:fill="auto"/>
            <w:noWrap/>
            <w:vAlign w:val="center"/>
            <w:hideMark/>
          </w:tcPr>
          <w:p w14:paraId="5CFF058A" w14:textId="77777777" w:rsidR="00981B76" w:rsidRPr="008E044D" w:rsidRDefault="00981B76" w:rsidP="00E83799">
            <w:pPr>
              <w:ind w:right="276"/>
              <w:jc w:val="right"/>
              <w:rPr>
                <w:szCs w:val="22"/>
                <w:lang w:eastAsia="en-CA"/>
              </w:rPr>
            </w:pPr>
            <w:r w:rsidRPr="008E044D">
              <w:rPr>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3E846197" w14:textId="77777777" w:rsidR="00981B76" w:rsidRPr="008E044D" w:rsidRDefault="00981B76" w:rsidP="00E83799">
            <w:pPr>
              <w:ind w:right="276"/>
              <w:jc w:val="right"/>
              <w:rPr>
                <w:szCs w:val="22"/>
                <w:lang w:eastAsia="en-CA"/>
              </w:rPr>
            </w:pPr>
            <w:r w:rsidRPr="008E044D">
              <w:rPr>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77A0AB41" w14:textId="77777777" w:rsidR="00981B76" w:rsidRPr="008E044D" w:rsidRDefault="00981B76" w:rsidP="00E83799">
            <w:pPr>
              <w:ind w:right="276"/>
              <w:jc w:val="right"/>
              <w:rPr>
                <w:szCs w:val="22"/>
                <w:lang w:eastAsia="en-CA"/>
              </w:rPr>
            </w:pPr>
            <w:r w:rsidRPr="008E044D">
              <w:rPr>
                <w:szCs w:val="22"/>
                <w:lang w:eastAsia="en-CA"/>
              </w:rPr>
              <w:t>645</w:t>
            </w:r>
          </w:p>
        </w:tc>
      </w:tr>
      <w:tr w:rsidR="00981B76" w:rsidRPr="00C678EF" w14:paraId="710327A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C887C7" w14:textId="77777777" w:rsidR="00981B76" w:rsidRPr="008E044D" w:rsidRDefault="00981B76" w:rsidP="00E83799">
            <w:pPr>
              <w:jc w:val="left"/>
              <w:rPr>
                <w:szCs w:val="22"/>
                <w:lang w:eastAsia="en-CA"/>
              </w:rPr>
            </w:pPr>
            <w:r>
              <w:rPr>
                <w:szCs w:val="22"/>
                <w:lang w:eastAsia="en-CA"/>
              </w:rPr>
              <w:t>Croatie</w:t>
            </w:r>
          </w:p>
        </w:tc>
        <w:tc>
          <w:tcPr>
            <w:tcW w:w="2288" w:type="dxa"/>
            <w:tcBorders>
              <w:top w:val="nil"/>
              <w:left w:val="nil"/>
              <w:bottom w:val="single" w:sz="4" w:space="0" w:color="auto"/>
              <w:right w:val="single" w:sz="4" w:space="0" w:color="auto"/>
            </w:tcBorders>
            <w:shd w:val="clear" w:color="auto" w:fill="auto"/>
            <w:vAlign w:val="center"/>
            <w:hideMark/>
          </w:tcPr>
          <w:p w14:paraId="580DE06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099</w:t>
            </w:r>
          </w:p>
        </w:tc>
        <w:tc>
          <w:tcPr>
            <w:tcW w:w="0" w:type="auto"/>
            <w:tcBorders>
              <w:top w:val="nil"/>
              <w:left w:val="nil"/>
              <w:bottom w:val="single" w:sz="4" w:space="0" w:color="auto"/>
              <w:right w:val="single" w:sz="4" w:space="0" w:color="auto"/>
            </w:tcBorders>
            <w:shd w:val="clear" w:color="auto" w:fill="auto"/>
            <w:noWrap/>
            <w:vAlign w:val="center"/>
            <w:hideMark/>
          </w:tcPr>
          <w:p w14:paraId="27673DE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143</w:t>
            </w:r>
          </w:p>
        </w:tc>
        <w:tc>
          <w:tcPr>
            <w:tcW w:w="0" w:type="auto"/>
            <w:tcBorders>
              <w:top w:val="nil"/>
              <w:left w:val="nil"/>
              <w:bottom w:val="single" w:sz="4" w:space="0" w:color="auto"/>
              <w:right w:val="single" w:sz="4" w:space="0" w:color="auto"/>
            </w:tcBorders>
            <w:shd w:val="clear" w:color="auto" w:fill="auto"/>
            <w:noWrap/>
            <w:vAlign w:val="center"/>
            <w:hideMark/>
          </w:tcPr>
          <w:p w14:paraId="3EBF1A11"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4457D2C5"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650</w:t>
            </w:r>
          </w:p>
        </w:tc>
        <w:tc>
          <w:tcPr>
            <w:tcW w:w="0" w:type="auto"/>
            <w:tcBorders>
              <w:top w:val="nil"/>
              <w:left w:val="nil"/>
              <w:bottom w:val="single" w:sz="4" w:space="0" w:color="auto"/>
              <w:right w:val="single" w:sz="4" w:space="0" w:color="auto"/>
            </w:tcBorders>
            <w:shd w:val="clear" w:color="auto" w:fill="auto"/>
            <w:noWrap/>
            <w:vAlign w:val="center"/>
            <w:hideMark/>
          </w:tcPr>
          <w:p w14:paraId="783DAC2D" w14:textId="77777777" w:rsidR="00981B76" w:rsidRPr="008E044D" w:rsidRDefault="00981B76" w:rsidP="00E83799">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092</w:t>
            </w:r>
          </w:p>
        </w:tc>
      </w:tr>
      <w:tr w:rsidR="00981B76" w:rsidRPr="00C678EF" w14:paraId="59D2486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5A590" w14:textId="77777777" w:rsidR="00981B76" w:rsidRPr="008E044D" w:rsidRDefault="00981B76" w:rsidP="00E83799">
            <w:pPr>
              <w:jc w:val="left"/>
              <w:rPr>
                <w:szCs w:val="22"/>
                <w:lang w:eastAsia="en-CA"/>
              </w:rPr>
            </w:pPr>
            <w:r w:rsidRPr="008E044D">
              <w:rPr>
                <w:szCs w:val="22"/>
                <w:lang w:eastAsia="en-CA"/>
              </w:rPr>
              <w:t>Cuba</w:t>
            </w:r>
          </w:p>
        </w:tc>
        <w:tc>
          <w:tcPr>
            <w:tcW w:w="2288" w:type="dxa"/>
            <w:tcBorders>
              <w:top w:val="nil"/>
              <w:left w:val="nil"/>
              <w:bottom w:val="single" w:sz="4" w:space="0" w:color="auto"/>
              <w:right w:val="single" w:sz="4" w:space="0" w:color="auto"/>
            </w:tcBorders>
            <w:shd w:val="clear" w:color="auto" w:fill="auto"/>
            <w:vAlign w:val="center"/>
            <w:hideMark/>
          </w:tcPr>
          <w:p w14:paraId="567D421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065</w:t>
            </w:r>
          </w:p>
        </w:tc>
        <w:tc>
          <w:tcPr>
            <w:tcW w:w="0" w:type="auto"/>
            <w:tcBorders>
              <w:top w:val="nil"/>
              <w:left w:val="nil"/>
              <w:bottom w:val="single" w:sz="4" w:space="0" w:color="auto"/>
              <w:right w:val="single" w:sz="4" w:space="0" w:color="auto"/>
            </w:tcBorders>
            <w:shd w:val="clear" w:color="auto" w:fill="auto"/>
            <w:noWrap/>
            <w:vAlign w:val="center"/>
            <w:hideMark/>
          </w:tcPr>
          <w:p w14:paraId="1E5CDF0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094</w:t>
            </w:r>
          </w:p>
        </w:tc>
        <w:tc>
          <w:tcPr>
            <w:tcW w:w="0" w:type="auto"/>
            <w:tcBorders>
              <w:top w:val="nil"/>
              <w:left w:val="nil"/>
              <w:bottom w:val="single" w:sz="4" w:space="0" w:color="auto"/>
              <w:right w:val="single" w:sz="4" w:space="0" w:color="auto"/>
            </w:tcBorders>
            <w:shd w:val="clear" w:color="auto" w:fill="auto"/>
            <w:noWrap/>
            <w:vAlign w:val="center"/>
            <w:hideMark/>
          </w:tcPr>
          <w:p w14:paraId="6BE48FEA"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260</w:t>
            </w:r>
          </w:p>
        </w:tc>
        <w:tc>
          <w:tcPr>
            <w:tcW w:w="0" w:type="auto"/>
            <w:tcBorders>
              <w:top w:val="nil"/>
              <w:left w:val="nil"/>
              <w:bottom w:val="single" w:sz="4" w:space="0" w:color="auto"/>
              <w:right w:val="single" w:sz="4" w:space="0" w:color="auto"/>
            </w:tcBorders>
            <w:shd w:val="clear" w:color="auto" w:fill="auto"/>
            <w:noWrap/>
            <w:vAlign w:val="center"/>
            <w:hideMark/>
          </w:tcPr>
          <w:p w14:paraId="3A7200B0"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397</w:t>
            </w:r>
          </w:p>
        </w:tc>
        <w:tc>
          <w:tcPr>
            <w:tcW w:w="0" w:type="auto"/>
            <w:tcBorders>
              <w:top w:val="nil"/>
              <w:left w:val="nil"/>
              <w:bottom w:val="single" w:sz="4" w:space="0" w:color="auto"/>
              <w:right w:val="single" w:sz="4" w:space="0" w:color="auto"/>
            </w:tcBorders>
            <w:shd w:val="clear" w:color="auto" w:fill="auto"/>
            <w:noWrap/>
            <w:vAlign w:val="center"/>
            <w:hideMark/>
          </w:tcPr>
          <w:p w14:paraId="4291435E"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656</w:t>
            </w:r>
          </w:p>
        </w:tc>
      </w:tr>
      <w:tr w:rsidR="00981B76" w:rsidRPr="00C678EF" w14:paraId="0E4EBC7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0C71F" w14:textId="77777777" w:rsidR="00981B76" w:rsidRPr="008E044D" w:rsidRDefault="00981B76" w:rsidP="00E83799">
            <w:pPr>
              <w:jc w:val="left"/>
              <w:rPr>
                <w:szCs w:val="22"/>
                <w:lang w:eastAsia="en-CA"/>
              </w:rPr>
            </w:pPr>
            <w:r>
              <w:rPr>
                <w:szCs w:val="22"/>
                <w:lang w:eastAsia="en-CA"/>
              </w:rPr>
              <w:t>Da</w:t>
            </w:r>
            <w:r w:rsidRPr="008E044D">
              <w:rPr>
                <w:szCs w:val="22"/>
                <w:lang w:eastAsia="en-CA"/>
              </w:rPr>
              <w:t>n</w:t>
            </w:r>
            <w:r>
              <w:rPr>
                <w:szCs w:val="22"/>
                <w:lang w:eastAsia="en-CA"/>
              </w:rPr>
              <w:t>e</w:t>
            </w:r>
            <w:r w:rsidRPr="008E044D">
              <w:rPr>
                <w:szCs w:val="22"/>
                <w:lang w:eastAsia="en-CA"/>
              </w:rPr>
              <w:t>mark</w:t>
            </w:r>
          </w:p>
        </w:tc>
        <w:tc>
          <w:tcPr>
            <w:tcW w:w="2288" w:type="dxa"/>
            <w:tcBorders>
              <w:top w:val="nil"/>
              <w:left w:val="nil"/>
              <w:bottom w:val="single" w:sz="4" w:space="0" w:color="auto"/>
              <w:right w:val="single" w:sz="4" w:space="0" w:color="auto"/>
            </w:tcBorders>
            <w:shd w:val="clear" w:color="auto" w:fill="auto"/>
            <w:vAlign w:val="center"/>
            <w:hideMark/>
          </w:tcPr>
          <w:p w14:paraId="3153EE7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584</w:t>
            </w:r>
          </w:p>
        </w:tc>
        <w:tc>
          <w:tcPr>
            <w:tcW w:w="0" w:type="auto"/>
            <w:tcBorders>
              <w:top w:val="nil"/>
              <w:left w:val="nil"/>
              <w:bottom w:val="single" w:sz="4" w:space="0" w:color="auto"/>
              <w:right w:val="single" w:sz="4" w:space="0" w:color="auto"/>
            </w:tcBorders>
            <w:shd w:val="clear" w:color="auto" w:fill="auto"/>
            <w:noWrap/>
            <w:vAlign w:val="center"/>
            <w:hideMark/>
          </w:tcPr>
          <w:p w14:paraId="7BEF3A6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846</w:t>
            </w:r>
          </w:p>
        </w:tc>
        <w:tc>
          <w:tcPr>
            <w:tcW w:w="0" w:type="auto"/>
            <w:tcBorders>
              <w:top w:val="nil"/>
              <w:left w:val="nil"/>
              <w:bottom w:val="single" w:sz="4" w:space="0" w:color="auto"/>
              <w:right w:val="single" w:sz="4" w:space="0" w:color="auto"/>
            </w:tcBorders>
            <w:shd w:val="clear" w:color="auto" w:fill="auto"/>
            <w:noWrap/>
            <w:vAlign w:val="center"/>
            <w:hideMark/>
          </w:tcPr>
          <w:p w14:paraId="23A00A43" w14:textId="77777777" w:rsidR="00981B76" w:rsidRPr="008E044D" w:rsidRDefault="00981B76" w:rsidP="00E83799">
            <w:pPr>
              <w:ind w:right="276"/>
              <w:jc w:val="right"/>
              <w:rPr>
                <w:szCs w:val="22"/>
                <w:lang w:eastAsia="en-CA"/>
              </w:rPr>
            </w:pPr>
            <w:r w:rsidRPr="008E044D">
              <w:rPr>
                <w:szCs w:val="22"/>
                <w:lang w:eastAsia="en-CA"/>
              </w:rPr>
              <w:t>20</w:t>
            </w:r>
            <w:r>
              <w:rPr>
                <w:szCs w:val="22"/>
                <w:lang w:eastAsia="en-CA"/>
              </w:rPr>
              <w:t xml:space="preserve"> </w:t>
            </w:r>
            <w:r w:rsidRPr="008E044D">
              <w:rPr>
                <w:szCs w:val="22"/>
                <w:lang w:eastAsia="en-CA"/>
              </w:rPr>
              <w:t>305</w:t>
            </w:r>
          </w:p>
        </w:tc>
        <w:tc>
          <w:tcPr>
            <w:tcW w:w="0" w:type="auto"/>
            <w:tcBorders>
              <w:top w:val="nil"/>
              <w:left w:val="nil"/>
              <w:bottom w:val="single" w:sz="4" w:space="0" w:color="auto"/>
              <w:right w:val="single" w:sz="4" w:space="0" w:color="auto"/>
            </w:tcBorders>
            <w:shd w:val="clear" w:color="auto" w:fill="auto"/>
            <w:noWrap/>
            <w:vAlign w:val="center"/>
            <w:hideMark/>
          </w:tcPr>
          <w:p w14:paraId="4DB67099" w14:textId="77777777" w:rsidR="00981B76" w:rsidRPr="008E044D" w:rsidRDefault="00981B76" w:rsidP="00E83799">
            <w:pPr>
              <w:ind w:right="276"/>
              <w:jc w:val="right"/>
              <w:rPr>
                <w:szCs w:val="22"/>
                <w:lang w:eastAsia="en-CA"/>
              </w:rPr>
            </w:pPr>
            <w:r w:rsidRPr="008E044D">
              <w:rPr>
                <w:szCs w:val="22"/>
                <w:lang w:eastAsia="en-CA"/>
              </w:rPr>
              <w:t>21</w:t>
            </w:r>
            <w:r>
              <w:rPr>
                <w:szCs w:val="22"/>
                <w:lang w:eastAsia="en-CA"/>
              </w:rPr>
              <w:t xml:space="preserve"> </w:t>
            </w:r>
            <w:r w:rsidRPr="008E044D">
              <w:rPr>
                <w:szCs w:val="22"/>
                <w:lang w:eastAsia="en-CA"/>
              </w:rPr>
              <w:t>532</w:t>
            </w:r>
          </w:p>
        </w:tc>
        <w:tc>
          <w:tcPr>
            <w:tcW w:w="0" w:type="auto"/>
            <w:tcBorders>
              <w:top w:val="nil"/>
              <w:left w:val="nil"/>
              <w:bottom w:val="single" w:sz="4" w:space="0" w:color="auto"/>
              <w:right w:val="single" w:sz="4" w:space="0" w:color="auto"/>
            </w:tcBorders>
            <w:shd w:val="clear" w:color="auto" w:fill="auto"/>
            <w:noWrap/>
            <w:vAlign w:val="center"/>
            <w:hideMark/>
          </w:tcPr>
          <w:p w14:paraId="6B0A89A0" w14:textId="77777777" w:rsidR="00981B76" w:rsidRPr="008E044D" w:rsidRDefault="00981B76" w:rsidP="00E83799">
            <w:pPr>
              <w:ind w:right="276"/>
              <w:jc w:val="right"/>
              <w:rPr>
                <w:szCs w:val="22"/>
                <w:lang w:eastAsia="en-CA"/>
              </w:rPr>
            </w:pPr>
            <w:r w:rsidRPr="008E044D">
              <w:rPr>
                <w:szCs w:val="22"/>
                <w:lang w:eastAsia="en-CA"/>
              </w:rPr>
              <w:t>41</w:t>
            </w:r>
            <w:r>
              <w:rPr>
                <w:szCs w:val="22"/>
                <w:lang w:eastAsia="en-CA"/>
              </w:rPr>
              <w:t xml:space="preserve"> </w:t>
            </w:r>
            <w:r w:rsidRPr="008E044D">
              <w:rPr>
                <w:szCs w:val="22"/>
                <w:lang w:eastAsia="en-CA"/>
              </w:rPr>
              <w:t>837</w:t>
            </w:r>
          </w:p>
        </w:tc>
      </w:tr>
      <w:tr w:rsidR="00981B76" w:rsidRPr="00C678EF" w14:paraId="4834C03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A1902C" w14:textId="77777777" w:rsidR="00981B76" w:rsidRPr="008E044D" w:rsidRDefault="00981B76" w:rsidP="00E83799">
            <w:pPr>
              <w:jc w:val="left"/>
              <w:rPr>
                <w:szCs w:val="22"/>
                <w:lang w:eastAsia="en-CA"/>
              </w:rPr>
            </w:pPr>
            <w:r w:rsidRPr="008E044D">
              <w:rPr>
                <w:szCs w:val="22"/>
                <w:lang w:eastAsia="en-CA"/>
              </w:rPr>
              <w:t>Djibouti</w:t>
            </w:r>
          </w:p>
        </w:tc>
        <w:tc>
          <w:tcPr>
            <w:tcW w:w="2288" w:type="dxa"/>
            <w:tcBorders>
              <w:top w:val="nil"/>
              <w:left w:val="nil"/>
              <w:bottom w:val="single" w:sz="4" w:space="0" w:color="auto"/>
              <w:right w:val="single" w:sz="4" w:space="0" w:color="auto"/>
            </w:tcBorders>
            <w:shd w:val="clear" w:color="auto" w:fill="auto"/>
            <w:vAlign w:val="center"/>
            <w:hideMark/>
          </w:tcPr>
          <w:p w14:paraId="3A24F1D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65F1A6D"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985A674"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74FAEB3"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6EDB48F"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51FD02F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BFF2C0" w14:textId="77777777" w:rsidR="00981B76" w:rsidRPr="008E044D" w:rsidRDefault="00981B76" w:rsidP="00E83799">
            <w:pPr>
              <w:jc w:val="left"/>
              <w:rPr>
                <w:szCs w:val="22"/>
                <w:lang w:eastAsia="en-CA"/>
              </w:rPr>
            </w:pPr>
            <w:r>
              <w:rPr>
                <w:szCs w:val="22"/>
                <w:lang w:eastAsia="en-CA"/>
              </w:rPr>
              <w:t>Dominique</w:t>
            </w:r>
          </w:p>
        </w:tc>
        <w:tc>
          <w:tcPr>
            <w:tcW w:w="2288" w:type="dxa"/>
            <w:tcBorders>
              <w:top w:val="nil"/>
              <w:left w:val="nil"/>
              <w:bottom w:val="single" w:sz="4" w:space="0" w:color="auto"/>
              <w:right w:val="single" w:sz="4" w:space="0" w:color="auto"/>
            </w:tcBorders>
            <w:shd w:val="clear" w:color="auto" w:fill="auto"/>
            <w:vAlign w:val="center"/>
            <w:hideMark/>
          </w:tcPr>
          <w:p w14:paraId="20D07CA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949EDE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438805A"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6A0B079"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D9ED923"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7C966C37"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84D58" w14:textId="77777777" w:rsidR="00981B76" w:rsidRPr="008E044D" w:rsidRDefault="00981B76" w:rsidP="00E83799">
            <w:pPr>
              <w:jc w:val="left"/>
              <w:rPr>
                <w:szCs w:val="22"/>
                <w:lang w:eastAsia="en-CA"/>
              </w:rPr>
            </w:pPr>
            <w:r>
              <w:rPr>
                <w:szCs w:val="22"/>
                <w:lang w:eastAsia="en-CA"/>
              </w:rPr>
              <w:t>É</w:t>
            </w:r>
            <w:r w:rsidRPr="008E044D">
              <w:rPr>
                <w:szCs w:val="22"/>
                <w:lang w:eastAsia="en-CA"/>
              </w:rPr>
              <w:t>gypt</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14:paraId="266C13F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152</w:t>
            </w:r>
          </w:p>
        </w:tc>
        <w:tc>
          <w:tcPr>
            <w:tcW w:w="0" w:type="auto"/>
            <w:tcBorders>
              <w:top w:val="nil"/>
              <w:left w:val="nil"/>
              <w:bottom w:val="single" w:sz="4" w:space="0" w:color="auto"/>
              <w:right w:val="single" w:sz="4" w:space="0" w:color="auto"/>
            </w:tcBorders>
            <w:shd w:val="clear" w:color="auto" w:fill="auto"/>
            <w:noWrap/>
            <w:vAlign w:val="center"/>
            <w:hideMark/>
          </w:tcPr>
          <w:p w14:paraId="1B46D34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220</w:t>
            </w:r>
          </w:p>
        </w:tc>
        <w:tc>
          <w:tcPr>
            <w:tcW w:w="0" w:type="auto"/>
            <w:tcBorders>
              <w:top w:val="nil"/>
              <w:left w:val="nil"/>
              <w:bottom w:val="single" w:sz="4" w:space="0" w:color="auto"/>
              <w:right w:val="single" w:sz="4" w:space="0" w:color="auto"/>
            </w:tcBorders>
            <w:shd w:val="clear" w:color="auto" w:fill="auto"/>
            <w:noWrap/>
            <w:vAlign w:val="center"/>
            <w:hideMark/>
          </w:tcPr>
          <w:p w14:paraId="07234D5E"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285</w:t>
            </w:r>
          </w:p>
        </w:tc>
        <w:tc>
          <w:tcPr>
            <w:tcW w:w="0" w:type="auto"/>
            <w:tcBorders>
              <w:top w:val="nil"/>
              <w:left w:val="nil"/>
              <w:bottom w:val="single" w:sz="4" w:space="0" w:color="auto"/>
              <w:right w:val="single" w:sz="4" w:space="0" w:color="auto"/>
            </w:tcBorders>
            <w:shd w:val="clear" w:color="auto" w:fill="auto"/>
            <w:noWrap/>
            <w:vAlign w:val="center"/>
            <w:hideMark/>
          </w:tcPr>
          <w:p w14:paraId="705BC013"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604</w:t>
            </w:r>
          </w:p>
        </w:tc>
        <w:tc>
          <w:tcPr>
            <w:tcW w:w="0" w:type="auto"/>
            <w:tcBorders>
              <w:top w:val="nil"/>
              <w:left w:val="nil"/>
              <w:bottom w:val="single" w:sz="4" w:space="0" w:color="auto"/>
              <w:right w:val="single" w:sz="4" w:space="0" w:color="auto"/>
            </w:tcBorders>
            <w:shd w:val="clear" w:color="auto" w:fill="auto"/>
            <w:noWrap/>
            <w:vAlign w:val="center"/>
            <w:hideMark/>
          </w:tcPr>
          <w:p w14:paraId="0AE48A33" w14:textId="77777777" w:rsidR="00981B76" w:rsidRPr="008E044D" w:rsidRDefault="00981B76" w:rsidP="00E83799">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889</w:t>
            </w:r>
          </w:p>
        </w:tc>
      </w:tr>
      <w:tr w:rsidR="00981B76" w:rsidRPr="00C678EF" w14:paraId="48F6BA7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C261D5" w14:textId="77777777" w:rsidR="00981B76" w:rsidRPr="008E044D" w:rsidRDefault="00981B76" w:rsidP="00E83799">
            <w:pPr>
              <w:jc w:val="left"/>
              <w:rPr>
                <w:szCs w:val="22"/>
                <w:lang w:eastAsia="en-CA"/>
              </w:rPr>
            </w:pPr>
            <w:r w:rsidRPr="008E044D">
              <w:rPr>
                <w:szCs w:val="22"/>
                <w:lang w:eastAsia="en-CA"/>
              </w:rPr>
              <w:t>El Salvador</w:t>
            </w:r>
          </w:p>
        </w:tc>
        <w:tc>
          <w:tcPr>
            <w:tcW w:w="2288" w:type="dxa"/>
            <w:tcBorders>
              <w:top w:val="nil"/>
              <w:left w:val="nil"/>
              <w:bottom w:val="single" w:sz="4" w:space="0" w:color="auto"/>
              <w:right w:val="single" w:sz="4" w:space="0" w:color="auto"/>
            </w:tcBorders>
            <w:shd w:val="clear" w:color="auto" w:fill="auto"/>
            <w:vAlign w:val="center"/>
            <w:hideMark/>
          </w:tcPr>
          <w:p w14:paraId="092FF8E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106D800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14:paraId="53D65866" w14:textId="77777777" w:rsidR="00981B76" w:rsidRPr="008E044D" w:rsidRDefault="00981B76" w:rsidP="00E83799">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610A2D8D" w14:textId="77777777" w:rsidR="00981B76" w:rsidRPr="008E044D" w:rsidRDefault="00981B76" w:rsidP="00E83799">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5E8254A9"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981B76" w:rsidRPr="00C678EF" w14:paraId="1DF324A7"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BAC90" w14:textId="77777777" w:rsidR="00981B76" w:rsidRPr="008E044D" w:rsidRDefault="00981B76" w:rsidP="00E83799">
            <w:pPr>
              <w:jc w:val="left"/>
              <w:rPr>
                <w:szCs w:val="22"/>
                <w:lang w:eastAsia="en-CA"/>
              </w:rPr>
            </w:pPr>
            <w:r>
              <w:rPr>
                <w:szCs w:val="22"/>
                <w:lang w:eastAsia="en-CA"/>
              </w:rPr>
              <w:t>Émirat</w:t>
            </w:r>
            <w:r w:rsidRPr="008E044D">
              <w:rPr>
                <w:szCs w:val="22"/>
                <w:lang w:eastAsia="en-CA"/>
              </w:rPr>
              <w:t>s</w:t>
            </w:r>
            <w:r>
              <w:rPr>
                <w:szCs w:val="22"/>
                <w:lang w:eastAsia="en-CA"/>
              </w:rPr>
              <w:t xml:space="preserve"> arabes unis</w:t>
            </w:r>
          </w:p>
        </w:tc>
        <w:tc>
          <w:tcPr>
            <w:tcW w:w="2288" w:type="dxa"/>
            <w:tcBorders>
              <w:top w:val="nil"/>
              <w:left w:val="nil"/>
              <w:bottom w:val="single" w:sz="4" w:space="0" w:color="auto"/>
              <w:right w:val="single" w:sz="4" w:space="0" w:color="auto"/>
            </w:tcBorders>
            <w:shd w:val="clear" w:color="auto" w:fill="auto"/>
            <w:vAlign w:val="center"/>
            <w:hideMark/>
          </w:tcPr>
          <w:p w14:paraId="23F7E189"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604</w:t>
            </w:r>
          </w:p>
        </w:tc>
        <w:tc>
          <w:tcPr>
            <w:tcW w:w="0" w:type="auto"/>
            <w:tcBorders>
              <w:top w:val="nil"/>
              <w:left w:val="nil"/>
              <w:bottom w:val="single" w:sz="4" w:space="0" w:color="auto"/>
              <w:right w:val="single" w:sz="4" w:space="0" w:color="auto"/>
            </w:tcBorders>
            <w:shd w:val="clear" w:color="auto" w:fill="auto"/>
            <w:noWrap/>
            <w:vAlign w:val="center"/>
            <w:hideMark/>
          </w:tcPr>
          <w:p w14:paraId="77941AB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875</w:t>
            </w:r>
          </w:p>
        </w:tc>
        <w:tc>
          <w:tcPr>
            <w:tcW w:w="0" w:type="auto"/>
            <w:tcBorders>
              <w:top w:val="nil"/>
              <w:left w:val="nil"/>
              <w:bottom w:val="single" w:sz="4" w:space="0" w:color="auto"/>
              <w:right w:val="single" w:sz="4" w:space="0" w:color="auto"/>
            </w:tcBorders>
            <w:shd w:val="clear" w:color="auto" w:fill="auto"/>
            <w:noWrap/>
            <w:vAlign w:val="center"/>
            <w:hideMark/>
          </w:tcPr>
          <w:p w14:paraId="07D19F13" w14:textId="77777777" w:rsidR="00981B76" w:rsidRPr="008E044D" w:rsidRDefault="00981B76" w:rsidP="00E83799">
            <w:pPr>
              <w:ind w:right="276"/>
              <w:jc w:val="right"/>
              <w:rPr>
                <w:szCs w:val="22"/>
                <w:lang w:eastAsia="en-CA"/>
              </w:rPr>
            </w:pPr>
            <w:r w:rsidRPr="008E044D">
              <w:rPr>
                <w:szCs w:val="22"/>
                <w:lang w:eastAsia="en-CA"/>
              </w:rPr>
              <w:t>21</w:t>
            </w:r>
            <w:r>
              <w:rPr>
                <w:szCs w:val="22"/>
                <w:lang w:eastAsia="en-CA"/>
              </w:rPr>
              <w:t xml:space="preserve"> </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FD03F32" w14:textId="77777777" w:rsidR="00981B76" w:rsidRPr="008E044D" w:rsidRDefault="00981B76" w:rsidP="00E83799">
            <w:pPr>
              <w:ind w:right="276"/>
              <w:jc w:val="right"/>
              <w:rPr>
                <w:szCs w:val="22"/>
                <w:lang w:eastAsia="en-CA"/>
              </w:rPr>
            </w:pPr>
            <w:r w:rsidRPr="008E044D">
              <w:rPr>
                <w:szCs w:val="22"/>
                <w:lang w:eastAsia="en-CA"/>
              </w:rPr>
              <w:t>22</w:t>
            </w:r>
            <w:r>
              <w:rPr>
                <w:szCs w:val="22"/>
                <w:lang w:eastAsia="en-CA"/>
              </w:rPr>
              <w:t xml:space="preserve"> </w:t>
            </w:r>
            <w:r w:rsidRPr="008E044D">
              <w:rPr>
                <w:szCs w:val="22"/>
                <w:lang w:eastAsia="en-CA"/>
              </w:rPr>
              <w:t>269</w:t>
            </w:r>
          </w:p>
        </w:tc>
        <w:tc>
          <w:tcPr>
            <w:tcW w:w="0" w:type="auto"/>
            <w:tcBorders>
              <w:top w:val="nil"/>
              <w:left w:val="nil"/>
              <w:bottom w:val="single" w:sz="4" w:space="0" w:color="auto"/>
              <w:right w:val="single" w:sz="4" w:space="0" w:color="auto"/>
            </w:tcBorders>
            <w:shd w:val="clear" w:color="auto" w:fill="auto"/>
            <w:noWrap/>
            <w:vAlign w:val="center"/>
            <w:hideMark/>
          </w:tcPr>
          <w:p w14:paraId="431529D8" w14:textId="77777777" w:rsidR="00981B76" w:rsidRPr="008E044D" w:rsidRDefault="00981B76" w:rsidP="00E83799">
            <w:pPr>
              <w:ind w:right="276"/>
              <w:jc w:val="right"/>
              <w:rPr>
                <w:szCs w:val="22"/>
                <w:lang w:eastAsia="en-CA"/>
              </w:rPr>
            </w:pPr>
            <w:r w:rsidRPr="008E044D">
              <w:rPr>
                <w:szCs w:val="22"/>
                <w:lang w:eastAsia="en-CA"/>
              </w:rPr>
              <w:t>43</w:t>
            </w:r>
            <w:r>
              <w:rPr>
                <w:szCs w:val="22"/>
                <w:lang w:eastAsia="en-CA"/>
              </w:rPr>
              <w:t xml:space="preserve"> </w:t>
            </w:r>
            <w:r w:rsidRPr="008E044D">
              <w:rPr>
                <w:szCs w:val="22"/>
                <w:lang w:eastAsia="en-CA"/>
              </w:rPr>
              <w:t>270</w:t>
            </w:r>
          </w:p>
        </w:tc>
      </w:tr>
      <w:tr w:rsidR="00981B76" w:rsidRPr="00C678EF" w14:paraId="544C32A5" w14:textId="77777777" w:rsidTr="00E8379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D1E4B3" w14:textId="77777777" w:rsidR="00981B76" w:rsidRPr="008E044D" w:rsidRDefault="00981B76" w:rsidP="00E83799">
            <w:pPr>
              <w:jc w:val="left"/>
              <w:rPr>
                <w:szCs w:val="22"/>
                <w:lang w:eastAsia="en-CA"/>
              </w:rPr>
            </w:pPr>
            <w:r>
              <w:rPr>
                <w:szCs w:val="22"/>
                <w:lang w:eastAsia="en-CA"/>
              </w:rPr>
              <w:t>Équateu</w:t>
            </w:r>
            <w:r w:rsidRPr="008E044D">
              <w:rPr>
                <w:szCs w:val="22"/>
                <w:lang w:eastAsia="en-CA"/>
              </w:rPr>
              <w:t>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763F6C2F"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263A0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8C7782"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D177CA"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470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D57C0"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800</w:t>
            </w:r>
          </w:p>
        </w:tc>
      </w:tr>
      <w:tr w:rsidR="00981B76" w:rsidRPr="00C678EF" w14:paraId="3047FAF2"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FD23D" w14:textId="77777777" w:rsidR="00981B76" w:rsidRPr="008E044D" w:rsidRDefault="00981B76" w:rsidP="00E83799">
            <w:pPr>
              <w:jc w:val="left"/>
              <w:rPr>
                <w:szCs w:val="22"/>
                <w:lang w:eastAsia="en-CA"/>
              </w:rPr>
            </w:pPr>
            <w:r>
              <w:rPr>
                <w:szCs w:val="22"/>
                <w:lang w:eastAsia="en-CA"/>
              </w:rPr>
              <w:t>Érythrée</w:t>
            </w:r>
          </w:p>
        </w:tc>
        <w:tc>
          <w:tcPr>
            <w:tcW w:w="2288" w:type="dxa"/>
            <w:tcBorders>
              <w:top w:val="nil"/>
              <w:left w:val="nil"/>
              <w:bottom w:val="single" w:sz="4" w:space="0" w:color="auto"/>
              <w:right w:val="single" w:sz="4" w:space="0" w:color="auto"/>
            </w:tcBorders>
            <w:shd w:val="clear" w:color="auto" w:fill="auto"/>
            <w:vAlign w:val="center"/>
            <w:hideMark/>
          </w:tcPr>
          <w:p w14:paraId="4D71300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A4C230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5E9B7DD"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23F62B8"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4BAE09F"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00CC9F3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72DED2" w14:textId="5C4DBCB6" w:rsidR="00981B76" w:rsidRPr="008E044D" w:rsidRDefault="006B2234" w:rsidP="00E83799">
            <w:pPr>
              <w:jc w:val="left"/>
              <w:rPr>
                <w:szCs w:val="22"/>
                <w:lang w:eastAsia="en-CA"/>
              </w:rPr>
            </w:pPr>
            <w:r>
              <w:rPr>
                <w:szCs w:val="22"/>
                <w:lang w:eastAsia="en-CA"/>
              </w:rPr>
              <w:t>Espagne</w:t>
            </w:r>
          </w:p>
        </w:tc>
        <w:tc>
          <w:tcPr>
            <w:tcW w:w="2288" w:type="dxa"/>
            <w:tcBorders>
              <w:top w:val="nil"/>
              <w:left w:val="nil"/>
              <w:bottom w:val="single" w:sz="4" w:space="0" w:color="auto"/>
              <w:right w:val="single" w:sz="4" w:space="0" w:color="auto"/>
            </w:tcBorders>
            <w:shd w:val="clear" w:color="auto" w:fill="auto"/>
            <w:vAlign w:val="center"/>
            <w:hideMark/>
          </w:tcPr>
          <w:p w14:paraId="55DAEE03" w14:textId="77777777" w:rsidR="00981B76" w:rsidRPr="008E044D" w:rsidRDefault="00981B76" w:rsidP="00E83799">
            <w:pPr>
              <w:ind w:right="770"/>
              <w:jc w:val="right"/>
              <w:rPr>
                <w:szCs w:val="22"/>
                <w:lang w:eastAsia="en-CA"/>
              </w:rPr>
            </w:pPr>
            <w:r w:rsidRPr="008E044D">
              <w:rPr>
                <w:szCs w:val="22"/>
                <w:lang w:eastAsia="en-CA"/>
              </w:rPr>
              <w:t>2</w:t>
            </w:r>
            <w:r>
              <w:rPr>
                <w:szCs w:val="22"/>
                <w:lang w:eastAsia="en-CA"/>
              </w:rPr>
              <w:t>,</w:t>
            </w:r>
            <w:r w:rsidRPr="008E044D">
              <w:rPr>
                <w:szCs w:val="22"/>
                <w:lang w:eastAsia="en-CA"/>
              </w:rPr>
              <w:t>443</w:t>
            </w:r>
          </w:p>
        </w:tc>
        <w:tc>
          <w:tcPr>
            <w:tcW w:w="0" w:type="auto"/>
            <w:tcBorders>
              <w:top w:val="nil"/>
              <w:left w:val="nil"/>
              <w:bottom w:val="single" w:sz="4" w:space="0" w:color="auto"/>
              <w:right w:val="single" w:sz="4" w:space="0" w:color="auto"/>
            </w:tcBorders>
            <w:shd w:val="clear" w:color="auto" w:fill="auto"/>
            <w:noWrap/>
            <w:vAlign w:val="center"/>
            <w:hideMark/>
          </w:tcPr>
          <w:p w14:paraId="4AE9CD1E" w14:textId="77777777" w:rsidR="00981B76" w:rsidRPr="008E044D" w:rsidRDefault="00981B76" w:rsidP="00E83799">
            <w:pPr>
              <w:ind w:right="1144"/>
              <w:jc w:val="right"/>
              <w:rPr>
                <w:szCs w:val="22"/>
                <w:lang w:eastAsia="en-CA"/>
              </w:rPr>
            </w:pPr>
            <w:r w:rsidRPr="008E044D">
              <w:rPr>
                <w:szCs w:val="22"/>
                <w:lang w:eastAsia="en-CA"/>
              </w:rPr>
              <w:t>3</w:t>
            </w:r>
            <w:r>
              <w:rPr>
                <w:szCs w:val="22"/>
                <w:lang w:eastAsia="en-CA"/>
              </w:rPr>
              <w:t>,</w:t>
            </w:r>
            <w:r w:rsidRPr="008E044D">
              <w:rPr>
                <w:szCs w:val="22"/>
                <w:lang w:eastAsia="en-CA"/>
              </w:rPr>
              <w:t>537</w:t>
            </w:r>
          </w:p>
        </w:tc>
        <w:tc>
          <w:tcPr>
            <w:tcW w:w="0" w:type="auto"/>
            <w:tcBorders>
              <w:top w:val="nil"/>
              <w:left w:val="nil"/>
              <w:bottom w:val="single" w:sz="4" w:space="0" w:color="auto"/>
              <w:right w:val="single" w:sz="4" w:space="0" w:color="auto"/>
            </w:tcBorders>
            <w:shd w:val="clear" w:color="auto" w:fill="auto"/>
            <w:noWrap/>
            <w:vAlign w:val="center"/>
            <w:hideMark/>
          </w:tcPr>
          <w:p w14:paraId="066EE48C" w14:textId="77777777" w:rsidR="00981B76" w:rsidRPr="008E044D" w:rsidRDefault="00981B76" w:rsidP="00E83799">
            <w:pPr>
              <w:ind w:right="276"/>
              <w:jc w:val="right"/>
              <w:rPr>
                <w:szCs w:val="22"/>
                <w:lang w:eastAsia="en-CA"/>
              </w:rPr>
            </w:pPr>
            <w:r w:rsidRPr="008E044D">
              <w:rPr>
                <w:szCs w:val="22"/>
                <w:lang w:eastAsia="en-CA"/>
              </w:rPr>
              <w:t>84</w:t>
            </w:r>
            <w:r>
              <w:rPr>
                <w:szCs w:val="22"/>
                <w:lang w:eastAsia="en-CA"/>
              </w:rPr>
              <w:t xml:space="preserve"> </w:t>
            </w:r>
            <w:r w:rsidRPr="008E044D">
              <w:rPr>
                <w:szCs w:val="22"/>
                <w:lang w:eastAsia="en-CA"/>
              </w:rPr>
              <w:t>941</w:t>
            </w:r>
          </w:p>
        </w:tc>
        <w:tc>
          <w:tcPr>
            <w:tcW w:w="0" w:type="auto"/>
            <w:tcBorders>
              <w:top w:val="nil"/>
              <w:left w:val="nil"/>
              <w:bottom w:val="single" w:sz="4" w:space="0" w:color="auto"/>
              <w:right w:val="single" w:sz="4" w:space="0" w:color="auto"/>
            </w:tcBorders>
            <w:shd w:val="clear" w:color="auto" w:fill="auto"/>
            <w:noWrap/>
            <w:vAlign w:val="center"/>
            <w:hideMark/>
          </w:tcPr>
          <w:p w14:paraId="674290DE" w14:textId="77777777" w:rsidR="00981B76" w:rsidRPr="008E044D" w:rsidRDefault="00981B76" w:rsidP="00E83799">
            <w:pPr>
              <w:ind w:right="276"/>
              <w:jc w:val="right"/>
              <w:rPr>
                <w:szCs w:val="22"/>
                <w:lang w:eastAsia="en-CA"/>
              </w:rPr>
            </w:pPr>
            <w:r w:rsidRPr="008E044D">
              <w:rPr>
                <w:szCs w:val="22"/>
                <w:lang w:eastAsia="en-CA"/>
              </w:rPr>
              <w:t>90</w:t>
            </w:r>
            <w:r>
              <w:rPr>
                <w:szCs w:val="22"/>
                <w:lang w:eastAsia="en-CA"/>
              </w:rPr>
              <w:t xml:space="preserve"> </w:t>
            </w:r>
            <w:r w:rsidRPr="008E044D">
              <w:rPr>
                <w:szCs w:val="22"/>
                <w:lang w:eastAsia="en-CA"/>
              </w:rPr>
              <w:t>072</w:t>
            </w:r>
          </w:p>
        </w:tc>
        <w:tc>
          <w:tcPr>
            <w:tcW w:w="0" w:type="auto"/>
            <w:tcBorders>
              <w:top w:val="nil"/>
              <w:left w:val="nil"/>
              <w:bottom w:val="single" w:sz="4" w:space="0" w:color="auto"/>
              <w:right w:val="single" w:sz="4" w:space="0" w:color="auto"/>
            </w:tcBorders>
            <w:shd w:val="clear" w:color="auto" w:fill="auto"/>
            <w:noWrap/>
            <w:vAlign w:val="center"/>
            <w:hideMark/>
          </w:tcPr>
          <w:p w14:paraId="7FBC95D2" w14:textId="77777777" w:rsidR="00981B76" w:rsidRPr="008E044D" w:rsidRDefault="00981B76" w:rsidP="00E83799">
            <w:pPr>
              <w:ind w:right="276"/>
              <w:jc w:val="right"/>
              <w:rPr>
                <w:szCs w:val="22"/>
                <w:lang w:eastAsia="en-CA"/>
              </w:rPr>
            </w:pPr>
            <w:r w:rsidRPr="008E044D">
              <w:rPr>
                <w:szCs w:val="22"/>
                <w:lang w:eastAsia="en-CA"/>
              </w:rPr>
              <w:t>175</w:t>
            </w:r>
            <w:r>
              <w:rPr>
                <w:szCs w:val="22"/>
                <w:lang w:eastAsia="en-CA"/>
              </w:rPr>
              <w:t xml:space="preserve"> </w:t>
            </w:r>
            <w:r w:rsidRPr="008E044D">
              <w:rPr>
                <w:szCs w:val="22"/>
                <w:lang w:eastAsia="en-CA"/>
              </w:rPr>
              <w:t>013</w:t>
            </w:r>
          </w:p>
        </w:tc>
      </w:tr>
      <w:tr w:rsidR="00981B76" w:rsidRPr="00C678EF" w14:paraId="34F37482"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03BEB1" w14:textId="77777777" w:rsidR="00981B76" w:rsidRPr="008E044D" w:rsidRDefault="00981B76" w:rsidP="00E83799">
            <w:pPr>
              <w:jc w:val="left"/>
              <w:rPr>
                <w:szCs w:val="22"/>
                <w:lang w:eastAsia="en-CA"/>
              </w:rPr>
            </w:pPr>
            <w:r>
              <w:rPr>
                <w:szCs w:val="22"/>
                <w:lang w:eastAsia="en-CA"/>
              </w:rPr>
              <w:t>Estonie</w:t>
            </w:r>
          </w:p>
        </w:tc>
        <w:tc>
          <w:tcPr>
            <w:tcW w:w="2288" w:type="dxa"/>
            <w:tcBorders>
              <w:top w:val="nil"/>
              <w:left w:val="nil"/>
              <w:bottom w:val="single" w:sz="4" w:space="0" w:color="auto"/>
              <w:right w:val="single" w:sz="4" w:space="0" w:color="auto"/>
            </w:tcBorders>
            <w:shd w:val="clear" w:color="auto" w:fill="auto"/>
            <w:vAlign w:val="center"/>
            <w:hideMark/>
          </w:tcPr>
          <w:p w14:paraId="3BB7665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038</w:t>
            </w:r>
          </w:p>
        </w:tc>
        <w:tc>
          <w:tcPr>
            <w:tcW w:w="0" w:type="auto"/>
            <w:tcBorders>
              <w:top w:val="nil"/>
              <w:left w:val="nil"/>
              <w:bottom w:val="single" w:sz="4" w:space="0" w:color="auto"/>
              <w:right w:val="single" w:sz="4" w:space="0" w:color="auto"/>
            </w:tcBorders>
            <w:shd w:val="clear" w:color="auto" w:fill="auto"/>
            <w:noWrap/>
            <w:vAlign w:val="center"/>
            <w:hideMark/>
          </w:tcPr>
          <w:p w14:paraId="05DEEFD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055</w:t>
            </w:r>
          </w:p>
        </w:tc>
        <w:tc>
          <w:tcPr>
            <w:tcW w:w="0" w:type="auto"/>
            <w:tcBorders>
              <w:top w:val="nil"/>
              <w:left w:val="nil"/>
              <w:bottom w:val="single" w:sz="4" w:space="0" w:color="auto"/>
              <w:right w:val="single" w:sz="4" w:space="0" w:color="auto"/>
            </w:tcBorders>
            <w:shd w:val="clear" w:color="auto" w:fill="auto"/>
            <w:noWrap/>
            <w:vAlign w:val="center"/>
            <w:hideMark/>
          </w:tcPr>
          <w:p w14:paraId="54A35D06"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321</w:t>
            </w:r>
          </w:p>
        </w:tc>
        <w:tc>
          <w:tcPr>
            <w:tcW w:w="0" w:type="auto"/>
            <w:tcBorders>
              <w:top w:val="nil"/>
              <w:left w:val="nil"/>
              <w:bottom w:val="single" w:sz="4" w:space="0" w:color="auto"/>
              <w:right w:val="single" w:sz="4" w:space="0" w:color="auto"/>
            </w:tcBorders>
            <w:shd w:val="clear" w:color="auto" w:fill="auto"/>
            <w:noWrap/>
            <w:vAlign w:val="center"/>
            <w:hideMark/>
          </w:tcPr>
          <w:p w14:paraId="1A349430"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401</w:t>
            </w:r>
          </w:p>
        </w:tc>
        <w:tc>
          <w:tcPr>
            <w:tcW w:w="0" w:type="auto"/>
            <w:tcBorders>
              <w:top w:val="nil"/>
              <w:left w:val="nil"/>
              <w:bottom w:val="single" w:sz="4" w:space="0" w:color="auto"/>
              <w:right w:val="single" w:sz="4" w:space="0" w:color="auto"/>
            </w:tcBorders>
            <w:shd w:val="clear" w:color="auto" w:fill="auto"/>
            <w:noWrap/>
            <w:vAlign w:val="center"/>
            <w:hideMark/>
          </w:tcPr>
          <w:p w14:paraId="6E25A337"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722</w:t>
            </w:r>
          </w:p>
        </w:tc>
      </w:tr>
      <w:tr w:rsidR="00981B76" w:rsidRPr="00C678EF" w14:paraId="5170660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97F0E" w14:textId="77777777" w:rsidR="00981B76" w:rsidRPr="008E044D" w:rsidRDefault="00981B76" w:rsidP="00E83799">
            <w:pPr>
              <w:jc w:val="left"/>
              <w:rPr>
                <w:szCs w:val="22"/>
                <w:lang w:eastAsia="en-CA"/>
              </w:rPr>
            </w:pPr>
            <w:r w:rsidRPr="008E044D">
              <w:rPr>
                <w:szCs w:val="22"/>
                <w:lang w:eastAsia="en-CA"/>
              </w:rPr>
              <w:t>Eswatini</w:t>
            </w:r>
          </w:p>
        </w:tc>
        <w:tc>
          <w:tcPr>
            <w:tcW w:w="2288" w:type="dxa"/>
            <w:tcBorders>
              <w:top w:val="nil"/>
              <w:left w:val="nil"/>
              <w:bottom w:val="single" w:sz="4" w:space="0" w:color="auto"/>
              <w:right w:val="single" w:sz="4" w:space="0" w:color="auto"/>
            </w:tcBorders>
            <w:shd w:val="clear" w:color="auto" w:fill="auto"/>
            <w:vAlign w:val="center"/>
            <w:hideMark/>
          </w:tcPr>
          <w:p w14:paraId="1F1C488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1B163FA1"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3F93B0E5"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FF61DE1"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FE50EAA"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7354616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5EA76" w14:textId="77777777" w:rsidR="00981B76" w:rsidRPr="008E044D" w:rsidRDefault="00981B76" w:rsidP="00E83799">
            <w:pPr>
              <w:jc w:val="left"/>
              <w:rPr>
                <w:szCs w:val="22"/>
                <w:lang w:eastAsia="en-CA"/>
              </w:rPr>
            </w:pPr>
            <w:r>
              <w:rPr>
                <w:szCs w:val="22"/>
                <w:lang w:eastAsia="en-CA"/>
              </w:rPr>
              <w:t xml:space="preserve">État de </w:t>
            </w:r>
            <w:r w:rsidRPr="008E044D">
              <w:rPr>
                <w:szCs w:val="22"/>
                <w:lang w:eastAsia="en-CA"/>
              </w:rPr>
              <w:t>Palestine</w:t>
            </w:r>
          </w:p>
        </w:tc>
        <w:tc>
          <w:tcPr>
            <w:tcW w:w="2288" w:type="dxa"/>
            <w:tcBorders>
              <w:top w:val="nil"/>
              <w:left w:val="nil"/>
              <w:bottom w:val="single" w:sz="4" w:space="0" w:color="auto"/>
              <w:right w:val="single" w:sz="4" w:space="0" w:color="auto"/>
            </w:tcBorders>
            <w:shd w:val="clear" w:color="auto" w:fill="auto"/>
            <w:vAlign w:val="center"/>
            <w:hideMark/>
          </w:tcPr>
          <w:p w14:paraId="5E00904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56AAC9D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710EB1E5" w14:textId="77777777" w:rsidR="00981B76" w:rsidRPr="008E044D" w:rsidRDefault="00981B76" w:rsidP="00E83799">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5BCB8823" w14:textId="77777777" w:rsidR="00981B76" w:rsidRPr="008E044D" w:rsidRDefault="00981B76" w:rsidP="00E83799">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2A32A0ED" w14:textId="77777777" w:rsidR="00981B76" w:rsidRPr="008E044D" w:rsidRDefault="00981B76" w:rsidP="00E83799">
            <w:pPr>
              <w:ind w:right="276"/>
              <w:jc w:val="right"/>
              <w:rPr>
                <w:szCs w:val="22"/>
                <w:lang w:eastAsia="en-CA"/>
              </w:rPr>
            </w:pPr>
            <w:r w:rsidRPr="008E044D">
              <w:rPr>
                <w:szCs w:val="22"/>
                <w:lang w:eastAsia="en-CA"/>
              </w:rPr>
              <w:t>501</w:t>
            </w:r>
          </w:p>
        </w:tc>
      </w:tr>
      <w:tr w:rsidR="00981B76" w:rsidRPr="00C678EF" w14:paraId="5CCD795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290323" w14:textId="77777777" w:rsidR="00981B76" w:rsidRPr="008E044D" w:rsidRDefault="00981B76" w:rsidP="00E83799">
            <w:pPr>
              <w:jc w:val="left"/>
              <w:rPr>
                <w:szCs w:val="22"/>
                <w:lang w:eastAsia="en-CA"/>
              </w:rPr>
            </w:pPr>
            <w:r>
              <w:rPr>
                <w:szCs w:val="22"/>
                <w:lang w:eastAsia="en-CA"/>
              </w:rPr>
              <w:t>Éthiopie</w:t>
            </w:r>
          </w:p>
        </w:tc>
        <w:tc>
          <w:tcPr>
            <w:tcW w:w="2288" w:type="dxa"/>
            <w:tcBorders>
              <w:top w:val="nil"/>
              <w:left w:val="nil"/>
              <w:bottom w:val="single" w:sz="4" w:space="0" w:color="auto"/>
              <w:right w:val="single" w:sz="4" w:space="0" w:color="auto"/>
            </w:tcBorders>
            <w:shd w:val="clear" w:color="auto" w:fill="auto"/>
            <w:vAlign w:val="center"/>
            <w:hideMark/>
          </w:tcPr>
          <w:p w14:paraId="4B6A060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3D76B3E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0DE091F1"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B4B890A"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BD53135"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03E886C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6176A" w14:textId="77777777" w:rsidR="00981B76" w:rsidRPr="006D0308" w:rsidRDefault="00981B76" w:rsidP="00E83799">
            <w:pPr>
              <w:jc w:val="left"/>
              <w:rPr>
                <w:szCs w:val="22"/>
                <w:lang w:eastAsia="en-CA"/>
              </w:rPr>
            </w:pPr>
            <w:r w:rsidRPr="006D0308">
              <w:rPr>
                <w:szCs w:val="22"/>
                <w:lang w:eastAsia="en-CA"/>
              </w:rPr>
              <w:t>Ex-République yougoslave de Macédoine</w:t>
            </w:r>
          </w:p>
        </w:tc>
        <w:tc>
          <w:tcPr>
            <w:tcW w:w="2288" w:type="dxa"/>
            <w:tcBorders>
              <w:top w:val="nil"/>
              <w:left w:val="nil"/>
              <w:bottom w:val="single" w:sz="4" w:space="0" w:color="auto"/>
              <w:right w:val="single" w:sz="4" w:space="0" w:color="auto"/>
            </w:tcBorders>
            <w:shd w:val="clear" w:color="auto" w:fill="auto"/>
            <w:vAlign w:val="center"/>
            <w:hideMark/>
          </w:tcPr>
          <w:p w14:paraId="51AD188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789380E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4DC63501" w14:textId="77777777" w:rsidR="00981B76" w:rsidRPr="008E044D" w:rsidRDefault="00981B76" w:rsidP="00E83799">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47EC3BA8" w14:textId="77777777" w:rsidR="00981B76" w:rsidRPr="008E044D" w:rsidRDefault="00981B76" w:rsidP="00E83799">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4CB98322" w14:textId="77777777" w:rsidR="00981B76" w:rsidRPr="008E044D" w:rsidRDefault="00981B76" w:rsidP="00E83799">
            <w:pPr>
              <w:ind w:right="276"/>
              <w:jc w:val="right"/>
              <w:rPr>
                <w:szCs w:val="22"/>
                <w:lang w:eastAsia="en-CA"/>
              </w:rPr>
            </w:pPr>
            <w:r w:rsidRPr="008E044D">
              <w:rPr>
                <w:szCs w:val="22"/>
                <w:lang w:eastAsia="en-CA"/>
              </w:rPr>
              <w:t>501</w:t>
            </w:r>
          </w:p>
        </w:tc>
      </w:tr>
      <w:tr w:rsidR="00981B76" w:rsidRPr="00C678EF" w14:paraId="7DE3EFE2"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7F29D" w14:textId="77777777" w:rsidR="00981B76" w:rsidRPr="008E044D" w:rsidRDefault="00981B76" w:rsidP="00E83799">
            <w:pPr>
              <w:jc w:val="left"/>
              <w:rPr>
                <w:szCs w:val="22"/>
                <w:lang w:eastAsia="en-CA"/>
              </w:rPr>
            </w:pPr>
            <w:r w:rsidRPr="008E044D">
              <w:rPr>
                <w:szCs w:val="22"/>
                <w:lang w:eastAsia="en-CA"/>
              </w:rPr>
              <w:t>Fi</w:t>
            </w:r>
            <w:r>
              <w:rPr>
                <w:szCs w:val="22"/>
                <w:lang w:eastAsia="en-CA"/>
              </w:rPr>
              <w:t>d</w:t>
            </w:r>
            <w:r w:rsidRPr="008E044D">
              <w:rPr>
                <w:szCs w:val="22"/>
                <w:lang w:eastAsia="en-CA"/>
              </w:rPr>
              <w:t>ji</w:t>
            </w:r>
          </w:p>
        </w:tc>
        <w:tc>
          <w:tcPr>
            <w:tcW w:w="2288" w:type="dxa"/>
            <w:tcBorders>
              <w:top w:val="nil"/>
              <w:left w:val="nil"/>
              <w:bottom w:val="single" w:sz="4" w:space="0" w:color="auto"/>
              <w:right w:val="single" w:sz="4" w:space="0" w:color="auto"/>
            </w:tcBorders>
            <w:shd w:val="clear" w:color="auto" w:fill="auto"/>
            <w:vAlign w:val="center"/>
            <w:hideMark/>
          </w:tcPr>
          <w:p w14:paraId="1C7334D9"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0ABF2B1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62E41AE4" w14:textId="77777777" w:rsidR="00981B76" w:rsidRPr="008E044D" w:rsidRDefault="00981B76" w:rsidP="00E83799">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63E8965C" w14:textId="77777777" w:rsidR="00981B76" w:rsidRPr="008E044D" w:rsidRDefault="00981B76" w:rsidP="00E83799">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6CDD3916" w14:textId="77777777" w:rsidR="00981B76" w:rsidRPr="008E044D" w:rsidRDefault="00981B76" w:rsidP="00E83799">
            <w:pPr>
              <w:ind w:right="276"/>
              <w:jc w:val="right"/>
              <w:rPr>
                <w:szCs w:val="22"/>
                <w:lang w:eastAsia="en-CA"/>
              </w:rPr>
            </w:pPr>
            <w:r w:rsidRPr="008E044D">
              <w:rPr>
                <w:szCs w:val="22"/>
                <w:lang w:eastAsia="en-CA"/>
              </w:rPr>
              <w:t>215</w:t>
            </w:r>
          </w:p>
        </w:tc>
      </w:tr>
      <w:tr w:rsidR="00981B76" w:rsidRPr="00C678EF" w14:paraId="3243EE2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6AAB6" w14:textId="77777777" w:rsidR="00981B76" w:rsidRPr="008E044D" w:rsidRDefault="00981B76" w:rsidP="00E83799">
            <w:pPr>
              <w:jc w:val="left"/>
              <w:rPr>
                <w:szCs w:val="22"/>
                <w:lang w:eastAsia="en-CA"/>
              </w:rPr>
            </w:pPr>
            <w:r w:rsidRPr="008E044D">
              <w:rPr>
                <w:szCs w:val="22"/>
                <w:lang w:eastAsia="en-CA"/>
              </w:rPr>
              <w:t>Finland</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14:paraId="5F7FDA7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456</w:t>
            </w:r>
          </w:p>
        </w:tc>
        <w:tc>
          <w:tcPr>
            <w:tcW w:w="0" w:type="auto"/>
            <w:tcBorders>
              <w:top w:val="nil"/>
              <w:left w:val="nil"/>
              <w:bottom w:val="single" w:sz="4" w:space="0" w:color="auto"/>
              <w:right w:val="single" w:sz="4" w:space="0" w:color="auto"/>
            </w:tcBorders>
            <w:shd w:val="clear" w:color="auto" w:fill="auto"/>
            <w:noWrap/>
            <w:vAlign w:val="center"/>
            <w:hideMark/>
          </w:tcPr>
          <w:p w14:paraId="46ECD29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660</w:t>
            </w:r>
          </w:p>
        </w:tc>
        <w:tc>
          <w:tcPr>
            <w:tcW w:w="0" w:type="auto"/>
            <w:tcBorders>
              <w:top w:val="nil"/>
              <w:left w:val="nil"/>
              <w:bottom w:val="single" w:sz="4" w:space="0" w:color="auto"/>
              <w:right w:val="single" w:sz="4" w:space="0" w:color="auto"/>
            </w:tcBorders>
            <w:shd w:val="clear" w:color="auto" w:fill="auto"/>
            <w:noWrap/>
            <w:vAlign w:val="center"/>
            <w:hideMark/>
          </w:tcPr>
          <w:p w14:paraId="06587A2D" w14:textId="77777777" w:rsidR="00981B76" w:rsidRPr="008E044D" w:rsidRDefault="00981B76" w:rsidP="00E83799">
            <w:pPr>
              <w:ind w:right="276"/>
              <w:jc w:val="right"/>
              <w:rPr>
                <w:szCs w:val="22"/>
                <w:lang w:eastAsia="en-CA"/>
              </w:rPr>
            </w:pPr>
            <w:r w:rsidRPr="008E044D">
              <w:rPr>
                <w:szCs w:val="22"/>
                <w:lang w:eastAsia="en-CA"/>
              </w:rPr>
              <w:t>15</w:t>
            </w:r>
            <w:r>
              <w:rPr>
                <w:szCs w:val="22"/>
                <w:lang w:eastAsia="en-CA"/>
              </w:rPr>
              <w:t xml:space="preserve"> </w:t>
            </w:r>
            <w:r w:rsidRPr="008E044D">
              <w:rPr>
                <w:szCs w:val="22"/>
                <w:lang w:eastAsia="en-CA"/>
              </w:rPr>
              <w:t>855</w:t>
            </w:r>
          </w:p>
        </w:tc>
        <w:tc>
          <w:tcPr>
            <w:tcW w:w="0" w:type="auto"/>
            <w:tcBorders>
              <w:top w:val="nil"/>
              <w:left w:val="nil"/>
              <w:bottom w:val="single" w:sz="4" w:space="0" w:color="auto"/>
              <w:right w:val="single" w:sz="4" w:space="0" w:color="auto"/>
            </w:tcBorders>
            <w:shd w:val="clear" w:color="auto" w:fill="auto"/>
            <w:noWrap/>
            <w:vAlign w:val="center"/>
            <w:hideMark/>
          </w:tcPr>
          <w:p w14:paraId="0B53B91D" w14:textId="77777777" w:rsidR="00981B76" w:rsidRPr="008E044D" w:rsidRDefault="00981B76" w:rsidP="00E83799">
            <w:pPr>
              <w:ind w:right="276"/>
              <w:jc w:val="right"/>
              <w:rPr>
                <w:szCs w:val="22"/>
                <w:lang w:eastAsia="en-CA"/>
              </w:rPr>
            </w:pPr>
            <w:r w:rsidRPr="008E044D">
              <w:rPr>
                <w:szCs w:val="22"/>
                <w:lang w:eastAsia="en-CA"/>
              </w:rPr>
              <w:t>16</w:t>
            </w:r>
            <w:r>
              <w:rPr>
                <w:szCs w:val="22"/>
                <w:lang w:eastAsia="en-CA"/>
              </w:rPr>
              <w:t xml:space="preserve"> </w:t>
            </w:r>
            <w:r w:rsidRPr="008E044D">
              <w:rPr>
                <w:szCs w:val="22"/>
                <w:lang w:eastAsia="en-CA"/>
              </w:rPr>
              <w:t>812</w:t>
            </w:r>
          </w:p>
        </w:tc>
        <w:tc>
          <w:tcPr>
            <w:tcW w:w="0" w:type="auto"/>
            <w:tcBorders>
              <w:top w:val="nil"/>
              <w:left w:val="nil"/>
              <w:bottom w:val="single" w:sz="4" w:space="0" w:color="auto"/>
              <w:right w:val="single" w:sz="4" w:space="0" w:color="auto"/>
            </w:tcBorders>
            <w:shd w:val="clear" w:color="auto" w:fill="auto"/>
            <w:noWrap/>
            <w:vAlign w:val="center"/>
            <w:hideMark/>
          </w:tcPr>
          <w:p w14:paraId="25F139D2" w14:textId="77777777" w:rsidR="00981B76" w:rsidRPr="008E044D" w:rsidRDefault="00981B76" w:rsidP="00E83799">
            <w:pPr>
              <w:ind w:right="276"/>
              <w:jc w:val="right"/>
              <w:rPr>
                <w:szCs w:val="22"/>
                <w:lang w:eastAsia="en-CA"/>
              </w:rPr>
            </w:pPr>
            <w:r w:rsidRPr="008E044D">
              <w:rPr>
                <w:szCs w:val="22"/>
                <w:lang w:eastAsia="en-CA"/>
              </w:rPr>
              <w:t>32</w:t>
            </w:r>
            <w:r>
              <w:rPr>
                <w:szCs w:val="22"/>
                <w:lang w:eastAsia="en-CA"/>
              </w:rPr>
              <w:t xml:space="preserve"> </w:t>
            </w:r>
            <w:r w:rsidRPr="008E044D">
              <w:rPr>
                <w:szCs w:val="22"/>
                <w:lang w:eastAsia="en-CA"/>
              </w:rPr>
              <w:t>667</w:t>
            </w:r>
          </w:p>
        </w:tc>
      </w:tr>
      <w:tr w:rsidR="00981B76" w:rsidRPr="00C678EF" w14:paraId="2DD6E297"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519B9" w14:textId="0D812FB3" w:rsidR="00981B76" w:rsidRPr="008E044D" w:rsidRDefault="006B2234" w:rsidP="00E83799">
            <w:pPr>
              <w:jc w:val="left"/>
              <w:rPr>
                <w:szCs w:val="22"/>
                <w:lang w:eastAsia="en-CA"/>
              </w:rPr>
            </w:pPr>
            <w:r>
              <w:rPr>
                <w:szCs w:val="22"/>
                <w:lang w:eastAsia="en-CA"/>
              </w:rPr>
              <w:lastRenderedPageBreak/>
              <w:t>France</w:t>
            </w:r>
          </w:p>
        </w:tc>
        <w:tc>
          <w:tcPr>
            <w:tcW w:w="2288" w:type="dxa"/>
            <w:tcBorders>
              <w:top w:val="nil"/>
              <w:left w:val="nil"/>
              <w:bottom w:val="single" w:sz="4" w:space="0" w:color="auto"/>
              <w:right w:val="single" w:sz="4" w:space="0" w:color="auto"/>
            </w:tcBorders>
            <w:shd w:val="clear" w:color="auto" w:fill="auto"/>
            <w:vAlign w:val="center"/>
            <w:hideMark/>
          </w:tcPr>
          <w:p w14:paraId="0B88C532" w14:textId="77777777" w:rsidR="00981B76" w:rsidRPr="008E044D" w:rsidRDefault="00981B76" w:rsidP="00E83799">
            <w:pPr>
              <w:ind w:right="770"/>
              <w:jc w:val="right"/>
              <w:rPr>
                <w:szCs w:val="22"/>
                <w:lang w:eastAsia="en-CA"/>
              </w:rPr>
            </w:pPr>
            <w:r w:rsidRPr="008E044D">
              <w:rPr>
                <w:szCs w:val="22"/>
                <w:lang w:eastAsia="en-CA"/>
              </w:rPr>
              <w:t>4</w:t>
            </w:r>
            <w:r>
              <w:rPr>
                <w:szCs w:val="22"/>
                <w:lang w:eastAsia="en-CA"/>
              </w:rPr>
              <w:t>,</w:t>
            </w:r>
            <w:r w:rsidRPr="008E044D">
              <w:rPr>
                <w:szCs w:val="22"/>
                <w:lang w:eastAsia="en-CA"/>
              </w:rPr>
              <w:t>859</w:t>
            </w:r>
          </w:p>
        </w:tc>
        <w:tc>
          <w:tcPr>
            <w:tcW w:w="0" w:type="auto"/>
            <w:tcBorders>
              <w:top w:val="nil"/>
              <w:left w:val="nil"/>
              <w:bottom w:val="single" w:sz="4" w:space="0" w:color="auto"/>
              <w:right w:val="single" w:sz="4" w:space="0" w:color="auto"/>
            </w:tcBorders>
            <w:shd w:val="clear" w:color="auto" w:fill="auto"/>
            <w:noWrap/>
            <w:vAlign w:val="center"/>
            <w:hideMark/>
          </w:tcPr>
          <w:p w14:paraId="1901D3BA" w14:textId="77777777" w:rsidR="00981B76" w:rsidRPr="008E044D" w:rsidRDefault="00981B76" w:rsidP="00E83799">
            <w:pPr>
              <w:ind w:right="1144"/>
              <w:jc w:val="right"/>
              <w:rPr>
                <w:szCs w:val="22"/>
                <w:lang w:eastAsia="en-CA"/>
              </w:rPr>
            </w:pPr>
            <w:r w:rsidRPr="008E044D">
              <w:rPr>
                <w:szCs w:val="22"/>
                <w:lang w:eastAsia="en-CA"/>
              </w:rPr>
              <w:t>7</w:t>
            </w:r>
            <w:r>
              <w:rPr>
                <w:szCs w:val="22"/>
                <w:lang w:eastAsia="en-CA"/>
              </w:rPr>
              <w:t>,</w:t>
            </w:r>
            <w:r w:rsidRPr="008E044D">
              <w:rPr>
                <w:szCs w:val="22"/>
                <w:lang w:eastAsia="en-CA"/>
              </w:rPr>
              <w:t>035</w:t>
            </w:r>
          </w:p>
        </w:tc>
        <w:tc>
          <w:tcPr>
            <w:tcW w:w="0" w:type="auto"/>
            <w:tcBorders>
              <w:top w:val="nil"/>
              <w:left w:val="nil"/>
              <w:bottom w:val="single" w:sz="4" w:space="0" w:color="auto"/>
              <w:right w:val="single" w:sz="4" w:space="0" w:color="auto"/>
            </w:tcBorders>
            <w:shd w:val="clear" w:color="auto" w:fill="auto"/>
            <w:noWrap/>
            <w:vAlign w:val="center"/>
            <w:hideMark/>
          </w:tcPr>
          <w:p w14:paraId="762441C3" w14:textId="77777777" w:rsidR="00981B76" w:rsidRPr="008E044D" w:rsidRDefault="00981B76" w:rsidP="00E83799">
            <w:pPr>
              <w:ind w:right="276"/>
              <w:jc w:val="right"/>
              <w:rPr>
                <w:szCs w:val="22"/>
                <w:lang w:eastAsia="en-CA"/>
              </w:rPr>
            </w:pPr>
            <w:r w:rsidRPr="008E044D">
              <w:rPr>
                <w:szCs w:val="22"/>
                <w:lang w:eastAsia="en-CA"/>
              </w:rPr>
              <w:t>168</w:t>
            </w:r>
            <w:r>
              <w:rPr>
                <w:szCs w:val="22"/>
                <w:lang w:eastAsia="en-CA"/>
              </w:rPr>
              <w:t xml:space="preserve"> </w:t>
            </w:r>
            <w:r w:rsidRPr="008E044D">
              <w:rPr>
                <w:szCs w:val="22"/>
                <w:lang w:eastAsia="en-CA"/>
              </w:rPr>
              <w:t>943</w:t>
            </w:r>
          </w:p>
        </w:tc>
        <w:tc>
          <w:tcPr>
            <w:tcW w:w="0" w:type="auto"/>
            <w:tcBorders>
              <w:top w:val="nil"/>
              <w:left w:val="nil"/>
              <w:bottom w:val="single" w:sz="4" w:space="0" w:color="auto"/>
              <w:right w:val="single" w:sz="4" w:space="0" w:color="auto"/>
            </w:tcBorders>
            <w:shd w:val="clear" w:color="auto" w:fill="auto"/>
            <w:noWrap/>
            <w:vAlign w:val="center"/>
            <w:hideMark/>
          </w:tcPr>
          <w:p w14:paraId="67FBC2B5" w14:textId="77777777" w:rsidR="00981B76" w:rsidRPr="008E044D" w:rsidRDefault="00981B76" w:rsidP="00E83799">
            <w:pPr>
              <w:ind w:right="276"/>
              <w:jc w:val="right"/>
              <w:rPr>
                <w:szCs w:val="22"/>
                <w:lang w:eastAsia="en-CA"/>
              </w:rPr>
            </w:pPr>
            <w:r w:rsidRPr="008E044D">
              <w:rPr>
                <w:szCs w:val="22"/>
                <w:lang w:eastAsia="en-CA"/>
              </w:rPr>
              <w:t>179</w:t>
            </w:r>
            <w:r>
              <w:rPr>
                <w:szCs w:val="22"/>
                <w:lang w:eastAsia="en-CA"/>
              </w:rPr>
              <w:t xml:space="preserve"> </w:t>
            </w:r>
            <w:r w:rsidRPr="008E044D">
              <w:rPr>
                <w:szCs w:val="22"/>
                <w:lang w:eastAsia="en-CA"/>
              </w:rPr>
              <w:t>148</w:t>
            </w:r>
          </w:p>
        </w:tc>
        <w:tc>
          <w:tcPr>
            <w:tcW w:w="0" w:type="auto"/>
            <w:tcBorders>
              <w:top w:val="nil"/>
              <w:left w:val="nil"/>
              <w:bottom w:val="single" w:sz="4" w:space="0" w:color="auto"/>
              <w:right w:val="single" w:sz="4" w:space="0" w:color="auto"/>
            </w:tcBorders>
            <w:shd w:val="clear" w:color="auto" w:fill="auto"/>
            <w:noWrap/>
            <w:vAlign w:val="center"/>
            <w:hideMark/>
          </w:tcPr>
          <w:p w14:paraId="4069971C" w14:textId="77777777" w:rsidR="00981B76" w:rsidRPr="008E044D" w:rsidRDefault="00981B76" w:rsidP="00E83799">
            <w:pPr>
              <w:ind w:right="276"/>
              <w:jc w:val="right"/>
              <w:rPr>
                <w:szCs w:val="22"/>
                <w:lang w:eastAsia="en-CA"/>
              </w:rPr>
            </w:pPr>
            <w:r w:rsidRPr="008E044D">
              <w:rPr>
                <w:szCs w:val="22"/>
                <w:lang w:eastAsia="en-CA"/>
              </w:rPr>
              <w:t>348</w:t>
            </w:r>
            <w:r>
              <w:rPr>
                <w:szCs w:val="22"/>
                <w:lang w:eastAsia="en-CA"/>
              </w:rPr>
              <w:t xml:space="preserve"> </w:t>
            </w:r>
            <w:r w:rsidRPr="008E044D">
              <w:rPr>
                <w:szCs w:val="22"/>
                <w:lang w:eastAsia="en-CA"/>
              </w:rPr>
              <w:t>091</w:t>
            </w:r>
          </w:p>
        </w:tc>
      </w:tr>
      <w:tr w:rsidR="00981B76" w:rsidRPr="00C678EF" w14:paraId="210A836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9765" w14:textId="77777777" w:rsidR="00981B76" w:rsidRPr="008E044D" w:rsidRDefault="00981B76" w:rsidP="00E83799">
            <w:pPr>
              <w:jc w:val="left"/>
              <w:rPr>
                <w:szCs w:val="22"/>
                <w:lang w:eastAsia="en-CA"/>
              </w:rPr>
            </w:pPr>
            <w:r w:rsidRPr="008E044D">
              <w:rPr>
                <w:szCs w:val="22"/>
                <w:lang w:eastAsia="en-CA"/>
              </w:rPr>
              <w:t>Gabon</w:t>
            </w:r>
          </w:p>
        </w:tc>
        <w:tc>
          <w:tcPr>
            <w:tcW w:w="2288" w:type="dxa"/>
            <w:tcBorders>
              <w:top w:val="nil"/>
              <w:left w:val="nil"/>
              <w:bottom w:val="single" w:sz="4" w:space="0" w:color="auto"/>
              <w:right w:val="single" w:sz="4" w:space="0" w:color="auto"/>
            </w:tcBorders>
            <w:shd w:val="clear" w:color="auto" w:fill="auto"/>
            <w:vAlign w:val="center"/>
            <w:hideMark/>
          </w:tcPr>
          <w:p w14:paraId="7C1FBDA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14:paraId="68BC9AB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025</w:t>
            </w:r>
          </w:p>
        </w:tc>
        <w:tc>
          <w:tcPr>
            <w:tcW w:w="0" w:type="auto"/>
            <w:tcBorders>
              <w:top w:val="nil"/>
              <w:left w:val="nil"/>
              <w:bottom w:val="single" w:sz="4" w:space="0" w:color="auto"/>
              <w:right w:val="single" w:sz="4" w:space="0" w:color="auto"/>
            </w:tcBorders>
            <w:shd w:val="clear" w:color="auto" w:fill="auto"/>
            <w:noWrap/>
            <w:vAlign w:val="center"/>
            <w:hideMark/>
          </w:tcPr>
          <w:p w14:paraId="26877A74" w14:textId="77777777" w:rsidR="00981B76" w:rsidRPr="008E044D" w:rsidRDefault="00981B76" w:rsidP="00E83799">
            <w:pPr>
              <w:ind w:right="276"/>
              <w:jc w:val="right"/>
              <w:rPr>
                <w:szCs w:val="22"/>
                <w:lang w:eastAsia="en-CA"/>
              </w:rPr>
            </w:pPr>
            <w:r w:rsidRPr="008E044D">
              <w:rPr>
                <w:szCs w:val="22"/>
                <w:lang w:eastAsia="en-CA"/>
              </w:rPr>
              <w:t>591</w:t>
            </w:r>
          </w:p>
        </w:tc>
        <w:tc>
          <w:tcPr>
            <w:tcW w:w="0" w:type="auto"/>
            <w:tcBorders>
              <w:top w:val="nil"/>
              <w:left w:val="nil"/>
              <w:bottom w:val="single" w:sz="4" w:space="0" w:color="auto"/>
              <w:right w:val="single" w:sz="4" w:space="0" w:color="auto"/>
            </w:tcBorders>
            <w:shd w:val="clear" w:color="auto" w:fill="auto"/>
            <w:noWrap/>
            <w:vAlign w:val="center"/>
            <w:hideMark/>
          </w:tcPr>
          <w:p w14:paraId="36717B2C" w14:textId="77777777" w:rsidR="00981B76" w:rsidRPr="008E044D" w:rsidRDefault="00981B76" w:rsidP="00E83799">
            <w:pPr>
              <w:ind w:right="276"/>
              <w:jc w:val="right"/>
              <w:rPr>
                <w:szCs w:val="22"/>
                <w:lang w:eastAsia="en-CA"/>
              </w:rPr>
            </w:pPr>
            <w:r w:rsidRPr="008E044D">
              <w:rPr>
                <w:szCs w:val="22"/>
                <w:lang w:eastAsia="en-CA"/>
              </w:rPr>
              <w:t>627</w:t>
            </w:r>
          </w:p>
        </w:tc>
        <w:tc>
          <w:tcPr>
            <w:tcW w:w="0" w:type="auto"/>
            <w:tcBorders>
              <w:top w:val="nil"/>
              <w:left w:val="nil"/>
              <w:bottom w:val="single" w:sz="4" w:space="0" w:color="auto"/>
              <w:right w:val="single" w:sz="4" w:space="0" w:color="auto"/>
            </w:tcBorders>
            <w:shd w:val="clear" w:color="auto" w:fill="auto"/>
            <w:noWrap/>
            <w:vAlign w:val="center"/>
            <w:hideMark/>
          </w:tcPr>
          <w:p w14:paraId="3A8F2851"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218</w:t>
            </w:r>
          </w:p>
        </w:tc>
      </w:tr>
      <w:tr w:rsidR="00981B76" w:rsidRPr="00C678EF" w14:paraId="006534E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5F769C" w14:textId="77777777" w:rsidR="00981B76" w:rsidRPr="008E044D" w:rsidRDefault="00981B76" w:rsidP="00E83799">
            <w:pPr>
              <w:jc w:val="left"/>
              <w:rPr>
                <w:szCs w:val="22"/>
                <w:lang w:eastAsia="en-CA"/>
              </w:rPr>
            </w:pPr>
            <w:r>
              <w:rPr>
                <w:szCs w:val="22"/>
                <w:lang w:eastAsia="en-CA"/>
              </w:rPr>
              <w:t>Gambie</w:t>
            </w:r>
          </w:p>
        </w:tc>
        <w:tc>
          <w:tcPr>
            <w:tcW w:w="2288" w:type="dxa"/>
            <w:tcBorders>
              <w:top w:val="nil"/>
              <w:left w:val="nil"/>
              <w:bottom w:val="single" w:sz="4" w:space="0" w:color="auto"/>
              <w:right w:val="single" w:sz="4" w:space="0" w:color="auto"/>
            </w:tcBorders>
            <w:shd w:val="clear" w:color="auto" w:fill="auto"/>
            <w:vAlign w:val="center"/>
            <w:hideMark/>
          </w:tcPr>
          <w:p w14:paraId="08560C0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681720D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A546EFD"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432BC4B"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96E8806"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503FB67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B833F" w14:textId="77777777" w:rsidR="00981B76" w:rsidRPr="008E044D" w:rsidRDefault="00981B76" w:rsidP="00E83799">
            <w:pPr>
              <w:jc w:val="left"/>
              <w:rPr>
                <w:szCs w:val="22"/>
                <w:lang w:eastAsia="en-CA"/>
              </w:rPr>
            </w:pPr>
            <w:r>
              <w:rPr>
                <w:szCs w:val="22"/>
                <w:lang w:eastAsia="en-CA"/>
              </w:rPr>
              <w:t>Géorgie</w:t>
            </w:r>
          </w:p>
        </w:tc>
        <w:tc>
          <w:tcPr>
            <w:tcW w:w="2288" w:type="dxa"/>
            <w:tcBorders>
              <w:top w:val="nil"/>
              <w:left w:val="nil"/>
              <w:bottom w:val="single" w:sz="4" w:space="0" w:color="auto"/>
              <w:right w:val="single" w:sz="4" w:space="0" w:color="auto"/>
            </w:tcBorders>
            <w:shd w:val="clear" w:color="auto" w:fill="auto"/>
            <w:vAlign w:val="center"/>
            <w:hideMark/>
          </w:tcPr>
          <w:p w14:paraId="5FD6CEF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14:paraId="4ECFDCF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14:paraId="175C986B" w14:textId="77777777" w:rsidR="00981B76" w:rsidRPr="008E044D" w:rsidRDefault="00981B76" w:rsidP="00E83799">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56500C8C" w14:textId="77777777" w:rsidR="00981B76" w:rsidRPr="008E044D" w:rsidRDefault="00981B76" w:rsidP="00E83799">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57FE423B" w14:textId="77777777" w:rsidR="00981B76" w:rsidRPr="008E044D" w:rsidRDefault="00981B76" w:rsidP="00E83799">
            <w:pPr>
              <w:ind w:right="276"/>
              <w:jc w:val="right"/>
              <w:rPr>
                <w:szCs w:val="22"/>
                <w:lang w:eastAsia="en-CA"/>
              </w:rPr>
            </w:pPr>
            <w:r w:rsidRPr="008E044D">
              <w:rPr>
                <w:szCs w:val="22"/>
                <w:lang w:eastAsia="en-CA"/>
              </w:rPr>
              <w:t>573</w:t>
            </w:r>
          </w:p>
        </w:tc>
      </w:tr>
      <w:tr w:rsidR="00981B76" w:rsidRPr="00C678EF" w14:paraId="1E2379B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46BAD5" w14:textId="77777777" w:rsidR="00981B76" w:rsidRPr="008E044D" w:rsidRDefault="00981B76" w:rsidP="00E83799">
            <w:pPr>
              <w:jc w:val="left"/>
              <w:rPr>
                <w:szCs w:val="22"/>
                <w:lang w:eastAsia="en-CA"/>
              </w:rPr>
            </w:pPr>
            <w:r w:rsidRPr="008E044D">
              <w:rPr>
                <w:szCs w:val="22"/>
                <w:lang w:eastAsia="en-CA"/>
              </w:rPr>
              <w:t>Ghana</w:t>
            </w:r>
          </w:p>
        </w:tc>
        <w:tc>
          <w:tcPr>
            <w:tcW w:w="2288" w:type="dxa"/>
            <w:tcBorders>
              <w:top w:val="nil"/>
              <w:left w:val="nil"/>
              <w:bottom w:val="single" w:sz="4" w:space="0" w:color="auto"/>
              <w:right w:val="single" w:sz="4" w:space="0" w:color="auto"/>
            </w:tcBorders>
            <w:shd w:val="clear" w:color="auto" w:fill="auto"/>
            <w:vAlign w:val="center"/>
            <w:hideMark/>
          </w:tcPr>
          <w:p w14:paraId="2F7A568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016</w:t>
            </w:r>
          </w:p>
        </w:tc>
        <w:tc>
          <w:tcPr>
            <w:tcW w:w="0" w:type="auto"/>
            <w:tcBorders>
              <w:top w:val="nil"/>
              <w:left w:val="nil"/>
              <w:bottom w:val="single" w:sz="4" w:space="0" w:color="auto"/>
              <w:right w:val="single" w:sz="4" w:space="0" w:color="auto"/>
            </w:tcBorders>
            <w:shd w:val="clear" w:color="auto" w:fill="auto"/>
            <w:noWrap/>
            <w:vAlign w:val="center"/>
            <w:hideMark/>
          </w:tcPr>
          <w:p w14:paraId="0356F22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023</w:t>
            </w:r>
          </w:p>
        </w:tc>
        <w:tc>
          <w:tcPr>
            <w:tcW w:w="0" w:type="auto"/>
            <w:tcBorders>
              <w:top w:val="nil"/>
              <w:left w:val="nil"/>
              <w:bottom w:val="single" w:sz="4" w:space="0" w:color="auto"/>
              <w:right w:val="single" w:sz="4" w:space="0" w:color="auto"/>
            </w:tcBorders>
            <w:shd w:val="clear" w:color="auto" w:fill="auto"/>
            <w:noWrap/>
            <w:vAlign w:val="center"/>
            <w:hideMark/>
          </w:tcPr>
          <w:p w14:paraId="3995A6D4" w14:textId="77777777" w:rsidR="00981B76" w:rsidRPr="008E044D" w:rsidRDefault="00981B76" w:rsidP="00E83799">
            <w:pPr>
              <w:ind w:right="276"/>
              <w:jc w:val="right"/>
              <w:rPr>
                <w:szCs w:val="22"/>
                <w:lang w:eastAsia="en-CA"/>
              </w:rPr>
            </w:pPr>
            <w:r w:rsidRPr="008E044D">
              <w:rPr>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3D2DDDDF" w14:textId="77777777" w:rsidR="00981B76" w:rsidRPr="008E044D" w:rsidRDefault="00981B76" w:rsidP="00E83799">
            <w:pPr>
              <w:ind w:right="276"/>
              <w:jc w:val="right"/>
              <w:rPr>
                <w:szCs w:val="22"/>
                <w:lang w:eastAsia="en-CA"/>
              </w:rPr>
            </w:pPr>
            <w:r w:rsidRPr="008E044D">
              <w:rPr>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23A57919"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146</w:t>
            </w:r>
          </w:p>
        </w:tc>
      </w:tr>
      <w:tr w:rsidR="00981B76" w:rsidRPr="00C678EF" w14:paraId="69B6E4E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04B53" w14:textId="77777777" w:rsidR="00981B76" w:rsidRPr="008E044D" w:rsidRDefault="00981B76" w:rsidP="00E83799">
            <w:pPr>
              <w:jc w:val="left"/>
              <w:rPr>
                <w:szCs w:val="22"/>
                <w:lang w:eastAsia="en-CA"/>
              </w:rPr>
            </w:pPr>
            <w:r>
              <w:rPr>
                <w:szCs w:val="22"/>
                <w:lang w:eastAsia="en-CA"/>
              </w:rPr>
              <w:t>Grè</w:t>
            </w:r>
            <w:r w:rsidRPr="008E044D">
              <w:rPr>
                <w:szCs w:val="22"/>
                <w:lang w:eastAsia="en-CA"/>
              </w:rPr>
              <w:t>ce</w:t>
            </w:r>
          </w:p>
        </w:tc>
        <w:tc>
          <w:tcPr>
            <w:tcW w:w="2288" w:type="dxa"/>
            <w:tcBorders>
              <w:top w:val="nil"/>
              <w:left w:val="nil"/>
              <w:bottom w:val="single" w:sz="4" w:space="0" w:color="auto"/>
              <w:right w:val="single" w:sz="4" w:space="0" w:color="auto"/>
            </w:tcBorders>
            <w:shd w:val="clear" w:color="auto" w:fill="auto"/>
            <w:vAlign w:val="center"/>
            <w:hideMark/>
          </w:tcPr>
          <w:p w14:paraId="705688B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471</w:t>
            </w:r>
          </w:p>
        </w:tc>
        <w:tc>
          <w:tcPr>
            <w:tcW w:w="0" w:type="auto"/>
            <w:tcBorders>
              <w:top w:val="nil"/>
              <w:left w:val="nil"/>
              <w:bottom w:val="single" w:sz="4" w:space="0" w:color="auto"/>
              <w:right w:val="single" w:sz="4" w:space="0" w:color="auto"/>
            </w:tcBorders>
            <w:shd w:val="clear" w:color="auto" w:fill="auto"/>
            <w:noWrap/>
            <w:vAlign w:val="center"/>
            <w:hideMark/>
          </w:tcPr>
          <w:p w14:paraId="42C6CA7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682</w:t>
            </w:r>
          </w:p>
        </w:tc>
        <w:tc>
          <w:tcPr>
            <w:tcW w:w="0" w:type="auto"/>
            <w:tcBorders>
              <w:top w:val="nil"/>
              <w:left w:val="nil"/>
              <w:bottom w:val="single" w:sz="4" w:space="0" w:color="auto"/>
              <w:right w:val="single" w:sz="4" w:space="0" w:color="auto"/>
            </w:tcBorders>
            <w:shd w:val="clear" w:color="auto" w:fill="auto"/>
            <w:noWrap/>
            <w:vAlign w:val="center"/>
            <w:hideMark/>
          </w:tcPr>
          <w:p w14:paraId="5F51FAE4" w14:textId="77777777" w:rsidR="00981B76" w:rsidRPr="008E044D" w:rsidRDefault="00981B76" w:rsidP="00E83799">
            <w:pPr>
              <w:ind w:right="276"/>
              <w:jc w:val="right"/>
              <w:rPr>
                <w:szCs w:val="22"/>
                <w:lang w:eastAsia="en-CA"/>
              </w:rPr>
            </w:pPr>
            <w:r w:rsidRPr="008E044D">
              <w:rPr>
                <w:szCs w:val="22"/>
                <w:lang w:eastAsia="en-CA"/>
              </w:rPr>
              <w:t>16</w:t>
            </w:r>
            <w:r>
              <w:rPr>
                <w:szCs w:val="22"/>
                <w:lang w:eastAsia="en-CA"/>
              </w:rPr>
              <w:t xml:space="preserve"> </w:t>
            </w:r>
            <w:r w:rsidRPr="008E044D">
              <w:rPr>
                <w:szCs w:val="22"/>
                <w:lang w:eastAsia="en-CA"/>
              </w:rPr>
              <w:t>376</w:t>
            </w:r>
          </w:p>
        </w:tc>
        <w:tc>
          <w:tcPr>
            <w:tcW w:w="0" w:type="auto"/>
            <w:tcBorders>
              <w:top w:val="nil"/>
              <w:left w:val="nil"/>
              <w:bottom w:val="single" w:sz="4" w:space="0" w:color="auto"/>
              <w:right w:val="single" w:sz="4" w:space="0" w:color="auto"/>
            </w:tcBorders>
            <w:shd w:val="clear" w:color="auto" w:fill="auto"/>
            <w:noWrap/>
            <w:vAlign w:val="center"/>
            <w:hideMark/>
          </w:tcPr>
          <w:p w14:paraId="6712D77D" w14:textId="77777777" w:rsidR="00981B76" w:rsidRPr="008E044D" w:rsidRDefault="00981B76" w:rsidP="00E83799">
            <w:pPr>
              <w:ind w:right="276"/>
              <w:jc w:val="right"/>
              <w:rPr>
                <w:szCs w:val="22"/>
                <w:lang w:eastAsia="en-CA"/>
              </w:rPr>
            </w:pPr>
            <w:r w:rsidRPr="008E044D">
              <w:rPr>
                <w:szCs w:val="22"/>
                <w:lang w:eastAsia="en-CA"/>
              </w:rPr>
              <w:t>17</w:t>
            </w:r>
            <w:r>
              <w:rPr>
                <w:szCs w:val="22"/>
                <w:lang w:eastAsia="en-CA"/>
              </w:rPr>
              <w:t xml:space="preserve"> </w:t>
            </w:r>
            <w:r w:rsidRPr="008E044D">
              <w:rPr>
                <w:szCs w:val="22"/>
                <w:lang w:eastAsia="en-CA"/>
              </w:rPr>
              <w:t>365</w:t>
            </w:r>
          </w:p>
        </w:tc>
        <w:tc>
          <w:tcPr>
            <w:tcW w:w="0" w:type="auto"/>
            <w:tcBorders>
              <w:top w:val="nil"/>
              <w:left w:val="nil"/>
              <w:bottom w:val="single" w:sz="4" w:space="0" w:color="auto"/>
              <w:right w:val="single" w:sz="4" w:space="0" w:color="auto"/>
            </w:tcBorders>
            <w:shd w:val="clear" w:color="auto" w:fill="auto"/>
            <w:noWrap/>
            <w:vAlign w:val="center"/>
            <w:hideMark/>
          </w:tcPr>
          <w:p w14:paraId="58E1CE5F" w14:textId="77777777" w:rsidR="00981B76" w:rsidRPr="008E044D" w:rsidRDefault="00981B76" w:rsidP="00E83799">
            <w:pPr>
              <w:ind w:right="276"/>
              <w:jc w:val="right"/>
              <w:rPr>
                <w:szCs w:val="22"/>
                <w:lang w:eastAsia="en-CA"/>
              </w:rPr>
            </w:pPr>
            <w:r w:rsidRPr="008E044D">
              <w:rPr>
                <w:szCs w:val="22"/>
                <w:lang w:eastAsia="en-CA"/>
              </w:rPr>
              <w:t>33</w:t>
            </w:r>
            <w:r>
              <w:rPr>
                <w:szCs w:val="22"/>
                <w:lang w:eastAsia="en-CA"/>
              </w:rPr>
              <w:t xml:space="preserve"> </w:t>
            </w:r>
            <w:r w:rsidRPr="008E044D">
              <w:rPr>
                <w:szCs w:val="22"/>
                <w:lang w:eastAsia="en-CA"/>
              </w:rPr>
              <w:t>742</w:t>
            </w:r>
          </w:p>
        </w:tc>
      </w:tr>
      <w:tr w:rsidR="00981B76" w:rsidRPr="00C678EF" w14:paraId="08D1776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79772C" w14:textId="77777777" w:rsidR="00981B76" w:rsidRPr="008E044D" w:rsidRDefault="00981B76" w:rsidP="00E83799">
            <w:pPr>
              <w:jc w:val="left"/>
              <w:rPr>
                <w:szCs w:val="22"/>
                <w:lang w:eastAsia="en-CA"/>
              </w:rPr>
            </w:pPr>
            <w:r>
              <w:rPr>
                <w:szCs w:val="22"/>
                <w:lang w:eastAsia="en-CA"/>
              </w:rPr>
              <w:t>Grenade</w:t>
            </w:r>
          </w:p>
        </w:tc>
        <w:tc>
          <w:tcPr>
            <w:tcW w:w="2288" w:type="dxa"/>
            <w:tcBorders>
              <w:top w:val="nil"/>
              <w:left w:val="nil"/>
              <w:bottom w:val="single" w:sz="4" w:space="0" w:color="auto"/>
              <w:right w:val="single" w:sz="4" w:space="0" w:color="auto"/>
            </w:tcBorders>
            <w:shd w:val="clear" w:color="auto" w:fill="auto"/>
            <w:vAlign w:val="center"/>
            <w:hideMark/>
          </w:tcPr>
          <w:p w14:paraId="56DD9E5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F11254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1FD030A5"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0E6FC97"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874EDBF"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6324AAB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E7B0A" w14:textId="77777777" w:rsidR="00981B76" w:rsidRPr="008E044D" w:rsidRDefault="00981B76" w:rsidP="00E83799">
            <w:pPr>
              <w:jc w:val="left"/>
              <w:rPr>
                <w:szCs w:val="22"/>
                <w:lang w:eastAsia="en-CA"/>
              </w:rPr>
            </w:pPr>
            <w:r w:rsidRPr="008E044D">
              <w:rPr>
                <w:szCs w:val="22"/>
                <w:lang w:eastAsia="en-CA"/>
              </w:rPr>
              <w:t>Guatemala</w:t>
            </w:r>
          </w:p>
        </w:tc>
        <w:tc>
          <w:tcPr>
            <w:tcW w:w="2288" w:type="dxa"/>
            <w:tcBorders>
              <w:top w:val="nil"/>
              <w:left w:val="nil"/>
              <w:bottom w:val="single" w:sz="4" w:space="0" w:color="auto"/>
              <w:right w:val="single" w:sz="4" w:space="0" w:color="auto"/>
            </w:tcBorders>
            <w:shd w:val="clear" w:color="auto" w:fill="auto"/>
            <w:vAlign w:val="center"/>
            <w:hideMark/>
          </w:tcPr>
          <w:p w14:paraId="0023198F"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028</w:t>
            </w:r>
          </w:p>
        </w:tc>
        <w:tc>
          <w:tcPr>
            <w:tcW w:w="0" w:type="auto"/>
            <w:tcBorders>
              <w:top w:val="nil"/>
              <w:left w:val="nil"/>
              <w:bottom w:val="single" w:sz="4" w:space="0" w:color="auto"/>
              <w:right w:val="single" w:sz="4" w:space="0" w:color="auto"/>
            </w:tcBorders>
            <w:shd w:val="clear" w:color="auto" w:fill="auto"/>
            <w:noWrap/>
            <w:vAlign w:val="center"/>
            <w:hideMark/>
          </w:tcPr>
          <w:p w14:paraId="5D983E2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041</w:t>
            </w:r>
          </w:p>
        </w:tc>
        <w:tc>
          <w:tcPr>
            <w:tcW w:w="0" w:type="auto"/>
            <w:tcBorders>
              <w:top w:val="nil"/>
              <w:left w:val="nil"/>
              <w:bottom w:val="single" w:sz="4" w:space="0" w:color="auto"/>
              <w:right w:val="single" w:sz="4" w:space="0" w:color="auto"/>
            </w:tcBorders>
            <w:shd w:val="clear" w:color="auto" w:fill="auto"/>
            <w:noWrap/>
            <w:vAlign w:val="center"/>
            <w:hideMark/>
          </w:tcPr>
          <w:p w14:paraId="3494D7F4" w14:textId="77777777" w:rsidR="00981B76" w:rsidRPr="008E044D" w:rsidRDefault="00981B76" w:rsidP="00E83799">
            <w:pPr>
              <w:ind w:right="276"/>
              <w:jc w:val="right"/>
              <w:rPr>
                <w:szCs w:val="22"/>
                <w:lang w:eastAsia="en-CA"/>
              </w:rPr>
            </w:pPr>
            <w:r w:rsidRPr="008E044D">
              <w:rPr>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4D2D6A94"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14:paraId="625E9FC8"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006</w:t>
            </w:r>
          </w:p>
        </w:tc>
      </w:tr>
      <w:tr w:rsidR="00981B76" w:rsidRPr="00C678EF" w14:paraId="56E9AAE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B57636" w14:textId="77777777" w:rsidR="00981B76" w:rsidRPr="008E044D" w:rsidRDefault="00981B76" w:rsidP="00E83799">
            <w:pPr>
              <w:jc w:val="left"/>
              <w:rPr>
                <w:szCs w:val="22"/>
                <w:lang w:eastAsia="en-CA"/>
              </w:rPr>
            </w:pPr>
            <w:r>
              <w:rPr>
                <w:szCs w:val="22"/>
                <w:lang w:eastAsia="en-CA"/>
              </w:rPr>
              <w:t>Guinée</w:t>
            </w:r>
          </w:p>
        </w:tc>
        <w:tc>
          <w:tcPr>
            <w:tcW w:w="2288" w:type="dxa"/>
            <w:tcBorders>
              <w:top w:val="nil"/>
              <w:left w:val="nil"/>
              <w:bottom w:val="single" w:sz="4" w:space="0" w:color="auto"/>
              <w:right w:val="single" w:sz="4" w:space="0" w:color="auto"/>
            </w:tcBorders>
            <w:shd w:val="clear" w:color="auto" w:fill="auto"/>
            <w:vAlign w:val="center"/>
            <w:hideMark/>
          </w:tcPr>
          <w:p w14:paraId="1C84BFA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2BB9087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748689CE"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68619619"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2C83D70"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4A71AEF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4F63F9" w14:textId="77777777" w:rsidR="00981B76" w:rsidRPr="008E044D" w:rsidRDefault="00981B76" w:rsidP="00E83799">
            <w:pPr>
              <w:jc w:val="left"/>
              <w:rPr>
                <w:szCs w:val="22"/>
                <w:lang w:eastAsia="en-CA"/>
              </w:rPr>
            </w:pPr>
            <w:r>
              <w:rPr>
                <w:szCs w:val="22"/>
                <w:lang w:eastAsia="en-CA"/>
              </w:rPr>
              <w:t xml:space="preserve">Guinée </w:t>
            </w:r>
            <w:r w:rsidRPr="008E044D">
              <w:rPr>
                <w:szCs w:val="22"/>
                <w:lang w:eastAsia="en-CA"/>
              </w:rPr>
              <w:t>Bissau</w:t>
            </w:r>
          </w:p>
        </w:tc>
        <w:tc>
          <w:tcPr>
            <w:tcW w:w="2288" w:type="dxa"/>
            <w:tcBorders>
              <w:top w:val="nil"/>
              <w:left w:val="nil"/>
              <w:bottom w:val="single" w:sz="4" w:space="0" w:color="auto"/>
              <w:right w:val="single" w:sz="4" w:space="0" w:color="auto"/>
            </w:tcBorders>
            <w:shd w:val="clear" w:color="auto" w:fill="auto"/>
            <w:vAlign w:val="center"/>
            <w:hideMark/>
          </w:tcPr>
          <w:p w14:paraId="49BB2D6F"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CCADD5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D99CFD4"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0C702F0"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DC85BAC"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792285B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51757A" w14:textId="77777777" w:rsidR="00981B76" w:rsidRPr="008E044D" w:rsidRDefault="00981B76" w:rsidP="00E83799">
            <w:pPr>
              <w:jc w:val="left"/>
              <w:rPr>
                <w:szCs w:val="22"/>
                <w:lang w:eastAsia="en-CA"/>
              </w:rPr>
            </w:pPr>
            <w:r w:rsidRPr="008E044D">
              <w:rPr>
                <w:szCs w:val="22"/>
                <w:lang w:eastAsia="en-CA"/>
              </w:rPr>
              <w:t>Guyana</w:t>
            </w:r>
          </w:p>
        </w:tc>
        <w:tc>
          <w:tcPr>
            <w:tcW w:w="2288" w:type="dxa"/>
            <w:tcBorders>
              <w:top w:val="nil"/>
              <w:left w:val="nil"/>
              <w:bottom w:val="single" w:sz="4" w:space="0" w:color="auto"/>
              <w:right w:val="single" w:sz="4" w:space="0" w:color="auto"/>
            </w:tcBorders>
            <w:shd w:val="clear" w:color="auto" w:fill="auto"/>
            <w:vAlign w:val="center"/>
            <w:hideMark/>
          </w:tcPr>
          <w:p w14:paraId="7E146A9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7049EF3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5F6AA1B0"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8C9CA43"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0612058"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372B677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FBA35" w14:textId="77777777" w:rsidR="00981B76" w:rsidRPr="008E044D" w:rsidRDefault="00981B76" w:rsidP="00E83799">
            <w:pPr>
              <w:jc w:val="left"/>
              <w:rPr>
                <w:szCs w:val="22"/>
                <w:lang w:eastAsia="en-CA"/>
              </w:rPr>
            </w:pPr>
            <w:r w:rsidRPr="008E044D">
              <w:rPr>
                <w:szCs w:val="22"/>
                <w:lang w:eastAsia="en-CA"/>
              </w:rPr>
              <w:t>Honduras</w:t>
            </w:r>
          </w:p>
        </w:tc>
        <w:tc>
          <w:tcPr>
            <w:tcW w:w="2288" w:type="dxa"/>
            <w:tcBorders>
              <w:top w:val="nil"/>
              <w:left w:val="nil"/>
              <w:bottom w:val="single" w:sz="4" w:space="0" w:color="auto"/>
              <w:right w:val="single" w:sz="4" w:space="0" w:color="auto"/>
            </w:tcBorders>
            <w:shd w:val="clear" w:color="auto" w:fill="auto"/>
            <w:vAlign w:val="center"/>
            <w:hideMark/>
          </w:tcPr>
          <w:p w14:paraId="2547541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14:paraId="3C7242E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14:paraId="067DB9D8" w14:textId="77777777" w:rsidR="00981B76" w:rsidRPr="008E044D" w:rsidRDefault="00981B76" w:rsidP="00E83799">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204F34BD" w14:textId="77777777" w:rsidR="00981B76" w:rsidRPr="008E044D" w:rsidRDefault="00981B76" w:rsidP="00E83799">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19A70304" w14:textId="77777777" w:rsidR="00981B76" w:rsidRPr="008E044D" w:rsidRDefault="00981B76" w:rsidP="00E83799">
            <w:pPr>
              <w:ind w:right="276"/>
              <w:jc w:val="right"/>
              <w:rPr>
                <w:szCs w:val="22"/>
                <w:lang w:eastAsia="en-CA"/>
              </w:rPr>
            </w:pPr>
            <w:r w:rsidRPr="008E044D">
              <w:rPr>
                <w:szCs w:val="22"/>
                <w:lang w:eastAsia="en-CA"/>
              </w:rPr>
              <w:t>573</w:t>
            </w:r>
          </w:p>
        </w:tc>
      </w:tr>
      <w:tr w:rsidR="00981B76" w:rsidRPr="00C678EF" w14:paraId="7DC3653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2C8D0F" w14:textId="77777777" w:rsidR="00981B76" w:rsidRPr="008E044D" w:rsidRDefault="00981B76" w:rsidP="00E83799">
            <w:pPr>
              <w:jc w:val="left"/>
              <w:rPr>
                <w:szCs w:val="22"/>
                <w:lang w:eastAsia="en-CA"/>
              </w:rPr>
            </w:pPr>
            <w:r>
              <w:rPr>
                <w:szCs w:val="22"/>
                <w:lang w:eastAsia="en-CA"/>
              </w:rPr>
              <w:t>Hongrie</w:t>
            </w:r>
          </w:p>
        </w:tc>
        <w:tc>
          <w:tcPr>
            <w:tcW w:w="2288" w:type="dxa"/>
            <w:tcBorders>
              <w:top w:val="nil"/>
              <w:left w:val="nil"/>
              <w:bottom w:val="single" w:sz="4" w:space="0" w:color="auto"/>
              <w:right w:val="single" w:sz="4" w:space="0" w:color="auto"/>
            </w:tcBorders>
            <w:shd w:val="clear" w:color="auto" w:fill="auto"/>
            <w:vAlign w:val="center"/>
            <w:hideMark/>
          </w:tcPr>
          <w:p w14:paraId="232C299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161</w:t>
            </w:r>
          </w:p>
        </w:tc>
        <w:tc>
          <w:tcPr>
            <w:tcW w:w="0" w:type="auto"/>
            <w:tcBorders>
              <w:top w:val="nil"/>
              <w:left w:val="nil"/>
              <w:bottom w:val="single" w:sz="4" w:space="0" w:color="auto"/>
              <w:right w:val="single" w:sz="4" w:space="0" w:color="auto"/>
            </w:tcBorders>
            <w:shd w:val="clear" w:color="auto" w:fill="auto"/>
            <w:noWrap/>
            <w:vAlign w:val="center"/>
            <w:hideMark/>
          </w:tcPr>
          <w:p w14:paraId="7044D8C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233</w:t>
            </w:r>
          </w:p>
        </w:tc>
        <w:tc>
          <w:tcPr>
            <w:tcW w:w="0" w:type="auto"/>
            <w:tcBorders>
              <w:top w:val="nil"/>
              <w:left w:val="nil"/>
              <w:bottom w:val="single" w:sz="4" w:space="0" w:color="auto"/>
              <w:right w:val="single" w:sz="4" w:space="0" w:color="auto"/>
            </w:tcBorders>
            <w:shd w:val="clear" w:color="auto" w:fill="auto"/>
            <w:noWrap/>
            <w:vAlign w:val="center"/>
            <w:hideMark/>
          </w:tcPr>
          <w:p w14:paraId="1C3D3059"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598</w:t>
            </w:r>
          </w:p>
        </w:tc>
        <w:tc>
          <w:tcPr>
            <w:tcW w:w="0" w:type="auto"/>
            <w:tcBorders>
              <w:top w:val="nil"/>
              <w:left w:val="nil"/>
              <w:bottom w:val="single" w:sz="4" w:space="0" w:color="auto"/>
              <w:right w:val="single" w:sz="4" w:space="0" w:color="auto"/>
            </w:tcBorders>
            <w:shd w:val="clear" w:color="auto" w:fill="auto"/>
            <w:noWrap/>
            <w:vAlign w:val="center"/>
            <w:hideMark/>
          </w:tcPr>
          <w:p w14:paraId="72748917"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936</w:t>
            </w:r>
          </w:p>
        </w:tc>
        <w:tc>
          <w:tcPr>
            <w:tcW w:w="0" w:type="auto"/>
            <w:tcBorders>
              <w:top w:val="nil"/>
              <w:left w:val="nil"/>
              <w:bottom w:val="single" w:sz="4" w:space="0" w:color="auto"/>
              <w:right w:val="single" w:sz="4" w:space="0" w:color="auto"/>
            </w:tcBorders>
            <w:shd w:val="clear" w:color="auto" w:fill="auto"/>
            <w:noWrap/>
            <w:vAlign w:val="center"/>
            <w:hideMark/>
          </w:tcPr>
          <w:p w14:paraId="7BBC317C"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534</w:t>
            </w:r>
          </w:p>
        </w:tc>
      </w:tr>
      <w:tr w:rsidR="00981B76" w:rsidRPr="00C678EF" w14:paraId="543704A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FFDD3" w14:textId="77777777" w:rsidR="00981B76" w:rsidRPr="008E044D" w:rsidRDefault="00981B76" w:rsidP="00E83799">
            <w:pPr>
              <w:jc w:val="left"/>
              <w:rPr>
                <w:szCs w:val="22"/>
                <w:lang w:eastAsia="en-CA"/>
              </w:rPr>
            </w:pPr>
            <w:r>
              <w:rPr>
                <w:szCs w:val="22"/>
                <w:lang w:eastAsia="en-CA"/>
              </w:rPr>
              <w:t>Iles Marshall</w:t>
            </w:r>
          </w:p>
        </w:tc>
        <w:tc>
          <w:tcPr>
            <w:tcW w:w="2288" w:type="dxa"/>
            <w:tcBorders>
              <w:top w:val="nil"/>
              <w:left w:val="nil"/>
              <w:bottom w:val="single" w:sz="4" w:space="0" w:color="auto"/>
              <w:right w:val="single" w:sz="4" w:space="0" w:color="auto"/>
            </w:tcBorders>
            <w:shd w:val="clear" w:color="auto" w:fill="auto"/>
            <w:vAlign w:val="center"/>
            <w:hideMark/>
          </w:tcPr>
          <w:p w14:paraId="1C895CB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CB5F8B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4C13A5CD"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8CC8616"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940C0F3"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2726805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B9E3AA" w14:textId="77777777" w:rsidR="00981B76" w:rsidRPr="008E044D" w:rsidRDefault="00981B76" w:rsidP="00E83799">
            <w:pPr>
              <w:jc w:val="left"/>
              <w:rPr>
                <w:szCs w:val="22"/>
                <w:lang w:eastAsia="en-CA"/>
              </w:rPr>
            </w:pPr>
            <w:r>
              <w:rPr>
                <w:szCs w:val="22"/>
                <w:lang w:eastAsia="en-CA"/>
              </w:rPr>
              <w:t>Iles Salomon</w:t>
            </w:r>
          </w:p>
        </w:tc>
        <w:tc>
          <w:tcPr>
            <w:tcW w:w="2288" w:type="dxa"/>
            <w:tcBorders>
              <w:top w:val="nil"/>
              <w:left w:val="nil"/>
              <w:bottom w:val="single" w:sz="4" w:space="0" w:color="auto"/>
              <w:right w:val="single" w:sz="4" w:space="0" w:color="auto"/>
            </w:tcBorders>
            <w:shd w:val="clear" w:color="auto" w:fill="auto"/>
            <w:vAlign w:val="center"/>
            <w:hideMark/>
          </w:tcPr>
          <w:p w14:paraId="3F5FD3A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A47F19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150CA0C7"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080A120"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1B21043"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62F9F4A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15F3E2" w14:textId="77777777" w:rsidR="00981B76" w:rsidRPr="008E044D" w:rsidRDefault="00981B76" w:rsidP="00E83799">
            <w:pPr>
              <w:jc w:val="left"/>
              <w:rPr>
                <w:szCs w:val="22"/>
                <w:lang w:eastAsia="en-CA"/>
              </w:rPr>
            </w:pPr>
            <w:r>
              <w:rPr>
                <w:szCs w:val="22"/>
                <w:lang w:eastAsia="en-CA"/>
              </w:rPr>
              <w:t>Inde</w:t>
            </w:r>
          </w:p>
        </w:tc>
        <w:tc>
          <w:tcPr>
            <w:tcW w:w="2288" w:type="dxa"/>
            <w:tcBorders>
              <w:top w:val="nil"/>
              <w:left w:val="nil"/>
              <w:bottom w:val="single" w:sz="4" w:space="0" w:color="auto"/>
              <w:right w:val="single" w:sz="4" w:space="0" w:color="auto"/>
            </w:tcBorders>
            <w:shd w:val="clear" w:color="auto" w:fill="auto"/>
            <w:vAlign w:val="center"/>
            <w:hideMark/>
          </w:tcPr>
          <w:p w14:paraId="6439D5A7"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19C65C7C"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067</w:t>
            </w:r>
          </w:p>
        </w:tc>
        <w:tc>
          <w:tcPr>
            <w:tcW w:w="0" w:type="auto"/>
            <w:tcBorders>
              <w:top w:val="nil"/>
              <w:left w:val="nil"/>
              <w:bottom w:val="single" w:sz="4" w:space="0" w:color="auto"/>
              <w:right w:val="single" w:sz="4" w:space="0" w:color="auto"/>
            </w:tcBorders>
            <w:shd w:val="clear" w:color="auto" w:fill="auto"/>
            <w:noWrap/>
            <w:vAlign w:val="center"/>
            <w:hideMark/>
          </w:tcPr>
          <w:p w14:paraId="69D6BB57" w14:textId="77777777" w:rsidR="00981B76" w:rsidRPr="008E044D" w:rsidRDefault="00981B76" w:rsidP="00E83799">
            <w:pPr>
              <w:ind w:right="276"/>
              <w:jc w:val="right"/>
              <w:rPr>
                <w:szCs w:val="22"/>
                <w:lang w:eastAsia="en-CA"/>
              </w:rPr>
            </w:pPr>
            <w:r w:rsidRPr="008E044D">
              <w:rPr>
                <w:szCs w:val="22"/>
                <w:lang w:eastAsia="en-CA"/>
              </w:rPr>
              <w:t>25</w:t>
            </w:r>
            <w:r>
              <w:rPr>
                <w:szCs w:val="22"/>
                <w:lang w:eastAsia="en-CA"/>
              </w:rPr>
              <w:t xml:space="preserve"> </w:t>
            </w:r>
            <w:r w:rsidRPr="008E044D">
              <w:rPr>
                <w:szCs w:val="22"/>
                <w:lang w:eastAsia="en-CA"/>
              </w:rPr>
              <w:t>625</w:t>
            </w:r>
          </w:p>
        </w:tc>
        <w:tc>
          <w:tcPr>
            <w:tcW w:w="0" w:type="auto"/>
            <w:tcBorders>
              <w:top w:val="nil"/>
              <w:left w:val="nil"/>
              <w:bottom w:val="single" w:sz="4" w:space="0" w:color="auto"/>
              <w:right w:val="single" w:sz="4" w:space="0" w:color="auto"/>
            </w:tcBorders>
            <w:shd w:val="clear" w:color="auto" w:fill="auto"/>
            <w:noWrap/>
            <w:vAlign w:val="center"/>
            <w:hideMark/>
          </w:tcPr>
          <w:p w14:paraId="6DDDDE95" w14:textId="77777777" w:rsidR="00981B76" w:rsidRPr="008E044D" w:rsidRDefault="00981B76" w:rsidP="00E83799">
            <w:pPr>
              <w:ind w:right="276"/>
              <w:jc w:val="right"/>
              <w:rPr>
                <w:szCs w:val="22"/>
                <w:lang w:eastAsia="en-CA"/>
              </w:rPr>
            </w:pPr>
            <w:r w:rsidRPr="008E044D">
              <w:rPr>
                <w:szCs w:val="22"/>
                <w:lang w:eastAsia="en-CA"/>
              </w:rPr>
              <w:t>27</w:t>
            </w:r>
            <w:r>
              <w:rPr>
                <w:szCs w:val="22"/>
                <w:lang w:eastAsia="en-CA"/>
              </w:rPr>
              <w:t xml:space="preserve"> </w:t>
            </w:r>
            <w:r w:rsidRPr="008E044D">
              <w:rPr>
                <w:szCs w:val="22"/>
                <w:lang w:eastAsia="en-CA"/>
              </w:rPr>
              <w:t>173</w:t>
            </w:r>
          </w:p>
        </w:tc>
        <w:tc>
          <w:tcPr>
            <w:tcW w:w="0" w:type="auto"/>
            <w:tcBorders>
              <w:top w:val="nil"/>
              <w:left w:val="nil"/>
              <w:bottom w:val="single" w:sz="4" w:space="0" w:color="auto"/>
              <w:right w:val="single" w:sz="4" w:space="0" w:color="auto"/>
            </w:tcBorders>
            <w:shd w:val="clear" w:color="auto" w:fill="auto"/>
            <w:noWrap/>
            <w:vAlign w:val="center"/>
            <w:hideMark/>
          </w:tcPr>
          <w:p w14:paraId="73B0DC22" w14:textId="77777777" w:rsidR="00981B76" w:rsidRPr="008E044D" w:rsidRDefault="00981B76" w:rsidP="00E83799">
            <w:pPr>
              <w:ind w:right="276"/>
              <w:jc w:val="right"/>
              <w:rPr>
                <w:szCs w:val="22"/>
                <w:lang w:eastAsia="en-CA"/>
              </w:rPr>
            </w:pPr>
            <w:r w:rsidRPr="008E044D">
              <w:rPr>
                <w:szCs w:val="22"/>
                <w:lang w:eastAsia="en-CA"/>
              </w:rPr>
              <w:t>52</w:t>
            </w:r>
            <w:r>
              <w:rPr>
                <w:szCs w:val="22"/>
                <w:lang w:eastAsia="en-CA"/>
              </w:rPr>
              <w:t xml:space="preserve"> </w:t>
            </w:r>
            <w:r w:rsidRPr="008E044D">
              <w:rPr>
                <w:szCs w:val="22"/>
                <w:lang w:eastAsia="en-CA"/>
              </w:rPr>
              <w:t>797</w:t>
            </w:r>
          </w:p>
        </w:tc>
      </w:tr>
      <w:tr w:rsidR="00981B76" w:rsidRPr="00C678EF" w14:paraId="7A403BB6"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2C28C0" w14:textId="77777777" w:rsidR="00981B76" w:rsidRPr="008E044D" w:rsidRDefault="00981B76" w:rsidP="00E83799">
            <w:pPr>
              <w:jc w:val="left"/>
              <w:rPr>
                <w:szCs w:val="22"/>
                <w:lang w:eastAsia="en-CA"/>
              </w:rPr>
            </w:pPr>
            <w:r>
              <w:rPr>
                <w:szCs w:val="22"/>
                <w:lang w:eastAsia="en-CA"/>
              </w:rPr>
              <w:t>Indonésie</w:t>
            </w:r>
          </w:p>
        </w:tc>
        <w:tc>
          <w:tcPr>
            <w:tcW w:w="2288" w:type="dxa"/>
            <w:tcBorders>
              <w:top w:val="nil"/>
              <w:left w:val="nil"/>
              <w:bottom w:val="single" w:sz="4" w:space="0" w:color="auto"/>
              <w:right w:val="single" w:sz="4" w:space="0" w:color="auto"/>
            </w:tcBorders>
            <w:shd w:val="clear" w:color="auto" w:fill="auto"/>
            <w:vAlign w:val="center"/>
            <w:hideMark/>
          </w:tcPr>
          <w:p w14:paraId="7B24256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504</w:t>
            </w:r>
          </w:p>
        </w:tc>
        <w:tc>
          <w:tcPr>
            <w:tcW w:w="0" w:type="auto"/>
            <w:tcBorders>
              <w:top w:val="nil"/>
              <w:left w:val="nil"/>
              <w:bottom w:val="single" w:sz="4" w:space="0" w:color="auto"/>
              <w:right w:val="single" w:sz="4" w:space="0" w:color="auto"/>
            </w:tcBorders>
            <w:shd w:val="clear" w:color="auto" w:fill="auto"/>
            <w:noWrap/>
            <w:vAlign w:val="center"/>
            <w:hideMark/>
          </w:tcPr>
          <w:p w14:paraId="34BC414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730</w:t>
            </w:r>
          </w:p>
        </w:tc>
        <w:tc>
          <w:tcPr>
            <w:tcW w:w="0" w:type="auto"/>
            <w:tcBorders>
              <w:top w:val="nil"/>
              <w:left w:val="nil"/>
              <w:bottom w:val="single" w:sz="4" w:space="0" w:color="auto"/>
              <w:right w:val="single" w:sz="4" w:space="0" w:color="auto"/>
            </w:tcBorders>
            <w:shd w:val="clear" w:color="auto" w:fill="auto"/>
            <w:noWrap/>
            <w:vAlign w:val="center"/>
            <w:hideMark/>
          </w:tcPr>
          <w:p w14:paraId="35211EAE" w14:textId="77777777" w:rsidR="00981B76" w:rsidRPr="008E044D" w:rsidRDefault="00981B76" w:rsidP="00E83799">
            <w:pPr>
              <w:ind w:right="276"/>
              <w:jc w:val="right"/>
              <w:rPr>
                <w:szCs w:val="22"/>
                <w:lang w:eastAsia="en-CA"/>
              </w:rPr>
            </w:pPr>
            <w:r w:rsidRPr="008E044D">
              <w:rPr>
                <w:szCs w:val="22"/>
                <w:lang w:eastAsia="en-CA"/>
              </w:rPr>
              <w:t>17</w:t>
            </w:r>
            <w:r>
              <w:rPr>
                <w:szCs w:val="22"/>
                <w:lang w:eastAsia="en-CA"/>
              </w:rPr>
              <w:t xml:space="preserve"> </w:t>
            </w:r>
            <w:r w:rsidRPr="008E044D">
              <w:rPr>
                <w:szCs w:val="22"/>
                <w:lang w:eastAsia="en-CA"/>
              </w:rPr>
              <w:t>524</w:t>
            </w:r>
          </w:p>
        </w:tc>
        <w:tc>
          <w:tcPr>
            <w:tcW w:w="0" w:type="auto"/>
            <w:tcBorders>
              <w:top w:val="nil"/>
              <w:left w:val="nil"/>
              <w:bottom w:val="single" w:sz="4" w:space="0" w:color="auto"/>
              <w:right w:val="single" w:sz="4" w:space="0" w:color="auto"/>
            </w:tcBorders>
            <w:shd w:val="clear" w:color="auto" w:fill="auto"/>
            <w:noWrap/>
            <w:vAlign w:val="center"/>
            <w:hideMark/>
          </w:tcPr>
          <w:p w14:paraId="52A2C38A" w14:textId="77777777" w:rsidR="00981B76" w:rsidRPr="008E044D" w:rsidRDefault="00981B76" w:rsidP="00E83799">
            <w:pPr>
              <w:ind w:right="276"/>
              <w:jc w:val="right"/>
              <w:rPr>
                <w:szCs w:val="22"/>
                <w:lang w:eastAsia="en-CA"/>
              </w:rPr>
            </w:pPr>
            <w:r w:rsidRPr="008E044D">
              <w:rPr>
                <w:szCs w:val="22"/>
                <w:lang w:eastAsia="en-CA"/>
              </w:rPr>
              <w:t>18</w:t>
            </w:r>
            <w:r>
              <w:rPr>
                <w:szCs w:val="22"/>
                <w:lang w:eastAsia="en-CA"/>
              </w:rPr>
              <w:t xml:space="preserve"> </w:t>
            </w:r>
            <w:r w:rsidRPr="008E044D">
              <w:rPr>
                <w:szCs w:val="22"/>
                <w:lang w:eastAsia="en-CA"/>
              </w:rPr>
              <w:t>582</w:t>
            </w:r>
          </w:p>
        </w:tc>
        <w:tc>
          <w:tcPr>
            <w:tcW w:w="0" w:type="auto"/>
            <w:tcBorders>
              <w:top w:val="nil"/>
              <w:left w:val="nil"/>
              <w:bottom w:val="single" w:sz="4" w:space="0" w:color="auto"/>
              <w:right w:val="single" w:sz="4" w:space="0" w:color="auto"/>
            </w:tcBorders>
            <w:shd w:val="clear" w:color="auto" w:fill="auto"/>
            <w:noWrap/>
            <w:vAlign w:val="center"/>
            <w:hideMark/>
          </w:tcPr>
          <w:p w14:paraId="4934662A" w14:textId="77777777" w:rsidR="00981B76" w:rsidRPr="008E044D" w:rsidRDefault="00981B76" w:rsidP="00E83799">
            <w:pPr>
              <w:ind w:right="276"/>
              <w:jc w:val="right"/>
              <w:rPr>
                <w:szCs w:val="22"/>
                <w:lang w:eastAsia="en-CA"/>
              </w:rPr>
            </w:pPr>
            <w:r w:rsidRPr="008E044D">
              <w:rPr>
                <w:szCs w:val="22"/>
                <w:lang w:eastAsia="en-CA"/>
              </w:rPr>
              <w:t>36</w:t>
            </w:r>
            <w:r>
              <w:rPr>
                <w:szCs w:val="22"/>
                <w:lang w:eastAsia="en-CA"/>
              </w:rPr>
              <w:t xml:space="preserve"> </w:t>
            </w:r>
            <w:r w:rsidRPr="008E044D">
              <w:rPr>
                <w:szCs w:val="22"/>
                <w:lang w:eastAsia="en-CA"/>
              </w:rPr>
              <w:t>106</w:t>
            </w:r>
          </w:p>
        </w:tc>
      </w:tr>
      <w:tr w:rsidR="00981B76" w:rsidRPr="00C678EF" w14:paraId="3EEFC643" w14:textId="77777777" w:rsidTr="00E8379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3FA8E3" w14:textId="77777777" w:rsidR="00981B76" w:rsidRPr="008E044D" w:rsidRDefault="00981B76" w:rsidP="00E83799">
            <w:pPr>
              <w:jc w:val="left"/>
              <w:rPr>
                <w:szCs w:val="22"/>
                <w:lang w:eastAsia="en-CA"/>
              </w:rPr>
            </w:pPr>
            <w:r>
              <w:rPr>
                <w:szCs w:val="22"/>
                <w:lang w:eastAsia="en-CA"/>
              </w:rPr>
              <w:t>Irak</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5E3EB20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3FAA4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743E6E"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485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8BFD98"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8C7EF9" w14:textId="77777777" w:rsidR="00981B76" w:rsidRPr="008E044D" w:rsidRDefault="00981B76" w:rsidP="00E83799">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241</w:t>
            </w:r>
          </w:p>
        </w:tc>
      </w:tr>
      <w:tr w:rsidR="00981B76" w:rsidRPr="00C678EF" w14:paraId="4B81AF0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95CDD6" w14:textId="77777777" w:rsidR="00981B76" w:rsidRPr="008E044D" w:rsidRDefault="00981B76" w:rsidP="00E83799">
            <w:pPr>
              <w:jc w:val="left"/>
              <w:rPr>
                <w:szCs w:val="22"/>
                <w:lang w:eastAsia="en-CA"/>
              </w:rPr>
            </w:pPr>
            <w:r>
              <w:rPr>
                <w:szCs w:val="22"/>
                <w:lang w:eastAsia="en-CA"/>
              </w:rPr>
              <w:t>Iran (République islamique d’</w:t>
            </w:r>
            <w:r w:rsidRPr="008E044D">
              <w:rPr>
                <w:szCs w:val="22"/>
                <w:lang w:eastAsia="en-CA"/>
              </w:rPr>
              <w:t>)</w:t>
            </w:r>
          </w:p>
        </w:tc>
        <w:tc>
          <w:tcPr>
            <w:tcW w:w="2288" w:type="dxa"/>
            <w:tcBorders>
              <w:top w:val="nil"/>
              <w:left w:val="nil"/>
              <w:bottom w:val="single" w:sz="4" w:space="0" w:color="auto"/>
              <w:right w:val="single" w:sz="4" w:space="0" w:color="auto"/>
            </w:tcBorders>
            <w:shd w:val="clear" w:color="auto" w:fill="auto"/>
            <w:vAlign w:val="center"/>
            <w:hideMark/>
          </w:tcPr>
          <w:p w14:paraId="010647E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471</w:t>
            </w:r>
          </w:p>
        </w:tc>
        <w:tc>
          <w:tcPr>
            <w:tcW w:w="0" w:type="auto"/>
            <w:tcBorders>
              <w:top w:val="nil"/>
              <w:left w:val="nil"/>
              <w:bottom w:val="single" w:sz="4" w:space="0" w:color="auto"/>
              <w:right w:val="single" w:sz="4" w:space="0" w:color="auto"/>
            </w:tcBorders>
            <w:shd w:val="clear" w:color="auto" w:fill="auto"/>
            <w:noWrap/>
            <w:vAlign w:val="center"/>
            <w:hideMark/>
          </w:tcPr>
          <w:p w14:paraId="69008B5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682</w:t>
            </w:r>
          </w:p>
        </w:tc>
        <w:tc>
          <w:tcPr>
            <w:tcW w:w="0" w:type="auto"/>
            <w:tcBorders>
              <w:top w:val="nil"/>
              <w:left w:val="nil"/>
              <w:bottom w:val="single" w:sz="4" w:space="0" w:color="auto"/>
              <w:right w:val="single" w:sz="4" w:space="0" w:color="auto"/>
            </w:tcBorders>
            <w:shd w:val="clear" w:color="auto" w:fill="auto"/>
            <w:noWrap/>
            <w:vAlign w:val="center"/>
            <w:hideMark/>
          </w:tcPr>
          <w:p w14:paraId="54EE1ABD" w14:textId="77777777" w:rsidR="00981B76" w:rsidRPr="008E044D" w:rsidRDefault="00981B76" w:rsidP="00E83799">
            <w:pPr>
              <w:ind w:right="276"/>
              <w:jc w:val="right"/>
              <w:rPr>
                <w:szCs w:val="22"/>
                <w:lang w:eastAsia="en-CA"/>
              </w:rPr>
            </w:pPr>
            <w:r w:rsidRPr="008E044D">
              <w:rPr>
                <w:szCs w:val="22"/>
                <w:lang w:eastAsia="en-CA"/>
              </w:rPr>
              <w:t>16</w:t>
            </w:r>
            <w:r>
              <w:rPr>
                <w:szCs w:val="22"/>
                <w:lang w:eastAsia="en-CA"/>
              </w:rPr>
              <w:t xml:space="preserve"> </w:t>
            </w:r>
            <w:r w:rsidRPr="008E044D">
              <w:rPr>
                <w:szCs w:val="22"/>
                <w:lang w:eastAsia="en-CA"/>
              </w:rPr>
              <w:t>376</w:t>
            </w:r>
          </w:p>
        </w:tc>
        <w:tc>
          <w:tcPr>
            <w:tcW w:w="0" w:type="auto"/>
            <w:tcBorders>
              <w:top w:val="nil"/>
              <w:left w:val="nil"/>
              <w:bottom w:val="single" w:sz="4" w:space="0" w:color="auto"/>
              <w:right w:val="single" w:sz="4" w:space="0" w:color="auto"/>
            </w:tcBorders>
            <w:shd w:val="clear" w:color="auto" w:fill="auto"/>
            <w:noWrap/>
            <w:vAlign w:val="center"/>
            <w:hideMark/>
          </w:tcPr>
          <w:p w14:paraId="4D84A850" w14:textId="77777777" w:rsidR="00981B76" w:rsidRPr="008E044D" w:rsidRDefault="00981B76" w:rsidP="00E83799">
            <w:pPr>
              <w:ind w:right="276"/>
              <w:jc w:val="right"/>
              <w:rPr>
                <w:szCs w:val="22"/>
                <w:lang w:eastAsia="en-CA"/>
              </w:rPr>
            </w:pPr>
            <w:r w:rsidRPr="008E044D">
              <w:rPr>
                <w:szCs w:val="22"/>
                <w:lang w:eastAsia="en-CA"/>
              </w:rPr>
              <w:t>17</w:t>
            </w:r>
            <w:r>
              <w:rPr>
                <w:szCs w:val="22"/>
                <w:lang w:eastAsia="en-CA"/>
              </w:rPr>
              <w:t xml:space="preserve"> </w:t>
            </w:r>
            <w:r w:rsidRPr="008E044D">
              <w:rPr>
                <w:szCs w:val="22"/>
                <w:lang w:eastAsia="en-CA"/>
              </w:rPr>
              <w:t>365</w:t>
            </w:r>
          </w:p>
        </w:tc>
        <w:tc>
          <w:tcPr>
            <w:tcW w:w="0" w:type="auto"/>
            <w:tcBorders>
              <w:top w:val="nil"/>
              <w:left w:val="nil"/>
              <w:bottom w:val="single" w:sz="4" w:space="0" w:color="auto"/>
              <w:right w:val="single" w:sz="4" w:space="0" w:color="auto"/>
            </w:tcBorders>
            <w:shd w:val="clear" w:color="auto" w:fill="auto"/>
            <w:noWrap/>
            <w:vAlign w:val="center"/>
            <w:hideMark/>
          </w:tcPr>
          <w:p w14:paraId="7539F53A" w14:textId="77777777" w:rsidR="00981B76" w:rsidRPr="008E044D" w:rsidRDefault="00981B76" w:rsidP="00E83799">
            <w:pPr>
              <w:ind w:right="276"/>
              <w:jc w:val="right"/>
              <w:rPr>
                <w:szCs w:val="22"/>
                <w:lang w:eastAsia="en-CA"/>
              </w:rPr>
            </w:pPr>
            <w:r w:rsidRPr="008E044D">
              <w:rPr>
                <w:szCs w:val="22"/>
                <w:lang w:eastAsia="en-CA"/>
              </w:rPr>
              <w:t>33</w:t>
            </w:r>
            <w:r>
              <w:rPr>
                <w:szCs w:val="22"/>
                <w:lang w:eastAsia="en-CA"/>
              </w:rPr>
              <w:t xml:space="preserve"> </w:t>
            </w:r>
            <w:r w:rsidRPr="008E044D">
              <w:rPr>
                <w:szCs w:val="22"/>
                <w:lang w:eastAsia="en-CA"/>
              </w:rPr>
              <w:t>742</w:t>
            </w:r>
          </w:p>
        </w:tc>
      </w:tr>
      <w:tr w:rsidR="00981B76" w:rsidRPr="00C678EF" w14:paraId="4EF55B7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255EAA" w14:textId="5F7B52D0" w:rsidR="00981B76" w:rsidRPr="008E044D" w:rsidRDefault="006B2234" w:rsidP="00E83799">
            <w:pPr>
              <w:jc w:val="left"/>
              <w:rPr>
                <w:szCs w:val="22"/>
                <w:lang w:eastAsia="en-CA"/>
              </w:rPr>
            </w:pPr>
            <w:r>
              <w:rPr>
                <w:szCs w:val="22"/>
                <w:lang w:eastAsia="en-CA"/>
              </w:rPr>
              <w:t>Irlande</w:t>
            </w:r>
          </w:p>
        </w:tc>
        <w:tc>
          <w:tcPr>
            <w:tcW w:w="2288" w:type="dxa"/>
            <w:tcBorders>
              <w:top w:val="nil"/>
              <w:left w:val="nil"/>
              <w:bottom w:val="single" w:sz="4" w:space="0" w:color="auto"/>
              <w:right w:val="single" w:sz="4" w:space="0" w:color="auto"/>
            </w:tcBorders>
            <w:shd w:val="clear" w:color="auto" w:fill="auto"/>
            <w:vAlign w:val="center"/>
            <w:hideMark/>
          </w:tcPr>
          <w:p w14:paraId="39AD6A89"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335</w:t>
            </w:r>
          </w:p>
        </w:tc>
        <w:tc>
          <w:tcPr>
            <w:tcW w:w="0" w:type="auto"/>
            <w:tcBorders>
              <w:top w:val="nil"/>
              <w:left w:val="nil"/>
              <w:bottom w:val="single" w:sz="4" w:space="0" w:color="auto"/>
              <w:right w:val="single" w:sz="4" w:space="0" w:color="auto"/>
            </w:tcBorders>
            <w:shd w:val="clear" w:color="auto" w:fill="auto"/>
            <w:noWrap/>
            <w:vAlign w:val="center"/>
            <w:hideMark/>
          </w:tcPr>
          <w:p w14:paraId="4CDCEE3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485</w:t>
            </w:r>
          </w:p>
        </w:tc>
        <w:tc>
          <w:tcPr>
            <w:tcW w:w="0" w:type="auto"/>
            <w:tcBorders>
              <w:top w:val="nil"/>
              <w:left w:val="nil"/>
              <w:bottom w:val="single" w:sz="4" w:space="0" w:color="auto"/>
              <w:right w:val="single" w:sz="4" w:space="0" w:color="auto"/>
            </w:tcBorders>
            <w:shd w:val="clear" w:color="auto" w:fill="auto"/>
            <w:noWrap/>
            <w:vAlign w:val="center"/>
            <w:hideMark/>
          </w:tcPr>
          <w:p w14:paraId="52ACD6FB"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648</w:t>
            </w:r>
          </w:p>
        </w:tc>
        <w:tc>
          <w:tcPr>
            <w:tcW w:w="0" w:type="auto"/>
            <w:tcBorders>
              <w:top w:val="nil"/>
              <w:left w:val="nil"/>
              <w:bottom w:val="single" w:sz="4" w:space="0" w:color="auto"/>
              <w:right w:val="single" w:sz="4" w:space="0" w:color="auto"/>
            </w:tcBorders>
            <w:shd w:val="clear" w:color="auto" w:fill="auto"/>
            <w:noWrap/>
            <w:vAlign w:val="center"/>
            <w:hideMark/>
          </w:tcPr>
          <w:p w14:paraId="4BC02AD5" w14:textId="77777777" w:rsidR="00981B76" w:rsidRPr="008E044D" w:rsidRDefault="00981B76" w:rsidP="00E83799">
            <w:pPr>
              <w:ind w:right="276"/>
              <w:jc w:val="right"/>
              <w:rPr>
                <w:szCs w:val="22"/>
                <w:lang w:eastAsia="en-CA"/>
              </w:rPr>
            </w:pPr>
            <w:r w:rsidRPr="008E044D">
              <w:rPr>
                <w:szCs w:val="22"/>
                <w:lang w:eastAsia="en-CA"/>
              </w:rPr>
              <w:t>12</w:t>
            </w:r>
            <w:r>
              <w:rPr>
                <w:szCs w:val="22"/>
                <w:lang w:eastAsia="en-CA"/>
              </w:rPr>
              <w:t xml:space="preserve"> </w:t>
            </w:r>
            <w:r w:rsidRPr="008E044D">
              <w:rPr>
                <w:szCs w:val="22"/>
                <w:lang w:eastAsia="en-CA"/>
              </w:rPr>
              <w:t>351</w:t>
            </w:r>
          </w:p>
        </w:tc>
        <w:tc>
          <w:tcPr>
            <w:tcW w:w="0" w:type="auto"/>
            <w:tcBorders>
              <w:top w:val="nil"/>
              <w:left w:val="nil"/>
              <w:bottom w:val="single" w:sz="4" w:space="0" w:color="auto"/>
              <w:right w:val="single" w:sz="4" w:space="0" w:color="auto"/>
            </w:tcBorders>
            <w:shd w:val="clear" w:color="auto" w:fill="auto"/>
            <w:noWrap/>
            <w:vAlign w:val="center"/>
            <w:hideMark/>
          </w:tcPr>
          <w:p w14:paraId="26380A71" w14:textId="77777777" w:rsidR="00981B76" w:rsidRPr="008E044D" w:rsidRDefault="00981B76" w:rsidP="00E83799">
            <w:pPr>
              <w:ind w:right="276"/>
              <w:jc w:val="right"/>
              <w:rPr>
                <w:szCs w:val="22"/>
                <w:lang w:eastAsia="en-CA"/>
              </w:rPr>
            </w:pPr>
            <w:r w:rsidRPr="008E044D">
              <w:rPr>
                <w:szCs w:val="22"/>
                <w:lang w:eastAsia="en-CA"/>
              </w:rPr>
              <w:t>23</w:t>
            </w:r>
            <w:r>
              <w:rPr>
                <w:szCs w:val="22"/>
                <w:lang w:eastAsia="en-CA"/>
              </w:rPr>
              <w:t xml:space="preserve"> </w:t>
            </w:r>
            <w:r w:rsidRPr="008E044D">
              <w:rPr>
                <w:szCs w:val="22"/>
                <w:lang w:eastAsia="en-CA"/>
              </w:rPr>
              <w:t>999</w:t>
            </w:r>
          </w:p>
        </w:tc>
      </w:tr>
      <w:tr w:rsidR="00981B76" w:rsidRPr="00C678EF" w14:paraId="2609C86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25924" w14:textId="36129E9F" w:rsidR="00981B76" w:rsidRPr="008E044D" w:rsidRDefault="006B2234" w:rsidP="00E83799">
            <w:pPr>
              <w:jc w:val="left"/>
              <w:rPr>
                <w:szCs w:val="22"/>
                <w:lang w:eastAsia="en-CA"/>
              </w:rPr>
            </w:pPr>
            <w:r>
              <w:rPr>
                <w:szCs w:val="22"/>
                <w:lang w:eastAsia="en-CA"/>
              </w:rPr>
              <w:t>Italie</w:t>
            </w:r>
          </w:p>
        </w:tc>
        <w:tc>
          <w:tcPr>
            <w:tcW w:w="2288" w:type="dxa"/>
            <w:tcBorders>
              <w:top w:val="nil"/>
              <w:left w:val="nil"/>
              <w:bottom w:val="single" w:sz="4" w:space="0" w:color="auto"/>
              <w:right w:val="single" w:sz="4" w:space="0" w:color="auto"/>
            </w:tcBorders>
            <w:shd w:val="clear" w:color="auto" w:fill="auto"/>
            <w:vAlign w:val="center"/>
            <w:hideMark/>
          </w:tcPr>
          <w:p w14:paraId="7BE29869" w14:textId="77777777" w:rsidR="00981B76" w:rsidRPr="008E044D" w:rsidRDefault="00981B76" w:rsidP="00E83799">
            <w:pPr>
              <w:ind w:right="770"/>
              <w:jc w:val="right"/>
              <w:rPr>
                <w:szCs w:val="22"/>
                <w:lang w:eastAsia="en-CA"/>
              </w:rPr>
            </w:pPr>
            <w:r w:rsidRPr="008E044D">
              <w:rPr>
                <w:szCs w:val="22"/>
                <w:lang w:eastAsia="en-CA"/>
              </w:rPr>
              <w:t>3</w:t>
            </w:r>
            <w:r>
              <w:rPr>
                <w:szCs w:val="22"/>
                <w:lang w:eastAsia="en-CA"/>
              </w:rPr>
              <w:t>,</w:t>
            </w:r>
            <w:r w:rsidRPr="008E044D">
              <w:rPr>
                <w:szCs w:val="22"/>
                <w:lang w:eastAsia="en-CA"/>
              </w:rPr>
              <w:t>748</w:t>
            </w:r>
          </w:p>
        </w:tc>
        <w:tc>
          <w:tcPr>
            <w:tcW w:w="0" w:type="auto"/>
            <w:tcBorders>
              <w:top w:val="nil"/>
              <w:left w:val="nil"/>
              <w:bottom w:val="single" w:sz="4" w:space="0" w:color="auto"/>
              <w:right w:val="single" w:sz="4" w:space="0" w:color="auto"/>
            </w:tcBorders>
            <w:shd w:val="clear" w:color="auto" w:fill="auto"/>
            <w:noWrap/>
            <w:vAlign w:val="center"/>
            <w:hideMark/>
          </w:tcPr>
          <w:p w14:paraId="3EFDE849" w14:textId="77777777" w:rsidR="00981B76" w:rsidRPr="008E044D" w:rsidRDefault="00981B76" w:rsidP="00E83799">
            <w:pPr>
              <w:ind w:right="1144"/>
              <w:jc w:val="right"/>
              <w:rPr>
                <w:szCs w:val="22"/>
                <w:lang w:eastAsia="en-CA"/>
              </w:rPr>
            </w:pPr>
            <w:r w:rsidRPr="008E044D">
              <w:rPr>
                <w:szCs w:val="22"/>
                <w:lang w:eastAsia="en-CA"/>
              </w:rPr>
              <w:t>5</w:t>
            </w:r>
            <w:r>
              <w:rPr>
                <w:szCs w:val="22"/>
                <w:lang w:eastAsia="en-CA"/>
              </w:rPr>
              <w:t>,</w:t>
            </w:r>
            <w:r w:rsidRPr="008E044D">
              <w:rPr>
                <w:szCs w:val="22"/>
                <w:lang w:eastAsia="en-CA"/>
              </w:rPr>
              <w:t>427</w:t>
            </w:r>
          </w:p>
        </w:tc>
        <w:tc>
          <w:tcPr>
            <w:tcW w:w="0" w:type="auto"/>
            <w:tcBorders>
              <w:top w:val="nil"/>
              <w:left w:val="nil"/>
              <w:bottom w:val="single" w:sz="4" w:space="0" w:color="auto"/>
              <w:right w:val="single" w:sz="4" w:space="0" w:color="auto"/>
            </w:tcBorders>
            <w:shd w:val="clear" w:color="auto" w:fill="auto"/>
            <w:noWrap/>
            <w:vAlign w:val="center"/>
            <w:hideMark/>
          </w:tcPr>
          <w:p w14:paraId="2DC500FA" w14:textId="77777777" w:rsidR="00981B76" w:rsidRPr="008E044D" w:rsidRDefault="00981B76" w:rsidP="00E83799">
            <w:pPr>
              <w:ind w:right="276"/>
              <w:jc w:val="right"/>
              <w:rPr>
                <w:szCs w:val="22"/>
                <w:lang w:eastAsia="en-CA"/>
              </w:rPr>
            </w:pPr>
            <w:r w:rsidRPr="008E044D">
              <w:rPr>
                <w:szCs w:val="22"/>
                <w:lang w:eastAsia="en-CA"/>
              </w:rPr>
              <w:t>130</w:t>
            </w:r>
            <w:r>
              <w:rPr>
                <w:szCs w:val="22"/>
                <w:lang w:eastAsia="en-CA"/>
              </w:rPr>
              <w:t xml:space="preserve"> </w:t>
            </w:r>
            <w:r w:rsidRPr="008E044D">
              <w:rPr>
                <w:szCs w:val="22"/>
                <w:lang w:eastAsia="en-CA"/>
              </w:rPr>
              <w:t>315</w:t>
            </w:r>
          </w:p>
        </w:tc>
        <w:tc>
          <w:tcPr>
            <w:tcW w:w="0" w:type="auto"/>
            <w:tcBorders>
              <w:top w:val="nil"/>
              <w:left w:val="nil"/>
              <w:bottom w:val="single" w:sz="4" w:space="0" w:color="auto"/>
              <w:right w:val="single" w:sz="4" w:space="0" w:color="auto"/>
            </w:tcBorders>
            <w:shd w:val="clear" w:color="auto" w:fill="auto"/>
            <w:noWrap/>
            <w:vAlign w:val="center"/>
            <w:hideMark/>
          </w:tcPr>
          <w:p w14:paraId="79C34318" w14:textId="77777777" w:rsidR="00981B76" w:rsidRPr="008E044D" w:rsidRDefault="00981B76" w:rsidP="00E83799">
            <w:pPr>
              <w:ind w:right="276"/>
              <w:jc w:val="right"/>
              <w:rPr>
                <w:szCs w:val="22"/>
                <w:lang w:eastAsia="en-CA"/>
              </w:rPr>
            </w:pPr>
            <w:r w:rsidRPr="008E044D">
              <w:rPr>
                <w:szCs w:val="22"/>
                <w:lang w:eastAsia="en-CA"/>
              </w:rPr>
              <w:t>138</w:t>
            </w:r>
            <w:r>
              <w:rPr>
                <w:szCs w:val="22"/>
                <w:lang w:eastAsia="en-CA"/>
              </w:rPr>
              <w:t xml:space="preserve"> </w:t>
            </w:r>
            <w:r w:rsidRPr="008E044D">
              <w:rPr>
                <w:szCs w:val="22"/>
                <w:lang w:eastAsia="en-CA"/>
              </w:rPr>
              <w:t>186</w:t>
            </w:r>
          </w:p>
        </w:tc>
        <w:tc>
          <w:tcPr>
            <w:tcW w:w="0" w:type="auto"/>
            <w:tcBorders>
              <w:top w:val="nil"/>
              <w:left w:val="nil"/>
              <w:bottom w:val="single" w:sz="4" w:space="0" w:color="auto"/>
              <w:right w:val="single" w:sz="4" w:space="0" w:color="auto"/>
            </w:tcBorders>
            <w:shd w:val="clear" w:color="auto" w:fill="auto"/>
            <w:noWrap/>
            <w:vAlign w:val="center"/>
            <w:hideMark/>
          </w:tcPr>
          <w:p w14:paraId="52F1EC79" w14:textId="77777777" w:rsidR="00981B76" w:rsidRPr="008E044D" w:rsidRDefault="00981B76" w:rsidP="00E83799">
            <w:pPr>
              <w:ind w:right="276"/>
              <w:jc w:val="right"/>
              <w:rPr>
                <w:szCs w:val="22"/>
                <w:lang w:eastAsia="en-CA"/>
              </w:rPr>
            </w:pPr>
            <w:r w:rsidRPr="008E044D">
              <w:rPr>
                <w:szCs w:val="22"/>
                <w:lang w:eastAsia="en-CA"/>
              </w:rPr>
              <w:t>268</w:t>
            </w:r>
            <w:r>
              <w:rPr>
                <w:szCs w:val="22"/>
                <w:lang w:eastAsia="en-CA"/>
              </w:rPr>
              <w:t xml:space="preserve"> </w:t>
            </w:r>
            <w:r w:rsidRPr="008E044D">
              <w:rPr>
                <w:szCs w:val="22"/>
                <w:lang w:eastAsia="en-CA"/>
              </w:rPr>
              <w:t>501</w:t>
            </w:r>
          </w:p>
        </w:tc>
      </w:tr>
      <w:tr w:rsidR="00981B76" w:rsidRPr="00C678EF" w14:paraId="220C2A12"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B0212" w14:textId="77777777" w:rsidR="00981B76" w:rsidRPr="008E044D" w:rsidRDefault="00981B76" w:rsidP="00E83799">
            <w:pPr>
              <w:jc w:val="left"/>
              <w:rPr>
                <w:szCs w:val="22"/>
                <w:lang w:eastAsia="en-CA"/>
              </w:rPr>
            </w:pPr>
            <w:r>
              <w:rPr>
                <w:szCs w:val="22"/>
                <w:lang w:eastAsia="en-CA"/>
              </w:rPr>
              <w:t>Jamaïque</w:t>
            </w:r>
          </w:p>
        </w:tc>
        <w:tc>
          <w:tcPr>
            <w:tcW w:w="2288" w:type="dxa"/>
            <w:tcBorders>
              <w:top w:val="nil"/>
              <w:left w:val="nil"/>
              <w:bottom w:val="single" w:sz="4" w:space="0" w:color="auto"/>
              <w:right w:val="single" w:sz="4" w:space="0" w:color="auto"/>
            </w:tcBorders>
            <w:shd w:val="clear" w:color="auto" w:fill="auto"/>
            <w:vAlign w:val="center"/>
            <w:hideMark/>
          </w:tcPr>
          <w:p w14:paraId="1E6B4BC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14:paraId="1546BF9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013</w:t>
            </w:r>
          </w:p>
        </w:tc>
        <w:tc>
          <w:tcPr>
            <w:tcW w:w="0" w:type="auto"/>
            <w:tcBorders>
              <w:top w:val="nil"/>
              <w:left w:val="nil"/>
              <w:bottom w:val="single" w:sz="4" w:space="0" w:color="auto"/>
              <w:right w:val="single" w:sz="4" w:space="0" w:color="auto"/>
            </w:tcBorders>
            <w:shd w:val="clear" w:color="auto" w:fill="auto"/>
            <w:noWrap/>
            <w:vAlign w:val="center"/>
            <w:hideMark/>
          </w:tcPr>
          <w:p w14:paraId="56313429" w14:textId="77777777" w:rsidR="00981B76" w:rsidRPr="008E044D" w:rsidRDefault="00981B76" w:rsidP="00E83799">
            <w:pPr>
              <w:ind w:right="276"/>
              <w:jc w:val="right"/>
              <w:rPr>
                <w:szCs w:val="22"/>
                <w:lang w:eastAsia="en-CA"/>
              </w:rPr>
            </w:pPr>
            <w:r w:rsidRPr="008E044D">
              <w:rPr>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38AAF218" w14:textId="77777777" w:rsidR="00981B76" w:rsidRPr="008E044D" w:rsidRDefault="00981B76" w:rsidP="00E83799">
            <w:pPr>
              <w:ind w:right="276"/>
              <w:jc w:val="right"/>
              <w:rPr>
                <w:szCs w:val="22"/>
                <w:lang w:eastAsia="en-CA"/>
              </w:rPr>
            </w:pPr>
            <w:r w:rsidRPr="008E044D">
              <w:rPr>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11165D76" w14:textId="77777777" w:rsidR="00981B76" w:rsidRPr="008E044D" w:rsidRDefault="00981B76" w:rsidP="00E83799">
            <w:pPr>
              <w:ind w:right="276"/>
              <w:jc w:val="right"/>
              <w:rPr>
                <w:szCs w:val="22"/>
                <w:lang w:eastAsia="en-CA"/>
              </w:rPr>
            </w:pPr>
            <w:r w:rsidRPr="008E044D">
              <w:rPr>
                <w:szCs w:val="22"/>
                <w:lang w:eastAsia="en-CA"/>
              </w:rPr>
              <w:t>645</w:t>
            </w:r>
          </w:p>
        </w:tc>
      </w:tr>
      <w:tr w:rsidR="00981B76" w:rsidRPr="00C678EF" w14:paraId="2E4567E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6C2D7" w14:textId="77777777" w:rsidR="00981B76" w:rsidRPr="008E044D" w:rsidRDefault="00981B76" w:rsidP="00E83799">
            <w:pPr>
              <w:jc w:val="left"/>
              <w:rPr>
                <w:szCs w:val="22"/>
                <w:lang w:eastAsia="en-CA"/>
              </w:rPr>
            </w:pPr>
            <w:r>
              <w:rPr>
                <w:szCs w:val="22"/>
                <w:lang w:eastAsia="en-CA"/>
              </w:rPr>
              <w:t>Japo</w:t>
            </w:r>
            <w:r w:rsidRPr="008E044D">
              <w:rPr>
                <w:szCs w:val="22"/>
                <w:lang w:eastAsia="en-CA"/>
              </w:rPr>
              <w:t>n</w:t>
            </w:r>
          </w:p>
        </w:tc>
        <w:tc>
          <w:tcPr>
            <w:tcW w:w="2288" w:type="dxa"/>
            <w:tcBorders>
              <w:top w:val="nil"/>
              <w:left w:val="nil"/>
              <w:bottom w:val="single" w:sz="4" w:space="0" w:color="auto"/>
              <w:right w:val="single" w:sz="4" w:space="0" w:color="auto"/>
            </w:tcBorders>
            <w:shd w:val="clear" w:color="auto" w:fill="auto"/>
            <w:noWrap/>
            <w:vAlign w:val="center"/>
            <w:hideMark/>
          </w:tcPr>
          <w:p w14:paraId="495D84D3" w14:textId="77777777" w:rsidR="00981B76" w:rsidRPr="008E044D" w:rsidRDefault="00981B76" w:rsidP="00E83799">
            <w:pPr>
              <w:ind w:right="770"/>
              <w:jc w:val="right"/>
              <w:rPr>
                <w:szCs w:val="22"/>
                <w:lang w:eastAsia="en-CA"/>
              </w:rPr>
            </w:pPr>
            <w:r w:rsidRPr="008E044D">
              <w:rPr>
                <w:szCs w:val="22"/>
                <w:lang w:eastAsia="en-CA"/>
              </w:rPr>
              <w:t>9</w:t>
            </w:r>
            <w:r>
              <w:rPr>
                <w:szCs w:val="22"/>
                <w:lang w:eastAsia="en-CA"/>
              </w:rPr>
              <w:t>,</w:t>
            </w:r>
            <w:r w:rsidRPr="008E044D">
              <w:rPr>
                <w:szCs w:val="22"/>
                <w:lang w:eastAsia="en-CA"/>
              </w:rPr>
              <w:t>680</w:t>
            </w:r>
          </w:p>
        </w:tc>
        <w:tc>
          <w:tcPr>
            <w:tcW w:w="0" w:type="auto"/>
            <w:tcBorders>
              <w:top w:val="nil"/>
              <w:left w:val="nil"/>
              <w:bottom w:val="single" w:sz="4" w:space="0" w:color="auto"/>
              <w:right w:val="single" w:sz="4" w:space="0" w:color="auto"/>
            </w:tcBorders>
            <w:shd w:val="clear" w:color="auto" w:fill="auto"/>
            <w:noWrap/>
            <w:vAlign w:val="center"/>
            <w:hideMark/>
          </w:tcPr>
          <w:p w14:paraId="23BD80E0" w14:textId="77777777" w:rsidR="00981B76" w:rsidRPr="008E044D" w:rsidRDefault="00981B76" w:rsidP="00E83799">
            <w:pPr>
              <w:ind w:right="1144"/>
              <w:jc w:val="right"/>
              <w:rPr>
                <w:szCs w:val="22"/>
                <w:lang w:eastAsia="en-CA"/>
              </w:rPr>
            </w:pPr>
            <w:r w:rsidRPr="008E044D">
              <w:rPr>
                <w:szCs w:val="22"/>
                <w:lang w:eastAsia="en-CA"/>
              </w:rPr>
              <w:t>14</w:t>
            </w:r>
            <w:r>
              <w:rPr>
                <w:szCs w:val="22"/>
                <w:lang w:eastAsia="en-CA"/>
              </w:rPr>
              <w:t>,</w:t>
            </w:r>
            <w:r w:rsidRPr="008E044D">
              <w:rPr>
                <w:szCs w:val="22"/>
                <w:lang w:eastAsia="en-CA"/>
              </w:rPr>
              <w:t>016</w:t>
            </w:r>
          </w:p>
        </w:tc>
        <w:tc>
          <w:tcPr>
            <w:tcW w:w="0" w:type="auto"/>
            <w:tcBorders>
              <w:top w:val="nil"/>
              <w:left w:val="nil"/>
              <w:bottom w:val="single" w:sz="4" w:space="0" w:color="auto"/>
              <w:right w:val="single" w:sz="4" w:space="0" w:color="auto"/>
            </w:tcBorders>
            <w:shd w:val="clear" w:color="auto" w:fill="auto"/>
            <w:noWrap/>
            <w:vAlign w:val="center"/>
            <w:hideMark/>
          </w:tcPr>
          <w:p w14:paraId="3805CC45" w14:textId="77777777" w:rsidR="00981B76" w:rsidRPr="008E044D" w:rsidRDefault="00981B76" w:rsidP="00E83799">
            <w:pPr>
              <w:ind w:right="276"/>
              <w:jc w:val="right"/>
              <w:rPr>
                <w:szCs w:val="22"/>
                <w:lang w:eastAsia="en-CA"/>
              </w:rPr>
            </w:pPr>
            <w:r w:rsidRPr="008E044D">
              <w:rPr>
                <w:szCs w:val="22"/>
                <w:lang w:eastAsia="en-CA"/>
              </w:rPr>
              <w:t>336</w:t>
            </w:r>
            <w:r>
              <w:rPr>
                <w:szCs w:val="22"/>
                <w:lang w:eastAsia="en-CA"/>
              </w:rPr>
              <w:t xml:space="preserve"> </w:t>
            </w:r>
            <w:r w:rsidRPr="008E044D">
              <w:rPr>
                <w:szCs w:val="22"/>
                <w:lang w:eastAsia="en-CA"/>
              </w:rPr>
              <w:t>565</w:t>
            </w:r>
          </w:p>
        </w:tc>
        <w:tc>
          <w:tcPr>
            <w:tcW w:w="0" w:type="auto"/>
            <w:tcBorders>
              <w:top w:val="nil"/>
              <w:left w:val="nil"/>
              <w:bottom w:val="single" w:sz="4" w:space="0" w:color="auto"/>
              <w:right w:val="single" w:sz="4" w:space="0" w:color="auto"/>
            </w:tcBorders>
            <w:shd w:val="clear" w:color="auto" w:fill="auto"/>
            <w:noWrap/>
            <w:vAlign w:val="center"/>
            <w:hideMark/>
          </w:tcPr>
          <w:p w14:paraId="517A4410" w14:textId="77777777" w:rsidR="00981B76" w:rsidRPr="008E044D" w:rsidRDefault="00981B76" w:rsidP="00E83799">
            <w:pPr>
              <w:ind w:right="276"/>
              <w:jc w:val="right"/>
              <w:rPr>
                <w:szCs w:val="22"/>
                <w:lang w:eastAsia="en-CA"/>
              </w:rPr>
            </w:pPr>
            <w:r w:rsidRPr="008E044D">
              <w:rPr>
                <w:szCs w:val="22"/>
                <w:lang w:eastAsia="en-CA"/>
              </w:rPr>
              <w:t>356</w:t>
            </w:r>
            <w:r>
              <w:rPr>
                <w:szCs w:val="22"/>
                <w:lang w:eastAsia="en-CA"/>
              </w:rPr>
              <w:t xml:space="preserve"> </w:t>
            </w:r>
            <w:r w:rsidRPr="008E044D">
              <w:rPr>
                <w:szCs w:val="22"/>
                <w:lang w:eastAsia="en-CA"/>
              </w:rPr>
              <w:t>895</w:t>
            </w:r>
          </w:p>
        </w:tc>
        <w:tc>
          <w:tcPr>
            <w:tcW w:w="0" w:type="auto"/>
            <w:tcBorders>
              <w:top w:val="nil"/>
              <w:left w:val="nil"/>
              <w:bottom w:val="single" w:sz="4" w:space="0" w:color="auto"/>
              <w:right w:val="single" w:sz="4" w:space="0" w:color="auto"/>
            </w:tcBorders>
            <w:shd w:val="clear" w:color="auto" w:fill="auto"/>
            <w:noWrap/>
            <w:vAlign w:val="center"/>
            <w:hideMark/>
          </w:tcPr>
          <w:p w14:paraId="5A920136" w14:textId="77777777" w:rsidR="00981B76" w:rsidRPr="008E044D" w:rsidRDefault="00981B76" w:rsidP="00E83799">
            <w:pPr>
              <w:ind w:right="276"/>
              <w:jc w:val="right"/>
              <w:rPr>
                <w:szCs w:val="22"/>
                <w:lang w:eastAsia="en-CA"/>
              </w:rPr>
            </w:pPr>
            <w:r w:rsidRPr="008E044D">
              <w:rPr>
                <w:szCs w:val="22"/>
                <w:lang w:eastAsia="en-CA"/>
              </w:rPr>
              <w:t>693</w:t>
            </w:r>
            <w:r>
              <w:rPr>
                <w:szCs w:val="22"/>
                <w:lang w:eastAsia="en-CA"/>
              </w:rPr>
              <w:t xml:space="preserve"> </w:t>
            </w:r>
            <w:r w:rsidRPr="008E044D">
              <w:rPr>
                <w:szCs w:val="22"/>
                <w:lang w:eastAsia="en-CA"/>
              </w:rPr>
              <w:t>460</w:t>
            </w:r>
          </w:p>
        </w:tc>
      </w:tr>
      <w:tr w:rsidR="00981B76" w:rsidRPr="00C678EF" w14:paraId="312761D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B10435" w14:textId="77777777" w:rsidR="00981B76" w:rsidRPr="008E044D" w:rsidRDefault="00981B76" w:rsidP="00E83799">
            <w:pPr>
              <w:jc w:val="left"/>
              <w:rPr>
                <w:szCs w:val="22"/>
                <w:lang w:eastAsia="en-CA"/>
              </w:rPr>
            </w:pPr>
            <w:r w:rsidRPr="008E044D">
              <w:rPr>
                <w:szCs w:val="22"/>
                <w:lang w:eastAsia="en-CA"/>
              </w:rPr>
              <w:t>Jordan</w:t>
            </w:r>
            <w:r>
              <w:rPr>
                <w:szCs w:val="22"/>
                <w:lang w:eastAsia="en-CA"/>
              </w:rPr>
              <w:t>ie</w:t>
            </w:r>
          </w:p>
        </w:tc>
        <w:tc>
          <w:tcPr>
            <w:tcW w:w="2288" w:type="dxa"/>
            <w:tcBorders>
              <w:top w:val="nil"/>
              <w:left w:val="nil"/>
              <w:bottom w:val="single" w:sz="4" w:space="0" w:color="auto"/>
              <w:right w:val="single" w:sz="4" w:space="0" w:color="auto"/>
            </w:tcBorders>
            <w:shd w:val="clear" w:color="auto" w:fill="auto"/>
            <w:vAlign w:val="center"/>
            <w:hideMark/>
          </w:tcPr>
          <w:p w14:paraId="1CFB2A9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14:paraId="6A9CB0D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029</w:t>
            </w:r>
          </w:p>
        </w:tc>
        <w:tc>
          <w:tcPr>
            <w:tcW w:w="0" w:type="auto"/>
            <w:tcBorders>
              <w:top w:val="nil"/>
              <w:left w:val="nil"/>
              <w:bottom w:val="single" w:sz="4" w:space="0" w:color="auto"/>
              <w:right w:val="single" w:sz="4" w:space="0" w:color="auto"/>
            </w:tcBorders>
            <w:shd w:val="clear" w:color="auto" w:fill="auto"/>
            <w:noWrap/>
            <w:vAlign w:val="center"/>
            <w:hideMark/>
          </w:tcPr>
          <w:p w14:paraId="183878AE" w14:textId="77777777" w:rsidR="00981B76" w:rsidRPr="008E044D" w:rsidRDefault="00981B76" w:rsidP="00E83799">
            <w:pPr>
              <w:ind w:right="276"/>
              <w:jc w:val="right"/>
              <w:rPr>
                <w:szCs w:val="22"/>
                <w:lang w:eastAsia="en-CA"/>
              </w:rPr>
            </w:pPr>
            <w:r w:rsidRPr="008E044D">
              <w:rPr>
                <w:szCs w:val="22"/>
                <w:lang w:eastAsia="en-CA"/>
              </w:rPr>
              <w:t>695</w:t>
            </w:r>
          </w:p>
        </w:tc>
        <w:tc>
          <w:tcPr>
            <w:tcW w:w="0" w:type="auto"/>
            <w:tcBorders>
              <w:top w:val="nil"/>
              <w:left w:val="nil"/>
              <w:bottom w:val="single" w:sz="4" w:space="0" w:color="auto"/>
              <w:right w:val="single" w:sz="4" w:space="0" w:color="auto"/>
            </w:tcBorders>
            <w:shd w:val="clear" w:color="auto" w:fill="auto"/>
            <w:noWrap/>
            <w:vAlign w:val="center"/>
            <w:hideMark/>
          </w:tcPr>
          <w:p w14:paraId="497A5F83" w14:textId="77777777" w:rsidR="00981B76" w:rsidRPr="008E044D" w:rsidRDefault="00981B76" w:rsidP="00E83799">
            <w:pPr>
              <w:ind w:right="276"/>
              <w:jc w:val="right"/>
              <w:rPr>
                <w:szCs w:val="22"/>
                <w:lang w:eastAsia="en-CA"/>
              </w:rPr>
            </w:pP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76AEF62F"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433</w:t>
            </w:r>
          </w:p>
        </w:tc>
      </w:tr>
      <w:tr w:rsidR="00981B76" w:rsidRPr="00C678EF" w14:paraId="0718E55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E20744" w14:textId="77777777" w:rsidR="00981B76" w:rsidRPr="008E044D" w:rsidRDefault="00981B76" w:rsidP="00E83799">
            <w:pPr>
              <w:jc w:val="left"/>
              <w:rPr>
                <w:szCs w:val="22"/>
                <w:lang w:eastAsia="en-CA"/>
              </w:rPr>
            </w:pPr>
            <w:r w:rsidRPr="008E044D">
              <w:rPr>
                <w:szCs w:val="22"/>
                <w:lang w:eastAsia="en-CA"/>
              </w:rPr>
              <w:t>Kazakhstan</w:t>
            </w:r>
          </w:p>
        </w:tc>
        <w:tc>
          <w:tcPr>
            <w:tcW w:w="2288" w:type="dxa"/>
            <w:tcBorders>
              <w:top w:val="nil"/>
              <w:left w:val="nil"/>
              <w:bottom w:val="single" w:sz="4" w:space="0" w:color="auto"/>
              <w:right w:val="single" w:sz="4" w:space="0" w:color="auto"/>
            </w:tcBorders>
            <w:shd w:val="clear" w:color="auto" w:fill="auto"/>
            <w:vAlign w:val="center"/>
            <w:hideMark/>
          </w:tcPr>
          <w:p w14:paraId="503DAD72"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191</w:t>
            </w:r>
          </w:p>
        </w:tc>
        <w:tc>
          <w:tcPr>
            <w:tcW w:w="0" w:type="auto"/>
            <w:tcBorders>
              <w:top w:val="nil"/>
              <w:left w:val="nil"/>
              <w:bottom w:val="single" w:sz="4" w:space="0" w:color="auto"/>
              <w:right w:val="single" w:sz="4" w:space="0" w:color="auto"/>
            </w:tcBorders>
            <w:shd w:val="clear" w:color="auto" w:fill="auto"/>
            <w:noWrap/>
            <w:vAlign w:val="center"/>
            <w:hideMark/>
          </w:tcPr>
          <w:p w14:paraId="6933BDE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277</w:t>
            </w:r>
          </w:p>
        </w:tc>
        <w:tc>
          <w:tcPr>
            <w:tcW w:w="0" w:type="auto"/>
            <w:tcBorders>
              <w:top w:val="nil"/>
              <w:left w:val="nil"/>
              <w:bottom w:val="single" w:sz="4" w:space="0" w:color="auto"/>
              <w:right w:val="single" w:sz="4" w:space="0" w:color="auto"/>
            </w:tcBorders>
            <w:shd w:val="clear" w:color="auto" w:fill="auto"/>
            <w:noWrap/>
            <w:vAlign w:val="center"/>
            <w:hideMark/>
          </w:tcPr>
          <w:p w14:paraId="01098923" w14:textId="77777777" w:rsidR="00981B76" w:rsidRPr="008E044D" w:rsidRDefault="00981B76" w:rsidP="00E83799">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641</w:t>
            </w:r>
          </w:p>
        </w:tc>
        <w:tc>
          <w:tcPr>
            <w:tcW w:w="0" w:type="auto"/>
            <w:tcBorders>
              <w:top w:val="nil"/>
              <w:left w:val="nil"/>
              <w:bottom w:val="single" w:sz="4" w:space="0" w:color="auto"/>
              <w:right w:val="single" w:sz="4" w:space="0" w:color="auto"/>
            </w:tcBorders>
            <w:shd w:val="clear" w:color="auto" w:fill="auto"/>
            <w:noWrap/>
            <w:vAlign w:val="center"/>
            <w:hideMark/>
          </w:tcPr>
          <w:p w14:paraId="65DEAFFF" w14:textId="77777777" w:rsidR="00981B76" w:rsidRPr="008E044D" w:rsidRDefault="00981B76" w:rsidP="00E83799">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14:paraId="2B12B0E4" w14:textId="77777777" w:rsidR="00981B76" w:rsidRPr="008E044D" w:rsidRDefault="00981B76" w:rsidP="00E83799">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683</w:t>
            </w:r>
          </w:p>
        </w:tc>
      </w:tr>
      <w:tr w:rsidR="00981B76" w:rsidRPr="00C678EF" w14:paraId="4128C75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21D04E" w14:textId="77777777" w:rsidR="00981B76" w:rsidRPr="008E044D" w:rsidRDefault="00981B76" w:rsidP="00E83799">
            <w:pPr>
              <w:jc w:val="left"/>
              <w:rPr>
                <w:szCs w:val="22"/>
                <w:lang w:eastAsia="en-CA"/>
              </w:rPr>
            </w:pPr>
            <w:r w:rsidRPr="008E044D">
              <w:rPr>
                <w:szCs w:val="22"/>
                <w:lang w:eastAsia="en-CA"/>
              </w:rPr>
              <w:t>Kenya</w:t>
            </w:r>
          </w:p>
        </w:tc>
        <w:tc>
          <w:tcPr>
            <w:tcW w:w="2288" w:type="dxa"/>
            <w:tcBorders>
              <w:top w:val="nil"/>
              <w:left w:val="nil"/>
              <w:bottom w:val="single" w:sz="4" w:space="0" w:color="auto"/>
              <w:right w:val="single" w:sz="4" w:space="0" w:color="auto"/>
            </w:tcBorders>
            <w:shd w:val="clear" w:color="auto" w:fill="auto"/>
            <w:vAlign w:val="center"/>
            <w:hideMark/>
          </w:tcPr>
          <w:p w14:paraId="69411A8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018</w:t>
            </w:r>
          </w:p>
        </w:tc>
        <w:tc>
          <w:tcPr>
            <w:tcW w:w="0" w:type="auto"/>
            <w:tcBorders>
              <w:top w:val="nil"/>
              <w:left w:val="nil"/>
              <w:bottom w:val="single" w:sz="4" w:space="0" w:color="auto"/>
              <w:right w:val="single" w:sz="4" w:space="0" w:color="auto"/>
            </w:tcBorders>
            <w:shd w:val="clear" w:color="auto" w:fill="auto"/>
            <w:noWrap/>
            <w:vAlign w:val="center"/>
            <w:hideMark/>
          </w:tcPr>
          <w:p w14:paraId="01A46161"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026</w:t>
            </w:r>
          </w:p>
        </w:tc>
        <w:tc>
          <w:tcPr>
            <w:tcW w:w="0" w:type="auto"/>
            <w:tcBorders>
              <w:top w:val="nil"/>
              <w:left w:val="nil"/>
              <w:bottom w:val="single" w:sz="4" w:space="0" w:color="auto"/>
              <w:right w:val="single" w:sz="4" w:space="0" w:color="auto"/>
            </w:tcBorders>
            <w:shd w:val="clear" w:color="auto" w:fill="auto"/>
            <w:noWrap/>
            <w:vAlign w:val="center"/>
            <w:hideMark/>
          </w:tcPr>
          <w:p w14:paraId="1A3864A9" w14:textId="77777777" w:rsidR="00981B76" w:rsidRPr="008E044D" w:rsidRDefault="00981B76" w:rsidP="00E83799">
            <w:pPr>
              <w:ind w:right="276"/>
              <w:jc w:val="right"/>
              <w:rPr>
                <w:szCs w:val="22"/>
                <w:lang w:eastAsia="en-CA"/>
              </w:rPr>
            </w:pPr>
            <w:r w:rsidRPr="008E044D">
              <w:rPr>
                <w:szCs w:val="22"/>
                <w:lang w:eastAsia="en-CA"/>
              </w:rPr>
              <w:t>626</w:t>
            </w:r>
          </w:p>
        </w:tc>
        <w:tc>
          <w:tcPr>
            <w:tcW w:w="0" w:type="auto"/>
            <w:tcBorders>
              <w:top w:val="nil"/>
              <w:left w:val="nil"/>
              <w:bottom w:val="single" w:sz="4" w:space="0" w:color="auto"/>
              <w:right w:val="single" w:sz="4" w:space="0" w:color="auto"/>
            </w:tcBorders>
            <w:shd w:val="clear" w:color="auto" w:fill="auto"/>
            <w:noWrap/>
            <w:vAlign w:val="center"/>
            <w:hideMark/>
          </w:tcPr>
          <w:p w14:paraId="007A7780" w14:textId="77777777" w:rsidR="00981B76" w:rsidRPr="008E044D" w:rsidRDefault="00981B76" w:rsidP="00E83799">
            <w:pPr>
              <w:ind w:right="276"/>
              <w:jc w:val="right"/>
              <w:rPr>
                <w:szCs w:val="22"/>
                <w:lang w:eastAsia="en-CA"/>
              </w:rPr>
            </w:pPr>
            <w:r w:rsidRPr="008E044D">
              <w:rPr>
                <w:szCs w:val="22"/>
                <w:lang w:eastAsia="en-CA"/>
              </w:rPr>
              <w:t>664</w:t>
            </w:r>
          </w:p>
        </w:tc>
        <w:tc>
          <w:tcPr>
            <w:tcW w:w="0" w:type="auto"/>
            <w:tcBorders>
              <w:top w:val="nil"/>
              <w:left w:val="nil"/>
              <w:bottom w:val="single" w:sz="4" w:space="0" w:color="auto"/>
              <w:right w:val="single" w:sz="4" w:space="0" w:color="auto"/>
            </w:tcBorders>
            <w:shd w:val="clear" w:color="auto" w:fill="auto"/>
            <w:noWrap/>
            <w:vAlign w:val="center"/>
            <w:hideMark/>
          </w:tcPr>
          <w:p w14:paraId="754708C8"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289</w:t>
            </w:r>
          </w:p>
        </w:tc>
      </w:tr>
      <w:tr w:rsidR="00981B76" w:rsidRPr="00C678EF" w14:paraId="30463AD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747121" w14:textId="77777777" w:rsidR="00981B76" w:rsidRPr="008E044D" w:rsidRDefault="00981B76" w:rsidP="00E83799">
            <w:pPr>
              <w:jc w:val="left"/>
              <w:rPr>
                <w:szCs w:val="22"/>
                <w:lang w:eastAsia="en-CA"/>
              </w:rPr>
            </w:pPr>
            <w:r w:rsidRPr="008E044D">
              <w:rPr>
                <w:szCs w:val="22"/>
                <w:lang w:eastAsia="en-CA"/>
              </w:rPr>
              <w:t>Kiribati</w:t>
            </w:r>
          </w:p>
        </w:tc>
        <w:tc>
          <w:tcPr>
            <w:tcW w:w="2288" w:type="dxa"/>
            <w:tcBorders>
              <w:top w:val="nil"/>
              <w:left w:val="nil"/>
              <w:bottom w:val="single" w:sz="4" w:space="0" w:color="auto"/>
              <w:right w:val="single" w:sz="4" w:space="0" w:color="auto"/>
            </w:tcBorders>
            <w:shd w:val="clear" w:color="auto" w:fill="auto"/>
            <w:vAlign w:val="center"/>
            <w:hideMark/>
          </w:tcPr>
          <w:p w14:paraId="1224E9F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D31511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800084A"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44AD62D"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6074747"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4FD9D6D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C5853" w14:textId="77777777" w:rsidR="00981B76" w:rsidRPr="008E044D" w:rsidRDefault="00981B76" w:rsidP="00E83799">
            <w:pPr>
              <w:jc w:val="left"/>
              <w:rPr>
                <w:szCs w:val="22"/>
                <w:lang w:eastAsia="en-CA"/>
              </w:rPr>
            </w:pPr>
            <w:r>
              <w:rPr>
                <w:szCs w:val="22"/>
                <w:lang w:eastAsia="en-CA"/>
              </w:rPr>
              <w:t>Koweï</w:t>
            </w:r>
            <w:r w:rsidRPr="008E044D">
              <w:rPr>
                <w:szCs w:val="22"/>
                <w:lang w:eastAsia="en-CA"/>
              </w:rPr>
              <w:t>t</w:t>
            </w:r>
          </w:p>
        </w:tc>
        <w:tc>
          <w:tcPr>
            <w:tcW w:w="2288" w:type="dxa"/>
            <w:tcBorders>
              <w:top w:val="nil"/>
              <w:left w:val="nil"/>
              <w:bottom w:val="single" w:sz="4" w:space="0" w:color="auto"/>
              <w:right w:val="single" w:sz="4" w:space="0" w:color="auto"/>
            </w:tcBorders>
            <w:shd w:val="clear" w:color="auto" w:fill="auto"/>
            <w:vAlign w:val="center"/>
            <w:hideMark/>
          </w:tcPr>
          <w:p w14:paraId="38E5123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285</w:t>
            </w:r>
          </w:p>
        </w:tc>
        <w:tc>
          <w:tcPr>
            <w:tcW w:w="0" w:type="auto"/>
            <w:tcBorders>
              <w:top w:val="nil"/>
              <w:left w:val="nil"/>
              <w:bottom w:val="single" w:sz="4" w:space="0" w:color="auto"/>
              <w:right w:val="single" w:sz="4" w:space="0" w:color="auto"/>
            </w:tcBorders>
            <w:shd w:val="clear" w:color="auto" w:fill="auto"/>
            <w:noWrap/>
            <w:vAlign w:val="center"/>
            <w:hideMark/>
          </w:tcPr>
          <w:p w14:paraId="46F7917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413</w:t>
            </w:r>
          </w:p>
        </w:tc>
        <w:tc>
          <w:tcPr>
            <w:tcW w:w="0" w:type="auto"/>
            <w:tcBorders>
              <w:top w:val="nil"/>
              <w:left w:val="nil"/>
              <w:bottom w:val="single" w:sz="4" w:space="0" w:color="auto"/>
              <w:right w:val="single" w:sz="4" w:space="0" w:color="auto"/>
            </w:tcBorders>
            <w:shd w:val="clear" w:color="auto" w:fill="auto"/>
            <w:noWrap/>
            <w:vAlign w:val="center"/>
            <w:hideMark/>
          </w:tcPr>
          <w:p w14:paraId="2293FD10" w14:textId="77777777" w:rsidR="00981B76" w:rsidRPr="008E044D" w:rsidRDefault="00981B76" w:rsidP="00E83799">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909</w:t>
            </w:r>
          </w:p>
        </w:tc>
        <w:tc>
          <w:tcPr>
            <w:tcW w:w="0" w:type="auto"/>
            <w:tcBorders>
              <w:top w:val="nil"/>
              <w:left w:val="nil"/>
              <w:bottom w:val="single" w:sz="4" w:space="0" w:color="auto"/>
              <w:right w:val="single" w:sz="4" w:space="0" w:color="auto"/>
            </w:tcBorders>
            <w:shd w:val="clear" w:color="auto" w:fill="auto"/>
            <w:noWrap/>
            <w:vAlign w:val="center"/>
            <w:hideMark/>
          </w:tcPr>
          <w:p w14:paraId="22601433" w14:textId="77777777" w:rsidR="00981B76" w:rsidRPr="008E044D" w:rsidRDefault="00981B76" w:rsidP="00E83799">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508</w:t>
            </w:r>
          </w:p>
        </w:tc>
        <w:tc>
          <w:tcPr>
            <w:tcW w:w="0" w:type="auto"/>
            <w:tcBorders>
              <w:top w:val="nil"/>
              <w:left w:val="nil"/>
              <w:bottom w:val="single" w:sz="4" w:space="0" w:color="auto"/>
              <w:right w:val="single" w:sz="4" w:space="0" w:color="auto"/>
            </w:tcBorders>
            <w:shd w:val="clear" w:color="auto" w:fill="auto"/>
            <w:noWrap/>
            <w:vAlign w:val="center"/>
            <w:hideMark/>
          </w:tcPr>
          <w:p w14:paraId="5AF3A3A5" w14:textId="77777777" w:rsidR="00981B76" w:rsidRPr="008E044D" w:rsidRDefault="00981B76" w:rsidP="00E83799">
            <w:pPr>
              <w:ind w:right="276"/>
              <w:jc w:val="right"/>
              <w:rPr>
                <w:szCs w:val="22"/>
                <w:lang w:eastAsia="en-CA"/>
              </w:rPr>
            </w:pPr>
            <w:r w:rsidRPr="008E044D">
              <w:rPr>
                <w:szCs w:val="22"/>
                <w:lang w:eastAsia="en-CA"/>
              </w:rPr>
              <w:t>20</w:t>
            </w:r>
            <w:r>
              <w:rPr>
                <w:szCs w:val="22"/>
                <w:lang w:eastAsia="en-CA"/>
              </w:rPr>
              <w:t xml:space="preserve"> </w:t>
            </w:r>
            <w:r w:rsidRPr="008E044D">
              <w:rPr>
                <w:szCs w:val="22"/>
                <w:lang w:eastAsia="en-CA"/>
              </w:rPr>
              <w:t>417</w:t>
            </w:r>
          </w:p>
        </w:tc>
      </w:tr>
      <w:tr w:rsidR="00981B76" w:rsidRPr="00C678EF" w14:paraId="4A7EF72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3F781" w14:textId="77777777" w:rsidR="00981B76" w:rsidRPr="008E044D" w:rsidRDefault="00981B76" w:rsidP="00E83799">
            <w:pPr>
              <w:jc w:val="left"/>
              <w:rPr>
                <w:szCs w:val="22"/>
                <w:lang w:eastAsia="en-CA"/>
              </w:rPr>
            </w:pPr>
            <w:r>
              <w:rPr>
                <w:szCs w:val="22"/>
                <w:lang w:eastAsia="en-CA"/>
              </w:rPr>
              <w:t>Ki</w:t>
            </w:r>
            <w:r w:rsidRPr="008E044D">
              <w:rPr>
                <w:szCs w:val="22"/>
                <w:lang w:eastAsia="en-CA"/>
              </w:rPr>
              <w:t>rg</w:t>
            </w:r>
            <w:r>
              <w:rPr>
                <w:szCs w:val="22"/>
                <w:lang w:eastAsia="en-CA"/>
              </w:rPr>
              <w:t>hi</w:t>
            </w:r>
            <w:r w:rsidRPr="008E044D">
              <w:rPr>
                <w:szCs w:val="22"/>
                <w:lang w:eastAsia="en-CA"/>
              </w:rPr>
              <w:t>z</w:t>
            </w:r>
            <w:r>
              <w:rPr>
                <w:szCs w:val="22"/>
                <w:lang w:eastAsia="en-CA"/>
              </w:rPr>
              <w:t>i</w:t>
            </w:r>
            <w:r w:rsidRPr="008E044D">
              <w:rPr>
                <w:szCs w:val="22"/>
                <w:lang w:eastAsia="en-CA"/>
              </w:rPr>
              <w:t>stan</w:t>
            </w:r>
          </w:p>
        </w:tc>
        <w:tc>
          <w:tcPr>
            <w:tcW w:w="2288" w:type="dxa"/>
            <w:tcBorders>
              <w:top w:val="nil"/>
              <w:left w:val="nil"/>
              <w:bottom w:val="single" w:sz="4" w:space="0" w:color="auto"/>
              <w:right w:val="single" w:sz="4" w:space="0" w:color="auto"/>
            </w:tcBorders>
            <w:shd w:val="clear" w:color="auto" w:fill="auto"/>
            <w:vAlign w:val="center"/>
            <w:hideMark/>
          </w:tcPr>
          <w:p w14:paraId="600B044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21B0E24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19E68622"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3BB477E1"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567CF0E"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16A356B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DD1779" w14:textId="77777777" w:rsidR="00981B76" w:rsidRPr="008E044D" w:rsidRDefault="00981B76" w:rsidP="00E83799">
            <w:pPr>
              <w:jc w:val="left"/>
              <w:rPr>
                <w:szCs w:val="22"/>
                <w:lang w:eastAsia="en-CA"/>
              </w:rPr>
            </w:pPr>
            <w:r w:rsidRPr="008E044D">
              <w:rPr>
                <w:szCs w:val="22"/>
                <w:lang w:eastAsia="en-CA"/>
              </w:rPr>
              <w:t>Lesotho</w:t>
            </w:r>
          </w:p>
        </w:tc>
        <w:tc>
          <w:tcPr>
            <w:tcW w:w="2288" w:type="dxa"/>
            <w:tcBorders>
              <w:top w:val="nil"/>
              <w:left w:val="nil"/>
              <w:bottom w:val="single" w:sz="4" w:space="0" w:color="auto"/>
              <w:right w:val="single" w:sz="4" w:space="0" w:color="auto"/>
            </w:tcBorders>
            <w:shd w:val="clear" w:color="auto" w:fill="auto"/>
            <w:vAlign w:val="center"/>
            <w:hideMark/>
          </w:tcPr>
          <w:p w14:paraId="53DA312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49DA2B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E77A9EE"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FBF07DF"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E9DCBE1"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2438D93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42C4D6" w14:textId="77777777" w:rsidR="00981B76" w:rsidRPr="008E044D" w:rsidRDefault="00981B76" w:rsidP="00E83799">
            <w:pPr>
              <w:jc w:val="left"/>
              <w:rPr>
                <w:szCs w:val="22"/>
                <w:lang w:eastAsia="en-CA"/>
              </w:rPr>
            </w:pPr>
            <w:r>
              <w:rPr>
                <w:szCs w:val="22"/>
                <w:lang w:eastAsia="en-CA"/>
              </w:rPr>
              <w:t>Lettonie</w:t>
            </w:r>
          </w:p>
        </w:tc>
        <w:tc>
          <w:tcPr>
            <w:tcW w:w="2288" w:type="dxa"/>
            <w:tcBorders>
              <w:top w:val="nil"/>
              <w:left w:val="nil"/>
              <w:bottom w:val="single" w:sz="4" w:space="0" w:color="auto"/>
              <w:right w:val="single" w:sz="4" w:space="0" w:color="auto"/>
            </w:tcBorders>
            <w:shd w:val="clear" w:color="auto" w:fill="auto"/>
            <w:vAlign w:val="center"/>
            <w:hideMark/>
          </w:tcPr>
          <w:p w14:paraId="0386001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050</w:t>
            </w:r>
          </w:p>
        </w:tc>
        <w:tc>
          <w:tcPr>
            <w:tcW w:w="0" w:type="auto"/>
            <w:tcBorders>
              <w:top w:val="nil"/>
              <w:left w:val="nil"/>
              <w:bottom w:val="single" w:sz="4" w:space="0" w:color="auto"/>
              <w:right w:val="single" w:sz="4" w:space="0" w:color="auto"/>
            </w:tcBorders>
            <w:shd w:val="clear" w:color="auto" w:fill="auto"/>
            <w:noWrap/>
            <w:vAlign w:val="center"/>
            <w:hideMark/>
          </w:tcPr>
          <w:p w14:paraId="46BF1F1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072</w:t>
            </w:r>
          </w:p>
        </w:tc>
        <w:tc>
          <w:tcPr>
            <w:tcW w:w="0" w:type="auto"/>
            <w:tcBorders>
              <w:top w:val="nil"/>
              <w:left w:val="nil"/>
              <w:bottom w:val="single" w:sz="4" w:space="0" w:color="auto"/>
              <w:right w:val="single" w:sz="4" w:space="0" w:color="auto"/>
            </w:tcBorders>
            <w:shd w:val="clear" w:color="auto" w:fill="auto"/>
            <w:noWrap/>
            <w:vAlign w:val="center"/>
            <w:hideMark/>
          </w:tcPr>
          <w:p w14:paraId="2D199FC9"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738</w:t>
            </w:r>
          </w:p>
        </w:tc>
        <w:tc>
          <w:tcPr>
            <w:tcW w:w="0" w:type="auto"/>
            <w:tcBorders>
              <w:top w:val="nil"/>
              <w:left w:val="nil"/>
              <w:bottom w:val="single" w:sz="4" w:space="0" w:color="auto"/>
              <w:right w:val="single" w:sz="4" w:space="0" w:color="auto"/>
            </w:tcBorders>
            <w:shd w:val="clear" w:color="auto" w:fill="auto"/>
            <w:noWrap/>
            <w:vAlign w:val="center"/>
            <w:hideMark/>
          </w:tcPr>
          <w:p w14:paraId="4B13AC59"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843</w:t>
            </w:r>
          </w:p>
        </w:tc>
        <w:tc>
          <w:tcPr>
            <w:tcW w:w="0" w:type="auto"/>
            <w:tcBorders>
              <w:top w:val="nil"/>
              <w:left w:val="nil"/>
              <w:bottom w:val="single" w:sz="4" w:space="0" w:color="auto"/>
              <w:right w:val="single" w:sz="4" w:space="0" w:color="auto"/>
            </w:tcBorders>
            <w:shd w:val="clear" w:color="auto" w:fill="auto"/>
            <w:noWrap/>
            <w:vAlign w:val="center"/>
            <w:hideMark/>
          </w:tcPr>
          <w:p w14:paraId="4CC7B35D"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582</w:t>
            </w:r>
          </w:p>
        </w:tc>
      </w:tr>
      <w:tr w:rsidR="00981B76" w:rsidRPr="00C678EF" w14:paraId="0308389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F2ECED" w14:textId="77777777" w:rsidR="00981B76" w:rsidRPr="008E044D" w:rsidRDefault="00981B76" w:rsidP="00E83799">
            <w:pPr>
              <w:jc w:val="left"/>
              <w:rPr>
                <w:szCs w:val="22"/>
                <w:lang w:eastAsia="en-CA"/>
              </w:rPr>
            </w:pPr>
            <w:r>
              <w:rPr>
                <w:szCs w:val="22"/>
                <w:lang w:eastAsia="en-CA"/>
              </w:rPr>
              <w:lastRenderedPageBreak/>
              <w:t>Liban</w:t>
            </w:r>
          </w:p>
        </w:tc>
        <w:tc>
          <w:tcPr>
            <w:tcW w:w="2288" w:type="dxa"/>
            <w:tcBorders>
              <w:top w:val="nil"/>
              <w:left w:val="nil"/>
              <w:bottom w:val="single" w:sz="4" w:space="0" w:color="auto"/>
              <w:right w:val="single" w:sz="4" w:space="0" w:color="auto"/>
            </w:tcBorders>
            <w:shd w:val="clear" w:color="auto" w:fill="auto"/>
            <w:vAlign w:val="center"/>
            <w:hideMark/>
          </w:tcPr>
          <w:p w14:paraId="09780BE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046</w:t>
            </w:r>
          </w:p>
        </w:tc>
        <w:tc>
          <w:tcPr>
            <w:tcW w:w="0" w:type="auto"/>
            <w:tcBorders>
              <w:top w:val="nil"/>
              <w:left w:val="nil"/>
              <w:bottom w:val="single" w:sz="4" w:space="0" w:color="auto"/>
              <w:right w:val="single" w:sz="4" w:space="0" w:color="auto"/>
            </w:tcBorders>
            <w:shd w:val="clear" w:color="auto" w:fill="auto"/>
            <w:noWrap/>
            <w:vAlign w:val="center"/>
            <w:hideMark/>
          </w:tcPr>
          <w:p w14:paraId="5D6E560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067</w:t>
            </w:r>
          </w:p>
        </w:tc>
        <w:tc>
          <w:tcPr>
            <w:tcW w:w="0" w:type="auto"/>
            <w:tcBorders>
              <w:top w:val="nil"/>
              <w:left w:val="nil"/>
              <w:bottom w:val="single" w:sz="4" w:space="0" w:color="auto"/>
              <w:right w:val="single" w:sz="4" w:space="0" w:color="auto"/>
            </w:tcBorders>
            <w:shd w:val="clear" w:color="auto" w:fill="auto"/>
            <w:noWrap/>
            <w:vAlign w:val="center"/>
            <w:hideMark/>
          </w:tcPr>
          <w:p w14:paraId="6CE7C0C1"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599</w:t>
            </w:r>
          </w:p>
        </w:tc>
        <w:tc>
          <w:tcPr>
            <w:tcW w:w="0" w:type="auto"/>
            <w:tcBorders>
              <w:top w:val="nil"/>
              <w:left w:val="nil"/>
              <w:bottom w:val="single" w:sz="4" w:space="0" w:color="auto"/>
              <w:right w:val="single" w:sz="4" w:space="0" w:color="auto"/>
            </w:tcBorders>
            <w:shd w:val="clear" w:color="auto" w:fill="auto"/>
            <w:noWrap/>
            <w:vAlign w:val="center"/>
            <w:hideMark/>
          </w:tcPr>
          <w:p w14:paraId="11DAA760"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696</w:t>
            </w:r>
          </w:p>
        </w:tc>
        <w:tc>
          <w:tcPr>
            <w:tcW w:w="0" w:type="auto"/>
            <w:tcBorders>
              <w:top w:val="nil"/>
              <w:left w:val="nil"/>
              <w:bottom w:val="single" w:sz="4" w:space="0" w:color="auto"/>
              <w:right w:val="single" w:sz="4" w:space="0" w:color="auto"/>
            </w:tcBorders>
            <w:shd w:val="clear" w:color="auto" w:fill="auto"/>
            <w:noWrap/>
            <w:vAlign w:val="center"/>
            <w:hideMark/>
          </w:tcPr>
          <w:p w14:paraId="0C53B9B6"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295</w:t>
            </w:r>
          </w:p>
        </w:tc>
      </w:tr>
      <w:tr w:rsidR="00981B76" w:rsidRPr="00C678EF" w14:paraId="3CA4DC4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E9DB0" w14:textId="77777777" w:rsidR="00981B76" w:rsidRPr="008E044D" w:rsidRDefault="00981B76" w:rsidP="00E83799">
            <w:pPr>
              <w:jc w:val="left"/>
              <w:rPr>
                <w:szCs w:val="22"/>
                <w:lang w:eastAsia="en-CA"/>
              </w:rPr>
            </w:pPr>
            <w:r>
              <w:rPr>
                <w:szCs w:val="22"/>
                <w:lang w:eastAsia="en-CA"/>
              </w:rPr>
              <w:t>Libé</w:t>
            </w:r>
            <w:r w:rsidRPr="008E044D">
              <w:rPr>
                <w:szCs w:val="22"/>
                <w:lang w:eastAsia="en-CA"/>
              </w:rPr>
              <w:t>ria</w:t>
            </w:r>
          </w:p>
        </w:tc>
        <w:tc>
          <w:tcPr>
            <w:tcW w:w="2288" w:type="dxa"/>
            <w:tcBorders>
              <w:top w:val="nil"/>
              <w:left w:val="nil"/>
              <w:bottom w:val="single" w:sz="4" w:space="0" w:color="auto"/>
              <w:right w:val="single" w:sz="4" w:space="0" w:color="auto"/>
            </w:tcBorders>
            <w:shd w:val="clear" w:color="auto" w:fill="auto"/>
            <w:vAlign w:val="center"/>
            <w:hideMark/>
          </w:tcPr>
          <w:p w14:paraId="47A45DA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7AAA69E"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8C6BD09"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B4EE09B"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C0B6815"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24085AE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A43451" w14:textId="77777777" w:rsidR="00981B76" w:rsidRPr="008E044D" w:rsidRDefault="00981B76" w:rsidP="00E83799">
            <w:pPr>
              <w:jc w:val="left"/>
              <w:rPr>
                <w:szCs w:val="22"/>
                <w:lang w:eastAsia="en-CA"/>
              </w:rPr>
            </w:pPr>
            <w:r>
              <w:rPr>
                <w:szCs w:val="22"/>
                <w:lang w:eastAsia="en-CA"/>
              </w:rPr>
              <w:t>Libye</w:t>
            </w:r>
          </w:p>
        </w:tc>
        <w:tc>
          <w:tcPr>
            <w:tcW w:w="2288" w:type="dxa"/>
            <w:tcBorders>
              <w:top w:val="nil"/>
              <w:left w:val="nil"/>
              <w:bottom w:val="single" w:sz="4" w:space="0" w:color="auto"/>
              <w:right w:val="single" w:sz="4" w:space="0" w:color="auto"/>
            </w:tcBorders>
            <w:shd w:val="clear" w:color="auto" w:fill="auto"/>
            <w:vAlign w:val="center"/>
            <w:hideMark/>
          </w:tcPr>
          <w:p w14:paraId="0577BFB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125</w:t>
            </w:r>
          </w:p>
        </w:tc>
        <w:tc>
          <w:tcPr>
            <w:tcW w:w="0" w:type="auto"/>
            <w:tcBorders>
              <w:top w:val="nil"/>
              <w:left w:val="nil"/>
              <w:bottom w:val="single" w:sz="4" w:space="0" w:color="auto"/>
              <w:right w:val="single" w:sz="4" w:space="0" w:color="auto"/>
            </w:tcBorders>
            <w:shd w:val="clear" w:color="auto" w:fill="auto"/>
            <w:noWrap/>
            <w:vAlign w:val="center"/>
            <w:hideMark/>
          </w:tcPr>
          <w:p w14:paraId="5E01F950"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181</w:t>
            </w:r>
          </w:p>
        </w:tc>
        <w:tc>
          <w:tcPr>
            <w:tcW w:w="0" w:type="auto"/>
            <w:tcBorders>
              <w:top w:val="nil"/>
              <w:left w:val="nil"/>
              <w:bottom w:val="single" w:sz="4" w:space="0" w:color="auto"/>
              <w:right w:val="single" w:sz="4" w:space="0" w:color="auto"/>
            </w:tcBorders>
            <w:shd w:val="clear" w:color="auto" w:fill="auto"/>
            <w:noWrap/>
            <w:vAlign w:val="center"/>
            <w:hideMark/>
          </w:tcPr>
          <w:p w14:paraId="0CC65040"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346</w:t>
            </w:r>
          </w:p>
        </w:tc>
        <w:tc>
          <w:tcPr>
            <w:tcW w:w="0" w:type="auto"/>
            <w:tcBorders>
              <w:top w:val="nil"/>
              <w:left w:val="nil"/>
              <w:bottom w:val="single" w:sz="4" w:space="0" w:color="auto"/>
              <w:right w:val="single" w:sz="4" w:space="0" w:color="auto"/>
            </w:tcBorders>
            <w:shd w:val="clear" w:color="auto" w:fill="auto"/>
            <w:noWrap/>
            <w:vAlign w:val="center"/>
            <w:hideMark/>
          </w:tcPr>
          <w:p w14:paraId="2F016717"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609</w:t>
            </w:r>
          </w:p>
        </w:tc>
        <w:tc>
          <w:tcPr>
            <w:tcW w:w="0" w:type="auto"/>
            <w:tcBorders>
              <w:top w:val="nil"/>
              <w:left w:val="nil"/>
              <w:bottom w:val="single" w:sz="4" w:space="0" w:color="auto"/>
              <w:right w:val="single" w:sz="4" w:space="0" w:color="auto"/>
            </w:tcBorders>
            <w:shd w:val="clear" w:color="auto" w:fill="auto"/>
            <w:noWrap/>
            <w:vAlign w:val="center"/>
            <w:hideMark/>
          </w:tcPr>
          <w:p w14:paraId="63DCADE7" w14:textId="77777777" w:rsidR="00981B76" w:rsidRPr="008E044D" w:rsidRDefault="00981B76" w:rsidP="00E83799">
            <w:pPr>
              <w:ind w:right="276"/>
              <w:jc w:val="right"/>
              <w:rPr>
                <w:szCs w:val="22"/>
                <w:lang w:eastAsia="en-CA"/>
              </w:rPr>
            </w:pPr>
            <w:r w:rsidRPr="008E044D">
              <w:rPr>
                <w:szCs w:val="22"/>
                <w:lang w:eastAsia="en-CA"/>
              </w:rPr>
              <w:t>8</w:t>
            </w:r>
            <w:r>
              <w:rPr>
                <w:szCs w:val="22"/>
                <w:lang w:eastAsia="en-CA"/>
              </w:rPr>
              <w:t xml:space="preserve"> </w:t>
            </w:r>
            <w:r w:rsidRPr="008E044D">
              <w:rPr>
                <w:szCs w:val="22"/>
                <w:lang w:eastAsia="en-CA"/>
              </w:rPr>
              <w:t>955</w:t>
            </w:r>
          </w:p>
        </w:tc>
      </w:tr>
      <w:tr w:rsidR="00981B76" w:rsidRPr="00C678EF" w14:paraId="5961960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9302B0" w14:textId="77777777" w:rsidR="00981B76" w:rsidRPr="008E044D" w:rsidRDefault="00981B76" w:rsidP="00E83799">
            <w:pPr>
              <w:jc w:val="left"/>
              <w:rPr>
                <w:szCs w:val="22"/>
                <w:lang w:eastAsia="en-CA"/>
              </w:rPr>
            </w:pPr>
            <w:r>
              <w:rPr>
                <w:szCs w:val="22"/>
                <w:lang w:eastAsia="en-CA"/>
              </w:rPr>
              <w:t>Lituanie</w:t>
            </w:r>
          </w:p>
        </w:tc>
        <w:tc>
          <w:tcPr>
            <w:tcW w:w="2288" w:type="dxa"/>
            <w:tcBorders>
              <w:top w:val="nil"/>
              <w:left w:val="nil"/>
              <w:bottom w:val="single" w:sz="4" w:space="0" w:color="auto"/>
              <w:right w:val="single" w:sz="4" w:space="0" w:color="auto"/>
            </w:tcBorders>
            <w:shd w:val="clear" w:color="auto" w:fill="auto"/>
            <w:vAlign w:val="center"/>
            <w:hideMark/>
          </w:tcPr>
          <w:p w14:paraId="75DB066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072</w:t>
            </w:r>
          </w:p>
        </w:tc>
        <w:tc>
          <w:tcPr>
            <w:tcW w:w="0" w:type="auto"/>
            <w:tcBorders>
              <w:top w:val="nil"/>
              <w:left w:val="nil"/>
              <w:bottom w:val="single" w:sz="4" w:space="0" w:color="auto"/>
              <w:right w:val="single" w:sz="4" w:space="0" w:color="auto"/>
            </w:tcBorders>
            <w:shd w:val="clear" w:color="auto" w:fill="auto"/>
            <w:noWrap/>
            <w:vAlign w:val="center"/>
            <w:hideMark/>
          </w:tcPr>
          <w:p w14:paraId="6E92AAC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0BADDDF9"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503</w:t>
            </w:r>
          </w:p>
        </w:tc>
        <w:tc>
          <w:tcPr>
            <w:tcW w:w="0" w:type="auto"/>
            <w:tcBorders>
              <w:top w:val="nil"/>
              <w:left w:val="nil"/>
              <w:bottom w:val="single" w:sz="4" w:space="0" w:color="auto"/>
              <w:right w:val="single" w:sz="4" w:space="0" w:color="auto"/>
            </w:tcBorders>
            <w:shd w:val="clear" w:color="auto" w:fill="auto"/>
            <w:noWrap/>
            <w:vAlign w:val="center"/>
            <w:hideMark/>
          </w:tcPr>
          <w:p w14:paraId="282958EC"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655</w:t>
            </w:r>
          </w:p>
        </w:tc>
        <w:tc>
          <w:tcPr>
            <w:tcW w:w="0" w:type="auto"/>
            <w:tcBorders>
              <w:top w:val="nil"/>
              <w:left w:val="nil"/>
              <w:bottom w:val="single" w:sz="4" w:space="0" w:color="auto"/>
              <w:right w:val="single" w:sz="4" w:space="0" w:color="auto"/>
            </w:tcBorders>
            <w:shd w:val="clear" w:color="auto" w:fill="auto"/>
            <w:noWrap/>
            <w:vAlign w:val="center"/>
            <w:hideMark/>
          </w:tcPr>
          <w:p w14:paraId="554529CE"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158</w:t>
            </w:r>
          </w:p>
        </w:tc>
      </w:tr>
      <w:tr w:rsidR="00981B76" w:rsidRPr="00C678EF" w14:paraId="71DB997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594B7" w14:textId="7F4EC244" w:rsidR="00981B76" w:rsidRPr="008E044D" w:rsidRDefault="006B2234" w:rsidP="00E83799">
            <w:pPr>
              <w:jc w:val="left"/>
              <w:rPr>
                <w:szCs w:val="22"/>
                <w:lang w:eastAsia="en-CA"/>
              </w:rPr>
            </w:pPr>
            <w:r>
              <w:rPr>
                <w:szCs w:val="22"/>
                <w:lang w:eastAsia="en-CA"/>
              </w:rPr>
              <w:t>Luxembourg</w:t>
            </w:r>
          </w:p>
        </w:tc>
        <w:tc>
          <w:tcPr>
            <w:tcW w:w="2288" w:type="dxa"/>
            <w:tcBorders>
              <w:top w:val="nil"/>
              <w:left w:val="nil"/>
              <w:bottom w:val="single" w:sz="4" w:space="0" w:color="auto"/>
              <w:right w:val="single" w:sz="4" w:space="0" w:color="auto"/>
            </w:tcBorders>
            <w:shd w:val="clear" w:color="auto" w:fill="auto"/>
            <w:vAlign w:val="center"/>
            <w:hideMark/>
          </w:tcPr>
          <w:p w14:paraId="29E6E1D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064</w:t>
            </w:r>
          </w:p>
        </w:tc>
        <w:tc>
          <w:tcPr>
            <w:tcW w:w="0" w:type="auto"/>
            <w:tcBorders>
              <w:top w:val="nil"/>
              <w:left w:val="nil"/>
              <w:bottom w:val="single" w:sz="4" w:space="0" w:color="auto"/>
              <w:right w:val="single" w:sz="4" w:space="0" w:color="auto"/>
            </w:tcBorders>
            <w:shd w:val="clear" w:color="auto" w:fill="auto"/>
            <w:noWrap/>
            <w:vAlign w:val="center"/>
            <w:hideMark/>
          </w:tcPr>
          <w:p w14:paraId="1973834D"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093</w:t>
            </w:r>
          </w:p>
        </w:tc>
        <w:tc>
          <w:tcPr>
            <w:tcW w:w="0" w:type="auto"/>
            <w:tcBorders>
              <w:top w:val="nil"/>
              <w:left w:val="nil"/>
              <w:bottom w:val="single" w:sz="4" w:space="0" w:color="auto"/>
              <w:right w:val="single" w:sz="4" w:space="0" w:color="auto"/>
            </w:tcBorders>
            <w:shd w:val="clear" w:color="auto" w:fill="auto"/>
            <w:noWrap/>
            <w:vAlign w:val="center"/>
            <w:hideMark/>
          </w:tcPr>
          <w:p w14:paraId="7F80D44C"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225</w:t>
            </w:r>
          </w:p>
        </w:tc>
        <w:tc>
          <w:tcPr>
            <w:tcW w:w="0" w:type="auto"/>
            <w:tcBorders>
              <w:top w:val="nil"/>
              <w:left w:val="nil"/>
              <w:bottom w:val="single" w:sz="4" w:space="0" w:color="auto"/>
              <w:right w:val="single" w:sz="4" w:space="0" w:color="auto"/>
            </w:tcBorders>
            <w:shd w:val="clear" w:color="auto" w:fill="auto"/>
            <w:noWrap/>
            <w:vAlign w:val="center"/>
            <w:hideMark/>
          </w:tcPr>
          <w:p w14:paraId="0C5D51B6"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360</w:t>
            </w:r>
          </w:p>
        </w:tc>
        <w:tc>
          <w:tcPr>
            <w:tcW w:w="0" w:type="auto"/>
            <w:tcBorders>
              <w:top w:val="nil"/>
              <w:left w:val="nil"/>
              <w:bottom w:val="single" w:sz="4" w:space="0" w:color="auto"/>
              <w:right w:val="single" w:sz="4" w:space="0" w:color="auto"/>
            </w:tcBorders>
            <w:shd w:val="clear" w:color="auto" w:fill="auto"/>
            <w:noWrap/>
            <w:vAlign w:val="center"/>
            <w:hideMark/>
          </w:tcPr>
          <w:p w14:paraId="73146E62"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585</w:t>
            </w:r>
          </w:p>
        </w:tc>
      </w:tr>
      <w:tr w:rsidR="00981B76" w:rsidRPr="00C678EF" w14:paraId="3B94A84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A5700" w14:textId="77777777" w:rsidR="00981B76" w:rsidRPr="008E044D" w:rsidRDefault="00981B76" w:rsidP="00E83799">
            <w:pPr>
              <w:jc w:val="left"/>
              <w:rPr>
                <w:szCs w:val="22"/>
                <w:lang w:eastAsia="en-CA"/>
              </w:rPr>
            </w:pPr>
            <w:r w:rsidRPr="008E044D">
              <w:rPr>
                <w:szCs w:val="22"/>
                <w:lang w:eastAsia="en-CA"/>
              </w:rPr>
              <w:t>Madagascar</w:t>
            </w:r>
          </w:p>
        </w:tc>
        <w:tc>
          <w:tcPr>
            <w:tcW w:w="2288" w:type="dxa"/>
            <w:tcBorders>
              <w:top w:val="nil"/>
              <w:left w:val="nil"/>
              <w:bottom w:val="single" w:sz="4" w:space="0" w:color="auto"/>
              <w:right w:val="single" w:sz="4" w:space="0" w:color="auto"/>
            </w:tcBorders>
            <w:shd w:val="clear" w:color="auto" w:fill="auto"/>
            <w:vAlign w:val="center"/>
            <w:hideMark/>
          </w:tcPr>
          <w:p w14:paraId="0C08517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362A6AD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1450C84B" w14:textId="77777777" w:rsidR="00981B76" w:rsidRPr="008E044D" w:rsidRDefault="00981B76" w:rsidP="00E83799">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7A209C17" w14:textId="77777777" w:rsidR="00981B76" w:rsidRPr="008E044D" w:rsidRDefault="00981B76" w:rsidP="00E83799">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50111D0F" w14:textId="77777777" w:rsidR="00981B76" w:rsidRPr="008E044D" w:rsidRDefault="00981B76" w:rsidP="00E83799">
            <w:pPr>
              <w:ind w:right="276"/>
              <w:jc w:val="right"/>
              <w:rPr>
                <w:szCs w:val="22"/>
                <w:lang w:eastAsia="en-CA"/>
              </w:rPr>
            </w:pPr>
            <w:r w:rsidRPr="008E044D">
              <w:rPr>
                <w:szCs w:val="22"/>
                <w:lang w:eastAsia="en-CA"/>
              </w:rPr>
              <w:t>215</w:t>
            </w:r>
          </w:p>
        </w:tc>
      </w:tr>
      <w:tr w:rsidR="00981B76" w:rsidRPr="00C678EF" w14:paraId="0F1C745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8B835" w14:textId="77777777" w:rsidR="00981B76" w:rsidRPr="008E044D" w:rsidRDefault="00981B76" w:rsidP="00E83799">
            <w:pPr>
              <w:jc w:val="left"/>
              <w:rPr>
                <w:szCs w:val="22"/>
                <w:lang w:eastAsia="en-CA"/>
              </w:rPr>
            </w:pPr>
            <w:r>
              <w:rPr>
                <w:szCs w:val="22"/>
                <w:lang w:eastAsia="en-CA"/>
              </w:rPr>
              <w:t>Malaisie</w:t>
            </w:r>
          </w:p>
        </w:tc>
        <w:tc>
          <w:tcPr>
            <w:tcW w:w="2288" w:type="dxa"/>
            <w:tcBorders>
              <w:top w:val="nil"/>
              <w:left w:val="nil"/>
              <w:bottom w:val="single" w:sz="4" w:space="0" w:color="auto"/>
              <w:right w:val="single" w:sz="4" w:space="0" w:color="auto"/>
            </w:tcBorders>
            <w:shd w:val="clear" w:color="auto" w:fill="auto"/>
            <w:vAlign w:val="center"/>
            <w:hideMark/>
          </w:tcPr>
          <w:p w14:paraId="568FB23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322</w:t>
            </w:r>
          </w:p>
        </w:tc>
        <w:tc>
          <w:tcPr>
            <w:tcW w:w="0" w:type="auto"/>
            <w:tcBorders>
              <w:top w:val="nil"/>
              <w:left w:val="nil"/>
              <w:bottom w:val="single" w:sz="4" w:space="0" w:color="auto"/>
              <w:right w:val="single" w:sz="4" w:space="0" w:color="auto"/>
            </w:tcBorders>
            <w:shd w:val="clear" w:color="auto" w:fill="auto"/>
            <w:noWrap/>
            <w:vAlign w:val="center"/>
            <w:hideMark/>
          </w:tcPr>
          <w:p w14:paraId="61B5474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466</w:t>
            </w:r>
          </w:p>
        </w:tc>
        <w:tc>
          <w:tcPr>
            <w:tcW w:w="0" w:type="auto"/>
            <w:tcBorders>
              <w:top w:val="nil"/>
              <w:left w:val="nil"/>
              <w:bottom w:val="single" w:sz="4" w:space="0" w:color="auto"/>
              <w:right w:val="single" w:sz="4" w:space="0" w:color="auto"/>
            </w:tcBorders>
            <w:shd w:val="clear" w:color="auto" w:fill="auto"/>
            <w:noWrap/>
            <w:vAlign w:val="center"/>
            <w:hideMark/>
          </w:tcPr>
          <w:p w14:paraId="027BE0A3"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196</w:t>
            </w:r>
          </w:p>
        </w:tc>
        <w:tc>
          <w:tcPr>
            <w:tcW w:w="0" w:type="auto"/>
            <w:tcBorders>
              <w:top w:val="nil"/>
              <w:left w:val="nil"/>
              <w:bottom w:val="single" w:sz="4" w:space="0" w:color="auto"/>
              <w:right w:val="single" w:sz="4" w:space="0" w:color="auto"/>
            </w:tcBorders>
            <w:shd w:val="clear" w:color="auto" w:fill="auto"/>
            <w:noWrap/>
            <w:vAlign w:val="center"/>
            <w:hideMark/>
          </w:tcPr>
          <w:p w14:paraId="65657407"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872</w:t>
            </w:r>
          </w:p>
        </w:tc>
        <w:tc>
          <w:tcPr>
            <w:tcW w:w="0" w:type="auto"/>
            <w:tcBorders>
              <w:top w:val="nil"/>
              <w:left w:val="nil"/>
              <w:bottom w:val="single" w:sz="4" w:space="0" w:color="auto"/>
              <w:right w:val="single" w:sz="4" w:space="0" w:color="auto"/>
            </w:tcBorders>
            <w:shd w:val="clear" w:color="auto" w:fill="auto"/>
            <w:noWrap/>
            <w:vAlign w:val="center"/>
            <w:hideMark/>
          </w:tcPr>
          <w:p w14:paraId="00210DD6" w14:textId="77777777" w:rsidR="00981B76" w:rsidRPr="008E044D" w:rsidRDefault="00981B76" w:rsidP="00E83799">
            <w:pPr>
              <w:ind w:right="276"/>
              <w:jc w:val="right"/>
              <w:rPr>
                <w:szCs w:val="22"/>
                <w:lang w:eastAsia="en-CA"/>
              </w:rPr>
            </w:pPr>
            <w:r w:rsidRPr="008E044D">
              <w:rPr>
                <w:szCs w:val="22"/>
                <w:lang w:eastAsia="en-CA"/>
              </w:rPr>
              <w:t>23</w:t>
            </w:r>
            <w:r>
              <w:rPr>
                <w:szCs w:val="22"/>
                <w:lang w:eastAsia="en-CA"/>
              </w:rPr>
              <w:t xml:space="preserve"> </w:t>
            </w:r>
            <w:r w:rsidRPr="008E044D">
              <w:rPr>
                <w:szCs w:val="22"/>
                <w:lang w:eastAsia="en-CA"/>
              </w:rPr>
              <w:t>068</w:t>
            </w:r>
          </w:p>
        </w:tc>
      </w:tr>
      <w:tr w:rsidR="00981B76" w:rsidRPr="00C678EF" w14:paraId="7E65794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A78D16" w14:textId="77777777" w:rsidR="00981B76" w:rsidRPr="008E044D" w:rsidRDefault="00981B76" w:rsidP="00E83799">
            <w:pPr>
              <w:jc w:val="left"/>
              <w:rPr>
                <w:szCs w:val="22"/>
                <w:lang w:eastAsia="en-CA"/>
              </w:rPr>
            </w:pPr>
            <w:r w:rsidRPr="008E044D">
              <w:rPr>
                <w:szCs w:val="22"/>
                <w:lang w:eastAsia="en-CA"/>
              </w:rPr>
              <w:t>Malawi</w:t>
            </w:r>
          </w:p>
        </w:tc>
        <w:tc>
          <w:tcPr>
            <w:tcW w:w="2288" w:type="dxa"/>
            <w:tcBorders>
              <w:top w:val="nil"/>
              <w:left w:val="nil"/>
              <w:bottom w:val="single" w:sz="4" w:space="0" w:color="auto"/>
              <w:right w:val="single" w:sz="4" w:space="0" w:color="auto"/>
            </w:tcBorders>
            <w:shd w:val="clear" w:color="auto" w:fill="auto"/>
            <w:vAlign w:val="center"/>
            <w:hideMark/>
          </w:tcPr>
          <w:p w14:paraId="23DC73A5"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5B4D472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3EAF5E36"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68BE1C8D"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605A2C61"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1C7A6D7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EB66AD" w14:textId="77777777" w:rsidR="00981B76" w:rsidRPr="008E044D" w:rsidRDefault="00981B76" w:rsidP="00E83799">
            <w:pPr>
              <w:jc w:val="left"/>
              <w:rPr>
                <w:szCs w:val="22"/>
                <w:lang w:eastAsia="en-CA"/>
              </w:rPr>
            </w:pPr>
            <w:r w:rsidRPr="008E044D">
              <w:rPr>
                <w:szCs w:val="22"/>
                <w:lang w:eastAsia="en-CA"/>
              </w:rPr>
              <w:t>Maldives</w:t>
            </w:r>
          </w:p>
        </w:tc>
        <w:tc>
          <w:tcPr>
            <w:tcW w:w="2288" w:type="dxa"/>
            <w:tcBorders>
              <w:top w:val="nil"/>
              <w:left w:val="nil"/>
              <w:bottom w:val="single" w:sz="4" w:space="0" w:color="auto"/>
              <w:right w:val="single" w:sz="4" w:space="0" w:color="auto"/>
            </w:tcBorders>
            <w:shd w:val="clear" w:color="auto" w:fill="auto"/>
            <w:vAlign w:val="center"/>
            <w:hideMark/>
          </w:tcPr>
          <w:p w14:paraId="02CEBD5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50415DF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76BE6D2C"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26F3AC8"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02EBFA3"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0CEB349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54C62" w14:textId="77777777" w:rsidR="00981B76" w:rsidRPr="008E044D" w:rsidRDefault="00981B76" w:rsidP="00E83799">
            <w:pPr>
              <w:jc w:val="left"/>
              <w:rPr>
                <w:szCs w:val="22"/>
                <w:lang w:eastAsia="en-CA"/>
              </w:rPr>
            </w:pPr>
            <w:r w:rsidRPr="008E044D">
              <w:rPr>
                <w:szCs w:val="22"/>
                <w:lang w:eastAsia="en-CA"/>
              </w:rPr>
              <w:t>Mali</w:t>
            </w:r>
          </w:p>
        </w:tc>
        <w:tc>
          <w:tcPr>
            <w:tcW w:w="2288" w:type="dxa"/>
            <w:tcBorders>
              <w:top w:val="nil"/>
              <w:left w:val="nil"/>
              <w:bottom w:val="single" w:sz="4" w:space="0" w:color="auto"/>
              <w:right w:val="single" w:sz="4" w:space="0" w:color="auto"/>
            </w:tcBorders>
            <w:shd w:val="clear" w:color="auto" w:fill="auto"/>
            <w:vAlign w:val="center"/>
            <w:hideMark/>
          </w:tcPr>
          <w:p w14:paraId="6F1007F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550F848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4F5CD0A4" w14:textId="77777777" w:rsidR="00981B76" w:rsidRPr="008E044D" w:rsidRDefault="00981B76" w:rsidP="00E83799">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36BCFEFE" w14:textId="77777777" w:rsidR="00981B76" w:rsidRPr="008E044D" w:rsidRDefault="00981B76" w:rsidP="00E83799">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0B8F20D5" w14:textId="77777777" w:rsidR="00981B76" w:rsidRPr="008E044D" w:rsidRDefault="00981B76" w:rsidP="00E83799">
            <w:pPr>
              <w:ind w:right="276"/>
              <w:jc w:val="right"/>
              <w:rPr>
                <w:szCs w:val="22"/>
                <w:lang w:eastAsia="en-CA"/>
              </w:rPr>
            </w:pPr>
            <w:r w:rsidRPr="008E044D">
              <w:rPr>
                <w:szCs w:val="22"/>
                <w:lang w:eastAsia="en-CA"/>
              </w:rPr>
              <w:t>215</w:t>
            </w:r>
          </w:p>
        </w:tc>
      </w:tr>
      <w:tr w:rsidR="00981B76" w:rsidRPr="00C678EF" w14:paraId="56BE5FE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D5AF3" w14:textId="77777777" w:rsidR="00981B76" w:rsidRPr="008E044D" w:rsidRDefault="00981B76" w:rsidP="00E83799">
            <w:pPr>
              <w:jc w:val="left"/>
              <w:rPr>
                <w:szCs w:val="22"/>
                <w:lang w:eastAsia="en-CA"/>
              </w:rPr>
            </w:pPr>
            <w:r>
              <w:rPr>
                <w:szCs w:val="22"/>
                <w:lang w:eastAsia="en-CA"/>
              </w:rPr>
              <w:t>Malte</w:t>
            </w:r>
          </w:p>
        </w:tc>
        <w:tc>
          <w:tcPr>
            <w:tcW w:w="2288" w:type="dxa"/>
            <w:tcBorders>
              <w:top w:val="nil"/>
              <w:left w:val="nil"/>
              <w:bottom w:val="single" w:sz="4" w:space="0" w:color="auto"/>
              <w:right w:val="single" w:sz="4" w:space="0" w:color="auto"/>
            </w:tcBorders>
            <w:shd w:val="clear" w:color="auto" w:fill="auto"/>
            <w:vAlign w:val="center"/>
            <w:hideMark/>
          </w:tcPr>
          <w:p w14:paraId="50A6EAC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016</w:t>
            </w:r>
          </w:p>
        </w:tc>
        <w:tc>
          <w:tcPr>
            <w:tcW w:w="0" w:type="auto"/>
            <w:tcBorders>
              <w:top w:val="nil"/>
              <w:left w:val="nil"/>
              <w:bottom w:val="single" w:sz="4" w:space="0" w:color="auto"/>
              <w:right w:val="single" w:sz="4" w:space="0" w:color="auto"/>
            </w:tcBorders>
            <w:shd w:val="clear" w:color="auto" w:fill="auto"/>
            <w:noWrap/>
            <w:vAlign w:val="center"/>
            <w:hideMark/>
          </w:tcPr>
          <w:p w14:paraId="2E8AA21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023</w:t>
            </w:r>
          </w:p>
        </w:tc>
        <w:tc>
          <w:tcPr>
            <w:tcW w:w="0" w:type="auto"/>
            <w:tcBorders>
              <w:top w:val="nil"/>
              <w:left w:val="nil"/>
              <w:bottom w:val="single" w:sz="4" w:space="0" w:color="auto"/>
              <w:right w:val="single" w:sz="4" w:space="0" w:color="auto"/>
            </w:tcBorders>
            <w:shd w:val="clear" w:color="auto" w:fill="auto"/>
            <w:noWrap/>
            <w:vAlign w:val="center"/>
            <w:hideMark/>
          </w:tcPr>
          <w:p w14:paraId="17797AF1" w14:textId="77777777" w:rsidR="00981B76" w:rsidRPr="008E044D" w:rsidRDefault="00981B76" w:rsidP="00E83799">
            <w:pPr>
              <w:ind w:right="276"/>
              <w:jc w:val="right"/>
              <w:rPr>
                <w:szCs w:val="22"/>
                <w:lang w:eastAsia="en-CA"/>
              </w:rPr>
            </w:pPr>
            <w:r w:rsidRPr="008E044D">
              <w:rPr>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2A6E2B92" w14:textId="77777777" w:rsidR="00981B76" w:rsidRPr="008E044D" w:rsidRDefault="00981B76" w:rsidP="00E83799">
            <w:pPr>
              <w:ind w:right="276"/>
              <w:jc w:val="right"/>
              <w:rPr>
                <w:szCs w:val="22"/>
                <w:lang w:eastAsia="en-CA"/>
              </w:rPr>
            </w:pPr>
            <w:r w:rsidRPr="008E044D">
              <w:rPr>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5F8A4678"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146</w:t>
            </w:r>
          </w:p>
        </w:tc>
      </w:tr>
      <w:tr w:rsidR="00981B76" w:rsidRPr="00C678EF" w14:paraId="181FA54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219DA" w14:textId="77777777" w:rsidR="00981B76" w:rsidRPr="008E044D" w:rsidRDefault="00981B76" w:rsidP="00E83799">
            <w:pPr>
              <w:jc w:val="left"/>
              <w:rPr>
                <w:szCs w:val="22"/>
                <w:lang w:eastAsia="en-CA"/>
              </w:rPr>
            </w:pPr>
            <w:r>
              <w:rPr>
                <w:szCs w:val="22"/>
                <w:lang w:eastAsia="en-CA"/>
              </w:rPr>
              <w:t>Maroc</w:t>
            </w:r>
          </w:p>
        </w:tc>
        <w:tc>
          <w:tcPr>
            <w:tcW w:w="2288" w:type="dxa"/>
            <w:tcBorders>
              <w:top w:val="nil"/>
              <w:left w:val="nil"/>
              <w:bottom w:val="single" w:sz="4" w:space="0" w:color="auto"/>
              <w:right w:val="single" w:sz="4" w:space="0" w:color="auto"/>
            </w:tcBorders>
            <w:shd w:val="clear" w:color="auto" w:fill="auto"/>
            <w:vAlign w:val="center"/>
            <w:hideMark/>
          </w:tcPr>
          <w:p w14:paraId="1456A07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054</w:t>
            </w:r>
          </w:p>
        </w:tc>
        <w:tc>
          <w:tcPr>
            <w:tcW w:w="0" w:type="auto"/>
            <w:tcBorders>
              <w:top w:val="nil"/>
              <w:left w:val="nil"/>
              <w:bottom w:val="single" w:sz="4" w:space="0" w:color="auto"/>
              <w:right w:val="single" w:sz="4" w:space="0" w:color="auto"/>
            </w:tcBorders>
            <w:shd w:val="clear" w:color="auto" w:fill="auto"/>
            <w:noWrap/>
            <w:vAlign w:val="center"/>
            <w:hideMark/>
          </w:tcPr>
          <w:p w14:paraId="5A5751D1"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078</w:t>
            </w:r>
          </w:p>
        </w:tc>
        <w:tc>
          <w:tcPr>
            <w:tcW w:w="0" w:type="auto"/>
            <w:tcBorders>
              <w:top w:val="nil"/>
              <w:left w:val="nil"/>
              <w:bottom w:val="single" w:sz="4" w:space="0" w:color="auto"/>
              <w:right w:val="single" w:sz="4" w:space="0" w:color="auto"/>
            </w:tcBorders>
            <w:shd w:val="clear" w:color="auto" w:fill="auto"/>
            <w:noWrap/>
            <w:vAlign w:val="center"/>
            <w:hideMark/>
          </w:tcPr>
          <w:p w14:paraId="62EAB589"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878</w:t>
            </w:r>
          </w:p>
        </w:tc>
        <w:tc>
          <w:tcPr>
            <w:tcW w:w="0" w:type="auto"/>
            <w:tcBorders>
              <w:top w:val="nil"/>
              <w:left w:val="nil"/>
              <w:bottom w:val="single" w:sz="4" w:space="0" w:color="auto"/>
              <w:right w:val="single" w:sz="4" w:space="0" w:color="auto"/>
            </w:tcBorders>
            <w:shd w:val="clear" w:color="auto" w:fill="auto"/>
            <w:noWrap/>
            <w:vAlign w:val="center"/>
            <w:hideMark/>
          </w:tcPr>
          <w:p w14:paraId="61433736"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991</w:t>
            </w:r>
          </w:p>
        </w:tc>
        <w:tc>
          <w:tcPr>
            <w:tcW w:w="0" w:type="auto"/>
            <w:tcBorders>
              <w:top w:val="nil"/>
              <w:left w:val="nil"/>
              <w:bottom w:val="single" w:sz="4" w:space="0" w:color="auto"/>
              <w:right w:val="single" w:sz="4" w:space="0" w:color="auto"/>
            </w:tcBorders>
            <w:shd w:val="clear" w:color="auto" w:fill="auto"/>
            <w:noWrap/>
            <w:vAlign w:val="center"/>
            <w:hideMark/>
          </w:tcPr>
          <w:p w14:paraId="6AAA08C7"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868</w:t>
            </w:r>
          </w:p>
        </w:tc>
      </w:tr>
      <w:tr w:rsidR="00981B76" w:rsidRPr="00C678EF" w14:paraId="3E8FD1D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4F069" w14:textId="77777777" w:rsidR="00981B76" w:rsidRPr="008E044D" w:rsidRDefault="00981B76" w:rsidP="00E83799">
            <w:pPr>
              <w:jc w:val="left"/>
              <w:rPr>
                <w:szCs w:val="22"/>
                <w:lang w:eastAsia="en-CA"/>
              </w:rPr>
            </w:pPr>
            <w:r>
              <w:rPr>
                <w:szCs w:val="22"/>
                <w:lang w:eastAsia="en-CA"/>
              </w:rPr>
              <w:t>Maurice</w:t>
            </w:r>
          </w:p>
        </w:tc>
        <w:tc>
          <w:tcPr>
            <w:tcW w:w="2288" w:type="dxa"/>
            <w:tcBorders>
              <w:top w:val="nil"/>
              <w:left w:val="nil"/>
              <w:bottom w:val="single" w:sz="4" w:space="0" w:color="auto"/>
              <w:right w:val="single" w:sz="4" w:space="0" w:color="auto"/>
            </w:tcBorders>
            <w:shd w:val="clear" w:color="auto" w:fill="auto"/>
            <w:vAlign w:val="center"/>
            <w:hideMark/>
          </w:tcPr>
          <w:p w14:paraId="6B57AE87"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14:paraId="1DCF6EB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14:paraId="39D69408" w14:textId="77777777" w:rsidR="00981B76" w:rsidRPr="008E044D" w:rsidRDefault="00981B76" w:rsidP="00E83799">
            <w:pPr>
              <w:ind w:right="276"/>
              <w:jc w:val="right"/>
              <w:rPr>
                <w:szCs w:val="22"/>
                <w:lang w:eastAsia="en-CA"/>
              </w:rPr>
            </w:pPr>
            <w:r w:rsidRPr="008E044D">
              <w:rPr>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77F9C9EC" w14:textId="77777777" w:rsidR="00981B76" w:rsidRPr="008E044D" w:rsidRDefault="00981B76" w:rsidP="00E83799">
            <w:pPr>
              <w:ind w:right="276"/>
              <w:jc w:val="right"/>
              <w:rPr>
                <w:szCs w:val="22"/>
                <w:lang w:eastAsia="en-CA"/>
              </w:rPr>
            </w:pP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44C46CD4" w14:textId="77777777" w:rsidR="00981B76" w:rsidRPr="008E044D" w:rsidRDefault="00981B76" w:rsidP="00E83799">
            <w:pPr>
              <w:ind w:right="276"/>
              <w:jc w:val="right"/>
              <w:rPr>
                <w:szCs w:val="22"/>
                <w:lang w:eastAsia="en-CA"/>
              </w:rPr>
            </w:pPr>
            <w:r w:rsidRPr="008E044D">
              <w:rPr>
                <w:szCs w:val="22"/>
                <w:lang w:eastAsia="en-CA"/>
              </w:rPr>
              <w:t>860</w:t>
            </w:r>
          </w:p>
        </w:tc>
      </w:tr>
      <w:tr w:rsidR="00981B76" w:rsidRPr="00C678EF" w14:paraId="316DA799" w14:textId="77777777" w:rsidTr="00E8379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72E4C0" w14:textId="77777777" w:rsidR="00981B76" w:rsidRPr="008E044D" w:rsidRDefault="00981B76" w:rsidP="00E83799">
            <w:pPr>
              <w:jc w:val="left"/>
              <w:rPr>
                <w:szCs w:val="22"/>
                <w:lang w:eastAsia="en-CA"/>
              </w:rPr>
            </w:pPr>
            <w:r>
              <w:rPr>
                <w:szCs w:val="22"/>
                <w:lang w:eastAsia="en-CA"/>
              </w:rPr>
              <w:t>Mauritanie</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8BE6EF2"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B3018D"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4F2436"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2D08FA"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BE4519"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6A790126"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C3786A" w14:textId="3E10FDE8" w:rsidR="00981B76" w:rsidRPr="008E044D" w:rsidRDefault="006B2234" w:rsidP="00E83799">
            <w:pPr>
              <w:jc w:val="left"/>
              <w:rPr>
                <w:szCs w:val="22"/>
                <w:lang w:eastAsia="en-CA"/>
              </w:rPr>
            </w:pPr>
            <w:r>
              <w:rPr>
                <w:szCs w:val="22"/>
                <w:lang w:eastAsia="en-CA"/>
              </w:rPr>
              <w:t>Mexique</w:t>
            </w:r>
          </w:p>
        </w:tc>
        <w:tc>
          <w:tcPr>
            <w:tcW w:w="2288" w:type="dxa"/>
            <w:tcBorders>
              <w:top w:val="nil"/>
              <w:left w:val="nil"/>
              <w:bottom w:val="single" w:sz="4" w:space="0" w:color="auto"/>
              <w:right w:val="single" w:sz="4" w:space="0" w:color="auto"/>
            </w:tcBorders>
            <w:shd w:val="clear" w:color="auto" w:fill="auto"/>
            <w:vAlign w:val="center"/>
            <w:hideMark/>
          </w:tcPr>
          <w:p w14:paraId="23EF6090" w14:textId="77777777" w:rsidR="00981B76" w:rsidRPr="008E044D" w:rsidRDefault="00981B76" w:rsidP="00E83799">
            <w:pPr>
              <w:ind w:right="770"/>
              <w:jc w:val="right"/>
              <w:rPr>
                <w:szCs w:val="22"/>
                <w:lang w:eastAsia="en-CA"/>
              </w:rPr>
            </w:pPr>
            <w:r w:rsidRPr="008E044D">
              <w:rPr>
                <w:szCs w:val="22"/>
                <w:lang w:eastAsia="en-CA"/>
              </w:rPr>
              <w:t>1</w:t>
            </w:r>
            <w:r>
              <w:rPr>
                <w:szCs w:val="22"/>
                <w:lang w:eastAsia="en-CA"/>
              </w:rPr>
              <w:t>,</w:t>
            </w:r>
            <w:r w:rsidRPr="008E044D">
              <w:rPr>
                <w:szCs w:val="22"/>
                <w:lang w:eastAsia="en-CA"/>
              </w:rPr>
              <w:t>435</w:t>
            </w:r>
          </w:p>
        </w:tc>
        <w:tc>
          <w:tcPr>
            <w:tcW w:w="0" w:type="auto"/>
            <w:tcBorders>
              <w:top w:val="nil"/>
              <w:left w:val="nil"/>
              <w:bottom w:val="single" w:sz="4" w:space="0" w:color="auto"/>
              <w:right w:val="single" w:sz="4" w:space="0" w:color="auto"/>
            </w:tcBorders>
            <w:shd w:val="clear" w:color="auto" w:fill="auto"/>
            <w:noWrap/>
            <w:vAlign w:val="center"/>
            <w:hideMark/>
          </w:tcPr>
          <w:p w14:paraId="315836ED" w14:textId="77777777" w:rsidR="00981B76" w:rsidRPr="008E044D" w:rsidRDefault="00981B76" w:rsidP="00E83799">
            <w:pPr>
              <w:ind w:right="1144"/>
              <w:jc w:val="right"/>
              <w:rPr>
                <w:szCs w:val="22"/>
                <w:lang w:eastAsia="en-CA"/>
              </w:rPr>
            </w:pPr>
            <w:r w:rsidRPr="008E044D">
              <w:rPr>
                <w:szCs w:val="22"/>
                <w:lang w:eastAsia="en-CA"/>
              </w:rPr>
              <w:t>2</w:t>
            </w:r>
            <w:r>
              <w:rPr>
                <w:szCs w:val="22"/>
                <w:lang w:eastAsia="en-CA"/>
              </w:rPr>
              <w:t>,</w:t>
            </w:r>
            <w:r w:rsidRPr="008E044D">
              <w:rPr>
                <w:szCs w:val="22"/>
                <w:lang w:eastAsia="en-CA"/>
              </w:rPr>
              <w:t>078</w:t>
            </w:r>
          </w:p>
        </w:tc>
        <w:tc>
          <w:tcPr>
            <w:tcW w:w="0" w:type="auto"/>
            <w:tcBorders>
              <w:top w:val="nil"/>
              <w:left w:val="nil"/>
              <w:bottom w:val="single" w:sz="4" w:space="0" w:color="auto"/>
              <w:right w:val="single" w:sz="4" w:space="0" w:color="auto"/>
            </w:tcBorders>
            <w:shd w:val="clear" w:color="auto" w:fill="auto"/>
            <w:noWrap/>
            <w:vAlign w:val="center"/>
            <w:hideMark/>
          </w:tcPr>
          <w:p w14:paraId="203FE7EF" w14:textId="77777777" w:rsidR="00981B76" w:rsidRPr="008E044D" w:rsidRDefault="00981B76" w:rsidP="00E83799">
            <w:pPr>
              <w:ind w:right="276"/>
              <w:jc w:val="right"/>
              <w:rPr>
                <w:szCs w:val="22"/>
                <w:lang w:eastAsia="en-CA"/>
              </w:rPr>
            </w:pPr>
            <w:r w:rsidRPr="008E044D">
              <w:rPr>
                <w:szCs w:val="22"/>
                <w:lang w:eastAsia="en-CA"/>
              </w:rPr>
              <w:t>49</w:t>
            </w:r>
            <w:r>
              <w:rPr>
                <w:szCs w:val="22"/>
                <w:lang w:eastAsia="en-CA"/>
              </w:rPr>
              <w:t xml:space="preserve"> </w:t>
            </w:r>
            <w:r w:rsidRPr="008E044D">
              <w:rPr>
                <w:szCs w:val="22"/>
                <w:lang w:eastAsia="en-CA"/>
              </w:rPr>
              <w:t>894</w:t>
            </w:r>
          </w:p>
        </w:tc>
        <w:tc>
          <w:tcPr>
            <w:tcW w:w="0" w:type="auto"/>
            <w:tcBorders>
              <w:top w:val="nil"/>
              <w:left w:val="nil"/>
              <w:bottom w:val="single" w:sz="4" w:space="0" w:color="auto"/>
              <w:right w:val="single" w:sz="4" w:space="0" w:color="auto"/>
            </w:tcBorders>
            <w:shd w:val="clear" w:color="auto" w:fill="auto"/>
            <w:noWrap/>
            <w:vAlign w:val="center"/>
            <w:hideMark/>
          </w:tcPr>
          <w:p w14:paraId="4EB17A64" w14:textId="77777777" w:rsidR="00981B76" w:rsidRPr="008E044D" w:rsidRDefault="00981B76" w:rsidP="00E83799">
            <w:pPr>
              <w:ind w:right="276"/>
              <w:jc w:val="right"/>
              <w:rPr>
                <w:szCs w:val="22"/>
                <w:lang w:eastAsia="en-CA"/>
              </w:rPr>
            </w:pPr>
            <w:r w:rsidRPr="008E044D">
              <w:rPr>
                <w:szCs w:val="22"/>
                <w:lang w:eastAsia="en-CA"/>
              </w:rPr>
              <w:t>52</w:t>
            </w:r>
            <w:r>
              <w:rPr>
                <w:szCs w:val="22"/>
                <w:lang w:eastAsia="en-CA"/>
              </w:rPr>
              <w:t xml:space="preserve"> </w:t>
            </w:r>
            <w:r w:rsidRPr="008E044D">
              <w:rPr>
                <w:szCs w:val="22"/>
                <w:lang w:eastAsia="en-CA"/>
              </w:rPr>
              <w:t>907</w:t>
            </w:r>
          </w:p>
        </w:tc>
        <w:tc>
          <w:tcPr>
            <w:tcW w:w="0" w:type="auto"/>
            <w:tcBorders>
              <w:top w:val="nil"/>
              <w:left w:val="nil"/>
              <w:bottom w:val="single" w:sz="4" w:space="0" w:color="auto"/>
              <w:right w:val="single" w:sz="4" w:space="0" w:color="auto"/>
            </w:tcBorders>
            <w:shd w:val="clear" w:color="auto" w:fill="auto"/>
            <w:noWrap/>
            <w:vAlign w:val="center"/>
            <w:hideMark/>
          </w:tcPr>
          <w:p w14:paraId="09B11B82" w14:textId="77777777" w:rsidR="00981B76" w:rsidRPr="008E044D" w:rsidRDefault="00981B76" w:rsidP="00E83799">
            <w:pPr>
              <w:ind w:right="276"/>
              <w:jc w:val="right"/>
              <w:rPr>
                <w:szCs w:val="22"/>
                <w:lang w:eastAsia="en-CA"/>
              </w:rPr>
            </w:pPr>
            <w:r w:rsidRPr="008E044D">
              <w:rPr>
                <w:szCs w:val="22"/>
                <w:lang w:eastAsia="en-CA"/>
              </w:rPr>
              <w:t>102</w:t>
            </w:r>
            <w:r>
              <w:rPr>
                <w:szCs w:val="22"/>
                <w:lang w:eastAsia="en-CA"/>
              </w:rPr>
              <w:t xml:space="preserve"> </w:t>
            </w:r>
            <w:r w:rsidRPr="008E044D">
              <w:rPr>
                <w:szCs w:val="22"/>
                <w:lang w:eastAsia="en-CA"/>
              </w:rPr>
              <w:t>801</w:t>
            </w:r>
          </w:p>
        </w:tc>
      </w:tr>
      <w:tr w:rsidR="00981B76" w:rsidRPr="00C678EF" w14:paraId="16F89BB6"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2DEE1D" w14:textId="77777777" w:rsidR="00981B76" w:rsidRPr="008E044D" w:rsidRDefault="00981B76" w:rsidP="00E83799">
            <w:pPr>
              <w:jc w:val="left"/>
              <w:rPr>
                <w:szCs w:val="22"/>
                <w:lang w:eastAsia="en-CA"/>
              </w:rPr>
            </w:pPr>
            <w:r>
              <w:rPr>
                <w:szCs w:val="22"/>
                <w:lang w:eastAsia="en-CA"/>
              </w:rPr>
              <w:t>Mongolie</w:t>
            </w:r>
          </w:p>
        </w:tc>
        <w:tc>
          <w:tcPr>
            <w:tcW w:w="2288" w:type="dxa"/>
            <w:tcBorders>
              <w:top w:val="nil"/>
              <w:left w:val="nil"/>
              <w:bottom w:val="single" w:sz="4" w:space="0" w:color="auto"/>
              <w:right w:val="single" w:sz="4" w:space="0" w:color="auto"/>
            </w:tcBorders>
            <w:shd w:val="clear" w:color="auto" w:fill="auto"/>
            <w:vAlign w:val="center"/>
            <w:hideMark/>
          </w:tcPr>
          <w:p w14:paraId="6014AA2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14:paraId="13D1397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5C958DA0" w14:textId="77777777" w:rsidR="00981B76" w:rsidRPr="008E044D" w:rsidRDefault="00981B76" w:rsidP="00E83799">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70670A57" w14:textId="77777777" w:rsidR="00981B76" w:rsidRPr="008E044D" w:rsidRDefault="00981B76" w:rsidP="00E83799">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3C0495EE" w14:textId="77777777" w:rsidR="00981B76" w:rsidRPr="008E044D" w:rsidRDefault="00981B76" w:rsidP="00E83799">
            <w:pPr>
              <w:ind w:right="276"/>
              <w:jc w:val="right"/>
              <w:rPr>
                <w:szCs w:val="22"/>
                <w:lang w:eastAsia="en-CA"/>
              </w:rPr>
            </w:pPr>
            <w:r w:rsidRPr="008E044D">
              <w:rPr>
                <w:szCs w:val="22"/>
                <w:lang w:eastAsia="en-CA"/>
              </w:rPr>
              <w:t>358</w:t>
            </w:r>
          </w:p>
        </w:tc>
      </w:tr>
      <w:tr w:rsidR="00981B76" w:rsidRPr="00C678EF" w14:paraId="6B0209A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7A5D32" w14:textId="77777777" w:rsidR="00981B76" w:rsidRPr="008E044D" w:rsidRDefault="00981B76" w:rsidP="00E83799">
            <w:pPr>
              <w:jc w:val="left"/>
              <w:rPr>
                <w:szCs w:val="22"/>
                <w:lang w:eastAsia="en-CA"/>
              </w:rPr>
            </w:pPr>
            <w:r>
              <w:rPr>
                <w:szCs w:val="22"/>
                <w:lang w:eastAsia="en-CA"/>
              </w:rPr>
              <w:t>Monténé</w:t>
            </w:r>
            <w:r w:rsidRPr="008E044D">
              <w:rPr>
                <w:szCs w:val="22"/>
                <w:lang w:eastAsia="en-CA"/>
              </w:rPr>
              <w:t>gro</w:t>
            </w:r>
          </w:p>
        </w:tc>
        <w:tc>
          <w:tcPr>
            <w:tcW w:w="2288" w:type="dxa"/>
            <w:tcBorders>
              <w:top w:val="nil"/>
              <w:left w:val="nil"/>
              <w:bottom w:val="single" w:sz="4" w:space="0" w:color="auto"/>
              <w:right w:val="single" w:sz="4" w:space="0" w:color="auto"/>
            </w:tcBorders>
            <w:shd w:val="clear" w:color="auto" w:fill="auto"/>
            <w:vAlign w:val="center"/>
            <w:hideMark/>
          </w:tcPr>
          <w:p w14:paraId="23563D5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3E7B842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23898E55"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F261543"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30AA8FF"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7F8A16A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8AB99" w14:textId="77777777" w:rsidR="00981B76" w:rsidRPr="008E044D" w:rsidRDefault="00981B76" w:rsidP="00E83799">
            <w:pPr>
              <w:jc w:val="left"/>
              <w:rPr>
                <w:szCs w:val="22"/>
                <w:lang w:eastAsia="en-CA"/>
              </w:rPr>
            </w:pPr>
            <w:r w:rsidRPr="008E044D">
              <w:rPr>
                <w:szCs w:val="22"/>
                <w:lang w:eastAsia="en-CA"/>
              </w:rPr>
              <w:t>Mozambique</w:t>
            </w:r>
          </w:p>
        </w:tc>
        <w:tc>
          <w:tcPr>
            <w:tcW w:w="2288" w:type="dxa"/>
            <w:tcBorders>
              <w:top w:val="nil"/>
              <w:left w:val="nil"/>
              <w:bottom w:val="single" w:sz="4" w:space="0" w:color="auto"/>
              <w:right w:val="single" w:sz="4" w:space="0" w:color="auto"/>
            </w:tcBorders>
            <w:shd w:val="clear" w:color="auto" w:fill="auto"/>
            <w:vAlign w:val="center"/>
            <w:hideMark/>
          </w:tcPr>
          <w:p w14:paraId="411BF05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67DEFDD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70BCCD3C"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61A767A"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103FED95"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60B6F29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935D2E" w14:textId="77777777" w:rsidR="00981B76" w:rsidRPr="008E044D" w:rsidRDefault="00981B76" w:rsidP="00E83799">
            <w:pPr>
              <w:jc w:val="left"/>
              <w:rPr>
                <w:szCs w:val="22"/>
                <w:lang w:eastAsia="en-CA"/>
              </w:rPr>
            </w:pPr>
            <w:r w:rsidRPr="008E044D">
              <w:rPr>
                <w:szCs w:val="22"/>
                <w:lang w:eastAsia="en-CA"/>
              </w:rPr>
              <w:t>Myanmar</w:t>
            </w:r>
          </w:p>
        </w:tc>
        <w:tc>
          <w:tcPr>
            <w:tcW w:w="2288" w:type="dxa"/>
            <w:tcBorders>
              <w:top w:val="nil"/>
              <w:left w:val="nil"/>
              <w:bottom w:val="single" w:sz="4" w:space="0" w:color="auto"/>
              <w:right w:val="single" w:sz="4" w:space="0" w:color="auto"/>
            </w:tcBorders>
            <w:shd w:val="clear" w:color="auto" w:fill="auto"/>
            <w:vAlign w:val="center"/>
            <w:hideMark/>
          </w:tcPr>
          <w:p w14:paraId="036A9232"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2A772B9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38D0AFED"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8F9F00A"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677A7A69"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2C1BCE5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86ADDA" w14:textId="77777777" w:rsidR="00981B76" w:rsidRPr="008E044D" w:rsidRDefault="00981B76" w:rsidP="00E83799">
            <w:pPr>
              <w:jc w:val="left"/>
              <w:rPr>
                <w:szCs w:val="22"/>
                <w:lang w:eastAsia="en-CA"/>
              </w:rPr>
            </w:pPr>
            <w:r>
              <w:rPr>
                <w:szCs w:val="22"/>
                <w:lang w:eastAsia="en-CA"/>
              </w:rPr>
              <w:t>Namibie</w:t>
            </w:r>
          </w:p>
        </w:tc>
        <w:tc>
          <w:tcPr>
            <w:tcW w:w="2288" w:type="dxa"/>
            <w:tcBorders>
              <w:top w:val="nil"/>
              <w:left w:val="nil"/>
              <w:bottom w:val="single" w:sz="4" w:space="0" w:color="auto"/>
              <w:right w:val="single" w:sz="4" w:space="0" w:color="auto"/>
            </w:tcBorders>
            <w:shd w:val="clear" w:color="auto" w:fill="auto"/>
            <w:vAlign w:val="center"/>
            <w:hideMark/>
          </w:tcPr>
          <w:p w14:paraId="7AC87A3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78052050"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77B58DFA" w14:textId="77777777" w:rsidR="00981B76" w:rsidRPr="008E044D" w:rsidRDefault="00981B76" w:rsidP="00E83799">
            <w:pPr>
              <w:ind w:right="276"/>
              <w:jc w:val="right"/>
              <w:rPr>
                <w:szCs w:val="22"/>
                <w:lang w:eastAsia="en-CA"/>
              </w:rPr>
            </w:pPr>
            <w:r w:rsidRPr="008E044D">
              <w:rPr>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0B14A5D6" w14:textId="77777777" w:rsidR="00981B76" w:rsidRPr="008E044D" w:rsidRDefault="00981B76" w:rsidP="00E83799">
            <w:pPr>
              <w:ind w:right="276"/>
              <w:jc w:val="right"/>
              <w:rPr>
                <w:szCs w:val="22"/>
                <w:lang w:eastAsia="en-CA"/>
              </w:rPr>
            </w:pPr>
            <w:r w:rsidRPr="008E044D">
              <w:rPr>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322AB984" w14:textId="77777777" w:rsidR="00981B76" w:rsidRPr="008E044D" w:rsidRDefault="00981B76" w:rsidP="00E83799">
            <w:pPr>
              <w:ind w:right="276"/>
              <w:jc w:val="right"/>
              <w:rPr>
                <w:szCs w:val="22"/>
                <w:lang w:eastAsia="en-CA"/>
              </w:rPr>
            </w:pPr>
            <w:r w:rsidRPr="008E044D">
              <w:rPr>
                <w:szCs w:val="22"/>
                <w:lang w:eastAsia="en-CA"/>
              </w:rPr>
              <w:t>716</w:t>
            </w:r>
          </w:p>
        </w:tc>
      </w:tr>
      <w:tr w:rsidR="00981B76" w:rsidRPr="00C678EF" w14:paraId="56161CB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72A08" w14:textId="77777777" w:rsidR="00981B76" w:rsidRPr="008E044D" w:rsidRDefault="00981B76" w:rsidP="00E83799">
            <w:pPr>
              <w:jc w:val="left"/>
              <w:rPr>
                <w:szCs w:val="22"/>
                <w:lang w:eastAsia="en-CA"/>
              </w:rPr>
            </w:pPr>
            <w:r w:rsidRPr="008E044D">
              <w:rPr>
                <w:szCs w:val="22"/>
                <w:lang w:eastAsia="en-CA"/>
              </w:rPr>
              <w:t>Nauru</w:t>
            </w:r>
          </w:p>
        </w:tc>
        <w:tc>
          <w:tcPr>
            <w:tcW w:w="2288" w:type="dxa"/>
            <w:tcBorders>
              <w:top w:val="nil"/>
              <w:left w:val="nil"/>
              <w:bottom w:val="single" w:sz="4" w:space="0" w:color="auto"/>
              <w:right w:val="single" w:sz="4" w:space="0" w:color="auto"/>
            </w:tcBorders>
            <w:shd w:val="clear" w:color="auto" w:fill="auto"/>
            <w:vAlign w:val="center"/>
            <w:hideMark/>
          </w:tcPr>
          <w:p w14:paraId="10A4539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B289EA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05B46BC"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8B55A83"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05E209E"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16D066E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59B2F0" w14:textId="77777777" w:rsidR="00981B76" w:rsidRPr="008E044D" w:rsidRDefault="00981B76" w:rsidP="00E83799">
            <w:pPr>
              <w:jc w:val="left"/>
              <w:rPr>
                <w:szCs w:val="22"/>
                <w:lang w:eastAsia="en-CA"/>
              </w:rPr>
            </w:pPr>
            <w:r w:rsidRPr="008E044D">
              <w:rPr>
                <w:szCs w:val="22"/>
                <w:lang w:eastAsia="en-CA"/>
              </w:rPr>
              <w:t>Nicaragua</w:t>
            </w:r>
          </w:p>
        </w:tc>
        <w:tc>
          <w:tcPr>
            <w:tcW w:w="2288" w:type="dxa"/>
            <w:tcBorders>
              <w:top w:val="nil"/>
              <w:left w:val="nil"/>
              <w:bottom w:val="single" w:sz="4" w:space="0" w:color="auto"/>
              <w:right w:val="single" w:sz="4" w:space="0" w:color="auto"/>
            </w:tcBorders>
            <w:shd w:val="clear" w:color="auto" w:fill="auto"/>
            <w:vAlign w:val="center"/>
            <w:hideMark/>
          </w:tcPr>
          <w:p w14:paraId="71327C1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38CECB6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705E1AD6"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5387D93"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33657BB"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77FFA93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911DF" w14:textId="77777777" w:rsidR="00981B76" w:rsidRPr="008E044D" w:rsidRDefault="00981B76" w:rsidP="00E83799">
            <w:pPr>
              <w:jc w:val="left"/>
              <w:rPr>
                <w:szCs w:val="22"/>
                <w:lang w:eastAsia="en-CA"/>
              </w:rPr>
            </w:pPr>
            <w:r w:rsidRPr="008E044D">
              <w:rPr>
                <w:szCs w:val="22"/>
                <w:lang w:eastAsia="en-CA"/>
              </w:rPr>
              <w:t>Niger</w:t>
            </w:r>
          </w:p>
        </w:tc>
        <w:tc>
          <w:tcPr>
            <w:tcW w:w="2288" w:type="dxa"/>
            <w:tcBorders>
              <w:top w:val="nil"/>
              <w:left w:val="nil"/>
              <w:bottom w:val="single" w:sz="4" w:space="0" w:color="auto"/>
              <w:right w:val="single" w:sz="4" w:space="0" w:color="auto"/>
            </w:tcBorders>
            <w:shd w:val="clear" w:color="auto" w:fill="auto"/>
            <w:vAlign w:val="center"/>
            <w:hideMark/>
          </w:tcPr>
          <w:p w14:paraId="7AFF834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375D4BB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112F43A4"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5D42A3F9"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6099668A"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001897D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0C01E5" w14:textId="77777777" w:rsidR="00981B76" w:rsidRPr="008E044D" w:rsidRDefault="00981B76" w:rsidP="00E83799">
            <w:pPr>
              <w:jc w:val="left"/>
              <w:rPr>
                <w:szCs w:val="22"/>
                <w:lang w:eastAsia="en-CA"/>
              </w:rPr>
            </w:pPr>
            <w:r>
              <w:rPr>
                <w:szCs w:val="22"/>
                <w:lang w:eastAsia="en-CA"/>
              </w:rPr>
              <w:t>Nigé</w:t>
            </w:r>
            <w:r w:rsidRPr="008E044D">
              <w:rPr>
                <w:szCs w:val="22"/>
                <w:lang w:eastAsia="en-CA"/>
              </w:rPr>
              <w:t>ria</w:t>
            </w:r>
          </w:p>
        </w:tc>
        <w:tc>
          <w:tcPr>
            <w:tcW w:w="2288" w:type="dxa"/>
            <w:tcBorders>
              <w:top w:val="nil"/>
              <w:left w:val="nil"/>
              <w:bottom w:val="single" w:sz="4" w:space="0" w:color="auto"/>
              <w:right w:val="single" w:sz="4" w:space="0" w:color="auto"/>
            </w:tcBorders>
            <w:shd w:val="clear" w:color="auto" w:fill="auto"/>
            <w:vAlign w:val="center"/>
            <w:hideMark/>
          </w:tcPr>
          <w:p w14:paraId="35B1705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73301571"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303</w:t>
            </w:r>
          </w:p>
        </w:tc>
        <w:tc>
          <w:tcPr>
            <w:tcW w:w="0" w:type="auto"/>
            <w:tcBorders>
              <w:top w:val="nil"/>
              <w:left w:val="nil"/>
              <w:bottom w:val="single" w:sz="4" w:space="0" w:color="auto"/>
              <w:right w:val="single" w:sz="4" w:space="0" w:color="auto"/>
            </w:tcBorders>
            <w:shd w:val="clear" w:color="auto" w:fill="auto"/>
            <w:noWrap/>
            <w:vAlign w:val="center"/>
            <w:hideMark/>
          </w:tcPr>
          <w:p w14:paraId="16B38DB5" w14:textId="77777777" w:rsidR="00981B76" w:rsidRPr="008E044D" w:rsidRDefault="00981B76" w:rsidP="00E83799">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267</w:t>
            </w:r>
          </w:p>
        </w:tc>
        <w:tc>
          <w:tcPr>
            <w:tcW w:w="0" w:type="auto"/>
            <w:tcBorders>
              <w:top w:val="nil"/>
              <w:left w:val="nil"/>
              <w:bottom w:val="single" w:sz="4" w:space="0" w:color="auto"/>
              <w:right w:val="single" w:sz="4" w:space="0" w:color="auto"/>
            </w:tcBorders>
            <w:shd w:val="clear" w:color="auto" w:fill="auto"/>
            <w:noWrap/>
            <w:vAlign w:val="center"/>
            <w:hideMark/>
          </w:tcPr>
          <w:p w14:paraId="015023C3" w14:textId="77777777" w:rsidR="00981B76" w:rsidRPr="008E044D" w:rsidRDefault="00981B76" w:rsidP="00E83799">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706</w:t>
            </w:r>
          </w:p>
        </w:tc>
        <w:tc>
          <w:tcPr>
            <w:tcW w:w="0" w:type="auto"/>
            <w:tcBorders>
              <w:top w:val="nil"/>
              <w:left w:val="nil"/>
              <w:bottom w:val="single" w:sz="4" w:space="0" w:color="auto"/>
              <w:right w:val="single" w:sz="4" w:space="0" w:color="auto"/>
            </w:tcBorders>
            <w:shd w:val="clear" w:color="auto" w:fill="auto"/>
            <w:noWrap/>
            <w:vAlign w:val="center"/>
            <w:hideMark/>
          </w:tcPr>
          <w:p w14:paraId="7A789C7E" w14:textId="77777777" w:rsidR="00981B76" w:rsidRPr="008E044D" w:rsidRDefault="00981B76" w:rsidP="00E83799">
            <w:pPr>
              <w:ind w:right="276"/>
              <w:jc w:val="right"/>
              <w:rPr>
                <w:szCs w:val="22"/>
                <w:lang w:eastAsia="en-CA"/>
              </w:rPr>
            </w:pPr>
            <w:r w:rsidRPr="008E044D">
              <w:rPr>
                <w:szCs w:val="22"/>
                <w:lang w:eastAsia="en-CA"/>
              </w:rPr>
              <w:t>14</w:t>
            </w:r>
            <w:r>
              <w:rPr>
                <w:szCs w:val="22"/>
                <w:lang w:eastAsia="en-CA"/>
              </w:rPr>
              <w:t xml:space="preserve"> </w:t>
            </w:r>
            <w:r w:rsidRPr="008E044D">
              <w:rPr>
                <w:szCs w:val="22"/>
                <w:lang w:eastAsia="en-CA"/>
              </w:rPr>
              <w:t>972</w:t>
            </w:r>
          </w:p>
        </w:tc>
      </w:tr>
      <w:tr w:rsidR="00981B76" w:rsidRPr="00C678EF" w14:paraId="66C297D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86FC09" w14:textId="77777777" w:rsidR="00981B76" w:rsidRPr="008E044D" w:rsidRDefault="00981B76" w:rsidP="00E83799">
            <w:pPr>
              <w:jc w:val="left"/>
              <w:rPr>
                <w:szCs w:val="22"/>
                <w:lang w:eastAsia="en-CA"/>
              </w:rPr>
            </w:pPr>
            <w:r w:rsidRPr="008E044D">
              <w:rPr>
                <w:szCs w:val="22"/>
                <w:lang w:eastAsia="en-CA"/>
              </w:rPr>
              <w:t>Niue</w:t>
            </w:r>
          </w:p>
        </w:tc>
        <w:tc>
          <w:tcPr>
            <w:tcW w:w="2288" w:type="dxa"/>
            <w:tcBorders>
              <w:top w:val="nil"/>
              <w:left w:val="nil"/>
              <w:bottom w:val="single" w:sz="4" w:space="0" w:color="auto"/>
              <w:right w:val="single" w:sz="4" w:space="0" w:color="auto"/>
            </w:tcBorders>
            <w:shd w:val="clear" w:color="auto" w:fill="auto"/>
            <w:vAlign w:val="center"/>
            <w:hideMark/>
          </w:tcPr>
          <w:p w14:paraId="377FBDB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A9CD6F0"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DEE9266"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4732B65"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154A173"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78277B3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48C004" w14:textId="77777777" w:rsidR="00981B76" w:rsidRPr="008E044D" w:rsidRDefault="00981B76" w:rsidP="00E83799">
            <w:pPr>
              <w:jc w:val="left"/>
              <w:rPr>
                <w:szCs w:val="22"/>
                <w:lang w:eastAsia="en-CA"/>
              </w:rPr>
            </w:pPr>
            <w:r>
              <w:rPr>
                <w:szCs w:val="22"/>
                <w:lang w:eastAsia="en-CA"/>
              </w:rPr>
              <w:t>Norvège</w:t>
            </w:r>
          </w:p>
        </w:tc>
        <w:tc>
          <w:tcPr>
            <w:tcW w:w="2288" w:type="dxa"/>
            <w:tcBorders>
              <w:top w:val="nil"/>
              <w:left w:val="nil"/>
              <w:bottom w:val="single" w:sz="4" w:space="0" w:color="auto"/>
              <w:right w:val="single" w:sz="4" w:space="0" w:color="auto"/>
            </w:tcBorders>
            <w:shd w:val="clear" w:color="auto" w:fill="auto"/>
            <w:vAlign w:val="center"/>
            <w:hideMark/>
          </w:tcPr>
          <w:p w14:paraId="4BFB454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849</w:t>
            </w:r>
          </w:p>
        </w:tc>
        <w:tc>
          <w:tcPr>
            <w:tcW w:w="0" w:type="auto"/>
            <w:tcBorders>
              <w:top w:val="nil"/>
              <w:left w:val="nil"/>
              <w:bottom w:val="single" w:sz="4" w:space="0" w:color="auto"/>
              <w:right w:val="single" w:sz="4" w:space="0" w:color="auto"/>
            </w:tcBorders>
            <w:shd w:val="clear" w:color="auto" w:fill="auto"/>
            <w:noWrap/>
            <w:vAlign w:val="center"/>
            <w:hideMark/>
          </w:tcPr>
          <w:p w14:paraId="019D76E2"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229</w:t>
            </w:r>
          </w:p>
        </w:tc>
        <w:tc>
          <w:tcPr>
            <w:tcW w:w="0" w:type="auto"/>
            <w:tcBorders>
              <w:top w:val="nil"/>
              <w:left w:val="nil"/>
              <w:bottom w:val="single" w:sz="4" w:space="0" w:color="auto"/>
              <w:right w:val="single" w:sz="4" w:space="0" w:color="auto"/>
            </w:tcBorders>
            <w:shd w:val="clear" w:color="auto" w:fill="auto"/>
            <w:noWrap/>
            <w:vAlign w:val="center"/>
            <w:hideMark/>
          </w:tcPr>
          <w:p w14:paraId="10E67786" w14:textId="77777777" w:rsidR="00981B76" w:rsidRPr="008E044D" w:rsidRDefault="00981B76" w:rsidP="00E83799">
            <w:pPr>
              <w:ind w:right="276"/>
              <w:jc w:val="right"/>
              <w:rPr>
                <w:szCs w:val="22"/>
                <w:lang w:eastAsia="en-CA"/>
              </w:rPr>
            </w:pPr>
            <w:r w:rsidRPr="008E044D">
              <w:rPr>
                <w:szCs w:val="22"/>
                <w:lang w:eastAsia="en-CA"/>
              </w:rPr>
              <w:t>29</w:t>
            </w:r>
            <w:r>
              <w:rPr>
                <w:szCs w:val="22"/>
                <w:lang w:eastAsia="en-CA"/>
              </w:rPr>
              <w:t xml:space="preserve"> </w:t>
            </w:r>
            <w:r w:rsidRPr="008E044D">
              <w:rPr>
                <w:szCs w:val="22"/>
                <w:lang w:eastAsia="en-CA"/>
              </w:rPr>
              <w:t>519</w:t>
            </w:r>
          </w:p>
        </w:tc>
        <w:tc>
          <w:tcPr>
            <w:tcW w:w="0" w:type="auto"/>
            <w:tcBorders>
              <w:top w:val="nil"/>
              <w:left w:val="nil"/>
              <w:bottom w:val="single" w:sz="4" w:space="0" w:color="auto"/>
              <w:right w:val="single" w:sz="4" w:space="0" w:color="auto"/>
            </w:tcBorders>
            <w:shd w:val="clear" w:color="auto" w:fill="auto"/>
            <w:noWrap/>
            <w:vAlign w:val="center"/>
            <w:hideMark/>
          </w:tcPr>
          <w:p w14:paraId="748404BA" w14:textId="77777777" w:rsidR="00981B76" w:rsidRPr="008E044D" w:rsidRDefault="00981B76" w:rsidP="00E83799">
            <w:pPr>
              <w:ind w:right="276"/>
              <w:jc w:val="right"/>
              <w:rPr>
                <w:szCs w:val="22"/>
                <w:lang w:eastAsia="en-CA"/>
              </w:rPr>
            </w:pPr>
            <w:r w:rsidRPr="008E044D">
              <w:rPr>
                <w:szCs w:val="22"/>
                <w:lang w:eastAsia="en-CA"/>
              </w:rPr>
              <w:t>31</w:t>
            </w:r>
            <w:r>
              <w:rPr>
                <w:szCs w:val="22"/>
                <w:lang w:eastAsia="en-CA"/>
              </w:rPr>
              <w:t xml:space="preserve"> </w:t>
            </w:r>
            <w:r w:rsidRPr="008E044D">
              <w:rPr>
                <w:szCs w:val="22"/>
                <w:lang w:eastAsia="en-CA"/>
              </w:rPr>
              <w:t>302</w:t>
            </w:r>
          </w:p>
        </w:tc>
        <w:tc>
          <w:tcPr>
            <w:tcW w:w="0" w:type="auto"/>
            <w:tcBorders>
              <w:top w:val="nil"/>
              <w:left w:val="nil"/>
              <w:bottom w:val="single" w:sz="4" w:space="0" w:color="auto"/>
              <w:right w:val="single" w:sz="4" w:space="0" w:color="auto"/>
            </w:tcBorders>
            <w:shd w:val="clear" w:color="auto" w:fill="auto"/>
            <w:noWrap/>
            <w:vAlign w:val="center"/>
            <w:hideMark/>
          </w:tcPr>
          <w:p w14:paraId="07B64FFE" w14:textId="77777777" w:rsidR="00981B76" w:rsidRPr="008E044D" w:rsidRDefault="00981B76" w:rsidP="00E83799">
            <w:pPr>
              <w:ind w:right="276"/>
              <w:jc w:val="right"/>
              <w:rPr>
                <w:szCs w:val="22"/>
                <w:lang w:eastAsia="en-CA"/>
              </w:rPr>
            </w:pPr>
            <w:r w:rsidRPr="008E044D">
              <w:rPr>
                <w:szCs w:val="22"/>
                <w:lang w:eastAsia="en-CA"/>
              </w:rPr>
              <w:t>60</w:t>
            </w:r>
            <w:r>
              <w:rPr>
                <w:szCs w:val="22"/>
                <w:lang w:eastAsia="en-CA"/>
              </w:rPr>
              <w:t xml:space="preserve"> </w:t>
            </w:r>
            <w:r w:rsidRPr="008E044D">
              <w:rPr>
                <w:szCs w:val="22"/>
                <w:lang w:eastAsia="en-CA"/>
              </w:rPr>
              <w:t>821</w:t>
            </w:r>
          </w:p>
        </w:tc>
      </w:tr>
      <w:tr w:rsidR="00981B76" w:rsidRPr="00C678EF" w14:paraId="4A8246A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AFEDAA" w14:textId="77777777" w:rsidR="00981B76" w:rsidRPr="008E044D" w:rsidRDefault="00981B76" w:rsidP="00E83799">
            <w:pPr>
              <w:jc w:val="left"/>
              <w:rPr>
                <w:szCs w:val="22"/>
                <w:lang w:eastAsia="en-CA"/>
              </w:rPr>
            </w:pPr>
            <w:r>
              <w:rPr>
                <w:szCs w:val="22"/>
                <w:lang w:eastAsia="en-CA"/>
              </w:rPr>
              <w:t>Nouvelle-Zé</w:t>
            </w:r>
            <w:r w:rsidRPr="008E044D">
              <w:rPr>
                <w:szCs w:val="22"/>
                <w:lang w:eastAsia="en-CA"/>
              </w:rPr>
              <w:t>land</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14:paraId="013D5B3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268</w:t>
            </w:r>
          </w:p>
        </w:tc>
        <w:tc>
          <w:tcPr>
            <w:tcW w:w="0" w:type="auto"/>
            <w:tcBorders>
              <w:top w:val="nil"/>
              <w:left w:val="nil"/>
              <w:bottom w:val="single" w:sz="4" w:space="0" w:color="auto"/>
              <w:right w:val="single" w:sz="4" w:space="0" w:color="auto"/>
            </w:tcBorders>
            <w:shd w:val="clear" w:color="auto" w:fill="auto"/>
            <w:noWrap/>
            <w:vAlign w:val="center"/>
            <w:hideMark/>
          </w:tcPr>
          <w:p w14:paraId="29E1194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388</w:t>
            </w:r>
          </w:p>
        </w:tc>
        <w:tc>
          <w:tcPr>
            <w:tcW w:w="0" w:type="auto"/>
            <w:tcBorders>
              <w:top w:val="nil"/>
              <w:left w:val="nil"/>
              <w:bottom w:val="single" w:sz="4" w:space="0" w:color="auto"/>
              <w:right w:val="single" w:sz="4" w:space="0" w:color="auto"/>
            </w:tcBorders>
            <w:shd w:val="clear" w:color="auto" w:fill="auto"/>
            <w:noWrap/>
            <w:vAlign w:val="center"/>
            <w:hideMark/>
          </w:tcPr>
          <w:p w14:paraId="3B92CF5F" w14:textId="77777777" w:rsidR="00981B76" w:rsidRPr="008E044D" w:rsidRDefault="00981B76" w:rsidP="00E83799">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318</w:t>
            </w:r>
          </w:p>
        </w:tc>
        <w:tc>
          <w:tcPr>
            <w:tcW w:w="0" w:type="auto"/>
            <w:tcBorders>
              <w:top w:val="nil"/>
              <w:left w:val="nil"/>
              <w:bottom w:val="single" w:sz="4" w:space="0" w:color="auto"/>
              <w:right w:val="single" w:sz="4" w:space="0" w:color="auto"/>
            </w:tcBorders>
            <w:shd w:val="clear" w:color="auto" w:fill="auto"/>
            <w:noWrap/>
            <w:vAlign w:val="center"/>
            <w:hideMark/>
          </w:tcPr>
          <w:p w14:paraId="0A2A3F0D" w14:textId="77777777" w:rsidR="00981B76" w:rsidRPr="008E044D" w:rsidRDefault="00981B76" w:rsidP="00E83799">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881</w:t>
            </w:r>
          </w:p>
        </w:tc>
        <w:tc>
          <w:tcPr>
            <w:tcW w:w="0" w:type="auto"/>
            <w:tcBorders>
              <w:top w:val="nil"/>
              <w:left w:val="nil"/>
              <w:bottom w:val="single" w:sz="4" w:space="0" w:color="auto"/>
              <w:right w:val="single" w:sz="4" w:space="0" w:color="auto"/>
            </w:tcBorders>
            <w:shd w:val="clear" w:color="auto" w:fill="auto"/>
            <w:noWrap/>
            <w:vAlign w:val="center"/>
            <w:hideMark/>
          </w:tcPr>
          <w:p w14:paraId="11C1951D" w14:textId="77777777" w:rsidR="00981B76" w:rsidRPr="008E044D" w:rsidRDefault="00981B76" w:rsidP="00E83799">
            <w:pPr>
              <w:ind w:right="276"/>
              <w:jc w:val="right"/>
              <w:rPr>
                <w:szCs w:val="22"/>
                <w:lang w:eastAsia="en-CA"/>
              </w:rPr>
            </w:pPr>
            <w:r w:rsidRPr="008E044D">
              <w:rPr>
                <w:szCs w:val="22"/>
                <w:lang w:eastAsia="en-CA"/>
              </w:rPr>
              <w:t>19</w:t>
            </w:r>
            <w:r>
              <w:rPr>
                <w:szCs w:val="22"/>
                <w:lang w:eastAsia="en-CA"/>
              </w:rPr>
              <w:t xml:space="preserve"> </w:t>
            </w:r>
            <w:r w:rsidRPr="008E044D">
              <w:rPr>
                <w:szCs w:val="22"/>
                <w:lang w:eastAsia="en-CA"/>
              </w:rPr>
              <w:t>199</w:t>
            </w:r>
          </w:p>
        </w:tc>
      </w:tr>
      <w:tr w:rsidR="00981B76" w:rsidRPr="00C678EF" w14:paraId="5A76FD9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DCB189" w14:textId="77777777" w:rsidR="00981B76" w:rsidRPr="008E044D" w:rsidRDefault="00981B76" w:rsidP="00E83799">
            <w:pPr>
              <w:jc w:val="left"/>
              <w:rPr>
                <w:szCs w:val="22"/>
                <w:lang w:eastAsia="en-CA"/>
              </w:rPr>
            </w:pPr>
            <w:r w:rsidRPr="008E044D">
              <w:rPr>
                <w:szCs w:val="22"/>
                <w:lang w:eastAsia="en-CA"/>
              </w:rPr>
              <w:t>Oman</w:t>
            </w:r>
          </w:p>
        </w:tc>
        <w:tc>
          <w:tcPr>
            <w:tcW w:w="2288" w:type="dxa"/>
            <w:tcBorders>
              <w:top w:val="nil"/>
              <w:left w:val="nil"/>
              <w:bottom w:val="single" w:sz="4" w:space="0" w:color="auto"/>
              <w:right w:val="single" w:sz="4" w:space="0" w:color="auto"/>
            </w:tcBorders>
            <w:shd w:val="clear" w:color="auto" w:fill="auto"/>
            <w:vAlign w:val="center"/>
            <w:hideMark/>
          </w:tcPr>
          <w:p w14:paraId="679391D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113</w:t>
            </w:r>
          </w:p>
        </w:tc>
        <w:tc>
          <w:tcPr>
            <w:tcW w:w="0" w:type="auto"/>
            <w:tcBorders>
              <w:top w:val="nil"/>
              <w:left w:val="nil"/>
              <w:bottom w:val="single" w:sz="4" w:space="0" w:color="auto"/>
              <w:right w:val="single" w:sz="4" w:space="0" w:color="auto"/>
            </w:tcBorders>
            <w:shd w:val="clear" w:color="auto" w:fill="auto"/>
            <w:noWrap/>
            <w:vAlign w:val="center"/>
            <w:hideMark/>
          </w:tcPr>
          <w:p w14:paraId="234E9A0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164</w:t>
            </w:r>
          </w:p>
        </w:tc>
        <w:tc>
          <w:tcPr>
            <w:tcW w:w="0" w:type="auto"/>
            <w:tcBorders>
              <w:top w:val="nil"/>
              <w:left w:val="nil"/>
              <w:bottom w:val="single" w:sz="4" w:space="0" w:color="auto"/>
              <w:right w:val="single" w:sz="4" w:space="0" w:color="auto"/>
            </w:tcBorders>
            <w:shd w:val="clear" w:color="auto" w:fill="auto"/>
            <w:noWrap/>
            <w:vAlign w:val="center"/>
            <w:hideMark/>
          </w:tcPr>
          <w:p w14:paraId="19771259"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929</w:t>
            </w:r>
          </w:p>
        </w:tc>
        <w:tc>
          <w:tcPr>
            <w:tcW w:w="0" w:type="auto"/>
            <w:tcBorders>
              <w:top w:val="nil"/>
              <w:left w:val="nil"/>
              <w:bottom w:val="single" w:sz="4" w:space="0" w:color="auto"/>
              <w:right w:val="single" w:sz="4" w:space="0" w:color="auto"/>
            </w:tcBorders>
            <w:shd w:val="clear" w:color="auto" w:fill="auto"/>
            <w:noWrap/>
            <w:vAlign w:val="center"/>
            <w:hideMark/>
          </w:tcPr>
          <w:p w14:paraId="0807AF16"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166</w:t>
            </w:r>
          </w:p>
        </w:tc>
        <w:tc>
          <w:tcPr>
            <w:tcW w:w="0" w:type="auto"/>
            <w:tcBorders>
              <w:top w:val="nil"/>
              <w:left w:val="nil"/>
              <w:bottom w:val="single" w:sz="4" w:space="0" w:color="auto"/>
              <w:right w:val="single" w:sz="4" w:space="0" w:color="auto"/>
            </w:tcBorders>
            <w:shd w:val="clear" w:color="auto" w:fill="auto"/>
            <w:noWrap/>
            <w:vAlign w:val="center"/>
            <w:hideMark/>
          </w:tcPr>
          <w:p w14:paraId="29D48ECC" w14:textId="77777777" w:rsidR="00981B76" w:rsidRPr="008E044D" w:rsidRDefault="00981B76" w:rsidP="00E83799">
            <w:pPr>
              <w:ind w:right="276"/>
              <w:jc w:val="right"/>
              <w:rPr>
                <w:szCs w:val="22"/>
                <w:lang w:eastAsia="en-CA"/>
              </w:rPr>
            </w:pPr>
            <w:r w:rsidRPr="008E044D">
              <w:rPr>
                <w:szCs w:val="22"/>
                <w:lang w:eastAsia="en-CA"/>
              </w:rPr>
              <w:t>8</w:t>
            </w:r>
            <w:r>
              <w:rPr>
                <w:szCs w:val="22"/>
                <w:lang w:eastAsia="en-CA"/>
              </w:rPr>
              <w:t xml:space="preserve"> </w:t>
            </w:r>
            <w:r w:rsidRPr="008E044D">
              <w:rPr>
                <w:szCs w:val="22"/>
                <w:lang w:eastAsia="en-CA"/>
              </w:rPr>
              <w:t>095</w:t>
            </w:r>
          </w:p>
        </w:tc>
      </w:tr>
      <w:tr w:rsidR="00981B76" w:rsidRPr="00C678EF" w14:paraId="68D8C63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EBE074" w14:textId="77777777" w:rsidR="00981B76" w:rsidRPr="008E044D" w:rsidRDefault="00981B76" w:rsidP="00E83799">
            <w:pPr>
              <w:jc w:val="left"/>
              <w:rPr>
                <w:szCs w:val="22"/>
                <w:lang w:eastAsia="en-CA"/>
              </w:rPr>
            </w:pPr>
            <w:r>
              <w:rPr>
                <w:szCs w:val="22"/>
                <w:lang w:eastAsia="en-CA"/>
              </w:rPr>
              <w:t>Ou</w:t>
            </w:r>
            <w:r w:rsidRPr="008E044D">
              <w:rPr>
                <w:szCs w:val="22"/>
                <w:lang w:eastAsia="en-CA"/>
              </w:rPr>
              <w:t>ganda</w:t>
            </w:r>
          </w:p>
        </w:tc>
        <w:tc>
          <w:tcPr>
            <w:tcW w:w="2288" w:type="dxa"/>
            <w:tcBorders>
              <w:top w:val="nil"/>
              <w:left w:val="nil"/>
              <w:bottom w:val="single" w:sz="4" w:space="0" w:color="auto"/>
              <w:right w:val="single" w:sz="4" w:space="0" w:color="auto"/>
            </w:tcBorders>
            <w:shd w:val="clear" w:color="auto" w:fill="auto"/>
            <w:vAlign w:val="center"/>
            <w:hideMark/>
          </w:tcPr>
          <w:p w14:paraId="710E7E0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14:paraId="5404F19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5CB4DFD5"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21FBCE24"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41FF3CC"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122C719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38A4B6" w14:textId="77777777" w:rsidR="00981B76" w:rsidRPr="008E044D" w:rsidRDefault="00981B76" w:rsidP="00E83799">
            <w:pPr>
              <w:jc w:val="left"/>
              <w:rPr>
                <w:szCs w:val="22"/>
                <w:lang w:eastAsia="en-CA"/>
              </w:rPr>
            </w:pPr>
            <w:r w:rsidRPr="008E044D">
              <w:rPr>
                <w:szCs w:val="22"/>
                <w:lang w:eastAsia="en-CA"/>
              </w:rPr>
              <w:t>Pakistan</w:t>
            </w:r>
          </w:p>
        </w:tc>
        <w:tc>
          <w:tcPr>
            <w:tcW w:w="2288" w:type="dxa"/>
            <w:tcBorders>
              <w:top w:val="nil"/>
              <w:left w:val="nil"/>
              <w:bottom w:val="single" w:sz="4" w:space="0" w:color="auto"/>
              <w:right w:val="single" w:sz="4" w:space="0" w:color="auto"/>
            </w:tcBorders>
            <w:shd w:val="clear" w:color="auto" w:fill="auto"/>
            <w:vAlign w:val="center"/>
            <w:hideMark/>
          </w:tcPr>
          <w:p w14:paraId="1B13C292"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093</w:t>
            </w:r>
          </w:p>
        </w:tc>
        <w:tc>
          <w:tcPr>
            <w:tcW w:w="0" w:type="auto"/>
            <w:tcBorders>
              <w:top w:val="nil"/>
              <w:left w:val="nil"/>
              <w:bottom w:val="single" w:sz="4" w:space="0" w:color="auto"/>
              <w:right w:val="single" w:sz="4" w:space="0" w:color="auto"/>
            </w:tcBorders>
            <w:shd w:val="clear" w:color="auto" w:fill="auto"/>
            <w:noWrap/>
            <w:vAlign w:val="center"/>
            <w:hideMark/>
          </w:tcPr>
          <w:p w14:paraId="601C167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135</w:t>
            </w:r>
          </w:p>
        </w:tc>
        <w:tc>
          <w:tcPr>
            <w:tcW w:w="0" w:type="auto"/>
            <w:tcBorders>
              <w:top w:val="nil"/>
              <w:left w:val="nil"/>
              <w:bottom w:val="single" w:sz="4" w:space="0" w:color="auto"/>
              <w:right w:val="single" w:sz="4" w:space="0" w:color="auto"/>
            </w:tcBorders>
            <w:shd w:val="clear" w:color="auto" w:fill="auto"/>
            <w:noWrap/>
            <w:vAlign w:val="center"/>
            <w:hideMark/>
          </w:tcPr>
          <w:p w14:paraId="309661EB"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234</w:t>
            </w:r>
          </w:p>
        </w:tc>
        <w:tc>
          <w:tcPr>
            <w:tcW w:w="0" w:type="auto"/>
            <w:tcBorders>
              <w:top w:val="nil"/>
              <w:left w:val="nil"/>
              <w:bottom w:val="single" w:sz="4" w:space="0" w:color="auto"/>
              <w:right w:val="single" w:sz="4" w:space="0" w:color="auto"/>
            </w:tcBorders>
            <w:shd w:val="clear" w:color="auto" w:fill="auto"/>
            <w:noWrap/>
            <w:vAlign w:val="center"/>
            <w:hideMark/>
          </w:tcPr>
          <w:p w14:paraId="14373EEE"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429</w:t>
            </w:r>
          </w:p>
        </w:tc>
        <w:tc>
          <w:tcPr>
            <w:tcW w:w="0" w:type="auto"/>
            <w:tcBorders>
              <w:top w:val="nil"/>
              <w:left w:val="nil"/>
              <w:bottom w:val="single" w:sz="4" w:space="0" w:color="auto"/>
              <w:right w:val="single" w:sz="4" w:space="0" w:color="auto"/>
            </w:tcBorders>
            <w:shd w:val="clear" w:color="auto" w:fill="auto"/>
            <w:noWrap/>
            <w:vAlign w:val="center"/>
            <w:hideMark/>
          </w:tcPr>
          <w:p w14:paraId="2675D9AC" w14:textId="77777777" w:rsidR="00981B76" w:rsidRPr="008E044D" w:rsidRDefault="00981B76" w:rsidP="00E83799">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662</w:t>
            </w:r>
          </w:p>
        </w:tc>
      </w:tr>
      <w:tr w:rsidR="00981B76" w:rsidRPr="00C678EF" w14:paraId="5B3AA40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E094A" w14:textId="77777777" w:rsidR="00981B76" w:rsidRPr="008E044D" w:rsidRDefault="00981B76" w:rsidP="00E83799">
            <w:pPr>
              <w:jc w:val="left"/>
              <w:rPr>
                <w:szCs w:val="22"/>
                <w:lang w:eastAsia="en-CA"/>
              </w:rPr>
            </w:pPr>
            <w:r>
              <w:rPr>
                <w:szCs w:val="22"/>
                <w:lang w:eastAsia="en-CA"/>
              </w:rPr>
              <w:t>Palaos</w:t>
            </w:r>
          </w:p>
        </w:tc>
        <w:tc>
          <w:tcPr>
            <w:tcW w:w="2288" w:type="dxa"/>
            <w:tcBorders>
              <w:top w:val="nil"/>
              <w:left w:val="nil"/>
              <w:bottom w:val="single" w:sz="4" w:space="0" w:color="auto"/>
              <w:right w:val="single" w:sz="4" w:space="0" w:color="auto"/>
            </w:tcBorders>
            <w:shd w:val="clear" w:color="auto" w:fill="auto"/>
            <w:vAlign w:val="center"/>
            <w:hideMark/>
          </w:tcPr>
          <w:p w14:paraId="0B87438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F35B415"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A4A6C03"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41E7587"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F8F65A1"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20FAF1F6"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4B3BB" w14:textId="77777777" w:rsidR="00981B76" w:rsidRPr="008E044D" w:rsidRDefault="00981B76" w:rsidP="00E83799">
            <w:pPr>
              <w:jc w:val="left"/>
              <w:rPr>
                <w:szCs w:val="22"/>
                <w:lang w:eastAsia="en-CA"/>
              </w:rPr>
            </w:pPr>
            <w:r w:rsidRPr="008E044D">
              <w:rPr>
                <w:szCs w:val="22"/>
                <w:lang w:eastAsia="en-CA"/>
              </w:rPr>
              <w:t>Panama</w:t>
            </w:r>
          </w:p>
        </w:tc>
        <w:tc>
          <w:tcPr>
            <w:tcW w:w="2288" w:type="dxa"/>
            <w:tcBorders>
              <w:top w:val="nil"/>
              <w:left w:val="nil"/>
              <w:bottom w:val="single" w:sz="4" w:space="0" w:color="auto"/>
              <w:right w:val="single" w:sz="4" w:space="0" w:color="auto"/>
            </w:tcBorders>
            <w:shd w:val="clear" w:color="auto" w:fill="auto"/>
            <w:vAlign w:val="center"/>
            <w:hideMark/>
          </w:tcPr>
          <w:p w14:paraId="765FF66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034</w:t>
            </w:r>
          </w:p>
        </w:tc>
        <w:tc>
          <w:tcPr>
            <w:tcW w:w="0" w:type="auto"/>
            <w:tcBorders>
              <w:top w:val="nil"/>
              <w:left w:val="nil"/>
              <w:bottom w:val="single" w:sz="4" w:space="0" w:color="auto"/>
              <w:right w:val="single" w:sz="4" w:space="0" w:color="auto"/>
            </w:tcBorders>
            <w:shd w:val="clear" w:color="auto" w:fill="auto"/>
            <w:noWrap/>
            <w:vAlign w:val="center"/>
            <w:hideMark/>
          </w:tcPr>
          <w:p w14:paraId="5A7DD09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049</w:t>
            </w:r>
          </w:p>
        </w:tc>
        <w:tc>
          <w:tcPr>
            <w:tcW w:w="0" w:type="auto"/>
            <w:tcBorders>
              <w:top w:val="nil"/>
              <w:left w:val="nil"/>
              <w:bottom w:val="single" w:sz="4" w:space="0" w:color="auto"/>
              <w:right w:val="single" w:sz="4" w:space="0" w:color="auto"/>
            </w:tcBorders>
            <w:shd w:val="clear" w:color="auto" w:fill="auto"/>
            <w:noWrap/>
            <w:vAlign w:val="center"/>
            <w:hideMark/>
          </w:tcPr>
          <w:p w14:paraId="27B75F8F"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182</w:t>
            </w:r>
          </w:p>
        </w:tc>
        <w:tc>
          <w:tcPr>
            <w:tcW w:w="0" w:type="auto"/>
            <w:tcBorders>
              <w:top w:val="nil"/>
              <w:left w:val="nil"/>
              <w:bottom w:val="single" w:sz="4" w:space="0" w:color="auto"/>
              <w:right w:val="single" w:sz="4" w:space="0" w:color="auto"/>
            </w:tcBorders>
            <w:shd w:val="clear" w:color="auto" w:fill="auto"/>
            <w:noWrap/>
            <w:vAlign w:val="center"/>
            <w:hideMark/>
          </w:tcPr>
          <w:p w14:paraId="40D9C7B7"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254</w:t>
            </w:r>
          </w:p>
        </w:tc>
        <w:tc>
          <w:tcPr>
            <w:tcW w:w="0" w:type="auto"/>
            <w:tcBorders>
              <w:top w:val="nil"/>
              <w:left w:val="nil"/>
              <w:bottom w:val="single" w:sz="4" w:space="0" w:color="auto"/>
              <w:right w:val="single" w:sz="4" w:space="0" w:color="auto"/>
            </w:tcBorders>
            <w:shd w:val="clear" w:color="auto" w:fill="auto"/>
            <w:noWrap/>
            <w:vAlign w:val="center"/>
            <w:hideMark/>
          </w:tcPr>
          <w:p w14:paraId="7DCF9E5B"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436</w:t>
            </w:r>
          </w:p>
        </w:tc>
      </w:tr>
      <w:tr w:rsidR="00981B76" w:rsidRPr="00C678EF" w14:paraId="32D889D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1293B" w14:textId="77777777" w:rsidR="00981B76" w:rsidRPr="008E044D" w:rsidRDefault="00981B76" w:rsidP="00E83799">
            <w:pPr>
              <w:jc w:val="left"/>
              <w:rPr>
                <w:szCs w:val="22"/>
                <w:lang w:eastAsia="en-CA"/>
              </w:rPr>
            </w:pPr>
            <w:r>
              <w:rPr>
                <w:szCs w:val="22"/>
                <w:lang w:eastAsia="en-CA"/>
              </w:rPr>
              <w:lastRenderedPageBreak/>
              <w:t>Papouasie-Nouvelle-</w:t>
            </w:r>
            <w:r w:rsidRPr="008E044D">
              <w:rPr>
                <w:szCs w:val="22"/>
                <w:lang w:eastAsia="en-CA"/>
              </w:rPr>
              <w:t>Guin</w:t>
            </w:r>
            <w:r>
              <w:rPr>
                <w:szCs w:val="22"/>
                <w:lang w:eastAsia="en-CA"/>
              </w:rPr>
              <w:t>ée</w:t>
            </w:r>
          </w:p>
        </w:tc>
        <w:tc>
          <w:tcPr>
            <w:tcW w:w="2288" w:type="dxa"/>
            <w:tcBorders>
              <w:top w:val="nil"/>
              <w:left w:val="nil"/>
              <w:bottom w:val="single" w:sz="4" w:space="0" w:color="auto"/>
              <w:right w:val="single" w:sz="4" w:space="0" w:color="auto"/>
            </w:tcBorders>
            <w:shd w:val="clear" w:color="auto" w:fill="auto"/>
            <w:vAlign w:val="center"/>
            <w:hideMark/>
          </w:tcPr>
          <w:p w14:paraId="5137A57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5ED452D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127B2FA4"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ADF7422"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0976EFC2"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1ECFFCD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BF470" w14:textId="77777777" w:rsidR="00981B76" w:rsidRPr="008E044D" w:rsidRDefault="00981B76" w:rsidP="00E83799">
            <w:pPr>
              <w:jc w:val="left"/>
              <w:rPr>
                <w:szCs w:val="22"/>
                <w:lang w:eastAsia="en-CA"/>
              </w:rPr>
            </w:pPr>
            <w:r w:rsidRPr="008E044D">
              <w:rPr>
                <w:szCs w:val="22"/>
                <w:lang w:eastAsia="en-CA"/>
              </w:rPr>
              <w:t>Paraguay</w:t>
            </w:r>
          </w:p>
        </w:tc>
        <w:tc>
          <w:tcPr>
            <w:tcW w:w="2288" w:type="dxa"/>
            <w:tcBorders>
              <w:top w:val="nil"/>
              <w:left w:val="nil"/>
              <w:bottom w:val="single" w:sz="4" w:space="0" w:color="auto"/>
              <w:right w:val="single" w:sz="4" w:space="0" w:color="auto"/>
            </w:tcBorders>
            <w:shd w:val="clear" w:color="auto" w:fill="auto"/>
            <w:vAlign w:val="center"/>
            <w:hideMark/>
          </w:tcPr>
          <w:p w14:paraId="094D3A8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72CB8F6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14:paraId="0649695E" w14:textId="77777777" w:rsidR="00981B76" w:rsidRPr="008E044D" w:rsidRDefault="00981B76" w:rsidP="00E83799">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495BF3DE" w14:textId="77777777" w:rsidR="00981B76" w:rsidRPr="008E044D" w:rsidRDefault="00981B76" w:rsidP="00E83799">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67A778BE"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981B76" w:rsidRPr="00C678EF" w14:paraId="3CAAC21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23D2EC" w14:textId="77777777" w:rsidR="00981B76" w:rsidRPr="008E044D" w:rsidRDefault="00981B76" w:rsidP="00E83799">
            <w:pPr>
              <w:jc w:val="left"/>
              <w:rPr>
                <w:szCs w:val="22"/>
                <w:lang w:eastAsia="en-CA"/>
              </w:rPr>
            </w:pPr>
            <w:r>
              <w:rPr>
                <w:szCs w:val="22"/>
                <w:lang w:eastAsia="en-CA"/>
              </w:rPr>
              <w:t>Pays-Bas</w:t>
            </w:r>
          </w:p>
        </w:tc>
        <w:tc>
          <w:tcPr>
            <w:tcW w:w="2288" w:type="dxa"/>
            <w:tcBorders>
              <w:top w:val="nil"/>
              <w:left w:val="nil"/>
              <w:bottom w:val="single" w:sz="4" w:space="0" w:color="auto"/>
              <w:right w:val="single" w:sz="4" w:space="0" w:color="auto"/>
            </w:tcBorders>
            <w:shd w:val="clear" w:color="auto" w:fill="auto"/>
            <w:vAlign w:val="center"/>
            <w:hideMark/>
          </w:tcPr>
          <w:p w14:paraId="755F6326" w14:textId="77777777" w:rsidR="00981B76" w:rsidRPr="008E044D" w:rsidRDefault="00981B76" w:rsidP="00E83799">
            <w:pPr>
              <w:ind w:right="770"/>
              <w:jc w:val="right"/>
              <w:rPr>
                <w:szCs w:val="22"/>
                <w:lang w:eastAsia="en-CA"/>
              </w:rPr>
            </w:pPr>
            <w:r w:rsidRPr="008E044D">
              <w:rPr>
                <w:szCs w:val="22"/>
                <w:lang w:eastAsia="en-CA"/>
              </w:rPr>
              <w:t>1</w:t>
            </w:r>
            <w:r>
              <w:rPr>
                <w:szCs w:val="22"/>
                <w:lang w:eastAsia="en-CA"/>
              </w:rPr>
              <w:t>,</w:t>
            </w:r>
            <w:r w:rsidRPr="008E044D">
              <w:rPr>
                <w:szCs w:val="22"/>
                <w:lang w:eastAsia="en-CA"/>
              </w:rPr>
              <w:t>482</w:t>
            </w:r>
          </w:p>
        </w:tc>
        <w:tc>
          <w:tcPr>
            <w:tcW w:w="0" w:type="auto"/>
            <w:tcBorders>
              <w:top w:val="nil"/>
              <w:left w:val="nil"/>
              <w:bottom w:val="single" w:sz="4" w:space="0" w:color="auto"/>
              <w:right w:val="single" w:sz="4" w:space="0" w:color="auto"/>
            </w:tcBorders>
            <w:shd w:val="clear" w:color="auto" w:fill="auto"/>
            <w:noWrap/>
            <w:vAlign w:val="center"/>
            <w:hideMark/>
          </w:tcPr>
          <w:p w14:paraId="676BAA94" w14:textId="77777777" w:rsidR="00981B76" w:rsidRPr="008E044D" w:rsidRDefault="00981B76" w:rsidP="00E83799">
            <w:pPr>
              <w:ind w:right="1144"/>
              <w:jc w:val="right"/>
              <w:rPr>
                <w:szCs w:val="22"/>
                <w:lang w:eastAsia="en-CA"/>
              </w:rPr>
            </w:pPr>
            <w:r w:rsidRPr="008E044D">
              <w:rPr>
                <w:szCs w:val="22"/>
                <w:lang w:eastAsia="en-CA"/>
              </w:rPr>
              <w:t>2</w:t>
            </w:r>
            <w:r>
              <w:rPr>
                <w:szCs w:val="22"/>
                <w:lang w:eastAsia="en-CA"/>
              </w:rPr>
              <w:t>,</w:t>
            </w:r>
            <w:r w:rsidRPr="008E044D">
              <w:rPr>
                <w:szCs w:val="22"/>
                <w:lang w:eastAsia="en-CA"/>
              </w:rPr>
              <w:t>146</w:t>
            </w:r>
          </w:p>
        </w:tc>
        <w:tc>
          <w:tcPr>
            <w:tcW w:w="0" w:type="auto"/>
            <w:tcBorders>
              <w:top w:val="nil"/>
              <w:left w:val="nil"/>
              <w:bottom w:val="single" w:sz="4" w:space="0" w:color="auto"/>
              <w:right w:val="single" w:sz="4" w:space="0" w:color="auto"/>
            </w:tcBorders>
            <w:shd w:val="clear" w:color="auto" w:fill="auto"/>
            <w:noWrap/>
            <w:vAlign w:val="center"/>
            <w:hideMark/>
          </w:tcPr>
          <w:p w14:paraId="287BE0AF" w14:textId="77777777" w:rsidR="00981B76" w:rsidRPr="008E044D" w:rsidRDefault="00981B76" w:rsidP="00E83799">
            <w:pPr>
              <w:ind w:right="276"/>
              <w:jc w:val="right"/>
              <w:rPr>
                <w:szCs w:val="22"/>
                <w:lang w:eastAsia="en-CA"/>
              </w:rPr>
            </w:pPr>
            <w:r w:rsidRPr="008E044D">
              <w:rPr>
                <w:szCs w:val="22"/>
                <w:lang w:eastAsia="en-CA"/>
              </w:rPr>
              <w:t>51</w:t>
            </w:r>
            <w:r>
              <w:rPr>
                <w:szCs w:val="22"/>
                <w:lang w:eastAsia="en-CA"/>
              </w:rPr>
              <w:t xml:space="preserve"> </w:t>
            </w:r>
            <w:r w:rsidRPr="008E044D">
              <w:rPr>
                <w:szCs w:val="22"/>
                <w:lang w:eastAsia="en-CA"/>
              </w:rPr>
              <w:t>528</w:t>
            </w:r>
          </w:p>
        </w:tc>
        <w:tc>
          <w:tcPr>
            <w:tcW w:w="0" w:type="auto"/>
            <w:tcBorders>
              <w:top w:val="nil"/>
              <w:left w:val="nil"/>
              <w:bottom w:val="single" w:sz="4" w:space="0" w:color="auto"/>
              <w:right w:val="single" w:sz="4" w:space="0" w:color="auto"/>
            </w:tcBorders>
            <w:shd w:val="clear" w:color="auto" w:fill="auto"/>
            <w:noWrap/>
            <w:vAlign w:val="center"/>
            <w:hideMark/>
          </w:tcPr>
          <w:p w14:paraId="33676926" w14:textId="77777777" w:rsidR="00981B76" w:rsidRPr="008E044D" w:rsidRDefault="00981B76" w:rsidP="00E83799">
            <w:pPr>
              <w:ind w:right="276"/>
              <w:jc w:val="right"/>
              <w:rPr>
                <w:szCs w:val="22"/>
                <w:lang w:eastAsia="en-CA"/>
              </w:rPr>
            </w:pPr>
            <w:r w:rsidRPr="008E044D">
              <w:rPr>
                <w:szCs w:val="22"/>
                <w:lang w:eastAsia="en-CA"/>
              </w:rPr>
              <w:t>54</w:t>
            </w:r>
            <w:r>
              <w:rPr>
                <w:szCs w:val="22"/>
                <w:lang w:eastAsia="en-CA"/>
              </w:rPr>
              <w:t xml:space="preserve"> </w:t>
            </w:r>
            <w:r w:rsidRPr="008E044D">
              <w:rPr>
                <w:szCs w:val="22"/>
                <w:lang w:eastAsia="en-CA"/>
              </w:rPr>
              <w:t>640</w:t>
            </w:r>
          </w:p>
        </w:tc>
        <w:tc>
          <w:tcPr>
            <w:tcW w:w="0" w:type="auto"/>
            <w:tcBorders>
              <w:top w:val="nil"/>
              <w:left w:val="nil"/>
              <w:bottom w:val="single" w:sz="4" w:space="0" w:color="auto"/>
              <w:right w:val="single" w:sz="4" w:space="0" w:color="auto"/>
            </w:tcBorders>
            <w:shd w:val="clear" w:color="auto" w:fill="auto"/>
            <w:noWrap/>
            <w:vAlign w:val="center"/>
            <w:hideMark/>
          </w:tcPr>
          <w:p w14:paraId="2139ACE6" w14:textId="77777777" w:rsidR="00981B76" w:rsidRPr="008E044D" w:rsidRDefault="00981B76" w:rsidP="00E83799">
            <w:pPr>
              <w:ind w:right="276"/>
              <w:jc w:val="right"/>
              <w:rPr>
                <w:szCs w:val="22"/>
                <w:lang w:eastAsia="en-CA"/>
              </w:rPr>
            </w:pPr>
            <w:r w:rsidRPr="008E044D">
              <w:rPr>
                <w:szCs w:val="22"/>
                <w:lang w:eastAsia="en-CA"/>
              </w:rPr>
              <w:t>106</w:t>
            </w:r>
            <w:r>
              <w:rPr>
                <w:szCs w:val="22"/>
                <w:lang w:eastAsia="en-CA"/>
              </w:rPr>
              <w:t xml:space="preserve"> </w:t>
            </w:r>
            <w:r w:rsidRPr="008E044D">
              <w:rPr>
                <w:szCs w:val="22"/>
                <w:lang w:eastAsia="en-CA"/>
              </w:rPr>
              <w:t>168</w:t>
            </w:r>
          </w:p>
        </w:tc>
      </w:tr>
      <w:tr w:rsidR="00981B76" w:rsidRPr="00C678EF" w14:paraId="2FD7E10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E460E3" w14:textId="77777777" w:rsidR="00981B76" w:rsidRPr="008E044D" w:rsidRDefault="00981B76" w:rsidP="00E83799">
            <w:pPr>
              <w:jc w:val="left"/>
              <w:rPr>
                <w:szCs w:val="22"/>
                <w:lang w:eastAsia="en-CA"/>
              </w:rPr>
            </w:pPr>
            <w:r>
              <w:rPr>
                <w:szCs w:val="22"/>
                <w:lang w:eastAsia="en-CA"/>
              </w:rPr>
              <w:t>Pé</w:t>
            </w:r>
            <w:r w:rsidRPr="008E044D">
              <w:rPr>
                <w:szCs w:val="22"/>
                <w:lang w:eastAsia="en-CA"/>
              </w:rPr>
              <w:t>r</w:t>
            </w:r>
            <w:r>
              <w:rPr>
                <w:szCs w:val="22"/>
                <w:lang w:eastAsia="en-CA"/>
              </w:rPr>
              <w:t>o</w:t>
            </w:r>
            <w:r w:rsidRPr="008E044D">
              <w:rPr>
                <w:szCs w:val="22"/>
                <w:lang w:eastAsia="en-CA"/>
              </w:rPr>
              <w:t>u</w:t>
            </w:r>
          </w:p>
        </w:tc>
        <w:tc>
          <w:tcPr>
            <w:tcW w:w="2288" w:type="dxa"/>
            <w:tcBorders>
              <w:top w:val="nil"/>
              <w:left w:val="nil"/>
              <w:bottom w:val="single" w:sz="4" w:space="0" w:color="auto"/>
              <w:right w:val="single" w:sz="4" w:space="0" w:color="auto"/>
            </w:tcBorders>
            <w:shd w:val="clear" w:color="auto" w:fill="auto"/>
            <w:vAlign w:val="center"/>
            <w:hideMark/>
          </w:tcPr>
          <w:p w14:paraId="3D65ECAF"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136</w:t>
            </w:r>
          </w:p>
        </w:tc>
        <w:tc>
          <w:tcPr>
            <w:tcW w:w="0" w:type="auto"/>
            <w:tcBorders>
              <w:top w:val="nil"/>
              <w:left w:val="nil"/>
              <w:bottom w:val="single" w:sz="4" w:space="0" w:color="auto"/>
              <w:right w:val="single" w:sz="4" w:space="0" w:color="auto"/>
            </w:tcBorders>
            <w:shd w:val="clear" w:color="auto" w:fill="auto"/>
            <w:noWrap/>
            <w:vAlign w:val="center"/>
            <w:hideMark/>
          </w:tcPr>
          <w:p w14:paraId="0A35D81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197</w:t>
            </w:r>
          </w:p>
        </w:tc>
        <w:tc>
          <w:tcPr>
            <w:tcW w:w="0" w:type="auto"/>
            <w:tcBorders>
              <w:top w:val="nil"/>
              <w:left w:val="nil"/>
              <w:bottom w:val="single" w:sz="4" w:space="0" w:color="auto"/>
              <w:right w:val="single" w:sz="4" w:space="0" w:color="auto"/>
            </w:tcBorders>
            <w:shd w:val="clear" w:color="auto" w:fill="auto"/>
            <w:noWrap/>
            <w:vAlign w:val="center"/>
            <w:hideMark/>
          </w:tcPr>
          <w:p w14:paraId="4EB0582D"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729</w:t>
            </w:r>
          </w:p>
        </w:tc>
        <w:tc>
          <w:tcPr>
            <w:tcW w:w="0" w:type="auto"/>
            <w:tcBorders>
              <w:top w:val="nil"/>
              <w:left w:val="nil"/>
              <w:bottom w:val="single" w:sz="4" w:space="0" w:color="auto"/>
              <w:right w:val="single" w:sz="4" w:space="0" w:color="auto"/>
            </w:tcBorders>
            <w:shd w:val="clear" w:color="auto" w:fill="auto"/>
            <w:noWrap/>
            <w:vAlign w:val="center"/>
            <w:hideMark/>
          </w:tcPr>
          <w:p w14:paraId="5E33A46A"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14:paraId="7E377030" w14:textId="77777777" w:rsidR="00981B76" w:rsidRPr="008E044D" w:rsidRDefault="00981B76" w:rsidP="00E83799">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743</w:t>
            </w:r>
          </w:p>
        </w:tc>
      </w:tr>
      <w:tr w:rsidR="00981B76" w:rsidRPr="00C678EF" w14:paraId="1DDEA4C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E1235D" w14:textId="77777777" w:rsidR="00981B76" w:rsidRPr="008E044D" w:rsidRDefault="00981B76" w:rsidP="00E83799">
            <w:pPr>
              <w:jc w:val="left"/>
              <w:rPr>
                <w:szCs w:val="22"/>
                <w:lang w:eastAsia="en-CA"/>
              </w:rPr>
            </w:pPr>
            <w:r w:rsidRPr="008E044D">
              <w:rPr>
                <w:szCs w:val="22"/>
                <w:lang w:eastAsia="en-CA"/>
              </w:rPr>
              <w:t>Philippines</w:t>
            </w:r>
          </w:p>
        </w:tc>
        <w:tc>
          <w:tcPr>
            <w:tcW w:w="2288" w:type="dxa"/>
            <w:tcBorders>
              <w:top w:val="nil"/>
              <w:left w:val="nil"/>
              <w:bottom w:val="single" w:sz="4" w:space="0" w:color="auto"/>
              <w:right w:val="single" w:sz="4" w:space="0" w:color="auto"/>
            </w:tcBorders>
            <w:shd w:val="clear" w:color="auto" w:fill="auto"/>
            <w:vAlign w:val="center"/>
            <w:hideMark/>
          </w:tcPr>
          <w:p w14:paraId="63165B62"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165</w:t>
            </w:r>
          </w:p>
        </w:tc>
        <w:tc>
          <w:tcPr>
            <w:tcW w:w="0" w:type="auto"/>
            <w:tcBorders>
              <w:top w:val="nil"/>
              <w:left w:val="nil"/>
              <w:bottom w:val="single" w:sz="4" w:space="0" w:color="auto"/>
              <w:right w:val="single" w:sz="4" w:space="0" w:color="auto"/>
            </w:tcBorders>
            <w:shd w:val="clear" w:color="auto" w:fill="auto"/>
            <w:noWrap/>
            <w:vAlign w:val="center"/>
            <w:hideMark/>
          </w:tcPr>
          <w:p w14:paraId="6BBCAC1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239</w:t>
            </w:r>
          </w:p>
        </w:tc>
        <w:tc>
          <w:tcPr>
            <w:tcW w:w="0" w:type="auto"/>
            <w:tcBorders>
              <w:top w:val="nil"/>
              <w:left w:val="nil"/>
              <w:bottom w:val="single" w:sz="4" w:space="0" w:color="auto"/>
              <w:right w:val="single" w:sz="4" w:space="0" w:color="auto"/>
            </w:tcBorders>
            <w:shd w:val="clear" w:color="auto" w:fill="auto"/>
            <w:noWrap/>
            <w:vAlign w:val="center"/>
            <w:hideMark/>
          </w:tcPr>
          <w:p w14:paraId="402216D7"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76D309F2" w14:textId="77777777" w:rsidR="00981B76" w:rsidRPr="008E044D" w:rsidRDefault="00981B76" w:rsidP="00E83799">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083</w:t>
            </w:r>
          </w:p>
        </w:tc>
        <w:tc>
          <w:tcPr>
            <w:tcW w:w="0" w:type="auto"/>
            <w:tcBorders>
              <w:top w:val="nil"/>
              <w:left w:val="nil"/>
              <w:bottom w:val="single" w:sz="4" w:space="0" w:color="auto"/>
              <w:right w:val="single" w:sz="4" w:space="0" w:color="auto"/>
            </w:tcBorders>
            <w:shd w:val="clear" w:color="auto" w:fill="auto"/>
            <w:noWrap/>
            <w:vAlign w:val="center"/>
            <w:hideMark/>
          </w:tcPr>
          <w:p w14:paraId="193192EF"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820</w:t>
            </w:r>
          </w:p>
        </w:tc>
      </w:tr>
      <w:tr w:rsidR="00981B76" w:rsidRPr="00C678EF" w14:paraId="68E280E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644ADA" w14:textId="77777777" w:rsidR="00981B76" w:rsidRPr="008E044D" w:rsidRDefault="00981B76" w:rsidP="00E83799">
            <w:pPr>
              <w:jc w:val="left"/>
              <w:rPr>
                <w:szCs w:val="22"/>
                <w:lang w:eastAsia="en-CA"/>
              </w:rPr>
            </w:pPr>
            <w:r>
              <w:rPr>
                <w:szCs w:val="22"/>
                <w:lang w:eastAsia="en-CA"/>
              </w:rPr>
              <w:t>Pologne</w:t>
            </w:r>
          </w:p>
        </w:tc>
        <w:tc>
          <w:tcPr>
            <w:tcW w:w="2288" w:type="dxa"/>
            <w:tcBorders>
              <w:top w:val="nil"/>
              <w:left w:val="nil"/>
              <w:bottom w:val="single" w:sz="4" w:space="0" w:color="auto"/>
              <w:right w:val="single" w:sz="4" w:space="0" w:color="auto"/>
            </w:tcBorders>
            <w:shd w:val="clear" w:color="auto" w:fill="auto"/>
            <w:vAlign w:val="center"/>
            <w:hideMark/>
          </w:tcPr>
          <w:p w14:paraId="7F983787"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841</w:t>
            </w:r>
          </w:p>
        </w:tc>
        <w:tc>
          <w:tcPr>
            <w:tcW w:w="0" w:type="auto"/>
            <w:tcBorders>
              <w:top w:val="nil"/>
              <w:left w:val="nil"/>
              <w:bottom w:val="single" w:sz="4" w:space="0" w:color="auto"/>
              <w:right w:val="single" w:sz="4" w:space="0" w:color="auto"/>
            </w:tcBorders>
            <w:shd w:val="clear" w:color="auto" w:fill="auto"/>
            <w:noWrap/>
            <w:vAlign w:val="center"/>
            <w:hideMark/>
          </w:tcPr>
          <w:p w14:paraId="0D9727F0"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218</w:t>
            </w:r>
          </w:p>
        </w:tc>
        <w:tc>
          <w:tcPr>
            <w:tcW w:w="0" w:type="auto"/>
            <w:tcBorders>
              <w:top w:val="nil"/>
              <w:left w:val="nil"/>
              <w:bottom w:val="single" w:sz="4" w:space="0" w:color="auto"/>
              <w:right w:val="single" w:sz="4" w:space="0" w:color="auto"/>
            </w:tcBorders>
            <w:shd w:val="clear" w:color="auto" w:fill="auto"/>
            <w:noWrap/>
            <w:vAlign w:val="center"/>
            <w:hideMark/>
          </w:tcPr>
          <w:p w14:paraId="7AE3E4CC" w14:textId="77777777" w:rsidR="00981B76" w:rsidRPr="008E044D" w:rsidRDefault="00981B76" w:rsidP="00E83799">
            <w:pPr>
              <w:ind w:right="276"/>
              <w:jc w:val="right"/>
              <w:rPr>
                <w:szCs w:val="22"/>
                <w:lang w:eastAsia="en-CA"/>
              </w:rPr>
            </w:pPr>
            <w:r w:rsidRPr="008E044D">
              <w:rPr>
                <w:szCs w:val="22"/>
                <w:lang w:eastAsia="en-CA"/>
              </w:rPr>
              <w:t>29</w:t>
            </w:r>
            <w:r>
              <w:rPr>
                <w:szCs w:val="22"/>
                <w:lang w:eastAsia="en-CA"/>
              </w:rPr>
              <w:t xml:space="preserve"> </w:t>
            </w:r>
            <w:r w:rsidRPr="008E044D">
              <w:rPr>
                <w:szCs w:val="22"/>
                <w:lang w:eastAsia="en-CA"/>
              </w:rPr>
              <w:t>241</w:t>
            </w:r>
          </w:p>
        </w:tc>
        <w:tc>
          <w:tcPr>
            <w:tcW w:w="0" w:type="auto"/>
            <w:tcBorders>
              <w:top w:val="nil"/>
              <w:left w:val="nil"/>
              <w:bottom w:val="single" w:sz="4" w:space="0" w:color="auto"/>
              <w:right w:val="single" w:sz="4" w:space="0" w:color="auto"/>
            </w:tcBorders>
            <w:shd w:val="clear" w:color="auto" w:fill="auto"/>
            <w:noWrap/>
            <w:vAlign w:val="center"/>
            <w:hideMark/>
          </w:tcPr>
          <w:p w14:paraId="13CD524F" w14:textId="77777777" w:rsidR="00981B76" w:rsidRPr="008E044D" w:rsidRDefault="00981B76" w:rsidP="00E83799">
            <w:pPr>
              <w:ind w:right="276"/>
              <w:jc w:val="right"/>
              <w:rPr>
                <w:szCs w:val="22"/>
                <w:lang w:eastAsia="en-CA"/>
              </w:rPr>
            </w:pPr>
            <w:r w:rsidRPr="008E044D">
              <w:rPr>
                <w:szCs w:val="22"/>
                <w:lang w:eastAsia="en-CA"/>
              </w:rPr>
              <w:t>31</w:t>
            </w:r>
            <w:r>
              <w:rPr>
                <w:szCs w:val="22"/>
                <w:lang w:eastAsia="en-CA"/>
              </w:rPr>
              <w:t xml:space="preserve"> </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46DB5F44" w14:textId="77777777" w:rsidR="00981B76" w:rsidRPr="008E044D" w:rsidRDefault="00981B76" w:rsidP="00E83799">
            <w:pPr>
              <w:ind w:right="276"/>
              <w:jc w:val="right"/>
              <w:rPr>
                <w:szCs w:val="22"/>
                <w:lang w:eastAsia="en-CA"/>
              </w:rPr>
            </w:pPr>
            <w:r w:rsidRPr="008E044D">
              <w:rPr>
                <w:szCs w:val="22"/>
                <w:lang w:eastAsia="en-CA"/>
              </w:rPr>
              <w:t>60</w:t>
            </w:r>
            <w:r>
              <w:rPr>
                <w:szCs w:val="22"/>
                <w:lang w:eastAsia="en-CA"/>
              </w:rPr>
              <w:t xml:space="preserve"> </w:t>
            </w:r>
            <w:r w:rsidRPr="008E044D">
              <w:rPr>
                <w:szCs w:val="22"/>
                <w:lang w:eastAsia="en-CA"/>
              </w:rPr>
              <w:t>248</w:t>
            </w:r>
          </w:p>
        </w:tc>
      </w:tr>
      <w:tr w:rsidR="00981B76" w:rsidRPr="00C678EF" w14:paraId="5CA6D70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771506" w14:textId="12E684FC" w:rsidR="00981B76" w:rsidRPr="008E044D" w:rsidRDefault="006B2234" w:rsidP="00E83799">
            <w:pPr>
              <w:jc w:val="left"/>
              <w:rPr>
                <w:szCs w:val="22"/>
                <w:lang w:eastAsia="en-CA"/>
              </w:rPr>
            </w:pPr>
            <w:r>
              <w:rPr>
                <w:szCs w:val="22"/>
                <w:lang w:eastAsia="en-CA"/>
              </w:rPr>
              <w:t>Portugal</w:t>
            </w:r>
          </w:p>
        </w:tc>
        <w:tc>
          <w:tcPr>
            <w:tcW w:w="2288" w:type="dxa"/>
            <w:tcBorders>
              <w:top w:val="nil"/>
              <w:left w:val="nil"/>
              <w:bottom w:val="single" w:sz="4" w:space="0" w:color="auto"/>
              <w:right w:val="single" w:sz="4" w:space="0" w:color="auto"/>
            </w:tcBorders>
            <w:shd w:val="clear" w:color="auto" w:fill="auto"/>
            <w:vAlign w:val="center"/>
            <w:hideMark/>
          </w:tcPr>
          <w:p w14:paraId="776E667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392</w:t>
            </w:r>
          </w:p>
        </w:tc>
        <w:tc>
          <w:tcPr>
            <w:tcW w:w="0" w:type="auto"/>
            <w:tcBorders>
              <w:top w:val="nil"/>
              <w:left w:val="nil"/>
              <w:bottom w:val="single" w:sz="4" w:space="0" w:color="auto"/>
              <w:right w:val="single" w:sz="4" w:space="0" w:color="auto"/>
            </w:tcBorders>
            <w:shd w:val="clear" w:color="auto" w:fill="auto"/>
            <w:noWrap/>
            <w:vAlign w:val="center"/>
            <w:hideMark/>
          </w:tcPr>
          <w:p w14:paraId="615EA50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568</w:t>
            </w:r>
          </w:p>
        </w:tc>
        <w:tc>
          <w:tcPr>
            <w:tcW w:w="0" w:type="auto"/>
            <w:tcBorders>
              <w:top w:val="nil"/>
              <w:left w:val="nil"/>
              <w:bottom w:val="single" w:sz="4" w:space="0" w:color="auto"/>
              <w:right w:val="single" w:sz="4" w:space="0" w:color="auto"/>
            </w:tcBorders>
            <w:shd w:val="clear" w:color="auto" w:fill="auto"/>
            <w:noWrap/>
            <w:vAlign w:val="center"/>
            <w:hideMark/>
          </w:tcPr>
          <w:p w14:paraId="06EE9CE6" w14:textId="77777777" w:rsidR="00981B76" w:rsidRPr="008E044D" w:rsidRDefault="00981B76" w:rsidP="00E83799">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629</w:t>
            </w:r>
          </w:p>
        </w:tc>
        <w:tc>
          <w:tcPr>
            <w:tcW w:w="0" w:type="auto"/>
            <w:tcBorders>
              <w:top w:val="nil"/>
              <w:left w:val="nil"/>
              <w:bottom w:val="single" w:sz="4" w:space="0" w:color="auto"/>
              <w:right w:val="single" w:sz="4" w:space="0" w:color="auto"/>
            </w:tcBorders>
            <w:shd w:val="clear" w:color="auto" w:fill="auto"/>
            <w:noWrap/>
            <w:vAlign w:val="center"/>
            <w:hideMark/>
          </w:tcPr>
          <w:p w14:paraId="0B05C760" w14:textId="77777777" w:rsidR="00981B76" w:rsidRPr="008E044D" w:rsidRDefault="00981B76" w:rsidP="00E83799">
            <w:pPr>
              <w:ind w:right="276"/>
              <w:jc w:val="right"/>
              <w:rPr>
                <w:szCs w:val="22"/>
                <w:lang w:eastAsia="en-CA"/>
              </w:rPr>
            </w:pPr>
            <w:r w:rsidRPr="008E044D">
              <w:rPr>
                <w:szCs w:val="22"/>
                <w:lang w:eastAsia="en-CA"/>
              </w:rPr>
              <w:t>14</w:t>
            </w:r>
            <w:r>
              <w:rPr>
                <w:szCs w:val="22"/>
                <w:lang w:eastAsia="en-CA"/>
              </w:rPr>
              <w:t xml:space="preserve"> </w:t>
            </w:r>
            <w:r w:rsidRPr="008E044D">
              <w:rPr>
                <w:szCs w:val="22"/>
                <w:lang w:eastAsia="en-CA"/>
              </w:rPr>
              <w:t>453</w:t>
            </w:r>
          </w:p>
        </w:tc>
        <w:tc>
          <w:tcPr>
            <w:tcW w:w="0" w:type="auto"/>
            <w:tcBorders>
              <w:top w:val="nil"/>
              <w:left w:val="nil"/>
              <w:bottom w:val="single" w:sz="4" w:space="0" w:color="auto"/>
              <w:right w:val="single" w:sz="4" w:space="0" w:color="auto"/>
            </w:tcBorders>
            <w:shd w:val="clear" w:color="auto" w:fill="auto"/>
            <w:noWrap/>
            <w:vAlign w:val="center"/>
            <w:hideMark/>
          </w:tcPr>
          <w:p w14:paraId="77BE5A9B" w14:textId="77777777" w:rsidR="00981B76" w:rsidRPr="008E044D" w:rsidRDefault="00981B76" w:rsidP="00E83799">
            <w:pPr>
              <w:ind w:right="276"/>
              <w:jc w:val="right"/>
              <w:rPr>
                <w:szCs w:val="22"/>
                <w:lang w:eastAsia="en-CA"/>
              </w:rPr>
            </w:pPr>
            <w:r w:rsidRPr="008E044D">
              <w:rPr>
                <w:szCs w:val="22"/>
                <w:lang w:eastAsia="en-CA"/>
              </w:rPr>
              <w:t>28</w:t>
            </w:r>
            <w:r>
              <w:rPr>
                <w:szCs w:val="22"/>
                <w:lang w:eastAsia="en-CA"/>
              </w:rPr>
              <w:t xml:space="preserve"> </w:t>
            </w:r>
            <w:r w:rsidRPr="008E044D">
              <w:rPr>
                <w:szCs w:val="22"/>
                <w:lang w:eastAsia="en-CA"/>
              </w:rPr>
              <w:t>082</w:t>
            </w:r>
          </w:p>
        </w:tc>
      </w:tr>
      <w:tr w:rsidR="00981B76" w:rsidRPr="00C678EF" w14:paraId="0C8B243A" w14:textId="77777777" w:rsidTr="00E8379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933462" w14:textId="77777777" w:rsidR="00981B76" w:rsidRPr="008E044D" w:rsidRDefault="00981B76" w:rsidP="00E83799">
            <w:pPr>
              <w:jc w:val="left"/>
              <w:rPr>
                <w:szCs w:val="22"/>
                <w:lang w:eastAsia="en-CA"/>
              </w:rPr>
            </w:pPr>
            <w:r w:rsidRPr="008E044D">
              <w:rPr>
                <w:szCs w:val="22"/>
                <w:lang w:eastAsia="en-CA"/>
              </w:rPr>
              <w:t>Qatar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354D401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269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A147F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52A7BF" w14:textId="77777777" w:rsidR="00981B76" w:rsidRPr="008E044D" w:rsidRDefault="00981B76" w:rsidP="00E83799">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FA1C23" w14:textId="77777777" w:rsidR="00981B76" w:rsidRPr="008E044D" w:rsidRDefault="00981B76" w:rsidP="00E83799">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1624B6" w14:textId="77777777" w:rsidR="00981B76" w:rsidRPr="008E044D" w:rsidRDefault="00981B76" w:rsidP="00E83799">
            <w:pPr>
              <w:ind w:right="276"/>
              <w:jc w:val="right"/>
              <w:rPr>
                <w:szCs w:val="22"/>
                <w:lang w:eastAsia="en-CA"/>
              </w:rPr>
            </w:pPr>
            <w:r w:rsidRPr="008E044D">
              <w:rPr>
                <w:szCs w:val="22"/>
                <w:lang w:eastAsia="en-CA"/>
              </w:rPr>
              <w:t>19</w:t>
            </w:r>
            <w:r>
              <w:rPr>
                <w:szCs w:val="22"/>
                <w:lang w:eastAsia="en-CA"/>
              </w:rPr>
              <w:t xml:space="preserve"> </w:t>
            </w:r>
            <w:r w:rsidRPr="008E044D">
              <w:rPr>
                <w:szCs w:val="22"/>
                <w:lang w:eastAsia="en-CA"/>
              </w:rPr>
              <w:t>271</w:t>
            </w:r>
          </w:p>
        </w:tc>
      </w:tr>
      <w:tr w:rsidR="00981B76" w:rsidRPr="00C678EF" w14:paraId="694E9B8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F96AD5" w14:textId="77777777" w:rsidR="00981B76" w:rsidRPr="008E044D" w:rsidRDefault="00981B76" w:rsidP="00E83799">
            <w:pPr>
              <w:jc w:val="left"/>
              <w:rPr>
                <w:szCs w:val="22"/>
                <w:lang w:eastAsia="en-CA"/>
              </w:rPr>
            </w:pPr>
            <w:r>
              <w:rPr>
                <w:szCs w:val="22"/>
                <w:lang w:eastAsia="en-CA"/>
              </w:rPr>
              <w:t>République arabe syrienne</w:t>
            </w:r>
          </w:p>
        </w:tc>
        <w:tc>
          <w:tcPr>
            <w:tcW w:w="2288" w:type="dxa"/>
            <w:tcBorders>
              <w:top w:val="nil"/>
              <w:left w:val="nil"/>
              <w:bottom w:val="single" w:sz="4" w:space="0" w:color="auto"/>
              <w:right w:val="single" w:sz="4" w:space="0" w:color="auto"/>
            </w:tcBorders>
            <w:shd w:val="clear" w:color="auto" w:fill="auto"/>
            <w:vAlign w:val="center"/>
            <w:hideMark/>
          </w:tcPr>
          <w:p w14:paraId="0B845C3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024</w:t>
            </w:r>
          </w:p>
        </w:tc>
        <w:tc>
          <w:tcPr>
            <w:tcW w:w="0" w:type="auto"/>
            <w:tcBorders>
              <w:top w:val="nil"/>
              <w:left w:val="nil"/>
              <w:bottom w:val="single" w:sz="4" w:space="0" w:color="auto"/>
              <w:right w:val="single" w:sz="4" w:space="0" w:color="auto"/>
            </w:tcBorders>
            <w:shd w:val="clear" w:color="auto" w:fill="auto"/>
            <w:noWrap/>
            <w:vAlign w:val="center"/>
            <w:hideMark/>
          </w:tcPr>
          <w:p w14:paraId="6FD1DCCD"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035</w:t>
            </w:r>
          </w:p>
        </w:tc>
        <w:tc>
          <w:tcPr>
            <w:tcW w:w="0" w:type="auto"/>
            <w:tcBorders>
              <w:top w:val="nil"/>
              <w:left w:val="nil"/>
              <w:bottom w:val="single" w:sz="4" w:space="0" w:color="auto"/>
              <w:right w:val="single" w:sz="4" w:space="0" w:color="auto"/>
            </w:tcBorders>
            <w:shd w:val="clear" w:color="auto" w:fill="auto"/>
            <w:noWrap/>
            <w:vAlign w:val="center"/>
            <w:hideMark/>
          </w:tcPr>
          <w:p w14:paraId="6110A13A" w14:textId="77777777" w:rsidR="00981B76" w:rsidRPr="008E044D" w:rsidRDefault="00981B76" w:rsidP="00E83799">
            <w:pPr>
              <w:ind w:right="276"/>
              <w:jc w:val="right"/>
              <w:rPr>
                <w:szCs w:val="22"/>
                <w:lang w:eastAsia="en-CA"/>
              </w:rPr>
            </w:pPr>
            <w:r w:rsidRPr="008E044D">
              <w:rPr>
                <w:szCs w:val="22"/>
                <w:lang w:eastAsia="en-CA"/>
              </w:rPr>
              <w:t>834</w:t>
            </w:r>
          </w:p>
        </w:tc>
        <w:tc>
          <w:tcPr>
            <w:tcW w:w="0" w:type="auto"/>
            <w:tcBorders>
              <w:top w:val="nil"/>
              <w:left w:val="nil"/>
              <w:bottom w:val="single" w:sz="4" w:space="0" w:color="auto"/>
              <w:right w:val="single" w:sz="4" w:space="0" w:color="auto"/>
            </w:tcBorders>
            <w:shd w:val="clear" w:color="auto" w:fill="auto"/>
            <w:noWrap/>
            <w:vAlign w:val="center"/>
            <w:hideMark/>
          </w:tcPr>
          <w:p w14:paraId="5606188B" w14:textId="77777777" w:rsidR="00981B76" w:rsidRPr="008E044D" w:rsidRDefault="00981B76" w:rsidP="00E83799">
            <w:pPr>
              <w:ind w:right="276"/>
              <w:jc w:val="right"/>
              <w:rPr>
                <w:szCs w:val="22"/>
                <w:lang w:eastAsia="en-CA"/>
              </w:rPr>
            </w:pPr>
            <w:r w:rsidRPr="008E044D">
              <w:rPr>
                <w:szCs w:val="22"/>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14:paraId="42E86A9B"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719</w:t>
            </w:r>
          </w:p>
        </w:tc>
      </w:tr>
      <w:tr w:rsidR="00981B76" w:rsidRPr="00C678EF" w14:paraId="03269AB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1F82B" w14:textId="77777777" w:rsidR="00981B76" w:rsidRPr="008E044D" w:rsidRDefault="00981B76" w:rsidP="00E83799">
            <w:pPr>
              <w:jc w:val="left"/>
              <w:rPr>
                <w:szCs w:val="22"/>
                <w:lang w:eastAsia="en-CA"/>
              </w:rPr>
            </w:pPr>
            <w:r>
              <w:rPr>
                <w:szCs w:val="22"/>
                <w:lang w:eastAsia="en-CA"/>
              </w:rPr>
              <w:t>République centrafricaine</w:t>
            </w:r>
          </w:p>
        </w:tc>
        <w:tc>
          <w:tcPr>
            <w:tcW w:w="2288" w:type="dxa"/>
            <w:tcBorders>
              <w:top w:val="nil"/>
              <w:left w:val="nil"/>
              <w:bottom w:val="single" w:sz="4" w:space="0" w:color="auto"/>
              <w:right w:val="single" w:sz="4" w:space="0" w:color="auto"/>
            </w:tcBorders>
            <w:shd w:val="clear" w:color="auto" w:fill="auto"/>
            <w:vAlign w:val="center"/>
            <w:hideMark/>
          </w:tcPr>
          <w:p w14:paraId="518A46D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40CC68F1"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CE2C049"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1F7AF73"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6129D3A"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7154CC2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0AB78B" w14:textId="77777777" w:rsidR="00981B76" w:rsidRPr="008E044D" w:rsidRDefault="00981B76" w:rsidP="00E83799">
            <w:pPr>
              <w:jc w:val="left"/>
              <w:rPr>
                <w:szCs w:val="22"/>
                <w:lang w:eastAsia="en-CA"/>
              </w:rPr>
            </w:pPr>
            <w:r>
              <w:rPr>
                <w:szCs w:val="22"/>
                <w:lang w:eastAsia="en-CA"/>
              </w:rPr>
              <w:t>République de C</w:t>
            </w:r>
            <w:r w:rsidRPr="008E044D">
              <w:rPr>
                <w:szCs w:val="22"/>
                <w:lang w:eastAsia="en-CA"/>
              </w:rPr>
              <w:t>or</w:t>
            </w:r>
            <w:r>
              <w:rPr>
                <w:szCs w:val="22"/>
                <w:lang w:eastAsia="en-CA"/>
              </w:rPr>
              <w:t>ée</w:t>
            </w:r>
          </w:p>
        </w:tc>
        <w:tc>
          <w:tcPr>
            <w:tcW w:w="2288" w:type="dxa"/>
            <w:tcBorders>
              <w:top w:val="nil"/>
              <w:left w:val="nil"/>
              <w:bottom w:val="single" w:sz="4" w:space="0" w:color="auto"/>
              <w:right w:val="single" w:sz="4" w:space="0" w:color="auto"/>
            </w:tcBorders>
            <w:shd w:val="clear" w:color="auto" w:fill="auto"/>
            <w:vAlign w:val="center"/>
            <w:hideMark/>
          </w:tcPr>
          <w:p w14:paraId="653057DE" w14:textId="77777777" w:rsidR="00981B76" w:rsidRPr="008E044D" w:rsidRDefault="00981B76" w:rsidP="00E83799">
            <w:pPr>
              <w:ind w:right="770"/>
              <w:jc w:val="right"/>
              <w:rPr>
                <w:szCs w:val="22"/>
                <w:lang w:eastAsia="en-CA"/>
              </w:rPr>
            </w:pPr>
            <w:r w:rsidRPr="008E044D">
              <w:rPr>
                <w:szCs w:val="22"/>
                <w:lang w:eastAsia="en-CA"/>
              </w:rPr>
              <w:t>2</w:t>
            </w:r>
            <w:r>
              <w:rPr>
                <w:szCs w:val="22"/>
                <w:lang w:eastAsia="en-CA"/>
              </w:rPr>
              <w:t>,</w:t>
            </w:r>
            <w:r w:rsidRPr="008E044D">
              <w:rPr>
                <w:szCs w:val="22"/>
                <w:lang w:eastAsia="en-CA"/>
              </w:rPr>
              <w:t>039</w:t>
            </w:r>
          </w:p>
        </w:tc>
        <w:tc>
          <w:tcPr>
            <w:tcW w:w="0" w:type="auto"/>
            <w:tcBorders>
              <w:top w:val="nil"/>
              <w:left w:val="nil"/>
              <w:bottom w:val="single" w:sz="4" w:space="0" w:color="auto"/>
              <w:right w:val="single" w:sz="4" w:space="0" w:color="auto"/>
            </w:tcBorders>
            <w:shd w:val="clear" w:color="auto" w:fill="auto"/>
            <w:noWrap/>
            <w:vAlign w:val="center"/>
            <w:hideMark/>
          </w:tcPr>
          <w:p w14:paraId="0AA7C0AF" w14:textId="77777777" w:rsidR="00981B76" w:rsidRPr="008E044D" w:rsidRDefault="00981B76" w:rsidP="00E83799">
            <w:pPr>
              <w:ind w:right="1144"/>
              <w:jc w:val="right"/>
              <w:rPr>
                <w:szCs w:val="22"/>
                <w:lang w:eastAsia="en-CA"/>
              </w:rPr>
            </w:pPr>
            <w:r w:rsidRPr="008E044D">
              <w:rPr>
                <w:szCs w:val="22"/>
                <w:lang w:eastAsia="en-CA"/>
              </w:rPr>
              <w:t>2</w:t>
            </w:r>
            <w:r>
              <w:rPr>
                <w:szCs w:val="22"/>
                <w:lang w:eastAsia="en-CA"/>
              </w:rPr>
              <w:t>,</w:t>
            </w:r>
            <w:r w:rsidRPr="008E044D">
              <w:rPr>
                <w:szCs w:val="22"/>
                <w:lang w:eastAsia="en-CA"/>
              </w:rPr>
              <w:t>952</w:t>
            </w:r>
          </w:p>
        </w:tc>
        <w:tc>
          <w:tcPr>
            <w:tcW w:w="0" w:type="auto"/>
            <w:tcBorders>
              <w:top w:val="nil"/>
              <w:left w:val="nil"/>
              <w:bottom w:val="single" w:sz="4" w:space="0" w:color="auto"/>
              <w:right w:val="single" w:sz="4" w:space="0" w:color="auto"/>
            </w:tcBorders>
            <w:shd w:val="clear" w:color="auto" w:fill="auto"/>
            <w:noWrap/>
            <w:vAlign w:val="center"/>
            <w:hideMark/>
          </w:tcPr>
          <w:p w14:paraId="6097B5AA" w14:textId="77777777" w:rsidR="00981B76" w:rsidRPr="008E044D" w:rsidRDefault="00981B76" w:rsidP="00E83799">
            <w:pPr>
              <w:ind w:right="276"/>
              <w:jc w:val="right"/>
              <w:rPr>
                <w:szCs w:val="22"/>
                <w:lang w:eastAsia="en-CA"/>
              </w:rPr>
            </w:pPr>
            <w:r w:rsidRPr="008E044D">
              <w:rPr>
                <w:szCs w:val="22"/>
                <w:lang w:eastAsia="en-CA"/>
              </w:rPr>
              <w:t>70</w:t>
            </w:r>
            <w:r>
              <w:rPr>
                <w:szCs w:val="22"/>
                <w:lang w:eastAsia="en-CA"/>
              </w:rPr>
              <w:t xml:space="preserve"> </w:t>
            </w:r>
            <w:r w:rsidRPr="008E044D">
              <w:rPr>
                <w:szCs w:val="22"/>
                <w:lang w:eastAsia="en-CA"/>
              </w:rPr>
              <w:t>894</w:t>
            </w:r>
          </w:p>
        </w:tc>
        <w:tc>
          <w:tcPr>
            <w:tcW w:w="0" w:type="auto"/>
            <w:tcBorders>
              <w:top w:val="nil"/>
              <w:left w:val="nil"/>
              <w:bottom w:val="single" w:sz="4" w:space="0" w:color="auto"/>
              <w:right w:val="single" w:sz="4" w:space="0" w:color="auto"/>
            </w:tcBorders>
            <w:shd w:val="clear" w:color="auto" w:fill="auto"/>
            <w:noWrap/>
            <w:vAlign w:val="center"/>
            <w:hideMark/>
          </w:tcPr>
          <w:p w14:paraId="37212E86" w14:textId="77777777" w:rsidR="00981B76" w:rsidRPr="008E044D" w:rsidRDefault="00981B76" w:rsidP="00E83799">
            <w:pPr>
              <w:ind w:right="276"/>
              <w:jc w:val="right"/>
              <w:rPr>
                <w:szCs w:val="22"/>
                <w:lang w:eastAsia="en-CA"/>
              </w:rPr>
            </w:pPr>
            <w:r w:rsidRPr="008E044D">
              <w:rPr>
                <w:szCs w:val="22"/>
                <w:lang w:eastAsia="en-CA"/>
              </w:rPr>
              <w:t>75</w:t>
            </w:r>
            <w:r>
              <w:rPr>
                <w:szCs w:val="22"/>
                <w:lang w:eastAsia="en-CA"/>
              </w:rPr>
              <w:t xml:space="preserve"> </w:t>
            </w:r>
            <w:r w:rsidRPr="008E044D">
              <w:rPr>
                <w:szCs w:val="22"/>
                <w:lang w:eastAsia="en-CA"/>
              </w:rPr>
              <w:t>177</w:t>
            </w:r>
          </w:p>
        </w:tc>
        <w:tc>
          <w:tcPr>
            <w:tcW w:w="0" w:type="auto"/>
            <w:tcBorders>
              <w:top w:val="nil"/>
              <w:left w:val="nil"/>
              <w:bottom w:val="single" w:sz="4" w:space="0" w:color="auto"/>
              <w:right w:val="single" w:sz="4" w:space="0" w:color="auto"/>
            </w:tcBorders>
            <w:shd w:val="clear" w:color="auto" w:fill="auto"/>
            <w:noWrap/>
            <w:vAlign w:val="center"/>
            <w:hideMark/>
          </w:tcPr>
          <w:p w14:paraId="0F029683" w14:textId="77777777" w:rsidR="00981B76" w:rsidRPr="008E044D" w:rsidRDefault="00981B76" w:rsidP="00E83799">
            <w:pPr>
              <w:ind w:right="276"/>
              <w:jc w:val="right"/>
              <w:rPr>
                <w:szCs w:val="22"/>
                <w:lang w:eastAsia="en-CA"/>
              </w:rPr>
            </w:pPr>
            <w:r w:rsidRPr="008E044D">
              <w:rPr>
                <w:szCs w:val="22"/>
                <w:lang w:eastAsia="en-CA"/>
              </w:rPr>
              <w:t>146</w:t>
            </w:r>
            <w:r>
              <w:rPr>
                <w:szCs w:val="22"/>
                <w:lang w:eastAsia="en-CA"/>
              </w:rPr>
              <w:t xml:space="preserve"> </w:t>
            </w:r>
            <w:r w:rsidRPr="008E044D">
              <w:rPr>
                <w:szCs w:val="22"/>
                <w:lang w:eastAsia="en-CA"/>
              </w:rPr>
              <w:t>071</w:t>
            </w:r>
          </w:p>
        </w:tc>
      </w:tr>
      <w:tr w:rsidR="00981B76" w:rsidRPr="00C678EF" w14:paraId="2BB21DB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2990BF" w14:textId="77777777" w:rsidR="00981B76" w:rsidRPr="008E044D" w:rsidRDefault="00981B76" w:rsidP="00E83799">
            <w:pPr>
              <w:jc w:val="left"/>
              <w:rPr>
                <w:szCs w:val="22"/>
                <w:lang w:eastAsia="en-CA"/>
              </w:rPr>
            </w:pPr>
            <w:r>
              <w:rPr>
                <w:szCs w:val="22"/>
                <w:lang w:eastAsia="en-CA"/>
              </w:rPr>
              <w:t>République de Moldova</w:t>
            </w:r>
          </w:p>
        </w:tc>
        <w:tc>
          <w:tcPr>
            <w:tcW w:w="2288" w:type="dxa"/>
            <w:tcBorders>
              <w:top w:val="nil"/>
              <w:left w:val="nil"/>
              <w:bottom w:val="single" w:sz="4" w:space="0" w:color="auto"/>
              <w:right w:val="single" w:sz="4" w:space="0" w:color="auto"/>
            </w:tcBorders>
            <w:shd w:val="clear" w:color="auto" w:fill="auto"/>
            <w:vAlign w:val="center"/>
            <w:hideMark/>
          </w:tcPr>
          <w:p w14:paraId="1EA2C46F"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6556900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44DFE469"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5C4A6CC1"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E3B156F"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1F87161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9C506" w14:textId="77777777" w:rsidR="00981B76" w:rsidRPr="008E044D" w:rsidRDefault="00981B76" w:rsidP="00E83799">
            <w:pPr>
              <w:jc w:val="left"/>
              <w:rPr>
                <w:szCs w:val="22"/>
                <w:lang w:eastAsia="en-CA"/>
              </w:rPr>
            </w:pPr>
            <w:r>
              <w:rPr>
                <w:szCs w:val="22"/>
                <w:lang w:eastAsia="en-CA"/>
              </w:rPr>
              <w:t>République démocratique du</w:t>
            </w:r>
            <w:r w:rsidRPr="008E044D">
              <w:rPr>
                <w:szCs w:val="22"/>
                <w:lang w:eastAsia="en-CA"/>
              </w:rPr>
              <w:t xml:space="preserve"> Congo</w:t>
            </w:r>
          </w:p>
        </w:tc>
        <w:tc>
          <w:tcPr>
            <w:tcW w:w="2288" w:type="dxa"/>
            <w:tcBorders>
              <w:top w:val="nil"/>
              <w:left w:val="nil"/>
              <w:bottom w:val="single" w:sz="4" w:space="0" w:color="auto"/>
              <w:right w:val="single" w:sz="4" w:space="0" w:color="auto"/>
            </w:tcBorders>
            <w:shd w:val="clear" w:color="auto" w:fill="auto"/>
            <w:vAlign w:val="center"/>
            <w:hideMark/>
          </w:tcPr>
          <w:p w14:paraId="3C785A1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14:paraId="7024CED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4F1FE792"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1603A163"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2453022C"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534AFF0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6774D5" w14:textId="77777777" w:rsidR="00981B76" w:rsidRPr="006D0308" w:rsidRDefault="00981B76" w:rsidP="00E83799">
            <w:pPr>
              <w:jc w:val="left"/>
              <w:rPr>
                <w:szCs w:val="22"/>
                <w:lang w:eastAsia="en-CA"/>
              </w:rPr>
            </w:pPr>
            <w:r w:rsidRPr="006D0308">
              <w:rPr>
                <w:szCs w:val="22"/>
                <w:lang w:eastAsia="en-CA"/>
              </w:rPr>
              <w:t>République démocratique populaire de Corée</w:t>
            </w:r>
          </w:p>
        </w:tc>
        <w:tc>
          <w:tcPr>
            <w:tcW w:w="2288" w:type="dxa"/>
            <w:tcBorders>
              <w:top w:val="nil"/>
              <w:left w:val="nil"/>
              <w:bottom w:val="single" w:sz="4" w:space="0" w:color="auto"/>
              <w:right w:val="single" w:sz="4" w:space="0" w:color="auto"/>
            </w:tcBorders>
            <w:shd w:val="clear" w:color="auto" w:fill="auto"/>
            <w:vAlign w:val="center"/>
            <w:hideMark/>
          </w:tcPr>
          <w:p w14:paraId="47F9C84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14:paraId="548413E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69FD01F3" w14:textId="77777777" w:rsidR="00981B76" w:rsidRPr="008E044D" w:rsidRDefault="00981B76" w:rsidP="00E83799">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2A40B07A" w14:textId="77777777" w:rsidR="00981B76" w:rsidRPr="008E044D" w:rsidRDefault="00981B76" w:rsidP="00E83799">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0EBF1310" w14:textId="77777777" w:rsidR="00981B76" w:rsidRPr="008E044D" w:rsidRDefault="00981B76" w:rsidP="00E83799">
            <w:pPr>
              <w:ind w:right="276"/>
              <w:jc w:val="right"/>
              <w:rPr>
                <w:szCs w:val="22"/>
                <w:lang w:eastAsia="en-CA"/>
              </w:rPr>
            </w:pPr>
            <w:r w:rsidRPr="008E044D">
              <w:rPr>
                <w:szCs w:val="22"/>
                <w:lang w:eastAsia="en-CA"/>
              </w:rPr>
              <w:t>358</w:t>
            </w:r>
          </w:p>
        </w:tc>
      </w:tr>
      <w:tr w:rsidR="00981B76" w:rsidRPr="00C678EF" w14:paraId="5A759DB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60AC0" w14:textId="77777777" w:rsidR="00981B76" w:rsidRPr="008E044D" w:rsidRDefault="00981B76" w:rsidP="00E83799">
            <w:pPr>
              <w:jc w:val="left"/>
              <w:rPr>
                <w:szCs w:val="22"/>
                <w:lang w:eastAsia="en-CA"/>
              </w:rPr>
            </w:pPr>
            <w:r>
              <w:rPr>
                <w:szCs w:val="22"/>
                <w:lang w:eastAsia="en-CA"/>
              </w:rPr>
              <w:t>République démocratique populaire lao</w:t>
            </w:r>
          </w:p>
        </w:tc>
        <w:tc>
          <w:tcPr>
            <w:tcW w:w="2288" w:type="dxa"/>
            <w:tcBorders>
              <w:top w:val="nil"/>
              <w:left w:val="nil"/>
              <w:bottom w:val="single" w:sz="4" w:space="0" w:color="auto"/>
              <w:right w:val="single" w:sz="4" w:space="0" w:color="auto"/>
            </w:tcBorders>
            <w:shd w:val="clear" w:color="auto" w:fill="auto"/>
            <w:vAlign w:val="center"/>
            <w:hideMark/>
          </w:tcPr>
          <w:p w14:paraId="717760D5"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0BCAB99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14:paraId="7B3F03E9" w14:textId="77777777" w:rsidR="00981B76" w:rsidRPr="008E044D" w:rsidRDefault="00981B76" w:rsidP="00E83799">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3B85FFF9" w14:textId="77777777" w:rsidR="00981B76" w:rsidRPr="008E044D" w:rsidRDefault="00981B76" w:rsidP="00E83799">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1EB9D6E4" w14:textId="77777777" w:rsidR="00981B76" w:rsidRPr="008E044D" w:rsidRDefault="00981B76" w:rsidP="00E83799">
            <w:pPr>
              <w:ind w:right="276"/>
              <w:jc w:val="right"/>
              <w:rPr>
                <w:szCs w:val="22"/>
                <w:lang w:eastAsia="en-CA"/>
              </w:rPr>
            </w:pPr>
            <w:r w:rsidRPr="008E044D">
              <w:rPr>
                <w:szCs w:val="22"/>
                <w:lang w:eastAsia="en-CA"/>
              </w:rPr>
              <w:t>215</w:t>
            </w:r>
          </w:p>
        </w:tc>
      </w:tr>
      <w:tr w:rsidR="00981B76" w:rsidRPr="00C678EF" w14:paraId="47FBE75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30CB8C" w14:textId="77777777" w:rsidR="00981B76" w:rsidRPr="008E044D" w:rsidRDefault="00981B76" w:rsidP="00E83799">
            <w:pPr>
              <w:jc w:val="left"/>
              <w:rPr>
                <w:szCs w:val="22"/>
                <w:lang w:eastAsia="en-CA"/>
              </w:rPr>
            </w:pPr>
            <w:r>
              <w:rPr>
                <w:szCs w:val="22"/>
                <w:lang w:eastAsia="en-CA"/>
              </w:rPr>
              <w:t>République dominicaine</w:t>
            </w:r>
          </w:p>
        </w:tc>
        <w:tc>
          <w:tcPr>
            <w:tcW w:w="2288" w:type="dxa"/>
            <w:tcBorders>
              <w:top w:val="nil"/>
              <w:left w:val="nil"/>
              <w:bottom w:val="single" w:sz="4" w:space="0" w:color="auto"/>
              <w:right w:val="single" w:sz="4" w:space="0" w:color="auto"/>
            </w:tcBorders>
            <w:shd w:val="clear" w:color="auto" w:fill="auto"/>
            <w:vAlign w:val="center"/>
            <w:hideMark/>
          </w:tcPr>
          <w:p w14:paraId="03FDB80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046</w:t>
            </w:r>
          </w:p>
        </w:tc>
        <w:tc>
          <w:tcPr>
            <w:tcW w:w="0" w:type="auto"/>
            <w:tcBorders>
              <w:top w:val="nil"/>
              <w:left w:val="nil"/>
              <w:bottom w:val="single" w:sz="4" w:space="0" w:color="auto"/>
              <w:right w:val="single" w:sz="4" w:space="0" w:color="auto"/>
            </w:tcBorders>
            <w:shd w:val="clear" w:color="auto" w:fill="auto"/>
            <w:noWrap/>
            <w:vAlign w:val="center"/>
            <w:hideMark/>
          </w:tcPr>
          <w:p w14:paraId="378A2CFA"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067</w:t>
            </w:r>
          </w:p>
        </w:tc>
        <w:tc>
          <w:tcPr>
            <w:tcW w:w="0" w:type="auto"/>
            <w:tcBorders>
              <w:top w:val="nil"/>
              <w:left w:val="nil"/>
              <w:bottom w:val="single" w:sz="4" w:space="0" w:color="auto"/>
              <w:right w:val="single" w:sz="4" w:space="0" w:color="auto"/>
            </w:tcBorders>
            <w:shd w:val="clear" w:color="auto" w:fill="auto"/>
            <w:noWrap/>
            <w:vAlign w:val="center"/>
            <w:hideMark/>
          </w:tcPr>
          <w:p w14:paraId="4AEC4863"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599</w:t>
            </w:r>
          </w:p>
        </w:tc>
        <w:tc>
          <w:tcPr>
            <w:tcW w:w="0" w:type="auto"/>
            <w:tcBorders>
              <w:top w:val="nil"/>
              <w:left w:val="nil"/>
              <w:bottom w:val="single" w:sz="4" w:space="0" w:color="auto"/>
              <w:right w:val="single" w:sz="4" w:space="0" w:color="auto"/>
            </w:tcBorders>
            <w:shd w:val="clear" w:color="auto" w:fill="auto"/>
            <w:noWrap/>
            <w:vAlign w:val="center"/>
            <w:hideMark/>
          </w:tcPr>
          <w:p w14:paraId="65A1E870"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696</w:t>
            </w:r>
          </w:p>
        </w:tc>
        <w:tc>
          <w:tcPr>
            <w:tcW w:w="0" w:type="auto"/>
            <w:tcBorders>
              <w:top w:val="nil"/>
              <w:left w:val="nil"/>
              <w:bottom w:val="single" w:sz="4" w:space="0" w:color="auto"/>
              <w:right w:val="single" w:sz="4" w:space="0" w:color="auto"/>
            </w:tcBorders>
            <w:shd w:val="clear" w:color="auto" w:fill="auto"/>
            <w:noWrap/>
            <w:vAlign w:val="center"/>
            <w:hideMark/>
          </w:tcPr>
          <w:p w14:paraId="0F5EEECD"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295</w:t>
            </w:r>
          </w:p>
        </w:tc>
      </w:tr>
      <w:tr w:rsidR="00981B76" w:rsidRPr="00C678EF" w14:paraId="7D3C55C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6EFA4" w14:textId="77777777" w:rsidR="00981B76" w:rsidRPr="008E044D" w:rsidRDefault="00981B76" w:rsidP="00E83799">
            <w:pPr>
              <w:jc w:val="left"/>
              <w:rPr>
                <w:szCs w:val="22"/>
                <w:lang w:eastAsia="en-CA"/>
              </w:rPr>
            </w:pPr>
            <w:r>
              <w:rPr>
                <w:szCs w:val="22"/>
                <w:lang w:eastAsia="en-CA"/>
              </w:rPr>
              <w:t>République-Unie de Tanzanie</w:t>
            </w:r>
          </w:p>
        </w:tc>
        <w:tc>
          <w:tcPr>
            <w:tcW w:w="2288" w:type="dxa"/>
            <w:tcBorders>
              <w:top w:val="nil"/>
              <w:left w:val="nil"/>
              <w:bottom w:val="single" w:sz="4" w:space="0" w:color="auto"/>
              <w:right w:val="single" w:sz="4" w:space="0" w:color="auto"/>
            </w:tcBorders>
            <w:shd w:val="clear" w:color="auto" w:fill="auto"/>
            <w:vAlign w:val="center"/>
            <w:hideMark/>
          </w:tcPr>
          <w:p w14:paraId="278423C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135E0BF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19FD1DA8"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1E67683C"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016941A"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68D948F2"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487B2" w14:textId="77777777" w:rsidR="00981B76" w:rsidRPr="008E044D" w:rsidRDefault="00981B76" w:rsidP="00E83799">
            <w:pPr>
              <w:jc w:val="left"/>
              <w:rPr>
                <w:szCs w:val="22"/>
                <w:lang w:eastAsia="en-CA"/>
              </w:rPr>
            </w:pPr>
            <w:r w:rsidRPr="008E044D">
              <w:rPr>
                <w:szCs w:val="22"/>
                <w:lang w:eastAsia="en-CA"/>
              </w:rPr>
              <w:t>Ro</w:t>
            </w:r>
            <w:r>
              <w:rPr>
                <w:szCs w:val="22"/>
                <w:lang w:eastAsia="en-CA"/>
              </w:rPr>
              <w:t>umanie</w:t>
            </w:r>
          </w:p>
        </w:tc>
        <w:tc>
          <w:tcPr>
            <w:tcW w:w="2288" w:type="dxa"/>
            <w:tcBorders>
              <w:top w:val="nil"/>
              <w:left w:val="nil"/>
              <w:bottom w:val="single" w:sz="4" w:space="0" w:color="auto"/>
              <w:right w:val="single" w:sz="4" w:space="0" w:color="auto"/>
            </w:tcBorders>
            <w:shd w:val="clear" w:color="auto" w:fill="auto"/>
            <w:vAlign w:val="center"/>
            <w:hideMark/>
          </w:tcPr>
          <w:p w14:paraId="3EC68045"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6033B14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266</w:t>
            </w:r>
          </w:p>
        </w:tc>
        <w:tc>
          <w:tcPr>
            <w:tcW w:w="0" w:type="auto"/>
            <w:tcBorders>
              <w:top w:val="nil"/>
              <w:left w:val="nil"/>
              <w:bottom w:val="single" w:sz="4" w:space="0" w:color="auto"/>
              <w:right w:val="single" w:sz="4" w:space="0" w:color="auto"/>
            </w:tcBorders>
            <w:shd w:val="clear" w:color="auto" w:fill="auto"/>
            <w:noWrap/>
            <w:vAlign w:val="center"/>
            <w:hideMark/>
          </w:tcPr>
          <w:p w14:paraId="3A24E54F" w14:textId="77777777" w:rsidR="00981B76" w:rsidRPr="008E044D" w:rsidRDefault="00981B76" w:rsidP="00E83799">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398</w:t>
            </w:r>
          </w:p>
        </w:tc>
        <w:tc>
          <w:tcPr>
            <w:tcW w:w="0" w:type="auto"/>
            <w:tcBorders>
              <w:top w:val="nil"/>
              <w:left w:val="nil"/>
              <w:bottom w:val="single" w:sz="4" w:space="0" w:color="auto"/>
              <w:right w:val="single" w:sz="4" w:space="0" w:color="auto"/>
            </w:tcBorders>
            <w:shd w:val="clear" w:color="auto" w:fill="auto"/>
            <w:noWrap/>
            <w:vAlign w:val="center"/>
            <w:hideMark/>
          </w:tcPr>
          <w:p w14:paraId="347DCC7C" w14:textId="77777777" w:rsidR="00981B76" w:rsidRPr="008E044D" w:rsidRDefault="00981B76" w:rsidP="00E83799">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784</w:t>
            </w:r>
          </w:p>
        </w:tc>
        <w:tc>
          <w:tcPr>
            <w:tcW w:w="0" w:type="auto"/>
            <w:tcBorders>
              <w:top w:val="nil"/>
              <w:left w:val="nil"/>
              <w:bottom w:val="single" w:sz="4" w:space="0" w:color="auto"/>
              <w:right w:val="single" w:sz="4" w:space="0" w:color="auto"/>
            </w:tcBorders>
            <w:shd w:val="clear" w:color="auto" w:fill="auto"/>
            <w:noWrap/>
            <w:vAlign w:val="center"/>
            <w:hideMark/>
          </w:tcPr>
          <w:p w14:paraId="591A8125" w14:textId="77777777" w:rsidR="00981B76" w:rsidRPr="008E044D" w:rsidRDefault="00981B76" w:rsidP="00E83799">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181</w:t>
            </w:r>
          </w:p>
        </w:tc>
      </w:tr>
      <w:tr w:rsidR="00981B76" w:rsidRPr="00C678EF" w14:paraId="50EBA23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D06A51" w14:textId="77777777" w:rsidR="00981B76" w:rsidRPr="00D979BD" w:rsidRDefault="00981B76" w:rsidP="00E83799">
            <w:pPr>
              <w:jc w:val="left"/>
              <w:rPr>
                <w:szCs w:val="22"/>
                <w:lang w:eastAsia="en-CA"/>
              </w:rPr>
            </w:pPr>
            <w:r>
              <w:rPr>
                <w:szCs w:val="22"/>
                <w:lang w:eastAsia="en-CA"/>
              </w:rPr>
              <w:t>Royaume-Uni de Grande-</w:t>
            </w:r>
            <w:r w:rsidRPr="00D979BD">
              <w:rPr>
                <w:szCs w:val="22"/>
                <w:lang w:eastAsia="en-CA"/>
              </w:rPr>
              <w:t>Bretagne et d’Irlande du Nord</w:t>
            </w:r>
          </w:p>
        </w:tc>
        <w:tc>
          <w:tcPr>
            <w:tcW w:w="2288" w:type="dxa"/>
            <w:tcBorders>
              <w:top w:val="nil"/>
              <w:left w:val="nil"/>
              <w:bottom w:val="single" w:sz="4" w:space="0" w:color="auto"/>
              <w:right w:val="single" w:sz="4" w:space="0" w:color="auto"/>
            </w:tcBorders>
            <w:shd w:val="clear" w:color="auto" w:fill="auto"/>
            <w:vAlign w:val="center"/>
            <w:hideMark/>
          </w:tcPr>
          <w:p w14:paraId="408B8FAD" w14:textId="77777777" w:rsidR="00981B76" w:rsidRPr="008E044D" w:rsidRDefault="00981B76" w:rsidP="00E83799">
            <w:pPr>
              <w:ind w:right="770"/>
              <w:jc w:val="right"/>
              <w:rPr>
                <w:szCs w:val="22"/>
                <w:lang w:eastAsia="en-CA"/>
              </w:rPr>
            </w:pPr>
            <w:r w:rsidRPr="008E044D">
              <w:rPr>
                <w:szCs w:val="22"/>
                <w:lang w:eastAsia="en-CA"/>
              </w:rPr>
              <w:t>4</w:t>
            </w:r>
            <w:r>
              <w:rPr>
                <w:szCs w:val="22"/>
                <w:lang w:eastAsia="en-CA"/>
              </w:rPr>
              <w:t>,</w:t>
            </w:r>
            <w:r w:rsidRPr="008E044D">
              <w:rPr>
                <w:szCs w:val="22"/>
                <w:lang w:eastAsia="en-CA"/>
              </w:rPr>
              <w:t>463</w:t>
            </w:r>
          </w:p>
        </w:tc>
        <w:tc>
          <w:tcPr>
            <w:tcW w:w="0" w:type="auto"/>
            <w:tcBorders>
              <w:top w:val="nil"/>
              <w:left w:val="nil"/>
              <w:bottom w:val="single" w:sz="4" w:space="0" w:color="auto"/>
              <w:right w:val="single" w:sz="4" w:space="0" w:color="auto"/>
            </w:tcBorders>
            <w:shd w:val="clear" w:color="auto" w:fill="auto"/>
            <w:noWrap/>
            <w:vAlign w:val="center"/>
            <w:hideMark/>
          </w:tcPr>
          <w:p w14:paraId="4513A934" w14:textId="77777777" w:rsidR="00981B76" w:rsidRPr="008E044D" w:rsidRDefault="00981B76" w:rsidP="00E83799">
            <w:pPr>
              <w:ind w:right="1144"/>
              <w:jc w:val="right"/>
              <w:rPr>
                <w:szCs w:val="22"/>
                <w:lang w:eastAsia="en-CA"/>
              </w:rPr>
            </w:pPr>
            <w:r w:rsidRPr="008E044D">
              <w:rPr>
                <w:szCs w:val="22"/>
                <w:lang w:eastAsia="en-CA"/>
              </w:rPr>
              <w:t>6</w:t>
            </w:r>
            <w:r>
              <w:rPr>
                <w:szCs w:val="22"/>
                <w:lang w:eastAsia="en-CA"/>
              </w:rPr>
              <w:t>,</w:t>
            </w:r>
            <w:r w:rsidRPr="008E044D">
              <w:rPr>
                <w:szCs w:val="22"/>
                <w:lang w:eastAsia="en-CA"/>
              </w:rPr>
              <w:t>462</w:t>
            </w:r>
          </w:p>
        </w:tc>
        <w:tc>
          <w:tcPr>
            <w:tcW w:w="0" w:type="auto"/>
            <w:tcBorders>
              <w:top w:val="nil"/>
              <w:left w:val="nil"/>
              <w:bottom w:val="single" w:sz="4" w:space="0" w:color="auto"/>
              <w:right w:val="single" w:sz="4" w:space="0" w:color="auto"/>
            </w:tcBorders>
            <w:shd w:val="clear" w:color="auto" w:fill="auto"/>
            <w:noWrap/>
            <w:vAlign w:val="center"/>
            <w:hideMark/>
          </w:tcPr>
          <w:p w14:paraId="1E4F0310" w14:textId="77777777" w:rsidR="00981B76" w:rsidRPr="008E044D" w:rsidRDefault="00981B76" w:rsidP="00E83799">
            <w:pPr>
              <w:ind w:right="276"/>
              <w:jc w:val="right"/>
              <w:rPr>
                <w:szCs w:val="22"/>
                <w:lang w:eastAsia="en-CA"/>
              </w:rPr>
            </w:pPr>
            <w:r w:rsidRPr="008E044D">
              <w:rPr>
                <w:szCs w:val="22"/>
                <w:lang w:eastAsia="en-CA"/>
              </w:rPr>
              <w:t>155</w:t>
            </w:r>
            <w:r>
              <w:rPr>
                <w:szCs w:val="22"/>
                <w:lang w:eastAsia="en-CA"/>
              </w:rPr>
              <w:t xml:space="preserve"> </w:t>
            </w: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5835481D" w14:textId="77777777" w:rsidR="00981B76" w:rsidRPr="008E044D" w:rsidRDefault="00981B76" w:rsidP="00E83799">
            <w:pPr>
              <w:ind w:right="276"/>
              <w:jc w:val="right"/>
              <w:rPr>
                <w:szCs w:val="22"/>
                <w:lang w:eastAsia="en-CA"/>
              </w:rPr>
            </w:pPr>
            <w:r w:rsidRPr="008E044D">
              <w:rPr>
                <w:szCs w:val="22"/>
                <w:lang w:eastAsia="en-CA"/>
              </w:rPr>
              <w:t>164</w:t>
            </w:r>
            <w:r>
              <w:rPr>
                <w:szCs w:val="22"/>
                <w:lang w:eastAsia="en-CA"/>
              </w:rPr>
              <w:t xml:space="preserve"> </w:t>
            </w:r>
            <w:r w:rsidRPr="008E044D">
              <w:rPr>
                <w:szCs w:val="22"/>
                <w:lang w:eastAsia="en-CA"/>
              </w:rPr>
              <w:t>548</w:t>
            </w:r>
          </w:p>
        </w:tc>
        <w:tc>
          <w:tcPr>
            <w:tcW w:w="0" w:type="auto"/>
            <w:tcBorders>
              <w:top w:val="nil"/>
              <w:left w:val="nil"/>
              <w:bottom w:val="single" w:sz="4" w:space="0" w:color="auto"/>
              <w:right w:val="single" w:sz="4" w:space="0" w:color="auto"/>
            </w:tcBorders>
            <w:shd w:val="clear" w:color="auto" w:fill="auto"/>
            <w:noWrap/>
            <w:vAlign w:val="center"/>
            <w:hideMark/>
          </w:tcPr>
          <w:p w14:paraId="0F1C6F6F" w14:textId="77777777" w:rsidR="00981B76" w:rsidRPr="008E044D" w:rsidRDefault="00981B76" w:rsidP="00E83799">
            <w:pPr>
              <w:ind w:right="276"/>
              <w:jc w:val="right"/>
              <w:rPr>
                <w:szCs w:val="22"/>
                <w:lang w:eastAsia="en-CA"/>
              </w:rPr>
            </w:pPr>
            <w:r w:rsidRPr="008E044D">
              <w:rPr>
                <w:szCs w:val="22"/>
                <w:lang w:eastAsia="en-CA"/>
              </w:rPr>
              <w:t>319</w:t>
            </w:r>
            <w:r>
              <w:rPr>
                <w:szCs w:val="22"/>
                <w:lang w:eastAsia="en-CA"/>
              </w:rPr>
              <w:t xml:space="preserve"> </w:t>
            </w:r>
            <w:r w:rsidRPr="008E044D">
              <w:rPr>
                <w:szCs w:val="22"/>
                <w:lang w:eastAsia="en-CA"/>
              </w:rPr>
              <w:t>722</w:t>
            </w:r>
          </w:p>
        </w:tc>
      </w:tr>
      <w:tr w:rsidR="00981B76" w:rsidRPr="00C678EF" w14:paraId="2B1C8F3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BA9D86" w14:textId="77777777" w:rsidR="00981B76" w:rsidRPr="008E044D" w:rsidRDefault="00981B76" w:rsidP="00E83799">
            <w:pPr>
              <w:jc w:val="left"/>
              <w:rPr>
                <w:szCs w:val="22"/>
                <w:lang w:eastAsia="en-CA"/>
              </w:rPr>
            </w:pPr>
            <w:r w:rsidRPr="008E044D">
              <w:rPr>
                <w:szCs w:val="22"/>
                <w:lang w:eastAsia="en-CA"/>
              </w:rPr>
              <w:t>Rwanda</w:t>
            </w:r>
          </w:p>
        </w:tc>
        <w:tc>
          <w:tcPr>
            <w:tcW w:w="2288" w:type="dxa"/>
            <w:tcBorders>
              <w:top w:val="nil"/>
              <w:left w:val="nil"/>
              <w:bottom w:val="single" w:sz="4" w:space="0" w:color="auto"/>
              <w:right w:val="single" w:sz="4" w:space="0" w:color="auto"/>
            </w:tcBorders>
            <w:shd w:val="clear" w:color="auto" w:fill="auto"/>
            <w:vAlign w:val="center"/>
            <w:hideMark/>
          </w:tcPr>
          <w:p w14:paraId="643A087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14:paraId="21631DD6"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14:paraId="727C7075" w14:textId="77777777" w:rsidR="00981B76" w:rsidRPr="008E044D" w:rsidRDefault="00981B76" w:rsidP="00E83799">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AF330EA" w14:textId="77777777" w:rsidR="00981B76" w:rsidRPr="008E044D" w:rsidRDefault="00981B76" w:rsidP="00E83799">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EA856F3" w14:textId="77777777" w:rsidR="00981B76" w:rsidRPr="008E044D" w:rsidRDefault="00981B76" w:rsidP="00E83799">
            <w:pPr>
              <w:ind w:right="276"/>
              <w:jc w:val="right"/>
              <w:rPr>
                <w:szCs w:val="22"/>
                <w:lang w:eastAsia="en-CA"/>
              </w:rPr>
            </w:pPr>
            <w:r w:rsidRPr="008E044D">
              <w:rPr>
                <w:szCs w:val="22"/>
                <w:lang w:eastAsia="en-CA"/>
              </w:rPr>
              <w:t>143</w:t>
            </w:r>
          </w:p>
        </w:tc>
      </w:tr>
      <w:tr w:rsidR="00981B76" w:rsidRPr="00C678EF" w14:paraId="50A97FA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AF93F1" w14:textId="77777777" w:rsidR="00981B76" w:rsidRPr="008E044D" w:rsidRDefault="00981B76" w:rsidP="00E83799">
            <w:pPr>
              <w:jc w:val="left"/>
              <w:rPr>
                <w:szCs w:val="22"/>
                <w:lang w:eastAsia="en-CA"/>
              </w:rPr>
            </w:pPr>
            <w:r>
              <w:rPr>
                <w:szCs w:val="22"/>
                <w:lang w:eastAsia="en-CA"/>
              </w:rPr>
              <w:t>Sainte-Lucie</w:t>
            </w:r>
          </w:p>
        </w:tc>
        <w:tc>
          <w:tcPr>
            <w:tcW w:w="2288" w:type="dxa"/>
            <w:tcBorders>
              <w:top w:val="nil"/>
              <w:left w:val="nil"/>
              <w:bottom w:val="single" w:sz="4" w:space="0" w:color="auto"/>
              <w:right w:val="single" w:sz="4" w:space="0" w:color="auto"/>
            </w:tcBorders>
            <w:shd w:val="clear" w:color="auto" w:fill="auto"/>
            <w:vAlign w:val="center"/>
            <w:hideMark/>
          </w:tcPr>
          <w:p w14:paraId="47CB3F4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B4809A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75A7EBC4"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60CA7B4"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E8A74A3"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1CDFA0B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34659" w14:textId="77777777" w:rsidR="00981B76" w:rsidRPr="008E044D" w:rsidRDefault="00981B76" w:rsidP="00E83799">
            <w:pPr>
              <w:jc w:val="left"/>
              <w:rPr>
                <w:szCs w:val="22"/>
                <w:lang w:eastAsia="en-CA"/>
              </w:rPr>
            </w:pPr>
            <w:r>
              <w:rPr>
                <w:szCs w:val="22"/>
                <w:lang w:eastAsia="en-CA"/>
              </w:rPr>
              <w:t>Saint-Kitts-et-</w:t>
            </w:r>
            <w:r w:rsidRPr="008E044D">
              <w:rPr>
                <w:szCs w:val="22"/>
                <w:lang w:eastAsia="en-CA"/>
              </w:rPr>
              <w:t>Nevis</w:t>
            </w:r>
          </w:p>
        </w:tc>
        <w:tc>
          <w:tcPr>
            <w:tcW w:w="2288" w:type="dxa"/>
            <w:tcBorders>
              <w:top w:val="nil"/>
              <w:left w:val="nil"/>
              <w:bottom w:val="single" w:sz="4" w:space="0" w:color="auto"/>
              <w:right w:val="single" w:sz="4" w:space="0" w:color="auto"/>
            </w:tcBorders>
            <w:shd w:val="clear" w:color="auto" w:fill="auto"/>
            <w:vAlign w:val="center"/>
            <w:hideMark/>
          </w:tcPr>
          <w:p w14:paraId="59FE708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11303E6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2D75203"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971E6FA"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1B6CCE7"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63780604"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594C6" w14:textId="77777777" w:rsidR="00981B76" w:rsidRPr="006D0308" w:rsidRDefault="00981B76" w:rsidP="00E83799">
            <w:pPr>
              <w:jc w:val="left"/>
              <w:rPr>
                <w:szCs w:val="22"/>
                <w:lang w:eastAsia="en-CA"/>
              </w:rPr>
            </w:pPr>
            <w:r w:rsidRPr="006D0308">
              <w:rPr>
                <w:szCs w:val="22"/>
                <w:lang w:eastAsia="en-CA"/>
              </w:rPr>
              <w:t>Saint-Vincent-et-les- Grenadines</w:t>
            </w:r>
          </w:p>
        </w:tc>
        <w:tc>
          <w:tcPr>
            <w:tcW w:w="2288" w:type="dxa"/>
            <w:tcBorders>
              <w:top w:val="nil"/>
              <w:left w:val="nil"/>
              <w:bottom w:val="single" w:sz="4" w:space="0" w:color="auto"/>
              <w:right w:val="single" w:sz="4" w:space="0" w:color="auto"/>
            </w:tcBorders>
            <w:shd w:val="clear" w:color="auto" w:fill="auto"/>
            <w:vAlign w:val="center"/>
            <w:hideMark/>
          </w:tcPr>
          <w:p w14:paraId="1EC9594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D72E17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B4088EB"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5D16E6B"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E85F0EA"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3D8D8F96"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8BAC76" w14:textId="77777777" w:rsidR="00981B76" w:rsidRPr="008E044D" w:rsidRDefault="00981B76" w:rsidP="00E83799">
            <w:pPr>
              <w:jc w:val="left"/>
              <w:rPr>
                <w:szCs w:val="22"/>
                <w:lang w:eastAsia="en-CA"/>
              </w:rPr>
            </w:pPr>
            <w:r w:rsidRPr="008E044D">
              <w:rPr>
                <w:szCs w:val="22"/>
                <w:lang w:eastAsia="en-CA"/>
              </w:rPr>
              <w:lastRenderedPageBreak/>
              <w:t>Samoa</w:t>
            </w:r>
          </w:p>
        </w:tc>
        <w:tc>
          <w:tcPr>
            <w:tcW w:w="2288" w:type="dxa"/>
            <w:tcBorders>
              <w:top w:val="nil"/>
              <w:left w:val="nil"/>
              <w:bottom w:val="single" w:sz="4" w:space="0" w:color="auto"/>
              <w:right w:val="single" w:sz="4" w:space="0" w:color="auto"/>
            </w:tcBorders>
            <w:shd w:val="clear" w:color="auto" w:fill="auto"/>
            <w:vAlign w:val="center"/>
            <w:hideMark/>
          </w:tcPr>
          <w:p w14:paraId="1F63D8A7"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547B317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1525A848"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0B583E8"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E924C80"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7ECF65D7"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A3319" w14:textId="77777777" w:rsidR="00981B76" w:rsidRPr="008E044D" w:rsidRDefault="00981B76" w:rsidP="00E83799">
            <w:pPr>
              <w:jc w:val="left"/>
              <w:rPr>
                <w:szCs w:val="22"/>
                <w:lang w:eastAsia="en-CA"/>
              </w:rPr>
            </w:pPr>
            <w:r>
              <w:rPr>
                <w:szCs w:val="22"/>
                <w:lang w:eastAsia="en-CA"/>
              </w:rPr>
              <w:t>Séné</w:t>
            </w:r>
            <w:r w:rsidRPr="008E044D">
              <w:rPr>
                <w:szCs w:val="22"/>
                <w:lang w:eastAsia="en-CA"/>
              </w:rPr>
              <w:t>gal</w:t>
            </w:r>
          </w:p>
        </w:tc>
        <w:tc>
          <w:tcPr>
            <w:tcW w:w="2288" w:type="dxa"/>
            <w:tcBorders>
              <w:top w:val="nil"/>
              <w:left w:val="nil"/>
              <w:bottom w:val="single" w:sz="4" w:space="0" w:color="auto"/>
              <w:right w:val="single" w:sz="4" w:space="0" w:color="auto"/>
            </w:tcBorders>
            <w:shd w:val="clear" w:color="auto" w:fill="auto"/>
            <w:vAlign w:val="center"/>
            <w:hideMark/>
          </w:tcPr>
          <w:p w14:paraId="3A173C7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14:paraId="2877A12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106D7184" w14:textId="77777777" w:rsidR="00981B76" w:rsidRPr="008E044D" w:rsidRDefault="00981B76" w:rsidP="00E83799">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51A89876" w14:textId="77777777" w:rsidR="00981B76" w:rsidRPr="008E044D" w:rsidRDefault="00981B76" w:rsidP="00E83799">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4BEDD9F5" w14:textId="77777777" w:rsidR="00981B76" w:rsidRPr="008E044D" w:rsidRDefault="00981B76" w:rsidP="00E83799">
            <w:pPr>
              <w:ind w:right="276"/>
              <w:jc w:val="right"/>
              <w:rPr>
                <w:szCs w:val="22"/>
                <w:lang w:eastAsia="en-CA"/>
              </w:rPr>
            </w:pPr>
            <w:r w:rsidRPr="008E044D">
              <w:rPr>
                <w:szCs w:val="22"/>
                <w:lang w:eastAsia="en-CA"/>
              </w:rPr>
              <w:t>358</w:t>
            </w:r>
          </w:p>
        </w:tc>
      </w:tr>
      <w:tr w:rsidR="00981B76" w:rsidRPr="00C678EF" w14:paraId="5CCE8D4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2E123" w14:textId="77777777" w:rsidR="00981B76" w:rsidRPr="008E044D" w:rsidRDefault="00981B76" w:rsidP="00E83799">
            <w:pPr>
              <w:jc w:val="left"/>
              <w:rPr>
                <w:szCs w:val="22"/>
                <w:lang w:eastAsia="en-CA"/>
              </w:rPr>
            </w:pPr>
            <w:r>
              <w:rPr>
                <w:szCs w:val="22"/>
                <w:lang w:eastAsia="en-CA"/>
              </w:rPr>
              <w:t>Serbie</w:t>
            </w:r>
          </w:p>
        </w:tc>
        <w:tc>
          <w:tcPr>
            <w:tcW w:w="2288" w:type="dxa"/>
            <w:tcBorders>
              <w:top w:val="nil"/>
              <w:left w:val="nil"/>
              <w:bottom w:val="single" w:sz="4" w:space="0" w:color="auto"/>
              <w:right w:val="single" w:sz="4" w:space="0" w:color="auto"/>
            </w:tcBorders>
            <w:shd w:val="clear" w:color="auto" w:fill="auto"/>
            <w:vAlign w:val="center"/>
            <w:hideMark/>
          </w:tcPr>
          <w:p w14:paraId="3903FB9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14:paraId="68D8B8A2"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046</w:t>
            </w:r>
          </w:p>
        </w:tc>
        <w:tc>
          <w:tcPr>
            <w:tcW w:w="0" w:type="auto"/>
            <w:tcBorders>
              <w:top w:val="nil"/>
              <w:left w:val="nil"/>
              <w:bottom w:val="single" w:sz="4" w:space="0" w:color="auto"/>
              <w:right w:val="single" w:sz="4" w:space="0" w:color="auto"/>
            </w:tcBorders>
            <w:shd w:val="clear" w:color="auto" w:fill="auto"/>
            <w:noWrap/>
            <w:vAlign w:val="center"/>
            <w:hideMark/>
          </w:tcPr>
          <w:p w14:paraId="5D300FB1"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113</w:t>
            </w:r>
          </w:p>
        </w:tc>
        <w:tc>
          <w:tcPr>
            <w:tcW w:w="0" w:type="auto"/>
            <w:tcBorders>
              <w:top w:val="nil"/>
              <w:left w:val="nil"/>
              <w:bottom w:val="single" w:sz="4" w:space="0" w:color="auto"/>
              <w:right w:val="single" w:sz="4" w:space="0" w:color="auto"/>
            </w:tcBorders>
            <w:shd w:val="clear" w:color="auto" w:fill="auto"/>
            <w:noWrap/>
            <w:vAlign w:val="center"/>
            <w:hideMark/>
          </w:tcPr>
          <w:p w14:paraId="17D6E846"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180</w:t>
            </w:r>
          </w:p>
        </w:tc>
        <w:tc>
          <w:tcPr>
            <w:tcW w:w="0" w:type="auto"/>
            <w:tcBorders>
              <w:top w:val="nil"/>
              <w:left w:val="nil"/>
              <w:bottom w:val="single" w:sz="4" w:space="0" w:color="auto"/>
              <w:right w:val="single" w:sz="4" w:space="0" w:color="auto"/>
            </w:tcBorders>
            <w:shd w:val="clear" w:color="auto" w:fill="auto"/>
            <w:noWrap/>
            <w:vAlign w:val="center"/>
            <w:hideMark/>
          </w:tcPr>
          <w:p w14:paraId="2A997948"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292</w:t>
            </w:r>
          </w:p>
        </w:tc>
      </w:tr>
      <w:tr w:rsidR="00981B76" w:rsidRPr="00C678EF" w14:paraId="57ACF9A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0FD47B" w14:textId="77777777" w:rsidR="00981B76" w:rsidRPr="008E044D" w:rsidRDefault="00981B76" w:rsidP="00E83799">
            <w:pPr>
              <w:jc w:val="left"/>
              <w:rPr>
                <w:szCs w:val="22"/>
                <w:lang w:eastAsia="en-CA"/>
              </w:rPr>
            </w:pPr>
            <w:r w:rsidRPr="008E044D">
              <w:rPr>
                <w:szCs w:val="22"/>
                <w:lang w:eastAsia="en-CA"/>
              </w:rPr>
              <w:t>Seychelles</w:t>
            </w:r>
          </w:p>
        </w:tc>
        <w:tc>
          <w:tcPr>
            <w:tcW w:w="2288" w:type="dxa"/>
            <w:tcBorders>
              <w:top w:val="nil"/>
              <w:left w:val="nil"/>
              <w:bottom w:val="single" w:sz="4" w:space="0" w:color="auto"/>
              <w:right w:val="single" w:sz="4" w:space="0" w:color="auto"/>
            </w:tcBorders>
            <w:shd w:val="clear" w:color="auto" w:fill="auto"/>
            <w:vAlign w:val="center"/>
            <w:hideMark/>
          </w:tcPr>
          <w:p w14:paraId="2957692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1969910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1ED7231"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D428191"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B716142"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00953FE8"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F37B87" w14:textId="77777777" w:rsidR="00981B76" w:rsidRPr="008E044D" w:rsidRDefault="00981B76" w:rsidP="00E83799">
            <w:pPr>
              <w:jc w:val="left"/>
              <w:rPr>
                <w:szCs w:val="22"/>
                <w:lang w:eastAsia="en-CA"/>
              </w:rPr>
            </w:pPr>
            <w:r>
              <w:rPr>
                <w:szCs w:val="22"/>
                <w:lang w:eastAsia="en-CA"/>
              </w:rPr>
              <w:t>Slovaquie</w:t>
            </w:r>
          </w:p>
        </w:tc>
        <w:tc>
          <w:tcPr>
            <w:tcW w:w="2288" w:type="dxa"/>
            <w:tcBorders>
              <w:top w:val="nil"/>
              <w:left w:val="nil"/>
              <w:bottom w:val="single" w:sz="4" w:space="0" w:color="auto"/>
              <w:right w:val="single" w:sz="4" w:space="0" w:color="auto"/>
            </w:tcBorders>
            <w:shd w:val="clear" w:color="auto" w:fill="auto"/>
            <w:vAlign w:val="center"/>
            <w:hideMark/>
          </w:tcPr>
          <w:p w14:paraId="14D6B26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160</w:t>
            </w:r>
          </w:p>
        </w:tc>
        <w:tc>
          <w:tcPr>
            <w:tcW w:w="0" w:type="auto"/>
            <w:tcBorders>
              <w:top w:val="nil"/>
              <w:left w:val="nil"/>
              <w:bottom w:val="single" w:sz="4" w:space="0" w:color="auto"/>
              <w:right w:val="single" w:sz="4" w:space="0" w:color="auto"/>
            </w:tcBorders>
            <w:shd w:val="clear" w:color="auto" w:fill="auto"/>
            <w:noWrap/>
            <w:vAlign w:val="center"/>
            <w:hideMark/>
          </w:tcPr>
          <w:p w14:paraId="0B87C4E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232</w:t>
            </w:r>
          </w:p>
        </w:tc>
        <w:tc>
          <w:tcPr>
            <w:tcW w:w="0" w:type="auto"/>
            <w:tcBorders>
              <w:top w:val="nil"/>
              <w:left w:val="nil"/>
              <w:bottom w:val="single" w:sz="4" w:space="0" w:color="auto"/>
              <w:right w:val="single" w:sz="4" w:space="0" w:color="auto"/>
            </w:tcBorders>
            <w:shd w:val="clear" w:color="auto" w:fill="auto"/>
            <w:noWrap/>
            <w:vAlign w:val="center"/>
            <w:hideMark/>
          </w:tcPr>
          <w:p w14:paraId="7299D2CB"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563</w:t>
            </w:r>
          </w:p>
        </w:tc>
        <w:tc>
          <w:tcPr>
            <w:tcW w:w="0" w:type="auto"/>
            <w:tcBorders>
              <w:top w:val="nil"/>
              <w:left w:val="nil"/>
              <w:bottom w:val="single" w:sz="4" w:space="0" w:color="auto"/>
              <w:right w:val="single" w:sz="4" w:space="0" w:color="auto"/>
            </w:tcBorders>
            <w:shd w:val="clear" w:color="auto" w:fill="auto"/>
            <w:noWrap/>
            <w:vAlign w:val="center"/>
            <w:hideMark/>
          </w:tcPr>
          <w:p w14:paraId="12389FC6"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899</w:t>
            </w:r>
          </w:p>
        </w:tc>
        <w:tc>
          <w:tcPr>
            <w:tcW w:w="0" w:type="auto"/>
            <w:tcBorders>
              <w:top w:val="nil"/>
              <w:left w:val="nil"/>
              <w:bottom w:val="single" w:sz="4" w:space="0" w:color="auto"/>
              <w:right w:val="single" w:sz="4" w:space="0" w:color="auto"/>
            </w:tcBorders>
            <w:shd w:val="clear" w:color="auto" w:fill="auto"/>
            <w:noWrap/>
            <w:vAlign w:val="center"/>
            <w:hideMark/>
          </w:tcPr>
          <w:p w14:paraId="2156234F"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462</w:t>
            </w:r>
          </w:p>
        </w:tc>
      </w:tr>
      <w:tr w:rsidR="00981B76" w:rsidRPr="00C678EF" w14:paraId="41827C3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14F37" w14:textId="77777777" w:rsidR="00981B76" w:rsidRPr="008E044D" w:rsidRDefault="00981B76" w:rsidP="00E83799">
            <w:pPr>
              <w:jc w:val="left"/>
              <w:rPr>
                <w:szCs w:val="22"/>
                <w:lang w:eastAsia="en-CA"/>
              </w:rPr>
            </w:pPr>
            <w:r>
              <w:rPr>
                <w:szCs w:val="22"/>
                <w:lang w:eastAsia="en-CA"/>
              </w:rPr>
              <w:t>Slovénie</w:t>
            </w:r>
          </w:p>
        </w:tc>
        <w:tc>
          <w:tcPr>
            <w:tcW w:w="2288" w:type="dxa"/>
            <w:tcBorders>
              <w:top w:val="nil"/>
              <w:left w:val="nil"/>
              <w:bottom w:val="single" w:sz="4" w:space="0" w:color="auto"/>
              <w:right w:val="single" w:sz="4" w:space="0" w:color="auto"/>
            </w:tcBorders>
            <w:shd w:val="clear" w:color="auto" w:fill="auto"/>
            <w:vAlign w:val="center"/>
            <w:hideMark/>
          </w:tcPr>
          <w:p w14:paraId="2B08EA1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084</w:t>
            </w:r>
          </w:p>
        </w:tc>
        <w:tc>
          <w:tcPr>
            <w:tcW w:w="0" w:type="auto"/>
            <w:tcBorders>
              <w:top w:val="nil"/>
              <w:left w:val="nil"/>
              <w:bottom w:val="single" w:sz="4" w:space="0" w:color="auto"/>
              <w:right w:val="single" w:sz="4" w:space="0" w:color="auto"/>
            </w:tcBorders>
            <w:shd w:val="clear" w:color="auto" w:fill="auto"/>
            <w:noWrap/>
            <w:vAlign w:val="center"/>
            <w:hideMark/>
          </w:tcPr>
          <w:p w14:paraId="1008619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122</w:t>
            </w:r>
          </w:p>
        </w:tc>
        <w:tc>
          <w:tcPr>
            <w:tcW w:w="0" w:type="auto"/>
            <w:tcBorders>
              <w:top w:val="nil"/>
              <w:left w:val="nil"/>
              <w:bottom w:val="single" w:sz="4" w:space="0" w:color="auto"/>
              <w:right w:val="single" w:sz="4" w:space="0" w:color="auto"/>
            </w:tcBorders>
            <w:shd w:val="clear" w:color="auto" w:fill="auto"/>
            <w:noWrap/>
            <w:vAlign w:val="center"/>
            <w:hideMark/>
          </w:tcPr>
          <w:p w14:paraId="2C93FE40"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921</w:t>
            </w:r>
          </w:p>
        </w:tc>
        <w:tc>
          <w:tcPr>
            <w:tcW w:w="0" w:type="auto"/>
            <w:tcBorders>
              <w:top w:val="nil"/>
              <w:left w:val="nil"/>
              <w:bottom w:val="single" w:sz="4" w:space="0" w:color="auto"/>
              <w:right w:val="single" w:sz="4" w:space="0" w:color="auto"/>
            </w:tcBorders>
            <w:shd w:val="clear" w:color="auto" w:fill="auto"/>
            <w:noWrap/>
            <w:vAlign w:val="center"/>
            <w:hideMark/>
          </w:tcPr>
          <w:p w14:paraId="448D996B"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097</w:t>
            </w:r>
          </w:p>
        </w:tc>
        <w:tc>
          <w:tcPr>
            <w:tcW w:w="0" w:type="auto"/>
            <w:tcBorders>
              <w:top w:val="nil"/>
              <w:left w:val="nil"/>
              <w:bottom w:val="single" w:sz="4" w:space="0" w:color="auto"/>
              <w:right w:val="single" w:sz="4" w:space="0" w:color="auto"/>
            </w:tcBorders>
            <w:shd w:val="clear" w:color="auto" w:fill="auto"/>
            <w:noWrap/>
            <w:vAlign w:val="center"/>
            <w:hideMark/>
          </w:tcPr>
          <w:p w14:paraId="0743723E" w14:textId="77777777" w:rsidR="00981B76" w:rsidRPr="008E044D" w:rsidRDefault="00981B76" w:rsidP="00E83799">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018</w:t>
            </w:r>
          </w:p>
        </w:tc>
      </w:tr>
      <w:tr w:rsidR="00981B76" w:rsidRPr="00C678EF" w14:paraId="28DBB70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4B6C1" w14:textId="77777777" w:rsidR="00981B76" w:rsidRPr="008E044D" w:rsidRDefault="00981B76" w:rsidP="00E83799">
            <w:pPr>
              <w:jc w:val="left"/>
              <w:rPr>
                <w:szCs w:val="22"/>
                <w:lang w:eastAsia="en-CA"/>
              </w:rPr>
            </w:pPr>
            <w:r>
              <w:rPr>
                <w:szCs w:val="22"/>
                <w:lang w:eastAsia="en-CA"/>
              </w:rPr>
              <w:t>Somalie</w:t>
            </w:r>
          </w:p>
        </w:tc>
        <w:tc>
          <w:tcPr>
            <w:tcW w:w="2288" w:type="dxa"/>
            <w:tcBorders>
              <w:top w:val="nil"/>
              <w:left w:val="nil"/>
              <w:bottom w:val="single" w:sz="4" w:space="0" w:color="auto"/>
              <w:right w:val="single" w:sz="4" w:space="0" w:color="auto"/>
            </w:tcBorders>
            <w:shd w:val="clear" w:color="auto" w:fill="auto"/>
            <w:vAlign w:val="center"/>
            <w:hideMark/>
          </w:tcPr>
          <w:p w14:paraId="7243E35A"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3175DA5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11465C7B"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3568D7C"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A7EADBB"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5FDF369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0A3894" w14:textId="77777777" w:rsidR="00981B76" w:rsidRPr="008E044D" w:rsidRDefault="00981B76" w:rsidP="00E83799">
            <w:pPr>
              <w:jc w:val="left"/>
              <w:rPr>
                <w:szCs w:val="22"/>
                <w:lang w:eastAsia="en-CA"/>
              </w:rPr>
            </w:pPr>
            <w:r w:rsidRPr="008E044D">
              <w:rPr>
                <w:szCs w:val="22"/>
                <w:lang w:eastAsia="en-CA"/>
              </w:rPr>
              <w:t>S</w:t>
            </w:r>
            <w:r>
              <w:rPr>
                <w:szCs w:val="22"/>
                <w:lang w:eastAsia="en-CA"/>
              </w:rPr>
              <w:t>o</w:t>
            </w:r>
            <w:r w:rsidRPr="008E044D">
              <w:rPr>
                <w:szCs w:val="22"/>
                <w:lang w:eastAsia="en-CA"/>
              </w:rPr>
              <w:t>udan</w:t>
            </w:r>
          </w:p>
        </w:tc>
        <w:tc>
          <w:tcPr>
            <w:tcW w:w="2288" w:type="dxa"/>
            <w:tcBorders>
              <w:top w:val="nil"/>
              <w:left w:val="nil"/>
              <w:bottom w:val="single" w:sz="4" w:space="0" w:color="auto"/>
              <w:right w:val="single" w:sz="4" w:space="0" w:color="auto"/>
            </w:tcBorders>
            <w:shd w:val="clear" w:color="auto" w:fill="auto"/>
            <w:vAlign w:val="center"/>
            <w:hideMark/>
          </w:tcPr>
          <w:p w14:paraId="73294AD9"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122952C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565A78EF"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67DE4954"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5B019EB"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0B71E80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3F3AF8" w14:textId="77777777" w:rsidR="00981B76" w:rsidRPr="008E044D" w:rsidRDefault="00981B76" w:rsidP="00E83799">
            <w:pPr>
              <w:jc w:val="left"/>
              <w:rPr>
                <w:szCs w:val="22"/>
                <w:lang w:eastAsia="en-CA"/>
              </w:rPr>
            </w:pPr>
            <w:r w:rsidRPr="008E044D">
              <w:rPr>
                <w:szCs w:val="22"/>
                <w:lang w:eastAsia="en-CA"/>
              </w:rPr>
              <w:t>Sri Lanka</w:t>
            </w:r>
          </w:p>
        </w:tc>
        <w:tc>
          <w:tcPr>
            <w:tcW w:w="2288" w:type="dxa"/>
            <w:tcBorders>
              <w:top w:val="nil"/>
              <w:left w:val="nil"/>
              <w:bottom w:val="single" w:sz="4" w:space="0" w:color="auto"/>
              <w:right w:val="single" w:sz="4" w:space="0" w:color="auto"/>
            </w:tcBorders>
            <w:shd w:val="clear" w:color="auto" w:fill="auto"/>
            <w:vAlign w:val="center"/>
            <w:hideMark/>
          </w:tcPr>
          <w:p w14:paraId="41C6015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031</w:t>
            </w:r>
          </w:p>
        </w:tc>
        <w:tc>
          <w:tcPr>
            <w:tcW w:w="0" w:type="auto"/>
            <w:tcBorders>
              <w:top w:val="nil"/>
              <w:left w:val="nil"/>
              <w:bottom w:val="single" w:sz="4" w:space="0" w:color="auto"/>
              <w:right w:val="single" w:sz="4" w:space="0" w:color="auto"/>
            </w:tcBorders>
            <w:shd w:val="clear" w:color="auto" w:fill="auto"/>
            <w:noWrap/>
            <w:vAlign w:val="center"/>
            <w:hideMark/>
          </w:tcPr>
          <w:p w14:paraId="642DC70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045</w:t>
            </w:r>
          </w:p>
        </w:tc>
        <w:tc>
          <w:tcPr>
            <w:tcW w:w="0" w:type="auto"/>
            <w:tcBorders>
              <w:top w:val="nil"/>
              <w:left w:val="nil"/>
              <w:bottom w:val="single" w:sz="4" w:space="0" w:color="auto"/>
              <w:right w:val="single" w:sz="4" w:space="0" w:color="auto"/>
            </w:tcBorders>
            <w:shd w:val="clear" w:color="auto" w:fill="auto"/>
            <w:noWrap/>
            <w:vAlign w:val="center"/>
            <w:hideMark/>
          </w:tcPr>
          <w:p w14:paraId="4B3A7898"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078</w:t>
            </w:r>
          </w:p>
        </w:tc>
        <w:tc>
          <w:tcPr>
            <w:tcW w:w="0" w:type="auto"/>
            <w:tcBorders>
              <w:top w:val="nil"/>
              <w:left w:val="nil"/>
              <w:bottom w:val="single" w:sz="4" w:space="0" w:color="auto"/>
              <w:right w:val="single" w:sz="4" w:space="0" w:color="auto"/>
            </w:tcBorders>
            <w:shd w:val="clear" w:color="auto" w:fill="auto"/>
            <w:noWrap/>
            <w:vAlign w:val="center"/>
            <w:hideMark/>
          </w:tcPr>
          <w:p w14:paraId="1D313983"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143</w:t>
            </w:r>
          </w:p>
        </w:tc>
        <w:tc>
          <w:tcPr>
            <w:tcW w:w="0" w:type="auto"/>
            <w:tcBorders>
              <w:top w:val="nil"/>
              <w:left w:val="nil"/>
              <w:bottom w:val="single" w:sz="4" w:space="0" w:color="auto"/>
              <w:right w:val="single" w:sz="4" w:space="0" w:color="auto"/>
            </w:tcBorders>
            <w:shd w:val="clear" w:color="auto" w:fill="auto"/>
            <w:noWrap/>
            <w:vAlign w:val="center"/>
            <w:hideMark/>
          </w:tcPr>
          <w:p w14:paraId="04780559"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221</w:t>
            </w:r>
          </w:p>
        </w:tc>
      </w:tr>
      <w:tr w:rsidR="00981B76" w:rsidRPr="00C678EF" w14:paraId="1619A399"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DDF21C" w14:textId="77777777" w:rsidR="00981B76" w:rsidRPr="008E044D" w:rsidRDefault="00981B76" w:rsidP="00E83799">
            <w:pPr>
              <w:jc w:val="left"/>
              <w:rPr>
                <w:szCs w:val="22"/>
                <w:lang w:eastAsia="en-CA"/>
              </w:rPr>
            </w:pPr>
            <w:r>
              <w:rPr>
                <w:szCs w:val="22"/>
                <w:lang w:eastAsia="en-CA"/>
              </w:rPr>
              <w:t>Suède</w:t>
            </w:r>
          </w:p>
        </w:tc>
        <w:tc>
          <w:tcPr>
            <w:tcW w:w="2288" w:type="dxa"/>
            <w:tcBorders>
              <w:top w:val="nil"/>
              <w:left w:val="nil"/>
              <w:bottom w:val="single" w:sz="4" w:space="0" w:color="auto"/>
              <w:right w:val="single" w:sz="4" w:space="0" w:color="auto"/>
            </w:tcBorders>
            <w:shd w:val="clear" w:color="auto" w:fill="auto"/>
            <w:vAlign w:val="center"/>
            <w:hideMark/>
          </w:tcPr>
          <w:p w14:paraId="7C9DF928"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956</w:t>
            </w:r>
          </w:p>
        </w:tc>
        <w:tc>
          <w:tcPr>
            <w:tcW w:w="0" w:type="auto"/>
            <w:tcBorders>
              <w:top w:val="nil"/>
              <w:left w:val="nil"/>
              <w:bottom w:val="single" w:sz="4" w:space="0" w:color="auto"/>
              <w:right w:val="single" w:sz="4" w:space="0" w:color="auto"/>
            </w:tcBorders>
            <w:shd w:val="clear" w:color="auto" w:fill="auto"/>
            <w:noWrap/>
            <w:vAlign w:val="center"/>
            <w:hideMark/>
          </w:tcPr>
          <w:p w14:paraId="536C5D54"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384</w:t>
            </w:r>
          </w:p>
        </w:tc>
        <w:tc>
          <w:tcPr>
            <w:tcW w:w="0" w:type="auto"/>
            <w:tcBorders>
              <w:top w:val="nil"/>
              <w:left w:val="nil"/>
              <w:bottom w:val="single" w:sz="4" w:space="0" w:color="auto"/>
              <w:right w:val="single" w:sz="4" w:space="0" w:color="auto"/>
            </w:tcBorders>
            <w:shd w:val="clear" w:color="auto" w:fill="auto"/>
            <w:noWrap/>
            <w:vAlign w:val="center"/>
            <w:hideMark/>
          </w:tcPr>
          <w:p w14:paraId="7F454BA2" w14:textId="77777777" w:rsidR="00981B76" w:rsidRPr="008E044D" w:rsidRDefault="00981B76" w:rsidP="00E83799">
            <w:pPr>
              <w:ind w:right="276"/>
              <w:jc w:val="right"/>
              <w:rPr>
                <w:szCs w:val="22"/>
                <w:lang w:eastAsia="en-CA"/>
              </w:rPr>
            </w:pPr>
            <w:r w:rsidRPr="008E044D">
              <w:rPr>
                <w:szCs w:val="22"/>
                <w:lang w:eastAsia="en-CA"/>
              </w:rPr>
              <w:t>33</w:t>
            </w:r>
            <w:r>
              <w:rPr>
                <w:szCs w:val="22"/>
                <w:lang w:eastAsia="en-CA"/>
              </w:rPr>
              <w:t xml:space="preserve"> </w:t>
            </w:r>
            <w:r w:rsidRPr="008E044D">
              <w:rPr>
                <w:szCs w:val="22"/>
                <w:lang w:eastAsia="en-CA"/>
              </w:rPr>
              <w:t>239</w:t>
            </w:r>
          </w:p>
        </w:tc>
        <w:tc>
          <w:tcPr>
            <w:tcW w:w="0" w:type="auto"/>
            <w:tcBorders>
              <w:top w:val="nil"/>
              <w:left w:val="nil"/>
              <w:bottom w:val="single" w:sz="4" w:space="0" w:color="auto"/>
              <w:right w:val="single" w:sz="4" w:space="0" w:color="auto"/>
            </w:tcBorders>
            <w:shd w:val="clear" w:color="auto" w:fill="auto"/>
            <w:noWrap/>
            <w:vAlign w:val="center"/>
            <w:hideMark/>
          </w:tcPr>
          <w:p w14:paraId="20738A2D" w14:textId="77777777" w:rsidR="00981B76" w:rsidRPr="008E044D" w:rsidRDefault="00981B76" w:rsidP="00E83799">
            <w:pPr>
              <w:ind w:right="276"/>
              <w:jc w:val="right"/>
              <w:rPr>
                <w:szCs w:val="22"/>
                <w:lang w:eastAsia="en-CA"/>
              </w:rPr>
            </w:pPr>
            <w:r w:rsidRPr="008E044D">
              <w:rPr>
                <w:szCs w:val="22"/>
                <w:lang w:eastAsia="en-CA"/>
              </w:rPr>
              <w:t>35</w:t>
            </w:r>
            <w:r>
              <w:rPr>
                <w:szCs w:val="22"/>
                <w:lang w:eastAsia="en-CA"/>
              </w:rPr>
              <w:t xml:space="preserve"> </w:t>
            </w:r>
            <w:r w:rsidRPr="008E044D">
              <w:rPr>
                <w:szCs w:val="22"/>
                <w:lang w:eastAsia="en-CA"/>
              </w:rPr>
              <w:t>247</w:t>
            </w:r>
          </w:p>
        </w:tc>
        <w:tc>
          <w:tcPr>
            <w:tcW w:w="0" w:type="auto"/>
            <w:tcBorders>
              <w:top w:val="nil"/>
              <w:left w:val="nil"/>
              <w:bottom w:val="single" w:sz="4" w:space="0" w:color="auto"/>
              <w:right w:val="single" w:sz="4" w:space="0" w:color="auto"/>
            </w:tcBorders>
            <w:shd w:val="clear" w:color="auto" w:fill="auto"/>
            <w:noWrap/>
            <w:vAlign w:val="center"/>
            <w:hideMark/>
          </w:tcPr>
          <w:p w14:paraId="0B88B1CC" w14:textId="77777777" w:rsidR="00981B76" w:rsidRPr="008E044D" w:rsidRDefault="00981B76" w:rsidP="00E83799">
            <w:pPr>
              <w:ind w:right="276"/>
              <w:jc w:val="right"/>
              <w:rPr>
                <w:szCs w:val="22"/>
                <w:lang w:eastAsia="en-CA"/>
              </w:rPr>
            </w:pPr>
            <w:r w:rsidRPr="008E044D">
              <w:rPr>
                <w:szCs w:val="22"/>
                <w:lang w:eastAsia="en-CA"/>
              </w:rPr>
              <w:t>68</w:t>
            </w:r>
            <w:r>
              <w:rPr>
                <w:szCs w:val="22"/>
                <w:lang w:eastAsia="en-CA"/>
              </w:rPr>
              <w:t xml:space="preserve"> </w:t>
            </w:r>
            <w:r w:rsidRPr="008E044D">
              <w:rPr>
                <w:szCs w:val="22"/>
                <w:lang w:eastAsia="en-CA"/>
              </w:rPr>
              <w:t>486</w:t>
            </w:r>
          </w:p>
        </w:tc>
      </w:tr>
      <w:tr w:rsidR="00981B76" w:rsidRPr="00C678EF" w14:paraId="6E2BD34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A5D8CE" w14:textId="77777777" w:rsidR="00981B76" w:rsidRPr="008E044D" w:rsidRDefault="00981B76" w:rsidP="00E83799">
            <w:pPr>
              <w:jc w:val="left"/>
              <w:rPr>
                <w:szCs w:val="22"/>
                <w:lang w:eastAsia="en-CA"/>
              </w:rPr>
            </w:pPr>
            <w:r>
              <w:rPr>
                <w:szCs w:val="22"/>
                <w:lang w:eastAsia="en-CA"/>
              </w:rPr>
              <w:t>Suisse</w:t>
            </w:r>
          </w:p>
        </w:tc>
        <w:tc>
          <w:tcPr>
            <w:tcW w:w="2288" w:type="dxa"/>
            <w:tcBorders>
              <w:top w:val="nil"/>
              <w:left w:val="nil"/>
              <w:bottom w:val="single" w:sz="4" w:space="0" w:color="auto"/>
              <w:right w:val="single" w:sz="4" w:space="0" w:color="auto"/>
            </w:tcBorders>
            <w:shd w:val="clear" w:color="auto" w:fill="auto"/>
            <w:vAlign w:val="center"/>
            <w:hideMark/>
          </w:tcPr>
          <w:p w14:paraId="257B47D4" w14:textId="77777777" w:rsidR="00981B76" w:rsidRPr="008E044D" w:rsidRDefault="00981B76" w:rsidP="00E83799">
            <w:pPr>
              <w:ind w:right="770"/>
              <w:jc w:val="right"/>
              <w:rPr>
                <w:szCs w:val="22"/>
                <w:lang w:eastAsia="en-CA"/>
              </w:rPr>
            </w:pPr>
            <w:r w:rsidRPr="008E044D">
              <w:rPr>
                <w:szCs w:val="22"/>
                <w:lang w:eastAsia="en-CA"/>
              </w:rPr>
              <w:t>1</w:t>
            </w:r>
            <w:r>
              <w:rPr>
                <w:szCs w:val="22"/>
                <w:lang w:eastAsia="en-CA"/>
              </w:rPr>
              <w:t>,</w:t>
            </w:r>
            <w:r w:rsidRPr="008E044D">
              <w:rPr>
                <w:szCs w:val="22"/>
                <w:lang w:eastAsia="en-CA"/>
              </w:rPr>
              <w:t>140</w:t>
            </w:r>
          </w:p>
        </w:tc>
        <w:tc>
          <w:tcPr>
            <w:tcW w:w="0" w:type="auto"/>
            <w:tcBorders>
              <w:top w:val="nil"/>
              <w:left w:val="nil"/>
              <w:bottom w:val="single" w:sz="4" w:space="0" w:color="auto"/>
              <w:right w:val="single" w:sz="4" w:space="0" w:color="auto"/>
            </w:tcBorders>
            <w:shd w:val="clear" w:color="auto" w:fill="auto"/>
            <w:noWrap/>
            <w:vAlign w:val="center"/>
            <w:hideMark/>
          </w:tcPr>
          <w:p w14:paraId="057F6690"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651</w:t>
            </w:r>
          </w:p>
        </w:tc>
        <w:tc>
          <w:tcPr>
            <w:tcW w:w="0" w:type="auto"/>
            <w:tcBorders>
              <w:top w:val="nil"/>
              <w:left w:val="nil"/>
              <w:bottom w:val="single" w:sz="4" w:space="0" w:color="auto"/>
              <w:right w:val="single" w:sz="4" w:space="0" w:color="auto"/>
            </w:tcBorders>
            <w:shd w:val="clear" w:color="auto" w:fill="auto"/>
            <w:noWrap/>
            <w:vAlign w:val="center"/>
            <w:hideMark/>
          </w:tcPr>
          <w:p w14:paraId="038E4DED" w14:textId="77777777" w:rsidR="00981B76" w:rsidRPr="008E044D" w:rsidRDefault="00981B76" w:rsidP="00E83799">
            <w:pPr>
              <w:ind w:right="276"/>
              <w:jc w:val="right"/>
              <w:rPr>
                <w:szCs w:val="22"/>
                <w:lang w:eastAsia="en-CA"/>
              </w:rPr>
            </w:pPr>
            <w:r w:rsidRPr="008E044D">
              <w:rPr>
                <w:szCs w:val="22"/>
                <w:lang w:eastAsia="en-CA"/>
              </w:rPr>
              <w:t>39</w:t>
            </w:r>
            <w:r>
              <w:rPr>
                <w:szCs w:val="22"/>
                <w:lang w:eastAsia="en-CA"/>
              </w:rPr>
              <w:t xml:space="preserve"> </w:t>
            </w:r>
            <w:r w:rsidRPr="008E044D">
              <w:rPr>
                <w:szCs w:val="22"/>
                <w:lang w:eastAsia="en-CA"/>
              </w:rPr>
              <w:t>637</w:t>
            </w:r>
          </w:p>
        </w:tc>
        <w:tc>
          <w:tcPr>
            <w:tcW w:w="0" w:type="auto"/>
            <w:tcBorders>
              <w:top w:val="nil"/>
              <w:left w:val="nil"/>
              <w:bottom w:val="single" w:sz="4" w:space="0" w:color="auto"/>
              <w:right w:val="single" w:sz="4" w:space="0" w:color="auto"/>
            </w:tcBorders>
            <w:shd w:val="clear" w:color="auto" w:fill="auto"/>
            <w:noWrap/>
            <w:vAlign w:val="center"/>
            <w:hideMark/>
          </w:tcPr>
          <w:p w14:paraId="055025A3" w14:textId="77777777" w:rsidR="00981B76" w:rsidRPr="008E044D" w:rsidRDefault="00981B76" w:rsidP="00E83799">
            <w:pPr>
              <w:ind w:right="276"/>
              <w:jc w:val="right"/>
              <w:rPr>
                <w:szCs w:val="22"/>
                <w:lang w:eastAsia="en-CA"/>
              </w:rPr>
            </w:pPr>
            <w:r w:rsidRPr="008E044D">
              <w:rPr>
                <w:szCs w:val="22"/>
                <w:lang w:eastAsia="en-CA"/>
              </w:rPr>
              <w:t>42</w:t>
            </w:r>
            <w:r>
              <w:rPr>
                <w:szCs w:val="22"/>
                <w:lang w:eastAsia="en-CA"/>
              </w:rPr>
              <w:t xml:space="preserve"> </w:t>
            </w:r>
            <w:r w:rsidRPr="008E044D">
              <w:rPr>
                <w:szCs w:val="22"/>
                <w:lang w:eastAsia="en-CA"/>
              </w:rPr>
              <w:t>031</w:t>
            </w:r>
          </w:p>
        </w:tc>
        <w:tc>
          <w:tcPr>
            <w:tcW w:w="0" w:type="auto"/>
            <w:tcBorders>
              <w:top w:val="nil"/>
              <w:left w:val="nil"/>
              <w:bottom w:val="single" w:sz="4" w:space="0" w:color="auto"/>
              <w:right w:val="single" w:sz="4" w:space="0" w:color="auto"/>
            </w:tcBorders>
            <w:shd w:val="clear" w:color="auto" w:fill="auto"/>
            <w:noWrap/>
            <w:vAlign w:val="center"/>
            <w:hideMark/>
          </w:tcPr>
          <w:p w14:paraId="6EC09BF4" w14:textId="77777777" w:rsidR="00981B76" w:rsidRPr="008E044D" w:rsidRDefault="00981B76" w:rsidP="00E83799">
            <w:pPr>
              <w:ind w:right="276"/>
              <w:jc w:val="right"/>
              <w:rPr>
                <w:szCs w:val="22"/>
                <w:lang w:eastAsia="en-CA"/>
              </w:rPr>
            </w:pPr>
            <w:r w:rsidRPr="008E044D">
              <w:rPr>
                <w:szCs w:val="22"/>
                <w:lang w:eastAsia="en-CA"/>
              </w:rPr>
              <w:t>81</w:t>
            </w:r>
            <w:r>
              <w:rPr>
                <w:szCs w:val="22"/>
                <w:lang w:eastAsia="en-CA"/>
              </w:rPr>
              <w:t xml:space="preserve"> </w:t>
            </w:r>
            <w:r w:rsidRPr="008E044D">
              <w:rPr>
                <w:szCs w:val="22"/>
                <w:lang w:eastAsia="en-CA"/>
              </w:rPr>
              <w:t>668</w:t>
            </w:r>
          </w:p>
        </w:tc>
      </w:tr>
      <w:tr w:rsidR="00981B76" w:rsidRPr="00C678EF" w14:paraId="72CEBA1A"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5448F2" w14:textId="77777777" w:rsidR="00981B76" w:rsidRPr="008E044D" w:rsidRDefault="00981B76" w:rsidP="00E83799">
            <w:pPr>
              <w:jc w:val="left"/>
              <w:rPr>
                <w:szCs w:val="22"/>
                <w:lang w:eastAsia="en-CA"/>
              </w:rPr>
            </w:pPr>
            <w:r w:rsidRPr="008E044D">
              <w:rPr>
                <w:szCs w:val="22"/>
                <w:lang w:eastAsia="en-CA"/>
              </w:rPr>
              <w:t>Suriname</w:t>
            </w:r>
          </w:p>
        </w:tc>
        <w:tc>
          <w:tcPr>
            <w:tcW w:w="2288" w:type="dxa"/>
            <w:tcBorders>
              <w:top w:val="nil"/>
              <w:left w:val="nil"/>
              <w:bottom w:val="single" w:sz="4" w:space="0" w:color="auto"/>
              <w:right w:val="single" w:sz="4" w:space="0" w:color="auto"/>
            </w:tcBorders>
            <w:shd w:val="clear" w:color="auto" w:fill="auto"/>
            <w:vAlign w:val="center"/>
            <w:hideMark/>
          </w:tcPr>
          <w:p w14:paraId="167F27C9"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14:paraId="2726028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14:paraId="783B5A24" w14:textId="77777777" w:rsidR="00981B76" w:rsidRPr="008E044D" w:rsidRDefault="00981B76" w:rsidP="00E83799">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17FE0F44" w14:textId="77777777" w:rsidR="00981B76" w:rsidRPr="008E044D" w:rsidRDefault="00981B76" w:rsidP="00E83799">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089C64AB" w14:textId="77777777" w:rsidR="00981B76" w:rsidRPr="008E044D" w:rsidRDefault="00981B76" w:rsidP="00E83799">
            <w:pPr>
              <w:ind w:right="276"/>
              <w:jc w:val="right"/>
              <w:rPr>
                <w:szCs w:val="22"/>
                <w:lang w:eastAsia="en-CA"/>
              </w:rPr>
            </w:pPr>
            <w:r w:rsidRPr="008E044D">
              <w:rPr>
                <w:szCs w:val="22"/>
                <w:lang w:eastAsia="en-CA"/>
              </w:rPr>
              <w:t>430</w:t>
            </w:r>
          </w:p>
        </w:tc>
      </w:tr>
      <w:tr w:rsidR="00981B76" w:rsidRPr="00C678EF" w14:paraId="168F6685" w14:textId="77777777" w:rsidTr="00E8379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C66A4F" w14:textId="77777777" w:rsidR="00981B76" w:rsidRPr="008E044D" w:rsidRDefault="00981B76" w:rsidP="00E83799">
            <w:pPr>
              <w:jc w:val="left"/>
              <w:rPr>
                <w:szCs w:val="22"/>
                <w:lang w:eastAsia="en-CA"/>
              </w:rPr>
            </w:pPr>
            <w:r w:rsidRPr="008E044D">
              <w:rPr>
                <w:szCs w:val="22"/>
                <w:lang w:eastAsia="en-CA"/>
              </w:rPr>
              <w:t>Ta</w:t>
            </w:r>
            <w:r>
              <w:rPr>
                <w:szCs w:val="22"/>
                <w:lang w:eastAsia="en-CA"/>
              </w:rPr>
              <w:t>d</w:t>
            </w:r>
            <w:r w:rsidRPr="008E044D">
              <w:rPr>
                <w:szCs w:val="22"/>
                <w:lang w:eastAsia="en-CA"/>
              </w:rPr>
              <w:t>jikistan</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79E94411"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E54B9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B92C795" w14:textId="77777777" w:rsidR="00981B76" w:rsidRPr="008E044D" w:rsidRDefault="00981B76" w:rsidP="00E83799">
            <w:pPr>
              <w:ind w:right="276"/>
              <w:jc w:val="right"/>
              <w:rPr>
                <w:szCs w:val="22"/>
                <w:lang w:eastAsia="en-CA"/>
              </w:rPr>
            </w:pPr>
            <w:r w:rsidRPr="008E044D">
              <w:rPr>
                <w:szCs w:val="22"/>
                <w:lang w:eastAsia="en-CA"/>
              </w:rPr>
              <w:t>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FFA180" w14:textId="77777777" w:rsidR="00981B76" w:rsidRPr="008E044D" w:rsidRDefault="00981B76" w:rsidP="00E83799">
            <w:pPr>
              <w:ind w:right="276"/>
              <w:jc w:val="right"/>
              <w:rPr>
                <w:szCs w:val="22"/>
                <w:lang w:eastAsia="en-CA"/>
              </w:rPr>
            </w:pPr>
            <w:r w:rsidRPr="008E044D">
              <w:rPr>
                <w:szCs w:val="22"/>
                <w:lang w:eastAsia="en-CA"/>
              </w:rPr>
              <w:t>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E3ADCE" w14:textId="77777777" w:rsidR="00981B76" w:rsidRPr="008E044D" w:rsidRDefault="00981B76" w:rsidP="00E83799">
            <w:pPr>
              <w:ind w:right="276"/>
              <w:jc w:val="right"/>
              <w:rPr>
                <w:szCs w:val="22"/>
                <w:lang w:eastAsia="en-CA"/>
              </w:rPr>
            </w:pPr>
            <w:r w:rsidRPr="008E044D">
              <w:rPr>
                <w:szCs w:val="22"/>
                <w:lang w:eastAsia="en-CA"/>
              </w:rPr>
              <w:t>287</w:t>
            </w:r>
          </w:p>
        </w:tc>
      </w:tr>
      <w:tr w:rsidR="00981B76" w:rsidRPr="00C678EF" w14:paraId="7FD4FC5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CB604" w14:textId="77777777" w:rsidR="00981B76" w:rsidRPr="008E044D" w:rsidRDefault="00981B76" w:rsidP="00E83799">
            <w:pPr>
              <w:jc w:val="left"/>
              <w:rPr>
                <w:szCs w:val="22"/>
                <w:lang w:eastAsia="en-CA"/>
              </w:rPr>
            </w:pPr>
            <w:r>
              <w:rPr>
                <w:szCs w:val="22"/>
                <w:lang w:eastAsia="en-CA"/>
              </w:rPr>
              <w:t>Tc</w:t>
            </w:r>
            <w:r w:rsidRPr="008E044D">
              <w:rPr>
                <w:szCs w:val="22"/>
                <w:lang w:eastAsia="en-CA"/>
              </w:rPr>
              <w:t>had</w:t>
            </w:r>
          </w:p>
        </w:tc>
        <w:tc>
          <w:tcPr>
            <w:tcW w:w="2288" w:type="dxa"/>
            <w:tcBorders>
              <w:top w:val="nil"/>
              <w:left w:val="nil"/>
              <w:bottom w:val="single" w:sz="4" w:space="0" w:color="auto"/>
              <w:right w:val="single" w:sz="4" w:space="0" w:color="auto"/>
            </w:tcBorders>
            <w:shd w:val="clear" w:color="auto" w:fill="auto"/>
            <w:vAlign w:val="center"/>
            <w:hideMark/>
          </w:tcPr>
          <w:p w14:paraId="7DBF7CAF"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14:paraId="361F3F7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67D33FE7" w14:textId="77777777" w:rsidR="00981B76" w:rsidRPr="008E044D" w:rsidRDefault="00981B76" w:rsidP="00E83799">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2E47622D" w14:textId="77777777" w:rsidR="00981B76" w:rsidRPr="008E044D" w:rsidRDefault="00981B76" w:rsidP="00E83799">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038E2959" w14:textId="77777777" w:rsidR="00981B76" w:rsidRPr="008E044D" w:rsidRDefault="00981B76" w:rsidP="00E83799">
            <w:pPr>
              <w:ind w:right="276"/>
              <w:jc w:val="right"/>
              <w:rPr>
                <w:szCs w:val="22"/>
                <w:lang w:eastAsia="en-CA"/>
              </w:rPr>
            </w:pPr>
            <w:r w:rsidRPr="008E044D">
              <w:rPr>
                <w:szCs w:val="22"/>
                <w:lang w:eastAsia="en-CA"/>
              </w:rPr>
              <w:t>358</w:t>
            </w:r>
          </w:p>
        </w:tc>
      </w:tr>
      <w:tr w:rsidR="00981B76" w:rsidRPr="00C678EF" w14:paraId="75152B5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29577" w14:textId="77777777" w:rsidR="00981B76" w:rsidRPr="008E044D" w:rsidRDefault="00981B76" w:rsidP="00E83799">
            <w:pPr>
              <w:jc w:val="left"/>
              <w:rPr>
                <w:szCs w:val="22"/>
                <w:lang w:eastAsia="en-CA"/>
              </w:rPr>
            </w:pPr>
            <w:r>
              <w:rPr>
                <w:szCs w:val="22"/>
                <w:lang w:eastAsia="en-CA"/>
              </w:rPr>
              <w:t>Tchéquie</w:t>
            </w:r>
          </w:p>
        </w:tc>
        <w:tc>
          <w:tcPr>
            <w:tcW w:w="2288" w:type="dxa"/>
            <w:tcBorders>
              <w:top w:val="nil"/>
              <w:left w:val="nil"/>
              <w:bottom w:val="single" w:sz="4" w:space="0" w:color="auto"/>
              <w:right w:val="single" w:sz="4" w:space="0" w:color="auto"/>
            </w:tcBorders>
            <w:shd w:val="clear" w:color="auto" w:fill="auto"/>
            <w:vAlign w:val="center"/>
            <w:hideMark/>
          </w:tcPr>
          <w:p w14:paraId="178CBEB0"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344</w:t>
            </w:r>
          </w:p>
        </w:tc>
        <w:tc>
          <w:tcPr>
            <w:tcW w:w="0" w:type="auto"/>
            <w:tcBorders>
              <w:top w:val="nil"/>
              <w:left w:val="nil"/>
              <w:bottom w:val="single" w:sz="4" w:space="0" w:color="auto"/>
              <w:right w:val="single" w:sz="4" w:space="0" w:color="auto"/>
            </w:tcBorders>
            <w:shd w:val="clear" w:color="auto" w:fill="auto"/>
            <w:noWrap/>
            <w:vAlign w:val="center"/>
            <w:hideMark/>
          </w:tcPr>
          <w:p w14:paraId="0D7C323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498</w:t>
            </w:r>
          </w:p>
        </w:tc>
        <w:tc>
          <w:tcPr>
            <w:tcW w:w="0" w:type="auto"/>
            <w:tcBorders>
              <w:top w:val="nil"/>
              <w:left w:val="nil"/>
              <w:bottom w:val="single" w:sz="4" w:space="0" w:color="auto"/>
              <w:right w:val="single" w:sz="4" w:space="0" w:color="auto"/>
            </w:tcBorders>
            <w:shd w:val="clear" w:color="auto" w:fill="auto"/>
            <w:noWrap/>
            <w:vAlign w:val="center"/>
            <w:hideMark/>
          </w:tcPr>
          <w:p w14:paraId="709F3E5F" w14:textId="77777777" w:rsidR="00981B76" w:rsidRPr="008E044D" w:rsidRDefault="00981B76" w:rsidP="00E83799">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961</w:t>
            </w:r>
          </w:p>
        </w:tc>
        <w:tc>
          <w:tcPr>
            <w:tcW w:w="0" w:type="auto"/>
            <w:tcBorders>
              <w:top w:val="nil"/>
              <w:left w:val="nil"/>
              <w:bottom w:val="single" w:sz="4" w:space="0" w:color="auto"/>
              <w:right w:val="single" w:sz="4" w:space="0" w:color="auto"/>
            </w:tcBorders>
            <w:shd w:val="clear" w:color="auto" w:fill="auto"/>
            <w:noWrap/>
            <w:vAlign w:val="center"/>
            <w:hideMark/>
          </w:tcPr>
          <w:p w14:paraId="2828ACE9" w14:textId="77777777" w:rsidR="00981B76" w:rsidRPr="008E044D" w:rsidRDefault="00981B76" w:rsidP="00E83799">
            <w:pPr>
              <w:ind w:right="276"/>
              <w:jc w:val="right"/>
              <w:rPr>
                <w:szCs w:val="22"/>
                <w:lang w:eastAsia="en-CA"/>
              </w:rPr>
            </w:pPr>
            <w:r w:rsidRPr="008E044D">
              <w:rPr>
                <w:szCs w:val="22"/>
                <w:lang w:eastAsia="en-CA"/>
              </w:rPr>
              <w:t>12</w:t>
            </w:r>
            <w:r>
              <w:rPr>
                <w:szCs w:val="22"/>
                <w:lang w:eastAsia="en-CA"/>
              </w:rPr>
              <w:t xml:space="preserve"> </w:t>
            </w:r>
            <w:r w:rsidRPr="008E044D">
              <w:rPr>
                <w:szCs w:val="22"/>
                <w:lang w:eastAsia="en-CA"/>
              </w:rPr>
              <w:t>683</w:t>
            </w:r>
          </w:p>
        </w:tc>
        <w:tc>
          <w:tcPr>
            <w:tcW w:w="0" w:type="auto"/>
            <w:tcBorders>
              <w:top w:val="nil"/>
              <w:left w:val="nil"/>
              <w:bottom w:val="single" w:sz="4" w:space="0" w:color="auto"/>
              <w:right w:val="single" w:sz="4" w:space="0" w:color="auto"/>
            </w:tcBorders>
            <w:shd w:val="clear" w:color="auto" w:fill="auto"/>
            <w:noWrap/>
            <w:vAlign w:val="center"/>
            <w:hideMark/>
          </w:tcPr>
          <w:p w14:paraId="3B7E3DC9" w14:textId="77777777" w:rsidR="00981B76" w:rsidRPr="008E044D" w:rsidRDefault="00981B76" w:rsidP="00E83799">
            <w:pPr>
              <w:ind w:right="276"/>
              <w:jc w:val="right"/>
              <w:rPr>
                <w:szCs w:val="22"/>
                <w:lang w:eastAsia="en-CA"/>
              </w:rPr>
            </w:pPr>
            <w:r w:rsidRPr="008E044D">
              <w:rPr>
                <w:szCs w:val="22"/>
                <w:lang w:eastAsia="en-CA"/>
              </w:rPr>
              <w:t>24</w:t>
            </w:r>
            <w:r>
              <w:rPr>
                <w:szCs w:val="22"/>
                <w:lang w:eastAsia="en-CA"/>
              </w:rPr>
              <w:t xml:space="preserve"> </w:t>
            </w:r>
            <w:r w:rsidRPr="008E044D">
              <w:rPr>
                <w:szCs w:val="22"/>
                <w:lang w:eastAsia="en-CA"/>
              </w:rPr>
              <w:t>644</w:t>
            </w:r>
          </w:p>
        </w:tc>
      </w:tr>
      <w:tr w:rsidR="00981B76" w:rsidRPr="00C678EF" w14:paraId="17924E7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DD62B" w14:textId="77777777" w:rsidR="00981B76" w:rsidRPr="008E044D" w:rsidRDefault="00981B76" w:rsidP="00E83799">
            <w:pPr>
              <w:jc w:val="left"/>
              <w:rPr>
                <w:szCs w:val="22"/>
                <w:lang w:eastAsia="en-CA"/>
              </w:rPr>
            </w:pPr>
            <w:r>
              <w:rPr>
                <w:szCs w:val="22"/>
                <w:lang w:eastAsia="en-CA"/>
              </w:rPr>
              <w:t>Thaï</w:t>
            </w:r>
            <w:r w:rsidRPr="008E044D">
              <w:rPr>
                <w:szCs w:val="22"/>
                <w:lang w:eastAsia="en-CA"/>
              </w:rPr>
              <w:t>land</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14:paraId="217E16C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291</w:t>
            </w:r>
          </w:p>
        </w:tc>
        <w:tc>
          <w:tcPr>
            <w:tcW w:w="0" w:type="auto"/>
            <w:tcBorders>
              <w:top w:val="nil"/>
              <w:left w:val="nil"/>
              <w:bottom w:val="single" w:sz="4" w:space="0" w:color="auto"/>
              <w:right w:val="single" w:sz="4" w:space="0" w:color="auto"/>
            </w:tcBorders>
            <w:shd w:val="clear" w:color="auto" w:fill="auto"/>
            <w:noWrap/>
            <w:vAlign w:val="center"/>
            <w:hideMark/>
          </w:tcPr>
          <w:p w14:paraId="7D3D6E84"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421</w:t>
            </w:r>
          </w:p>
        </w:tc>
        <w:tc>
          <w:tcPr>
            <w:tcW w:w="0" w:type="auto"/>
            <w:tcBorders>
              <w:top w:val="nil"/>
              <w:left w:val="nil"/>
              <w:bottom w:val="single" w:sz="4" w:space="0" w:color="auto"/>
              <w:right w:val="single" w:sz="4" w:space="0" w:color="auto"/>
            </w:tcBorders>
            <w:shd w:val="clear" w:color="auto" w:fill="auto"/>
            <w:noWrap/>
            <w:vAlign w:val="center"/>
            <w:hideMark/>
          </w:tcPr>
          <w:p w14:paraId="38C5B910" w14:textId="77777777" w:rsidR="00981B76" w:rsidRPr="008E044D" w:rsidRDefault="00981B76" w:rsidP="00E83799">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118</w:t>
            </w:r>
          </w:p>
        </w:tc>
        <w:tc>
          <w:tcPr>
            <w:tcW w:w="0" w:type="auto"/>
            <w:tcBorders>
              <w:top w:val="nil"/>
              <w:left w:val="nil"/>
              <w:bottom w:val="single" w:sz="4" w:space="0" w:color="auto"/>
              <w:right w:val="single" w:sz="4" w:space="0" w:color="auto"/>
            </w:tcBorders>
            <w:shd w:val="clear" w:color="auto" w:fill="auto"/>
            <w:noWrap/>
            <w:vAlign w:val="center"/>
            <w:hideMark/>
          </w:tcPr>
          <w:p w14:paraId="14595F13" w14:textId="77777777" w:rsidR="00981B76" w:rsidRPr="008E044D" w:rsidRDefault="00981B76" w:rsidP="00E83799">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729</w:t>
            </w:r>
          </w:p>
        </w:tc>
        <w:tc>
          <w:tcPr>
            <w:tcW w:w="0" w:type="auto"/>
            <w:tcBorders>
              <w:top w:val="nil"/>
              <w:left w:val="nil"/>
              <w:bottom w:val="single" w:sz="4" w:space="0" w:color="auto"/>
              <w:right w:val="single" w:sz="4" w:space="0" w:color="auto"/>
            </w:tcBorders>
            <w:shd w:val="clear" w:color="auto" w:fill="auto"/>
            <w:noWrap/>
            <w:vAlign w:val="center"/>
            <w:hideMark/>
          </w:tcPr>
          <w:p w14:paraId="43A12196" w14:textId="77777777" w:rsidR="00981B76" w:rsidRPr="008E044D" w:rsidRDefault="00981B76" w:rsidP="00E83799">
            <w:pPr>
              <w:ind w:right="276"/>
              <w:jc w:val="right"/>
              <w:rPr>
                <w:szCs w:val="22"/>
                <w:lang w:eastAsia="en-CA"/>
              </w:rPr>
            </w:pPr>
            <w:r w:rsidRPr="008E044D">
              <w:rPr>
                <w:szCs w:val="22"/>
                <w:lang w:eastAsia="en-CA"/>
              </w:rPr>
              <w:t>20</w:t>
            </w:r>
            <w:r>
              <w:rPr>
                <w:szCs w:val="22"/>
                <w:lang w:eastAsia="en-CA"/>
              </w:rPr>
              <w:t xml:space="preserve"> </w:t>
            </w:r>
            <w:r w:rsidRPr="008E044D">
              <w:rPr>
                <w:szCs w:val="22"/>
                <w:lang w:eastAsia="en-CA"/>
              </w:rPr>
              <w:t>847</w:t>
            </w:r>
          </w:p>
        </w:tc>
      </w:tr>
      <w:tr w:rsidR="00981B76" w:rsidRPr="00C678EF" w14:paraId="1336694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D9C077" w14:textId="77777777" w:rsidR="00981B76" w:rsidRPr="008E044D" w:rsidRDefault="00981B76" w:rsidP="00E83799">
            <w:pPr>
              <w:jc w:val="left"/>
              <w:rPr>
                <w:szCs w:val="22"/>
                <w:lang w:eastAsia="en-CA"/>
              </w:rPr>
            </w:pPr>
            <w:r w:rsidRPr="008E044D">
              <w:rPr>
                <w:szCs w:val="22"/>
                <w:lang w:eastAsia="en-CA"/>
              </w:rPr>
              <w:t>Togo</w:t>
            </w:r>
          </w:p>
        </w:tc>
        <w:tc>
          <w:tcPr>
            <w:tcW w:w="2288" w:type="dxa"/>
            <w:tcBorders>
              <w:top w:val="nil"/>
              <w:left w:val="nil"/>
              <w:bottom w:val="single" w:sz="4" w:space="0" w:color="auto"/>
              <w:right w:val="single" w:sz="4" w:space="0" w:color="auto"/>
            </w:tcBorders>
            <w:shd w:val="clear" w:color="auto" w:fill="auto"/>
            <w:vAlign w:val="center"/>
            <w:hideMark/>
          </w:tcPr>
          <w:p w14:paraId="56B971C4"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34E528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0EC1F013"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123BE40"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34683AE"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2ECCDFE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8691" w14:textId="77777777" w:rsidR="00981B76" w:rsidRPr="008E044D" w:rsidRDefault="00981B76" w:rsidP="00E83799">
            <w:pPr>
              <w:jc w:val="left"/>
              <w:rPr>
                <w:szCs w:val="22"/>
                <w:lang w:eastAsia="en-CA"/>
              </w:rPr>
            </w:pPr>
            <w:r w:rsidRPr="008E044D">
              <w:rPr>
                <w:szCs w:val="22"/>
                <w:lang w:eastAsia="en-CA"/>
              </w:rPr>
              <w:t>Tonga</w:t>
            </w:r>
          </w:p>
        </w:tc>
        <w:tc>
          <w:tcPr>
            <w:tcW w:w="2288" w:type="dxa"/>
            <w:tcBorders>
              <w:top w:val="nil"/>
              <w:left w:val="nil"/>
              <w:bottom w:val="single" w:sz="4" w:space="0" w:color="auto"/>
              <w:right w:val="single" w:sz="4" w:space="0" w:color="auto"/>
            </w:tcBorders>
            <w:shd w:val="clear" w:color="auto" w:fill="auto"/>
            <w:vAlign w:val="center"/>
            <w:hideMark/>
          </w:tcPr>
          <w:p w14:paraId="29A1291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26B31F7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14:paraId="40CB0194" w14:textId="77777777" w:rsidR="00981B76" w:rsidRPr="008E044D" w:rsidRDefault="00981B76" w:rsidP="00E83799">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7087371" w14:textId="77777777" w:rsidR="00981B76" w:rsidRPr="008E044D" w:rsidRDefault="00981B76" w:rsidP="00E83799">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A418660" w14:textId="77777777" w:rsidR="00981B76" w:rsidRPr="008E044D" w:rsidRDefault="00981B76" w:rsidP="00E83799">
            <w:pPr>
              <w:ind w:right="276"/>
              <w:jc w:val="right"/>
              <w:rPr>
                <w:szCs w:val="22"/>
                <w:lang w:eastAsia="en-CA"/>
              </w:rPr>
            </w:pPr>
            <w:r w:rsidRPr="008E044D">
              <w:rPr>
                <w:szCs w:val="22"/>
                <w:lang w:eastAsia="en-CA"/>
              </w:rPr>
              <w:t>72</w:t>
            </w:r>
          </w:p>
        </w:tc>
      </w:tr>
      <w:tr w:rsidR="00981B76" w:rsidRPr="00C678EF" w14:paraId="5EDCA290"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752C7" w14:textId="77777777" w:rsidR="00981B76" w:rsidRPr="008E044D" w:rsidRDefault="00981B76" w:rsidP="00E83799">
            <w:pPr>
              <w:jc w:val="left"/>
              <w:rPr>
                <w:szCs w:val="22"/>
                <w:lang w:eastAsia="en-CA"/>
              </w:rPr>
            </w:pPr>
            <w:r>
              <w:rPr>
                <w:szCs w:val="22"/>
                <w:lang w:eastAsia="en-CA"/>
              </w:rPr>
              <w:t>Trinidad-et-</w:t>
            </w:r>
            <w:r w:rsidRPr="008E044D">
              <w:rPr>
                <w:szCs w:val="22"/>
                <w:lang w:eastAsia="en-CA"/>
              </w:rPr>
              <w:t>Tobago</w:t>
            </w:r>
          </w:p>
        </w:tc>
        <w:tc>
          <w:tcPr>
            <w:tcW w:w="2288" w:type="dxa"/>
            <w:tcBorders>
              <w:top w:val="nil"/>
              <w:left w:val="nil"/>
              <w:bottom w:val="single" w:sz="4" w:space="0" w:color="auto"/>
              <w:right w:val="single" w:sz="4" w:space="0" w:color="auto"/>
            </w:tcBorders>
            <w:shd w:val="clear" w:color="auto" w:fill="auto"/>
            <w:vAlign w:val="center"/>
            <w:hideMark/>
          </w:tcPr>
          <w:p w14:paraId="07EF614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034</w:t>
            </w:r>
          </w:p>
        </w:tc>
        <w:tc>
          <w:tcPr>
            <w:tcW w:w="0" w:type="auto"/>
            <w:tcBorders>
              <w:top w:val="nil"/>
              <w:left w:val="nil"/>
              <w:bottom w:val="single" w:sz="4" w:space="0" w:color="auto"/>
              <w:right w:val="single" w:sz="4" w:space="0" w:color="auto"/>
            </w:tcBorders>
            <w:shd w:val="clear" w:color="auto" w:fill="auto"/>
            <w:noWrap/>
            <w:vAlign w:val="center"/>
            <w:hideMark/>
          </w:tcPr>
          <w:p w14:paraId="0574ABFB"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049</w:t>
            </w:r>
          </w:p>
        </w:tc>
        <w:tc>
          <w:tcPr>
            <w:tcW w:w="0" w:type="auto"/>
            <w:tcBorders>
              <w:top w:val="nil"/>
              <w:left w:val="nil"/>
              <w:bottom w:val="single" w:sz="4" w:space="0" w:color="auto"/>
              <w:right w:val="single" w:sz="4" w:space="0" w:color="auto"/>
            </w:tcBorders>
            <w:shd w:val="clear" w:color="auto" w:fill="auto"/>
            <w:noWrap/>
            <w:vAlign w:val="center"/>
            <w:hideMark/>
          </w:tcPr>
          <w:p w14:paraId="67F669F6"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182</w:t>
            </w:r>
          </w:p>
        </w:tc>
        <w:tc>
          <w:tcPr>
            <w:tcW w:w="0" w:type="auto"/>
            <w:tcBorders>
              <w:top w:val="nil"/>
              <w:left w:val="nil"/>
              <w:bottom w:val="single" w:sz="4" w:space="0" w:color="auto"/>
              <w:right w:val="single" w:sz="4" w:space="0" w:color="auto"/>
            </w:tcBorders>
            <w:shd w:val="clear" w:color="auto" w:fill="auto"/>
            <w:noWrap/>
            <w:vAlign w:val="center"/>
            <w:hideMark/>
          </w:tcPr>
          <w:p w14:paraId="734C01E4"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254</w:t>
            </w:r>
          </w:p>
        </w:tc>
        <w:tc>
          <w:tcPr>
            <w:tcW w:w="0" w:type="auto"/>
            <w:tcBorders>
              <w:top w:val="nil"/>
              <w:left w:val="nil"/>
              <w:bottom w:val="single" w:sz="4" w:space="0" w:color="auto"/>
              <w:right w:val="single" w:sz="4" w:space="0" w:color="auto"/>
            </w:tcBorders>
            <w:shd w:val="clear" w:color="auto" w:fill="auto"/>
            <w:noWrap/>
            <w:vAlign w:val="center"/>
            <w:hideMark/>
          </w:tcPr>
          <w:p w14:paraId="45F18DE0"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436</w:t>
            </w:r>
          </w:p>
        </w:tc>
      </w:tr>
      <w:tr w:rsidR="00981B76" w:rsidRPr="00C678EF" w14:paraId="2FDDC29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5667F" w14:textId="77777777" w:rsidR="00981B76" w:rsidRPr="008E044D" w:rsidRDefault="00981B76" w:rsidP="00E83799">
            <w:pPr>
              <w:jc w:val="left"/>
              <w:rPr>
                <w:szCs w:val="22"/>
                <w:lang w:eastAsia="en-CA"/>
              </w:rPr>
            </w:pPr>
            <w:r>
              <w:rPr>
                <w:szCs w:val="22"/>
                <w:lang w:eastAsia="en-CA"/>
              </w:rPr>
              <w:t>Tunisie</w:t>
            </w:r>
          </w:p>
        </w:tc>
        <w:tc>
          <w:tcPr>
            <w:tcW w:w="2288" w:type="dxa"/>
            <w:tcBorders>
              <w:top w:val="nil"/>
              <w:left w:val="nil"/>
              <w:bottom w:val="single" w:sz="4" w:space="0" w:color="auto"/>
              <w:right w:val="single" w:sz="4" w:space="0" w:color="auto"/>
            </w:tcBorders>
            <w:shd w:val="clear" w:color="auto" w:fill="auto"/>
            <w:vAlign w:val="center"/>
            <w:hideMark/>
          </w:tcPr>
          <w:p w14:paraId="5449FD7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028</w:t>
            </w:r>
          </w:p>
        </w:tc>
        <w:tc>
          <w:tcPr>
            <w:tcW w:w="0" w:type="auto"/>
            <w:tcBorders>
              <w:top w:val="nil"/>
              <w:left w:val="nil"/>
              <w:bottom w:val="single" w:sz="4" w:space="0" w:color="auto"/>
              <w:right w:val="single" w:sz="4" w:space="0" w:color="auto"/>
            </w:tcBorders>
            <w:shd w:val="clear" w:color="auto" w:fill="auto"/>
            <w:noWrap/>
            <w:vAlign w:val="center"/>
            <w:hideMark/>
          </w:tcPr>
          <w:p w14:paraId="358D843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041</w:t>
            </w:r>
          </w:p>
        </w:tc>
        <w:tc>
          <w:tcPr>
            <w:tcW w:w="0" w:type="auto"/>
            <w:tcBorders>
              <w:top w:val="nil"/>
              <w:left w:val="nil"/>
              <w:bottom w:val="single" w:sz="4" w:space="0" w:color="auto"/>
              <w:right w:val="single" w:sz="4" w:space="0" w:color="auto"/>
            </w:tcBorders>
            <w:shd w:val="clear" w:color="auto" w:fill="auto"/>
            <w:noWrap/>
            <w:vAlign w:val="center"/>
            <w:hideMark/>
          </w:tcPr>
          <w:p w14:paraId="1115FE7C" w14:textId="77777777" w:rsidR="00981B76" w:rsidRPr="008E044D" w:rsidRDefault="00981B76" w:rsidP="00E83799">
            <w:pPr>
              <w:ind w:right="276"/>
              <w:jc w:val="right"/>
              <w:rPr>
                <w:szCs w:val="22"/>
                <w:lang w:eastAsia="en-CA"/>
              </w:rPr>
            </w:pPr>
            <w:r w:rsidRPr="008E044D">
              <w:rPr>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13D09FFC"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14:paraId="45963E38"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006</w:t>
            </w:r>
          </w:p>
        </w:tc>
      </w:tr>
      <w:tr w:rsidR="00981B76" w:rsidRPr="00C678EF" w14:paraId="2CE296E1"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7FB376" w14:textId="77777777" w:rsidR="00981B76" w:rsidRPr="008E044D" w:rsidRDefault="00981B76" w:rsidP="00E83799">
            <w:pPr>
              <w:jc w:val="left"/>
              <w:rPr>
                <w:szCs w:val="22"/>
                <w:lang w:eastAsia="en-CA"/>
              </w:rPr>
            </w:pPr>
            <w:r>
              <w:rPr>
                <w:szCs w:val="22"/>
                <w:lang w:eastAsia="en-CA"/>
              </w:rPr>
              <w:t>Turkmé</w:t>
            </w:r>
            <w:r w:rsidRPr="008E044D">
              <w:rPr>
                <w:szCs w:val="22"/>
                <w:lang w:eastAsia="en-CA"/>
              </w:rPr>
              <w:t>nistan</w:t>
            </w:r>
          </w:p>
        </w:tc>
        <w:tc>
          <w:tcPr>
            <w:tcW w:w="2288" w:type="dxa"/>
            <w:tcBorders>
              <w:top w:val="nil"/>
              <w:left w:val="nil"/>
              <w:bottom w:val="single" w:sz="4" w:space="0" w:color="auto"/>
              <w:right w:val="single" w:sz="4" w:space="0" w:color="auto"/>
            </w:tcBorders>
            <w:shd w:val="clear" w:color="auto" w:fill="auto"/>
            <w:vAlign w:val="center"/>
            <w:hideMark/>
          </w:tcPr>
          <w:p w14:paraId="63149912"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026</w:t>
            </w:r>
          </w:p>
        </w:tc>
        <w:tc>
          <w:tcPr>
            <w:tcW w:w="0" w:type="auto"/>
            <w:tcBorders>
              <w:top w:val="nil"/>
              <w:left w:val="nil"/>
              <w:bottom w:val="single" w:sz="4" w:space="0" w:color="auto"/>
              <w:right w:val="single" w:sz="4" w:space="0" w:color="auto"/>
            </w:tcBorders>
            <w:shd w:val="clear" w:color="auto" w:fill="auto"/>
            <w:noWrap/>
            <w:vAlign w:val="center"/>
            <w:hideMark/>
          </w:tcPr>
          <w:p w14:paraId="28413443"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038</w:t>
            </w:r>
          </w:p>
        </w:tc>
        <w:tc>
          <w:tcPr>
            <w:tcW w:w="0" w:type="auto"/>
            <w:tcBorders>
              <w:top w:val="nil"/>
              <w:left w:val="nil"/>
              <w:bottom w:val="single" w:sz="4" w:space="0" w:color="auto"/>
              <w:right w:val="single" w:sz="4" w:space="0" w:color="auto"/>
            </w:tcBorders>
            <w:shd w:val="clear" w:color="auto" w:fill="auto"/>
            <w:noWrap/>
            <w:vAlign w:val="center"/>
            <w:hideMark/>
          </w:tcPr>
          <w:p w14:paraId="687EB751" w14:textId="77777777" w:rsidR="00981B76" w:rsidRPr="008E044D" w:rsidRDefault="00981B76" w:rsidP="00E83799">
            <w:pPr>
              <w:ind w:right="276"/>
              <w:jc w:val="right"/>
              <w:rPr>
                <w:szCs w:val="22"/>
                <w:lang w:eastAsia="en-CA"/>
              </w:rPr>
            </w:pPr>
            <w:r w:rsidRPr="008E044D">
              <w:rPr>
                <w:szCs w:val="22"/>
                <w:lang w:eastAsia="en-CA"/>
              </w:rPr>
              <w:t>904</w:t>
            </w:r>
          </w:p>
        </w:tc>
        <w:tc>
          <w:tcPr>
            <w:tcW w:w="0" w:type="auto"/>
            <w:tcBorders>
              <w:top w:val="nil"/>
              <w:left w:val="nil"/>
              <w:bottom w:val="single" w:sz="4" w:space="0" w:color="auto"/>
              <w:right w:val="single" w:sz="4" w:space="0" w:color="auto"/>
            </w:tcBorders>
            <w:shd w:val="clear" w:color="auto" w:fill="auto"/>
            <w:noWrap/>
            <w:vAlign w:val="center"/>
            <w:hideMark/>
          </w:tcPr>
          <w:p w14:paraId="604B9B7B" w14:textId="77777777" w:rsidR="00981B76" w:rsidRPr="008E044D" w:rsidRDefault="00981B76" w:rsidP="00E83799">
            <w:pPr>
              <w:ind w:right="276"/>
              <w:jc w:val="right"/>
              <w:rPr>
                <w:szCs w:val="22"/>
                <w:lang w:eastAsia="en-CA"/>
              </w:rPr>
            </w:pPr>
            <w:r w:rsidRPr="008E044D">
              <w:rPr>
                <w:szCs w:val="22"/>
                <w:lang w:eastAsia="en-CA"/>
              </w:rPr>
              <w:t>959</w:t>
            </w:r>
          </w:p>
        </w:tc>
        <w:tc>
          <w:tcPr>
            <w:tcW w:w="0" w:type="auto"/>
            <w:tcBorders>
              <w:top w:val="nil"/>
              <w:left w:val="nil"/>
              <w:bottom w:val="single" w:sz="4" w:space="0" w:color="auto"/>
              <w:right w:val="single" w:sz="4" w:space="0" w:color="auto"/>
            </w:tcBorders>
            <w:shd w:val="clear" w:color="auto" w:fill="auto"/>
            <w:noWrap/>
            <w:vAlign w:val="center"/>
            <w:hideMark/>
          </w:tcPr>
          <w:p w14:paraId="4F989D97" w14:textId="77777777" w:rsidR="00981B76" w:rsidRPr="008E044D" w:rsidRDefault="00981B76" w:rsidP="00E83799">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863</w:t>
            </w:r>
          </w:p>
        </w:tc>
      </w:tr>
      <w:tr w:rsidR="00981B76" w:rsidRPr="00C678EF" w14:paraId="59D5D552"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C2F43B" w14:textId="77777777" w:rsidR="00981B76" w:rsidRPr="008E044D" w:rsidRDefault="00981B76" w:rsidP="00E83799">
            <w:pPr>
              <w:jc w:val="left"/>
              <w:rPr>
                <w:szCs w:val="22"/>
                <w:lang w:eastAsia="en-CA"/>
              </w:rPr>
            </w:pPr>
            <w:r>
              <w:rPr>
                <w:szCs w:val="22"/>
                <w:lang w:eastAsia="en-CA"/>
              </w:rPr>
              <w:t>Turquie</w:t>
            </w:r>
          </w:p>
        </w:tc>
        <w:tc>
          <w:tcPr>
            <w:tcW w:w="2288" w:type="dxa"/>
            <w:tcBorders>
              <w:top w:val="nil"/>
              <w:left w:val="nil"/>
              <w:bottom w:val="single" w:sz="4" w:space="0" w:color="auto"/>
              <w:right w:val="single" w:sz="4" w:space="0" w:color="auto"/>
            </w:tcBorders>
            <w:shd w:val="clear" w:color="auto" w:fill="auto"/>
            <w:vAlign w:val="center"/>
            <w:hideMark/>
          </w:tcPr>
          <w:p w14:paraId="512041A4" w14:textId="77777777" w:rsidR="00981B76" w:rsidRPr="008E044D" w:rsidRDefault="00981B76" w:rsidP="00E83799">
            <w:pPr>
              <w:ind w:right="770"/>
              <w:jc w:val="right"/>
              <w:rPr>
                <w:szCs w:val="22"/>
                <w:lang w:eastAsia="en-CA"/>
              </w:rPr>
            </w:pPr>
            <w:r w:rsidRPr="008E044D">
              <w:rPr>
                <w:szCs w:val="22"/>
                <w:lang w:eastAsia="en-CA"/>
              </w:rPr>
              <w:t>1</w:t>
            </w:r>
            <w:r>
              <w:rPr>
                <w:szCs w:val="22"/>
                <w:lang w:eastAsia="en-CA"/>
              </w:rPr>
              <w:t>,</w:t>
            </w:r>
            <w:r w:rsidRPr="008E044D">
              <w:rPr>
                <w:szCs w:val="22"/>
                <w:lang w:eastAsia="en-CA"/>
              </w:rPr>
              <w:t>018</w:t>
            </w:r>
          </w:p>
        </w:tc>
        <w:tc>
          <w:tcPr>
            <w:tcW w:w="0" w:type="auto"/>
            <w:tcBorders>
              <w:top w:val="nil"/>
              <w:left w:val="nil"/>
              <w:bottom w:val="single" w:sz="4" w:space="0" w:color="auto"/>
              <w:right w:val="single" w:sz="4" w:space="0" w:color="auto"/>
            </w:tcBorders>
            <w:shd w:val="clear" w:color="auto" w:fill="auto"/>
            <w:noWrap/>
            <w:vAlign w:val="center"/>
            <w:hideMark/>
          </w:tcPr>
          <w:p w14:paraId="5D8311FC" w14:textId="77777777" w:rsidR="00981B76" w:rsidRPr="008E044D" w:rsidRDefault="00981B76" w:rsidP="00E83799">
            <w:pPr>
              <w:ind w:right="1144"/>
              <w:jc w:val="right"/>
              <w:rPr>
                <w:szCs w:val="22"/>
                <w:lang w:eastAsia="en-CA"/>
              </w:rPr>
            </w:pPr>
            <w:r w:rsidRPr="008E044D">
              <w:rPr>
                <w:szCs w:val="22"/>
                <w:lang w:eastAsia="en-CA"/>
              </w:rPr>
              <w:t>1</w:t>
            </w:r>
            <w:r>
              <w:rPr>
                <w:szCs w:val="22"/>
                <w:lang w:eastAsia="en-CA"/>
              </w:rPr>
              <w:t>,</w:t>
            </w:r>
            <w:r w:rsidRPr="008E044D">
              <w:rPr>
                <w:szCs w:val="22"/>
                <w:lang w:eastAsia="en-CA"/>
              </w:rPr>
              <w:t>474</w:t>
            </w:r>
          </w:p>
        </w:tc>
        <w:tc>
          <w:tcPr>
            <w:tcW w:w="0" w:type="auto"/>
            <w:tcBorders>
              <w:top w:val="nil"/>
              <w:left w:val="nil"/>
              <w:bottom w:val="single" w:sz="4" w:space="0" w:color="auto"/>
              <w:right w:val="single" w:sz="4" w:space="0" w:color="auto"/>
            </w:tcBorders>
            <w:shd w:val="clear" w:color="auto" w:fill="auto"/>
            <w:noWrap/>
            <w:vAlign w:val="center"/>
            <w:hideMark/>
          </w:tcPr>
          <w:p w14:paraId="0855CF7C" w14:textId="77777777" w:rsidR="00981B76" w:rsidRPr="008E044D" w:rsidRDefault="00981B76" w:rsidP="00E83799">
            <w:pPr>
              <w:ind w:right="276"/>
              <w:jc w:val="right"/>
              <w:rPr>
                <w:szCs w:val="22"/>
                <w:lang w:eastAsia="en-CA"/>
              </w:rPr>
            </w:pPr>
            <w:r w:rsidRPr="008E044D">
              <w:rPr>
                <w:szCs w:val="22"/>
                <w:lang w:eastAsia="en-CA"/>
              </w:rPr>
              <w:t>35</w:t>
            </w:r>
            <w:r>
              <w:rPr>
                <w:szCs w:val="22"/>
                <w:lang w:eastAsia="en-CA"/>
              </w:rPr>
              <w:t xml:space="preserve"> </w:t>
            </w:r>
            <w:r w:rsidRPr="008E044D">
              <w:rPr>
                <w:szCs w:val="22"/>
                <w:lang w:eastAsia="en-CA"/>
              </w:rPr>
              <w:t>395</w:t>
            </w:r>
          </w:p>
        </w:tc>
        <w:tc>
          <w:tcPr>
            <w:tcW w:w="0" w:type="auto"/>
            <w:tcBorders>
              <w:top w:val="nil"/>
              <w:left w:val="nil"/>
              <w:bottom w:val="single" w:sz="4" w:space="0" w:color="auto"/>
              <w:right w:val="single" w:sz="4" w:space="0" w:color="auto"/>
            </w:tcBorders>
            <w:shd w:val="clear" w:color="auto" w:fill="auto"/>
            <w:noWrap/>
            <w:vAlign w:val="center"/>
            <w:hideMark/>
          </w:tcPr>
          <w:p w14:paraId="5F0580D7" w14:textId="77777777" w:rsidR="00981B76" w:rsidRPr="008E044D" w:rsidRDefault="00981B76" w:rsidP="00E83799">
            <w:pPr>
              <w:ind w:right="276"/>
              <w:jc w:val="right"/>
              <w:rPr>
                <w:szCs w:val="22"/>
                <w:lang w:eastAsia="en-CA"/>
              </w:rPr>
            </w:pPr>
            <w:r w:rsidRPr="008E044D">
              <w:rPr>
                <w:szCs w:val="22"/>
                <w:lang w:eastAsia="en-CA"/>
              </w:rPr>
              <w:t>37</w:t>
            </w:r>
            <w:r>
              <w:rPr>
                <w:szCs w:val="22"/>
                <w:lang w:eastAsia="en-CA"/>
              </w:rPr>
              <w:t xml:space="preserve"> </w:t>
            </w:r>
            <w:r w:rsidRPr="008E044D">
              <w:rPr>
                <w:szCs w:val="22"/>
                <w:lang w:eastAsia="en-CA"/>
              </w:rPr>
              <w:t>533</w:t>
            </w:r>
          </w:p>
        </w:tc>
        <w:tc>
          <w:tcPr>
            <w:tcW w:w="0" w:type="auto"/>
            <w:tcBorders>
              <w:top w:val="nil"/>
              <w:left w:val="nil"/>
              <w:bottom w:val="single" w:sz="4" w:space="0" w:color="auto"/>
              <w:right w:val="single" w:sz="4" w:space="0" w:color="auto"/>
            </w:tcBorders>
            <w:shd w:val="clear" w:color="auto" w:fill="auto"/>
            <w:noWrap/>
            <w:vAlign w:val="center"/>
            <w:hideMark/>
          </w:tcPr>
          <w:p w14:paraId="712CAC2B" w14:textId="77777777" w:rsidR="00981B76" w:rsidRPr="008E044D" w:rsidRDefault="00981B76" w:rsidP="00E83799">
            <w:pPr>
              <w:ind w:right="276"/>
              <w:jc w:val="right"/>
              <w:rPr>
                <w:szCs w:val="22"/>
                <w:lang w:eastAsia="en-CA"/>
              </w:rPr>
            </w:pPr>
            <w:r w:rsidRPr="008E044D">
              <w:rPr>
                <w:szCs w:val="22"/>
                <w:lang w:eastAsia="en-CA"/>
              </w:rPr>
              <w:t>72</w:t>
            </w:r>
            <w:r>
              <w:rPr>
                <w:szCs w:val="22"/>
                <w:lang w:eastAsia="en-CA"/>
              </w:rPr>
              <w:t xml:space="preserve"> </w:t>
            </w:r>
            <w:r w:rsidRPr="008E044D">
              <w:rPr>
                <w:szCs w:val="22"/>
                <w:lang w:eastAsia="en-CA"/>
              </w:rPr>
              <w:t>928</w:t>
            </w:r>
          </w:p>
        </w:tc>
      </w:tr>
      <w:tr w:rsidR="00981B76" w:rsidRPr="00C678EF" w14:paraId="4A56DFCB"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5939C" w14:textId="77777777" w:rsidR="00981B76" w:rsidRPr="008E044D" w:rsidRDefault="00981B76" w:rsidP="00E83799">
            <w:pPr>
              <w:jc w:val="left"/>
              <w:rPr>
                <w:szCs w:val="22"/>
                <w:lang w:eastAsia="en-CA"/>
              </w:rPr>
            </w:pPr>
            <w:r w:rsidRPr="008E044D">
              <w:rPr>
                <w:szCs w:val="22"/>
                <w:lang w:eastAsia="en-CA"/>
              </w:rPr>
              <w:t>Ukraine</w:t>
            </w:r>
          </w:p>
        </w:tc>
        <w:tc>
          <w:tcPr>
            <w:tcW w:w="2288" w:type="dxa"/>
            <w:tcBorders>
              <w:top w:val="nil"/>
              <w:left w:val="nil"/>
              <w:bottom w:val="single" w:sz="4" w:space="0" w:color="auto"/>
              <w:right w:val="single" w:sz="4" w:space="0" w:color="auto"/>
            </w:tcBorders>
            <w:shd w:val="clear" w:color="auto" w:fill="auto"/>
            <w:vAlign w:val="center"/>
            <w:hideMark/>
          </w:tcPr>
          <w:p w14:paraId="02DCCC4D"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103</w:t>
            </w:r>
          </w:p>
        </w:tc>
        <w:tc>
          <w:tcPr>
            <w:tcW w:w="0" w:type="auto"/>
            <w:tcBorders>
              <w:top w:val="nil"/>
              <w:left w:val="nil"/>
              <w:bottom w:val="single" w:sz="4" w:space="0" w:color="auto"/>
              <w:right w:val="single" w:sz="4" w:space="0" w:color="auto"/>
            </w:tcBorders>
            <w:shd w:val="clear" w:color="auto" w:fill="auto"/>
            <w:noWrap/>
            <w:vAlign w:val="center"/>
            <w:hideMark/>
          </w:tcPr>
          <w:p w14:paraId="6B964690"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149</w:t>
            </w:r>
          </w:p>
        </w:tc>
        <w:tc>
          <w:tcPr>
            <w:tcW w:w="0" w:type="auto"/>
            <w:tcBorders>
              <w:top w:val="nil"/>
              <w:left w:val="nil"/>
              <w:bottom w:val="single" w:sz="4" w:space="0" w:color="auto"/>
              <w:right w:val="single" w:sz="4" w:space="0" w:color="auto"/>
            </w:tcBorders>
            <w:shd w:val="clear" w:color="auto" w:fill="auto"/>
            <w:noWrap/>
            <w:vAlign w:val="center"/>
            <w:hideMark/>
          </w:tcPr>
          <w:p w14:paraId="7F1E030A"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581</w:t>
            </w:r>
          </w:p>
        </w:tc>
        <w:tc>
          <w:tcPr>
            <w:tcW w:w="0" w:type="auto"/>
            <w:tcBorders>
              <w:top w:val="nil"/>
              <w:left w:val="nil"/>
              <w:bottom w:val="single" w:sz="4" w:space="0" w:color="auto"/>
              <w:right w:val="single" w:sz="4" w:space="0" w:color="auto"/>
            </w:tcBorders>
            <w:shd w:val="clear" w:color="auto" w:fill="auto"/>
            <w:noWrap/>
            <w:vAlign w:val="center"/>
            <w:hideMark/>
          </w:tcPr>
          <w:p w14:paraId="3D6789CC" w14:textId="77777777" w:rsidR="00981B76" w:rsidRPr="008E044D" w:rsidRDefault="00981B76" w:rsidP="00E83799">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798</w:t>
            </w:r>
          </w:p>
        </w:tc>
        <w:tc>
          <w:tcPr>
            <w:tcW w:w="0" w:type="auto"/>
            <w:tcBorders>
              <w:top w:val="nil"/>
              <w:left w:val="nil"/>
              <w:bottom w:val="single" w:sz="4" w:space="0" w:color="auto"/>
              <w:right w:val="single" w:sz="4" w:space="0" w:color="auto"/>
            </w:tcBorders>
            <w:shd w:val="clear" w:color="auto" w:fill="auto"/>
            <w:noWrap/>
            <w:vAlign w:val="center"/>
            <w:hideMark/>
          </w:tcPr>
          <w:p w14:paraId="481E37FE" w14:textId="77777777" w:rsidR="00981B76" w:rsidRPr="008E044D" w:rsidRDefault="00981B76" w:rsidP="00E83799">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379</w:t>
            </w:r>
          </w:p>
        </w:tc>
      </w:tr>
      <w:tr w:rsidR="00981B76" w:rsidRPr="00C678EF" w14:paraId="08B68E6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D44465" w14:textId="77777777" w:rsidR="00981B76" w:rsidRPr="008E044D" w:rsidRDefault="00981B76" w:rsidP="00E83799">
            <w:pPr>
              <w:jc w:val="left"/>
              <w:rPr>
                <w:szCs w:val="22"/>
                <w:lang w:eastAsia="en-CA"/>
              </w:rPr>
            </w:pPr>
            <w:r w:rsidRPr="008E044D">
              <w:rPr>
                <w:szCs w:val="22"/>
                <w:lang w:eastAsia="en-CA"/>
              </w:rPr>
              <w:t>Union</w:t>
            </w:r>
            <w:r>
              <w:rPr>
                <w:szCs w:val="22"/>
                <w:lang w:eastAsia="en-CA"/>
              </w:rPr>
              <w:t xml:space="preserve"> européenne</w:t>
            </w:r>
          </w:p>
        </w:tc>
        <w:tc>
          <w:tcPr>
            <w:tcW w:w="2288" w:type="dxa"/>
            <w:tcBorders>
              <w:top w:val="nil"/>
              <w:left w:val="nil"/>
              <w:bottom w:val="single" w:sz="4" w:space="0" w:color="auto"/>
              <w:right w:val="single" w:sz="4" w:space="0" w:color="auto"/>
            </w:tcBorders>
            <w:shd w:val="clear" w:color="auto" w:fill="auto"/>
            <w:vAlign w:val="center"/>
            <w:hideMark/>
          </w:tcPr>
          <w:p w14:paraId="47507B68" w14:textId="77777777" w:rsidR="00981B76" w:rsidRPr="008E044D" w:rsidRDefault="00981B76" w:rsidP="00E83799">
            <w:pPr>
              <w:ind w:right="770"/>
              <w:rPr>
                <w:szCs w:val="22"/>
                <w:lang w:eastAsia="en-CA"/>
              </w:rPr>
            </w:pPr>
          </w:p>
        </w:tc>
        <w:tc>
          <w:tcPr>
            <w:tcW w:w="0" w:type="auto"/>
            <w:tcBorders>
              <w:top w:val="nil"/>
              <w:left w:val="nil"/>
              <w:bottom w:val="single" w:sz="4" w:space="0" w:color="auto"/>
              <w:right w:val="single" w:sz="4" w:space="0" w:color="auto"/>
            </w:tcBorders>
            <w:shd w:val="clear" w:color="auto" w:fill="auto"/>
            <w:noWrap/>
            <w:vAlign w:val="center"/>
            <w:hideMark/>
          </w:tcPr>
          <w:p w14:paraId="759B1EC5" w14:textId="77777777" w:rsidR="00981B76" w:rsidRPr="008E044D" w:rsidRDefault="00981B76" w:rsidP="00E83799">
            <w:pPr>
              <w:ind w:right="1144"/>
              <w:jc w:val="right"/>
              <w:rPr>
                <w:szCs w:val="22"/>
                <w:lang w:eastAsia="en-CA"/>
              </w:rPr>
            </w:pPr>
            <w:r w:rsidRPr="008E044D">
              <w:rPr>
                <w:szCs w:val="22"/>
                <w:lang w:eastAsia="en-CA"/>
              </w:rPr>
              <w:t>2</w:t>
            </w:r>
            <w:r>
              <w:rPr>
                <w:szCs w:val="22"/>
                <w:lang w:eastAsia="en-CA"/>
              </w:rPr>
              <w:t>,</w:t>
            </w:r>
            <w:r w:rsidRPr="008E044D">
              <w:rPr>
                <w:szCs w:val="22"/>
                <w:lang w:eastAsia="en-CA"/>
              </w:rPr>
              <w:t>500</w:t>
            </w:r>
          </w:p>
        </w:tc>
        <w:tc>
          <w:tcPr>
            <w:tcW w:w="0" w:type="auto"/>
            <w:tcBorders>
              <w:top w:val="nil"/>
              <w:left w:val="nil"/>
              <w:bottom w:val="single" w:sz="4" w:space="0" w:color="auto"/>
              <w:right w:val="single" w:sz="4" w:space="0" w:color="auto"/>
            </w:tcBorders>
            <w:shd w:val="clear" w:color="auto" w:fill="auto"/>
            <w:noWrap/>
            <w:vAlign w:val="center"/>
            <w:hideMark/>
          </w:tcPr>
          <w:p w14:paraId="5AF8622D" w14:textId="77777777" w:rsidR="00981B76" w:rsidRPr="008E044D" w:rsidRDefault="00981B76" w:rsidP="00E83799">
            <w:pPr>
              <w:ind w:right="276"/>
              <w:jc w:val="right"/>
              <w:rPr>
                <w:szCs w:val="22"/>
                <w:lang w:eastAsia="en-CA"/>
              </w:rPr>
            </w:pPr>
            <w:r w:rsidRPr="008E044D">
              <w:rPr>
                <w:szCs w:val="22"/>
                <w:lang w:eastAsia="en-CA"/>
              </w:rPr>
              <w:t>60</w:t>
            </w:r>
            <w:r>
              <w:rPr>
                <w:szCs w:val="22"/>
                <w:lang w:eastAsia="en-CA"/>
              </w:rPr>
              <w:t xml:space="preserve"> </w:t>
            </w:r>
            <w:r w:rsidRPr="008E044D">
              <w:rPr>
                <w:szCs w:val="22"/>
                <w:lang w:eastAsia="en-CA"/>
              </w:rPr>
              <w:t>033</w:t>
            </w:r>
          </w:p>
        </w:tc>
        <w:tc>
          <w:tcPr>
            <w:tcW w:w="0" w:type="auto"/>
            <w:tcBorders>
              <w:top w:val="nil"/>
              <w:left w:val="nil"/>
              <w:bottom w:val="single" w:sz="4" w:space="0" w:color="auto"/>
              <w:right w:val="single" w:sz="4" w:space="0" w:color="auto"/>
            </w:tcBorders>
            <w:shd w:val="clear" w:color="auto" w:fill="auto"/>
            <w:noWrap/>
            <w:vAlign w:val="center"/>
            <w:hideMark/>
          </w:tcPr>
          <w:p w14:paraId="05DB46DF" w14:textId="77777777" w:rsidR="00981B76" w:rsidRPr="008E044D" w:rsidRDefault="00981B76" w:rsidP="00E83799">
            <w:pPr>
              <w:ind w:right="276"/>
              <w:jc w:val="right"/>
              <w:rPr>
                <w:szCs w:val="22"/>
                <w:lang w:eastAsia="en-CA"/>
              </w:rPr>
            </w:pPr>
            <w:r w:rsidRPr="008E044D">
              <w:rPr>
                <w:szCs w:val="22"/>
                <w:lang w:eastAsia="en-CA"/>
              </w:rPr>
              <w:t>63</w:t>
            </w:r>
            <w:r>
              <w:rPr>
                <w:szCs w:val="22"/>
                <w:lang w:eastAsia="en-CA"/>
              </w:rPr>
              <w:t xml:space="preserve"> </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14:paraId="483A896A" w14:textId="77777777" w:rsidR="00981B76" w:rsidRPr="008E044D" w:rsidRDefault="00981B76" w:rsidP="00E83799">
            <w:pPr>
              <w:ind w:right="276"/>
              <w:jc w:val="right"/>
              <w:rPr>
                <w:szCs w:val="22"/>
                <w:lang w:eastAsia="en-CA"/>
              </w:rPr>
            </w:pPr>
            <w:r w:rsidRPr="008E044D">
              <w:rPr>
                <w:szCs w:val="22"/>
                <w:lang w:eastAsia="en-CA"/>
              </w:rPr>
              <w:t>123</w:t>
            </w:r>
            <w:r>
              <w:rPr>
                <w:szCs w:val="22"/>
                <w:lang w:eastAsia="en-CA"/>
              </w:rPr>
              <w:t xml:space="preserve"> </w:t>
            </w:r>
            <w:r w:rsidRPr="008E044D">
              <w:rPr>
                <w:szCs w:val="22"/>
                <w:lang w:eastAsia="en-CA"/>
              </w:rPr>
              <w:t>692</w:t>
            </w:r>
          </w:p>
        </w:tc>
      </w:tr>
      <w:tr w:rsidR="00981B76" w:rsidRPr="00C678EF" w14:paraId="54FAC953"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12E80" w14:textId="77777777" w:rsidR="00981B76" w:rsidRPr="008E044D" w:rsidRDefault="00981B76" w:rsidP="00E83799">
            <w:pPr>
              <w:jc w:val="left"/>
              <w:rPr>
                <w:szCs w:val="22"/>
                <w:lang w:eastAsia="en-CA"/>
              </w:rPr>
            </w:pPr>
            <w:r w:rsidRPr="008E044D">
              <w:rPr>
                <w:szCs w:val="22"/>
                <w:lang w:eastAsia="en-CA"/>
              </w:rPr>
              <w:t>Uruguay</w:t>
            </w:r>
          </w:p>
        </w:tc>
        <w:tc>
          <w:tcPr>
            <w:tcW w:w="2288" w:type="dxa"/>
            <w:tcBorders>
              <w:top w:val="nil"/>
              <w:left w:val="nil"/>
              <w:bottom w:val="single" w:sz="4" w:space="0" w:color="auto"/>
              <w:right w:val="single" w:sz="4" w:space="0" w:color="auto"/>
            </w:tcBorders>
            <w:shd w:val="clear" w:color="auto" w:fill="auto"/>
            <w:vAlign w:val="center"/>
            <w:hideMark/>
          </w:tcPr>
          <w:p w14:paraId="1CE1C9BB"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079</w:t>
            </w:r>
          </w:p>
        </w:tc>
        <w:tc>
          <w:tcPr>
            <w:tcW w:w="0" w:type="auto"/>
            <w:tcBorders>
              <w:top w:val="nil"/>
              <w:left w:val="nil"/>
              <w:bottom w:val="single" w:sz="4" w:space="0" w:color="auto"/>
              <w:right w:val="single" w:sz="4" w:space="0" w:color="auto"/>
            </w:tcBorders>
            <w:shd w:val="clear" w:color="auto" w:fill="auto"/>
            <w:noWrap/>
            <w:vAlign w:val="center"/>
            <w:hideMark/>
          </w:tcPr>
          <w:p w14:paraId="1D04CD9F"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114</w:t>
            </w:r>
          </w:p>
        </w:tc>
        <w:tc>
          <w:tcPr>
            <w:tcW w:w="0" w:type="auto"/>
            <w:tcBorders>
              <w:top w:val="nil"/>
              <w:left w:val="nil"/>
              <w:bottom w:val="single" w:sz="4" w:space="0" w:color="auto"/>
              <w:right w:val="single" w:sz="4" w:space="0" w:color="auto"/>
            </w:tcBorders>
            <w:shd w:val="clear" w:color="auto" w:fill="auto"/>
            <w:noWrap/>
            <w:vAlign w:val="center"/>
            <w:hideMark/>
          </w:tcPr>
          <w:p w14:paraId="5C511990"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747</w:t>
            </w:r>
          </w:p>
        </w:tc>
        <w:tc>
          <w:tcPr>
            <w:tcW w:w="0" w:type="auto"/>
            <w:tcBorders>
              <w:top w:val="nil"/>
              <w:left w:val="nil"/>
              <w:bottom w:val="single" w:sz="4" w:space="0" w:color="auto"/>
              <w:right w:val="single" w:sz="4" w:space="0" w:color="auto"/>
            </w:tcBorders>
            <w:shd w:val="clear" w:color="auto" w:fill="auto"/>
            <w:noWrap/>
            <w:vAlign w:val="center"/>
            <w:hideMark/>
          </w:tcPr>
          <w:p w14:paraId="2E4E8A1F"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913</w:t>
            </w:r>
          </w:p>
        </w:tc>
        <w:tc>
          <w:tcPr>
            <w:tcW w:w="0" w:type="auto"/>
            <w:tcBorders>
              <w:top w:val="nil"/>
              <w:left w:val="nil"/>
              <w:bottom w:val="single" w:sz="4" w:space="0" w:color="auto"/>
              <w:right w:val="single" w:sz="4" w:space="0" w:color="auto"/>
            </w:tcBorders>
            <w:shd w:val="clear" w:color="auto" w:fill="auto"/>
            <w:noWrap/>
            <w:vAlign w:val="center"/>
            <w:hideMark/>
          </w:tcPr>
          <w:p w14:paraId="161594D1" w14:textId="77777777" w:rsidR="00981B76" w:rsidRPr="008E044D" w:rsidRDefault="00981B76" w:rsidP="00E83799">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659</w:t>
            </w:r>
          </w:p>
        </w:tc>
      </w:tr>
      <w:tr w:rsidR="00981B76" w:rsidRPr="00C678EF" w14:paraId="1E19CEEF"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A6638" w14:textId="77777777" w:rsidR="00981B76" w:rsidRPr="008E044D" w:rsidRDefault="00981B76" w:rsidP="00E83799">
            <w:pPr>
              <w:jc w:val="left"/>
              <w:rPr>
                <w:szCs w:val="22"/>
                <w:lang w:eastAsia="en-CA"/>
              </w:rPr>
            </w:pPr>
            <w:r w:rsidRPr="008E044D">
              <w:rPr>
                <w:szCs w:val="22"/>
                <w:lang w:eastAsia="en-CA"/>
              </w:rPr>
              <w:t>Venezuela</w:t>
            </w:r>
            <w:r>
              <w:rPr>
                <w:szCs w:val="22"/>
                <w:lang w:eastAsia="en-CA"/>
              </w:rPr>
              <w:t xml:space="preserve"> (République bolivarienne du)</w:t>
            </w:r>
          </w:p>
        </w:tc>
        <w:tc>
          <w:tcPr>
            <w:tcW w:w="2288" w:type="dxa"/>
            <w:tcBorders>
              <w:top w:val="nil"/>
              <w:left w:val="nil"/>
              <w:bottom w:val="single" w:sz="4" w:space="0" w:color="auto"/>
              <w:right w:val="single" w:sz="4" w:space="0" w:color="auto"/>
            </w:tcBorders>
            <w:shd w:val="clear" w:color="auto" w:fill="auto"/>
            <w:vAlign w:val="center"/>
            <w:hideMark/>
          </w:tcPr>
          <w:p w14:paraId="0E004FDC"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571</w:t>
            </w:r>
          </w:p>
        </w:tc>
        <w:tc>
          <w:tcPr>
            <w:tcW w:w="0" w:type="auto"/>
            <w:tcBorders>
              <w:top w:val="nil"/>
              <w:left w:val="nil"/>
              <w:bottom w:val="single" w:sz="4" w:space="0" w:color="auto"/>
              <w:right w:val="single" w:sz="4" w:space="0" w:color="auto"/>
            </w:tcBorders>
            <w:shd w:val="clear" w:color="auto" w:fill="auto"/>
            <w:noWrap/>
            <w:vAlign w:val="center"/>
            <w:hideMark/>
          </w:tcPr>
          <w:p w14:paraId="3D045269"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827</w:t>
            </w:r>
          </w:p>
        </w:tc>
        <w:tc>
          <w:tcPr>
            <w:tcW w:w="0" w:type="auto"/>
            <w:tcBorders>
              <w:top w:val="nil"/>
              <w:left w:val="nil"/>
              <w:bottom w:val="single" w:sz="4" w:space="0" w:color="auto"/>
              <w:right w:val="single" w:sz="4" w:space="0" w:color="auto"/>
            </w:tcBorders>
            <w:shd w:val="clear" w:color="auto" w:fill="auto"/>
            <w:noWrap/>
            <w:vAlign w:val="center"/>
            <w:hideMark/>
          </w:tcPr>
          <w:p w14:paraId="69DA556B" w14:textId="77777777" w:rsidR="00981B76" w:rsidRPr="008E044D" w:rsidRDefault="00981B76" w:rsidP="00E83799">
            <w:pPr>
              <w:ind w:right="276"/>
              <w:jc w:val="right"/>
              <w:rPr>
                <w:szCs w:val="22"/>
                <w:lang w:eastAsia="en-CA"/>
              </w:rPr>
            </w:pPr>
            <w:r w:rsidRPr="008E044D">
              <w:rPr>
                <w:szCs w:val="22"/>
                <w:lang w:eastAsia="en-CA"/>
              </w:rPr>
              <w:t>19</w:t>
            </w:r>
            <w:r>
              <w:rPr>
                <w:szCs w:val="22"/>
                <w:lang w:eastAsia="en-CA"/>
              </w:rPr>
              <w:t xml:space="preserve"> </w:t>
            </w:r>
            <w:r w:rsidRPr="008E044D">
              <w:rPr>
                <w:szCs w:val="22"/>
                <w:lang w:eastAsia="en-CA"/>
              </w:rPr>
              <w:t>853</w:t>
            </w:r>
          </w:p>
        </w:tc>
        <w:tc>
          <w:tcPr>
            <w:tcW w:w="0" w:type="auto"/>
            <w:tcBorders>
              <w:top w:val="nil"/>
              <w:left w:val="nil"/>
              <w:bottom w:val="single" w:sz="4" w:space="0" w:color="auto"/>
              <w:right w:val="single" w:sz="4" w:space="0" w:color="auto"/>
            </w:tcBorders>
            <w:shd w:val="clear" w:color="auto" w:fill="auto"/>
            <w:noWrap/>
            <w:vAlign w:val="center"/>
            <w:hideMark/>
          </w:tcPr>
          <w:p w14:paraId="780BCA73" w14:textId="77777777" w:rsidR="00981B76" w:rsidRPr="008E044D" w:rsidRDefault="00981B76" w:rsidP="00E83799">
            <w:pPr>
              <w:ind w:right="276"/>
              <w:jc w:val="right"/>
              <w:rPr>
                <w:szCs w:val="22"/>
                <w:lang w:eastAsia="en-CA"/>
              </w:rPr>
            </w:pPr>
            <w:r w:rsidRPr="008E044D">
              <w:rPr>
                <w:szCs w:val="22"/>
                <w:lang w:eastAsia="en-CA"/>
              </w:rPr>
              <w:t>21</w:t>
            </w:r>
            <w:r>
              <w:rPr>
                <w:szCs w:val="22"/>
                <w:lang w:eastAsia="en-CA"/>
              </w:rPr>
              <w:t xml:space="preserve"> </w:t>
            </w:r>
            <w:r w:rsidRPr="008E044D">
              <w:rPr>
                <w:szCs w:val="22"/>
                <w:lang w:eastAsia="en-CA"/>
              </w:rPr>
              <w:t>052</w:t>
            </w:r>
          </w:p>
        </w:tc>
        <w:tc>
          <w:tcPr>
            <w:tcW w:w="0" w:type="auto"/>
            <w:tcBorders>
              <w:top w:val="nil"/>
              <w:left w:val="nil"/>
              <w:bottom w:val="single" w:sz="4" w:space="0" w:color="auto"/>
              <w:right w:val="single" w:sz="4" w:space="0" w:color="auto"/>
            </w:tcBorders>
            <w:shd w:val="clear" w:color="auto" w:fill="auto"/>
            <w:noWrap/>
            <w:vAlign w:val="center"/>
            <w:hideMark/>
          </w:tcPr>
          <w:p w14:paraId="7762A326" w14:textId="77777777" w:rsidR="00981B76" w:rsidRPr="008E044D" w:rsidRDefault="00981B76" w:rsidP="00E83799">
            <w:pPr>
              <w:ind w:right="276"/>
              <w:jc w:val="right"/>
              <w:rPr>
                <w:szCs w:val="22"/>
                <w:lang w:eastAsia="en-CA"/>
              </w:rPr>
            </w:pPr>
            <w:r w:rsidRPr="008E044D">
              <w:rPr>
                <w:szCs w:val="22"/>
                <w:lang w:eastAsia="en-CA"/>
              </w:rPr>
              <w:t>40</w:t>
            </w:r>
            <w:r>
              <w:rPr>
                <w:szCs w:val="22"/>
                <w:lang w:eastAsia="en-CA"/>
              </w:rPr>
              <w:t xml:space="preserve"> </w:t>
            </w:r>
            <w:r w:rsidRPr="008E044D">
              <w:rPr>
                <w:szCs w:val="22"/>
                <w:lang w:eastAsia="en-CA"/>
              </w:rPr>
              <w:t>906</w:t>
            </w:r>
          </w:p>
        </w:tc>
      </w:tr>
      <w:tr w:rsidR="00981B76" w:rsidRPr="00C678EF" w14:paraId="15C0775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4707A" w14:textId="77777777" w:rsidR="00981B76" w:rsidRPr="008E044D" w:rsidRDefault="00981B76" w:rsidP="00E83799">
            <w:pPr>
              <w:jc w:val="left"/>
              <w:rPr>
                <w:szCs w:val="22"/>
                <w:lang w:eastAsia="en-CA"/>
              </w:rPr>
            </w:pPr>
            <w:r w:rsidRPr="008E044D">
              <w:rPr>
                <w:szCs w:val="22"/>
                <w:lang w:eastAsia="en-CA"/>
              </w:rPr>
              <w:t>Viet Nam</w:t>
            </w:r>
          </w:p>
        </w:tc>
        <w:tc>
          <w:tcPr>
            <w:tcW w:w="2288" w:type="dxa"/>
            <w:tcBorders>
              <w:top w:val="nil"/>
              <w:left w:val="nil"/>
              <w:bottom w:val="single" w:sz="4" w:space="0" w:color="auto"/>
              <w:right w:val="single" w:sz="4" w:space="0" w:color="auto"/>
            </w:tcBorders>
            <w:shd w:val="clear" w:color="auto" w:fill="auto"/>
            <w:vAlign w:val="center"/>
            <w:hideMark/>
          </w:tcPr>
          <w:p w14:paraId="13FBE75E"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058</w:t>
            </w:r>
          </w:p>
        </w:tc>
        <w:tc>
          <w:tcPr>
            <w:tcW w:w="0" w:type="auto"/>
            <w:tcBorders>
              <w:top w:val="nil"/>
              <w:left w:val="nil"/>
              <w:bottom w:val="single" w:sz="4" w:space="0" w:color="auto"/>
              <w:right w:val="single" w:sz="4" w:space="0" w:color="auto"/>
            </w:tcBorders>
            <w:shd w:val="clear" w:color="auto" w:fill="auto"/>
            <w:noWrap/>
            <w:vAlign w:val="center"/>
            <w:hideMark/>
          </w:tcPr>
          <w:p w14:paraId="41E7BBF8"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084</w:t>
            </w:r>
          </w:p>
        </w:tc>
        <w:tc>
          <w:tcPr>
            <w:tcW w:w="0" w:type="auto"/>
            <w:tcBorders>
              <w:top w:val="nil"/>
              <w:left w:val="nil"/>
              <w:bottom w:val="single" w:sz="4" w:space="0" w:color="auto"/>
              <w:right w:val="single" w:sz="4" w:space="0" w:color="auto"/>
            </w:tcBorders>
            <w:shd w:val="clear" w:color="auto" w:fill="auto"/>
            <w:noWrap/>
            <w:vAlign w:val="center"/>
            <w:hideMark/>
          </w:tcPr>
          <w:p w14:paraId="7222E31F"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14:paraId="3F7007C9" w14:textId="77777777" w:rsidR="00981B76" w:rsidRPr="008E044D" w:rsidRDefault="00981B76" w:rsidP="00E83799">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138</w:t>
            </w:r>
          </w:p>
        </w:tc>
        <w:tc>
          <w:tcPr>
            <w:tcW w:w="0" w:type="auto"/>
            <w:tcBorders>
              <w:top w:val="nil"/>
              <w:left w:val="nil"/>
              <w:bottom w:val="single" w:sz="4" w:space="0" w:color="auto"/>
              <w:right w:val="single" w:sz="4" w:space="0" w:color="auto"/>
            </w:tcBorders>
            <w:shd w:val="clear" w:color="auto" w:fill="auto"/>
            <w:noWrap/>
            <w:vAlign w:val="center"/>
            <w:hideMark/>
          </w:tcPr>
          <w:p w14:paraId="47E776AC" w14:textId="77777777" w:rsidR="00981B76" w:rsidRPr="008E044D" w:rsidRDefault="00981B76" w:rsidP="00E83799">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155</w:t>
            </w:r>
          </w:p>
        </w:tc>
      </w:tr>
      <w:tr w:rsidR="00981B76" w:rsidRPr="00C678EF" w14:paraId="1611294D"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FB3DB" w14:textId="77777777" w:rsidR="00981B76" w:rsidRPr="008E044D" w:rsidRDefault="00981B76" w:rsidP="00E83799">
            <w:pPr>
              <w:jc w:val="left"/>
              <w:rPr>
                <w:szCs w:val="22"/>
                <w:lang w:eastAsia="en-CA"/>
              </w:rPr>
            </w:pPr>
            <w:r>
              <w:rPr>
                <w:szCs w:val="22"/>
                <w:lang w:eastAsia="en-CA"/>
              </w:rPr>
              <w:t>Yé</w:t>
            </w:r>
            <w:r w:rsidRPr="008E044D">
              <w:rPr>
                <w:szCs w:val="22"/>
                <w:lang w:eastAsia="en-CA"/>
              </w:rPr>
              <w:t>men</w:t>
            </w:r>
          </w:p>
        </w:tc>
        <w:tc>
          <w:tcPr>
            <w:tcW w:w="2288" w:type="dxa"/>
            <w:tcBorders>
              <w:top w:val="nil"/>
              <w:left w:val="nil"/>
              <w:bottom w:val="single" w:sz="4" w:space="0" w:color="auto"/>
              <w:right w:val="single" w:sz="4" w:space="0" w:color="auto"/>
            </w:tcBorders>
            <w:shd w:val="clear" w:color="auto" w:fill="auto"/>
            <w:vAlign w:val="center"/>
            <w:hideMark/>
          </w:tcPr>
          <w:p w14:paraId="56938B36"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7550685C"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28C09825" w14:textId="77777777" w:rsidR="00981B76" w:rsidRPr="008E044D" w:rsidRDefault="00981B76" w:rsidP="00E83799">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F998DB1" w14:textId="77777777" w:rsidR="00981B76" w:rsidRPr="008E044D" w:rsidRDefault="00981B76" w:rsidP="00E83799">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40DDBFBA" w14:textId="77777777" w:rsidR="00981B76" w:rsidRPr="008E044D" w:rsidRDefault="00981B76" w:rsidP="00E83799">
            <w:pPr>
              <w:ind w:right="276"/>
              <w:jc w:val="right"/>
              <w:rPr>
                <w:szCs w:val="22"/>
                <w:lang w:eastAsia="en-CA"/>
              </w:rPr>
            </w:pPr>
            <w:r w:rsidRPr="008E044D">
              <w:rPr>
                <w:szCs w:val="22"/>
                <w:lang w:eastAsia="en-CA"/>
              </w:rPr>
              <w:t>495</w:t>
            </w:r>
          </w:p>
        </w:tc>
      </w:tr>
      <w:tr w:rsidR="00981B76" w:rsidRPr="00C678EF" w14:paraId="652417DE"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6A2393" w14:textId="77777777" w:rsidR="00981B76" w:rsidRPr="008E044D" w:rsidRDefault="00981B76" w:rsidP="00E83799">
            <w:pPr>
              <w:jc w:val="left"/>
              <w:rPr>
                <w:szCs w:val="22"/>
                <w:lang w:eastAsia="en-CA"/>
              </w:rPr>
            </w:pPr>
            <w:r>
              <w:rPr>
                <w:szCs w:val="22"/>
                <w:lang w:eastAsia="en-CA"/>
              </w:rPr>
              <w:t>Zambie</w:t>
            </w:r>
          </w:p>
        </w:tc>
        <w:tc>
          <w:tcPr>
            <w:tcW w:w="2288" w:type="dxa"/>
            <w:tcBorders>
              <w:top w:val="nil"/>
              <w:left w:val="nil"/>
              <w:bottom w:val="single" w:sz="4" w:space="0" w:color="auto"/>
              <w:right w:val="single" w:sz="4" w:space="0" w:color="auto"/>
            </w:tcBorders>
            <w:shd w:val="clear" w:color="auto" w:fill="auto"/>
            <w:vAlign w:val="center"/>
            <w:hideMark/>
          </w:tcPr>
          <w:p w14:paraId="21E38583" w14:textId="77777777" w:rsidR="00981B76" w:rsidRPr="008E044D" w:rsidRDefault="00981B76" w:rsidP="00E83799">
            <w:pPr>
              <w:ind w:right="770"/>
              <w:jc w:val="right"/>
              <w:rPr>
                <w:szCs w:val="22"/>
                <w:lang w:eastAsia="en-CA"/>
              </w:rPr>
            </w:pPr>
            <w:r w:rsidRPr="008E044D">
              <w:rPr>
                <w:szCs w:val="22"/>
                <w:lang w:eastAsia="en-CA"/>
              </w:rPr>
              <w:t>0</w:t>
            </w:r>
            <w:r>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14:paraId="3085B487" w14:textId="77777777" w:rsidR="00981B76" w:rsidRPr="008E044D" w:rsidRDefault="00981B76" w:rsidP="00E83799">
            <w:pPr>
              <w:ind w:right="1144"/>
              <w:jc w:val="right"/>
              <w:rPr>
                <w:szCs w:val="22"/>
                <w:lang w:eastAsia="en-CA"/>
              </w:rPr>
            </w:pPr>
            <w:r w:rsidRPr="008E044D">
              <w:rPr>
                <w:szCs w:val="22"/>
                <w:lang w:eastAsia="en-CA"/>
              </w:rPr>
              <w:t>0</w:t>
            </w:r>
            <w:r>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14:paraId="146B72E4" w14:textId="77777777" w:rsidR="00981B76" w:rsidRPr="008E044D" w:rsidRDefault="00981B76" w:rsidP="00E83799">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7923521E" w14:textId="77777777" w:rsidR="00981B76" w:rsidRPr="008E044D" w:rsidRDefault="00981B76" w:rsidP="00E83799">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5B123911" w14:textId="77777777" w:rsidR="00981B76" w:rsidRPr="008E044D" w:rsidRDefault="00981B76" w:rsidP="00E83799">
            <w:pPr>
              <w:ind w:right="276"/>
              <w:jc w:val="right"/>
              <w:rPr>
                <w:szCs w:val="22"/>
                <w:lang w:eastAsia="en-CA"/>
              </w:rPr>
            </w:pPr>
            <w:r w:rsidRPr="008E044D">
              <w:rPr>
                <w:szCs w:val="22"/>
                <w:lang w:eastAsia="en-CA"/>
              </w:rPr>
              <w:t>501</w:t>
            </w:r>
          </w:p>
        </w:tc>
      </w:tr>
      <w:tr w:rsidR="00981B76" w:rsidRPr="00C678EF" w14:paraId="0DF0ABDC"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4B47F8F" w14:textId="77777777" w:rsidR="00981B76" w:rsidRDefault="00981B76" w:rsidP="00E83799">
            <w:pPr>
              <w:jc w:val="left"/>
              <w:rPr>
                <w:szCs w:val="22"/>
                <w:lang w:eastAsia="en-CA"/>
              </w:rPr>
            </w:pPr>
            <w:r>
              <w:rPr>
                <w:szCs w:val="22"/>
                <w:lang w:eastAsia="en-CA"/>
              </w:rPr>
              <w:t>Zimbabwe</w:t>
            </w:r>
          </w:p>
        </w:tc>
        <w:tc>
          <w:tcPr>
            <w:tcW w:w="2288" w:type="dxa"/>
            <w:tcBorders>
              <w:top w:val="nil"/>
              <w:left w:val="nil"/>
              <w:bottom w:val="single" w:sz="4" w:space="0" w:color="auto"/>
              <w:right w:val="single" w:sz="4" w:space="0" w:color="auto"/>
            </w:tcBorders>
            <w:shd w:val="clear" w:color="auto" w:fill="auto"/>
            <w:vAlign w:val="center"/>
          </w:tcPr>
          <w:p w14:paraId="0B8E579C" w14:textId="77777777" w:rsidR="00981B76" w:rsidRPr="008E044D" w:rsidRDefault="00981B76" w:rsidP="00E83799">
            <w:pPr>
              <w:ind w:right="770"/>
              <w:jc w:val="right"/>
              <w:rPr>
                <w:szCs w:val="22"/>
                <w:lang w:eastAsia="en-CA"/>
              </w:rPr>
            </w:pPr>
            <w:r>
              <w:rPr>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tcPr>
          <w:p w14:paraId="6EC3BA29" w14:textId="77777777" w:rsidR="00981B76" w:rsidRPr="008E044D" w:rsidRDefault="00981B76" w:rsidP="00E83799">
            <w:pPr>
              <w:ind w:right="1144"/>
              <w:jc w:val="right"/>
              <w:rPr>
                <w:szCs w:val="22"/>
                <w:lang w:eastAsia="en-CA"/>
              </w:rPr>
            </w:pPr>
            <w:r>
              <w:rPr>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tcPr>
          <w:p w14:paraId="65C9A377" w14:textId="77777777" w:rsidR="00981B76" w:rsidRPr="008E044D" w:rsidRDefault="00981B76" w:rsidP="00E83799">
            <w:pPr>
              <w:ind w:right="276"/>
              <w:jc w:val="right"/>
              <w:rPr>
                <w:szCs w:val="22"/>
                <w:lang w:eastAsia="en-CA"/>
              </w:rPr>
            </w:pPr>
            <w:r>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tcPr>
          <w:p w14:paraId="0390EDB7" w14:textId="77777777" w:rsidR="00981B76" w:rsidRPr="008E044D" w:rsidRDefault="00981B76" w:rsidP="00E83799">
            <w:pPr>
              <w:ind w:right="276"/>
              <w:jc w:val="right"/>
              <w:rPr>
                <w:szCs w:val="22"/>
                <w:lang w:eastAsia="en-CA"/>
              </w:rPr>
            </w:pPr>
            <w:r>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tcPr>
          <w:p w14:paraId="69FC4504" w14:textId="77777777" w:rsidR="00981B76" w:rsidRPr="008E044D" w:rsidRDefault="00981B76" w:rsidP="00E83799">
            <w:pPr>
              <w:ind w:right="276"/>
              <w:jc w:val="right"/>
              <w:rPr>
                <w:szCs w:val="22"/>
                <w:lang w:eastAsia="en-CA"/>
              </w:rPr>
            </w:pPr>
            <w:r>
              <w:rPr>
                <w:szCs w:val="22"/>
                <w:lang w:eastAsia="en-CA"/>
              </w:rPr>
              <w:t>287</w:t>
            </w:r>
          </w:p>
        </w:tc>
      </w:tr>
      <w:tr w:rsidR="00981B76" w:rsidRPr="00B57637" w14:paraId="3052D3F5" w14:textId="77777777" w:rsidTr="00E83799">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4FDBEA2" w14:textId="77777777" w:rsidR="00981B76" w:rsidRPr="00B57637" w:rsidRDefault="00981B76" w:rsidP="00E83799">
            <w:pPr>
              <w:jc w:val="left"/>
              <w:rPr>
                <w:b/>
                <w:szCs w:val="22"/>
                <w:lang w:eastAsia="en-CA"/>
              </w:rPr>
            </w:pPr>
            <w:r w:rsidRPr="00B57637">
              <w:rPr>
                <w:b/>
                <w:szCs w:val="22"/>
                <w:lang w:eastAsia="en-CA"/>
              </w:rPr>
              <w:t>Total</w:t>
            </w:r>
          </w:p>
        </w:tc>
        <w:tc>
          <w:tcPr>
            <w:tcW w:w="2288" w:type="dxa"/>
            <w:tcBorders>
              <w:top w:val="nil"/>
              <w:left w:val="nil"/>
              <w:bottom w:val="single" w:sz="4" w:space="0" w:color="auto"/>
              <w:right w:val="single" w:sz="4" w:space="0" w:color="auto"/>
            </w:tcBorders>
            <w:shd w:val="clear" w:color="auto" w:fill="auto"/>
            <w:vAlign w:val="center"/>
          </w:tcPr>
          <w:p w14:paraId="75873107" w14:textId="77777777" w:rsidR="00981B76" w:rsidRPr="00B57637" w:rsidRDefault="00981B76" w:rsidP="00E83799">
            <w:pPr>
              <w:ind w:right="770"/>
              <w:jc w:val="right"/>
              <w:rPr>
                <w:b/>
                <w:szCs w:val="22"/>
                <w:lang w:eastAsia="en-CA"/>
              </w:rPr>
            </w:pPr>
            <w:r w:rsidRPr="00B57637">
              <w:rPr>
                <w:b/>
                <w:szCs w:val="22"/>
                <w:lang w:eastAsia="en-CA"/>
              </w:rPr>
              <w:t>67</w:t>
            </w:r>
            <w:r>
              <w:rPr>
                <w:b/>
                <w:szCs w:val="22"/>
                <w:lang w:eastAsia="en-CA"/>
              </w:rPr>
              <w:t>,</w:t>
            </w:r>
            <w:r w:rsidRPr="00B57637">
              <w:rPr>
                <w:b/>
                <w:szCs w:val="22"/>
                <w:lang w:eastAsia="en-CA"/>
              </w:rPr>
              <w:t>363</w:t>
            </w:r>
          </w:p>
        </w:tc>
        <w:tc>
          <w:tcPr>
            <w:tcW w:w="0" w:type="auto"/>
            <w:tcBorders>
              <w:top w:val="nil"/>
              <w:left w:val="nil"/>
              <w:bottom w:val="single" w:sz="4" w:space="0" w:color="auto"/>
              <w:right w:val="single" w:sz="4" w:space="0" w:color="auto"/>
            </w:tcBorders>
            <w:shd w:val="clear" w:color="auto" w:fill="auto"/>
            <w:noWrap/>
            <w:vAlign w:val="center"/>
          </w:tcPr>
          <w:p w14:paraId="5E70D420" w14:textId="77777777" w:rsidR="00981B76" w:rsidRPr="00B57637" w:rsidRDefault="00981B76" w:rsidP="00E83799">
            <w:pPr>
              <w:ind w:right="1144"/>
              <w:jc w:val="right"/>
              <w:rPr>
                <w:b/>
                <w:szCs w:val="22"/>
                <w:lang w:eastAsia="en-CA"/>
              </w:rPr>
            </w:pPr>
            <w:r w:rsidRPr="00B57637">
              <w:rPr>
                <w:b/>
                <w:szCs w:val="22"/>
                <w:lang w:eastAsia="en-CA"/>
              </w:rPr>
              <w:t>100</w:t>
            </w:r>
          </w:p>
        </w:tc>
        <w:tc>
          <w:tcPr>
            <w:tcW w:w="0" w:type="auto"/>
            <w:tcBorders>
              <w:top w:val="nil"/>
              <w:left w:val="nil"/>
              <w:bottom w:val="single" w:sz="4" w:space="0" w:color="auto"/>
              <w:right w:val="single" w:sz="4" w:space="0" w:color="auto"/>
            </w:tcBorders>
            <w:shd w:val="clear" w:color="auto" w:fill="auto"/>
            <w:noWrap/>
            <w:vAlign w:val="center"/>
          </w:tcPr>
          <w:p w14:paraId="2986AFC2" w14:textId="77777777" w:rsidR="00981B76" w:rsidRPr="00B57637" w:rsidRDefault="00981B76" w:rsidP="00E83799">
            <w:pPr>
              <w:ind w:right="276"/>
              <w:jc w:val="right"/>
              <w:rPr>
                <w:b/>
                <w:szCs w:val="22"/>
                <w:lang w:eastAsia="en-CA"/>
              </w:rPr>
            </w:pPr>
            <w:r w:rsidRPr="00B57637">
              <w:rPr>
                <w:b/>
                <w:szCs w:val="22"/>
                <w:lang w:eastAsia="en-CA"/>
              </w:rPr>
              <w:t>2 401 320</w:t>
            </w:r>
          </w:p>
        </w:tc>
        <w:tc>
          <w:tcPr>
            <w:tcW w:w="0" w:type="auto"/>
            <w:tcBorders>
              <w:top w:val="nil"/>
              <w:left w:val="nil"/>
              <w:bottom w:val="single" w:sz="4" w:space="0" w:color="auto"/>
              <w:right w:val="single" w:sz="4" w:space="0" w:color="auto"/>
            </w:tcBorders>
            <w:shd w:val="clear" w:color="auto" w:fill="auto"/>
            <w:noWrap/>
            <w:vAlign w:val="center"/>
          </w:tcPr>
          <w:p w14:paraId="2F11810A" w14:textId="77777777" w:rsidR="00981B76" w:rsidRPr="00B57637" w:rsidRDefault="00981B76" w:rsidP="00E83799">
            <w:pPr>
              <w:ind w:right="276"/>
              <w:jc w:val="right"/>
              <w:rPr>
                <w:b/>
                <w:szCs w:val="22"/>
                <w:lang w:eastAsia="en-CA"/>
              </w:rPr>
            </w:pPr>
            <w:r w:rsidRPr="00B57637">
              <w:rPr>
                <w:b/>
                <w:szCs w:val="22"/>
                <w:lang w:eastAsia="en-CA"/>
              </w:rPr>
              <w:t>2 546 370</w:t>
            </w:r>
          </w:p>
        </w:tc>
        <w:tc>
          <w:tcPr>
            <w:tcW w:w="0" w:type="auto"/>
            <w:tcBorders>
              <w:top w:val="nil"/>
              <w:left w:val="nil"/>
              <w:bottom w:val="single" w:sz="4" w:space="0" w:color="auto"/>
              <w:right w:val="single" w:sz="4" w:space="0" w:color="auto"/>
            </w:tcBorders>
            <w:shd w:val="clear" w:color="auto" w:fill="auto"/>
            <w:noWrap/>
            <w:vAlign w:val="center"/>
          </w:tcPr>
          <w:p w14:paraId="4D90351F" w14:textId="77777777" w:rsidR="00981B76" w:rsidRPr="00B57637" w:rsidRDefault="00981B76" w:rsidP="00E83799">
            <w:pPr>
              <w:ind w:right="276"/>
              <w:jc w:val="right"/>
              <w:rPr>
                <w:b/>
                <w:szCs w:val="22"/>
                <w:lang w:eastAsia="en-CA"/>
              </w:rPr>
            </w:pPr>
            <w:r w:rsidRPr="00B57637">
              <w:rPr>
                <w:b/>
                <w:szCs w:val="22"/>
                <w:lang w:eastAsia="en-CA"/>
              </w:rPr>
              <w:t>4 947 690</w:t>
            </w:r>
          </w:p>
        </w:tc>
      </w:tr>
    </w:tbl>
    <w:p w14:paraId="54E126FD" w14:textId="49AC5BB5" w:rsidR="00E36C22" w:rsidRDefault="00E36C22" w:rsidP="00B63B63">
      <w:pPr>
        <w:suppressLineNumbers/>
        <w:suppressAutoHyphens/>
        <w:rPr>
          <w:kern w:val="22"/>
        </w:rPr>
        <w:sectPr w:rsidR="00E36C22" w:rsidSect="00F26166">
          <w:type w:val="continuous"/>
          <w:pgSz w:w="15840" w:h="12240" w:orient="landscape"/>
          <w:pgMar w:top="1389" w:right="567" w:bottom="1389" w:left="1134" w:header="709" w:footer="709" w:gutter="0"/>
          <w:cols w:space="708"/>
          <w:titlePg/>
          <w:docGrid w:linePitch="360"/>
        </w:sectPr>
      </w:pPr>
    </w:p>
    <w:p w14:paraId="6F914375" w14:textId="67AA5AB3" w:rsidR="005C4A6F" w:rsidRPr="00E36C22" w:rsidRDefault="005C4A6F" w:rsidP="00E36C22">
      <w:pPr>
        <w:jc w:val="left"/>
        <w:rPr>
          <w:rFonts w:cs="Times New Roman"/>
          <w:snapToGrid w:val="0"/>
          <w:kern w:val="22"/>
          <w:szCs w:val="22"/>
        </w:rPr>
      </w:pPr>
    </w:p>
    <w:p w14:paraId="73BBB647" w14:textId="14359D01" w:rsidR="005C4A6F" w:rsidRPr="00A508D7" w:rsidRDefault="005C4A6F" w:rsidP="00AA51F9">
      <w:pPr>
        <w:pStyle w:val="HEADINGNOTFORTOC"/>
        <w:keepNext w:val="0"/>
        <w:numPr>
          <w:ilvl w:val="0"/>
          <w:numId w:val="46"/>
        </w:numPr>
        <w:suppressLineNumbers/>
        <w:tabs>
          <w:tab w:val="clear" w:pos="720"/>
        </w:tabs>
        <w:suppressAutoHyphens/>
        <w:kinsoku w:val="0"/>
        <w:overflowPunct w:val="0"/>
        <w:autoSpaceDE w:val="0"/>
        <w:autoSpaceDN w:val="0"/>
        <w:ind w:left="0" w:firstLine="0"/>
        <w:rPr>
          <w:rFonts w:cs="Times New Roman"/>
          <w:snapToGrid w:val="0"/>
          <w:kern w:val="22"/>
          <w:szCs w:val="22"/>
        </w:rPr>
      </w:pPr>
      <w:bookmarkStart w:id="24" w:name="_Hlk530374184"/>
      <w:bookmarkStart w:id="25" w:name="_Toc7428857"/>
      <w:r w:rsidRPr="00A508D7">
        <w:rPr>
          <w:rFonts w:cs="Times New Roman"/>
          <w:snapToGrid w:val="0"/>
          <w:kern w:val="22"/>
          <w:szCs w:val="22"/>
          <w:lang w:bidi="fr-FR"/>
        </w:rPr>
        <w:t>C</w:t>
      </w:r>
      <w:r w:rsidR="00A441A2">
        <w:rPr>
          <w:rFonts w:cs="Times New Roman"/>
          <w:snapToGrid w:val="0"/>
          <w:kern w:val="22"/>
          <w:szCs w:val="22"/>
          <w:lang w:bidi="fr-FR"/>
        </w:rPr>
        <w:t>O</w:t>
      </w:r>
      <w:r w:rsidR="00AA51F9">
        <w:rPr>
          <w:rFonts w:cs="Times New Roman"/>
          <w:snapToGrid w:val="0"/>
          <w:kern w:val="22"/>
          <w:szCs w:val="22"/>
          <w:lang w:bidi="fr-FR"/>
        </w:rPr>
        <w:t xml:space="preserve">MPTE </w:t>
      </w:r>
      <w:r w:rsidRPr="00A508D7">
        <w:rPr>
          <w:rFonts w:cs="Times New Roman"/>
          <w:snapToGrid w:val="0"/>
          <w:kern w:val="22"/>
          <w:szCs w:val="22"/>
          <w:lang w:bidi="fr-FR"/>
        </w:rPr>
        <w:t>RENDU DE LA RÉUNION</w:t>
      </w:r>
      <w:bookmarkEnd w:id="24"/>
      <w:bookmarkEnd w:id="25"/>
    </w:p>
    <w:p w14:paraId="2F0C4FCE" w14:textId="1D2561EA" w:rsidR="005C4A6F" w:rsidRPr="00742722" w:rsidRDefault="00742722" w:rsidP="00742722">
      <w:pPr>
        <w:spacing w:before="240" w:after="240"/>
        <w:jc w:val="center"/>
        <w:rPr>
          <w:b/>
        </w:rPr>
      </w:pPr>
      <w:r w:rsidRPr="00742722">
        <w:rPr>
          <w:b/>
          <w:lang w:bidi="fr-FR"/>
        </w:rPr>
        <w:t>INTRODUCTION</w:t>
      </w:r>
    </w:p>
    <w:p w14:paraId="065E54D4" w14:textId="77777777" w:rsidR="005C4A6F" w:rsidRPr="00742722" w:rsidRDefault="005C4A6F" w:rsidP="00742722">
      <w:pPr>
        <w:jc w:val="center"/>
        <w:rPr>
          <w:b/>
          <w:color w:val="000000"/>
          <w:kern w:val="22"/>
        </w:rPr>
      </w:pPr>
      <w:r w:rsidRPr="00742722">
        <w:rPr>
          <w:b/>
          <w:lang w:bidi="fr-FR"/>
        </w:rPr>
        <w:t>A.</w:t>
      </w:r>
      <w:r w:rsidRPr="00742722">
        <w:rPr>
          <w:b/>
          <w:lang w:bidi="fr-FR"/>
        </w:rPr>
        <w:tab/>
        <w:t>Contexte</w:t>
      </w:r>
    </w:p>
    <w:p w14:paraId="6F4E438E" w14:textId="3E1E47D0" w:rsidR="00FB3B7C" w:rsidRDefault="005C4A6F" w:rsidP="00A441A2">
      <w:pPr>
        <w:pStyle w:val="Para1"/>
        <w:tabs>
          <w:tab w:val="clear" w:pos="360"/>
          <w:tab w:val="num" w:pos="0"/>
        </w:tabs>
      </w:pPr>
      <w:bookmarkStart w:id="26" w:name="_Hlk530336722"/>
      <w:r w:rsidRPr="00A508D7">
        <w:rPr>
          <w:color w:val="000000"/>
          <w:lang w:bidi="fr-FR"/>
        </w:rPr>
        <w:t>Suite à une offre du</w:t>
      </w:r>
      <w:r w:rsidR="00FB3B7C">
        <w:rPr>
          <w:color w:val="000000"/>
          <w:lang w:bidi="fr-FR"/>
        </w:rPr>
        <w:t xml:space="preserve"> Gouvernement égyptien</w:t>
      </w:r>
      <w:r w:rsidR="00A441A2">
        <w:rPr>
          <w:color w:val="000000"/>
          <w:lang w:bidi="fr-FR"/>
        </w:rPr>
        <w:t xml:space="preserve">, qui a été </w:t>
      </w:r>
      <w:r w:rsidRPr="00A508D7">
        <w:rPr>
          <w:color w:val="000000"/>
          <w:lang w:bidi="fr-FR"/>
        </w:rPr>
        <w:t xml:space="preserve">accueillie </w:t>
      </w:r>
      <w:r w:rsidR="00A441A2">
        <w:rPr>
          <w:color w:val="000000"/>
          <w:lang w:bidi="fr-FR"/>
        </w:rPr>
        <w:t xml:space="preserve">favorablement </w:t>
      </w:r>
      <w:r w:rsidRPr="00A508D7">
        <w:rPr>
          <w:color w:val="000000"/>
          <w:lang w:bidi="fr-FR"/>
        </w:rPr>
        <w:t>par la Conférence des Parties à la Convention sur la diversité biol</w:t>
      </w:r>
      <w:r w:rsidR="00FB3B7C">
        <w:rPr>
          <w:color w:val="000000"/>
          <w:lang w:bidi="fr-FR"/>
        </w:rPr>
        <w:t xml:space="preserve">ogique </w:t>
      </w:r>
      <w:r w:rsidRPr="00A508D7">
        <w:rPr>
          <w:color w:val="000000"/>
          <w:lang w:bidi="fr-FR"/>
        </w:rPr>
        <w:t>dans la décision</w:t>
      </w:r>
      <w:r w:rsidR="00911FEE">
        <w:rPr>
          <w:color w:val="000000"/>
          <w:lang w:bidi="fr-FR"/>
        </w:rPr>
        <w:t xml:space="preserve"> </w:t>
      </w:r>
      <w:hyperlink r:id="rId35" w:history="1">
        <w:r w:rsidRPr="00A508D7">
          <w:rPr>
            <w:rStyle w:val="Hyperlink"/>
            <w:color w:val="auto"/>
            <w:u w:val="none"/>
            <w:lang w:bidi="fr-FR"/>
          </w:rPr>
          <w:t>XIII/33</w:t>
        </w:r>
      </w:hyperlink>
      <w:r w:rsidRPr="00A508D7">
        <w:rPr>
          <w:lang w:bidi="fr-FR"/>
        </w:rPr>
        <w:t>,</w:t>
      </w:r>
      <w:bookmarkEnd w:id="26"/>
      <w:r w:rsidRPr="00A508D7">
        <w:rPr>
          <w:lang w:bidi="fr-FR"/>
        </w:rPr>
        <w:t xml:space="preserve"> </w:t>
      </w:r>
      <w:bookmarkStart w:id="27" w:name="_Hlk530336920"/>
      <w:r w:rsidRPr="00A508D7">
        <w:rPr>
          <w:lang w:bidi="fr-FR"/>
        </w:rPr>
        <w:t>et con</w:t>
      </w:r>
      <w:r w:rsidR="00FB3B7C">
        <w:rPr>
          <w:lang w:bidi="fr-FR"/>
        </w:rPr>
        <w:t>formément au paragraphe 6 de l’a</w:t>
      </w:r>
      <w:r w:rsidRPr="00A508D7">
        <w:rPr>
          <w:lang w:bidi="fr-FR"/>
        </w:rPr>
        <w:t>rticle 29 du Protocole de Cartagena sur la prévention des risques biotechnologi</w:t>
      </w:r>
      <w:r w:rsidR="00FB3B7C">
        <w:rPr>
          <w:lang w:bidi="fr-FR"/>
        </w:rPr>
        <w:t>ques</w:t>
      </w:r>
      <w:r w:rsidRPr="00A508D7">
        <w:rPr>
          <w:lang w:bidi="fr-FR"/>
        </w:rPr>
        <w:t xml:space="preserve">, la neuvième réunion de la Conférence des Parties </w:t>
      </w:r>
      <w:r w:rsidR="00710E66">
        <w:rPr>
          <w:lang w:bidi="fr-FR"/>
        </w:rPr>
        <w:t>siégeant en tant que</w:t>
      </w:r>
      <w:r w:rsidRPr="00A508D7">
        <w:rPr>
          <w:lang w:bidi="fr-FR"/>
        </w:rPr>
        <w:t xml:space="preserve"> </w:t>
      </w:r>
      <w:r w:rsidR="00FB3B7C">
        <w:rPr>
          <w:lang w:bidi="fr-FR"/>
        </w:rPr>
        <w:t xml:space="preserve">réunion </w:t>
      </w:r>
      <w:r w:rsidRPr="00A508D7">
        <w:rPr>
          <w:lang w:bidi="fr-FR"/>
        </w:rPr>
        <w:t xml:space="preserve">des Parties au </w:t>
      </w:r>
      <w:bookmarkEnd w:id="27"/>
      <w:r w:rsidRPr="00A508D7">
        <w:rPr>
          <w:lang w:bidi="fr-FR"/>
        </w:rPr>
        <w:t xml:space="preserve">Protocole de Cartagena </w:t>
      </w:r>
      <w:bookmarkStart w:id="28" w:name="_Hlk530395494"/>
      <w:r w:rsidR="002F0B9E">
        <w:rPr>
          <w:lang w:bidi="fr-FR"/>
        </w:rPr>
        <w:t xml:space="preserve">s’est tenue à </w:t>
      </w:r>
      <w:proofErr w:type="spellStart"/>
      <w:r w:rsidR="00CE5AD5">
        <w:rPr>
          <w:lang w:bidi="fr-FR"/>
        </w:rPr>
        <w:t>Charm</w:t>
      </w:r>
      <w:proofErr w:type="spellEnd"/>
      <w:r w:rsidRPr="00A508D7">
        <w:rPr>
          <w:lang w:bidi="fr-FR"/>
        </w:rPr>
        <w:t xml:space="preserve"> El-Cheikh, Égypte, du 17 au 29 novembre 2018, </w:t>
      </w:r>
      <w:bookmarkEnd w:id="28"/>
      <w:r w:rsidRPr="00A508D7">
        <w:rPr>
          <w:lang w:bidi="fr-FR"/>
        </w:rPr>
        <w:t xml:space="preserve">en même temps que la quatorzième réunion de la Conférence des Parties. </w:t>
      </w:r>
    </w:p>
    <w:p w14:paraId="11D48EB0" w14:textId="626C2CBA" w:rsidR="00FB3B7C" w:rsidRPr="00742722" w:rsidRDefault="00FB3B7C" w:rsidP="00742722">
      <w:pPr>
        <w:jc w:val="center"/>
        <w:rPr>
          <w:b/>
        </w:rPr>
      </w:pPr>
      <w:r w:rsidRPr="00742722">
        <w:rPr>
          <w:b/>
          <w:lang w:bidi="fr-FR"/>
        </w:rPr>
        <w:t>B.</w:t>
      </w:r>
      <w:r w:rsidRPr="00742722">
        <w:rPr>
          <w:b/>
          <w:lang w:bidi="fr-FR"/>
        </w:rPr>
        <w:tab/>
        <w:t>Participation</w:t>
      </w:r>
    </w:p>
    <w:p w14:paraId="6640ECA4" w14:textId="406D3877" w:rsidR="005C4A6F" w:rsidRDefault="005C4A6F" w:rsidP="00FB3B7C">
      <w:pPr>
        <w:pStyle w:val="Para1"/>
        <w:tabs>
          <w:tab w:val="clear" w:pos="360"/>
        </w:tabs>
      </w:pPr>
      <w:r w:rsidRPr="00A508D7">
        <w:rPr>
          <w:lang w:bidi="fr-FR"/>
        </w:rPr>
        <w:t xml:space="preserve">Tous les États ont été invités à participer à la </w:t>
      </w:r>
      <w:r w:rsidR="00FB3B7C">
        <w:rPr>
          <w:lang w:bidi="fr-FR"/>
        </w:rPr>
        <w:t>réunion. Les Parties a</w:t>
      </w:r>
      <w:r w:rsidRPr="00A508D7">
        <w:rPr>
          <w:lang w:bidi="fr-FR"/>
        </w:rPr>
        <w:t>u Protoc</w:t>
      </w:r>
      <w:r w:rsidR="009547AA">
        <w:rPr>
          <w:lang w:bidi="fr-FR"/>
        </w:rPr>
        <w:t xml:space="preserve">ole de Cartagena </w:t>
      </w:r>
      <w:r w:rsidR="00FB3B7C">
        <w:rPr>
          <w:lang w:bidi="fr-FR"/>
        </w:rPr>
        <w:t>ci-après y ont participé</w:t>
      </w:r>
      <w:r w:rsidR="009547AA">
        <w:rPr>
          <w:lang w:bidi="fr-FR"/>
        </w:rPr>
        <w:t> :</w:t>
      </w:r>
    </w:p>
    <w:p w14:paraId="6C8244E9" w14:textId="77777777" w:rsidR="00175565" w:rsidRDefault="00175565" w:rsidP="00175565">
      <w:pPr>
        <w:pStyle w:val="Para1"/>
        <w:numPr>
          <w:ilvl w:val="0"/>
          <w:numId w:val="0"/>
        </w:numPr>
        <w:sectPr w:rsidR="00175565" w:rsidSect="00F26166">
          <w:headerReference w:type="even" r:id="rId36"/>
          <w:headerReference w:type="default" r:id="rId37"/>
          <w:footerReference w:type="even" r:id="rId38"/>
          <w:footerReference w:type="first" r:id="rId39"/>
          <w:type w:val="continuous"/>
          <w:pgSz w:w="12240" w:h="15840" w:code="1"/>
          <w:pgMar w:top="1021" w:right="1440" w:bottom="1134" w:left="1440" w:header="459" w:footer="720" w:gutter="0"/>
          <w:cols w:space="720"/>
          <w:titlePg/>
          <w:docGrid w:linePitch="299"/>
        </w:sectPr>
      </w:pPr>
    </w:p>
    <w:p w14:paraId="7204EF28" w14:textId="77777777" w:rsidR="00797F09" w:rsidRPr="00175565" w:rsidRDefault="00797F09" w:rsidP="00A84459">
      <w:pPr>
        <w:jc w:val="left"/>
        <w:rPr>
          <w:rFonts w:cs="Times New Roman"/>
          <w:snapToGrid w:val="0"/>
          <w:kern w:val="22"/>
          <w:szCs w:val="22"/>
        </w:rPr>
      </w:pPr>
      <w:r w:rsidRPr="00175565">
        <w:rPr>
          <w:rFonts w:cs="Times New Roman"/>
          <w:snapToGrid w:val="0"/>
          <w:kern w:val="22"/>
          <w:szCs w:val="22"/>
        </w:rPr>
        <w:t>Afghanistan</w:t>
      </w:r>
    </w:p>
    <w:p w14:paraId="4257B5B6"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Afrique du Sud</w:t>
      </w:r>
    </w:p>
    <w:p w14:paraId="39E2DB6A"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Albanie</w:t>
      </w:r>
    </w:p>
    <w:p w14:paraId="4F08323F"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Algérie</w:t>
      </w:r>
    </w:p>
    <w:p w14:paraId="087C7255"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Allemagne</w:t>
      </w:r>
    </w:p>
    <w:p w14:paraId="293AD962"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Angola</w:t>
      </w:r>
    </w:p>
    <w:p w14:paraId="51B24869"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Antigua-et-</w:t>
      </w:r>
      <w:r w:rsidRPr="00175565">
        <w:rPr>
          <w:rFonts w:cs="Times New Roman"/>
          <w:snapToGrid w:val="0"/>
          <w:kern w:val="22"/>
          <w:szCs w:val="22"/>
        </w:rPr>
        <w:t>Barbuda</w:t>
      </w:r>
    </w:p>
    <w:p w14:paraId="3F90CCBF"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Arabie saoudite</w:t>
      </w:r>
    </w:p>
    <w:p w14:paraId="310B84BE"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Arménie</w:t>
      </w:r>
    </w:p>
    <w:p w14:paraId="21F04032"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Autriche</w:t>
      </w:r>
    </w:p>
    <w:p w14:paraId="18DB8978"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Azerba</w:t>
      </w:r>
      <w:r>
        <w:rPr>
          <w:rFonts w:cs="Times New Roman"/>
          <w:snapToGrid w:val="0"/>
          <w:kern w:val="22"/>
          <w:szCs w:val="22"/>
        </w:rPr>
        <w:t>ï</w:t>
      </w:r>
      <w:r w:rsidRPr="00797F09">
        <w:rPr>
          <w:rFonts w:cs="Times New Roman"/>
          <w:snapToGrid w:val="0"/>
          <w:kern w:val="22"/>
          <w:szCs w:val="22"/>
        </w:rPr>
        <w:t>d</w:t>
      </w:r>
      <w:r w:rsidRPr="00175565">
        <w:rPr>
          <w:rFonts w:cs="Times New Roman"/>
          <w:snapToGrid w:val="0"/>
          <w:kern w:val="22"/>
          <w:szCs w:val="22"/>
        </w:rPr>
        <w:t>jan</w:t>
      </w:r>
    </w:p>
    <w:p w14:paraId="39358920"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Bahreï</w:t>
      </w:r>
      <w:r w:rsidRPr="00175565">
        <w:rPr>
          <w:rFonts w:cs="Times New Roman"/>
          <w:snapToGrid w:val="0"/>
          <w:kern w:val="22"/>
          <w:szCs w:val="22"/>
        </w:rPr>
        <w:t>n</w:t>
      </w:r>
    </w:p>
    <w:p w14:paraId="55DA63DF"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Bangladesh</w:t>
      </w:r>
    </w:p>
    <w:p w14:paraId="36363449"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Belarus</w:t>
      </w:r>
    </w:p>
    <w:p w14:paraId="588098EE"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Belgique</w:t>
      </w:r>
    </w:p>
    <w:p w14:paraId="5877B614"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Belize</w:t>
      </w:r>
    </w:p>
    <w:p w14:paraId="03911262"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Bé</w:t>
      </w:r>
      <w:r w:rsidRPr="00175565">
        <w:rPr>
          <w:rFonts w:cs="Times New Roman"/>
          <w:snapToGrid w:val="0"/>
          <w:kern w:val="22"/>
          <w:szCs w:val="22"/>
        </w:rPr>
        <w:t>nin</w:t>
      </w:r>
    </w:p>
    <w:p w14:paraId="6F7AE967"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Bh</w:t>
      </w:r>
      <w:r w:rsidRPr="00797F09">
        <w:rPr>
          <w:rFonts w:cs="Times New Roman"/>
          <w:snapToGrid w:val="0"/>
          <w:kern w:val="22"/>
          <w:szCs w:val="22"/>
        </w:rPr>
        <w:t>o</w:t>
      </w:r>
      <w:r w:rsidRPr="00175565">
        <w:rPr>
          <w:rFonts w:cs="Times New Roman"/>
          <w:snapToGrid w:val="0"/>
          <w:kern w:val="22"/>
          <w:szCs w:val="22"/>
        </w:rPr>
        <w:t>utan</w:t>
      </w:r>
    </w:p>
    <w:p w14:paraId="59591046"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Bolivie (Etat plurinational de</w:t>
      </w:r>
      <w:r w:rsidRPr="00175565">
        <w:rPr>
          <w:rFonts w:cs="Times New Roman"/>
          <w:snapToGrid w:val="0"/>
          <w:kern w:val="22"/>
          <w:szCs w:val="22"/>
        </w:rPr>
        <w:t>)</w:t>
      </w:r>
    </w:p>
    <w:p w14:paraId="48D23102"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Bosnie-et-Herzégovine</w:t>
      </w:r>
    </w:p>
    <w:p w14:paraId="42AF02ED"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Botswana</w:t>
      </w:r>
    </w:p>
    <w:p w14:paraId="4F1018D6"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Brés</w:t>
      </w:r>
      <w:r w:rsidRPr="00175565">
        <w:rPr>
          <w:rFonts w:cs="Times New Roman"/>
          <w:snapToGrid w:val="0"/>
          <w:kern w:val="22"/>
          <w:szCs w:val="22"/>
        </w:rPr>
        <w:t>il</w:t>
      </w:r>
    </w:p>
    <w:p w14:paraId="3795A24F"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Bulgarie</w:t>
      </w:r>
    </w:p>
    <w:p w14:paraId="02807F01" w14:textId="77777777" w:rsidR="00797F09" w:rsidRPr="00175565" w:rsidRDefault="00797F09" w:rsidP="00175565">
      <w:pPr>
        <w:ind w:left="142" w:hanging="142"/>
        <w:jc w:val="left"/>
        <w:rPr>
          <w:rFonts w:cs="Times New Roman"/>
          <w:snapToGrid w:val="0"/>
          <w:kern w:val="22"/>
          <w:szCs w:val="22"/>
          <w:lang w:val="en-GB"/>
        </w:rPr>
      </w:pPr>
      <w:r w:rsidRPr="00175565">
        <w:rPr>
          <w:rFonts w:cs="Times New Roman"/>
          <w:snapToGrid w:val="0"/>
          <w:kern w:val="22"/>
          <w:szCs w:val="22"/>
          <w:lang w:val="en-GB"/>
        </w:rPr>
        <w:t>Burkina Faso</w:t>
      </w:r>
    </w:p>
    <w:p w14:paraId="1694F5B9" w14:textId="77777777" w:rsidR="00797F09" w:rsidRPr="00175565" w:rsidRDefault="00797F09" w:rsidP="00175565">
      <w:pPr>
        <w:ind w:left="142" w:hanging="142"/>
        <w:jc w:val="left"/>
        <w:rPr>
          <w:rFonts w:cs="Times New Roman"/>
          <w:snapToGrid w:val="0"/>
          <w:kern w:val="22"/>
          <w:szCs w:val="22"/>
          <w:lang w:val="en-GB"/>
        </w:rPr>
      </w:pPr>
      <w:r w:rsidRPr="00175565">
        <w:rPr>
          <w:rFonts w:cs="Times New Roman"/>
          <w:snapToGrid w:val="0"/>
          <w:kern w:val="22"/>
          <w:szCs w:val="22"/>
          <w:lang w:val="en-GB"/>
        </w:rPr>
        <w:t>Burundi</w:t>
      </w:r>
    </w:p>
    <w:p w14:paraId="6BA38210" w14:textId="77777777" w:rsidR="00797F09" w:rsidRPr="00175565" w:rsidRDefault="00797F09" w:rsidP="00175565">
      <w:pPr>
        <w:ind w:left="142" w:hanging="142"/>
        <w:jc w:val="left"/>
        <w:rPr>
          <w:rFonts w:cs="Times New Roman"/>
          <w:snapToGrid w:val="0"/>
          <w:kern w:val="22"/>
          <w:szCs w:val="22"/>
          <w:lang w:val="en-GB"/>
        </w:rPr>
      </w:pPr>
      <w:r w:rsidRPr="00175565">
        <w:rPr>
          <w:rFonts w:cs="Times New Roman"/>
          <w:snapToGrid w:val="0"/>
          <w:kern w:val="22"/>
          <w:szCs w:val="22"/>
          <w:lang w:val="en-GB"/>
        </w:rPr>
        <w:t>Cabo Verde</w:t>
      </w:r>
    </w:p>
    <w:p w14:paraId="7AC19812" w14:textId="77777777" w:rsidR="00797F09" w:rsidRPr="00FB3B7C" w:rsidRDefault="00797F09" w:rsidP="00175565">
      <w:pPr>
        <w:ind w:left="142" w:hanging="142"/>
        <w:jc w:val="left"/>
        <w:rPr>
          <w:rFonts w:cs="Times New Roman"/>
          <w:snapToGrid w:val="0"/>
          <w:kern w:val="22"/>
          <w:szCs w:val="22"/>
          <w:lang w:val="en-AU"/>
        </w:rPr>
      </w:pPr>
      <w:r w:rsidRPr="00FB3B7C">
        <w:rPr>
          <w:rFonts w:cs="Times New Roman"/>
          <w:snapToGrid w:val="0"/>
          <w:kern w:val="22"/>
          <w:szCs w:val="22"/>
          <w:lang w:val="en-AU"/>
        </w:rPr>
        <w:t>Cambodge</w:t>
      </w:r>
    </w:p>
    <w:p w14:paraId="6FF3D8E8"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Camerou</w:t>
      </w:r>
      <w:r w:rsidRPr="00175565">
        <w:rPr>
          <w:rFonts w:cs="Times New Roman"/>
          <w:snapToGrid w:val="0"/>
          <w:kern w:val="22"/>
          <w:szCs w:val="22"/>
        </w:rPr>
        <w:t>n</w:t>
      </w:r>
    </w:p>
    <w:p w14:paraId="78D52B8C"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Chine</w:t>
      </w:r>
    </w:p>
    <w:p w14:paraId="24F49006"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Chypre</w:t>
      </w:r>
    </w:p>
    <w:p w14:paraId="5545FAE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Colombie</w:t>
      </w:r>
    </w:p>
    <w:p w14:paraId="78B6C5F4"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Comore</w:t>
      </w:r>
      <w:r w:rsidRPr="00175565">
        <w:rPr>
          <w:rFonts w:cs="Times New Roman"/>
          <w:snapToGrid w:val="0"/>
          <w:kern w:val="22"/>
          <w:szCs w:val="22"/>
        </w:rPr>
        <w:t>s</w:t>
      </w:r>
    </w:p>
    <w:p w14:paraId="16D52CA3"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Congo</w:t>
      </w:r>
    </w:p>
    <w:p w14:paraId="0B1E1A99"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Costa Rica</w:t>
      </w:r>
    </w:p>
    <w:p w14:paraId="1CEF0799"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Côte d'Ivoire</w:t>
      </w:r>
    </w:p>
    <w:p w14:paraId="19032BE9"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Croatie</w:t>
      </w:r>
    </w:p>
    <w:p w14:paraId="29B84D62"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Cuba</w:t>
      </w:r>
    </w:p>
    <w:p w14:paraId="1E7D63DF"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Danemark</w:t>
      </w:r>
    </w:p>
    <w:p w14:paraId="4B6D2F7D"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Djibouti</w:t>
      </w:r>
    </w:p>
    <w:p w14:paraId="36C3A135"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Egypte</w:t>
      </w:r>
    </w:p>
    <w:p w14:paraId="0A0C3D15"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El Salvador</w:t>
      </w:r>
    </w:p>
    <w:p w14:paraId="12900568"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Emirat</w:t>
      </w:r>
      <w:r w:rsidRPr="00175565">
        <w:rPr>
          <w:rFonts w:cs="Times New Roman"/>
          <w:snapToGrid w:val="0"/>
          <w:kern w:val="22"/>
          <w:szCs w:val="22"/>
        </w:rPr>
        <w:t>s</w:t>
      </w:r>
      <w:r w:rsidRPr="00797F09">
        <w:rPr>
          <w:rFonts w:cs="Times New Roman"/>
          <w:snapToGrid w:val="0"/>
          <w:kern w:val="22"/>
          <w:szCs w:val="22"/>
        </w:rPr>
        <w:t xml:space="preserve"> arabes unis</w:t>
      </w:r>
    </w:p>
    <w:p w14:paraId="3A2C11CA"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Equateu</w:t>
      </w:r>
      <w:r w:rsidRPr="00175565">
        <w:rPr>
          <w:rFonts w:cs="Times New Roman"/>
          <w:snapToGrid w:val="0"/>
          <w:kern w:val="22"/>
          <w:szCs w:val="22"/>
        </w:rPr>
        <w:t>r</w:t>
      </w:r>
    </w:p>
    <w:p w14:paraId="47B3564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Erythrée</w:t>
      </w:r>
    </w:p>
    <w:p w14:paraId="4601270D"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Espagne</w:t>
      </w:r>
    </w:p>
    <w:p w14:paraId="3543E7FA"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Estonie</w:t>
      </w:r>
    </w:p>
    <w:p w14:paraId="09273BE3"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Eswatini</w:t>
      </w:r>
    </w:p>
    <w:p w14:paraId="413133AE"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 xml:space="preserve">Etat de </w:t>
      </w:r>
      <w:r w:rsidRPr="00175565">
        <w:rPr>
          <w:rFonts w:cs="Times New Roman"/>
          <w:snapToGrid w:val="0"/>
          <w:kern w:val="22"/>
          <w:szCs w:val="22"/>
        </w:rPr>
        <w:t>Palestine</w:t>
      </w:r>
    </w:p>
    <w:p w14:paraId="1798673D"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Ethiopie</w:t>
      </w:r>
    </w:p>
    <w:p w14:paraId="4CBD5E82"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Fi</w:t>
      </w:r>
      <w:r w:rsidRPr="00797F09">
        <w:rPr>
          <w:rFonts w:cs="Times New Roman"/>
          <w:snapToGrid w:val="0"/>
          <w:kern w:val="22"/>
          <w:szCs w:val="22"/>
        </w:rPr>
        <w:t>d</w:t>
      </w:r>
      <w:r w:rsidRPr="00175565">
        <w:rPr>
          <w:rFonts w:cs="Times New Roman"/>
          <w:snapToGrid w:val="0"/>
          <w:kern w:val="22"/>
          <w:szCs w:val="22"/>
        </w:rPr>
        <w:t>ji</w:t>
      </w:r>
    </w:p>
    <w:p w14:paraId="17DF88C8"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Finland</w:t>
      </w:r>
      <w:r w:rsidRPr="00797F09">
        <w:rPr>
          <w:rFonts w:cs="Times New Roman"/>
          <w:snapToGrid w:val="0"/>
          <w:kern w:val="22"/>
          <w:szCs w:val="22"/>
        </w:rPr>
        <w:t>e</w:t>
      </w:r>
    </w:p>
    <w:p w14:paraId="758F152E"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France</w:t>
      </w:r>
    </w:p>
    <w:p w14:paraId="0D2C6C37"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Gabon</w:t>
      </w:r>
    </w:p>
    <w:p w14:paraId="7C404009"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Gambie</w:t>
      </w:r>
    </w:p>
    <w:p w14:paraId="47E5931A" w14:textId="778BBB50" w:rsidR="00797F09" w:rsidRPr="00175565" w:rsidRDefault="002F0B9E" w:rsidP="00175565">
      <w:pPr>
        <w:ind w:left="142" w:hanging="142"/>
        <w:jc w:val="left"/>
        <w:rPr>
          <w:rFonts w:cs="Times New Roman"/>
          <w:snapToGrid w:val="0"/>
          <w:kern w:val="22"/>
          <w:szCs w:val="22"/>
        </w:rPr>
      </w:pPr>
      <w:r w:rsidRPr="00797F09">
        <w:rPr>
          <w:rFonts w:cs="Times New Roman"/>
          <w:snapToGrid w:val="0"/>
          <w:kern w:val="22"/>
          <w:szCs w:val="22"/>
        </w:rPr>
        <w:t>Géorgie</w:t>
      </w:r>
    </w:p>
    <w:p w14:paraId="4D4933C5"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Ghana</w:t>
      </w:r>
    </w:p>
    <w:p w14:paraId="0C53F8EB"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Grè</w:t>
      </w:r>
      <w:r w:rsidRPr="00175565">
        <w:rPr>
          <w:rFonts w:cs="Times New Roman"/>
          <w:snapToGrid w:val="0"/>
          <w:kern w:val="22"/>
          <w:szCs w:val="22"/>
        </w:rPr>
        <w:t>ce</w:t>
      </w:r>
    </w:p>
    <w:p w14:paraId="0C80F583"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Grenada</w:t>
      </w:r>
    </w:p>
    <w:p w14:paraId="4A576786"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Guatemala</w:t>
      </w:r>
    </w:p>
    <w:p w14:paraId="162B5DB8"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Guin</w:t>
      </w:r>
      <w:r w:rsidRPr="00797F09">
        <w:rPr>
          <w:rFonts w:cs="Times New Roman"/>
          <w:snapToGrid w:val="0"/>
          <w:kern w:val="22"/>
          <w:szCs w:val="22"/>
        </w:rPr>
        <w:t>ée</w:t>
      </w:r>
    </w:p>
    <w:p w14:paraId="18B70DC0"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Guin</w:t>
      </w:r>
      <w:r w:rsidRPr="00797F09">
        <w:rPr>
          <w:rFonts w:cs="Times New Roman"/>
          <w:snapToGrid w:val="0"/>
          <w:kern w:val="22"/>
          <w:szCs w:val="22"/>
        </w:rPr>
        <w:t>ée</w:t>
      </w:r>
      <w:r w:rsidRPr="00175565">
        <w:rPr>
          <w:rFonts w:cs="Times New Roman"/>
          <w:snapToGrid w:val="0"/>
          <w:kern w:val="22"/>
          <w:szCs w:val="22"/>
        </w:rPr>
        <w:t>-Bissau</w:t>
      </w:r>
    </w:p>
    <w:p w14:paraId="4197312D"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Guyana</w:t>
      </w:r>
    </w:p>
    <w:p w14:paraId="60466E8D"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Honduras</w:t>
      </w:r>
    </w:p>
    <w:p w14:paraId="2D0023E5" w14:textId="6C025FDE" w:rsidR="00797F09" w:rsidRPr="00175565" w:rsidRDefault="00797F09" w:rsidP="00AA51F9">
      <w:pPr>
        <w:ind w:left="142" w:hanging="142"/>
        <w:jc w:val="left"/>
        <w:rPr>
          <w:rFonts w:cs="Times New Roman"/>
          <w:snapToGrid w:val="0"/>
          <w:kern w:val="22"/>
          <w:szCs w:val="22"/>
        </w:rPr>
      </w:pPr>
      <w:r w:rsidRPr="00797F09">
        <w:rPr>
          <w:rFonts w:cs="Times New Roman"/>
          <w:snapToGrid w:val="0"/>
          <w:kern w:val="22"/>
          <w:szCs w:val="22"/>
        </w:rPr>
        <w:t>Hongrie</w:t>
      </w:r>
    </w:p>
    <w:p w14:paraId="796DDEE1"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Iles Marshall</w:t>
      </w:r>
    </w:p>
    <w:p w14:paraId="070C640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Iles Salomon</w:t>
      </w:r>
    </w:p>
    <w:p w14:paraId="01658DC0"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Inde</w:t>
      </w:r>
    </w:p>
    <w:p w14:paraId="2FFBBD3E"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Indonésie</w:t>
      </w:r>
    </w:p>
    <w:p w14:paraId="6797B9BB"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Irak</w:t>
      </w:r>
    </w:p>
    <w:p w14:paraId="42BD27D8"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Iran (République islamique</w:t>
      </w:r>
      <w:r>
        <w:rPr>
          <w:rFonts w:cs="Times New Roman"/>
          <w:snapToGrid w:val="0"/>
          <w:kern w:val="22"/>
          <w:szCs w:val="22"/>
        </w:rPr>
        <w:t xml:space="preserve"> d’</w:t>
      </w:r>
      <w:r w:rsidRPr="00175565">
        <w:rPr>
          <w:rFonts w:cs="Times New Roman"/>
          <w:snapToGrid w:val="0"/>
          <w:kern w:val="22"/>
          <w:szCs w:val="22"/>
        </w:rPr>
        <w:t>)</w:t>
      </w:r>
    </w:p>
    <w:p w14:paraId="6DAE50A6"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Ir</w:t>
      </w:r>
      <w:r w:rsidRPr="00175565">
        <w:rPr>
          <w:rFonts w:cs="Times New Roman"/>
          <w:snapToGrid w:val="0"/>
          <w:kern w:val="22"/>
          <w:szCs w:val="22"/>
        </w:rPr>
        <w:t>land</w:t>
      </w:r>
      <w:r>
        <w:rPr>
          <w:rFonts w:cs="Times New Roman"/>
          <w:snapToGrid w:val="0"/>
          <w:kern w:val="22"/>
          <w:szCs w:val="22"/>
        </w:rPr>
        <w:t>e</w:t>
      </w:r>
    </w:p>
    <w:p w14:paraId="5358DF93"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Italie</w:t>
      </w:r>
    </w:p>
    <w:p w14:paraId="1385DA34"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Jamaïque</w:t>
      </w:r>
    </w:p>
    <w:p w14:paraId="1110C187"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Japo</w:t>
      </w:r>
      <w:r w:rsidRPr="00175565">
        <w:rPr>
          <w:rFonts w:cs="Times New Roman"/>
          <w:snapToGrid w:val="0"/>
          <w:kern w:val="22"/>
          <w:szCs w:val="22"/>
        </w:rPr>
        <w:t>n</w:t>
      </w:r>
    </w:p>
    <w:p w14:paraId="4ADD1A34"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Jordan</w:t>
      </w:r>
      <w:r>
        <w:rPr>
          <w:rFonts w:cs="Times New Roman"/>
          <w:snapToGrid w:val="0"/>
          <w:kern w:val="22"/>
          <w:szCs w:val="22"/>
        </w:rPr>
        <w:t>ie</w:t>
      </w:r>
    </w:p>
    <w:p w14:paraId="1F4325A5"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Kenya</w:t>
      </w:r>
    </w:p>
    <w:p w14:paraId="6E07DBDE"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Ki</w:t>
      </w:r>
      <w:r w:rsidRPr="00175565">
        <w:rPr>
          <w:rFonts w:cs="Times New Roman"/>
          <w:snapToGrid w:val="0"/>
          <w:kern w:val="22"/>
          <w:szCs w:val="22"/>
        </w:rPr>
        <w:t>rg</w:t>
      </w:r>
      <w:r w:rsidRPr="00797F09">
        <w:rPr>
          <w:rFonts w:cs="Times New Roman"/>
          <w:snapToGrid w:val="0"/>
          <w:kern w:val="22"/>
          <w:szCs w:val="22"/>
        </w:rPr>
        <w:t>hi</w:t>
      </w:r>
      <w:r w:rsidRPr="00175565">
        <w:rPr>
          <w:rFonts w:cs="Times New Roman"/>
          <w:snapToGrid w:val="0"/>
          <w:kern w:val="22"/>
          <w:szCs w:val="22"/>
        </w:rPr>
        <w:t>z</w:t>
      </w:r>
      <w:r w:rsidRPr="00797F09">
        <w:rPr>
          <w:rFonts w:cs="Times New Roman"/>
          <w:snapToGrid w:val="0"/>
          <w:kern w:val="22"/>
          <w:szCs w:val="22"/>
        </w:rPr>
        <w:t>i</w:t>
      </w:r>
      <w:r w:rsidRPr="00175565">
        <w:rPr>
          <w:rFonts w:cs="Times New Roman"/>
          <w:snapToGrid w:val="0"/>
          <w:kern w:val="22"/>
          <w:szCs w:val="22"/>
        </w:rPr>
        <w:t>stan</w:t>
      </w:r>
    </w:p>
    <w:p w14:paraId="3E8AC4F1"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Kiribati</w:t>
      </w:r>
    </w:p>
    <w:p w14:paraId="6CB21D9A" w14:textId="565C8F63"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Ko</w:t>
      </w:r>
      <w:r w:rsidR="00C70AFF">
        <w:rPr>
          <w:rFonts w:cs="Times New Roman"/>
          <w:snapToGrid w:val="0"/>
          <w:kern w:val="22"/>
          <w:szCs w:val="22"/>
        </w:rPr>
        <w:t>weï</w:t>
      </w:r>
      <w:r w:rsidR="00C70AFF" w:rsidRPr="00175565">
        <w:rPr>
          <w:rFonts w:cs="Times New Roman"/>
          <w:snapToGrid w:val="0"/>
          <w:kern w:val="22"/>
          <w:szCs w:val="22"/>
        </w:rPr>
        <w:t>t</w:t>
      </w:r>
    </w:p>
    <w:p w14:paraId="082684CD"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Lesotho</w:t>
      </w:r>
    </w:p>
    <w:p w14:paraId="48C156A8"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Lettonie</w:t>
      </w:r>
    </w:p>
    <w:p w14:paraId="3C264EFC"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Liban</w:t>
      </w:r>
    </w:p>
    <w:p w14:paraId="24B0FF3A"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Liberia</w:t>
      </w:r>
    </w:p>
    <w:p w14:paraId="353C1A34"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Libye</w:t>
      </w:r>
    </w:p>
    <w:p w14:paraId="5DC61754"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Lituanie</w:t>
      </w:r>
    </w:p>
    <w:p w14:paraId="1379D493"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Luxembourg</w:t>
      </w:r>
    </w:p>
    <w:p w14:paraId="43DCC3D3"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Madagascar</w:t>
      </w:r>
    </w:p>
    <w:p w14:paraId="075146E1" w14:textId="77777777" w:rsidR="00797F09" w:rsidRPr="00175565" w:rsidRDefault="00797F09" w:rsidP="00175565">
      <w:pPr>
        <w:ind w:left="142" w:hanging="142"/>
        <w:jc w:val="left"/>
        <w:rPr>
          <w:rFonts w:cs="Times New Roman"/>
          <w:snapToGrid w:val="0"/>
          <w:kern w:val="22"/>
          <w:szCs w:val="22"/>
        </w:rPr>
      </w:pPr>
      <w:r>
        <w:rPr>
          <w:rFonts w:cs="Times New Roman"/>
          <w:snapToGrid w:val="0"/>
          <w:kern w:val="22"/>
          <w:szCs w:val="22"/>
        </w:rPr>
        <w:t>Malaisie</w:t>
      </w:r>
    </w:p>
    <w:p w14:paraId="5418D551"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Malawi</w:t>
      </w:r>
    </w:p>
    <w:p w14:paraId="57BC6B60"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Maldives</w:t>
      </w:r>
    </w:p>
    <w:p w14:paraId="727031BD"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Mali</w:t>
      </w:r>
    </w:p>
    <w:p w14:paraId="55312721"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Malta</w:t>
      </w:r>
    </w:p>
    <w:p w14:paraId="59B70669"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Maroc</w:t>
      </w:r>
    </w:p>
    <w:p w14:paraId="5D7DD9C9"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Maurice</w:t>
      </w:r>
    </w:p>
    <w:p w14:paraId="4018E696"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Mauritanie</w:t>
      </w:r>
    </w:p>
    <w:p w14:paraId="1652D7EB"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Mexique</w:t>
      </w:r>
    </w:p>
    <w:p w14:paraId="03321A88"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Mongolie</w:t>
      </w:r>
    </w:p>
    <w:p w14:paraId="343083D0"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Mozambique</w:t>
      </w:r>
    </w:p>
    <w:p w14:paraId="443D8314"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Myanmar</w:t>
      </w:r>
    </w:p>
    <w:p w14:paraId="06DA6FCF"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Namibie</w:t>
      </w:r>
    </w:p>
    <w:p w14:paraId="05000E00"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Nicaragua</w:t>
      </w:r>
    </w:p>
    <w:p w14:paraId="6E25D982"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Niger</w:t>
      </w:r>
    </w:p>
    <w:p w14:paraId="3D164351"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Nigeria</w:t>
      </w:r>
    </w:p>
    <w:p w14:paraId="1A215444"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Norvège</w:t>
      </w:r>
    </w:p>
    <w:p w14:paraId="0BAA8661"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Nouvelle-Zé</w:t>
      </w:r>
      <w:r w:rsidRPr="00175565">
        <w:rPr>
          <w:rFonts w:cs="Times New Roman"/>
          <w:snapToGrid w:val="0"/>
          <w:kern w:val="22"/>
          <w:szCs w:val="22"/>
        </w:rPr>
        <w:t>land</w:t>
      </w:r>
      <w:r w:rsidRPr="00797F09">
        <w:rPr>
          <w:rFonts w:cs="Times New Roman"/>
          <w:snapToGrid w:val="0"/>
          <w:kern w:val="22"/>
          <w:szCs w:val="22"/>
        </w:rPr>
        <w:t>e</w:t>
      </w:r>
    </w:p>
    <w:p w14:paraId="27F1EA44"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Oman</w:t>
      </w:r>
    </w:p>
    <w:p w14:paraId="06B500EF"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lastRenderedPageBreak/>
        <w:t>Ou</w:t>
      </w:r>
      <w:r w:rsidRPr="00175565">
        <w:rPr>
          <w:rFonts w:cs="Times New Roman"/>
          <w:snapToGrid w:val="0"/>
          <w:kern w:val="22"/>
          <w:szCs w:val="22"/>
        </w:rPr>
        <w:t>ganda</w:t>
      </w:r>
    </w:p>
    <w:p w14:paraId="68F17636"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Palaos</w:t>
      </w:r>
    </w:p>
    <w:p w14:paraId="1250E7F6"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Panama</w:t>
      </w:r>
    </w:p>
    <w:p w14:paraId="44DF82E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Papouasie Nouvelle Guinée</w:t>
      </w:r>
    </w:p>
    <w:p w14:paraId="4DAD12FC"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Paraguay</w:t>
      </w:r>
    </w:p>
    <w:p w14:paraId="03BE2332"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Pays-Bas</w:t>
      </w:r>
    </w:p>
    <w:p w14:paraId="3058D9E1"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Pé</w:t>
      </w:r>
      <w:r w:rsidRPr="00175565">
        <w:rPr>
          <w:rFonts w:cs="Times New Roman"/>
          <w:snapToGrid w:val="0"/>
          <w:kern w:val="22"/>
          <w:szCs w:val="22"/>
        </w:rPr>
        <w:t>r</w:t>
      </w:r>
      <w:r w:rsidRPr="00797F09">
        <w:rPr>
          <w:rFonts w:cs="Times New Roman"/>
          <w:snapToGrid w:val="0"/>
          <w:kern w:val="22"/>
          <w:szCs w:val="22"/>
        </w:rPr>
        <w:t>o</w:t>
      </w:r>
      <w:r w:rsidRPr="00175565">
        <w:rPr>
          <w:rFonts w:cs="Times New Roman"/>
          <w:snapToGrid w:val="0"/>
          <w:kern w:val="22"/>
          <w:szCs w:val="22"/>
        </w:rPr>
        <w:t>u</w:t>
      </w:r>
    </w:p>
    <w:p w14:paraId="5BAB66BA"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Philippines</w:t>
      </w:r>
    </w:p>
    <w:p w14:paraId="5990CD2D"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Pologne</w:t>
      </w:r>
    </w:p>
    <w:p w14:paraId="231C2EDC"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Portugal</w:t>
      </w:r>
    </w:p>
    <w:p w14:paraId="0B3E7CE6"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Qatar</w:t>
      </w:r>
    </w:p>
    <w:p w14:paraId="774A484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 arabe syrienne</w:t>
      </w:r>
    </w:p>
    <w:p w14:paraId="77C321D4"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 centrafricaine</w:t>
      </w:r>
    </w:p>
    <w:p w14:paraId="13F5CD0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 de C</w:t>
      </w:r>
      <w:r w:rsidRPr="00175565">
        <w:rPr>
          <w:rFonts w:cs="Times New Roman"/>
          <w:snapToGrid w:val="0"/>
          <w:kern w:val="22"/>
          <w:szCs w:val="22"/>
        </w:rPr>
        <w:t>or</w:t>
      </w:r>
      <w:r w:rsidRPr="00797F09">
        <w:rPr>
          <w:rFonts w:cs="Times New Roman"/>
          <w:snapToGrid w:val="0"/>
          <w:kern w:val="22"/>
          <w:szCs w:val="22"/>
        </w:rPr>
        <w:t>ée</w:t>
      </w:r>
    </w:p>
    <w:p w14:paraId="57C69D77"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 de</w:t>
      </w:r>
      <w:r w:rsidRPr="00175565">
        <w:rPr>
          <w:rFonts w:cs="Times New Roman"/>
          <w:snapToGrid w:val="0"/>
          <w:kern w:val="22"/>
          <w:szCs w:val="22"/>
        </w:rPr>
        <w:t xml:space="preserve"> Moldova</w:t>
      </w:r>
    </w:p>
    <w:p w14:paraId="7993D2F7"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 xml:space="preserve">République démocratique du </w:t>
      </w:r>
      <w:r w:rsidRPr="00175565">
        <w:rPr>
          <w:rFonts w:cs="Times New Roman"/>
          <w:snapToGrid w:val="0"/>
          <w:kern w:val="22"/>
          <w:szCs w:val="22"/>
        </w:rPr>
        <w:t>Congo</w:t>
      </w:r>
    </w:p>
    <w:p w14:paraId="37114DC9"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 démocratique populaire de C</w:t>
      </w:r>
      <w:r w:rsidRPr="00175565">
        <w:rPr>
          <w:rFonts w:cs="Times New Roman"/>
          <w:snapToGrid w:val="0"/>
          <w:kern w:val="22"/>
          <w:szCs w:val="22"/>
        </w:rPr>
        <w:t>or</w:t>
      </w:r>
      <w:r w:rsidRPr="00797F09">
        <w:rPr>
          <w:rFonts w:cs="Times New Roman"/>
          <w:snapToGrid w:val="0"/>
          <w:kern w:val="22"/>
          <w:szCs w:val="22"/>
        </w:rPr>
        <w:t>ée</w:t>
      </w:r>
    </w:p>
    <w:p w14:paraId="2DE1DBD5"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 démocratique populaire Lao</w:t>
      </w:r>
    </w:p>
    <w:p w14:paraId="4CBB3C9D"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 dominicaine</w:t>
      </w:r>
    </w:p>
    <w:p w14:paraId="64A17CA8" w14:textId="77777777" w:rsidR="00FB3B7C" w:rsidRPr="00B27A4B" w:rsidRDefault="00FB3B7C" w:rsidP="00FB3B7C">
      <w:pPr>
        <w:ind w:left="142" w:hanging="142"/>
        <w:jc w:val="left"/>
        <w:rPr>
          <w:rFonts w:cs="Times New Roman"/>
          <w:snapToGrid w:val="0"/>
          <w:kern w:val="22"/>
          <w:szCs w:val="22"/>
        </w:rPr>
      </w:pPr>
      <w:r w:rsidRPr="00B27A4B">
        <w:rPr>
          <w:rFonts w:cs="Times New Roman"/>
          <w:snapToGrid w:val="0"/>
          <w:kern w:val="22"/>
          <w:szCs w:val="22"/>
        </w:rPr>
        <w:t>République tchèque</w:t>
      </w:r>
    </w:p>
    <w:p w14:paraId="461142C1"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République-Unie de Tanzanie</w:t>
      </w:r>
    </w:p>
    <w:p w14:paraId="1F3AB949"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Ro</w:t>
      </w:r>
      <w:r w:rsidRPr="00797F09">
        <w:rPr>
          <w:rFonts w:cs="Times New Roman"/>
          <w:snapToGrid w:val="0"/>
          <w:kern w:val="22"/>
          <w:szCs w:val="22"/>
        </w:rPr>
        <w:t>umanie</w:t>
      </w:r>
    </w:p>
    <w:p w14:paraId="2AE2F0D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Royaume-Uni</w:t>
      </w:r>
      <w:r w:rsidRPr="00175565">
        <w:rPr>
          <w:rFonts w:cs="Times New Roman"/>
          <w:snapToGrid w:val="0"/>
          <w:kern w:val="22"/>
          <w:szCs w:val="22"/>
        </w:rPr>
        <w:t xml:space="preserve"> </w:t>
      </w:r>
      <w:r w:rsidRPr="00797F09">
        <w:rPr>
          <w:rFonts w:cs="Times New Roman"/>
          <w:snapToGrid w:val="0"/>
          <w:kern w:val="22"/>
          <w:szCs w:val="22"/>
        </w:rPr>
        <w:t>de Grande-Bretagne et d’Irlande du Nord</w:t>
      </w:r>
    </w:p>
    <w:p w14:paraId="5F3D972E"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Rwanda</w:t>
      </w:r>
    </w:p>
    <w:p w14:paraId="58DDB952" w14:textId="70A3C818" w:rsidR="00797F09" w:rsidRPr="00175565" w:rsidRDefault="00C70AFF" w:rsidP="00175565">
      <w:pPr>
        <w:ind w:left="142" w:hanging="142"/>
        <w:jc w:val="left"/>
        <w:rPr>
          <w:rFonts w:cs="Times New Roman"/>
          <w:snapToGrid w:val="0"/>
          <w:kern w:val="22"/>
          <w:szCs w:val="22"/>
        </w:rPr>
      </w:pPr>
      <w:r>
        <w:rPr>
          <w:rFonts w:cs="Times New Roman"/>
          <w:snapToGrid w:val="0"/>
          <w:kern w:val="22"/>
          <w:szCs w:val="22"/>
        </w:rPr>
        <w:t>Saint-</w:t>
      </w:r>
      <w:r w:rsidR="00797F09" w:rsidRPr="00797F09">
        <w:rPr>
          <w:rFonts w:cs="Times New Roman"/>
          <w:snapToGrid w:val="0"/>
          <w:kern w:val="22"/>
          <w:szCs w:val="22"/>
        </w:rPr>
        <w:t>Kitts-et-</w:t>
      </w:r>
      <w:r w:rsidR="00797F09" w:rsidRPr="00175565">
        <w:rPr>
          <w:rFonts w:cs="Times New Roman"/>
          <w:snapToGrid w:val="0"/>
          <w:kern w:val="22"/>
          <w:szCs w:val="22"/>
        </w:rPr>
        <w:t>Nevis</w:t>
      </w:r>
    </w:p>
    <w:p w14:paraId="4D1B510F"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Sainte-Lucie</w:t>
      </w:r>
    </w:p>
    <w:p w14:paraId="2C019739"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Saint-Vincent-et-les-</w:t>
      </w:r>
      <w:r w:rsidRPr="00175565">
        <w:rPr>
          <w:rFonts w:cs="Times New Roman"/>
          <w:snapToGrid w:val="0"/>
          <w:kern w:val="22"/>
          <w:szCs w:val="22"/>
        </w:rPr>
        <w:t>Grenadines</w:t>
      </w:r>
    </w:p>
    <w:p w14:paraId="54133953"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Samoa</w:t>
      </w:r>
    </w:p>
    <w:p w14:paraId="008B1A45"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Séné</w:t>
      </w:r>
      <w:r w:rsidRPr="00175565">
        <w:rPr>
          <w:rFonts w:cs="Times New Roman"/>
          <w:snapToGrid w:val="0"/>
          <w:kern w:val="22"/>
          <w:szCs w:val="22"/>
        </w:rPr>
        <w:t>gal</w:t>
      </w:r>
    </w:p>
    <w:p w14:paraId="737B78DE"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Serbie</w:t>
      </w:r>
    </w:p>
    <w:p w14:paraId="62D8D881"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Seychelles</w:t>
      </w:r>
    </w:p>
    <w:p w14:paraId="33F6BBFC"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Slovaquie</w:t>
      </w:r>
    </w:p>
    <w:p w14:paraId="1B967456"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Slovénie</w:t>
      </w:r>
    </w:p>
    <w:p w14:paraId="75F9CD26"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Somalie</w:t>
      </w:r>
    </w:p>
    <w:p w14:paraId="0B4016B4"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S</w:t>
      </w:r>
      <w:r w:rsidRPr="00797F09">
        <w:rPr>
          <w:rFonts w:cs="Times New Roman"/>
          <w:snapToGrid w:val="0"/>
          <w:kern w:val="22"/>
          <w:szCs w:val="22"/>
        </w:rPr>
        <w:t>o</w:t>
      </w:r>
      <w:r w:rsidRPr="00175565">
        <w:rPr>
          <w:rFonts w:cs="Times New Roman"/>
          <w:snapToGrid w:val="0"/>
          <w:kern w:val="22"/>
          <w:szCs w:val="22"/>
        </w:rPr>
        <w:t>udan</w:t>
      </w:r>
    </w:p>
    <w:p w14:paraId="34B3C072"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Sri Lanka</w:t>
      </w:r>
    </w:p>
    <w:p w14:paraId="6EEAB312"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Suède</w:t>
      </w:r>
    </w:p>
    <w:p w14:paraId="3CE4BBB1"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Suisse</w:t>
      </w:r>
    </w:p>
    <w:p w14:paraId="2E013C69"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Suriname</w:t>
      </w:r>
    </w:p>
    <w:p w14:paraId="00774A16" w14:textId="77777777" w:rsidR="00797F09" w:rsidRPr="00175565" w:rsidRDefault="00797F09" w:rsidP="00175565">
      <w:pPr>
        <w:ind w:left="142" w:hanging="142"/>
        <w:jc w:val="left"/>
        <w:rPr>
          <w:rFonts w:cs="Times New Roman"/>
          <w:snapToGrid w:val="0"/>
          <w:kern w:val="22"/>
          <w:szCs w:val="22"/>
          <w:lang w:val="en-AU"/>
        </w:rPr>
      </w:pPr>
      <w:r w:rsidRPr="00175565">
        <w:rPr>
          <w:rFonts w:cs="Times New Roman"/>
          <w:snapToGrid w:val="0"/>
          <w:kern w:val="22"/>
          <w:szCs w:val="22"/>
          <w:lang w:val="en-AU"/>
        </w:rPr>
        <w:t>Ta</w:t>
      </w:r>
      <w:r w:rsidRPr="00797F09">
        <w:rPr>
          <w:rFonts w:cs="Times New Roman"/>
          <w:snapToGrid w:val="0"/>
          <w:kern w:val="22"/>
          <w:szCs w:val="22"/>
          <w:lang w:val="en-AU"/>
        </w:rPr>
        <w:t>d</w:t>
      </w:r>
      <w:r w:rsidRPr="00175565">
        <w:rPr>
          <w:rFonts w:cs="Times New Roman"/>
          <w:snapToGrid w:val="0"/>
          <w:kern w:val="22"/>
          <w:szCs w:val="22"/>
          <w:lang w:val="en-AU"/>
        </w:rPr>
        <w:t>jikistan</w:t>
      </w:r>
    </w:p>
    <w:p w14:paraId="7B61DB78" w14:textId="77777777" w:rsidR="00797F09" w:rsidRPr="00175565" w:rsidRDefault="00797F09" w:rsidP="00175565">
      <w:pPr>
        <w:ind w:left="142" w:hanging="142"/>
        <w:jc w:val="left"/>
        <w:rPr>
          <w:rFonts w:cs="Times New Roman"/>
          <w:snapToGrid w:val="0"/>
          <w:kern w:val="22"/>
          <w:szCs w:val="22"/>
          <w:lang w:val="en-AU"/>
        </w:rPr>
      </w:pPr>
      <w:r w:rsidRPr="00797F09">
        <w:rPr>
          <w:rFonts w:cs="Times New Roman"/>
          <w:snapToGrid w:val="0"/>
          <w:kern w:val="22"/>
          <w:szCs w:val="22"/>
          <w:lang w:val="en-AU"/>
        </w:rPr>
        <w:t>Tc</w:t>
      </w:r>
      <w:r w:rsidRPr="00175565">
        <w:rPr>
          <w:rFonts w:cs="Times New Roman"/>
          <w:snapToGrid w:val="0"/>
          <w:kern w:val="22"/>
          <w:szCs w:val="22"/>
          <w:lang w:val="en-AU"/>
        </w:rPr>
        <w:t>had</w:t>
      </w:r>
    </w:p>
    <w:p w14:paraId="13AB2062" w14:textId="77777777" w:rsidR="00797F09" w:rsidRPr="00175565" w:rsidRDefault="00797F09" w:rsidP="00175565">
      <w:pPr>
        <w:ind w:left="142" w:hanging="142"/>
        <w:jc w:val="left"/>
        <w:rPr>
          <w:rFonts w:cs="Times New Roman"/>
          <w:snapToGrid w:val="0"/>
          <w:kern w:val="22"/>
          <w:szCs w:val="22"/>
          <w:lang w:val="en-GB"/>
        </w:rPr>
      </w:pPr>
      <w:r>
        <w:rPr>
          <w:rFonts w:cs="Times New Roman"/>
          <w:snapToGrid w:val="0"/>
          <w:kern w:val="22"/>
          <w:szCs w:val="22"/>
          <w:lang w:val="en-GB"/>
        </w:rPr>
        <w:t>Thaï</w:t>
      </w:r>
      <w:r w:rsidRPr="00175565">
        <w:rPr>
          <w:rFonts w:cs="Times New Roman"/>
          <w:snapToGrid w:val="0"/>
          <w:kern w:val="22"/>
          <w:szCs w:val="22"/>
          <w:lang w:val="en-GB"/>
        </w:rPr>
        <w:t>land</w:t>
      </w:r>
      <w:r>
        <w:rPr>
          <w:rFonts w:cs="Times New Roman"/>
          <w:snapToGrid w:val="0"/>
          <w:kern w:val="22"/>
          <w:szCs w:val="22"/>
          <w:lang w:val="en-GB"/>
        </w:rPr>
        <w:t>e</w:t>
      </w:r>
    </w:p>
    <w:p w14:paraId="2705FEE2" w14:textId="77777777" w:rsidR="00797F09" w:rsidRPr="00175565" w:rsidRDefault="00797F09" w:rsidP="00175565">
      <w:pPr>
        <w:ind w:left="142" w:hanging="142"/>
        <w:jc w:val="left"/>
        <w:rPr>
          <w:rFonts w:cs="Times New Roman"/>
          <w:snapToGrid w:val="0"/>
          <w:kern w:val="22"/>
          <w:szCs w:val="22"/>
          <w:lang w:val="en-GB"/>
        </w:rPr>
      </w:pPr>
      <w:r w:rsidRPr="00175565">
        <w:rPr>
          <w:rFonts w:cs="Times New Roman"/>
          <w:snapToGrid w:val="0"/>
          <w:kern w:val="22"/>
          <w:szCs w:val="22"/>
          <w:lang w:val="en-GB"/>
        </w:rPr>
        <w:t>Togo</w:t>
      </w:r>
    </w:p>
    <w:p w14:paraId="2C0FEF2E" w14:textId="77777777" w:rsidR="00797F09" w:rsidRPr="00175565" w:rsidRDefault="00797F09" w:rsidP="00175565">
      <w:pPr>
        <w:ind w:left="142" w:hanging="142"/>
        <w:jc w:val="left"/>
        <w:rPr>
          <w:rFonts w:cs="Times New Roman"/>
          <w:snapToGrid w:val="0"/>
          <w:kern w:val="22"/>
          <w:szCs w:val="22"/>
          <w:lang w:val="en-GB"/>
        </w:rPr>
      </w:pPr>
      <w:r w:rsidRPr="00175565">
        <w:rPr>
          <w:rFonts w:cs="Times New Roman"/>
          <w:snapToGrid w:val="0"/>
          <w:kern w:val="22"/>
          <w:szCs w:val="22"/>
          <w:lang w:val="en-GB"/>
        </w:rPr>
        <w:t>Tonga</w:t>
      </w:r>
    </w:p>
    <w:p w14:paraId="7A5791B2" w14:textId="77777777" w:rsidR="00797F09" w:rsidRPr="00A441A2" w:rsidRDefault="00797F09" w:rsidP="00175565">
      <w:pPr>
        <w:ind w:left="142" w:hanging="142"/>
        <w:jc w:val="left"/>
        <w:rPr>
          <w:rFonts w:cs="Times New Roman"/>
          <w:snapToGrid w:val="0"/>
          <w:kern w:val="22"/>
          <w:szCs w:val="22"/>
          <w:lang w:val="en-AU"/>
        </w:rPr>
      </w:pPr>
      <w:r w:rsidRPr="00A441A2">
        <w:rPr>
          <w:rFonts w:cs="Times New Roman"/>
          <w:snapToGrid w:val="0"/>
          <w:kern w:val="22"/>
          <w:szCs w:val="22"/>
          <w:lang w:val="en-AU"/>
        </w:rPr>
        <w:t>Trinidad-et-Tobago</w:t>
      </w:r>
    </w:p>
    <w:p w14:paraId="0C7D5FA4"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Tunisie</w:t>
      </w:r>
    </w:p>
    <w:p w14:paraId="40CAC15D"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Turkmé</w:t>
      </w:r>
      <w:r w:rsidRPr="00175565">
        <w:rPr>
          <w:rFonts w:cs="Times New Roman"/>
          <w:snapToGrid w:val="0"/>
          <w:kern w:val="22"/>
          <w:szCs w:val="22"/>
        </w:rPr>
        <w:t>nistan</w:t>
      </w:r>
    </w:p>
    <w:p w14:paraId="3D68DBC3" w14:textId="77777777" w:rsidR="00797F09" w:rsidRPr="00175565" w:rsidRDefault="00797F09" w:rsidP="00175565">
      <w:pPr>
        <w:ind w:left="142" w:hanging="142"/>
        <w:jc w:val="left"/>
        <w:rPr>
          <w:rFonts w:cs="Times New Roman"/>
          <w:snapToGrid w:val="0"/>
          <w:kern w:val="22"/>
          <w:szCs w:val="22"/>
        </w:rPr>
      </w:pPr>
      <w:r w:rsidRPr="00797F09">
        <w:rPr>
          <w:rFonts w:cs="Times New Roman"/>
          <w:snapToGrid w:val="0"/>
          <w:kern w:val="22"/>
          <w:szCs w:val="22"/>
        </w:rPr>
        <w:t>Turquie</w:t>
      </w:r>
    </w:p>
    <w:p w14:paraId="7AC38C8C"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Ukraine</w:t>
      </w:r>
    </w:p>
    <w:p w14:paraId="3AF3C65A" w14:textId="77777777" w:rsidR="00797F09" w:rsidRPr="00175565" w:rsidRDefault="00797F09" w:rsidP="00175565">
      <w:pPr>
        <w:ind w:left="142" w:hanging="142"/>
        <w:jc w:val="left"/>
        <w:rPr>
          <w:rFonts w:cs="Times New Roman"/>
          <w:snapToGrid w:val="0"/>
          <w:kern w:val="22"/>
          <w:szCs w:val="22"/>
        </w:rPr>
      </w:pPr>
      <w:r w:rsidRPr="00175565">
        <w:rPr>
          <w:rFonts w:cs="Times New Roman"/>
          <w:snapToGrid w:val="0"/>
          <w:kern w:val="22"/>
          <w:szCs w:val="22"/>
        </w:rPr>
        <w:t>Union</w:t>
      </w:r>
      <w:r w:rsidRPr="00797F09">
        <w:rPr>
          <w:rFonts w:cs="Times New Roman"/>
          <w:snapToGrid w:val="0"/>
          <w:kern w:val="22"/>
          <w:szCs w:val="22"/>
        </w:rPr>
        <w:t xml:space="preserve"> européenne</w:t>
      </w:r>
    </w:p>
    <w:p w14:paraId="350D4F53"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Uruguay</w:t>
      </w:r>
    </w:p>
    <w:p w14:paraId="5AA8FAD1" w14:textId="77777777" w:rsidR="00797F09" w:rsidRPr="00FB3B7C" w:rsidRDefault="00797F09" w:rsidP="00175565">
      <w:pPr>
        <w:ind w:left="142" w:hanging="142"/>
        <w:jc w:val="left"/>
        <w:rPr>
          <w:rFonts w:cs="Times New Roman"/>
          <w:snapToGrid w:val="0"/>
          <w:kern w:val="22"/>
          <w:szCs w:val="22"/>
        </w:rPr>
      </w:pPr>
      <w:r w:rsidRPr="00FB3B7C">
        <w:rPr>
          <w:rFonts w:cs="Times New Roman"/>
          <w:snapToGrid w:val="0"/>
          <w:kern w:val="22"/>
          <w:szCs w:val="22"/>
        </w:rPr>
        <w:t>Venezuela (République bolivarienne du)</w:t>
      </w:r>
    </w:p>
    <w:p w14:paraId="1FAB11B3" w14:textId="77777777" w:rsidR="00797F09" w:rsidRPr="00175565" w:rsidRDefault="00797F09" w:rsidP="00175565">
      <w:pPr>
        <w:ind w:left="142" w:hanging="142"/>
        <w:jc w:val="left"/>
        <w:rPr>
          <w:rFonts w:cs="Times New Roman"/>
          <w:snapToGrid w:val="0"/>
          <w:kern w:val="22"/>
          <w:szCs w:val="22"/>
          <w:lang w:val="en-GB"/>
        </w:rPr>
      </w:pPr>
      <w:r w:rsidRPr="00175565">
        <w:rPr>
          <w:rFonts w:cs="Times New Roman"/>
          <w:snapToGrid w:val="0"/>
          <w:kern w:val="22"/>
          <w:szCs w:val="22"/>
          <w:lang w:val="en-GB"/>
        </w:rPr>
        <w:t>Viet Nam</w:t>
      </w:r>
    </w:p>
    <w:p w14:paraId="00D2B77A" w14:textId="77777777" w:rsidR="00797F09" w:rsidRPr="00175565" w:rsidRDefault="00797F09" w:rsidP="00175565">
      <w:pPr>
        <w:ind w:left="142" w:hanging="142"/>
        <w:jc w:val="left"/>
        <w:rPr>
          <w:rFonts w:cs="Times New Roman"/>
          <w:snapToGrid w:val="0"/>
          <w:kern w:val="22"/>
          <w:szCs w:val="22"/>
          <w:lang w:val="en-GB"/>
        </w:rPr>
      </w:pPr>
      <w:r>
        <w:rPr>
          <w:rFonts w:cs="Times New Roman"/>
          <w:snapToGrid w:val="0"/>
          <w:kern w:val="22"/>
          <w:szCs w:val="22"/>
          <w:lang w:val="en-GB"/>
        </w:rPr>
        <w:t>Yé</w:t>
      </w:r>
      <w:r w:rsidRPr="00175565">
        <w:rPr>
          <w:rFonts w:cs="Times New Roman"/>
          <w:snapToGrid w:val="0"/>
          <w:kern w:val="22"/>
          <w:szCs w:val="22"/>
          <w:lang w:val="en-GB"/>
        </w:rPr>
        <w:t>men</w:t>
      </w:r>
    </w:p>
    <w:p w14:paraId="2ED586AF" w14:textId="77777777" w:rsidR="00797F09" w:rsidRPr="00175565" w:rsidRDefault="00797F09" w:rsidP="00175565">
      <w:pPr>
        <w:ind w:left="142" w:hanging="142"/>
        <w:jc w:val="left"/>
        <w:rPr>
          <w:rFonts w:cs="Times New Roman"/>
          <w:snapToGrid w:val="0"/>
          <w:kern w:val="22"/>
          <w:szCs w:val="22"/>
          <w:lang w:val="en-GB"/>
        </w:rPr>
      </w:pPr>
      <w:r>
        <w:rPr>
          <w:rFonts w:cs="Times New Roman"/>
          <w:snapToGrid w:val="0"/>
          <w:kern w:val="22"/>
          <w:szCs w:val="22"/>
          <w:lang w:val="en-GB"/>
        </w:rPr>
        <w:t>Zambie</w:t>
      </w:r>
    </w:p>
    <w:p w14:paraId="509CA65D" w14:textId="5ED180C2" w:rsidR="00797F09" w:rsidRPr="00175565" w:rsidRDefault="00C70AFF" w:rsidP="00175565">
      <w:pPr>
        <w:ind w:left="142" w:hanging="142"/>
        <w:jc w:val="left"/>
        <w:rPr>
          <w:rFonts w:cs="Times New Roman"/>
          <w:snapToGrid w:val="0"/>
          <w:kern w:val="22"/>
          <w:szCs w:val="22"/>
          <w:lang w:val="en-GB"/>
        </w:rPr>
        <w:sectPr w:rsidR="00797F09" w:rsidRPr="00175565" w:rsidSect="006B501F">
          <w:type w:val="continuous"/>
          <w:pgSz w:w="12240" w:h="15840" w:code="1"/>
          <w:pgMar w:top="1021" w:right="1440" w:bottom="1134" w:left="1440" w:header="459" w:footer="720" w:gutter="0"/>
          <w:cols w:num="3" w:space="720"/>
          <w:docGrid w:linePitch="299"/>
        </w:sectPr>
      </w:pPr>
      <w:r>
        <w:rPr>
          <w:rFonts w:cs="Times New Roman"/>
          <w:snapToGrid w:val="0"/>
          <w:kern w:val="22"/>
          <w:szCs w:val="22"/>
          <w:lang w:val="en-GB"/>
        </w:rPr>
        <w:t>Zimbabwe</w:t>
      </w:r>
    </w:p>
    <w:p w14:paraId="4E39779B" w14:textId="77777777" w:rsidR="00175565" w:rsidRPr="00175565" w:rsidRDefault="00175565" w:rsidP="00175565">
      <w:pPr>
        <w:pStyle w:val="Para1"/>
        <w:numPr>
          <w:ilvl w:val="0"/>
          <w:numId w:val="0"/>
        </w:numPr>
        <w:rPr>
          <w:lang w:val="en-AU"/>
        </w:rPr>
        <w:sectPr w:rsidR="00175565" w:rsidRPr="00175565" w:rsidSect="00844310">
          <w:type w:val="continuous"/>
          <w:pgSz w:w="12240" w:h="15840" w:code="1"/>
          <w:pgMar w:top="1021" w:right="1440" w:bottom="1134" w:left="1440" w:header="459" w:footer="720" w:gutter="0"/>
          <w:cols w:space="720"/>
          <w:titlePg/>
          <w:docGrid w:linePitch="299"/>
        </w:sectPr>
      </w:pPr>
    </w:p>
    <w:p w14:paraId="07EA88DC" w14:textId="77777777" w:rsidR="009547AA" w:rsidRPr="009547AA" w:rsidRDefault="009547AA" w:rsidP="009547AA">
      <w:pPr>
        <w:pStyle w:val="Para1"/>
        <w:numPr>
          <w:ilvl w:val="0"/>
          <w:numId w:val="0"/>
        </w:numPr>
        <w:rPr>
          <w:lang w:val="en-AU"/>
        </w:rPr>
      </w:pPr>
    </w:p>
    <w:p w14:paraId="3059A482" w14:textId="394833B8" w:rsidR="00B27A4B" w:rsidRDefault="00A96F6E" w:rsidP="00B27A4B">
      <w:pPr>
        <w:pStyle w:val="Para1"/>
        <w:tabs>
          <w:tab w:val="clear" w:pos="360"/>
          <w:tab w:val="num" w:pos="0"/>
        </w:tabs>
      </w:pPr>
      <w:bookmarkStart w:id="29" w:name="_Hlk530317937"/>
      <w:bookmarkStart w:id="30" w:name="_Hlk530395224"/>
      <w:r>
        <w:rPr>
          <w:lang w:bidi="fr-FR"/>
        </w:rPr>
        <w:t xml:space="preserve">Les États </w:t>
      </w:r>
      <w:r w:rsidR="00243B64" w:rsidRPr="00243B64">
        <w:rPr>
          <w:lang w:bidi="fr-FR"/>
        </w:rPr>
        <w:t>non P</w:t>
      </w:r>
      <w:r w:rsidR="005C4A6F" w:rsidRPr="00243B64">
        <w:rPr>
          <w:lang w:bidi="fr-FR"/>
        </w:rPr>
        <w:t xml:space="preserve">arties au Protocole de Cartagena </w:t>
      </w:r>
      <w:r>
        <w:rPr>
          <w:lang w:bidi="fr-FR"/>
        </w:rPr>
        <w:t xml:space="preserve">ci-après </w:t>
      </w:r>
      <w:r w:rsidR="005C4A6F" w:rsidRPr="00243B64">
        <w:rPr>
          <w:lang w:bidi="fr-FR"/>
        </w:rPr>
        <w:t>o</w:t>
      </w:r>
      <w:r w:rsidR="00D66376" w:rsidRPr="00243B64">
        <w:rPr>
          <w:lang w:bidi="fr-FR"/>
        </w:rPr>
        <w:t xml:space="preserve">nt également été représentés : </w:t>
      </w:r>
      <w:r w:rsidR="00243B64" w:rsidRPr="00243B64">
        <w:t>Andorre</w:t>
      </w:r>
      <w:r w:rsidR="00D66376" w:rsidRPr="00243B64">
        <w:t xml:space="preserve">; </w:t>
      </w:r>
      <w:r w:rsidR="00C70AFF">
        <w:t>Argentine</w:t>
      </w:r>
      <w:r w:rsidR="00D66376" w:rsidRPr="00243B64">
        <w:t>; Canada;</w:t>
      </w:r>
      <w:r w:rsidR="00D66376" w:rsidRPr="00243B64" w:rsidDel="00D3778C">
        <w:t xml:space="preserve"> </w:t>
      </w:r>
      <w:r w:rsidR="00243B64" w:rsidRPr="00243B64">
        <w:t>Chili</w:t>
      </w:r>
      <w:r w:rsidR="00D66376" w:rsidRPr="00243B64">
        <w:t>;</w:t>
      </w:r>
      <w:r w:rsidR="00D66376" w:rsidRPr="00243B64" w:rsidDel="00D3778C">
        <w:t xml:space="preserve"> </w:t>
      </w:r>
      <w:r w:rsidR="00243B64">
        <w:t xml:space="preserve">Etats-Unis d’Amérique; Fédération de Russie; </w:t>
      </w:r>
      <w:r w:rsidR="00D66376" w:rsidRPr="00243B64">
        <w:t>Guin</w:t>
      </w:r>
      <w:r w:rsidR="00243B64" w:rsidRPr="00243B64">
        <w:t>ée équatoriale</w:t>
      </w:r>
      <w:r w:rsidR="00D66376" w:rsidRPr="00243B64">
        <w:t>;</w:t>
      </w:r>
      <w:r w:rsidR="00243B64" w:rsidRPr="00243B64">
        <w:t xml:space="preserve"> Haï</w:t>
      </w:r>
      <w:r w:rsidR="00C70AFF">
        <w:t>ti; Saint Siège</w:t>
      </w:r>
      <w:r w:rsidR="00D66376" w:rsidRPr="00243B64">
        <w:t>;</w:t>
      </w:r>
      <w:r w:rsidR="00243B64" w:rsidRPr="00243B64">
        <w:t xml:space="preserve"> Iles Cook; Islande; Israë</w:t>
      </w:r>
      <w:r w:rsidR="00D66376" w:rsidRPr="00243B64">
        <w:t>l; Liechtenstein;</w:t>
      </w:r>
      <w:r w:rsidR="00243B64" w:rsidRPr="00243B64">
        <w:t xml:space="preserve"> Micronésie (Etats fédérés de</w:t>
      </w:r>
      <w:r w:rsidR="00D66376" w:rsidRPr="00243B64">
        <w:t>); Monaco;</w:t>
      </w:r>
      <w:r w:rsidR="00243B64">
        <w:t xml:space="preserve"> Né</w:t>
      </w:r>
      <w:r w:rsidR="00D66376" w:rsidRPr="00243B64">
        <w:t>pal;</w:t>
      </w:r>
      <w:r w:rsidR="00243B64">
        <w:t xml:space="preserve"> Sao Tome-et-</w:t>
      </w:r>
      <w:r w:rsidR="00D66376" w:rsidRPr="00243B64">
        <w:t>Principe; Sierra Leone;</w:t>
      </w:r>
      <w:r w:rsidR="00243B64">
        <w:t xml:space="preserve"> Singapour</w:t>
      </w:r>
      <w:r w:rsidR="00D66376" w:rsidRPr="00243B64">
        <w:t>;</w:t>
      </w:r>
      <w:r w:rsidR="00243B64">
        <w:t xml:space="preserve"> Sud Sou</w:t>
      </w:r>
      <w:r w:rsidR="00D66376" w:rsidRPr="00243B64">
        <w:t>dan; Tuvalu.</w:t>
      </w:r>
      <w:bookmarkEnd w:id="29"/>
    </w:p>
    <w:p w14:paraId="55C1A9DF" w14:textId="7EBA21D7" w:rsidR="005C4A6F" w:rsidRPr="00A508D7" w:rsidRDefault="005C4A6F" w:rsidP="00B27A4B">
      <w:pPr>
        <w:pStyle w:val="Para1"/>
        <w:tabs>
          <w:tab w:val="clear" w:pos="360"/>
          <w:tab w:val="num" w:pos="0"/>
        </w:tabs>
      </w:pPr>
      <w:r w:rsidRPr="00A508D7">
        <w:rPr>
          <w:lang w:bidi="fr-FR"/>
        </w:rPr>
        <w:t xml:space="preserve">Pour tous les autres </w:t>
      </w:r>
      <w:r w:rsidR="00B27A4B">
        <w:rPr>
          <w:lang w:bidi="fr-FR"/>
        </w:rPr>
        <w:t>participants, voir l’annexe I au</w:t>
      </w:r>
      <w:r w:rsidRPr="00A508D7">
        <w:rPr>
          <w:lang w:bidi="fr-FR"/>
        </w:rPr>
        <w:t xml:space="preserve"> rapport de la Confé</w:t>
      </w:r>
      <w:r w:rsidR="00D66376">
        <w:rPr>
          <w:lang w:bidi="fr-FR"/>
        </w:rPr>
        <w:t xml:space="preserve">rence des Parties </w:t>
      </w:r>
      <w:r w:rsidR="00B27A4B">
        <w:rPr>
          <w:lang w:bidi="fr-FR"/>
        </w:rPr>
        <w:t>sur s</w:t>
      </w:r>
      <w:r w:rsidR="00B27A4B" w:rsidRPr="00A508D7">
        <w:rPr>
          <w:lang w:bidi="fr-FR"/>
        </w:rPr>
        <w:t xml:space="preserve">a quatorzième réunion </w:t>
      </w:r>
      <w:r w:rsidR="00D66376">
        <w:rPr>
          <w:lang w:bidi="fr-FR"/>
        </w:rPr>
        <w:t>(CBD/COP/14/14</w:t>
      </w:r>
      <w:r w:rsidRPr="00A508D7">
        <w:rPr>
          <w:lang w:bidi="fr-FR"/>
        </w:rPr>
        <w:t>).</w:t>
      </w:r>
    </w:p>
    <w:p w14:paraId="019EB984" w14:textId="77777777" w:rsidR="005C4A6F" w:rsidRPr="00A508D7" w:rsidRDefault="005C4A6F" w:rsidP="005C4A6F">
      <w:pPr>
        <w:pStyle w:val="Heading1"/>
        <w:rPr>
          <w:i/>
          <w:iCs/>
          <w:snapToGrid w:val="0"/>
        </w:rPr>
      </w:pPr>
      <w:bookmarkStart w:id="31" w:name="_Toc7428858"/>
      <w:bookmarkEnd w:id="30"/>
      <w:r w:rsidRPr="00A508D7">
        <w:rPr>
          <w:snapToGrid w:val="0"/>
          <w:lang w:bidi="fr-FR"/>
        </w:rPr>
        <w:t>Point 1.</w:t>
      </w:r>
      <w:r w:rsidRPr="00A508D7">
        <w:rPr>
          <w:snapToGrid w:val="0"/>
          <w:lang w:bidi="fr-FR"/>
        </w:rPr>
        <w:tab/>
        <w:t>Ouverture de la r</w:t>
      </w:r>
      <w:r w:rsidRPr="00A508D7">
        <w:rPr>
          <w:rFonts w:cs="Times New Roman"/>
          <w:snapToGrid w:val="0"/>
          <w:kern w:val="22"/>
          <w:szCs w:val="22"/>
          <w:lang w:bidi="fr-FR"/>
        </w:rPr>
        <w:t>É</w:t>
      </w:r>
      <w:r w:rsidRPr="00A508D7">
        <w:rPr>
          <w:snapToGrid w:val="0"/>
          <w:lang w:bidi="fr-FR"/>
        </w:rPr>
        <w:t>union</w:t>
      </w:r>
      <w:bookmarkEnd w:id="31"/>
    </w:p>
    <w:p w14:paraId="2E1B7D5E" w14:textId="660CEC4E" w:rsidR="00640F4C" w:rsidRDefault="005C4A6F" w:rsidP="00640F4C">
      <w:pPr>
        <w:pStyle w:val="Para1"/>
        <w:tabs>
          <w:tab w:val="clear" w:pos="360"/>
          <w:tab w:val="num" w:pos="0"/>
        </w:tabs>
      </w:pPr>
      <w:r w:rsidRPr="00A508D7">
        <w:rPr>
          <w:lang w:bidi="fr-FR"/>
        </w:rPr>
        <w:t xml:space="preserve">La neuvième réunion de la Conférence des Parties </w:t>
      </w:r>
      <w:r w:rsidR="00710E66">
        <w:rPr>
          <w:lang w:bidi="fr-FR"/>
        </w:rPr>
        <w:t xml:space="preserve">siégeant </w:t>
      </w:r>
      <w:r w:rsidR="00B27A4B">
        <w:rPr>
          <w:lang w:bidi="fr-FR"/>
        </w:rPr>
        <w:t>en tant que réunion des Parties</w:t>
      </w:r>
      <w:r w:rsidR="00E73568">
        <w:rPr>
          <w:lang w:bidi="fr-FR"/>
        </w:rPr>
        <w:t xml:space="preserve"> au P</w:t>
      </w:r>
      <w:r w:rsidRPr="00A508D7">
        <w:rPr>
          <w:lang w:bidi="fr-FR"/>
        </w:rPr>
        <w:t xml:space="preserve">rotocole de Cartagena a été ouverte à 11h00, le 17 novembre 2018, par M. José Octavio Tripp Villanueva, Ambassadeur du Mexique en Égypte, au nom de M. Rafael Pacchiano Alamán, Ministre de l’environnement et des ressources naturelles du Mexique et </w:t>
      </w:r>
      <w:r w:rsidR="0022341B">
        <w:rPr>
          <w:lang w:bidi="fr-FR"/>
        </w:rPr>
        <w:t>président</w:t>
      </w:r>
      <w:r w:rsidRPr="00A508D7">
        <w:rPr>
          <w:lang w:bidi="fr-FR"/>
        </w:rPr>
        <w:t xml:space="preserve"> sortant de la Conférence de</w:t>
      </w:r>
      <w:r w:rsidR="00B27A4B">
        <w:rPr>
          <w:lang w:bidi="fr-FR"/>
        </w:rPr>
        <w:t>s Parties, qui a également siégé</w:t>
      </w:r>
      <w:r w:rsidR="00E73568">
        <w:rPr>
          <w:lang w:bidi="fr-FR"/>
        </w:rPr>
        <w:t xml:space="preserve"> en tant que</w:t>
      </w:r>
      <w:r w:rsidRPr="00A508D7">
        <w:rPr>
          <w:lang w:bidi="fr-FR"/>
        </w:rPr>
        <w:t xml:space="preserve"> </w:t>
      </w:r>
      <w:r w:rsidR="0022341B">
        <w:rPr>
          <w:lang w:bidi="fr-FR"/>
        </w:rPr>
        <w:t>président</w:t>
      </w:r>
      <w:r w:rsidRPr="00A508D7">
        <w:rPr>
          <w:lang w:bidi="fr-FR"/>
        </w:rPr>
        <w:t xml:space="preserve"> de la huitième</w:t>
      </w:r>
      <w:r w:rsidR="00B27A4B">
        <w:rPr>
          <w:lang w:bidi="fr-FR"/>
        </w:rPr>
        <w:t xml:space="preserve"> réunion de la</w:t>
      </w:r>
      <w:r w:rsidRPr="00A508D7">
        <w:rPr>
          <w:lang w:bidi="fr-FR"/>
        </w:rPr>
        <w:t xml:space="preserve"> Conférence des Parties siégeant en tant que réunion des Parties au Protocole de Cartagena. </w:t>
      </w:r>
    </w:p>
    <w:p w14:paraId="11BA7FB0" w14:textId="27EBB1F4" w:rsidR="00640F4C" w:rsidRDefault="005C4A6F" w:rsidP="00640F4C">
      <w:pPr>
        <w:pStyle w:val="Para1"/>
        <w:tabs>
          <w:tab w:val="clear" w:pos="360"/>
          <w:tab w:val="num" w:pos="0"/>
        </w:tabs>
      </w:pPr>
      <w:r w:rsidRPr="00A508D7">
        <w:rPr>
          <w:lang w:bidi="fr-FR"/>
        </w:rPr>
        <w:t>Les déclarations liminaires ont été faites par Mme Yasm</w:t>
      </w:r>
      <w:r w:rsidR="00B27A4B">
        <w:rPr>
          <w:lang w:bidi="fr-FR"/>
        </w:rPr>
        <w:t>ine Fouad, M</w:t>
      </w:r>
      <w:r w:rsidRPr="00A508D7">
        <w:rPr>
          <w:lang w:bidi="fr-FR"/>
        </w:rPr>
        <w:t xml:space="preserve">inistre de l’environnement de l’Égypte et </w:t>
      </w:r>
      <w:r w:rsidR="0022341B">
        <w:rPr>
          <w:lang w:bidi="fr-FR"/>
        </w:rPr>
        <w:t>président</w:t>
      </w:r>
      <w:r w:rsidRPr="00A508D7">
        <w:rPr>
          <w:lang w:bidi="fr-FR"/>
        </w:rPr>
        <w:t xml:space="preserve">e de la Conférence des Parties à </w:t>
      </w:r>
      <w:r w:rsidR="00B27A4B">
        <w:rPr>
          <w:lang w:bidi="fr-FR"/>
        </w:rPr>
        <w:t>sa quatorzième réunion, siégeant</w:t>
      </w:r>
      <w:r w:rsidRPr="00A508D7">
        <w:rPr>
          <w:lang w:bidi="fr-FR"/>
        </w:rPr>
        <w:t xml:space="preserve"> également en tant que </w:t>
      </w:r>
      <w:r w:rsidR="0022341B">
        <w:rPr>
          <w:lang w:bidi="fr-FR"/>
        </w:rPr>
        <w:t>président</w:t>
      </w:r>
      <w:r w:rsidRPr="00A508D7">
        <w:rPr>
          <w:lang w:bidi="fr-FR"/>
        </w:rPr>
        <w:t xml:space="preserve">e de la neuvième réunion de la Conférence des Parties </w:t>
      </w:r>
      <w:r w:rsidR="00710E66">
        <w:rPr>
          <w:lang w:bidi="fr-FR"/>
        </w:rPr>
        <w:t>siégeant en tant que</w:t>
      </w:r>
      <w:r w:rsidR="00B27A4B">
        <w:rPr>
          <w:lang w:bidi="fr-FR"/>
        </w:rPr>
        <w:t xml:space="preserve"> réunion des</w:t>
      </w:r>
      <w:r w:rsidRPr="00A508D7">
        <w:rPr>
          <w:lang w:bidi="fr-FR"/>
        </w:rPr>
        <w:t xml:space="preserve"> Parties au Protocole d</w:t>
      </w:r>
      <w:r w:rsidR="00B27A4B">
        <w:rPr>
          <w:lang w:bidi="fr-FR"/>
        </w:rPr>
        <w:t>e Cartagena</w:t>
      </w:r>
      <w:r w:rsidRPr="00A508D7">
        <w:rPr>
          <w:lang w:bidi="fr-FR"/>
        </w:rPr>
        <w:t>; Mme Cristiana Paşca Palmer, Secr</w:t>
      </w:r>
      <w:r w:rsidR="00B27A4B">
        <w:rPr>
          <w:lang w:bidi="fr-FR"/>
        </w:rPr>
        <w:t xml:space="preserve">étaire exécutive </w:t>
      </w:r>
      <w:r w:rsidRPr="00A508D7">
        <w:rPr>
          <w:lang w:bidi="fr-FR"/>
        </w:rPr>
        <w:t>de la Convention sur la diver</w:t>
      </w:r>
      <w:r w:rsidR="00B27A4B">
        <w:rPr>
          <w:lang w:bidi="fr-FR"/>
        </w:rPr>
        <w:t>sité biologique</w:t>
      </w:r>
      <w:r w:rsidRPr="00A508D7">
        <w:rPr>
          <w:lang w:bidi="fr-FR"/>
        </w:rPr>
        <w:t xml:space="preserve">; Mme Maria Fernanda Espinosa, </w:t>
      </w:r>
      <w:r w:rsidR="00B27A4B">
        <w:rPr>
          <w:lang w:bidi="fr-FR"/>
        </w:rPr>
        <w:t>p</w:t>
      </w:r>
      <w:r w:rsidR="0022341B">
        <w:rPr>
          <w:lang w:bidi="fr-FR"/>
        </w:rPr>
        <w:t>résident</w:t>
      </w:r>
      <w:r w:rsidRPr="00A508D7">
        <w:rPr>
          <w:lang w:bidi="fr-FR"/>
        </w:rPr>
        <w:t>e de l’Assemblée générale des Nations</w:t>
      </w:r>
      <w:r w:rsidR="00B27A4B">
        <w:rPr>
          <w:lang w:bidi="fr-FR"/>
        </w:rPr>
        <w:t xml:space="preserve"> Unies, par vidéoconférence; et M. Abdel Fattah E</w:t>
      </w:r>
      <w:r w:rsidRPr="00A508D7">
        <w:rPr>
          <w:lang w:bidi="fr-FR"/>
        </w:rPr>
        <w:t>l-</w:t>
      </w:r>
      <w:r w:rsidR="004E0AE0">
        <w:rPr>
          <w:lang w:bidi="fr-FR"/>
        </w:rPr>
        <w:t>Sissi</w:t>
      </w:r>
      <w:r w:rsidRPr="00A508D7">
        <w:rPr>
          <w:lang w:bidi="fr-FR"/>
        </w:rPr>
        <w:t xml:space="preserve">, </w:t>
      </w:r>
      <w:r w:rsidR="00E73568">
        <w:rPr>
          <w:lang w:bidi="fr-FR"/>
        </w:rPr>
        <w:t>P</w:t>
      </w:r>
      <w:r w:rsidR="00BC0D55">
        <w:rPr>
          <w:lang w:bidi="fr-FR"/>
        </w:rPr>
        <w:t>résident</w:t>
      </w:r>
      <w:r w:rsidRPr="00A508D7">
        <w:rPr>
          <w:lang w:bidi="fr-FR"/>
        </w:rPr>
        <w:t xml:space="preserve"> de l’Égypte. </w:t>
      </w:r>
      <w:bookmarkStart w:id="32" w:name="_Hlk530320314"/>
    </w:p>
    <w:p w14:paraId="05852B58" w14:textId="77777777" w:rsidR="00640F4C" w:rsidRDefault="005C4A6F" w:rsidP="00640F4C">
      <w:pPr>
        <w:pStyle w:val="Para1"/>
        <w:tabs>
          <w:tab w:val="clear" w:pos="360"/>
          <w:tab w:val="num" w:pos="0"/>
        </w:tabs>
      </w:pPr>
      <w:r w:rsidRPr="00A508D7">
        <w:rPr>
          <w:lang w:bidi="fr-FR"/>
        </w:rPr>
        <w:t xml:space="preserve">Dans sa déclaration, la </w:t>
      </w:r>
      <w:r w:rsidR="00B27A4B">
        <w:rPr>
          <w:lang w:bidi="fr-FR"/>
        </w:rPr>
        <w:t>p</w:t>
      </w:r>
      <w:r w:rsidR="0022341B">
        <w:rPr>
          <w:lang w:bidi="fr-FR"/>
        </w:rPr>
        <w:t>résident</w:t>
      </w:r>
      <w:r w:rsidRPr="00A508D7">
        <w:rPr>
          <w:lang w:bidi="fr-FR"/>
        </w:rPr>
        <w:t>e a fait référence aux résultats de la réunio</w:t>
      </w:r>
      <w:r w:rsidR="00B27A4B">
        <w:rPr>
          <w:lang w:bidi="fr-FR"/>
        </w:rPr>
        <w:t>n de haut niveau, y compris la D</w:t>
      </w:r>
      <w:r w:rsidRPr="00A508D7">
        <w:rPr>
          <w:lang w:bidi="fr-FR"/>
        </w:rPr>
        <w:t>éclaration de Charm El-Cheikh : Investir dans la diversité biologique p</w:t>
      </w:r>
      <w:r w:rsidR="00B27A4B">
        <w:rPr>
          <w:lang w:bidi="fr-FR"/>
        </w:rPr>
        <w:t>our les gens et la planète. La D</w:t>
      </w:r>
      <w:r w:rsidRPr="00A508D7">
        <w:rPr>
          <w:lang w:bidi="fr-FR"/>
        </w:rPr>
        <w:t>éclaration de Charm El-Cheikh a été diffusée sous la cote CBD/COP/14/12</w:t>
      </w:r>
      <w:r w:rsidR="00B27A4B">
        <w:rPr>
          <w:lang w:bidi="fr-FR"/>
        </w:rPr>
        <w:t>, et le rapport sur</w:t>
      </w:r>
      <w:r w:rsidRPr="00A508D7">
        <w:rPr>
          <w:lang w:bidi="fr-FR"/>
        </w:rPr>
        <w:t xml:space="preserve"> la réunion de haut niveau sous la cote CBD/COP/14/12/Add.1.</w:t>
      </w:r>
      <w:bookmarkEnd w:id="32"/>
    </w:p>
    <w:p w14:paraId="5B47A9D4" w14:textId="77777777" w:rsidR="00640F4C" w:rsidRDefault="005C4A6F" w:rsidP="00640F4C">
      <w:pPr>
        <w:pStyle w:val="Para1"/>
        <w:tabs>
          <w:tab w:val="clear" w:pos="360"/>
          <w:tab w:val="num" w:pos="0"/>
        </w:tabs>
      </w:pPr>
      <w:r w:rsidRPr="00A508D7">
        <w:rPr>
          <w:lang w:bidi="fr-FR"/>
        </w:rPr>
        <w:t>Deux prése</w:t>
      </w:r>
      <w:r w:rsidR="00B27A4B">
        <w:rPr>
          <w:lang w:bidi="fr-FR"/>
        </w:rPr>
        <w:t>ntations vidéo ont été diffusées :</w:t>
      </w:r>
      <w:r w:rsidRPr="00A508D7">
        <w:rPr>
          <w:lang w:bidi="fr-FR"/>
        </w:rPr>
        <w:t xml:space="preserve"> la première a été prépar</w:t>
      </w:r>
      <w:r w:rsidR="00B27A4B">
        <w:rPr>
          <w:lang w:bidi="fr-FR"/>
        </w:rPr>
        <w:t>ée par le G</w:t>
      </w:r>
      <w:r w:rsidRPr="00A508D7">
        <w:rPr>
          <w:lang w:bidi="fr-FR"/>
        </w:rPr>
        <w:t>ouvernement mexicain</w:t>
      </w:r>
      <w:r w:rsidR="00B27A4B">
        <w:rPr>
          <w:lang w:bidi="fr-FR"/>
        </w:rPr>
        <w:t>, portant</w:t>
      </w:r>
      <w:r w:rsidRPr="00A508D7">
        <w:rPr>
          <w:lang w:bidi="fr-FR"/>
        </w:rPr>
        <w:t xml:space="preserve"> sur l’intégration de la biodiversité</w:t>
      </w:r>
      <w:r w:rsidR="00B27A4B">
        <w:rPr>
          <w:lang w:bidi="fr-FR"/>
        </w:rPr>
        <w:t>, et la seconde par le G</w:t>
      </w:r>
      <w:r w:rsidRPr="00A508D7">
        <w:rPr>
          <w:lang w:bidi="fr-FR"/>
        </w:rPr>
        <w:t>ouvernement égyptien</w:t>
      </w:r>
      <w:r w:rsidR="00B27A4B">
        <w:rPr>
          <w:lang w:bidi="fr-FR"/>
        </w:rPr>
        <w:t>, portant</w:t>
      </w:r>
      <w:r w:rsidRPr="00A508D7">
        <w:rPr>
          <w:lang w:bidi="fr-FR"/>
        </w:rPr>
        <w:t xml:space="preserve"> </w:t>
      </w:r>
      <w:r w:rsidRPr="00A508D7">
        <w:rPr>
          <w:lang w:bidi="fr-FR"/>
        </w:rPr>
        <w:lastRenderedPageBreak/>
        <w:t>sur</w:t>
      </w:r>
      <w:r w:rsidR="00640F4C">
        <w:rPr>
          <w:lang w:bidi="fr-FR"/>
        </w:rPr>
        <w:t xml:space="preserve"> la biodiversité et son lien crucial</w:t>
      </w:r>
      <w:r w:rsidRPr="00A508D7">
        <w:rPr>
          <w:lang w:bidi="fr-FR"/>
        </w:rPr>
        <w:t xml:space="preserve"> avec la survie de l’humanité. Un spectacle réalisé par des écoliers sur l’importance de la biodiversité a également eu lieu. </w:t>
      </w:r>
    </w:p>
    <w:p w14:paraId="2DE2FCF7" w14:textId="18FC9997" w:rsidR="00640F4C" w:rsidRDefault="00710E66" w:rsidP="00640F4C">
      <w:pPr>
        <w:pStyle w:val="Para1"/>
        <w:tabs>
          <w:tab w:val="clear" w:pos="360"/>
          <w:tab w:val="num" w:pos="0"/>
        </w:tabs>
      </w:pPr>
      <w:r>
        <w:rPr>
          <w:lang w:bidi="fr-FR"/>
        </w:rPr>
        <w:t>A la 2</w:t>
      </w:r>
      <w:r w:rsidRPr="00640F4C">
        <w:rPr>
          <w:vertAlign w:val="superscript"/>
          <w:lang w:bidi="fr-FR"/>
        </w:rPr>
        <w:t>ème</w:t>
      </w:r>
      <w:r w:rsidR="005C4A6F" w:rsidRPr="00A508D7">
        <w:rPr>
          <w:lang w:bidi="fr-FR"/>
        </w:rPr>
        <w:t xml:space="preserve"> séance plénière de la réunion, le 17 novembre 2018, des déclarations ont été faites par Mme Amina Mohammed, Secrétaire générale adjointe des Nations Unies, par vidéoconférence, et par </w:t>
      </w:r>
      <w:r w:rsidR="005C4A6F" w:rsidRPr="00640F4C">
        <w:rPr>
          <w:rFonts w:eastAsiaTheme="minorEastAsia"/>
          <w:snapToGrid/>
          <w:szCs w:val="24"/>
          <w:lang w:bidi="fr-FR"/>
        </w:rPr>
        <w:t xml:space="preserve">Mme Corli Pretorius, directrice adjointe du Centre mondial de surveillance pour la conservation </w:t>
      </w:r>
      <w:r w:rsidR="00BC0D55">
        <w:rPr>
          <w:rFonts w:eastAsiaTheme="minorEastAsia"/>
          <w:snapToGrid/>
          <w:szCs w:val="24"/>
          <w:lang w:bidi="fr-FR"/>
        </w:rPr>
        <w:t xml:space="preserve">de la nature au sein </w:t>
      </w:r>
      <w:r w:rsidR="005C4A6F" w:rsidRPr="00640F4C">
        <w:rPr>
          <w:rFonts w:eastAsiaTheme="minorEastAsia"/>
          <w:snapToGrid/>
          <w:szCs w:val="24"/>
          <w:lang w:bidi="fr-FR"/>
        </w:rPr>
        <w:t xml:space="preserve">du Programme des Nations Unies pour l'environnement. </w:t>
      </w:r>
    </w:p>
    <w:p w14:paraId="16D061E6" w14:textId="77777777" w:rsidR="00640F4C" w:rsidRDefault="005C4A6F" w:rsidP="00640F4C">
      <w:pPr>
        <w:pStyle w:val="Para1"/>
        <w:tabs>
          <w:tab w:val="clear" w:pos="360"/>
          <w:tab w:val="num" w:pos="0"/>
        </w:tabs>
      </w:pPr>
      <w:r w:rsidRPr="00A508D7">
        <w:rPr>
          <w:lang w:bidi="fr-FR"/>
        </w:rPr>
        <w:t>Les représentants ont visionné deux films, l’un de la National Geographic Society et l’autre du World Wide Fund for Nature (WWF), ainsi qu’un message vidéo de M. Paul McCartney.</w:t>
      </w:r>
    </w:p>
    <w:p w14:paraId="0ABFE12B" w14:textId="77777777" w:rsidR="00BC0D55" w:rsidRDefault="005C4A6F" w:rsidP="00BC0D55">
      <w:pPr>
        <w:pStyle w:val="Para1"/>
        <w:tabs>
          <w:tab w:val="clear" w:pos="360"/>
          <w:tab w:val="num" w:pos="0"/>
        </w:tabs>
      </w:pPr>
      <w:r w:rsidRPr="00A508D7">
        <w:rPr>
          <w:lang w:bidi="fr-FR"/>
        </w:rPr>
        <w:t xml:space="preserve">Des déclarations générales ont été faites par les représentants de l’Argentine (au nom du groupe Amérique latine et des Caraïbes), du Canada (au nom d’un groupe des pays non-alignés), de l’Union européenne et </w:t>
      </w:r>
      <w:r w:rsidR="00BC0D55">
        <w:rPr>
          <w:lang w:bidi="fr-FR"/>
        </w:rPr>
        <w:t xml:space="preserve">ses </w:t>
      </w:r>
      <w:r w:rsidRPr="00A508D7">
        <w:rPr>
          <w:lang w:bidi="fr-FR"/>
        </w:rPr>
        <w:t xml:space="preserve">28 États membres, </w:t>
      </w:r>
      <w:r w:rsidR="00BC0D55">
        <w:rPr>
          <w:lang w:bidi="fr-FR"/>
        </w:rPr>
        <w:t>du Be</w:t>
      </w:r>
      <w:r w:rsidRPr="00A508D7">
        <w:rPr>
          <w:lang w:bidi="fr-FR"/>
        </w:rPr>
        <w:t>larus (au nom des pays d’Europe centrale et orientale), du R</w:t>
      </w:r>
      <w:r w:rsidR="00BC0D55">
        <w:rPr>
          <w:lang w:bidi="fr-FR"/>
        </w:rPr>
        <w:t>wanda (au nom du groupe des pays d’Afrique</w:t>
      </w:r>
      <w:r w:rsidRPr="00A508D7">
        <w:rPr>
          <w:lang w:bidi="fr-FR"/>
        </w:rPr>
        <w:t>)</w:t>
      </w:r>
      <w:r w:rsidR="00BC0D55">
        <w:rPr>
          <w:lang w:bidi="fr-FR"/>
        </w:rPr>
        <w:t>,</w:t>
      </w:r>
      <w:r w:rsidRPr="00A508D7">
        <w:rPr>
          <w:lang w:bidi="fr-FR"/>
        </w:rPr>
        <w:t xml:space="preserve"> et de la Malaisie</w:t>
      </w:r>
      <w:r w:rsidR="00BC0D55">
        <w:rPr>
          <w:lang w:bidi="fr-FR"/>
        </w:rPr>
        <w:t xml:space="preserve"> (au nom du groupe des pays hyper</w:t>
      </w:r>
      <w:r w:rsidRPr="00A508D7">
        <w:rPr>
          <w:lang w:bidi="fr-FR"/>
        </w:rPr>
        <w:t>divers</w:t>
      </w:r>
      <w:r w:rsidR="00BC0D55">
        <w:rPr>
          <w:lang w:bidi="fr-FR"/>
        </w:rPr>
        <w:t xml:space="preserve"> animés d’un </w:t>
      </w:r>
      <w:r w:rsidRPr="00A508D7">
        <w:rPr>
          <w:lang w:bidi="fr-FR"/>
        </w:rPr>
        <w:t xml:space="preserve">même esprit). </w:t>
      </w:r>
    </w:p>
    <w:p w14:paraId="72C65B32" w14:textId="3D90C49A" w:rsidR="00BC0D55" w:rsidRDefault="005C4A6F" w:rsidP="00BC0D55">
      <w:pPr>
        <w:pStyle w:val="Para1"/>
        <w:tabs>
          <w:tab w:val="clear" w:pos="360"/>
          <w:tab w:val="num" w:pos="0"/>
        </w:tabs>
      </w:pPr>
      <w:r w:rsidRPr="00A508D7">
        <w:rPr>
          <w:lang w:bidi="fr-FR"/>
        </w:rPr>
        <w:t>Des déclarations ont été faites également par des représentants de l’Indigenous Women’s</w:t>
      </w:r>
      <w:r w:rsidR="00BC0D55">
        <w:rPr>
          <w:lang w:bidi="fr-FR"/>
        </w:rPr>
        <w:t xml:space="preserve"> Biodiversity Network (IWBN), de l’</w:t>
      </w:r>
      <w:r w:rsidRPr="00A508D7">
        <w:rPr>
          <w:lang w:bidi="fr-FR"/>
        </w:rPr>
        <w:t>International Indigenous Forum for Biodiversity</w:t>
      </w:r>
      <w:r w:rsidR="00BC0D55">
        <w:rPr>
          <w:lang w:bidi="fr-FR"/>
        </w:rPr>
        <w:t xml:space="preserve"> (IIFB), de CBD Alliance et</w:t>
      </w:r>
      <w:r w:rsidRPr="00A508D7">
        <w:rPr>
          <w:lang w:bidi="fr-FR"/>
        </w:rPr>
        <w:t xml:space="preserve"> Global Youth Biodiversity Network (GYBN) et de</w:t>
      </w:r>
      <w:r w:rsidR="00BC0D55">
        <w:rPr>
          <w:lang w:bidi="fr-FR"/>
        </w:rPr>
        <w:t xml:space="preserve"> la Plateforme i</w:t>
      </w:r>
      <w:r w:rsidRPr="00A508D7">
        <w:rPr>
          <w:lang w:bidi="fr-FR"/>
        </w:rPr>
        <w:t>ntergo</w:t>
      </w:r>
      <w:r w:rsidR="00BC0D55">
        <w:rPr>
          <w:lang w:bidi="fr-FR"/>
        </w:rPr>
        <w:t>u</w:t>
      </w:r>
      <w:r w:rsidRPr="00A508D7">
        <w:rPr>
          <w:lang w:bidi="fr-FR"/>
        </w:rPr>
        <w:t>vern</w:t>
      </w:r>
      <w:r w:rsidR="00BC0D55">
        <w:rPr>
          <w:lang w:bidi="fr-FR"/>
        </w:rPr>
        <w:t>e</w:t>
      </w:r>
      <w:r w:rsidRPr="00A508D7">
        <w:rPr>
          <w:lang w:bidi="fr-FR"/>
        </w:rPr>
        <w:t>mental</w:t>
      </w:r>
      <w:r w:rsidR="00BC0D55">
        <w:rPr>
          <w:lang w:bidi="fr-FR"/>
        </w:rPr>
        <w:t>e scientifique et politique sur la biodiversité et les s</w:t>
      </w:r>
      <w:r w:rsidRPr="00A508D7">
        <w:rPr>
          <w:lang w:bidi="fr-FR"/>
        </w:rPr>
        <w:t>ervices</w:t>
      </w:r>
      <w:r w:rsidR="00BC0D55">
        <w:rPr>
          <w:lang w:bidi="fr-FR"/>
        </w:rPr>
        <w:t xml:space="preserve"> écosystémiques</w:t>
      </w:r>
      <w:r w:rsidRPr="00A508D7">
        <w:rPr>
          <w:lang w:bidi="fr-FR"/>
        </w:rPr>
        <w:t xml:space="preserve"> (IPBES).</w:t>
      </w:r>
    </w:p>
    <w:p w14:paraId="3D277B1D" w14:textId="1C6FBF43" w:rsidR="005C4A6F" w:rsidRPr="00A508D7" w:rsidRDefault="005C4A6F" w:rsidP="00BC0D55">
      <w:pPr>
        <w:pStyle w:val="Para1"/>
        <w:tabs>
          <w:tab w:val="clear" w:pos="360"/>
          <w:tab w:val="num" w:pos="0"/>
        </w:tabs>
      </w:pPr>
      <w:r w:rsidRPr="00A508D7">
        <w:rPr>
          <w:lang w:bidi="fr-FR"/>
        </w:rPr>
        <w:t>Les déclara</w:t>
      </w:r>
      <w:r w:rsidR="00BC0D55">
        <w:rPr>
          <w:lang w:bidi="fr-FR"/>
        </w:rPr>
        <w:t>tions liminaires sont résumées dans l’annexe II a</w:t>
      </w:r>
      <w:r w:rsidRPr="00A508D7">
        <w:rPr>
          <w:lang w:bidi="fr-FR"/>
        </w:rPr>
        <w:t>u rapport de la Conférence des Parties</w:t>
      </w:r>
      <w:r w:rsidR="00BC0D55" w:rsidRPr="00BC0D55">
        <w:rPr>
          <w:lang w:bidi="fr-FR"/>
        </w:rPr>
        <w:t xml:space="preserve"> </w:t>
      </w:r>
      <w:r w:rsidR="00BC0D55">
        <w:rPr>
          <w:lang w:bidi="fr-FR"/>
        </w:rPr>
        <w:t>sur s</w:t>
      </w:r>
      <w:r w:rsidR="00BC0D55" w:rsidRPr="00A508D7">
        <w:rPr>
          <w:lang w:bidi="fr-FR"/>
        </w:rPr>
        <w:t>a quatorzième réunion</w:t>
      </w:r>
      <w:r w:rsidRPr="00A508D7">
        <w:rPr>
          <w:lang w:bidi="fr-FR"/>
        </w:rPr>
        <w:t>.</w:t>
      </w:r>
    </w:p>
    <w:p w14:paraId="2EAAE6C5" w14:textId="77777777" w:rsidR="005C4A6F" w:rsidRPr="00A508D7" w:rsidRDefault="005C4A6F" w:rsidP="005C4A6F">
      <w:pPr>
        <w:pStyle w:val="Heading1"/>
        <w:rPr>
          <w:snapToGrid w:val="0"/>
        </w:rPr>
      </w:pPr>
      <w:bookmarkStart w:id="33" w:name="_Toc7428859"/>
      <w:r w:rsidRPr="00A508D7">
        <w:rPr>
          <w:snapToGrid w:val="0"/>
          <w:lang w:bidi="fr-FR"/>
        </w:rPr>
        <w:t>Point 2.</w:t>
      </w:r>
      <w:r w:rsidRPr="00A508D7">
        <w:rPr>
          <w:snapToGrid w:val="0"/>
          <w:lang w:bidi="fr-FR"/>
        </w:rPr>
        <w:tab/>
        <w:t>Questions d'organisation</w:t>
      </w:r>
      <w:bookmarkEnd w:id="33"/>
    </w:p>
    <w:p w14:paraId="6D63E83C" w14:textId="7EA2981B" w:rsidR="005C4A6F" w:rsidRPr="00742722" w:rsidRDefault="00E73568" w:rsidP="00742722">
      <w:pPr>
        <w:jc w:val="center"/>
        <w:rPr>
          <w:b/>
          <w:lang w:eastAsia="en-CA"/>
        </w:rPr>
      </w:pPr>
      <w:r w:rsidRPr="00742722">
        <w:rPr>
          <w:b/>
          <w:lang w:bidi="fr-FR"/>
        </w:rPr>
        <w:t>2.1</w:t>
      </w:r>
      <w:r w:rsidRPr="00742722">
        <w:rPr>
          <w:b/>
          <w:lang w:bidi="fr-FR"/>
        </w:rPr>
        <w:tab/>
        <w:t>Élection de la</w:t>
      </w:r>
      <w:r w:rsidR="005C4A6F" w:rsidRPr="00742722">
        <w:rPr>
          <w:b/>
          <w:lang w:bidi="fr-FR"/>
        </w:rPr>
        <w:t xml:space="preserve"> </w:t>
      </w:r>
      <w:r w:rsidRPr="00742722">
        <w:rPr>
          <w:b/>
          <w:lang w:bidi="fr-FR"/>
        </w:rPr>
        <w:t>présidence</w:t>
      </w:r>
      <w:r w:rsidR="005C4A6F" w:rsidRPr="00742722">
        <w:rPr>
          <w:b/>
          <w:lang w:bidi="fr-FR"/>
        </w:rPr>
        <w:t xml:space="preserve"> et des membres suppléants</w:t>
      </w:r>
    </w:p>
    <w:p w14:paraId="2CD12961" w14:textId="0928FA1B" w:rsidR="005C4A6F" w:rsidRPr="005F3582" w:rsidRDefault="00E73568" w:rsidP="005F3582">
      <w:pPr>
        <w:spacing w:before="120"/>
        <w:rPr>
          <w:i/>
          <w:snapToGrid w:val="0"/>
          <w:lang w:eastAsia="en-CA"/>
        </w:rPr>
      </w:pPr>
      <w:r w:rsidRPr="005F3582">
        <w:rPr>
          <w:i/>
          <w:snapToGrid w:val="0"/>
          <w:lang w:bidi="fr-FR"/>
        </w:rPr>
        <w:t>Élection de la</w:t>
      </w:r>
      <w:r w:rsidR="005C4A6F" w:rsidRPr="005F3582">
        <w:rPr>
          <w:i/>
          <w:snapToGrid w:val="0"/>
          <w:lang w:bidi="fr-FR"/>
        </w:rPr>
        <w:t xml:space="preserve"> </w:t>
      </w:r>
      <w:r w:rsidRPr="005F3582">
        <w:rPr>
          <w:i/>
          <w:snapToGrid w:val="0"/>
          <w:lang w:bidi="fr-FR"/>
        </w:rPr>
        <w:t>présidence</w:t>
      </w:r>
    </w:p>
    <w:p w14:paraId="6F2D3126" w14:textId="4E3FB50C" w:rsidR="005C4A6F" w:rsidRPr="00A508D7" w:rsidRDefault="005C4A6F" w:rsidP="00BC0D55">
      <w:pPr>
        <w:pStyle w:val="Para1"/>
        <w:tabs>
          <w:tab w:val="clear" w:pos="360"/>
          <w:tab w:val="num" w:pos="0"/>
        </w:tabs>
      </w:pPr>
      <w:bookmarkStart w:id="34" w:name="_Hlk530379600"/>
      <w:r w:rsidRPr="00A508D7">
        <w:rPr>
          <w:lang w:bidi="fr-FR"/>
        </w:rPr>
        <w:t xml:space="preserve">Sous réserve du paragraphe 3 de </w:t>
      </w:r>
      <w:r w:rsidR="00BC0D55">
        <w:rPr>
          <w:lang w:bidi="fr-FR"/>
        </w:rPr>
        <w:t>l’article</w:t>
      </w:r>
      <w:r w:rsidRPr="00A508D7">
        <w:rPr>
          <w:lang w:bidi="fr-FR"/>
        </w:rPr>
        <w:t xml:space="preserve"> 29 du Protocole de Cartagena, le Bureau de la Conférence des Parties </w:t>
      </w:r>
      <w:r w:rsidR="00BC0D55">
        <w:rPr>
          <w:lang w:bidi="fr-FR"/>
        </w:rPr>
        <w:t>siège aussi comme Bureau de</w:t>
      </w:r>
      <w:r w:rsidRPr="00A508D7">
        <w:rPr>
          <w:lang w:bidi="fr-FR"/>
        </w:rPr>
        <w:t xml:space="preserve"> la Conférence des Parties siégeant en tant que réunion des Parties au Protocole de Cartagena. En conséquence, Mme Fouad, qui avait été élue </w:t>
      </w:r>
      <w:r w:rsidR="00BC0D55">
        <w:rPr>
          <w:lang w:bidi="fr-FR"/>
        </w:rPr>
        <w:t>président</w:t>
      </w:r>
      <w:r w:rsidRPr="00A508D7">
        <w:rPr>
          <w:lang w:bidi="fr-FR"/>
        </w:rPr>
        <w:t>e de la quatorzième réunion de la Conférence de</w:t>
      </w:r>
      <w:r w:rsidR="00BC0D55">
        <w:rPr>
          <w:lang w:bidi="fr-FR"/>
        </w:rPr>
        <w:t xml:space="preserve">s Parties, a siégé également </w:t>
      </w:r>
      <w:r w:rsidRPr="00A508D7">
        <w:rPr>
          <w:lang w:bidi="fr-FR"/>
        </w:rPr>
        <w:t xml:space="preserve">en tant que </w:t>
      </w:r>
      <w:r w:rsidR="00BC0D55">
        <w:rPr>
          <w:lang w:bidi="fr-FR"/>
        </w:rPr>
        <w:t>président</w:t>
      </w:r>
      <w:r w:rsidRPr="00A508D7">
        <w:rPr>
          <w:lang w:bidi="fr-FR"/>
        </w:rPr>
        <w:t xml:space="preserve">e de la neuvième réunion de la </w:t>
      </w:r>
      <w:bookmarkStart w:id="35" w:name="_Hlk530379052"/>
      <w:r w:rsidRPr="00A508D7">
        <w:rPr>
          <w:lang w:bidi="fr-FR"/>
        </w:rPr>
        <w:t>Conférence des Parties siégeant en tant que réunion des Parties au Protocole de Cartagena</w:t>
      </w:r>
      <w:bookmarkEnd w:id="35"/>
      <w:r w:rsidRPr="00A508D7">
        <w:rPr>
          <w:lang w:bidi="fr-FR"/>
        </w:rPr>
        <w:t>.</w:t>
      </w:r>
    </w:p>
    <w:bookmarkEnd w:id="34"/>
    <w:p w14:paraId="33C36083" w14:textId="77777777" w:rsidR="005C4A6F" w:rsidRPr="00A508D7" w:rsidRDefault="005C4A6F" w:rsidP="005F3582">
      <w:pPr>
        <w:rPr>
          <w:rFonts w:eastAsia="Times New Roman"/>
          <w:i/>
          <w:iCs/>
          <w:snapToGrid w:val="0"/>
          <w:kern w:val="22"/>
          <w:szCs w:val="22"/>
          <w:lang w:eastAsia="en-CA"/>
        </w:rPr>
      </w:pPr>
      <w:r w:rsidRPr="00A508D7">
        <w:rPr>
          <w:rFonts w:eastAsia="Times New Roman"/>
          <w:i/>
          <w:snapToGrid w:val="0"/>
          <w:kern w:val="22"/>
          <w:szCs w:val="22"/>
          <w:lang w:bidi="fr-FR"/>
        </w:rPr>
        <w:t>Élection des membres suppléants</w:t>
      </w:r>
    </w:p>
    <w:p w14:paraId="695A5608" w14:textId="7A1052C7" w:rsidR="005C4A6F" w:rsidRPr="00A508D7" w:rsidRDefault="005C4A6F" w:rsidP="00BC0D55">
      <w:pPr>
        <w:pStyle w:val="Para1"/>
        <w:tabs>
          <w:tab w:val="clear" w:pos="360"/>
          <w:tab w:val="num" w:pos="0"/>
        </w:tabs>
      </w:pPr>
      <w:r w:rsidRPr="00A508D7">
        <w:rPr>
          <w:lang w:bidi="fr-FR"/>
        </w:rPr>
        <w:t xml:space="preserve">Le paragraphe 3 de </w:t>
      </w:r>
      <w:r w:rsidR="00BC0D55">
        <w:rPr>
          <w:lang w:bidi="fr-FR"/>
        </w:rPr>
        <w:t>l’article</w:t>
      </w:r>
      <w:r w:rsidRPr="00A508D7">
        <w:rPr>
          <w:lang w:bidi="fr-FR"/>
        </w:rPr>
        <w:t xml:space="preserve"> 29 du Protocole de Carta</w:t>
      </w:r>
      <w:r w:rsidR="00BC0D55">
        <w:rPr>
          <w:lang w:bidi="fr-FR"/>
        </w:rPr>
        <w:t>gena dispos</w:t>
      </w:r>
      <w:r w:rsidRPr="00A508D7">
        <w:rPr>
          <w:lang w:bidi="fr-FR"/>
        </w:rPr>
        <w:t>e que tout membre du Bureau de la Conférence des</w:t>
      </w:r>
      <w:r w:rsidR="00BC0D55">
        <w:rPr>
          <w:lang w:bidi="fr-FR"/>
        </w:rPr>
        <w:t xml:space="preserve"> Parties, qui représentait une P</w:t>
      </w:r>
      <w:r w:rsidRPr="00A508D7">
        <w:rPr>
          <w:lang w:bidi="fr-FR"/>
        </w:rPr>
        <w:t>artie à</w:t>
      </w:r>
      <w:r w:rsidR="00BC0D55">
        <w:rPr>
          <w:lang w:bidi="fr-FR"/>
        </w:rPr>
        <w:t xml:space="preserve"> la Convention qui n’était pas P</w:t>
      </w:r>
      <w:r w:rsidRPr="00A508D7">
        <w:rPr>
          <w:lang w:bidi="fr-FR"/>
        </w:rPr>
        <w:t>artie au Protocole doit être remplacé par un membre élu par et parmi les Parties au Protocole. La Conférence des Parties, à sa treizième réunion, avait élu 10 membres du Bureau chargés de siéger jusqu’à la clôture de la quatorzième réunion. Par la suite, à sa huitième réunion, la Conférence des Parties siégeant en tant que réunion des Parties au Protocole de Cartagena a élu des m</w:t>
      </w:r>
      <w:r w:rsidR="00BC0D55">
        <w:rPr>
          <w:lang w:bidi="fr-FR"/>
        </w:rPr>
        <w:t>embres suppléants du Bureau pour les régions dans lesquelles les membres du B</w:t>
      </w:r>
      <w:r w:rsidRPr="00A508D7">
        <w:rPr>
          <w:lang w:bidi="fr-FR"/>
        </w:rPr>
        <w:t xml:space="preserve">ureau de la Conférence </w:t>
      </w:r>
      <w:r w:rsidR="00BC0D55">
        <w:rPr>
          <w:lang w:bidi="fr-FR"/>
        </w:rPr>
        <w:t>des Parties représentaient une P</w:t>
      </w:r>
      <w:r w:rsidRPr="00A508D7">
        <w:rPr>
          <w:lang w:bidi="fr-FR"/>
        </w:rPr>
        <w:t>artie à</w:t>
      </w:r>
      <w:r w:rsidR="00BC0D55">
        <w:rPr>
          <w:lang w:bidi="fr-FR"/>
        </w:rPr>
        <w:t xml:space="preserve"> la Convention qui n’était pas P</w:t>
      </w:r>
      <w:r w:rsidRPr="00A508D7">
        <w:rPr>
          <w:lang w:bidi="fr-FR"/>
        </w:rPr>
        <w:t>artie au Protocole. Par la suite, les deux représen</w:t>
      </w:r>
      <w:r w:rsidR="00BC0D55">
        <w:rPr>
          <w:lang w:bidi="fr-FR"/>
        </w:rPr>
        <w:t>tants ont été remplacés par la P</w:t>
      </w:r>
      <w:r w:rsidRPr="00A508D7">
        <w:rPr>
          <w:lang w:bidi="fr-FR"/>
        </w:rPr>
        <w:t xml:space="preserve">artie concernée. Ainsi, outre la </w:t>
      </w:r>
      <w:r w:rsidR="00BC0D55">
        <w:rPr>
          <w:lang w:bidi="fr-FR"/>
        </w:rPr>
        <w:t>président</w:t>
      </w:r>
      <w:r w:rsidRPr="00A508D7">
        <w:rPr>
          <w:lang w:bidi="fr-FR"/>
        </w:rPr>
        <w:t>e, le Bureau de la neuvième réunion de la Conférence des Parties siégeant en tant que réunion des Parties au Protocole de Cartagena comprenait les personnes suivantes :</w:t>
      </w:r>
    </w:p>
    <w:p w14:paraId="49A365F2" w14:textId="65379143" w:rsidR="005C4A6F" w:rsidRPr="009A55D2" w:rsidRDefault="005C4A6F" w:rsidP="005C4A6F">
      <w:pPr>
        <w:pStyle w:val="Para1"/>
        <w:numPr>
          <w:ilvl w:val="0"/>
          <w:numId w:val="0"/>
        </w:numPr>
        <w:ind w:left="1440"/>
        <w:contextualSpacing/>
        <w:rPr>
          <w:lang w:val="en-AU"/>
        </w:rPr>
      </w:pPr>
      <w:r w:rsidRPr="009A55D2">
        <w:rPr>
          <w:lang w:val="en-AU" w:bidi="fr-FR"/>
        </w:rPr>
        <w:t xml:space="preserve">M. Mohamed Ali </w:t>
      </w:r>
      <w:r w:rsidR="00BC0D55">
        <w:rPr>
          <w:lang w:val="en-AU" w:bidi="fr-FR"/>
        </w:rPr>
        <w:t xml:space="preserve">ben </w:t>
      </w:r>
      <w:r w:rsidRPr="009A55D2">
        <w:rPr>
          <w:lang w:val="en-AU" w:bidi="fr-FR"/>
        </w:rPr>
        <w:t>Temessek (Tunisie)</w:t>
      </w:r>
    </w:p>
    <w:p w14:paraId="1C8AC41E" w14:textId="77777777" w:rsidR="005C4A6F" w:rsidRPr="00A508D7" w:rsidRDefault="005C4A6F" w:rsidP="005C4A6F">
      <w:pPr>
        <w:pStyle w:val="Para1"/>
        <w:numPr>
          <w:ilvl w:val="0"/>
          <w:numId w:val="0"/>
        </w:numPr>
        <w:ind w:left="1440"/>
        <w:contextualSpacing/>
      </w:pPr>
      <w:r w:rsidRPr="00A508D7">
        <w:rPr>
          <w:lang w:bidi="fr-FR"/>
        </w:rPr>
        <w:t>M. Samuel Ndayiragije (Burundi)</w:t>
      </w:r>
    </w:p>
    <w:p w14:paraId="12926627" w14:textId="77777777" w:rsidR="005C4A6F" w:rsidRPr="00A508D7" w:rsidRDefault="005C4A6F" w:rsidP="005C4A6F">
      <w:pPr>
        <w:pStyle w:val="Para1"/>
        <w:numPr>
          <w:ilvl w:val="0"/>
          <w:numId w:val="0"/>
        </w:numPr>
        <w:ind w:left="1440"/>
        <w:contextualSpacing/>
      </w:pPr>
      <w:r w:rsidRPr="00A508D7">
        <w:rPr>
          <w:lang w:bidi="fr-FR"/>
        </w:rPr>
        <w:t>Mme Elvana Ramaj (Albanie)</w:t>
      </w:r>
    </w:p>
    <w:p w14:paraId="1565A2F0" w14:textId="097F5A22" w:rsidR="005C4A6F" w:rsidRPr="009A55D2" w:rsidRDefault="00BC0D55" w:rsidP="005C4A6F">
      <w:pPr>
        <w:pStyle w:val="Para1"/>
        <w:numPr>
          <w:ilvl w:val="0"/>
          <w:numId w:val="0"/>
        </w:numPr>
        <w:ind w:left="1440"/>
        <w:contextualSpacing/>
        <w:rPr>
          <w:lang w:val="en-AU"/>
        </w:rPr>
      </w:pPr>
      <w:r>
        <w:rPr>
          <w:lang w:val="en-AU" w:bidi="fr-FR"/>
        </w:rPr>
        <w:t>Mme Elena Makeyeva (Be</w:t>
      </w:r>
      <w:r w:rsidR="005C4A6F" w:rsidRPr="009A55D2">
        <w:rPr>
          <w:lang w:val="en-AU" w:bidi="fr-FR"/>
        </w:rPr>
        <w:t>larus)</w:t>
      </w:r>
    </w:p>
    <w:p w14:paraId="77289093" w14:textId="77777777" w:rsidR="005C4A6F" w:rsidRPr="009A55D2" w:rsidRDefault="005C4A6F" w:rsidP="005C4A6F">
      <w:pPr>
        <w:pStyle w:val="Para1"/>
        <w:numPr>
          <w:ilvl w:val="0"/>
          <w:numId w:val="0"/>
        </w:numPr>
        <w:ind w:left="1440"/>
        <w:contextualSpacing/>
        <w:rPr>
          <w:lang w:val="en-AU"/>
        </w:rPr>
      </w:pPr>
      <w:r w:rsidRPr="009A55D2">
        <w:rPr>
          <w:lang w:val="en-AU" w:bidi="fr-FR"/>
        </w:rPr>
        <w:t>M. Randolph Edmead (Saint-Kitts-et-Nevis)</w:t>
      </w:r>
    </w:p>
    <w:p w14:paraId="6A3F4ADD" w14:textId="77777777" w:rsidR="005C4A6F" w:rsidRPr="00A508D7" w:rsidRDefault="005C4A6F" w:rsidP="005C4A6F">
      <w:pPr>
        <w:pStyle w:val="Para1"/>
        <w:numPr>
          <w:ilvl w:val="0"/>
          <w:numId w:val="0"/>
        </w:numPr>
        <w:ind w:left="1440"/>
        <w:contextualSpacing/>
      </w:pPr>
      <w:r w:rsidRPr="00A508D7">
        <w:rPr>
          <w:lang w:bidi="fr-FR"/>
        </w:rPr>
        <w:t>Mme Nina de Clarissa (Brésil)</w:t>
      </w:r>
    </w:p>
    <w:p w14:paraId="1927FD0B" w14:textId="77777777" w:rsidR="005C4A6F" w:rsidRPr="00A508D7" w:rsidRDefault="005C4A6F" w:rsidP="005C4A6F">
      <w:pPr>
        <w:pStyle w:val="Para1"/>
        <w:numPr>
          <w:ilvl w:val="0"/>
          <w:numId w:val="0"/>
        </w:numPr>
        <w:ind w:left="1440"/>
        <w:contextualSpacing/>
      </w:pPr>
      <w:r w:rsidRPr="00A508D7">
        <w:rPr>
          <w:lang w:bidi="fr-FR"/>
        </w:rPr>
        <w:t>M. Hayo Haanstra (Pays-Bas)</w:t>
      </w:r>
    </w:p>
    <w:p w14:paraId="2E235308" w14:textId="77777777" w:rsidR="005C4A6F" w:rsidRPr="00A508D7" w:rsidRDefault="005C4A6F" w:rsidP="005C4A6F">
      <w:pPr>
        <w:pStyle w:val="Para1"/>
        <w:numPr>
          <w:ilvl w:val="0"/>
          <w:numId w:val="0"/>
        </w:numPr>
        <w:ind w:left="1440"/>
        <w:contextualSpacing/>
      </w:pPr>
      <w:r w:rsidRPr="00A508D7">
        <w:rPr>
          <w:lang w:bidi="fr-FR"/>
        </w:rPr>
        <w:t>M. Gaute Voigt-Hanssen (Norvège)</w:t>
      </w:r>
    </w:p>
    <w:p w14:paraId="1C35310D" w14:textId="1B10639E" w:rsidR="005C4A6F" w:rsidRPr="00A441A2" w:rsidRDefault="00BC0D55" w:rsidP="005C4A6F">
      <w:pPr>
        <w:pStyle w:val="Para1"/>
        <w:numPr>
          <w:ilvl w:val="0"/>
          <w:numId w:val="0"/>
        </w:numPr>
        <w:ind w:left="1440"/>
        <w:contextualSpacing/>
        <w:rPr>
          <w:lang w:val="en-AU"/>
        </w:rPr>
      </w:pPr>
      <w:r w:rsidRPr="00A441A2">
        <w:rPr>
          <w:lang w:val="en-AU" w:bidi="fr-FR"/>
        </w:rPr>
        <w:t>Mme. Gwendalyn K. Sisior (Palaos</w:t>
      </w:r>
      <w:r w:rsidR="005C4A6F" w:rsidRPr="00A441A2">
        <w:rPr>
          <w:lang w:val="en-AU" w:bidi="fr-FR"/>
        </w:rPr>
        <w:t>)</w:t>
      </w:r>
    </w:p>
    <w:p w14:paraId="3FA77CB7" w14:textId="77777777" w:rsidR="005C4A6F" w:rsidRPr="00A441A2" w:rsidRDefault="005C4A6F" w:rsidP="005C4A6F">
      <w:pPr>
        <w:pStyle w:val="Para1"/>
        <w:numPr>
          <w:ilvl w:val="0"/>
          <w:numId w:val="0"/>
        </w:numPr>
        <w:ind w:left="1440"/>
        <w:rPr>
          <w:lang w:val="en-AU"/>
        </w:rPr>
      </w:pPr>
      <w:r w:rsidRPr="00A441A2">
        <w:rPr>
          <w:lang w:val="en-AU" w:bidi="fr-FR"/>
        </w:rPr>
        <w:lastRenderedPageBreak/>
        <w:t>M. Monyrak Meng (Cambodge)</w:t>
      </w:r>
    </w:p>
    <w:p w14:paraId="50403BDA" w14:textId="77777777" w:rsidR="00176A16" w:rsidRDefault="00710E66" w:rsidP="00176A16">
      <w:pPr>
        <w:pStyle w:val="Para1"/>
        <w:tabs>
          <w:tab w:val="clear" w:pos="360"/>
          <w:tab w:val="num" w:pos="0"/>
        </w:tabs>
      </w:pPr>
      <w:bookmarkStart w:id="36" w:name="_Hlk530375766"/>
      <w:r>
        <w:rPr>
          <w:lang w:bidi="fr-FR"/>
        </w:rPr>
        <w:t>A la 2</w:t>
      </w:r>
      <w:r w:rsidRPr="00710E66">
        <w:rPr>
          <w:vertAlign w:val="superscript"/>
          <w:lang w:bidi="fr-FR"/>
        </w:rPr>
        <w:t>ème</w:t>
      </w:r>
      <w:r w:rsidR="005C4A6F" w:rsidRPr="00A508D7">
        <w:rPr>
          <w:lang w:bidi="fr-FR"/>
        </w:rPr>
        <w:t xml:space="preserve"> séance plénière de la réunion, le 17 novembre 2018, il a été convenu, sur proposition du Bureau, </w:t>
      </w:r>
      <w:r w:rsidR="005C4A6F" w:rsidRPr="00A508D7">
        <w:rPr>
          <w:rFonts w:eastAsiaTheme="minorEastAsia"/>
          <w:szCs w:val="24"/>
          <w:lang w:bidi="fr-FR"/>
        </w:rPr>
        <w:t xml:space="preserve">que M. Monyrak Meng (Cambodge) </w:t>
      </w:r>
      <w:r w:rsidR="005C4A6F" w:rsidRPr="00A508D7">
        <w:rPr>
          <w:lang w:bidi="fr-FR"/>
        </w:rPr>
        <w:t>ferait o</w:t>
      </w:r>
      <w:r w:rsidR="00176A16">
        <w:rPr>
          <w:lang w:bidi="fr-FR"/>
        </w:rPr>
        <w:t>ffice de Rapporteur de la réunion</w:t>
      </w:r>
      <w:r w:rsidR="005C4A6F" w:rsidRPr="00A508D7">
        <w:rPr>
          <w:lang w:bidi="fr-FR"/>
        </w:rPr>
        <w:t>.</w:t>
      </w:r>
      <w:bookmarkEnd w:id="36"/>
    </w:p>
    <w:p w14:paraId="17562F09" w14:textId="771258EB" w:rsidR="005C4A6F" w:rsidRPr="00A508D7" w:rsidRDefault="005C4A6F" w:rsidP="00176A16">
      <w:pPr>
        <w:pStyle w:val="Para1"/>
        <w:tabs>
          <w:tab w:val="clear" w:pos="360"/>
          <w:tab w:val="num" w:pos="0"/>
        </w:tabs>
      </w:pPr>
      <w:r w:rsidRPr="00A508D7">
        <w:rPr>
          <w:lang w:bidi="fr-FR"/>
        </w:rPr>
        <w:t>À sa 4</w:t>
      </w:r>
      <w:r w:rsidRPr="00176A16">
        <w:rPr>
          <w:vertAlign w:val="superscript"/>
          <w:lang w:bidi="fr-FR"/>
        </w:rPr>
        <w:t>ème</w:t>
      </w:r>
      <w:r w:rsidRPr="00A508D7">
        <w:rPr>
          <w:lang w:bidi="fr-FR"/>
        </w:rPr>
        <w:t xml:space="preserve"> séance plénière, le 22 novembre 2018, la Conférence des Parties a élu 10 représentants siégeant en tant que membres du Bureau pour un mandat commençant à la clôture de sa quatorzième réunion et se terminant à </w:t>
      </w:r>
      <w:r w:rsidR="00176A16">
        <w:rPr>
          <w:lang w:bidi="fr-FR"/>
        </w:rPr>
        <w:t>la clôture de la quinzième réuni</w:t>
      </w:r>
      <w:r w:rsidRPr="00A508D7">
        <w:rPr>
          <w:lang w:bidi="fr-FR"/>
        </w:rPr>
        <w:t>on. Comme tous les 10 membres élus étaient originaires de pays qui sont é</w:t>
      </w:r>
      <w:r w:rsidR="00176A16">
        <w:rPr>
          <w:lang w:bidi="fr-FR"/>
        </w:rPr>
        <w:t>galement P</w:t>
      </w:r>
      <w:r w:rsidRPr="00A508D7">
        <w:rPr>
          <w:lang w:bidi="fr-FR"/>
        </w:rPr>
        <w:t xml:space="preserve">arties au Protocole de </w:t>
      </w:r>
      <w:r w:rsidR="00176A16">
        <w:rPr>
          <w:lang w:bidi="fr-FR"/>
        </w:rPr>
        <w:t xml:space="preserve">Cartagena, ces membres siégeraient également comme Bureau </w:t>
      </w:r>
      <w:r w:rsidRPr="00A508D7">
        <w:rPr>
          <w:lang w:bidi="fr-FR"/>
        </w:rPr>
        <w:t xml:space="preserve">de la dixième </w:t>
      </w:r>
      <w:r w:rsidR="00176A16">
        <w:rPr>
          <w:lang w:bidi="fr-FR"/>
        </w:rPr>
        <w:t xml:space="preserve">réunion de la </w:t>
      </w:r>
      <w:r w:rsidRPr="00A508D7">
        <w:rPr>
          <w:lang w:bidi="fr-FR"/>
        </w:rPr>
        <w:t>Conférence des Parties siégeant en tant que réunion des Parties au Protocole de Cartagena, sans nécessité de membres suppléants.</w:t>
      </w:r>
    </w:p>
    <w:p w14:paraId="60571D59" w14:textId="77777777" w:rsidR="005C4A6F" w:rsidRPr="00742722" w:rsidRDefault="005C4A6F" w:rsidP="00742722">
      <w:pPr>
        <w:jc w:val="center"/>
        <w:rPr>
          <w:b/>
        </w:rPr>
      </w:pPr>
      <w:r w:rsidRPr="00742722">
        <w:rPr>
          <w:b/>
          <w:lang w:bidi="fr-FR"/>
        </w:rPr>
        <w:t>2.2.</w:t>
      </w:r>
      <w:r w:rsidRPr="00742722">
        <w:rPr>
          <w:b/>
          <w:lang w:bidi="fr-FR"/>
        </w:rPr>
        <w:tab/>
        <w:t>Adoption de l'ordre du jour</w:t>
      </w:r>
    </w:p>
    <w:p w14:paraId="090DB833" w14:textId="4CC1A2CF" w:rsidR="005C4A6F" w:rsidRPr="00A508D7" w:rsidRDefault="00710E66" w:rsidP="00176A16">
      <w:pPr>
        <w:pStyle w:val="Para1"/>
        <w:tabs>
          <w:tab w:val="clear" w:pos="360"/>
          <w:tab w:val="num" w:pos="0"/>
        </w:tabs>
      </w:pPr>
      <w:r>
        <w:rPr>
          <w:lang w:bidi="fr-FR"/>
        </w:rPr>
        <w:t>À la 2</w:t>
      </w:r>
      <w:r w:rsidRPr="00710E66">
        <w:rPr>
          <w:vertAlign w:val="superscript"/>
          <w:lang w:bidi="fr-FR"/>
        </w:rPr>
        <w:t>ème</w:t>
      </w:r>
      <w:r w:rsidR="005C4A6F" w:rsidRPr="00A508D7">
        <w:rPr>
          <w:lang w:bidi="fr-FR"/>
        </w:rPr>
        <w:t xml:space="preserve"> séance plénière de la réunion, la Conférence des Parties siégeant en tant que réunion des Parties au Protocole de Cartagena a adopté l’ordre du jour ci-après, sur la base de l’ordre du jour provisoire préparé par la Secrétaire exécutive en consultation avec le Bureau (CBD/CP/MOP/9/1) :</w:t>
      </w:r>
    </w:p>
    <w:p w14:paraId="6E604056" w14:textId="7777777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Ouverture de la réunion.</w:t>
      </w:r>
    </w:p>
    <w:p w14:paraId="7D910BD7" w14:textId="7777777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Organisation de la réunion.</w:t>
      </w:r>
    </w:p>
    <w:p w14:paraId="408026D3" w14:textId="7777777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Rapport sur les pouvoirs des représentants à la neuvième réunion de la Conférence des Parties siégeant en tant que réunion des Parties au Protocole de Cartagena.</w:t>
      </w:r>
    </w:p>
    <w:p w14:paraId="0F5E3FE7" w14:textId="7777777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Rapports des organes subsidiaires.</w:t>
      </w:r>
    </w:p>
    <w:p w14:paraId="2DC62CD4" w14:textId="4981C085"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Rapports du Comi</w:t>
      </w:r>
      <w:r w:rsidR="00176A16">
        <w:rPr>
          <w:snapToGrid w:val="0"/>
          <w:kern w:val="22"/>
          <w:szCs w:val="22"/>
          <w:lang w:bidi="fr-FR"/>
        </w:rPr>
        <w:t>té chargé du respect des obliga</w:t>
      </w:r>
      <w:r w:rsidRPr="00A508D7">
        <w:rPr>
          <w:snapToGrid w:val="0"/>
          <w:kern w:val="22"/>
          <w:szCs w:val="22"/>
          <w:lang w:bidi="fr-FR"/>
        </w:rPr>
        <w:t>tions</w:t>
      </w:r>
    </w:p>
    <w:p w14:paraId="26B2856D" w14:textId="5B8989A2" w:rsidR="005C4A6F" w:rsidRPr="00A508D7" w:rsidRDefault="005C4A6F" w:rsidP="004C7DBD">
      <w:pPr>
        <w:numPr>
          <w:ilvl w:val="0"/>
          <w:numId w:val="16"/>
        </w:numPr>
        <w:tabs>
          <w:tab w:val="clear" w:pos="720"/>
          <w:tab w:val="num" w:pos="770"/>
        </w:tabs>
        <w:kinsoku w:val="0"/>
        <w:overflowPunct w:val="0"/>
        <w:autoSpaceDE w:val="0"/>
        <w:autoSpaceDN w:val="0"/>
        <w:spacing w:before="60" w:after="80"/>
        <w:ind w:left="1701" w:hanging="720"/>
        <w:jc w:val="left"/>
        <w:rPr>
          <w:snapToGrid w:val="0"/>
          <w:kern w:val="22"/>
        </w:rPr>
      </w:pPr>
      <w:r w:rsidRPr="00A508D7">
        <w:rPr>
          <w:snapToGrid w:val="0"/>
          <w:kern w:val="22"/>
          <w:lang w:bidi="fr-FR"/>
        </w:rPr>
        <w:t>Ad</w:t>
      </w:r>
      <w:r w:rsidR="00176A16">
        <w:rPr>
          <w:snapToGrid w:val="0"/>
          <w:kern w:val="22"/>
          <w:lang w:bidi="fr-FR"/>
        </w:rPr>
        <w:t>ministration du Protocole et budget des</w:t>
      </w:r>
      <w:r w:rsidRPr="00A508D7">
        <w:rPr>
          <w:snapToGrid w:val="0"/>
          <w:kern w:val="22"/>
          <w:lang w:bidi="fr-FR"/>
        </w:rPr>
        <w:t xml:space="preserve"> Fonds d’affectation spéciale.</w:t>
      </w:r>
    </w:p>
    <w:p w14:paraId="29B57A38" w14:textId="638B772F" w:rsidR="005C4A6F" w:rsidRPr="00A508D7" w:rsidRDefault="00176A16"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Pr>
          <w:snapToGrid w:val="0"/>
          <w:kern w:val="22"/>
          <w:szCs w:val="22"/>
          <w:lang w:bidi="fr-FR"/>
        </w:rPr>
        <w:t>Questions relativ</w:t>
      </w:r>
      <w:r w:rsidR="005C4A6F" w:rsidRPr="00A508D7">
        <w:rPr>
          <w:snapToGrid w:val="0"/>
          <w:kern w:val="22"/>
          <w:szCs w:val="22"/>
          <w:lang w:bidi="fr-FR"/>
        </w:rPr>
        <w:t xml:space="preserve">es au </w:t>
      </w:r>
      <w:r>
        <w:rPr>
          <w:snapToGrid w:val="0"/>
          <w:kern w:val="22"/>
          <w:szCs w:val="22"/>
          <w:lang w:bidi="fr-FR"/>
        </w:rPr>
        <w:t xml:space="preserve">mécanisme de financement et aux </w:t>
      </w:r>
      <w:r w:rsidR="005C4A6F" w:rsidRPr="00A508D7">
        <w:rPr>
          <w:snapToGrid w:val="0"/>
          <w:kern w:val="22"/>
          <w:szCs w:val="22"/>
          <w:lang w:bidi="fr-FR"/>
        </w:rPr>
        <w:t>ressources</w:t>
      </w:r>
      <w:r>
        <w:rPr>
          <w:snapToGrid w:val="0"/>
          <w:kern w:val="22"/>
          <w:szCs w:val="22"/>
          <w:lang w:bidi="fr-FR"/>
        </w:rPr>
        <w:t xml:space="preserve"> financières (article </w:t>
      </w:r>
      <w:r w:rsidR="005C4A6F" w:rsidRPr="00A508D7">
        <w:rPr>
          <w:snapToGrid w:val="0"/>
          <w:kern w:val="22"/>
          <w:szCs w:val="22"/>
          <w:lang w:bidi="fr-FR"/>
        </w:rPr>
        <w:t>28).</w:t>
      </w:r>
    </w:p>
    <w:p w14:paraId="321E8518" w14:textId="529F2C00"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Renfor</w:t>
      </w:r>
      <w:r w:rsidR="00176A16">
        <w:rPr>
          <w:snapToGrid w:val="0"/>
          <w:kern w:val="22"/>
          <w:szCs w:val="22"/>
          <w:lang w:bidi="fr-FR"/>
        </w:rPr>
        <w:t>cement des capacités (a</w:t>
      </w:r>
      <w:r w:rsidRPr="00A508D7">
        <w:rPr>
          <w:snapToGrid w:val="0"/>
          <w:kern w:val="22"/>
          <w:szCs w:val="22"/>
          <w:lang w:bidi="fr-FR"/>
        </w:rPr>
        <w:t>rticle 22)</w:t>
      </w:r>
    </w:p>
    <w:p w14:paraId="57E4BFE3" w14:textId="0DF6659C"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 xml:space="preserve">Fonctionnement et activités du Centre d’échange pour la prévention </w:t>
      </w:r>
      <w:r w:rsidR="00176A16">
        <w:rPr>
          <w:snapToGrid w:val="0"/>
          <w:kern w:val="22"/>
          <w:szCs w:val="22"/>
          <w:lang w:bidi="fr-FR"/>
        </w:rPr>
        <w:t>des risques biotechnologiques (a</w:t>
      </w:r>
      <w:r w:rsidRPr="00A508D7">
        <w:rPr>
          <w:snapToGrid w:val="0"/>
          <w:kern w:val="22"/>
          <w:szCs w:val="22"/>
          <w:lang w:bidi="fr-FR"/>
        </w:rPr>
        <w:t>rticle 20).</w:t>
      </w:r>
    </w:p>
    <w:p w14:paraId="7DA23CF4" w14:textId="1D7B08DA"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 xml:space="preserve">Suivi </w:t>
      </w:r>
      <w:r w:rsidR="00176A16">
        <w:rPr>
          <w:snapToGrid w:val="0"/>
          <w:kern w:val="22"/>
          <w:szCs w:val="22"/>
          <w:lang w:bidi="fr-FR"/>
        </w:rPr>
        <w:t>et établissement des rapports (a</w:t>
      </w:r>
      <w:r w:rsidRPr="00A508D7">
        <w:rPr>
          <w:snapToGrid w:val="0"/>
          <w:kern w:val="22"/>
          <w:szCs w:val="22"/>
          <w:lang w:bidi="fr-FR"/>
        </w:rPr>
        <w:t xml:space="preserve">rticle </w:t>
      </w:r>
      <w:r w:rsidR="00176A16">
        <w:rPr>
          <w:snapToGrid w:val="0"/>
          <w:kern w:val="22"/>
          <w:szCs w:val="22"/>
          <w:lang w:bidi="fr-FR"/>
        </w:rPr>
        <w:t xml:space="preserve">33) et </w:t>
      </w:r>
      <w:r w:rsidRPr="00A508D7">
        <w:rPr>
          <w:snapToGrid w:val="0"/>
          <w:kern w:val="22"/>
          <w:szCs w:val="22"/>
          <w:lang w:bidi="fr-FR"/>
        </w:rPr>
        <w:t>évaluation et examen</w:t>
      </w:r>
      <w:r w:rsidR="00176A16">
        <w:rPr>
          <w:snapToGrid w:val="0"/>
          <w:kern w:val="22"/>
          <w:szCs w:val="22"/>
          <w:lang w:bidi="fr-FR"/>
        </w:rPr>
        <w:t xml:space="preserve"> de l’efficacité du Protocole (a</w:t>
      </w:r>
      <w:r w:rsidRPr="00A508D7">
        <w:rPr>
          <w:snapToGrid w:val="0"/>
          <w:kern w:val="22"/>
          <w:szCs w:val="22"/>
          <w:lang w:bidi="fr-FR"/>
        </w:rPr>
        <w:t>rticle 35).</w:t>
      </w:r>
    </w:p>
    <w:p w14:paraId="54096682" w14:textId="2B672B84"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Renfor</w:t>
      </w:r>
      <w:r w:rsidR="00176A16">
        <w:rPr>
          <w:snapToGrid w:val="0"/>
          <w:kern w:val="22"/>
          <w:szCs w:val="22"/>
          <w:lang w:bidi="fr-FR"/>
        </w:rPr>
        <w:t>cement de l’intégration au titre</w:t>
      </w:r>
      <w:r w:rsidRPr="00A508D7">
        <w:rPr>
          <w:snapToGrid w:val="0"/>
          <w:kern w:val="22"/>
          <w:szCs w:val="22"/>
          <w:lang w:bidi="fr-FR"/>
        </w:rPr>
        <w:t xml:space="preserve"> de la Convention et de ses Protocoles concernant les dispositions relatives à la prévention des risques biotechnologiques.</w:t>
      </w:r>
    </w:p>
    <w:p w14:paraId="07AE6B76" w14:textId="7777777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Coopération avec d'autres organisations, conventions et initiatives.</w:t>
      </w:r>
    </w:p>
    <w:p w14:paraId="495D465D" w14:textId="5CCB4EDC" w:rsidR="005C4A6F" w:rsidRPr="00A508D7" w:rsidRDefault="00176A16"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Pr>
          <w:snapToGrid w:val="0"/>
          <w:kern w:val="22"/>
          <w:szCs w:val="22"/>
          <w:lang w:bidi="fr-FR"/>
        </w:rPr>
        <w:t>Examen de</w:t>
      </w:r>
      <w:r w:rsidR="005C4A6F" w:rsidRPr="00A508D7">
        <w:rPr>
          <w:snapToGrid w:val="0"/>
          <w:kern w:val="22"/>
          <w:szCs w:val="22"/>
          <w:lang w:bidi="fr-FR"/>
        </w:rPr>
        <w:t xml:space="preserve"> l’efficacité des structures e</w:t>
      </w:r>
      <w:r>
        <w:rPr>
          <w:snapToGrid w:val="0"/>
          <w:kern w:val="22"/>
          <w:szCs w:val="22"/>
          <w:lang w:bidi="fr-FR"/>
        </w:rPr>
        <w:t>t des processus au titre de la C</w:t>
      </w:r>
      <w:r w:rsidR="005C4A6F" w:rsidRPr="00A508D7">
        <w:rPr>
          <w:snapToGrid w:val="0"/>
          <w:kern w:val="22"/>
          <w:szCs w:val="22"/>
          <w:lang w:bidi="fr-FR"/>
        </w:rPr>
        <w:t>onvention et de ses Protocoles</w:t>
      </w:r>
      <w:r>
        <w:rPr>
          <w:snapToGrid w:val="0"/>
          <w:kern w:val="22"/>
          <w:szCs w:val="22"/>
          <w:lang w:bidi="fr-FR"/>
        </w:rPr>
        <w:t>.</w:t>
      </w:r>
    </w:p>
    <w:p w14:paraId="1A6135FA" w14:textId="70AD40BF" w:rsidR="005C4A6F" w:rsidRPr="00A508D7" w:rsidRDefault="00176A16"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Pr>
          <w:snapToGrid w:val="0"/>
          <w:kern w:val="22"/>
          <w:szCs w:val="22"/>
          <w:lang w:bidi="fr-FR"/>
        </w:rPr>
        <w:t>Préparation du texte qui donnera suite a</w:t>
      </w:r>
      <w:r w:rsidR="005C4A6F" w:rsidRPr="00A508D7">
        <w:rPr>
          <w:snapToGrid w:val="0"/>
          <w:kern w:val="22"/>
          <w:szCs w:val="22"/>
          <w:lang w:bidi="fr-FR"/>
        </w:rPr>
        <w:t>u Plan stratégique pour la dive</w:t>
      </w:r>
      <w:r>
        <w:rPr>
          <w:snapToGrid w:val="0"/>
          <w:kern w:val="22"/>
          <w:szCs w:val="22"/>
          <w:lang w:bidi="fr-FR"/>
        </w:rPr>
        <w:t>rsité biologique 2011-2020 et au</w:t>
      </w:r>
      <w:r w:rsidR="005C4A6F" w:rsidRPr="00A508D7">
        <w:rPr>
          <w:snapToGrid w:val="0"/>
          <w:kern w:val="22"/>
          <w:szCs w:val="22"/>
          <w:lang w:bidi="fr-FR"/>
        </w:rPr>
        <w:t xml:space="preserve"> Plan stratégique du Protocole de Cartagena sur la prévention des risques biotechnologiques (2011-2020).</w:t>
      </w:r>
    </w:p>
    <w:p w14:paraId="1E6089A5" w14:textId="7D6BCAB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Éval</w:t>
      </w:r>
      <w:r w:rsidR="00176A16">
        <w:rPr>
          <w:snapToGrid w:val="0"/>
          <w:kern w:val="22"/>
          <w:szCs w:val="22"/>
          <w:lang w:bidi="fr-FR"/>
        </w:rPr>
        <w:t>uation des risques et gestion des risques (a</w:t>
      </w:r>
      <w:r w:rsidRPr="00A508D7">
        <w:rPr>
          <w:snapToGrid w:val="0"/>
          <w:kern w:val="22"/>
          <w:szCs w:val="22"/>
          <w:lang w:bidi="fr-FR"/>
        </w:rPr>
        <w:t>rticles 15 et 16).</w:t>
      </w:r>
    </w:p>
    <w:p w14:paraId="788D3FE7" w14:textId="3B882DFF"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Mouvements transfrontières non inten</w:t>
      </w:r>
      <w:r w:rsidR="00176A16">
        <w:rPr>
          <w:snapToGrid w:val="0"/>
          <w:kern w:val="22"/>
          <w:szCs w:val="22"/>
          <w:lang w:bidi="fr-FR"/>
        </w:rPr>
        <w:t>tionnels et mesures d’urgence (a</w:t>
      </w:r>
      <w:r w:rsidRPr="00A508D7">
        <w:rPr>
          <w:snapToGrid w:val="0"/>
          <w:kern w:val="22"/>
          <w:szCs w:val="22"/>
          <w:lang w:bidi="fr-FR"/>
        </w:rPr>
        <w:t>rticle 17).</w:t>
      </w:r>
    </w:p>
    <w:p w14:paraId="5DD96D43" w14:textId="0DECAA5F"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Transit et utilisation</w:t>
      </w:r>
      <w:r w:rsidR="00176A16">
        <w:rPr>
          <w:snapToGrid w:val="0"/>
          <w:kern w:val="22"/>
          <w:szCs w:val="22"/>
          <w:lang w:bidi="fr-FR"/>
        </w:rPr>
        <w:t>s en milieu confiné d’organismes vivants modifiés (a</w:t>
      </w:r>
      <w:r w:rsidRPr="00A508D7">
        <w:rPr>
          <w:snapToGrid w:val="0"/>
          <w:kern w:val="22"/>
          <w:szCs w:val="22"/>
          <w:lang w:bidi="fr-FR"/>
        </w:rPr>
        <w:t>rticle 6).</w:t>
      </w:r>
    </w:p>
    <w:p w14:paraId="7941965A" w14:textId="14AFEB6E"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bCs/>
          <w:iCs/>
          <w:snapToGrid w:val="0"/>
          <w:kern w:val="22"/>
          <w:szCs w:val="22"/>
        </w:rPr>
      </w:pPr>
      <w:r w:rsidRPr="00A508D7">
        <w:rPr>
          <w:snapToGrid w:val="0"/>
          <w:kern w:val="22"/>
          <w:szCs w:val="22"/>
          <w:lang w:bidi="fr-FR"/>
        </w:rPr>
        <w:t>Considérations soci</w:t>
      </w:r>
      <w:r w:rsidR="00176A16">
        <w:rPr>
          <w:snapToGrid w:val="0"/>
          <w:kern w:val="22"/>
          <w:szCs w:val="22"/>
          <w:lang w:bidi="fr-FR"/>
        </w:rPr>
        <w:t>o-économiques (a</w:t>
      </w:r>
      <w:r w:rsidRPr="00A508D7">
        <w:rPr>
          <w:snapToGrid w:val="0"/>
          <w:kern w:val="22"/>
          <w:szCs w:val="22"/>
          <w:lang w:bidi="fr-FR"/>
        </w:rPr>
        <w:t>rticle 26).</w:t>
      </w:r>
    </w:p>
    <w:p w14:paraId="6431F3ED" w14:textId="313B87B9"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 xml:space="preserve">Protocole </w:t>
      </w:r>
      <w:r w:rsidR="00176A16">
        <w:rPr>
          <w:snapToGrid w:val="0"/>
          <w:kern w:val="22"/>
          <w:szCs w:val="22"/>
          <w:lang w:bidi="fr-FR"/>
        </w:rPr>
        <w:t xml:space="preserve">additionnel </w:t>
      </w:r>
      <w:r w:rsidRPr="00A508D7">
        <w:rPr>
          <w:snapToGrid w:val="0"/>
          <w:kern w:val="22"/>
          <w:szCs w:val="22"/>
          <w:lang w:bidi="fr-FR"/>
        </w:rPr>
        <w:t xml:space="preserve">de </w:t>
      </w:r>
      <w:r w:rsidR="00176A16" w:rsidRPr="00ED78BE">
        <w:rPr>
          <w:snapToGrid w:val="0"/>
          <w:kern w:val="22"/>
          <w:szCs w:val="22"/>
        </w:rPr>
        <w:t xml:space="preserve">Nagoya – Kuala </w:t>
      </w:r>
      <w:r w:rsidRPr="00A508D7">
        <w:rPr>
          <w:snapToGrid w:val="0"/>
          <w:kern w:val="22"/>
          <w:szCs w:val="22"/>
          <w:lang w:bidi="fr-FR"/>
        </w:rPr>
        <w:t>Lumpur sur la responsabilité et la réparation</w:t>
      </w:r>
    </w:p>
    <w:p w14:paraId="6B67C767" w14:textId="4ED5A8C2" w:rsidR="005C4A6F" w:rsidRPr="00A508D7" w:rsidRDefault="00176A16"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Pr>
          <w:snapToGrid w:val="0"/>
          <w:kern w:val="22"/>
          <w:szCs w:val="22"/>
          <w:lang w:bidi="fr-FR"/>
        </w:rPr>
        <w:t>Questions diverses</w:t>
      </w:r>
      <w:r w:rsidR="005C4A6F" w:rsidRPr="00A508D7">
        <w:rPr>
          <w:snapToGrid w:val="0"/>
          <w:kern w:val="22"/>
          <w:szCs w:val="22"/>
          <w:lang w:bidi="fr-FR"/>
        </w:rPr>
        <w:t>.</w:t>
      </w:r>
    </w:p>
    <w:p w14:paraId="0759A160" w14:textId="7777777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Adoption du rapport.</w:t>
      </w:r>
    </w:p>
    <w:p w14:paraId="1490832B" w14:textId="77777777" w:rsidR="005C4A6F" w:rsidRPr="00A508D7" w:rsidRDefault="005C4A6F" w:rsidP="004C7DBD">
      <w:pPr>
        <w:pStyle w:val="bodytextnoindent"/>
        <w:widowControl/>
        <w:numPr>
          <w:ilvl w:val="0"/>
          <w:numId w:val="16"/>
        </w:numPr>
        <w:tabs>
          <w:tab w:val="clear" w:pos="720"/>
        </w:tabs>
        <w:kinsoku w:val="0"/>
        <w:adjustRightInd/>
        <w:spacing w:before="60" w:after="80"/>
        <w:ind w:left="1701" w:hanging="720"/>
        <w:jc w:val="left"/>
        <w:textAlignment w:val="auto"/>
        <w:rPr>
          <w:snapToGrid w:val="0"/>
          <w:kern w:val="22"/>
          <w:szCs w:val="22"/>
        </w:rPr>
      </w:pPr>
      <w:r w:rsidRPr="00A508D7">
        <w:rPr>
          <w:snapToGrid w:val="0"/>
          <w:kern w:val="22"/>
          <w:szCs w:val="22"/>
          <w:lang w:bidi="fr-FR"/>
        </w:rPr>
        <w:t>Clôture de la réunion.</w:t>
      </w:r>
    </w:p>
    <w:p w14:paraId="0704D14E" w14:textId="77777777" w:rsidR="005C4A6F" w:rsidRPr="00742722" w:rsidRDefault="005C4A6F" w:rsidP="00742722">
      <w:pPr>
        <w:jc w:val="center"/>
        <w:rPr>
          <w:b/>
        </w:rPr>
      </w:pPr>
      <w:r w:rsidRPr="00742722">
        <w:rPr>
          <w:b/>
          <w:lang w:bidi="fr-FR"/>
        </w:rPr>
        <w:lastRenderedPageBreak/>
        <w:t>2.3.</w:t>
      </w:r>
      <w:r w:rsidRPr="00742722">
        <w:rPr>
          <w:b/>
          <w:lang w:bidi="fr-FR"/>
        </w:rPr>
        <w:tab/>
        <w:t>Organisation des travaux</w:t>
      </w:r>
    </w:p>
    <w:p w14:paraId="5EDE5827" w14:textId="1CFCA993" w:rsidR="005C4A6F" w:rsidRPr="00A508D7" w:rsidRDefault="00710E66" w:rsidP="009B7156">
      <w:pPr>
        <w:pStyle w:val="Para1"/>
        <w:tabs>
          <w:tab w:val="clear" w:pos="360"/>
          <w:tab w:val="num" w:pos="0"/>
        </w:tabs>
      </w:pPr>
      <w:bookmarkStart w:id="37" w:name="_Hlk530378812"/>
      <w:r>
        <w:rPr>
          <w:lang w:bidi="fr-FR"/>
        </w:rPr>
        <w:t>A la 2</w:t>
      </w:r>
      <w:r w:rsidRPr="00710E66">
        <w:rPr>
          <w:vertAlign w:val="superscript"/>
          <w:lang w:bidi="fr-FR"/>
        </w:rPr>
        <w:t>ème</w:t>
      </w:r>
      <w:r w:rsidR="005C4A6F" w:rsidRPr="00A508D7">
        <w:rPr>
          <w:lang w:bidi="fr-FR"/>
        </w:rPr>
        <w:t xml:space="preserve"> séance plénière de la réunion, le 17 novembre 2018, la Conférence des Parties siégeant en tant que réunion des Parties au Protocole de Cartagena </w:t>
      </w:r>
      <w:bookmarkStart w:id="38" w:name="_Hlk530389940"/>
      <w:r w:rsidR="005C4A6F" w:rsidRPr="00A508D7">
        <w:rPr>
          <w:lang w:bidi="fr-FR"/>
        </w:rPr>
        <w:t>a décidé d’organi</w:t>
      </w:r>
      <w:r w:rsidR="009B7156">
        <w:rPr>
          <w:lang w:bidi="fr-FR"/>
        </w:rPr>
        <w:t>ser ses travaux tel qu’indiqué dans l’annexe II à la proposition d’organisation des travaux</w:t>
      </w:r>
      <w:r w:rsidR="005C4A6F" w:rsidRPr="00A508D7">
        <w:rPr>
          <w:lang w:bidi="fr-FR"/>
        </w:rPr>
        <w:t xml:space="preserve"> (CBD/COP/14/1/Add.2)</w:t>
      </w:r>
      <w:r w:rsidR="009B7156">
        <w:rPr>
          <w:lang w:bidi="fr-FR"/>
        </w:rPr>
        <w:t>, et a approuvé la constitu</w:t>
      </w:r>
      <w:r w:rsidR="005C4A6F" w:rsidRPr="00A508D7">
        <w:rPr>
          <w:lang w:bidi="fr-FR"/>
        </w:rPr>
        <w:t>tion de deux groupes de travail par la Conférence des Parties</w:t>
      </w:r>
      <w:bookmarkEnd w:id="38"/>
      <w:r w:rsidR="005C4A6F" w:rsidRPr="00A508D7">
        <w:rPr>
          <w:lang w:bidi="fr-FR"/>
        </w:rPr>
        <w:t>.</w:t>
      </w:r>
    </w:p>
    <w:p w14:paraId="12E8C090" w14:textId="77777777" w:rsidR="005C4A6F" w:rsidRPr="005F3582" w:rsidRDefault="005C4A6F" w:rsidP="005F3582">
      <w:pPr>
        <w:rPr>
          <w:i/>
        </w:rPr>
      </w:pPr>
      <w:r w:rsidRPr="005F3582">
        <w:rPr>
          <w:i/>
          <w:lang w:bidi="fr-FR"/>
        </w:rPr>
        <w:t>Prix et événements parallèles</w:t>
      </w:r>
    </w:p>
    <w:p w14:paraId="0630197A" w14:textId="49F2D1EE" w:rsidR="005C4A6F" w:rsidRPr="00A508D7" w:rsidRDefault="005C4A6F" w:rsidP="009B7156">
      <w:pPr>
        <w:pStyle w:val="Para1"/>
        <w:tabs>
          <w:tab w:val="clear" w:pos="360"/>
          <w:tab w:val="num" w:pos="0"/>
          <w:tab w:val="left" w:pos="567"/>
        </w:tabs>
      </w:pPr>
      <w:r w:rsidRPr="00A508D7">
        <w:rPr>
          <w:lang w:bidi="fr-FR"/>
        </w:rPr>
        <w:t xml:space="preserve">Au cours de la quatorzième réunion de la Conférence des Parties, trois cérémonies de remise de prix ont eu lieu. En outre, de nombreux événements ont eu lieu en parallèle à la réunion. Pour plus d’information, </w:t>
      </w:r>
      <w:r w:rsidR="009B7156">
        <w:rPr>
          <w:lang w:bidi="fr-FR"/>
        </w:rPr>
        <w:t>veuillez consulter l’annexe IV a</w:t>
      </w:r>
      <w:r w:rsidRPr="00A508D7">
        <w:rPr>
          <w:lang w:bidi="fr-FR"/>
        </w:rPr>
        <w:t>u rapport de la Conférence des Parties</w:t>
      </w:r>
      <w:r w:rsidR="009B7156" w:rsidRPr="009B7156">
        <w:rPr>
          <w:lang w:bidi="fr-FR"/>
        </w:rPr>
        <w:t xml:space="preserve"> </w:t>
      </w:r>
      <w:r w:rsidR="009B7156">
        <w:rPr>
          <w:lang w:bidi="fr-FR"/>
        </w:rPr>
        <w:t>sur sa</w:t>
      </w:r>
      <w:r w:rsidR="009B7156" w:rsidRPr="00A508D7">
        <w:rPr>
          <w:lang w:bidi="fr-FR"/>
        </w:rPr>
        <w:t xml:space="preserve"> quatorzième réunion</w:t>
      </w:r>
      <w:r w:rsidRPr="00A508D7">
        <w:rPr>
          <w:lang w:bidi="fr-FR"/>
        </w:rPr>
        <w:t>.</w:t>
      </w:r>
    </w:p>
    <w:p w14:paraId="7E4E0388" w14:textId="77777777" w:rsidR="005C4A6F" w:rsidRPr="00A508D7" w:rsidRDefault="005C4A6F" w:rsidP="005C4A6F">
      <w:pPr>
        <w:pStyle w:val="Heading1multiline"/>
      </w:pPr>
      <w:bookmarkStart w:id="39" w:name="_Toc7428860"/>
      <w:bookmarkEnd w:id="37"/>
      <w:r w:rsidRPr="00A508D7">
        <w:rPr>
          <w:lang w:bidi="fr-FR"/>
        </w:rPr>
        <w:t>Point 3.</w:t>
      </w:r>
      <w:r w:rsidRPr="00A508D7">
        <w:rPr>
          <w:lang w:bidi="fr-FR"/>
        </w:rPr>
        <w:tab/>
        <w:t>Rapport sur les pouvoirs des repr</w:t>
      </w:r>
      <w:r w:rsidRPr="00A508D7">
        <w:rPr>
          <w:rFonts w:cs="Times New Roman"/>
          <w:kern w:val="22"/>
          <w:szCs w:val="22"/>
          <w:lang w:bidi="fr-FR"/>
        </w:rPr>
        <w:t>É</w:t>
      </w:r>
      <w:r w:rsidRPr="00A508D7">
        <w:rPr>
          <w:lang w:bidi="fr-FR"/>
        </w:rPr>
        <w:t xml:space="preserve">sentants </w:t>
      </w:r>
      <w:r w:rsidRPr="00A508D7">
        <w:rPr>
          <w:rFonts w:cs="Times New Roman"/>
          <w:kern w:val="22"/>
          <w:szCs w:val="22"/>
          <w:lang w:bidi="fr-FR"/>
        </w:rPr>
        <w:t>À</w:t>
      </w:r>
      <w:r w:rsidRPr="00A508D7">
        <w:rPr>
          <w:lang w:bidi="fr-FR"/>
        </w:rPr>
        <w:t xml:space="preserve"> la neuvi</w:t>
      </w:r>
      <w:r w:rsidRPr="00A508D7">
        <w:rPr>
          <w:rFonts w:cs="Times New Roman"/>
          <w:kern w:val="22"/>
          <w:szCs w:val="22"/>
          <w:lang w:bidi="fr-FR"/>
        </w:rPr>
        <w:t>È</w:t>
      </w:r>
      <w:r w:rsidRPr="00A508D7">
        <w:rPr>
          <w:lang w:bidi="fr-FR"/>
        </w:rPr>
        <w:t>me r</w:t>
      </w:r>
      <w:r w:rsidRPr="00A508D7">
        <w:rPr>
          <w:rFonts w:cs="Times New Roman"/>
          <w:kern w:val="22"/>
          <w:szCs w:val="22"/>
          <w:lang w:bidi="fr-FR"/>
        </w:rPr>
        <w:t>É</w:t>
      </w:r>
      <w:r w:rsidRPr="00A508D7">
        <w:rPr>
          <w:lang w:bidi="fr-FR"/>
        </w:rPr>
        <w:t>union de la Conf</w:t>
      </w:r>
      <w:r w:rsidRPr="00A508D7">
        <w:rPr>
          <w:rFonts w:cs="Times New Roman"/>
          <w:kern w:val="22"/>
          <w:szCs w:val="22"/>
          <w:lang w:bidi="fr-FR"/>
        </w:rPr>
        <w:t>É</w:t>
      </w:r>
      <w:r w:rsidRPr="00A508D7">
        <w:rPr>
          <w:lang w:bidi="fr-FR"/>
        </w:rPr>
        <w:t>rence des Parties si</w:t>
      </w:r>
      <w:r w:rsidRPr="00A508D7">
        <w:rPr>
          <w:rFonts w:cs="Times New Roman"/>
          <w:kern w:val="22"/>
          <w:szCs w:val="22"/>
          <w:lang w:bidi="fr-FR"/>
        </w:rPr>
        <w:t>É</w:t>
      </w:r>
      <w:r w:rsidRPr="00A508D7">
        <w:rPr>
          <w:lang w:bidi="fr-FR"/>
        </w:rPr>
        <w:t>geant en tant que r</w:t>
      </w:r>
      <w:r w:rsidRPr="00A508D7">
        <w:rPr>
          <w:rFonts w:cs="Times New Roman"/>
          <w:kern w:val="22"/>
          <w:szCs w:val="22"/>
          <w:lang w:bidi="fr-FR"/>
        </w:rPr>
        <w:t>É</w:t>
      </w:r>
      <w:r w:rsidRPr="00A508D7">
        <w:rPr>
          <w:lang w:bidi="fr-FR"/>
        </w:rPr>
        <w:t>union des Parties au Protocole de Cartagena</w:t>
      </w:r>
      <w:bookmarkEnd w:id="39"/>
    </w:p>
    <w:p w14:paraId="3AC9086A" w14:textId="77777777" w:rsidR="009B7156" w:rsidRDefault="005C4A6F" w:rsidP="009B7156">
      <w:pPr>
        <w:pStyle w:val="Para1"/>
        <w:tabs>
          <w:tab w:val="clear" w:pos="360"/>
          <w:tab w:val="num" w:pos="0"/>
        </w:tabs>
      </w:pPr>
      <w:r w:rsidRPr="00A508D7">
        <w:rPr>
          <w:lang w:bidi="fr-FR"/>
        </w:rPr>
        <w:t xml:space="preserve">Le </w:t>
      </w:r>
      <w:bookmarkStart w:id="40" w:name="_Hlk530390001"/>
      <w:r w:rsidR="009B7156">
        <w:rPr>
          <w:lang w:bidi="fr-FR"/>
        </w:rPr>
        <w:t>p</w:t>
      </w:r>
      <w:r w:rsidRPr="00A508D7">
        <w:rPr>
          <w:lang w:bidi="fr-FR"/>
        </w:rPr>
        <w:t>oint 3</w:t>
      </w:r>
      <w:r w:rsidR="009B7156">
        <w:rPr>
          <w:lang w:bidi="fr-FR"/>
        </w:rPr>
        <w:t xml:space="preserve"> de l’ordre du jour a été abordé</w:t>
      </w:r>
      <w:r w:rsidRPr="00A508D7">
        <w:rPr>
          <w:lang w:bidi="fr-FR"/>
        </w:rPr>
        <w:t xml:space="preserve"> à la </w:t>
      </w:r>
      <w:bookmarkStart w:id="41" w:name="_Hlk530303786"/>
      <w:r w:rsidR="00710E66">
        <w:rPr>
          <w:lang w:bidi="fr-FR"/>
        </w:rPr>
        <w:t>2</w:t>
      </w:r>
      <w:r w:rsidR="00710E66" w:rsidRPr="00710E66">
        <w:rPr>
          <w:vertAlign w:val="superscript"/>
          <w:lang w:bidi="fr-FR"/>
        </w:rPr>
        <w:t>ème</w:t>
      </w:r>
      <w:r w:rsidRPr="00A508D7">
        <w:rPr>
          <w:lang w:bidi="fr-FR"/>
        </w:rPr>
        <w:t xml:space="preserve"> séance plénière de la réunion, le 17 novembre 2018</w:t>
      </w:r>
      <w:bookmarkEnd w:id="41"/>
      <w:r w:rsidRPr="00A508D7">
        <w:rPr>
          <w:lang w:bidi="fr-FR"/>
        </w:rPr>
        <w:t xml:space="preserve">. </w:t>
      </w:r>
      <w:r w:rsidR="009B7156">
        <w:rPr>
          <w:lang w:bidi="fr-FR"/>
        </w:rPr>
        <w:t>Conformément à l’article 19 du r</w:t>
      </w:r>
      <w:r w:rsidRPr="00A508D7">
        <w:rPr>
          <w:lang w:bidi="fr-FR"/>
        </w:rPr>
        <w:t xml:space="preserve">èglement intérieur, le Bureau devait examiner </w:t>
      </w:r>
      <w:r w:rsidR="009B7156">
        <w:rPr>
          <w:lang w:bidi="fr-FR"/>
        </w:rPr>
        <w:t xml:space="preserve">et faire rapport sur </w:t>
      </w:r>
      <w:r w:rsidRPr="00A508D7">
        <w:rPr>
          <w:lang w:bidi="fr-FR"/>
        </w:rPr>
        <w:t xml:space="preserve">les pouvoirs des délégations. En conséquence, la </w:t>
      </w:r>
      <w:r w:rsidR="00BC0D55">
        <w:rPr>
          <w:lang w:bidi="fr-FR"/>
        </w:rPr>
        <w:t>président</w:t>
      </w:r>
      <w:r w:rsidRPr="00A508D7">
        <w:rPr>
          <w:lang w:bidi="fr-FR"/>
        </w:rPr>
        <w:t xml:space="preserve">e a informé </w:t>
      </w:r>
      <w:r w:rsidR="009B7156">
        <w:rPr>
          <w:lang w:bidi="fr-FR"/>
        </w:rPr>
        <w:t>les participants à la réunion que le Bureau avait confié cette tâche à</w:t>
      </w:r>
      <w:r w:rsidRPr="00A508D7">
        <w:rPr>
          <w:lang w:bidi="fr-FR"/>
        </w:rPr>
        <w:t xml:space="preserve"> </w:t>
      </w:r>
      <w:r w:rsidRPr="00A508D7">
        <w:rPr>
          <w:rFonts w:eastAsiaTheme="minorEastAsia"/>
          <w:szCs w:val="24"/>
          <w:lang w:bidi="fr-FR"/>
        </w:rPr>
        <w:t xml:space="preserve">Mme Elena Makeyeva </w:t>
      </w:r>
      <w:r w:rsidR="009B7156">
        <w:rPr>
          <w:lang w:bidi="fr-FR"/>
        </w:rPr>
        <w:t>(Be</w:t>
      </w:r>
      <w:r w:rsidRPr="00A508D7">
        <w:rPr>
          <w:lang w:bidi="fr-FR"/>
        </w:rPr>
        <w:t>larus), vice-</w:t>
      </w:r>
      <w:r w:rsidR="0022341B">
        <w:rPr>
          <w:lang w:bidi="fr-FR"/>
        </w:rPr>
        <w:t>président</w:t>
      </w:r>
      <w:r w:rsidR="009B7156">
        <w:rPr>
          <w:lang w:bidi="fr-FR"/>
        </w:rPr>
        <w:t>e du Bureau</w:t>
      </w:r>
      <w:r w:rsidRPr="00A508D7">
        <w:rPr>
          <w:lang w:bidi="fr-FR"/>
        </w:rPr>
        <w:t>.</w:t>
      </w:r>
      <w:bookmarkEnd w:id="40"/>
    </w:p>
    <w:p w14:paraId="22413887" w14:textId="77777777" w:rsidR="006F4671" w:rsidRDefault="00710E66" w:rsidP="006F4671">
      <w:pPr>
        <w:pStyle w:val="Para1"/>
        <w:tabs>
          <w:tab w:val="clear" w:pos="360"/>
          <w:tab w:val="num" w:pos="0"/>
        </w:tabs>
      </w:pPr>
      <w:r>
        <w:rPr>
          <w:lang w:bidi="fr-FR"/>
        </w:rPr>
        <w:t>A la</w:t>
      </w:r>
      <w:r w:rsidR="005C4A6F" w:rsidRPr="00A508D7">
        <w:rPr>
          <w:lang w:bidi="fr-FR"/>
        </w:rPr>
        <w:t xml:space="preserve"> 4</w:t>
      </w:r>
      <w:r w:rsidR="005C4A6F" w:rsidRPr="009B7156">
        <w:rPr>
          <w:vertAlign w:val="superscript"/>
          <w:lang w:bidi="fr-FR"/>
        </w:rPr>
        <w:t>ème</w:t>
      </w:r>
      <w:r w:rsidR="005C4A6F" w:rsidRPr="00A508D7">
        <w:rPr>
          <w:lang w:bidi="fr-FR"/>
        </w:rPr>
        <w:t xml:space="preserve"> séance plénière de la séance, le 22 novembre 2018, Mme Makeyeva a informé la Conférence des Parties siégeant en tant que réunion des Parties au Protocole de Cartagena que 162 Parties </w:t>
      </w:r>
      <w:r w:rsidR="009B7156">
        <w:rPr>
          <w:lang w:bidi="fr-FR"/>
        </w:rPr>
        <w:t>étaient inscrites comme</w:t>
      </w:r>
      <w:r w:rsidR="005C4A6F" w:rsidRPr="00A508D7">
        <w:rPr>
          <w:lang w:bidi="fr-FR"/>
        </w:rPr>
        <w:t xml:space="preserve"> participants à la réunion. Le Bureau a examiné les pouvoirs des représentants des 139 Parties qui participaien</w:t>
      </w:r>
      <w:r w:rsidR="006F4671">
        <w:rPr>
          <w:lang w:bidi="fr-FR"/>
        </w:rPr>
        <w:t>t à la réunion. Les pouvoirs de</w:t>
      </w:r>
      <w:r w:rsidR="005C4A6F" w:rsidRPr="00A508D7">
        <w:rPr>
          <w:lang w:bidi="fr-FR"/>
        </w:rPr>
        <w:t xml:space="preserve"> 124 délégations étaien</w:t>
      </w:r>
      <w:r w:rsidR="006F4671">
        <w:rPr>
          <w:lang w:bidi="fr-FR"/>
        </w:rPr>
        <w:t xml:space="preserve">t </w:t>
      </w:r>
      <w:r w:rsidR="005C4A6F" w:rsidRPr="00A508D7">
        <w:rPr>
          <w:lang w:bidi="fr-FR"/>
        </w:rPr>
        <w:t>pleine</w:t>
      </w:r>
      <w:r w:rsidR="006F4671">
        <w:rPr>
          <w:lang w:bidi="fr-FR"/>
        </w:rPr>
        <w:t>ment conformes à l’article 18 du r</w:t>
      </w:r>
      <w:r w:rsidR="005C4A6F" w:rsidRPr="00A508D7">
        <w:rPr>
          <w:lang w:bidi="fr-FR"/>
        </w:rPr>
        <w:t>èglement intérieur. Ceux de 15 délégations n’étaient pas p</w:t>
      </w:r>
      <w:r w:rsidR="006F4671">
        <w:rPr>
          <w:lang w:bidi="fr-FR"/>
        </w:rPr>
        <w:t>leinement conformes à l’article </w:t>
      </w:r>
      <w:r w:rsidR="005C4A6F" w:rsidRPr="00A508D7">
        <w:rPr>
          <w:lang w:bidi="fr-FR"/>
        </w:rPr>
        <w:t xml:space="preserve">18 et 23 autres délégations n’avaient pas présenté leurs pouvoirs à ce jour. </w:t>
      </w:r>
    </w:p>
    <w:p w14:paraId="2F6A1534" w14:textId="77777777" w:rsidR="006F4671" w:rsidRDefault="00030395" w:rsidP="006F4671">
      <w:pPr>
        <w:pStyle w:val="Para1"/>
        <w:tabs>
          <w:tab w:val="clear" w:pos="360"/>
          <w:tab w:val="num" w:pos="0"/>
        </w:tabs>
      </w:pPr>
      <w:r w:rsidRPr="00030395">
        <w:t>A la 7</w:t>
      </w:r>
      <w:r w:rsidRPr="006F4671">
        <w:rPr>
          <w:vertAlign w:val="superscript"/>
        </w:rPr>
        <w:t>ème</w:t>
      </w:r>
      <w:r w:rsidRPr="00030395">
        <w:t xml:space="preserve"> séance plénière de la réunion</w:t>
      </w:r>
      <w:r w:rsidR="00D66376" w:rsidRPr="00030395">
        <w:t xml:space="preserve">, </w:t>
      </w:r>
      <w:r w:rsidRPr="00030395">
        <w:t>le 29 novembre</w:t>
      </w:r>
      <w:r w:rsidR="006B501F">
        <w:t xml:space="preserve"> 2018, Mme</w:t>
      </w:r>
      <w:r w:rsidR="00D66376" w:rsidRPr="00030395">
        <w:t xml:space="preserve"> </w:t>
      </w:r>
      <w:r w:rsidR="00D66376" w:rsidRPr="00030395">
        <w:rPr>
          <w:noProof/>
        </w:rPr>
        <w:t>Makeyeva</w:t>
      </w:r>
      <w:r w:rsidR="00D66376" w:rsidRPr="00030395">
        <w:t xml:space="preserve"> </w:t>
      </w:r>
      <w:r w:rsidR="006B501F">
        <w:t>a informé</w:t>
      </w:r>
      <w:r w:rsidR="00D66376" w:rsidRPr="00030395">
        <w:t xml:space="preserve"> </w:t>
      </w:r>
      <w:r w:rsidRPr="00030395">
        <w:t>la Conférence des Parties siégeant en tant que réunion des Parties</w:t>
      </w:r>
      <w:r w:rsidR="00D66376" w:rsidRPr="00030395">
        <w:t xml:space="preserve"> </w:t>
      </w:r>
      <w:r>
        <w:t>au Protocole de Cartagena</w:t>
      </w:r>
      <w:r w:rsidR="006B501F">
        <w:t xml:space="preserve"> que 162 Parties étaient inscrites comme participants à la réunion. </w:t>
      </w:r>
      <w:r w:rsidR="006B501F" w:rsidRPr="006B501F">
        <w:t xml:space="preserve">Le </w:t>
      </w:r>
      <w:r w:rsidR="00D66376" w:rsidRPr="006B501F">
        <w:t>Bureau</w:t>
      </w:r>
      <w:r w:rsidR="006B501F" w:rsidRPr="006B501F">
        <w:t xml:space="preserve"> avait examiné les pouvoirs des représentants de </w:t>
      </w:r>
      <w:r w:rsidR="00D66376" w:rsidRPr="006B501F">
        <w:t xml:space="preserve">145 Parties. </w:t>
      </w:r>
      <w:r w:rsidR="006B501F" w:rsidRPr="006B501F">
        <w:t>Les pouvoirs de 134 délé</w:t>
      </w:r>
      <w:r w:rsidR="00D66376" w:rsidRPr="006B501F">
        <w:t>gations</w:t>
      </w:r>
      <w:r w:rsidR="006B501F" w:rsidRPr="006B501F">
        <w:t xml:space="preserve"> étaient pleinement conformes aux dispositions de l’article  </w:t>
      </w:r>
      <w:r w:rsidR="00D66376" w:rsidRPr="006B501F">
        <w:t xml:space="preserve">18 </w:t>
      </w:r>
      <w:r w:rsidR="006B501F" w:rsidRPr="006B501F">
        <w:t xml:space="preserve">du règlement intérieur, tandis que les pouvoirs de </w:t>
      </w:r>
      <w:r w:rsidR="006B501F">
        <w:t>11 délé</w:t>
      </w:r>
      <w:r w:rsidR="00D66376" w:rsidRPr="006B501F">
        <w:t xml:space="preserve">gations </w:t>
      </w:r>
      <w:r w:rsidR="006B501F">
        <w:t>n’</w:t>
      </w:r>
      <w:r w:rsidR="006B501F" w:rsidRPr="006B501F">
        <w:t>étaient</w:t>
      </w:r>
      <w:r w:rsidR="006B501F">
        <w:t xml:space="preserve"> pas</w:t>
      </w:r>
      <w:r w:rsidR="006B501F" w:rsidRPr="006B501F">
        <w:t xml:space="preserve"> pleinement conformes</w:t>
      </w:r>
      <w:r w:rsidR="006F4671">
        <w:t xml:space="preserve"> aux dispositions de l’article </w:t>
      </w:r>
      <w:r w:rsidR="006B501F">
        <w:t>18, et</w:t>
      </w:r>
      <w:r w:rsidR="00D66376" w:rsidRPr="006B501F">
        <w:t xml:space="preserve"> 17 </w:t>
      </w:r>
      <w:r w:rsidR="006B501F">
        <w:t>autres délé</w:t>
      </w:r>
      <w:r w:rsidR="00D66376" w:rsidRPr="006B501F">
        <w:t>gations</w:t>
      </w:r>
      <w:r w:rsidR="006B501F">
        <w:t xml:space="preserve"> n’avaient pas remis leurs pouvoirs.  D’autres </w:t>
      </w:r>
      <w:r w:rsidR="00D66376" w:rsidRPr="006B501F">
        <w:t>information</w:t>
      </w:r>
      <w:r w:rsidR="006B501F" w:rsidRPr="006B501F">
        <w:t>s sont disponibles dans le</w:t>
      </w:r>
      <w:r w:rsidR="006B501F">
        <w:t xml:space="preserve"> </w:t>
      </w:r>
      <w:r w:rsidR="00D66376" w:rsidRPr="006B501F">
        <w:t>document CBD/COP/14/INF/49.</w:t>
      </w:r>
    </w:p>
    <w:p w14:paraId="7AC88492" w14:textId="77777777" w:rsidR="006F4671" w:rsidRDefault="006B501F" w:rsidP="006F4671">
      <w:pPr>
        <w:pStyle w:val="Para1"/>
        <w:tabs>
          <w:tab w:val="clear" w:pos="360"/>
          <w:tab w:val="num" w:pos="0"/>
        </w:tabs>
      </w:pPr>
      <w:r w:rsidRPr="006B501F">
        <w:t xml:space="preserve">Un certain nombre de chefs de </w:t>
      </w:r>
      <w:r>
        <w:t>délé</w:t>
      </w:r>
      <w:r w:rsidRPr="006B501F">
        <w:t>gation avaient signé une dé</w:t>
      </w:r>
      <w:r w:rsidR="00D66376" w:rsidRPr="006B501F">
        <w:t xml:space="preserve">claration </w:t>
      </w:r>
      <w:r w:rsidRPr="006B501F">
        <w:t xml:space="preserve">indiquant qu’ils remettraient leurs pouvoirs en bonne et </w:t>
      </w:r>
      <w:r w:rsidR="006F4671">
        <w:t xml:space="preserve">due forme et en </w:t>
      </w:r>
      <w:r>
        <w:t xml:space="preserve">version </w:t>
      </w:r>
      <w:r w:rsidRPr="006B501F">
        <w:t>originale</w:t>
      </w:r>
      <w:r w:rsidR="00D66376" w:rsidRPr="006B501F">
        <w:t xml:space="preserve"> </w:t>
      </w:r>
      <w:r w:rsidR="006F4671">
        <w:t>à la Secrétaire exécutive</w:t>
      </w:r>
      <w:r>
        <w:t xml:space="preserve"> dans les 30 jours suivant la clôture de la réunion, et au plus tard le 29 décembre</w:t>
      </w:r>
      <w:r w:rsidR="00D66376" w:rsidRPr="006B501F">
        <w:t xml:space="preserve"> 2018. </w:t>
      </w:r>
      <w:r w:rsidR="006F4671">
        <w:t>Conformément à la</w:t>
      </w:r>
      <w:r w:rsidRPr="006B501F">
        <w:t xml:space="preserve"> pratique en vigueur, </w:t>
      </w:r>
      <w:r w:rsidR="00030395" w:rsidRPr="006B501F">
        <w:t>la Conférence des Parties siégeant en tant que réunion des Parties</w:t>
      </w:r>
      <w:r w:rsidR="00D66376" w:rsidRPr="006B501F">
        <w:t xml:space="preserve"> </w:t>
      </w:r>
      <w:r w:rsidR="00030395" w:rsidRPr="006B501F">
        <w:t>au Protocole de Cartagena</w:t>
      </w:r>
      <w:r w:rsidRPr="006B501F">
        <w:t xml:space="preserve"> était d’accord avec la proposition du </w:t>
      </w:r>
      <w:r>
        <w:t>Bureau selon laquelle</w:t>
      </w:r>
      <w:r w:rsidRPr="006B501F">
        <w:t xml:space="preserve"> les</w:t>
      </w:r>
      <w:r>
        <w:t xml:space="preserve"> délé</w:t>
      </w:r>
      <w:r w:rsidR="00D66376" w:rsidRPr="006B501F">
        <w:t>gations</w:t>
      </w:r>
      <w:r>
        <w:t xml:space="preserve"> qui n’avaient pas encore remis leurs pouvoirs, ou dont les pouvoirs n’étaient pas pleinement conformes aux dispositions de l’article </w:t>
      </w:r>
      <w:r w:rsidR="00D66376" w:rsidRPr="006B501F">
        <w:t xml:space="preserve">18, </w:t>
      </w:r>
      <w:r>
        <w:t>devraient être autorisé</w:t>
      </w:r>
      <w:r w:rsidR="006F4671">
        <w:t>e</w:t>
      </w:r>
      <w:r>
        <w:t>s à participer pleinement à la</w:t>
      </w:r>
      <w:r w:rsidR="006F4671">
        <w:t xml:space="preserve"> réunion, à titre provisoire</w:t>
      </w:r>
      <w:r w:rsidR="00D66376" w:rsidRPr="006B501F">
        <w:t>.</w:t>
      </w:r>
    </w:p>
    <w:p w14:paraId="1847962C" w14:textId="77777777" w:rsidR="006F4671" w:rsidRDefault="006B501F" w:rsidP="006F4671">
      <w:pPr>
        <w:pStyle w:val="Para1"/>
        <w:tabs>
          <w:tab w:val="clear" w:pos="360"/>
          <w:tab w:val="num" w:pos="0"/>
        </w:tabs>
      </w:pPr>
      <w:r w:rsidRPr="006B501F">
        <w:t>La pré</w:t>
      </w:r>
      <w:r w:rsidR="00D66376" w:rsidRPr="006B501F">
        <w:t>sident</w:t>
      </w:r>
      <w:r w:rsidRPr="006B501F">
        <w:t>e a</w:t>
      </w:r>
      <w:r w:rsidR="00D66376" w:rsidRPr="006B501F">
        <w:t xml:space="preserve"> expr</w:t>
      </w:r>
      <w:r w:rsidRPr="006B501F">
        <w:t>imé le souhait que toutes les délé</w:t>
      </w:r>
      <w:r w:rsidR="00D66376" w:rsidRPr="006B501F">
        <w:t>gations</w:t>
      </w:r>
      <w:r w:rsidRPr="006B501F">
        <w:t xml:space="preserve"> qui av</w:t>
      </w:r>
      <w:r>
        <w:t>a</w:t>
      </w:r>
      <w:r w:rsidR="006F4671">
        <w:t>ient été invitées à</w:t>
      </w:r>
      <w:r w:rsidRPr="006B501F">
        <w:t xml:space="preserve"> remettre leurs pouvoir</w:t>
      </w:r>
      <w:r>
        <w:t>s</w:t>
      </w:r>
      <w:r w:rsidR="007A0952">
        <w:t xml:space="preserve"> à la Secrétaire exéc</w:t>
      </w:r>
      <w:r w:rsidRPr="006B501F">
        <w:t>utive le ferai</w:t>
      </w:r>
      <w:r>
        <w:t>ent au plus tard le 29 décembre</w:t>
      </w:r>
      <w:r w:rsidR="00D66376" w:rsidRPr="006B501F">
        <w:t xml:space="preserve"> 2018. </w:t>
      </w:r>
      <w:r w:rsidR="007A0952" w:rsidRPr="007A0952">
        <w:t>Après la cl</w:t>
      </w:r>
      <w:r w:rsidR="007A0952">
        <w:t xml:space="preserve">ôture de la neuvième réunion de </w:t>
      </w:r>
      <w:r w:rsidR="00030395" w:rsidRPr="007A0952">
        <w:t>la Conférence des Parties siégeant en tant que réunion des Parties</w:t>
      </w:r>
      <w:r w:rsidR="00D66376" w:rsidRPr="007A0952">
        <w:t xml:space="preserve"> </w:t>
      </w:r>
      <w:r w:rsidR="00030395" w:rsidRPr="007A0952">
        <w:t>au Protocole de Cartagena</w:t>
      </w:r>
      <w:r w:rsidR="00D66376" w:rsidRPr="007A0952">
        <w:t xml:space="preserve">, </w:t>
      </w:r>
      <w:r w:rsidR="007A0952">
        <w:t xml:space="preserve">les pouvoirs de </w:t>
      </w:r>
      <w:r w:rsidR="00D66376" w:rsidRPr="007A0952">
        <w:t xml:space="preserve">11 </w:t>
      </w:r>
      <w:r w:rsidR="007A0952">
        <w:t>autres Parties avaient été reçus</w:t>
      </w:r>
      <w:r w:rsidR="00D66376" w:rsidRPr="007A0952">
        <w:t>.</w:t>
      </w:r>
    </w:p>
    <w:p w14:paraId="6B365B90" w14:textId="53F618AE" w:rsidR="005C4A6F" w:rsidRPr="00030395" w:rsidRDefault="006F4671" w:rsidP="006F4671">
      <w:pPr>
        <w:pStyle w:val="Para1"/>
        <w:tabs>
          <w:tab w:val="clear" w:pos="360"/>
          <w:tab w:val="num" w:pos="0"/>
        </w:tabs>
      </w:pPr>
      <w:r>
        <w:rPr>
          <w:rFonts w:eastAsia="Times New Roman"/>
          <w:szCs w:val="18"/>
        </w:rPr>
        <w:t>Au moment de la publicati</w:t>
      </w:r>
      <w:r w:rsidR="00030395" w:rsidRPr="006F4671">
        <w:rPr>
          <w:rFonts w:eastAsia="Times New Roman"/>
          <w:szCs w:val="18"/>
        </w:rPr>
        <w:t>on du présent rap</w:t>
      </w:r>
      <w:r w:rsidR="00D66376" w:rsidRPr="006F4671">
        <w:rPr>
          <w:rFonts w:eastAsia="Times New Roman"/>
          <w:szCs w:val="18"/>
        </w:rPr>
        <w:t xml:space="preserve">port, </w:t>
      </w:r>
      <w:r w:rsidR="00030395" w:rsidRPr="006F4671">
        <w:rPr>
          <w:rFonts w:eastAsia="Times New Roman"/>
          <w:szCs w:val="18"/>
        </w:rPr>
        <w:t xml:space="preserve">des pouvoirs conformes à l’article 18 du règlement intérieur avaient été reçus des </w:t>
      </w:r>
      <w:r w:rsidR="00D66376" w:rsidRPr="006F4671">
        <w:rPr>
          <w:rFonts w:eastAsia="Times New Roman"/>
          <w:szCs w:val="18"/>
        </w:rPr>
        <w:t>145 Parties</w:t>
      </w:r>
      <w:r w:rsidR="00030395" w:rsidRPr="006F4671">
        <w:rPr>
          <w:rFonts w:eastAsia="Times New Roman"/>
          <w:szCs w:val="18"/>
        </w:rPr>
        <w:t xml:space="preserve"> ci-après</w:t>
      </w:r>
      <w:r>
        <w:rPr>
          <w:rFonts w:eastAsia="Times New Roman"/>
          <w:szCs w:val="18"/>
        </w:rPr>
        <w:t xml:space="preserve"> </w:t>
      </w:r>
      <w:r w:rsidR="00D66376" w:rsidRPr="006F4671">
        <w:rPr>
          <w:rFonts w:eastAsia="Times New Roman"/>
          <w:szCs w:val="18"/>
        </w:rPr>
        <w:t xml:space="preserve">:  </w:t>
      </w:r>
      <w:r w:rsidR="00120818" w:rsidRPr="006F4671">
        <w:rPr>
          <w:rFonts w:eastAsia="Times New Roman"/>
        </w:rPr>
        <w:t xml:space="preserve">Afrique du Sud; Allemagne; </w:t>
      </w:r>
      <w:r w:rsidR="00030395" w:rsidRPr="006F4671">
        <w:rPr>
          <w:rFonts w:eastAsia="Times New Roman"/>
        </w:rPr>
        <w:t>Algérie</w:t>
      </w:r>
      <w:r w:rsidR="00D66376" w:rsidRPr="006F4671">
        <w:rPr>
          <w:rFonts w:eastAsia="Times New Roman"/>
        </w:rPr>
        <w:t xml:space="preserve">; </w:t>
      </w:r>
      <w:r w:rsidR="00D66376" w:rsidRPr="006F4671">
        <w:rPr>
          <w:rFonts w:eastAsia="Times New Roman"/>
          <w:szCs w:val="18"/>
        </w:rPr>
        <w:t xml:space="preserve">Angola; </w:t>
      </w:r>
      <w:r w:rsidR="00030395" w:rsidRPr="006F4671">
        <w:rPr>
          <w:rFonts w:eastAsia="Times New Roman"/>
        </w:rPr>
        <w:t>Antigua-et-</w:t>
      </w:r>
      <w:r w:rsidR="00D66376" w:rsidRPr="006F4671">
        <w:rPr>
          <w:rFonts w:eastAsia="Times New Roman"/>
        </w:rPr>
        <w:t>Barbud</w:t>
      </w:r>
      <w:r w:rsidR="00030395" w:rsidRPr="006F4671">
        <w:rPr>
          <w:rFonts w:eastAsia="Times New Roman"/>
        </w:rPr>
        <w:t xml:space="preserve">a; </w:t>
      </w:r>
      <w:r w:rsidR="00120818" w:rsidRPr="006F4671">
        <w:rPr>
          <w:rFonts w:eastAsia="Times New Roman"/>
        </w:rPr>
        <w:t xml:space="preserve">Arabie saoudite; Arménie; </w:t>
      </w:r>
      <w:r w:rsidR="00030395" w:rsidRPr="006F4671">
        <w:rPr>
          <w:rFonts w:eastAsia="Times New Roman"/>
        </w:rPr>
        <w:t>Autriche; Azerbaïdjan; Bahreïn; Bangladesh; Belarus; Belgique; Belize; Bénin; Bolivie; Bosnie-Herzégovine; Botswana; Brésil; Bulgarie</w:t>
      </w:r>
      <w:r w:rsidR="00D66376" w:rsidRPr="006F4671">
        <w:rPr>
          <w:rFonts w:eastAsia="Times New Roman"/>
        </w:rPr>
        <w:t>; Burkina Fas</w:t>
      </w:r>
      <w:r w:rsidR="00030395" w:rsidRPr="006F4671">
        <w:rPr>
          <w:rFonts w:eastAsia="Times New Roman"/>
        </w:rPr>
        <w:t>o; Burundi; Cabo Verde; Cambodge; Cameroun; Chine; Colombie</w:t>
      </w:r>
      <w:r w:rsidR="00D66376" w:rsidRPr="006F4671">
        <w:rPr>
          <w:rFonts w:eastAsia="Times New Roman"/>
        </w:rPr>
        <w:t xml:space="preserve">; Costa Rica; </w:t>
      </w:r>
      <w:r w:rsidR="00030395" w:rsidRPr="006F4671">
        <w:rPr>
          <w:rFonts w:eastAsia="Times New Roman"/>
          <w:szCs w:val="18"/>
        </w:rPr>
        <w:t>Cô</w:t>
      </w:r>
      <w:r w:rsidR="00D66376" w:rsidRPr="006F4671">
        <w:rPr>
          <w:rFonts w:eastAsia="Times New Roman"/>
          <w:szCs w:val="18"/>
        </w:rPr>
        <w:t xml:space="preserve">te d’Ivoire; </w:t>
      </w:r>
      <w:r w:rsidR="00030395" w:rsidRPr="006F4671">
        <w:rPr>
          <w:rFonts w:eastAsia="Times New Roman"/>
        </w:rPr>
        <w:t>Croatie; Cuba; Da</w:t>
      </w:r>
      <w:r w:rsidR="00D66376" w:rsidRPr="006F4671">
        <w:rPr>
          <w:rFonts w:eastAsia="Times New Roman"/>
        </w:rPr>
        <w:t>n</w:t>
      </w:r>
      <w:r w:rsidR="00030395" w:rsidRPr="006F4671">
        <w:rPr>
          <w:rFonts w:eastAsia="Times New Roman"/>
        </w:rPr>
        <w:t>emark; Equateu</w:t>
      </w:r>
      <w:r w:rsidR="00D66376" w:rsidRPr="006F4671">
        <w:rPr>
          <w:rFonts w:eastAsia="Times New Roman"/>
        </w:rPr>
        <w:t>r; Egypt</w:t>
      </w:r>
      <w:r w:rsidR="00030395" w:rsidRPr="006F4671">
        <w:rPr>
          <w:rFonts w:eastAsia="Times New Roman"/>
        </w:rPr>
        <w:t>e; El Salvador;</w:t>
      </w:r>
      <w:r w:rsidR="00120818" w:rsidRPr="006F4671">
        <w:rPr>
          <w:rFonts w:eastAsia="Times New Roman"/>
        </w:rPr>
        <w:t xml:space="preserve"> Emirats arabes unis;</w:t>
      </w:r>
      <w:r w:rsidR="00030395" w:rsidRPr="006F4671">
        <w:rPr>
          <w:rFonts w:eastAsia="Times New Roman"/>
        </w:rPr>
        <w:t xml:space="preserve"> Erythrée; </w:t>
      </w:r>
      <w:r w:rsidR="00120818" w:rsidRPr="006F4671">
        <w:rPr>
          <w:rFonts w:eastAsia="Times New Roman"/>
        </w:rPr>
        <w:t xml:space="preserve">Espagne; </w:t>
      </w:r>
      <w:r>
        <w:rPr>
          <w:rFonts w:eastAsia="Times New Roman"/>
        </w:rPr>
        <w:t>Estonie; Es</w:t>
      </w:r>
      <w:r w:rsidR="00030395" w:rsidRPr="006F4671">
        <w:rPr>
          <w:rFonts w:eastAsia="Times New Roman"/>
        </w:rPr>
        <w:t xml:space="preserve">watini; </w:t>
      </w:r>
      <w:r w:rsidR="00120818" w:rsidRPr="006F4671">
        <w:rPr>
          <w:rFonts w:eastAsia="Times New Roman"/>
        </w:rPr>
        <w:t xml:space="preserve">Etat de Palestine; </w:t>
      </w:r>
      <w:r w:rsidR="00030395" w:rsidRPr="006F4671">
        <w:rPr>
          <w:rFonts w:eastAsia="Times New Roman"/>
        </w:rPr>
        <w:t xml:space="preserve">Ethiopie; </w:t>
      </w:r>
      <w:r w:rsidR="00D66376" w:rsidRPr="006F4671">
        <w:rPr>
          <w:rFonts w:eastAsia="Times New Roman"/>
        </w:rPr>
        <w:t>Fi</w:t>
      </w:r>
      <w:r w:rsidR="00030395" w:rsidRPr="006F4671">
        <w:rPr>
          <w:rFonts w:eastAsia="Times New Roman"/>
        </w:rPr>
        <w:t>d</w:t>
      </w:r>
      <w:r w:rsidR="00D66376" w:rsidRPr="006F4671">
        <w:rPr>
          <w:rFonts w:eastAsia="Times New Roman"/>
        </w:rPr>
        <w:t>ji; Finland</w:t>
      </w:r>
      <w:r>
        <w:rPr>
          <w:rFonts w:eastAsia="Times New Roman"/>
        </w:rPr>
        <w:t>e; France; Gabon; Gambie; Gé</w:t>
      </w:r>
      <w:r w:rsidR="00030395" w:rsidRPr="006F4671">
        <w:rPr>
          <w:rFonts w:eastAsia="Times New Roman"/>
        </w:rPr>
        <w:t xml:space="preserve">orgie; </w:t>
      </w:r>
      <w:r w:rsidR="00D66376" w:rsidRPr="006F4671">
        <w:rPr>
          <w:rFonts w:eastAsia="Times New Roman"/>
        </w:rPr>
        <w:t>Gh</w:t>
      </w:r>
      <w:r w:rsidR="00030395" w:rsidRPr="006F4671">
        <w:rPr>
          <w:rFonts w:eastAsia="Times New Roman"/>
        </w:rPr>
        <w:t>ana; Grè</w:t>
      </w:r>
      <w:r w:rsidR="00D66376" w:rsidRPr="006F4671">
        <w:rPr>
          <w:rFonts w:eastAsia="Times New Roman"/>
        </w:rPr>
        <w:t xml:space="preserve">ce; Grenada; Guatemala; </w:t>
      </w:r>
      <w:r w:rsidR="00D66376" w:rsidRPr="006F4671">
        <w:rPr>
          <w:rFonts w:eastAsia="Times New Roman"/>
          <w:szCs w:val="18"/>
        </w:rPr>
        <w:lastRenderedPageBreak/>
        <w:t>Guin</w:t>
      </w:r>
      <w:r w:rsidR="00030395" w:rsidRPr="006F4671">
        <w:rPr>
          <w:rFonts w:eastAsia="Times New Roman"/>
          <w:szCs w:val="18"/>
        </w:rPr>
        <w:t>ée</w:t>
      </w:r>
      <w:r w:rsidR="00D66376" w:rsidRPr="006F4671">
        <w:rPr>
          <w:rFonts w:eastAsia="Times New Roman"/>
          <w:szCs w:val="18"/>
        </w:rPr>
        <w:t xml:space="preserve">; </w:t>
      </w:r>
      <w:r w:rsidR="00D66376" w:rsidRPr="006F4671">
        <w:rPr>
          <w:rFonts w:eastAsia="Times New Roman"/>
        </w:rPr>
        <w:t>Guin</w:t>
      </w:r>
      <w:r w:rsidR="00030395" w:rsidRPr="006F4671">
        <w:rPr>
          <w:rFonts w:eastAsia="Times New Roman"/>
        </w:rPr>
        <w:t>ée</w:t>
      </w:r>
      <w:r w:rsidR="00D66376" w:rsidRPr="006F4671">
        <w:rPr>
          <w:rFonts w:eastAsia="Times New Roman"/>
        </w:rPr>
        <w:t>-B</w:t>
      </w:r>
      <w:r w:rsidR="00030395" w:rsidRPr="006F4671">
        <w:rPr>
          <w:rFonts w:eastAsia="Times New Roman"/>
        </w:rPr>
        <w:t xml:space="preserve">issau; Guyana; Honduras; Hongrie; </w:t>
      </w:r>
      <w:r w:rsidR="00120818" w:rsidRPr="006F4671">
        <w:rPr>
          <w:rFonts w:eastAsia="Times New Roman"/>
        </w:rPr>
        <w:t xml:space="preserve">Iles Marshall; Iles Salomon; </w:t>
      </w:r>
      <w:r w:rsidR="00030395" w:rsidRPr="006F4671">
        <w:rPr>
          <w:rFonts w:eastAsia="Times New Roman"/>
        </w:rPr>
        <w:t>Inde; Indonésie; Iran (République islamique d’); Italie; Jamaïque; Japo</w:t>
      </w:r>
      <w:r w:rsidR="00D66376" w:rsidRPr="006F4671">
        <w:rPr>
          <w:rFonts w:eastAsia="Times New Roman"/>
        </w:rPr>
        <w:t xml:space="preserve">n; Kenya; Kiribati; </w:t>
      </w:r>
      <w:r w:rsidR="00030395" w:rsidRPr="006F4671">
        <w:rPr>
          <w:rFonts w:eastAsia="Times New Roman"/>
          <w:szCs w:val="18"/>
        </w:rPr>
        <w:t xml:space="preserve">Koweït; </w:t>
      </w:r>
      <w:r w:rsidR="00030395" w:rsidRPr="006F4671">
        <w:rPr>
          <w:rFonts w:eastAsia="Times New Roman"/>
        </w:rPr>
        <w:t>Lettonie; Lesotho; Liberia; Lituanie</w:t>
      </w:r>
      <w:r w:rsidR="00D66376" w:rsidRPr="006F4671">
        <w:rPr>
          <w:rFonts w:eastAsia="Times New Roman"/>
        </w:rPr>
        <w:t>; Luxembou</w:t>
      </w:r>
      <w:r w:rsidR="00030395" w:rsidRPr="006F4671">
        <w:rPr>
          <w:rFonts w:eastAsia="Times New Roman"/>
        </w:rPr>
        <w:t>rg; Madagascar; Malawi; Malaisie</w:t>
      </w:r>
      <w:r w:rsidR="00D66376" w:rsidRPr="006F4671">
        <w:rPr>
          <w:rFonts w:eastAsia="Times New Roman"/>
        </w:rPr>
        <w:t>;</w:t>
      </w:r>
      <w:r w:rsidR="00D66376" w:rsidRPr="006F4671">
        <w:rPr>
          <w:rFonts w:eastAsia="Times New Roman"/>
          <w:szCs w:val="18"/>
        </w:rPr>
        <w:t xml:space="preserve"> Maldives;</w:t>
      </w:r>
      <w:r w:rsidR="00D66376" w:rsidRPr="006F4671">
        <w:rPr>
          <w:rFonts w:eastAsia="Times New Roman"/>
        </w:rPr>
        <w:t xml:space="preserve"> Malta;</w:t>
      </w:r>
      <w:r w:rsidR="00030395" w:rsidRPr="006F4671">
        <w:rPr>
          <w:rFonts w:eastAsia="Times New Roman"/>
        </w:rPr>
        <w:t xml:space="preserve"> Mauritanie; Maurice; Mexique; Mongolie; Maroc; Mozambique; Myanmar; Namibie; Pays-Bas</w:t>
      </w:r>
      <w:r w:rsidR="00D66376" w:rsidRPr="006F4671">
        <w:rPr>
          <w:rFonts w:eastAsia="Times New Roman"/>
        </w:rPr>
        <w:t xml:space="preserve">; </w:t>
      </w:r>
      <w:r w:rsidR="00030395" w:rsidRPr="006F4671">
        <w:rPr>
          <w:rFonts w:eastAsia="Times New Roman"/>
          <w:szCs w:val="18"/>
        </w:rPr>
        <w:t>Nouvelle-Zé</w:t>
      </w:r>
      <w:r w:rsidR="00D66376" w:rsidRPr="006F4671">
        <w:rPr>
          <w:rFonts w:eastAsia="Times New Roman"/>
          <w:szCs w:val="18"/>
        </w:rPr>
        <w:t>land</w:t>
      </w:r>
      <w:r w:rsidR="00030395" w:rsidRPr="006F4671">
        <w:rPr>
          <w:rFonts w:eastAsia="Times New Roman"/>
          <w:szCs w:val="18"/>
        </w:rPr>
        <w:t>e</w:t>
      </w:r>
      <w:r w:rsidR="00D66376" w:rsidRPr="006F4671">
        <w:rPr>
          <w:rFonts w:eastAsia="Times New Roman"/>
          <w:szCs w:val="18"/>
        </w:rPr>
        <w:t xml:space="preserve">; </w:t>
      </w:r>
      <w:r w:rsidR="00D66376" w:rsidRPr="006F4671">
        <w:rPr>
          <w:rFonts w:eastAsia="Times New Roman"/>
        </w:rPr>
        <w:t>N</w:t>
      </w:r>
      <w:r w:rsidR="00030395" w:rsidRPr="006F4671">
        <w:rPr>
          <w:rFonts w:eastAsia="Times New Roman"/>
        </w:rPr>
        <w:t xml:space="preserve">icaragua; Niger; Nigeria; Norvège; Oman; </w:t>
      </w:r>
      <w:r w:rsidR="00120818" w:rsidRPr="006F4671">
        <w:rPr>
          <w:rFonts w:eastAsia="Times New Roman"/>
        </w:rPr>
        <w:t xml:space="preserve">Ouganda; </w:t>
      </w:r>
      <w:r w:rsidR="00030395" w:rsidRPr="006F4671">
        <w:rPr>
          <w:rFonts w:eastAsia="Times New Roman"/>
        </w:rPr>
        <w:t>Palaos; Panama; Papouasie-Nouvelle-</w:t>
      </w:r>
      <w:r w:rsidR="00D66376" w:rsidRPr="006F4671">
        <w:rPr>
          <w:rFonts w:eastAsia="Times New Roman"/>
        </w:rPr>
        <w:t>Guin</w:t>
      </w:r>
      <w:r w:rsidR="00030395" w:rsidRPr="006F4671">
        <w:rPr>
          <w:rFonts w:eastAsia="Times New Roman"/>
        </w:rPr>
        <w:t>ée</w:t>
      </w:r>
      <w:r w:rsidR="00D66376" w:rsidRPr="006F4671">
        <w:rPr>
          <w:rFonts w:eastAsia="Times New Roman"/>
        </w:rPr>
        <w:t>; Paragua</w:t>
      </w:r>
      <w:r w:rsidR="00030395" w:rsidRPr="006F4671">
        <w:rPr>
          <w:rFonts w:eastAsia="Times New Roman"/>
        </w:rPr>
        <w:t>y; Pé</w:t>
      </w:r>
      <w:r w:rsidR="00D66376" w:rsidRPr="006F4671">
        <w:rPr>
          <w:rFonts w:eastAsia="Times New Roman"/>
        </w:rPr>
        <w:t>r</w:t>
      </w:r>
      <w:r w:rsidR="00030395" w:rsidRPr="006F4671">
        <w:rPr>
          <w:rFonts w:eastAsia="Times New Roman"/>
        </w:rPr>
        <w:t xml:space="preserve">ou; Philippines; Pologne; Portugal; Qatar; </w:t>
      </w:r>
      <w:r w:rsidR="00120818" w:rsidRPr="006F4671">
        <w:rPr>
          <w:rFonts w:eastAsia="Times New Roman"/>
        </w:rPr>
        <w:t xml:space="preserve">République centrafricaine; </w:t>
      </w:r>
      <w:r w:rsidR="00030395" w:rsidRPr="006F4671">
        <w:rPr>
          <w:rFonts w:eastAsia="Times New Roman"/>
        </w:rPr>
        <w:t>République de C</w:t>
      </w:r>
      <w:r w:rsidR="00D66376" w:rsidRPr="006F4671">
        <w:rPr>
          <w:rFonts w:eastAsia="Times New Roman"/>
        </w:rPr>
        <w:t>or</w:t>
      </w:r>
      <w:r w:rsidR="00030395" w:rsidRPr="006F4671">
        <w:rPr>
          <w:rFonts w:eastAsia="Times New Roman"/>
        </w:rPr>
        <w:t>ée; République de</w:t>
      </w:r>
      <w:r w:rsidR="00D66376" w:rsidRPr="006F4671">
        <w:rPr>
          <w:rFonts w:eastAsia="Times New Roman"/>
        </w:rPr>
        <w:t xml:space="preserve"> Moldova; </w:t>
      </w:r>
      <w:r w:rsidR="00120818" w:rsidRPr="006F4671">
        <w:rPr>
          <w:rFonts w:eastAsia="Times New Roman"/>
        </w:rPr>
        <w:t xml:space="preserve">République démocratique populaire de Corée; </w:t>
      </w:r>
      <w:r w:rsidR="00120818" w:rsidRPr="006F4671">
        <w:rPr>
          <w:rFonts w:eastAsia="Times New Roman"/>
          <w:szCs w:val="18"/>
        </w:rPr>
        <w:t xml:space="preserve">République démocratique populaire Lao; </w:t>
      </w:r>
      <w:r w:rsidR="00120818" w:rsidRPr="006F4671">
        <w:rPr>
          <w:rFonts w:eastAsia="Times New Roman"/>
        </w:rPr>
        <w:t xml:space="preserve">République dominicaine; République-Unie de Tanzanie;  </w:t>
      </w:r>
      <w:r w:rsidR="00D66376" w:rsidRPr="006F4671">
        <w:rPr>
          <w:rFonts w:eastAsia="Times New Roman"/>
        </w:rPr>
        <w:t>Ro</w:t>
      </w:r>
      <w:r w:rsidR="00030395" w:rsidRPr="006F4671">
        <w:rPr>
          <w:rFonts w:eastAsia="Times New Roman"/>
        </w:rPr>
        <w:t xml:space="preserve">umanie; </w:t>
      </w:r>
      <w:r w:rsidR="007B0B58" w:rsidRPr="006F4671">
        <w:rPr>
          <w:rFonts w:eastAsia="Times New Roman"/>
        </w:rPr>
        <w:t xml:space="preserve">Royaume-Uni de Grande-Bretagne et d’Irlande du Nord; </w:t>
      </w:r>
      <w:r w:rsidR="00030395" w:rsidRPr="006F4671">
        <w:rPr>
          <w:rFonts w:eastAsia="Times New Roman"/>
        </w:rPr>
        <w:t>Rwanda; Saint-Kitts-et-</w:t>
      </w:r>
      <w:r w:rsidR="00D66376" w:rsidRPr="006F4671">
        <w:rPr>
          <w:rFonts w:eastAsia="Times New Roman"/>
        </w:rPr>
        <w:t xml:space="preserve">Nevis; </w:t>
      </w:r>
      <w:r w:rsidR="00D66376" w:rsidRPr="006F4671">
        <w:rPr>
          <w:rFonts w:eastAsia="Times New Roman"/>
          <w:szCs w:val="18"/>
        </w:rPr>
        <w:t>Saint</w:t>
      </w:r>
      <w:r>
        <w:rPr>
          <w:rFonts w:eastAsia="Times New Roman"/>
          <w:szCs w:val="18"/>
        </w:rPr>
        <w:t>e-</w:t>
      </w:r>
      <w:r w:rsidR="00030395" w:rsidRPr="006F4671">
        <w:rPr>
          <w:rFonts w:eastAsia="Times New Roman"/>
          <w:szCs w:val="18"/>
        </w:rPr>
        <w:t>Lucie</w:t>
      </w:r>
      <w:r w:rsidR="00D66376" w:rsidRPr="006F4671">
        <w:rPr>
          <w:rFonts w:eastAsia="Times New Roman"/>
          <w:szCs w:val="18"/>
        </w:rPr>
        <w:t xml:space="preserve">; </w:t>
      </w:r>
      <w:r>
        <w:rPr>
          <w:rFonts w:eastAsia="Times New Roman"/>
        </w:rPr>
        <w:t>Saint-Vincent-et-les-</w:t>
      </w:r>
      <w:r w:rsidR="00030395" w:rsidRPr="006F4671">
        <w:rPr>
          <w:rFonts w:eastAsia="Times New Roman"/>
        </w:rPr>
        <w:t>Grenadines; Samoa; Séné</w:t>
      </w:r>
      <w:r w:rsidR="00D66376" w:rsidRPr="006F4671">
        <w:rPr>
          <w:rFonts w:eastAsia="Times New Roman"/>
        </w:rPr>
        <w:t xml:space="preserve">gal; </w:t>
      </w:r>
      <w:r w:rsidR="00030395" w:rsidRPr="006F4671">
        <w:rPr>
          <w:rFonts w:eastAsia="Times New Roman"/>
          <w:szCs w:val="18"/>
        </w:rPr>
        <w:t>Serbie</w:t>
      </w:r>
      <w:r w:rsidR="00D66376" w:rsidRPr="006F4671">
        <w:rPr>
          <w:rFonts w:eastAsia="Times New Roman"/>
          <w:szCs w:val="18"/>
        </w:rPr>
        <w:t xml:space="preserve">; </w:t>
      </w:r>
      <w:r w:rsidR="00030395" w:rsidRPr="006F4671">
        <w:rPr>
          <w:rFonts w:eastAsia="Times New Roman"/>
        </w:rPr>
        <w:t>Seychelles; Slovaquie; Slovénie</w:t>
      </w:r>
      <w:r w:rsidR="00120818" w:rsidRPr="006F4671">
        <w:rPr>
          <w:rFonts w:eastAsia="Times New Roman"/>
        </w:rPr>
        <w:t xml:space="preserve">; Sri Lanka; </w:t>
      </w:r>
      <w:r w:rsidR="00D66376" w:rsidRPr="006F4671">
        <w:rPr>
          <w:rFonts w:eastAsia="Times New Roman"/>
        </w:rPr>
        <w:t>S</w:t>
      </w:r>
      <w:r w:rsidR="0059459B" w:rsidRPr="006F4671">
        <w:rPr>
          <w:rFonts w:eastAsia="Times New Roman"/>
        </w:rPr>
        <w:t>oudan; Suriname; Suède; Suisse; République arabe syrienne</w:t>
      </w:r>
      <w:r w:rsidR="00D66376" w:rsidRPr="006F4671">
        <w:rPr>
          <w:rFonts w:eastAsia="Times New Roman"/>
        </w:rPr>
        <w:t>; Ta</w:t>
      </w:r>
      <w:r w:rsidR="0059459B" w:rsidRPr="006F4671">
        <w:rPr>
          <w:rFonts w:eastAsia="Times New Roman"/>
        </w:rPr>
        <w:t xml:space="preserve">djikistan; </w:t>
      </w:r>
      <w:r w:rsidR="007B0B58" w:rsidRPr="006F4671">
        <w:rPr>
          <w:rFonts w:eastAsia="Times New Roman"/>
        </w:rPr>
        <w:t xml:space="preserve">Tchad; </w:t>
      </w:r>
      <w:r w:rsidR="00120818" w:rsidRPr="006F4671">
        <w:rPr>
          <w:rFonts w:eastAsia="Times New Roman"/>
        </w:rPr>
        <w:t xml:space="preserve">Tchéquie; </w:t>
      </w:r>
      <w:r w:rsidR="0059459B" w:rsidRPr="006F4671">
        <w:rPr>
          <w:rFonts w:eastAsia="Times New Roman"/>
        </w:rPr>
        <w:t>Thaï</w:t>
      </w:r>
      <w:r w:rsidR="00D66376" w:rsidRPr="006F4671">
        <w:rPr>
          <w:rFonts w:eastAsia="Times New Roman"/>
        </w:rPr>
        <w:t>land</w:t>
      </w:r>
      <w:r w:rsidR="0059459B" w:rsidRPr="006F4671">
        <w:rPr>
          <w:rFonts w:eastAsia="Times New Roman"/>
        </w:rPr>
        <w:t xml:space="preserve">e; Togo; Tonga; Trinidad-et-Tobago; Tunisie; Turquie; </w:t>
      </w:r>
      <w:r w:rsidR="00D66376" w:rsidRPr="006F4671">
        <w:rPr>
          <w:rFonts w:eastAsia="Times New Roman"/>
          <w:szCs w:val="18"/>
        </w:rPr>
        <w:t xml:space="preserve">Ukraine; </w:t>
      </w:r>
      <w:r w:rsidR="00120818" w:rsidRPr="006F4671">
        <w:rPr>
          <w:rFonts w:eastAsia="Times New Roman"/>
        </w:rPr>
        <w:t xml:space="preserve">Union européenne; </w:t>
      </w:r>
      <w:r w:rsidR="00D66376" w:rsidRPr="006F4671">
        <w:rPr>
          <w:rFonts w:eastAsia="Times New Roman"/>
        </w:rPr>
        <w:t>Urugua</w:t>
      </w:r>
      <w:r w:rsidR="0059459B" w:rsidRPr="006F4671">
        <w:rPr>
          <w:rFonts w:eastAsia="Times New Roman"/>
        </w:rPr>
        <w:t>y; Venezuela (République bolivarienne de</w:t>
      </w:r>
      <w:r w:rsidR="00D66376" w:rsidRPr="006F4671">
        <w:rPr>
          <w:rFonts w:eastAsia="Times New Roman"/>
        </w:rPr>
        <w:t xml:space="preserve">); Viet Nam; </w:t>
      </w:r>
      <w:r w:rsidR="0059459B" w:rsidRPr="006F4671">
        <w:rPr>
          <w:rFonts w:eastAsia="Times New Roman"/>
          <w:szCs w:val="18"/>
        </w:rPr>
        <w:t>Yé</w:t>
      </w:r>
      <w:r w:rsidR="00D66376" w:rsidRPr="006F4671">
        <w:rPr>
          <w:rFonts w:eastAsia="Times New Roman"/>
          <w:szCs w:val="18"/>
        </w:rPr>
        <w:t xml:space="preserve">men; </w:t>
      </w:r>
      <w:r w:rsidR="0059459B" w:rsidRPr="006F4671">
        <w:rPr>
          <w:rFonts w:eastAsia="Times New Roman"/>
        </w:rPr>
        <w:t>Zambie</w:t>
      </w:r>
      <w:r w:rsidR="00D66376" w:rsidRPr="006F4671">
        <w:rPr>
          <w:rFonts w:eastAsia="Times New Roman"/>
        </w:rPr>
        <w:t>; Zimbabwe</w:t>
      </w:r>
      <w:r w:rsidR="0059459B" w:rsidRPr="006F4671">
        <w:rPr>
          <w:rFonts w:eastAsia="Times New Roman"/>
        </w:rPr>
        <w:t>.</w:t>
      </w:r>
    </w:p>
    <w:p w14:paraId="1F639AD3" w14:textId="77777777" w:rsidR="005C4A6F" w:rsidRPr="00A508D7" w:rsidRDefault="005C4A6F" w:rsidP="005C4A6F">
      <w:pPr>
        <w:pStyle w:val="Heading1"/>
      </w:pPr>
      <w:bookmarkStart w:id="42" w:name="_Toc7428861"/>
      <w:r w:rsidRPr="00A508D7">
        <w:rPr>
          <w:lang w:bidi="fr-FR"/>
        </w:rPr>
        <w:t>Point 4.</w:t>
      </w:r>
      <w:r w:rsidRPr="00A508D7">
        <w:rPr>
          <w:lang w:bidi="fr-FR"/>
        </w:rPr>
        <w:tab/>
        <w:t>Rapports des organes subsidiaires</w:t>
      </w:r>
      <w:bookmarkEnd w:id="42"/>
    </w:p>
    <w:p w14:paraId="4C014652" w14:textId="77777777" w:rsidR="006F4671" w:rsidRDefault="00710E66" w:rsidP="006F4671">
      <w:pPr>
        <w:pStyle w:val="Para1"/>
        <w:tabs>
          <w:tab w:val="clear" w:pos="360"/>
          <w:tab w:val="num" w:pos="0"/>
        </w:tabs>
        <w:rPr>
          <w:rFonts w:eastAsia="Times New Roman"/>
          <w:lang w:eastAsia="en-CA"/>
        </w:rPr>
      </w:pPr>
      <w:bookmarkStart w:id="43" w:name="_Hlk530390137"/>
      <w:r>
        <w:rPr>
          <w:lang w:bidi="fr-FR"/>
        </w:rPr>
        <w:t>Le p</w:t>
      </w:r>
      <w:r w:rsidR="005C4A6F" w:rsidRPr="00A508D7">
        <w:rPr>
          <w:lang w:bidi="fr-FR"/>
        </w:rPr>
        <w:t>oint 4 de l’ordre du</w:t>
      </w:r>
      <w:r w:rsidR="006F4671">
        <w:rPr>
          <w:lang w:bidi="fr-FR"/>
        </w:rPr>
        <w:t xml:space="preserve"> jour a été abord</w:t>
      </w:r>
      <w:r>
        <w:rPr>
          <w:lang w:bidi="fr-FR"/>
        </w:rPr>
        <w:t>é à la 2</w:t>
      </w:r>
      <w:r w:rsidRPr="00710E66">
        <w:rPr>
          <w:vertAlign w:val="superscript"/>
          <w:lang w:bidi="fr-FR"/>
        </w:rPr>
        <w:t>ème</w:t>
      </w:r>
      <w:r w:rsidR="005C4A6F" w:rsidRPr="00A508D7">
        <w:rPr>
          <w:lang w:bidi="fr-FR"/>
        </w:rPr>
        <w:t xml:space="preserve"> séance plénière de la réunion, le 17 novembre 2018. Pour examiner ce point, la Conférence des Parties siégeant en tant que réunion des Parties au Protocole de Cartagena disposait des rapports </w:t>
      </w:r>
      <w:r w:rsidR="005C4A6F" w:rsidRPr="00A508D7">
        <w:rPr>
          <w:rFonts w:eastAsia="Times New Roman"/>
          <w:lang w:bidi="fr-FR"/>
        </w:rPr>
        <w:t xml:space="preserve">de l’Organe subsidiaire chargé de fournir des avis scientifiques, techniques et technologiques </w:t>
      </w:r>
      <w:r w:rsidR="006F4671">
        <w:rPr>
          <w:lang w:bidi="fr-FR"/>
        </w:rPr>
        <w:t>sur sa</w:t>
      </w:r>
      <w:r w:rsidR="006F4671" w:rsidRPr="00A508D7">
        <w:rPr>
          <w:lang w:bidi="fr-FR"/>
        </w:rPr>
        <w:t xml:space="preserve"> </w:t>
      </w:r>
      <w:r w:rsidR="006F4671">
        <w:rPr>
          <w:rFonts w:eastAsia="Times New Roman"/>
          <w:lang w:bidi="fr-FR"/>
        </w:rPr>
        <w:t>vingt-et-</w:t>
      </w:r>
      <w:r w:rsidR="006F4671" w:rsidRPr="00A508D7">
        <w:rPr>
          <w:rFonts w:eastAsia="Times New Roman"/>
          <w:lang w:bidi="fr-FR"/>
        </w:rPr>
        <w:t xml:space="preserve">unième réunion </w:t>
      </w:r>
      <w:r w:rsidR="005C4A6F" w:rsidRPr="00A508D7">
        <w:rPr>
          <w:rFonts w:eastAsia="Times New Roman"/>
          <w:lang w:bidi="fr-FR"/>
        </w:rPr>
        <w:t>(CBD/SBSTTA/22/12) et de l’Or</w:t>
      </w:r>
      <w:r w:rsidR="006F4671">
        <w:rPr>
          <w:rFonts w:eastAsia="Times New Roman"/>
          <w:lang w:bidi="fr-FR"/>
        </w:rPr>
        <w:t>gane subsidiaire chargé de l’</w:t>
      </w:r>
      <w:r w:rsidR="005C4A6F" w:rsidRPr="00A508D7">
        <w:rPr>
          <w:rFonts w:eastAsia="Times New Roman"/>
          <w:lang w:bidi="fr-FR"/>
        </w:rPr>
        <w:t xml:space="preserve">application </w:t>
      </w:r>
      <w:r w:rsidR="006F4671">
        <w:rPr>
          <w:rFonts w:eastAsia="Times New Roman"/>
          <w:lang w:bidi="fr-FR"/>
        </w:rPr>
        <w:t>sur s</w:t>
      </w:r>
      <w:r w:rsidR="006F4671" w:rsidRPr="00A508D7">
        <w:rPr>
          <w:rFonts w:eastAsia="Times New Roman"/>
          <w:lang w:bidi="fr-FR"/>
        </w:rPr>
        <w:t xml:space="preserve">a deuxième réunion </w:t>
      </w:r>
      <w:r w:rsidR="005C4A6F" w:rsidRPr="00A508D7">
        <w:rPr>
          <w:rFonts w:eastAsia="Times New Roman"/>
          <w:lang w:bidi="fr-FR"/>
        </w:rPr>
        <w:t>(CBD/SBI/2/22).</w:t>
      </w:r>
    </w:p>
    <w:p w14:paraId="265F4812" w14:textId="107085E7" w:rsidR="005C4A6F" w:rsidRPr="006F4671" w:rsidRDefault="005C4A6F" w:rsidP="006F4671">
      <w:pPr>
        <w:pStyle w:val="Para1"/>
        <w:tabs>
          <w:tab w:val="clear" w:pos="360"/>
          <w:tab w:val="num" w:pos="0"/>
        </w:tabs>
        <w:rPr>
          <w:rFonts w:eastAsia="Times New Roman"/>
          <w:lang w:eastAsia="en-CA"/>
        </w:rPr>
      </w:pPr>
      <w:r w:rsidRPr="00A508D7">
        <w:rPr>
          <w:lang w:bidi="fr-FR"/>
        </w:rPr>
        <w:t>La Conférence des Parties siégeant en tant que réunion des Parties au Protocole de Cartagena a pris note des rapports des réunions intersessions des organes subsidiaires et a décidé d’examiner les recommandations figurant dans les rapp</w:t>
      </w:r>
      <w:r w:rsidR="006F4671">
        <w:rPr>
          <w:lang w:bidi="fr-FR"/>
        </w:rPr>
        <w:t>orts au titre des points corresponda</w:t>
      </w:r>
      <w:r w:rsidRPr="00A508D7">
        <w:rPr>
          <w:lang w:bidi="fr-FR"/>
        </w:rPr>
        <w:t>nts de l’ordre du jour.</w:t>
      </w:r>
    </w:p>
    <w:p w14:paraId="305C9F8D" w14:textId="50D43059" w:rsidR="005C4A6F" w:rsidRPr="00A508D7" w:rsidRDefault="005C4A6F" w:rsidP="005C4A6F">
      <w:pPr>
        <w:pStyle w:val="Heading1"/>
        <w:rPr>
          <w:snapToGrid w:val="0"/>
        </w:rPr>
      </w:pPr>
      <w:bookmarkStart w:id="44" w:name="_Toc7428862"/>
      <w:bookmarkEnd w:id="43"/>
      <w:r w:rsidRPr="00A508D7">
        <w:rPr>
          <w:snapToGrid w:val="0"/>
          <w:lang w:bidi="fr-FR"/>
        </w:rPr>
        <w:t>Point 5.</w:t>
      </w:r>
      <w:r w:rsidRPr="00A508D7">
        <w:rPr>
          <w:snapToGrid w:val="0"/>
          <w:lang w:bidi="fr-FR"/>
        </w:rPr>
        <w:tab/>
        <w:t xml:space="preserve">Rapport du Comité </w:t>
      </w:r>
      <w:r w:rsidR="006F4671">
        <w:rPr>
          <w:snapToGrid w:val="0"/>
          <w:lang w:bidi="fr-FR"/>
        </w:rPr>
        <w:t>charg</w:t>
      </w:r>
      <w:r w:rsidR="006F4671">
        <w:rPr>
          <w:rFonts w:cs="Times New Roman"/>
          <w:snapToGrid w:val="0"/>
          <w:lang w:bidi="fr-FR"/>
        </w:rPr>
        <w:t>É</w:t>
      </w:r>
      <w:r w:rsidR="006F4671">
        <w:rPr>
          <w:snapToGrid w:val="0"/>
          <w:lang w:bidi="fr-FR"/>
        </w:rPr>
        <w:t xml:space="preserve"> du respect des obligations</w:t>
      </w:r>
      <w:bookmarkEnd w:id="44"/>
    </w:p>
    <w:p w14:paraId="6C61A2DC" w14:textId="4655D76C" w:rsidR="005C4A6F" w:rsidRPr="00A508D7" w:rsidRDefault="0022341B"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rPr>
      </w:pPr>
      <w:r>
        <w:rPr>
          <w:lang w:bidi="fr-FR"/>
        </w:rPr>
        <w:t>Le p</w:t>
      </w:r>
      <w:r w:rsidR="005C4A6F" w:rsidRPr="00A508D7">
        <w:rPr>
          <w:lang w:bidi="fr-FR"/>
        </w:rPr>
        <w:t>oint 5</w:t>
      </w:r>
      <w:r w:rsidR="006F4671">
        <w:rPr>
          <w:lang w:bidi="fr-FR"/>
        </w:rPr>
        <w:t xml:space="preserve"> de l’ordre du jour a été abord</w:t>
      </w:r>
      <w:r w:rsidR="00710E66">
        <w:rPr>
          <w:lang w:bidi="fr-FR"/>
        </w:rPr>
        <w:t>é à la 2</w:t>
      </w:r>
      <w:r w:rsidR="00710E66" w:rsidRPr="00710E66">
        <w:rPr>
          <w:vertAlign w:val="superscript"/>
          <w:lang w:bidi="fr-FR"/>
        </w:rPr>
        <w:t>ème</w:t>
      </w:r>
      <w:r w:rsidR="005C4A6F" w:rsidRPr="00A508D7">
        <w:rPr>
          <w:lang w:bidi="fr-FR"/>
        </w:rPr>
        <w:t xml:space="preserve"> séance plénière de la réunion, le 17 novembre 2018. </w:t>
      </w:r>
    </w:p>
    <w:p w14:paraId="78B1CC6D" w14:textId="6BA406CB" w:rsidR="005C4A6F" w:rsidRPr="00A508D7" w:rsidRDefault="005C4A6F"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rPr>
      </w:pPr>
      <w:r w:rsidRPr="00A508D7">
        <w:rPr>
          <w:rFonts w:eastAsia="Times New Roman"/>
          <w:snapToGrid w:val="0"/>
          <w:kern w:val="22"/>
          <w:szCs w:val="22"/>
          <w:lang w:bidi="fr-FR"/>
        </w:rPr>
        <w:t xml:space="preserve">Mme Clare Hamilton, </w:t>
      </w:r>
      <w:r w:rsidR="00BC0D55">
        <w:rPr>
          <w:rFonts w:eastAsia="Times New Roman"/>
          <w:snapToGrid w:val="0"/>
          <w:kern w:val="22"/>
          <w:szCs w:val="22"/>
          <w:lang w:bidi="fr-FR"/>
        </w:rPr>
        <w:t>président</w:t>
      </w:r>
      <w:r w:rsidR="006F4671">
        <w:rPr>
          <w:rFonts w:eastAsia="Times New Roman"/>
          <w:snapToGrid w:val="0"/>
          <w:kern w:val="22"/>
          <w:szCs w:val="22"/>
          <w:lang w:bidi="fr-FR"/>
        </w:rPr>
        <w:t>e du Comité chargé du respect des obligations</w:t>
      </w:r>
      <w:r w:rsidRPr="00A508D7">
        <w:rPr>
          <w:lang w:bidi="fr-FR"/>
        </w:rPr>
        <w:t xml:space="preserve">, a présenté un compte-rendu des travaux du Comité </w:t>
      </w:r>
      <w:r w:rsidR="006F4671">
        <w:rPr>
          <w:lang w:bidi="fr-FR"/>
        </w:rPr>
        <w:t>chargé du respect des obligations</w:t>
      </w:r>
      <w:r w:rsidRPr="00A508D7">
        <w:rPr>
          <w:lang w:bidi="fr-FR"/>
        </w:rPr>
        <w:t xml:space="preserve"> à ses quatorzième et quinzième réunions </w:t>
      </w:r>
      <w:r w:rsidRPr="00A508D7">
        <w:rPr>
          <w:snapToGrid w:val="0"/>
          <w:color w:val="000000"/>
          <w:kern w:val="22"/>
          <w:lang w:bidi="fr-FR"/>
        </w:rPr>
        <w:t>(CBD/CP/MOP/9/2). Elle a informé les Parties que, depuis la quinzième réunion du Comité, les Comores, la</w:t>
      </w:r>
      <w:r w:rsidR="00911FEE">
        <w:rPr>
          <w:snapToGrid w:val="0"/>
          <w:color w:val="000000"/>
          <w:kern w:val="22"/>
          <w:lang w:bidi="fr-FR"/>
        </w:rPr>
        <w:t xml:space="preserve"> </w:t>
      </w:r>
      <w:r w:rsidRPr="00A508D7">
        <w:rPr>
          <w:spacing w:val="2"/>
          <w:szCs w:val="17"/>
          <w:lang w:bidi="fr-FR"/>
        </w:rPr>
        <w:t>République populaire démocratique de Corée</w:t>
      </w:r>
      <w:r w:rsidR="006F4671">
        <w:rPr>
          <w:snapToGrid w:val="0"/>
          <w:color w:val="000000"/>
          <w:kern w:val="22"/>
          <w:lang w:bidi="fr-FR"/>
        </w:rPr>
        <w:t>, le Myanmar,</w:t>
      </w:r>
      <w:r w:rsidR="00911FEE">
        <w:rPr>
          <w:snapToGrid w:val="0"/>
          <w:color w:val="000000"/>
          <w:kern w:val="22"/>
          <w:lang w:bidi="fr-FR"/>
        </w:rPr>
        <w:t xml:space="preserve"> </w:t>
      </w:r>
      <w:r w:rsidRPr="00A508D7">
        <w:rPr>
          <w:spacing w:val="2"/>
          <w:szCs w:val="17"/>
          <w:lang w:bidi="fr-FR"/>
        </w:rPr>
        <w:t>l’ex-République yougoslave de Macédoine</w:t>
      </w:r>
      <w:r w:rsidR="00911FEE">
        <w:rPr>
          <w:lang w:bidi="fr-FR"/>
        </w:rPr>
        <w:t xml:space="preserve"> </w:t>
      </w:r>
      <w:r w:rsidR="006F4671">
        <w:rPr>
          <w:lang w:bidi="fr-FR"/>
        </w:rPr>
        <w:t xml:space="preserve">et le Turkménistan </w:t>
      </w:r>
      <w:r w:rsidR="006F4671">
        <w:rPr>
          <w:snapToGrid w:val="0"/>
          <w:color w:val="000000"/>
          <w:kern w:val="22"/>
          <w:lang w:bidi="fr-FR"/>
        </w:rPr>
        <w:t>avaient trans</w:t>
      </w:r>
      <w:r w:rsidRPr="00A508D7">
        <w:rPr>
          <w:snapToGrid w:val="0"/>
          <w:color w:val="000000"/>
          <w:kern w:val="22"/>
          <w:lang w:bidi="fr-FR"/>
        </w:rPr>
        <w:t>mis leur troisième rapport national et devraient don</w:t>
      </w:r>
      <w:r w:rsidR="006F4671">
        <w:rPr>
          <w:snapToGrid w:val="0"/>
          <w:color w:val="000000"/>
          <w:kern w:val="22"/>
          <w:lang w:bidi="fr-FR"/>
        </w:rPr>
        <w:t>c être retirés de la liste des P</w:t>
      </w:r>
      <w:r w:rsidRPr="00A508D7">
        <w:rPr>
          <w:snapToGrid w:val="0"/>
          <w:color w:val="000000"/>
          <w:kern w:val="22"/>
          <w:lang w:bidi="fr-FR"/>
        </w:rPr>
        <w:t xml:space="preserve">arties </w:t>
      </w:r>
      <w:r w:rsidR="006F4671">
        <w:rPr>
          <w:snapToGrid w:val="0"/>
          <w:color w:val="000000"/>
          <w:kern w:val="22"/>
          <w:lang w:bidi="fr-FR"/>
        </w:rPr>
        <w:t xml:space="preserve">énumérées </w:t>
      </w:r>
      <w:r w:rsidRPr="00A508D7">
        <w:rPr>
          <w:snapToGrid w:val="0"/>
          <w:color w:val="000000"/>
          <w:kern w:val="22"/>
          <w:lang w:bidi="fr-FR"/>
        </w:rPr>
        <w:t>da</w:t>
      </w:r>
      <w:r w:rsidR="006F4671">
        <w:rPr>
          <w:snapToGrid w:val="0"/>
          <w:color w:val="000000"/>
          <w:kern w:val="22"/>
          <w:lang w:bidi="fr-FR"/>
        </w:rPr>
        <w:t>ns la partie</w:t>
      </w:r>
      <w:r w:rsidRPr="00A508D7">
        <w:rPr>
          <w:snapToGrid w:val="0"/>
          <w:color w:val="000000"/>
          <w:kern w:val="22"/>
          <w:lang w:bidi="fr-FR"/>
        </w:rPr>
        <w:t xml:space="preserve"> </w:t>
      </w:r>
      <w:r w:rsidR="006F4671">
        <w:rPr>
          <w:snapToGrid w:val="0"/>
          <w:color w:val="000000"/>
          <w:kern w:val="22"/>
          <w:lang w:bidi="fr-FR"/>
        </w:rPr>
        <w:t>de la recommandation portant sur le suivi et l’établissement des</w:t>
      </w:r>
      <w:r w:rsidRPr="00A508D7">
        <w:rPr>
          <w:snapToGrid w:val="0"/>
          <w:color w:val="000000"/>
          <w:kern w:val="22"/>
          <w:lang w:bidi="fr-FR"/>
        </w:rPr>
        <w:t xml:space="preserve"> rapport</w:t>
      </w:r>
      <w:r w:rsidR="006F4671">
        <w:rPr>
          <w:snapToGrid w:val="0"/>
          <w:color w:val="000000"/>
          <w:kern w:val="22"/>
          <w:lang w:bidi="fr-FR"/>
        </w:rPr>
        <w:t>s</w:t>
      </w:r>
      <w:r w:rsidRPr="00A508D7">
        <w:rPr>
          <w:snapToGrid w:val="0"/>
          <w:color w:val="000000"/>
          <w:kern w:val="22"/>
          <w:lang w:bidi="fr-FR"/>
        </w:rPr>
        <w:t>. Elle a également informé les</w:t>
      </w:r>
      <w:r w:rsidR="00835816">
        <w:rPr>
          <w:snapToGrid w:val="0"/>
          <w:color w:val="000000"/>
          <w:kern w:val="22"/>
          <w:lang w:bidi="fr-FR"/>
        </w:rPr>
        <w:t xml:space="preserve"> Parties que lors de l’évaluation des décisions trans</w:t>
      </w:r>
      <w:r w:rsidRPr="00A508D7">
        <w:rPr>
          <w:snapToGrid w:val="0"/>
          <w:color w:val="000000"/>
          <w:kern w:val="22"/>
          <w:lang w:bidi="fr-FR"/>
        </w:rPr>
        <w:t xml:space="preserve">mises au Centre d'échange pour la prévention </w:t>
      </w:r>
      <w:r w:rsidR="00835816">
        <w:rPr>
          <w:snapToGrid w:val="0"/>
          <w:color w:val="000000"/>
          <w:kern w:val="22"/>
          <w:lang w:bidi="fr-FR"/>
        </w:rPr>
        <w:t>des risques biotechnologiques concernant les</w:t>
      </w:r>
      <w:r w:rsidRPr="00A508D7">
        <w:rPr>
          <w:snapToGrid w:val="0"/>
          <w:color w:val="000000"/>
          <w:kern w:val="22"/>
          <w:lang w:bidi="fr-FR"/>
        </w:rPr>
        <w:t xml:space="preserve"> utilisation</w:t>
      </w:r>
      <w:r w:rsidR="00835816">
        <w:rPr>
          <w:snapToGrid w:val="0"/>
          <w:color w:val="000000"/>
          <w:kern w:val="22"/>
          <w:lang w:bidi="fr-FR"/>
        </w:rPr>
        <w:t>s en milieu confiné</w:t>
      </w:r>
      <w:r w:rsidRPr="00A508D7">
        <w:rPr>
          <w:snapToGrid w:val="0"/>
          <w:color w:val="000000"/>
          <w:kern w:val="22"/>
          <w:lang w:bidi="fr-FR"/>
        </w:rPr>
        <w:t>, le Comité</w:t>
      </w:r>
      <w:r w:rsidR="00835816">
        <w:rPr>
          <w:snapToGrid w:val="0"/>
          <w:color w:val="000000"/>
          <w:kern w:val="22"/>
          <w:lang w:bidi="fr-FR"/>
        </w:rPr>
        <w:t xml:space="preserve"> avait noté que certaines donnée</w:t>
      </w:r>
      <w:r w:rsidRPr="00A508D7">
        <w:rPr>
          <w:snapToGrid w:val="0"/>
          <w:color w:val="000000"/>
          <w:kern w:val="22"/>
          <w:lang w:bidi="fr-FR"/>
        </w:rPr>
        <w:t>s mis</w:t>
      </w:r>
      <w:r w:rsidR="00835816">
        <w:rPr>
          <w:snapToGrid w:val="0"/>
          <w:color w:val="000000"/>
          <w:kern w:val="22"/>
          <w:lang w:bidi="fr-FR"/>
        </w:rPr>
        <w:t>es à disposition sur les</w:t>
      </w:r>
      <w:r w:rsidRPr="00A508D7">
        <w:rPr>
          <w:snapToGrid w:val="0"/>
          <w:color w:val="000000"/>
          <w:kern w:val="22"/>
          <w:lang w:bidi="fr-FR"/>
        </w:rPr>
        <w:t xml:space="preserve"> utilisation</w:t>
      </w:r>
      <w:r w:rsidR="00835816">
        <w:rPr>
          <w:snapToGrid w:val="0"/>
          <w:color w:val="000000"/>
          <w:kern w:val="22"/>
          <w:lang w:bidi="fr-FR"/>
        </w:rPr>
        <w:t>s en milieu confiné</w:t>
      </w:r>
      <w:r w:rsidRPr="00A508D7">
        <w:rPr>
          <w:snapToGrid w:val="0"/>
          <w:color w:val="000000"/>
          <w:kern w:val="22"/>
          <w:lang w:bidi="fr-FR"/>
        </w:rPr>
        <w:t xml:space="preserve"> n'étaient pas entièrement conformes à l'article 6 du Protocole de Cartagena, </w:t>
      </w:r>
      <w:r w:rsidR="00835816">
        <w:rPr>
          <w:snapToGrid w:val="0"/>
          <w:color w:val="000000"/>
          <w:kern w:val="22"/>
          <w:lang w:bidi="fr-FR"/>
        </w:rPr>
        <w:t xml:space="preserve">car </w:t>
      </w:r>
      <w:r w:rsidRPr="00A508D7">
        <w:rPr>
          <w:snapToGrid w:val="0"/>
          <w:color w:val="000000"/>
          <w:kern w:val="22"/>
          <w:lang w:bidi="fr-FR"/>
        </w:rPr>
        <w:t>certain</w:t>
      </w:r>
      <w:r w:rsidR="00835816">
        <w:rPr>
          <w:snapToGrid w:val="0"/>
          <w:color w:val="000000"/>
          <w:kern w:val="22"/>
          <w:lang w:bidi="fr-FR"/>
        </w:rPr>
        <w:t>es donnée</w:t>
      </w:r>
      <w:r w:rsidRPr="00A508D7">
        <w:rPr>
          <w:snapToGrid w:val="0"/>
          <w:color w:val="000000"/>
          <w:kern w:val="22"/>
          <w:lang w:bidi="fr-FR"/>
        </w:rPr>
        <w:t>s concerna</w:t>
      </w:r>
      <w:r w:rsidR="00835816">
        <w:rPr>
          <w:snapToGrid w:val="0"/>
          <w:color w:val="000000"/>
          <w:kern w:val="22"/>
          <w:lang w:bidi="fr-FR"/>
        </w:rPr>
        <w:t>ie</w:t>
      </w:r>
      <w:r w:rsidRPr="00A508D7">
        <w:rPr>
          <w:snapToGrid w:val="0"/>
          <w:color w:val="000000"/>
          <w:kern w:val="22"/>
          <w:lang w:bidi="fr-FR"/>
        </w:rPr>
        <w:t>nt plutôt une introduction inte</w:t>
      </w:r>
      <w:r w:rsidR="00835816">
        <w:rPr>
          <w:snapToGrid w:val="0"/>
          <w:color w:val="000000"/>
          <w:kern w:val="22"/>
          <w:lang w:bidi="fr-FR"/>
        </w:rPr>
        <w:t>ntionnelle dans l'environnement; d’autres informations sur cette</w:t>
      </w:r>
      <w:r w:rsidRPr="00A508D7">
        <w:rPr>
          <w:snapToGrid w:val="0"/>
          <w:color w:val="000000"/>
          <w:kern w:val="22"/>
          <w:lang w:bidi="fr-FR"/>
        </w:rPr>
        <w:t xml:space="preserve"> qu</w:t>
      </w:r>
      <w:r w:rsidR="00835816">
        <w:rPr>
          <w:snapToGrid w:val="0"/>
          <w:color w:val="000000"/>
          <w:kern w:val="22"/>
          <w:lang w:bidi="fr-FR"/>
        </w:rPr>
        <w:t>estion figurent dans la note de la Secrétaire exécutive</w:t>
      </w:r>
      <w:r w:rsidRPr="00A508D7">
        <w:rPr>
          <w:snapToGrid w:val="0"/>
          <w:color w:val="000000"/>
          <w:kern w:val="22"/>
          <w:lang w:bidi="fr-FR"/>
        </w:rPr>
        <w:t xml:space="preserve"> </w:t>
      </w:r>
      <w:r w:rsidR="00835816">
        <w:rPr>
          <w:snapToGrid w:val="0"/>
          <w:color w:val="000000"/>
          <w:kern w:val="22"/>
          <w:lang w:bidi="fr-FR"/>
        </w:rPr>
        <w:t xml:space="preserve">sur le transit et les </w:t>
      </w:r>
      <w:r w:rsidRPr="00A508D7">
        <w:rPr>
          <w:snapToGrid w:val="0"/>
          <w:color w:val="000000"/>
          <w:kern w:val="22"/>
          <w:lang w:bidi="fr-FR"/>
        </w:rPr>
        <w:t>utilisation</w:t>
      </w:r>
      <w:r w:rsidR="00835816">
        <w:rPr>
          <w:snapToGrid w:val="0"/>
          <w:color w:val="000000"/>
          <w:kern w:val="22"/>
          <w:lang w:bidi="fr-FR"/>
        </w:rPr>
        <w:t>s en milieu confiné d’</w:t>
      </w:r>
      <w:r w:rsidRPr="00A508D7">
        <w:rPr>
          <w:snapToGrid w:val="0"/>
          <w:color w:val="000000"/>
          <w:kern w:val="22"/>
          <w:lang w:bidi="fr-FR"/>
        </w:rPr>
        <w:t>organismes vivants modifiés</w:t>
      </w:r>
      <w:r w:rsidR="00835816" w:rsidRPr="00835816">
        <w:rPr>
          <w:snapToGrid w:val="0"/>
          <w:color w:val="000000"/>
          <w:kern w:val="22"/>
          <w:lang w:bidi="fr-FR"/>
        </w:rPr>
        <w:t xml:space="preserve"> </w:t>
      </w:r>
      <w:r w:rsidR="00835816">
        <w:rPr>
          <w:snapToGrid w:val="0"/>
          <w:color w:val="000000"/>
          <w:kern w:val="22"/>
          <w:lang w:bidi="fr-FR"/>
        </w:rPr>
        <w:t>(</w:t>
      </w:r>
      <w:r w:rsidR="00835816" w:rsidRPr="00A508D7">
        <w:rPr>
          <w:snapToGrid w:val="0"/>
          <w:color w:val="000000"/>
          <w:kern w:val="22"/>
          <w:lang w:bidi="fr-FR"/>
        </w:rPr>
        <w:t>CBD/CP/MOP/9/9</w:t>
      </w:r>
      <w:r w:rsidR="00835816">
        <w:rPr>
          <w:snapToGrid w:val="0"/>
          <w:color w:val="000000"/>
          <w:kern w:val="22"/>
          <w:lang w:bidi="fr-FR"/>
        </w:rPr>
        <w:t>)</w:t>
      </w:r>
      <w:r w:rsidRPr="00A508D7">
        <w:rPr>
          <w:snapToGrid w:val="0"/>
          <w:color w:val="000000"/>
          <w:kern w:val="22"/>
          <w:lang w:bidi="fr-FR"/>
        </w:rPr>
        <w:t>.</w:t>
      </w:r>
    </w:p>
    <w:p w14:paraId="0D40164B" w14:textId="5E6FB82B" w:rsidR="007A3AC2" w:rsidRPr="00710E66" w:rsidRDefault="00835816"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Pr>
          <w:snapToGrid w:val="0"/>
          <w:color w:val="000000"/>
          <w:kern w:val="22"/>
          <w:lang w:bidi="fr-FR"/>
        </w:rPr>
        <w:t>En ce qui concerne l’avertissement recommandé</w:t>
      </w:r>
      <w:r w:rsidR="005C4A6F" w:rsidRPr="00A508D7">
        <w:rPr>
          <w:snapToGrid w:val="0"/>
          <w:color w:val="000000"/>
          <w:kern w:val="22"/>
          <w:lang w:bidi="fr-FR"/>
        </w:rPr>
        <w:t xml:space="preserve">, </w:t>
      </w:r>
      <w:r w:rsidR="005C4A6F" w:rsidRPr="00A508D7">
        <w:rPr>
          <w:lang w:bidi="fr-FR"/>
        </w:rPr>
        <w:t xml:space="preserve">la Conférence des Parties </w:t>
      </w:r>
      <w:r w:rsidR="00F908C1">
        <w:rPr>
          <w:lang w:bidi="fr-FR"/>
        </w:rPr>
        <w:t>siégeant en tant que</w:t>
      </w:r>
      <w:r w:rsidR="005C4A6F" w:rsidRPr="00A508D7">
        <w:rPr>
          <w:lang w:bidi="fr-FR"/>
        </w:rPr>
        <w:t xml:space="preserve"> réunion des Parties au </w:t>
      </w:r>
      <w:r>
        <w:rPr>
          <w:lang w:bidi="fr-FR"/>
        </w:rPr>
        <w:t xml:space="preserve">Protocole de Cartagena était saisie </w:t>
      </w:r>
      <w:r w:rsidR="005C4A6F" w:rsidRPr="00A508D7">
        <w:rPr>
          <w:snapToGrid w:val="0"/>
          <w:color w:val="000000"/>
          <w:kern w:val="22"/>
          <w:lang w:bidi="fr-FR"/>
        </w:rPr>
        <w:t xml:space="preserve">d'un document d'information pour l'aider dans son examen (CBD/CP/MOP/9/INF/2). Ce document donnait notamment un aperçu des nombreuses activités entreprises par le Comité qui ont abouti à la recommandation de mettre en garde </w:t>
      </w:r>
      <w:r>
        <w:rPr>
          <w:snapToGrid w:val="0"/>
          <w:color w:val="000000"/>
          <w:kern w:val="22"/>
          <w:lang w:bidi="fr-FR"/>
        </w:rPr>
        <w:t>les Parties qui n'avaient pas trans</w:t>
      </w:r>
      <w:r w:rsidR="005C4A6F" w:rsidRPr="00A508D7">
        <w:rPr>
          <w:snapToGrid w:val="0"/>
          <w:color w:val="000000"/>
          <w:kern w:val="22"/>
          <w:lang w:bidi="fr-FR"/>
        </w:rPr>
        <w:t>mis leur rapport national. Mme Hamilton a souligné que la décision de recommander une mise en garde a</w:t>
      </w:r>
      <w:r>
        <w:rPr>
          <w:snapToGrid w:val="0"/>
          <w:color w:val="000000"/>
          <w:kern w:val="22"/>
          <w:lang w:bidi="fr-FR"/>
        </w:rPr>
        <w:t>vait</w:t>
      </w:r>
      <w:r w:rsidR="005C4A6F" w:rsidRPr="00A508D7">
        <w:rPr>
          <w:snapToGrid w:val="0"/>
          <w:color w:val="000000"/>
          <w:kern w:val="22"/>
          <w:lang w:bidi="fr-FR"/>
        </w:rPr>
        <w:t xml:space="preserve"> été prise après </w:t>
      </w:r>
      <w:r w:rsidR="005C4A6F" w:rsidRPr="00A508D7">
        <w:rPr>
          <w:rFonts w:eastAsiaTheme="minorEastAsia"/>
          <w:lang w:bidi="fr-FR"/>
        </w:rPr>
        <w:t>de longues discussions et</w:t>
      </w:r>
      <w:r>
        <w:rPr>
          <w:rFonts w:eastAsiaTheme="minorEastAsia"/>
          <w:lang w:bidi="fr-FR"/>
        </w:rPr>
        <w:t xml:space="preserve"> en gardant à l’esprit le fait que les efforts déployés par le Comité pour résoudre ce problème à de nombreuses occasions n’avaient pas abouti à la communication des rapports nationaux par les Parties concernées</w:t>
      </w:r>
      <w:r w:rsidR="005C4A6F" w:rsidRPr="00A508D7">
        <w:rPr>
          <w:lang w:bidi="fr-FR"/>
        </w:rPr>
        <w:t>.</w:t>
      </w:r>
      <w:r w:rsidR="005C4A6F" w:rsidRPr="00A508D7">
        <w:rPr>
          <w:rFonts w:eastAsiaTheme="minorEastAsia"/>
          <w:lang w:bidi="fr-FR"/>
        </w:rPr>
        <w:t xml:space="preserve"> Elle a ajouté que la communauté mondiale a</w:t>
      </w:r>
      <w:r>
        <w:rPr>
          <w:rFonts w:eastAsiaTheme="minorEastAsia"/>
          <w:lang w:bidi="fr-FR"/>
        </w:rPr>
        <w:t>vait adopté</w:t>
      </w:r>
      <w:r w:rsidR="005C4A6F" w:rsidRPr="00A508D7">
        <w:rPr>
          <w:rFonts w:eastAsiaTheme="minorEastAsia"/>
          <w:lang w:bidi="fr-FR"/>
        </w:rPr>
        <w:t xml:space="preserve"> le Protocole de Cartagena </w:t>
      </w:r>
      <w:r>
        <w:rPr>
          <w:rFonts w:eastAsiaTheme="minorEastAsia"/>
          <w:lang w:bidi="fr-FR"/>
        </w:rPr>
        <w:t>en considérant que ses dispositions</w:t>
      </w:r>
      <w:r w:rsidR="005C4A6F" w:rsidRPr="00A508D7">
        <w:rPr>
          <w:rFonts w:eastAsiaTheme="minorEastAsia"/>
          <w:lang w:bidi="fr-FR"/>
        </w:rPr>
        <w:t xml:space="preserve"> étai</w:t>
      </w:r>
      <w:r>
        <w:rPr>
          <w:rFonts w:eastAsiaTheme="minorEastAsia"/>
          <w:lang w:bidi="fr-FR"/>
        </w:rPr>
        <w:t>ent importantes et que le</w:t>
      </w:r>
      <w:r w:rsidR="005C4A6F" w:rsidRPr="00A508D7">
        <w:rPr>
          <w:rFonts w:eastAsiaTheme="minorEastAsia"/>
          <w:lang w:bidi="fr-FR"/>
        </w:rPr>
        <w:t xml:space="preserve"> succès </w:t>
      </w:r>
      <w:r>
        <w:rPr>
          <w:rFonts w:eastAsiaTheme="minorEastAsia"/>
          <w:lang w:bidi="fr-FR"/>
        </w:rPr>
        <w:t xml:space="preserve">de son fonctionnement </w:t>
      </w:r>
      <w:r w:rsidR="005C4A6F" w:rsidRPr="00A508D7">
        <w:rPr>
          <w:rFonts w:eastAsiaTheme="minorEastAsia"/>
          <w:lang w:bidi="fr-FR"/>
        </w:rPr>
        <w:t>dép</w:t>
      </w:r>
      <w:r>
        <w:rPr>
          <w:rFonts w:eastAsiaTheme="minorEastAsia"/>
          <w:lang w:bidi="fr-FR"/>
        </w:rPr>
        <w:t>endait d’un partage d’</w:t>
      </w:r>
      <w:r w:rsidR="005C4A6F" w:rsidRPr="00A508D7">
        <w:rPr>
          <w:rFonts w:eastAsiaTheme="minorEastAsia"/>
          <w:lang w:bidi="fr-FR"/>
        </w:rPr>
        <w:t>informations</w:t>
      </w:r>
      <w:r>
        <w:rPr>
          <w:rFonts w:eastAsiaTheme="minorEastAsia"/>
          <w:lang w:bidi="fr-FR"/>
        </w:rPr>
        <w:t xml:space="preserve"> exactes</w:t>
      </w:r>
      <w:r w:rsidR="005C4A6F" w:rsidRPr="00A508D7">
        <w:rPr>
          <w:rFonts w:eastAsiaTheme="minorEastAsia"/>
          <w:lang w:bidi="fr-FR"/>
        </w:rPr>
        <w:t xml:space="preserve">. </w:t>
      </w:r>
      <w:r>
        <w:rPr>
          <w:rFonts w:eastAsiaTheme="minorEastAsia"/>
          <w:lang w:bidi="fr-FR"/>
        </w:rPr>
        <w:t>Au regard de la transmission</w:t>
      </w:r>
      <w:r w:rsidR="00710E66" w:rsidRPr="00710E66">
        <w:rPr>
          <w:rFonts w:eastAsiaTheme="minorEastAsia"/>
          <w:lang w:bidi="fr-FR"/>
        </w:rPr>
        <w:t xml:space="preserve"> </w:t>
      </w:r>
      <w:r>
        <w:rPr>
          <w:rFonts w:eastAsiaTheme="minorEastAsia"/>
          <w:lang w:bidi="fr-FR"/>
        </w:rPr>
        <w:t xml:space="preserve">de son </w:t>
      </w:r>
      <w:r>
        <w:rPr>
          <w:rFonts w:eastAsiaTheme="minorEastAsia"/>
          <w:lang w:bidi="fr-FR"/>
        </w:rPr>
        <w:lastRenderedPageBreak/>
        <w:t xml:space="preserve">troisième rapport national </w:t>
      </w:r>
      <w:r w:rsidR="00710E66" w:rsidRPr="00710E66">
        <w:rPr>
          <w:rFonts w:eastAsiaTheme="minorEastAsia"/>
          <w:lang w:bidi="fr-FR"/>
        </w:rPr>
        <w:t xml:space="preserve">par le </w:t>
      </w:r>
      <w:r w:rsidR="00710E66" w:rsidRPr="00710E66">
        <w:rPr>
          <w:szCs w:val="22"/>
        </w:rPr>
        <w:t>Turkmé</w:t>
      </w:r>
      <w:r>
        <w:rPr>
          <w:szCs w:val="22"/>
        </w:rPr>
        <w:t>nistan</w:t>
      </w:r>
      <w:r w:rsidR="00710E66" w:rsidRPr="00710E66">
        <w:rPr>
          <w:szCs w:val="22"/>
        </w:rPr>
        <w:t xml:space="preserve">, Mme </w:t>
      </w:r>
      <w:r w:rsidR="007A3AC2" w:rsidRPr="00710E66">
        <w:rPr>
          <w:szCs w:val="22"/>
        </w:rPr>
        <w:t xml:space="preserve">Hamilton </w:t>
      </w:r>
      <w:r w:rsidR="00710E66">
        <w:rPr>
          <w:szCs w:val="22"/>
        </w:rPr>
        <w:t xml:space="preserve">a indiqué que le </w:t>
      </w:r>
      <w:r w:rsidR="007A3AC2" w:rsidRPr="00710E66">
        <w:rPr>
          <w:szCs w:val="22"/>
        </w:rPr>
        <w:t>Tur</w:t>
      </w:r>
      <w:r w:rsidR="00710E66">
        <w:rPr>
          <w:szCs w:val="22"/>
        </w:rPr>
        <w:t>kmé</w:t>
      </w:r>
      <w:r w:rsidR="007A3AC2" w:rsidRPr="00710E66">
        <w:rPr>
          <w:szCs w:val="22"/>
        </w:rPr>
        <w:t>nistan</w:t>
      </w:r>
      <w:r w:rsidR="00710E66">
        <w:rPr>
          <w:szCs w:val="22"/>
        </w:rPr>
        <w:t xml:space="preserve"> pouvait être retir</w:t>
      </w:r>
      <w:r>
        <w:rPr>
          <w:szCs w:val="22"/>
        </w:rPr>
        <w:t xml:space="preserve">é de la partie </w:t>
      </w:r>
      <w:r w:rsidR="00710E66">
        <w:rPr>
          <w:szCs w:val="22"/>
        </w:rPr>
        <w:t>de la recommandation du Comité</w:t>
      </w:r>
      <w:r>
        <w:rPr>
          <w:szCs w:val="22"/>
        </w:rPr>
        <w:t xml:space="preserve"> portant sur les mises en garde</w:t>
      </w:r>
      <w:r w:rsidR="007A3AC2" w:rsidRPr="00710E66">
        <w:rPr>
          <w:szCs w:val="22"/>
        </w:rPr>
        <w:t>.</w:t>
      </w:r>
    </w:p>
    <w:p w14:paraId="515009BF" w14:textId="1D90BE3F" w:rsidR="00740CF8" w:rsidRPr="00740CF8" w:rsidRDefault="00835816"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Pr>
          <w:snapToGrid w:val="0"/>
          <w:color w:val="000000"/>
          <w:kern w:val="22"/>
          <w:szCs w:val="22"/>
        </w:rPr>
        <w:t>Après le rapport du</w:t>
      </w:r>
      <w:r w:rsidR="00CD5C38" w:rsidRPr="00CD5C38">
        <w:rPr>
          <w:snapToGrid w:val="0"/>
          <w:color w:val="000000"/>
          <w:kern w:val="22"/>
          <w:szCs w:val="22"/>
        </w:rPr>
        <w:t xml:space="preserve"> Mme</w:t>
      </w:r>
      <w:r w:rsidR="00CD5C38">
        <w:rPr>
          <w:snapToGrid w:val="0"/>
          <w:color w:val="000000"/>
          <w:kern w:val="22"/>
          <w:szCs w:val="22"/>
        </w:rPr>
        <w:t xml:space="preserve"> Hamilton</w:t>
      </w:r>
      <w:r w:rsidR="007A3AC2" w:rsidRPr="00CD5C38">
        <w:rPr>
          <w:snapToGrid w:val="0"/>
          <w:color w:val="000000"/>
          <w:kern w:val="22"/>
          <w:szCs w:val="22"/>
        </w:rPr>
        <w:t xml:space="preserve">, </w:t>
      </w:r>
      <w:r w:rsidR="00030395" w:rsidRPr="00CD5C38">
        <w:rPr>
          <w:snapToGrid w:val="0"/>
          <w:color w:val="000000"/>
          <w:kern w:val="22"/>
          <w:szCs w:val="22"/>
        </w:rPr>
        <w:t>la Conférence des Parties siégeant en tant que réunion des Parties</w:t>
      </w:r>
      <w:r w:rsidR="007A3AC2" w:rsidRPr="00CD5C38">
        <w:rPr>
          <w:szCs w:val="22"/>
        </w:rPr>
        <w:t xml:space="preserve"> </w:t>
      </w:r>
      <w:r w:rsidR="007A3AC2" w:rsidRPr="00CD5C38">
        <w:rPr>
          <w:snapToGrid w:val="0"/>
          <w:kern w:val="22"/>
          <w:szCs w:val="22"/>
          <w:lang w:eastAsia="en-CA"/>
        </w:rPr>
        <w:t>a</w:t>
      </w:r>
      <w:r w:rsidR="00CD5C38">
        <w:rPr>
          <w:snapToGrid w:val="0"/>
          <w:kern w:val="22"/>
          <w:szCs w:val="22"/>
          <w:lang w:eastAsia="en-CA"/>
        </w:rPr>
        <w:t xml:space="preserve"> convenu d’examiner les r</w:t>
      </w:r>
      <w:r>
        <w:rPr>
          <w:snapToGrid w:val="0"/>
          <w:kern w:val="22"/>
          <w:szCs w:val="22"/>
          <w:lang w:eastAsia="en-CA"/>
        </w:rPr>
        <w:t>ecommandations du Comité dans le cadre</w:t>
      </w:r>
      <w:r w:rsidR="00CD5C38">
        <w:rPr>
          <w:snapToGrid w:val="0"/>
          <w:kern w:val="22"/>
          <w:szCs w:val="22"/>
          <w:lang w:eastAsia="en-CA"/>
        </w:rPr>
        <w:t xml:space="preserve"> des groupes de travail</w:t>
      </w:r>
      <w:r>
        <w:rPr>
          <w:snapToGrid w:val="0"/>
          <w:kern w:val="22"/>
          <w:szCs w:val="22"/>
          <w:lang w:eastAsia="en-CA"/>
        </w:rPr>
        <w:t>,</w:t>
      </w:r>
      <w:r w:rsidR="00CD5C38">
        <w:rPr>
          <w:snapToGrid w:val="0"/>
          <w:kern w:val="22"/>
          <w:szCs w:val="22"/>
          <w:lang w:eastAsia="en-CA"/>
        </w:rPr>
        <w:t xml:space="preserve"> au titre des points </w:t>
      </w:r>
      <w:r>
        <w:rPr>
          <w:snapToGrid w:val="0"/>
          <w:kern w:val="22"/>
          <w:szCs w:val="22"/>
          <w:lang w:eastAsia="en-CA"/>
        </w:rPr>
        <w:t xml:space="preserve">correspondants </w:t>
      </w:r>
      <w:r w:rsidR="00CD5C38">
        <w:rPr>
          <w:snapToGrid w:val="0"/>
          <w:kern w:val="22"/>
          <w:szCs w:val="22"/>
          <w:lang w:eastAsia="en-CA"/>
        </w:rPr>
        <w:t>d</w:t>
      </w:r>
      <w:r>
        <w:rPr>
          <w:snapToGrid w:val="0"/>
          <w:kern w:val="22"/>
          <w:szCs w:val="22"/>
          <w:lang w:eastAsia="en-CA"/>
        </w:rPr>
        <w:t>e l’ordre du jour</w:t>
      </w:r>
      <w:r w:rsidR="00CD5C38">
        <w:rPr>
          <w:snapToGrid w:val="0"/>
          <w:kern w:val="22"/>
          <w:szCs w:val="22"/>
          <w:lang w:eastAsia="en-CA"/>
        </w:rPr>
        <w:t xml:space="preserve">. Le </w:t>
      </w:r>
      <w:r>
        <w:rPr>
          <w:snapToGrid w:val="0"/>
          <w:kern w:val="22"/>
          <w:szCs w:val="22"/>
          <w:lang w:eastAsia="en-CA"/>
        </w:rPr>
        <w:t>point 5 de l’ordre du jour a</w:t>
      </w:r>
      <w:r w:rsidR="00CD5C38">
        <w:rPr>
          <w:snapToGrid w:val="0"/>
          <w:kern w:val="22"/>
          <w:szCs w:val="22"/>
          <w:lang w:eastAsia="en-CA"/>
        </w:rPr>
        <w:t xml:space="preserve"> ét</w:t>
      </w:r>
      <w:r w:rsidR="00740CF8">
        <w:rPr>
          <w:snapToGrid w:val="0"/>
          <w:kern w:val="22"/>
          <w:szCs w:val="22"/>
          <w:lang w:eastAsia="en-CA"/>
        </w:rPr>
        <w:t>é transmis au G</w:t>
      </w:r>
      <w:r>
        <w:rPr>
          <w:snapToGrid w:val="0"/>
          <w:kern w:val="22"/>
          <w:szCs w:val="22"/>
          <w:lang w:eastAsia="en-CA"/>
        </w:rPr>
        <w:t>roupe de travail </w:t>
      </w:r>
      <w:r w:rsidR="00CD5C38">
        <w:rPr>
          <w:snapToGrid w:val="0"/>
          <w:kern w:val="22"/>
          <w:szCs w:val="22"/>
          <w:lang w:eastAsia="en-CA"/>
        </w:rPr>
        <w:t>I, aux</w:t>
      </w:r>
      <w:r w:rsidR="00740CF8">
        <w:rPr>
          <w:snapToGrid w:val="0"/>
          <w:kern w:val="22"/>
          <w:szCs w:val="22"/>
          <w:lang w:eastAsia="en-CA"/>
        </w:rPr>
        <w:t xml:space="preserve"> fins d’examen plus poussé des recommandations du Comité figurant</w:t>
      </w:r>
      <w:r w:rsidR="00CD5C38">
        <w:rPr>
          <w:snapToGrid w:val="0"/>
          <w:kern w:val="22"/>
          <w:szCs w:val="22"/>
          <w:lang w:eastAsia="en-CA"/>
        </w:rPr>
        <w:t xml:space="preserve"> dans la partie A de l’annexe à son rapport, et contenu</w:t>
      </w:r>
      <w:r w:rsidR="00740CF8">
        <w:rPr>
          <w:snapToGrid w:val="0"/>
          <w:kern w:val="22"/>
          <w:szCs w:val="22"/>
          <w:lang w:eastAsia="en-CA"/>
        </w:rPr>
        <w:t>es</w:t>
      </w:r>
      <w:r w:rsidR="00CD5C38">
        <w:rPr>
          <w:snapToGrid w:val="0"/>
          <w:kern w:val="22"/>
          <w:szCs w:val="22"/>
          <w:lang w:eastAsia="en-CA"/>
        </w:rPr>
        <w:t xml:space="preserve"> également dans la </w:t>
      </w:r>
      <w:r w:rsidR="00CD5C38">
        <w:rPr>
          <w:bCs/>
          <w:szCs w:val="22"/>
        </w:rPr>
        <w:t>compilation du</w:t>
      </w:r>
      <w:r w:rsidR="007A3AC2" w:rsidRPr="00CD5C38">
        <w:rPr>
          <w:bCs/>
          <w:szCs w:val="22"/>
        </w:rPr>
        <w:t xml:space="preserve"> </w:t>
      </w:r>
      <w:r w:rsidR="001420DE" w:rsidRPr="00CD5C38">
        <w:rPr>
          <w:bCs/>
          <w:szCs w:val="22"/>
        </w:rPr>
        <w:t>projet de décision</w:t>
      </w:r>
      <w:r w:rsidR="007A3AC2" w:rsidRPr="00CD5C38">
        <w:rPr>
          <w:bCs/>
          <w:szCs w:val="22"/>
        </w:rPr>
        <w:t>s (CBD/CP/MOP/9/1/Add.2)</w:t>
      </w:r>
      <w:r w:rsidR="007A3AC2" w:rsidRPr="00CD5C38">
        <w:rPr>
          <w:snapToGrid w:val="0"/>
          <w:kern w:val="22"/>
          <w:szCs w:val="22"/>
          <w:lang w:eastAsia="en-CA"/>
        </w:rPr>
        <w:t>.</w:t>
      </w:r>
    </w:p>
    <w:p w14:paraId="594E9A69" w14:textId="77777777" w:rsidR="00740CF8" w:rsidRPr="00740CF8" w:rsidRDefault="005C4A6F"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sidRPr="00A508D7">
        <w:rPr>
          <w:lang w:bidi="fr-FR"/>
        </w:rPr>
        <w:t>Le Groupe de travai</w:t>
      </w:r>
      <w:r w:rsidR="00740CF8">
        <w:rPr>
          <w:lang w:bidi="fr-FR"/>
        </w:rPr>
        <w:t>l I a examiné</w:t>
      </w:r>
      <w:r w:rsidR="00710E66">
        <w:rPr>
          <w:lang w:bidi="fr-FR"/>
        </w:rPr>
        <w:t xml:space="preserve"> le point 5</w:t>
      </w:r>
      <w:r w:rsidR="00740CF8">
        <w:rPr>
          <w:lang w:bidi="fr-FR"/>
        </w:rPr>
        <w:t xml:space="preserve"> de l’ordre du jour</w:t>
      </w:r>
      <w:r w:rsidR="00CD5C38">
        <w:rPr>
          <w:lang w:bidi="fr-FR"/>
        </w:rPr>
        <w:t xml:space="preserve"> à sa 6</w:t>
      </w:r>
      <w:r w:rsidR="00CD5C38" w:rsidRPr="00740CF8">
        <w:rPr>
          <w:vertAlign w:val="superscript"/>
          <w:lang w:bidi="fr-FR"/>
        </w:rPr>
        <w:t>ème</w:t>
      </w:r>
      <w:r w:rsidR="00710E66">
        <w:rPr>
          <w:lang w:bidi="fr-FR"/>
        </w:rPr>
        <w:t xml:space="preserve"> réunion</w:t>
      </w:r>
      <w:r w:rsidRPr="00A508D7">
        <w:rPr>
          <w:lang w:bidi="fr-FR"/>
        </w:rPr>
        <w:t>, le 21 novembre 2018.</w:t>
      </w:r>
      <w:r w:rsidR="00740CF8">
        <w:rPr>
          <w:lang w:bidi="fr-FR"/>
        </w:rPr>
        <w:t xml:space="preserve"> Pour l'examen de ce point, le groupe de travail était saisi</w:t>
      </w:r>
      <w:r w:rsidRPr="00A508D7">
        <w:rPr>
          <w:lang w:bidi="fr-FR"/>
        </w:rPr>
        <w:t xml:space="preserve"> d'un projet de décision fondé s</w:t>
      </w:r>
      <w:r w:rsidR="00740CF8">
        <w:rPr>
          <w:lang w:bidi="fr-FR"/>
        </w:rPr>
        <w:t xml:space="preserve">ur les recommandations contenues </w:t>
      </w:r>
      <w:r w:rsidRPr="00A508D7">
        <w:rPr>
          <w:lang w:bidi="fr-FR"/>
        </w:rPr>
        <w:t xml:space="preserve">dans le rapport du Comité </w:t>
      </w:r>
      <w:r w:rsidR="006F4671">
        <w:rPr>
          <w:lang w:bidi="fr-FR"/>
        </w:rPr>
        <w:t>chargé du respect des obligations</w:t>
      </w:r>
      <w:r w:rsidRPr="00A508D7">
        <w:rPr>
          <w:lang w:bidi="fr-FR"/>
        </w:rPr>
        <w:t xml:space="preserve"> (CBD/CP/MOP/9/2) et d'une note de la Secrétaire exécutive sur les activités entreprises par le Comité en ce </w:t>
      </w:r>
      <w:r w:rsidR="00740CF8">
        <w:rPr>
          <w:lang w:bidi="fr-FR"/>
        </w:rPr>
        <w:t>qui concerne l'obligation de transmettre</w:t>
      </w:r>
      <w:r w:rsidRPr="00A508D7">
        <w:rPr>
          <w:lang w:bidi="fr-FR"/>
        </w:rPr>
        <w:t xml:space="preserve"> des rapports nat</w:t>
      </w:r>
      <w:r w:rsidR="00740CF8">
        <w:rPr>
          <w:lang w:bidi="fr-FR"/>
        </w:rPr>
        <w:t xml:space="preserve">ionaux, ayant abouti à la recommandation de mettre </w:t>
      </w:r>
      <w:r w:rsidRPr="00A508D7">
        <w:rPr>
          <w:lang w:bidi="fr-FR"/>
        </w:rPr>
        <w:t>en garde</w:t>
      </w:r>
      <w:r w:rsidR="00740CF8">
        <w:rPr>
          <w:lang w:bidi="fr-FR"/>
        </w:rPr>
        <w:t xml:space="preserve"> certaines Parties</w:t>
      </w:r>
      <w:r w:rsidRPr="00A508D7">
        <w:rPr>
          <w:lang w:bidi="fr-FR"/>
        </w:rPr>
        <w:t xml:space="preserve"> (CBD/CP/MOP/9/INF/2).</w:t>
      </w:r>
    </w:p>
    <w:p w14:paraId="048CAF73" w14:textId="77777777" w:rsidR="00740CF8" w:rsidRPr="00740CF8" w:rsidRDefault="00740CF8"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Pr>
          <w:lang w:bidi="fr-FR"/>
        </w:rPr>
        <w:t xml:space="preserve">Mme Hamilton </w:t>
      </w:r>
      <w:r w:rsidR="005C4A6F" w:rsidRPr="00A508D7">
        <w:rPr>
          <w:lang w:bidi="fr-FR"/>
        </w:rPr>
        <w:t>a pr</w:t>
      </w:r>
      <w:r>
        <w:rPr>
          <w:lang w:bidi="fr-FR"/>
        </w:rPr>
        <w:t>ésenté les documents. Elle a fait savoir</w:t>
      </w:r>
      <w:r w:rsidR="005C4A6F" w:rsidRPr="00A508D7">
        <w:rPr>
          <w:lang w:bidi="fr-FR"/>
        </w:rPr>
        <w:t xml:space="preserve"> que l’annexe au rapport du Comité </w:t>
      </w:r>
      <w:r w:rsidR="006F4671">
        <w:rPr>
          <w:lang w:bidi="fr-FR"/>
        </w:rPr>
        <w:t>chargé du respect des obligations</w:t>
      </w:r>
      <w:r>
        <w:rPr>
          <w:lang w:bidi="fr-FR"/>
        </w:rPr>
        <w:t xml:space="preserve"> contenait, dans la partie</w:t>
      </w:r>
      <w:r w:rsidR="005C4A6F" w:rsidRPr="00A508D7">
        <w:rPr>
          <w:lang w:bidi="fr-FR"/>
        </w:rPr>
        <w:t xml:space="preserve"> A, les recommandations générales du Comité, ainsi que sa recommandation en ce qui concerne le</w:t>
      </w:r>
      <w:r w:rsidR="003E1CB9" w:rsidRPr="00A508D7">
        <w:rPr>
          <w:lang w:bidi="fr-FR"/>
        </w:rPr>
        <w:t>s</w:t>
      </w:r>
      <w:r w:rsidR="005C4A6F" w:rsidRPr="00A508D7">
        <w:rPr>
          <w:lang w:bidi="fr-FR"/>
        </w:rPr>
        <w:t xml:space="preserve"> cas spécifiques de non-conformité</w:t>
      </w:r>
      <w:r>
        <w:rPr>
          <w:lang w:bidi="fr-FR"/>
        </w:rPr>
        <w:t>, et, dans la partie B, la recommandation de mettre en garde quatre Parties pour manquement à l’obligation de transmettre leurs rapports nationaux durant plusieurs cycles d’établissement des rapports</w:t>
      </w:r>
      <w:r w:rsidR="005C4A6F" w:rsidRPr="00A508D7">
        <w:rPr>
          <w:lang w:bidi="fr-FR"/>
        </w:rPr>
        <w:t>. Depuis la publication du rapport, la Grèce, les îl</w:t>
      </w:r>
      <w:r>
        <w:rPr>
          <w:lang w:bidi="fr-FR"/>
        </w:rPr>
        <w:t>es Marshall et le Turkménistan avaient trans</w:t>
      </w:r>
      <w:r w:rsidR="005C4A6F" w:rsidRPr="00A508D7">
        <w:rPr>
          <w:lang w:bidi="fr-FR"/>
        </w:rPr>
        <w:t>mis leurs troisièmes rapports nationaux et doivent par conséquent être retirés de la liste des Parties à</w:t>
      </w:r>
      <w:r>
        <w:rPr>
          <w:lang w:bidi="fr-FR"/>
        </w:rPr>
        <w:t xml:space="preserve"> notifier pour avoir omis de trans</w:t>
      </w:r>
      <w:r w:rsidR="005C4A6F" w:rsidRPr="00A508D7">
        <w:rPr>
          <w:lang w:bidi="fr-FR"/>
        </w:rPr>
        <w:t xml:space="preserve">mettre ces rapports. Elle a également déclaré, en ce qui </w:t>
      </w:r>
      <w:r>
        <w:rPr>
          <w:lang w:bidi="fr-FR"/>
        </w:rPr>
        <w:t>concerne la nomination des membres du Comité</w:t>
      </w:r>
      <w:r w:rsidR="005C4A6F" w:rsidRPr="00A508D7">
        <w:rPr>
          <w:lang w:bidi="fr-FR"/>
        </w:rPr>
        <w:t>, que l’intention initial</w:t>
      </w:r>
      <w:r>
        <w:rPr>
          <w:lang w:bidi="fr-FR"/>
        </w:rPr>
        <w:t>e était d’assurer</w:t>
      </w:r>
      <w:r w:rsidR="005C4A6F" w:rsidRPr="00A508D7">
        <w:rPr>
          <w:lang w:bidi="fr-FR"/>
        </w:rPr>
        <w:t xml:space="preserve"> un équilibre entre les experts techniques et </w:t>
      </w:r>
      <w:r>
        <w:rPr>
          <w:lang w:bidi="fr-FR"/>
        </w:rPr>
        <w:t>les experts juridiques. Or à</w:t>
      </w:r>
      <w:r w:rsidR="005C4A6F" w:rsidRPr="00A508D7">
        <w:rPr>
          <w:lang w:bidi="fr-FR"/>
        </w:rPr>
        <w:t xml:space="preserve"> l'heure actuelle, il ne reste que deux experts juridiques au sein du Comité </w:t>
      </w:r>
      <w:r w:rsidR="006F4671">
        <w:rPr>
          <w:lang w:bidi="fr-FR"/>
        </w:rPr>
        <w:t>chargé du respect des obligations</w:t>
      </w:r>
      <w:r>
        <w:rPr>
          <w:lang w:bidi="fr-FR"/>
        </w:rPr>
        <w:t>, et elle a prié</w:t>
      </w:r>
      <w:r w:rsidR="005C4A6F" w:rsidRPr="00A508D7">
        <w:rPr>
          <w:lang w:bidi="fr-FR"/>
        </w:rPr>
        <w:t xml:space="preserve"> instamment les Parties d'</w:t>
      </w:r>
      <w:r>
        <w:rPr>
          <w:lang w:bidi="fr-FR"/>
        </w:rPr>
        <w:t>en tenir compte lorsqu'elles désignent des membres à élire au sein du C</w:t>
      </w:r>
      <w:r w:rsidR="005C4A6F" w:rsidRPr="00A508D7">
        <w:rPr>
          <w:lang w:bidi="fr-FR"/>
        </w:rPr>
        <w:t>omité.</w:t>
      </w:r>
    </w:p>
    <w:p w14:paraId="782DCB95" w14:textId="77777777" w:rsidR="00740CF8" w:rsidRPr="00740CF8" w:rsidRDefault="005C4A6F"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sidRPr="00A508D7">
        <w:rPr>
          <w:lang w:bidi="fr-FR"/>
        </w:rPr>
        <w:t xml:space="preserve">Des déclarations ont été faites par les représentants de la Colombie, la Géorgie (au nom du groupe </w:t>
      </w:r>
      <w:r w:rsidR="00740CF8">
        <w:rPr>
          <w:lang w:bidi="fr-FR"/>
        </w:rPr>
        <w:t xml:space="preserve">des pays </w:t>
      </w:r>
      <w:r w:rsidRPr="00A508D7">
        <w:rPr>
          <w:lang w:bidi="fr-FR"/>
        </w:rPr>
        <w:t>d’Europe centrale et orientale), Inde, Indonésie, Jordanie, Mexique et Venezuela (République bolivarienne du).</w:t>
      </w:r>
    </w:p>
    <w:p w14:paraId="5DCDB09E" w14:textId="1B3846CD" w:rsidR="00740CF8" w:rsidRPr="00740CF8" w:rsidRDefault="00E73568"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Pr>
          <w:lang w:bidi="fr-FR"/>
        </w:rPr>
        <w:t>Le</w:t>
      </w:r>
      <w:r w:rsidR="005C4A6F" w:rsidRPr="00A508D7">
        <w:rPr>
          <w:lang w:bidi="fr-FR"/>
        </w:rPr>
        <w:t xml:space="preserve"> </w:t>
      </w:r>
      <w:r w:rsidR="00BC0D55">
        <w:rPr>
          <w:lang w:bidi="fr-FR"/>
        </w:rPr>
        <w:t>président</w:t>
      </w:r>
      <w:r w:rsidR="00740CF8">
        <w:rPr>
          <w:lang w:bidi="fr-FR"/>
        </w:rPr>
        <w:t xml:space="preserve"> a fait savoir</w:t>
      </w:r>
      <w:r>
        <w:rPr>
          <w:lang w:bidi="fr-FR"/>
        </w:rPr>
        <w:t xml:space="preserve"> qu’il</w:t>
      </w:r>
      <w:r w:rsidR="005C4A6F" w:rsidRPr="00A508D7">
        <w:rPr>
          <w:lang w:bidi="fr-FR"/>
        </w:rPr>
        <w:t xml:space="preserve"> préparerait un projet de décision révisé, prenant en considération les vues exprimées oralement et présentées par écrit.</w:t>
      </w:r>
    </w:p>
    <w:p w14:paraId="0FC002E0" w14:textId="2D5D6E42" w:rsidR="00740CF8" w:rsidRPr="00740CF8" w:rsidRDefault="00CD5C38"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Pr>
          <w:lang w:bidi="fr-FR"/>
        </w:rPr>
        <w:t>À sa 10</w:t>
      </w:r>
      <w:r w:rsidRPr="00740CF8">
        <w:rPr>
          <w:vertAlign w:val="superscript"/>
          <w:lang w:bidi="fr-FR"/>
        </w:rPr>
        <w:t>ème</w:t>
      </w:r>
      <w:r w:rsidR="005C4A6F" w:rsidRPr="00A508D7">
        <w:rPr>
          <w:lang w:bidi="fr-FR"/>
        </w:rPr>
        <w:t xml:space="preserve"> réunion, le 25 novembre 2018, le Groupe de travail a examiné un pr</w:t>
      </w:r>
      <w:r w:rsidR="00E73568">
        <w:rPr>
          <w:lang w:bidi="fr-FR"/>
        </w:rPr>
        <w:t>ojet de décision révisé établi par le</w:t>
      </w:r>
      <w:r w:rsidR="005C4A6F" w:rsidRPr="00A508D7">
        <w:rPr>
          <w:lang w:bidi="fr-FR"/>
        </w:rPr>
        <w:t xml:space="preserve"> </w:t>
      </w:r>
      <w:r w:rsidR="00BC0D55">
        <w:rPr>
          <w:lang w:bidi="fr-FR"/>
        </w:rPr>
        <w:t>président</w:t>
      </w:r>
      <w:r w:rsidR="00740CF8">
        <w:rPr>
          <w:lang w:bidi="fr-FR"/>
        </w:rPr>
        <w:t>, et l’a</w:t>
      </w:r>
      <w:r w:rsidR="005C4A6F" w:rsidRPr="00A508D7">
        <w:rPr>
          <w:lang w:bidi="fr-FR"/>
        </w:rPr>
        <w:t xml:space="preserve"> approuvé pour transmission à la plénière</w:t>
      </w:r>
      <w:r w:rsidR="00740CF8">
        <w:rPr>
          <w:lang w:bidi="fr-FR"/>
        </w:rPr>
        <w:t>,</w:t>
      </w:r>
      <w:r w:rsidR="005C4A6F" w:rsidRPr="00A508D7">
        <w:rPr>
          <w:lang w:bidi="fr-FR"/>
        </w:rPr>
        <w:t xml:space="preserve"> en tant que projet de décision CBD/CP-MOP/9/L.11. </w:t>
      </w:r>
    </w:p>
    <w:p w14:paraId="3F28CB5F" w14:textId="66B96F39" w:rsidR="007E35FC" w:rsidRPr="00740CF8" w:rsidRDefault="00030395" w:rsidP="004C7DBD">
      <w:pPr>
        <w:numPr>
          <w:ilvl w:val="0"/>
          <w:numId w:val="15"/>
        </w:numPr>
        <w:suppressLineNumbers/>
        <w:tabs>
          <w:tab w:val="clear" w:pos="360"/>
        </w:tabs>
        <w:suppressAutoHyphens/>
        <w:kinsoku w:val="0"/>
        <w:overflowPunct w:val="0"/>
        <w:autoSpaceDE w:val="0"/>
        <w:autoSpaceDN w:val="0"/>
        <w:spacing w:before="120" w:after="120"/>
        <w:rPr>
          <w:snapToGrid w:val="0"/>
          <w:color w:val="000000"/>
          <w:kern w:val="22"/>
          <w:szCs w:val="22"/>
        </w:rPr>
      </w:pPr>
      <w:r w:rsidRPr="00030395">
        <w:t>A la 7</w:t>
      </w:r>
      <w:r w:rsidRPr="00740CF8">
        <w:rPr>
          <w:vertAlign w:val="superscript"/>
        </w:rPr>
        <w:t>ème</w:t>
      </w:r>
      <w:r w:rsidRPr="00030395">
        <w:t xml:space="preserve"> séance plénière de la réunion</w:t>
      </w:r>
      <w:r w:rsidR="007E35FC" w:rsidRPr="00030395">
        <w:t xml:space="preserve">, </w:t>
      </w:r>
      <w:r w:rsidR="0022341B">
        <w:t>le 28 novembre</w:t>
      </w:r>
      <w:r w:rsidR="007E35FC" w:rsidRPr="00030395">
        <w:t xml:space="preserve"> 2018, </w:t>
      </w:r>
      <w:r w:rsidRPr="00030395">
        <w:t>la Conférence des Parties siégeant en tant que réunion des Parties</w:t>
      </w:r>
      <w:r w:rsidR="00740CF8">
        <w:t xml:space="preserve"> au Protocole</w:t>
      </w:r>
      <w:r w:rsidR="0022341B">
        <w:t xml:space="preserve"> a élu les personnes suivantes comme membres </w:t>
      </w:r>
      <w:r w:rsidR="00740CF8">
        <w:t xml:space="preserve">du </w:t>
      </w:r>
      <w:r w:rsidR="0022341B">
        <w:t>Comité chargé du respect des obligations</w:t>
      </w:r>
      <w:r w:rsidR="007E35FC" w:rsidRPr="00030395">
        <w:t>:</w:t>
      </w:r>
    </w:p>
    <w:p w14:paraId="1B0ECF82" w14:textId="41345372" w:rsidR="007E35FC" w:rsidRPr="0022341B" w:rsidRDefault="0022341B" w:rsidP="007E35FC">
      <w:pPr>
        <w:pStyle w:val="Para1"/>
        <w:numPr>
          <w:ilvl w:val="0"/>
          <w:numId w:val="0"/>
        </w:numPr>
        <w:spacing w:before="0" w:after="0"/>
        <w:ind w:left="1418"/>
        <w:rPr>
          <w:noProof/>
        </w:rPr>
      </w:pPr>
      <w:r w:rsidRPr="0022341B">
        <w:rPr>
          <w:noProof/>
        </w:rPr>
        <w:t>M</w:t>
      </w:r>
      <w:r w:rsidR="007E35FC" w:rsidRPr="0022341B">
        <w:rPr>
          <w:noProof/>
        </w:rPr>
        <w:t>. Gado Zaki Mahaman (Niger)</w:t>
      </w:r>
    </w:p>
    <w:p w14:paraId="223B7975" w14:textId="425C70A2" w:rsidR="007E35FC" w:rsidRPr="007E35FC" w:rsidRDefault="0022341B" w:rsidP="007E35FC">
      <w:pPr>
        <w:pStyle w:val="Para1"/>
        <w:numPr>
          <w:ilvl w:val="0"/>
          <w:numId w:val="0"/>
        </w:numPr>
        <w:spacing w:before="0" w:after="0"/>
        <w:ind w:left="1418"/>
        <w:rPr>
          <w:noProof/>
          <w:lang w:val="en-AU"/>
        </w:rPr>
      </w:pPr>
      <w:r>
        <w:rPr>
          <w:noProof/>
          <w:lang w:val="en-AU"/>
        </w:rPr>
        <w:t>M. Achmad Gusman Siswandi (Indonésie</w:t>
      </w:r>
      <w:r w:rsidR="007E35FC" w:rsidRPr="007E35FC">
        <w:rPr>
          <w:noProof/>
          <w:lang w:val="en-AU"/>
        </w:rPr>
        <w:t>)</w:t>
      </w:r>
    </w:p>
    <w:p w14:paraId="5EAF3F11" w14:textId="05EEA034" w:rsidR="007E35FC" w:rsidRPr="0022341B" w:rsidRDefault="0022341B" w:rsidP="007E35FC">
      <w:pPr>
        <w:pStyle w:val="Para1"/>
        <w:numPr>
          <w:ilvl w:val="0"/>
          <w:numId w:val="0"/>
        </w:numPr>
        <w:spacing w:before="0" w:after="0"/>
        <w:ind w:left="1418"/>
        <w:rPr>
          <w:noProof/>
        </w:rPr>
      </w:pPr>
      <w:r w:rsidRPr="0022341B">
        <w:rPr>
          <w:noProof/>
        </w:rPr>
        <w:t>M. Martin Batic (Slovénie</w:t>
      </w:r>
      <w:r w:rsidR="007E35FC" w:rsidRPr="0022341B">
        <w:rPr>
          <w:noProof/>
        </w:rPr>
        <w:t>)</w:t>
      </w:r>
    </w:p>
    <w:p w14:paraId="0413468C" w14:textId="611BF708" w:rsidR="007E35FC" w:rsidRPr="0022341B" w:rsidRDefault="0022341B" w:rsidP="007E35FC">
      <w:pPr>
        <w:pStyle w:val="Para1"/>
        <w:numPr>
          <w:ilvl w:val="0"/>
          <w:numId w:val="0"/>
        </w:numPr>
        <w:spacing w:before="0" w:after="0"/>
        <w:ind w:left="1418"/>
        <w:rPr>
          <w:noProof/>
        </w:rPr>
      </w:pPr>
      <w:r w:rsidRPr="0022341B">
        <w:rPr>
          <w:noProof/>
        </w:rPr>
        <w:t>Mme</w:t>
      </w:r>
      <w:r w:rsidR="007E35FC" w:rsidRPr="0022341B">
        <w:rPr>
          <w:noProof/>
        </w:rPr>
        <w:t xml:space="preserve"> Georgina Catacora</w:t>
      </w:r>
      <w:r w:rsidRPr="0022341B">
        <w:rPr>
          <w:noProof/>
        </w:rPr>
        <w:t>-Vargas (Etat plurinational de Bolivie</w:t>
      </w:r>
      <w:r w:rsidR="007E35FC" w:rsidRPr="0022341B">
        <w:rPr>
          <w:noProof/>
        </w:rPr>
        <w:t>)</w:t>
      </w:r>
    </w:p>
    <w:p w14:paraId="72861464" w14:textId="36A5CAA8" w:rsidR="007E35FC" w:rsidRPr="00E02201" w:rsidRDefault="0022341B" w:rsidP="007E35FC">
      <w:pPr>
        <w:pStyle w:val="Para1"/>
        <w:numPr>
          <w:ilvl w:val="0"/>
          <w:numId w:val="0"/>
        </w:numPr>
        <w:spacing w:before="0" w:after="0"/>
        <w:ind w:left="1418"/>
        <w:rPr>
          <w:noProof/>
        </w:rPr>
      </w:pPr>
      <w:r>
        <w:rPr>
          <w:noProof/>
        </w:rPr>
        <w:t>M. Michelangelo Lombardi (Italie</w:t>
      </w:r>
      <w:r w:rsidR="007E35FC" w:rsidRPr="00E02201">
        <w:rPr>
          <w:noProof/>
        </w:rPr>
        <w:t>)</w:t>
      </w:r>
    </w:p>
    <w:p w14:paraId="1CC92EA0" w14:textId="77777777" w:rsidR="007E35FC" w:rsidRPr="00E02201" w:rsidRDefault="007E35FC" w:rsidP="007E35FC">
      <w:pPr>
        <w:pStyle w:val="Para1"/>
        <w:numPr>
          <w:ilvl w:val="0"/>
          <w:numId w:val="0"/>
        </w:numPr>
        <w:spacing w:before="0" w:after="0"/>
        <w:ind w:left="1418"/>
      </w:pPr>
    </w:p>
    <w:p w14:paraId="63367CF0" w14:textId="77777777" w:rsidR="00740CF8" w:rsidRDefault="00030395" w:rsidP="00740CF8">
      <w:pPr>
        <w:pStyle w:val="Para1"/>
        <w:tabs>
          <w:tab w:val="clear" w:pos="360"/>
          <w:tab w:val="num" w:pos="0"/>
        </w:tabs>
      </w:pPr>
      <w:r w:rsidRPr="00030395">
        <w:t>A la 7</w:t>
      </w:r>
      <w:r w:rsidRPr="00CD5C38">
        <w:rPr>
          <w:vertAlign w:val="superscript"/>
        </w:rPr>
        <w:t>ème</w:t>
      </w:r>
      <w:r w:rsidRPr="00030395">
        <w:t xml:space="preserve"> séance plénière de la réunion</w:t>
      </w:r>
      <w:r w:rsidR="007E35FC" w:rsidRPr="00030395">
        <w:t xml:space="preserve">, </w:t>
      </w:r>
      <w:r w:rsidR="0022341B">
        <w:t>le 28 novembre</w:t>
      </w:r>
      <w:r w:rsidR="007E35FC" w:rsidRPr="00030395">
        <w:t xml:space="preserve"> 2018, </w:t>
      </w:r>
      <w:r w:rsidRPr="00030395">
        <w:t>la Conférence des Parties siégeant en tant que réunion des Parties</w:t>
      </w:r>
      <w:r w:rsidR="007E35FC" w:rsidRPr="00030395">
        <w:t xml:space="preserve"> </w:t>
      </w:r>
      <w:r w:rsidR="00740CF8">
        <w:t xml:space="preserve">au Protocole </w:t>
      </w:r>
      <w:r w:rsidR="0022341B">
        <w:t xml:space="preserve">a </w:t>
      </w:r>
      <w:r w:rsidR="00F908C1">
        <w:t>examiné le projet de décision</w:t>
      </w:r>
      <w:r w:rsidR="0022341B">
        <w:t xml:space="preserve"> </w:t>
      </w:r>
      <w:r w:rsidR="007E35FC" w:rsidRPr="00030395">
        <w:t>CBD/CP/MOP/9/L.11.</w:t>
      </w:r>
    </w:p>
    <w:p w14:paraId="5A4D974A" w14:textId="23F04578" w:rsidR="005C4A6F" w:rsidRPr="00A508D7" w:rsidRDefault="001420DE" w:rsidP="00740CF8">
      <w:pPr>
        <w:pStyle w:val="Para1"/>
        <w:tabs>
          <w:tab w:val="clear" w:pos="360"/>
          <w:tab w:val="num" w:pos="0"/>
        </w:tabs>
      </w:pPr>
      <w:r w:rsidRPr="001420DE">
        <w:t>La Conférence des Parties siégeant en tant que réunion des Parties</w:t>
      </w:r>
      <w:r w:rsidR="007E35FC" w:rsidRPr="001420DE">
        <w:t xml:space="preserve"> </w:t>
      </w:r>
      <w:r w:rsidR="00740CF8">
        <w:t xml:space="preserve">au Protocole </w:t>
      </w:r>
      <w:r>
        <w:t>a adopté le projet de décision</w:t>
      </w:r>
      <w:r w:rsidR="007E35FC" w:rsidRPr="001420DE">
        <w:t xml:space="preserve"> CBD/CP/MOP/9/L.11 </w:t>
      </w:r>
      <w:r>
        <w:t>en tant que décision</w:t>
      </w:r>
      <w:r w:rsidR="00A441A2">
        <w:t xml:space="preserve"> CP-9</w:t>
      </w:r>
      <w:r w:rsidR="007E35FC" w:rsidRPr="001420DE">
        <w:t>/1 (</w:t>
      </w:r>
      <w:r>
        <w:t>pour le texte, voir le chapitre I</w:t>
      </w:r>
      <w:r w:rsidR="007E35FC" w:rsidRPr="00753814">
        <w:t>).</w:t>
      </w:r>
    </w:p>
    <w:p w14:paraId="6DB1C952" w14:textId="11B1CC3D" w:rsidR="005C4A6F" w:rsidRPr="00A508D7" w:rsidRDefault="005C4A6F" w:rsidP="005C4A6F">
      <w:pPr>
        <w:pStyle w:val="Heading1multiline"/>
      </w:pPr>
      <w:bookmarkStart w:id="45" w:name="_Toc7428863"/>
      <w:r w:rsidRPr="00A508D7">
        <w:rPr>
          <w:lang w:bidi="fr-FR"/>
        </w:rPr>
        <w:lastRenderedPageBreak/>
        <w:t xml:space="preserve">POINT 6. </w:t>
      </w:r>
      <w:r w:rsidRPr="00A508D7">
        <w:rPr>
          <w:lang w:bidi="fr-FR"/>
        </w:rPr>
        <w:tab/>
        <w:t>Ad</w:t>
      </w:r>
      <w:r w:rsidR="00740CF8">
        <w:rPr>
          <w:lang w:bidi="fr-FR"/>
        </w:rPr>
        <w:t>ministration du Protocole et budget des</w:t>
      </w:r>
      <w:r w:rsidRPr="00A508D7">
        <w:rPr>
          <w:lang w:bidi="fr-FR"/>
        </w:rPr>
        <w:t xml:space="preserve"> Fonds d’affectation sp</w:t>
      </w:r>
      <w:r w:rsidRPr="00A508D7">
        <w:rPr>
          <w:rFonts w:cs="Times New Roman"/>
          <w:kern w:val="22"/>
          <w:szCs w:val="22"/>
          <w:lang w:bidi="fr-FR"/>
        </w:rPr>
        <w:t>É</w:t>
      </w:r>
      <w:r w:rsidRPr="00A508D7">
        <w:rPr>
          <w:lang w:bidi="fr-FR"/>
        </w:rPr>
        <w:t>ciale</w:t>
      </w:r>
      <w:bookmarkEnd w:id="45"/>
    </w:p>
    <w:p w14:paraId="030A6CBC" w14:textId="77777777" w:rsidR="000A18ED" w:rsidRDefault="005C4A6F" w:rsidP="000A18ED">
      <w:pPr>
        <w:pStyle w:val="Para1"/>
        <w:tabs>
          <w:tab w:val="clear" w:pos="360"/>
          <w:tab w:val="num" w:pos="0"/>
        </w:tabs>
        <w:rPr>
          <w:color w:val="000000"/>
        </w:rPr>
      </w:pPr>
      <w:bookmarkStart w:id="46" w:name="_Hlk530397619"/>
      <w:r w:rsidRPr="00A508D7">
        <w:rPr>
          <w:lang w:bidi="fr-FR"/>
        </w:rPr>
        <w:t xml:space="preserve">Le point 6 de </w:t>
      </w:r>
      <w:r w:rsidR="000A18ED">
        <w:rPr>
          <w:lang w:bidi="fr-FR"/>
        </w:rPr>
        <w:t>l’ordre du jour a été abordé à la 2</w:t>
      </w:r>
      <w:r w:rsidR="000A18ED" w:rsidRPr="000A18ED">
        <w:rPr>
          <w:vertAlign w:val="superscript"/>
          <w:lang w:bidi="fr-FR"/>
        </w:rPr>
        <w:t>ème</w:t>
      </w:r>
      <w:r w:rsidR="000A18ED">
        <w:rPr>
          <w:lang w:bidi="fr-FR"/>
        </w:rPr>
        <w:t xml:space="preserve"> séance</w:t>
      </w:r>
      <w:r w:rsidRPr="00A508D7">
        <w:rPr>
          <w:lang w:bidi="fr-FR"/>
        </w:rPr>
        <w:t xml:space="preserve"> de la réunion, le 17 novembre 2018. Pour examiner ce point, la Conférence des Parties siégeant en tant que réunion des Parties au Protocole de Cartagena disposait du rapport de la Secrétaire exécutive sur l’administration de la Convention et des Protocoles de Cartagena et de Nagoya pour l’exercice biennal 2017-</w:t>
      </w:r>
      <w:r w:rsidR="000A18ED">
        <w:rPr>
          <w:lang w:bidi="fr-FR"/>
        </w:rPr>
        <w:t>2018, y compris le budget des F</w:t>
      </w:r>
      <w:r w:rsidRPr="00A508D7">
        <w:rPr>
          <w:lang w:bidi="fr-FR"/>
        </w:rPr>
        <w:t xml:space="preserve">onds d’affectation spéciale (CBD/COP/14/3), le projet de budget pour le programme </w:t>
      </w:r>
      <w:r w:rsidR="000A18ED">
        <w:rPr>
          <w:lang w:bidi="fr-FR"/>
        </w:rPr>
        <w:t>de travail de la Convention et d</w:t>
      </w:r>
      <w:r w:rsidRPr="00A508D7">
        <w:rPr>
          <w:lang w:bidi="fr-FR"/>
        </w:rPr>
        <w:t>es Protocoles de Cartagena et de Nagoya pour l’exercice biennal 2019-2020 (CBD/COP/14/4), ainsi que des éléments d’un projet de décision sur le sujet (CBD/COP/</w:t>
      </w:r>
      <w:r w:rsidR="000A18ED">
        <w:rPr>
          <w:lang w:bidi="fr-FR"/>
        </w:rPr>
        <w:t>14/2) et un document d’information sur l’administration</w:t>
      </w:r>
      <w:r w:rsidRPr="00A508D7">
        <w:rPr>
          <w:lang w:bidi="fr-FR"/>
        </w:rPr>
        <w:t xml:space="preserve"> </w:t>
      </w:r>
      <w:r w:rsidR="000A18ED">
        <w:rPr>
          <w:lang w:bidi="fr-FR"/>
        </w:rPr>
        <w:t>de la Convention et le budget des</w:t>
      </w:r>
      <w:r w:rsidRPr="00A508D7">
        <w:rPr>
          <w:lang w:bidi="fr-FR"/>
        </w:rPr>
        <w:t xml:space="preserve"> Fonds d’affectation spéciale d</w:t>
      </w:r>
      <w:r w:rsidR="000A18ED">
        <w:rPr>
          <w:lang w:bidi="fr-FR"/>
        </w:rPr>
        <w:t>e la Convention et d</w:t>
      </w:r>
      <w:r w:rsidRPr="00A508D7">
        <w:rPr>
          <w:lang w:bidi="fr-FR"/>
        </w:rPr>
        <w:t xml:space="preserve">es Protocoles de Cartagena et Nagoya (CBD/COP/14/INF/17). </w:t>
      </w:r>
    </w:p>
    <w:p w14:paraId="52FF1434" w14:textId="77777777" w:rsidR="000A18ED" w:rsidRDefault="005C4A6F" w:rsidP="000A18ED">
      <w:pPr>
        <w:pStyle w:val="Para1"/>
        <w:tabs>
          <w:tab w:val="clear" w:pos="360"/>
          <w:tab w:val="num" w:pos="0"/>
        </w:tabs>
        <w:rPr>
          <w:color w:val="000000"/>
        </w:rPr>
      </w:pPr>
      <w:r w:rsidRPr="00A508D7">
        <w:rPr>
          <w:lang w:bidi="fr-FR"/>
        </w:rPr>
        <w:t>Une déclaration a été faite par le représentant du Japon.</w:t>
      </w:r>
    </w:p>
    <w:p w14:paraId="5D333A13" w14:textId="77777777" w:rsidR="000A18ED" w:rsidRDefault="005C4A6F" w:rsidP="000A18ED">
      <w:pPr>
        <w:pStyle w:val="Para1"/>
        <w:tabs>
          <w:tab w:val="clear" w:pos="360"/>
          <w:tab w:val="num" w:pos="0"/>
        </w:tabs>
        <w:rPr>
          <w:color w:val="000000"/>
        </w:rPr>
      </w:pPr>
      <w:r w:rsidRPr="00A508D7">
        <w:rPr>
          <w:lang w:bidi="fr-FR"/>
        </w:rPr>
        <w:t xml:space="preserve">La Conférence des Parties siégeant en tant que réunion des Parties au Protocole de Cartagena a pris note des rapports et a décidé de créer un groupe de contact </w:t>
      </w:r>
      <w:r w:rsidR="000A18ED">
        <w:rPr>
          <w:lang w:bidi="fr-FR"/>
        </w:rPr>
        <w:t>sur le budget, chargé</w:t>
      </w:r>
      <w:r w:rsidRPr="00A508D7">
        <w:rPr>
          <w:lang w:bidi="fr-FR"/>
        </w:rPr>
        <w:t xml:space="preserve"> d’examiner la question et </w:t>
      </w:r>
      <w:r w:rsidR="000A18ED">
        <w:rPr>
          <w:lang w:bidi="fr-FR"/>
        </w:rPr>
        <w:t xml:space="preserve">de </w:t>
      </w:r>
      <w:r w:rsidRPr="00A508D7">
        <w:rPr>
          <w:lang w:bidi="fr-FR"/>
        </w:rPr>
        <w:t>prép</w:t>
      </w:r>
      <w:r w:rsidR="000A18ED">
        <w:rPr>
          <w:lang w:bidi="fr-FR"/>
        </w:rPr>
        <w:t>arer un projet de budget du</w:t>
      </w:r>
      <w:r w:rsidRPr="00A508D7">
        <w:rPr>
          <w:lang w:bidi="fr-FR"/>
        </w:rPr>
        <w:t xml:space="preserve"> programme de travail pour l’exercice biennal 2019-2020, pour examen par les Parties. Le groupe de contact serait présidé par M. Spencer Thomas (Grenade), serait ouvert à toutes les Parties et se réunirait de manière informelle à l'invitation de son </w:t>
      </w:r>
      <w:r w:rsidR="0022341B">
        <w:rPr>
          <w:lang w:bidi="fr-FR"/>
        </w:rPr>
        <w:t>président</w:t>
      </w:r>
      <w:r w:rsidRPr="00A508D7">
        <w:rPr>
          <w:lang w:bidi="fr-FR"/>
        </w:rPr>
        <w:t>, les réunions étant annoncées à l'avance dans le calendrier quotidien des réunions.</w:t>
      </w:r>
    </w:p>
    <w:p w14:paraId="085E0637" w14:textId="77777777" w:rsidR="000A18ED" w:rsidRDefault="005C4A6F" w:rsidP="000A18ED">
      <w:pPr>
        <w:pStyle w:val="Para1"/>
        <w:tabs>
          <w:tab w:val="clear" w:pos="360"/>
          <w:tab w:val="num" w:pos="0"/>
        </w:tabs>
        <w:rPr>
          <w:color w:val="000000"/>
        </w:rPr>
      </w:pPr>
      <w:r w:rsidRPr="00A508D7">
        <w:rPr>
          <w:lang w:bidi="fr-FR"/>
        </w:rPr>
        <w:t xml:space="preserve">La Conférence des Parties </w:t>
      </w:r>
      <w:r w:rsidR="00710E66">
        <w:rPr>
          <w:lang w:bidi="fr-FR"/>
        </w:rPr>
        <w:t xml:space="preserve">siégeant </w:t>
      </w:r>
      <w:r w:rsidR="00B27A4B">
        <w:rPr>
          <w:lang w:bidi="fr-FR"/>
        </w:rPr>
        <w:t>en tant que réunion des Parties</w:t>
      </w:r>
      <w:r w:rsidRPr="00A508D7">
        <w:rPr>
          <w:lang w:bidi="fr-FR"/>
        </w:rPr>
        <w:t xml:space="preserve"> </w:t>
      </w:r>
      <w:r w:rsidR="000A18ED">
        <w:rPr>
          <w:lang w:bidi="fr-FR"/>
        </w:rPr>
        <w:t xml:space="preserve">au Protocole de Cartagena </w:t>
      </w:r>
      <w:r w:rsidRPr="00A508D7">
        <w:rPr>
          <w:lang w:bidi="fr-FR"/>
        </w:rPr>
        <w:t xml:space="preserve">a entendu les rapports d'activité du </w:t>
      </w:r>
      <w:r w:rsidR="00BC0D55">
        <w:rPr>
          <w:lang w:bidi="fr-FR"/>
        </w:rPr>
        <w:t>président</w:t>
      </w:r>
      <w:r w:rsidRPr="00A508D7">
        <w:rPr>
          <w:lang w:bidi="fr-FR"/>
        </w:rPr>
        <w:t xml:space="preserve"> du groupe de contact à composition non l</w:t>
      </w:r>
      <w:r w:rsidR="00710E66">
        <w:rPr>
          <w:lang w:bidi="fr-FR"/>
        </w:rPr>
        <w:t>imitée sur le budget à la 4</w:t>
      </w:r>
      <w:r w:rsidRPr="000A18ED">
        <w:rPr>
          <w:vertAlign w:val="superscript"/>
          <w:lang w:bidi="fr-FR"/>
        </w:rPr>
        <w:t>ème</w:t>
      </w:r>
      <w:r w:rsidRPr="00A508D7">
        <w:rPr>
          <w:lang w:bidi="fr-FR"/>
        </w:rPr>
        <w:t xml:space="preserve"> séance plénière de la réunion, le </w:t>
      </w:r>
      <w:r w:rsidR="00710E66">
        <w:rPr>
          <w:lang w:bidi="fr-FR"/>
        </w:rPr>
        <w:t>22 novembre 2018, et à la 5</w:t>
      </w:r>
      <w:r w:rsidRPr="000A18ED">
        <w:rPr>
          <w:vertAlign w:val="superscript"/>
          <w:lang w:bidi="fr-FR"/>
        </w:rPr>
        <w:t>ème</w:t>
      </w:r>
      <w:r w:rsidRPr="00A508D7">
        <w:rPr>
          <w:lang w:bidi="fr-FR"/>
        </w:rPr>
        <w:t xml:space="preserve"> séanc</w:t>
      </w:r>
      <w:r w:rsidR="000A18ED">
        <w:rPr>
          <w:lang w:bidi="fr-FR"/>
        </w:rPr>
        <w:t>e plénière de la réunion, le 25 </w:t>
      </w:r>
      <w:r w:rsidRPr="00A508D7">
        <w:rPr>
          <w:lang w:bidi="fr-FR"/>
        </w:rPr>
        <w:t>novembre 2018.</w:t>
      </w:r>
    </w:p>
    <w:p w14:paraId="74BC4B45" w14:textId="77777777" w:rsidR="000A18ED" w:rsidRDefault="001420DE" w:rsidP="000A18ED">
      <w:pPr>
        <w:pStyle w:val="Para1"/>
        <w:tabs>
          <w:tab w:val="clear" w:pos="360"/>
          <w:tab w:val="num" w:pos="0"/>
        </w:tabs>
        <w:rPr>
          <w:color w:val="000000"/>
        </w:rPr>
      </w:pPr>
      <w:r>
        <w:t>A la 8</w:t>
      </w:r>
      <w:r w:rsidRPr="000A18ED">
        <w:rPr>
          <w:vertAlign w:val="superscript"/>
        </w:rPr>
        <w:t>ème</w:t>
      </w:r>
      <w:r>
        <w:t xml:space="preserve"> séance plénière</w:t>
      </w:r>
      <w:r w:rsidR="000A18ED">
        <w:t xml:space="preserve"> de la réunion</w:t>
      </w:r>
      <w:r w:rsidR="00F96D15" w:rsidRPr="00030395">
        <w:t xml:space="preserve">, </w:t>
      </w:r>
      <w:r w:rsidR="00030395" w:rsidRPr="00030395">
        <w:t>le 29 novembre</w:t>
      </w:r>
      <w:r w:rsidR="00F96D15" w:rsidRPr="00030395">
        <w:t xml:space="preserve"> 2018, </w:t>
      </w:r>
      <w:r w:rsidR="00030395" w:rsidRPr="00030395">
        <w:t>la Conférence des Parties siégeant en tant que réunion des Parties</w:t>
      </w:r>
      <w:r w:rsidR="00F96D15" w:rsidRPr="00030395">
        <w:t xml:space="preserve"> </w:t>
      </w:r>
      <w:r w:rsidR="00030395" w:rsidRPr="00030395">
        <w:t>au Protocole de Cartagena</w:t>
      </w:r>
      <w:r w:rsidR="00F96D15" w:rsidRPr="00030395">
        <w:t xml:space="preserve"> </w:t>
      </w:r>
      <w:r>
        <w:t>a examiné le projet de décisio</w:t>
      </w:r>
      <w:r w:rsidR="000A18ED">
        <w:t xml:space="preserve">n CBD/CP/MOP/9/L.17, portant sur le budget pour le </w:t>
      </w:r>
      <w:r>
        <w:t>programme de travail intégré du Secrétariat</w:t>
      </w:r>
      <w:r w:rsidR="00F96D15" w:rsidRPr="00030395">
        <w:t>.</w:t>
      </w:r>
    </w:p>
    <w:p w14:paraId="671FAEAC" w14:textId="2FC8174E" w:rsidR="005C4A6F" w:rsidRPr="000A18ED" w:rsidRDefault="001420DE" w:rsidP="000A18ED">
      <w:pPr>
        <w:pStyle w:val="Para1"/>
        <w:tabs>
          <w:tab w:val="clear" w:pos="360"/>
          <w:tab w:val="num" w:pos="0"/>
        </w:tabs>
        <w:rPr>
          <w:color w:val="000000"/>
        </w:rPr>
      </w:pPr>
      <w:r w:rsidRPr="001420DE">
        <w:t>La Conférence des Parties siégeant en tant que réunion des Parties</w:t>
      </w:r>
      <w:r w:rsidR="00F96D15" w:rsidRPr="001420DE">
        <w:t xml:space="preserve"> </w:t>
      </w:r>
      <w:r w:rsidR="00030395" w:rsidRPr="001420DE">
        <w:t>au Protocole de Cartagena</w:t>
      </w:r>
      <w:r w:rsidR="00F96D15" w:rsidRPr="001420DE">
        <w:t xml:space="preserve"> </w:t>
      </w:r>
      <w:r w:rsidR="000A18ED">
        <w:t>a adopté le projet de décision</w:t>
      </w:r>
      <w:r>
        <w:t xml:space="preserve"> en tant que décision</w:t>
      </w:r>
      <w:r w:rsidR="00A441A2">
        <w:t xml:space="preserve"> CP-</w:t>
      </w:r>
      <w:r w:rsidR="00F96D15" w:rsidRPr="001420DE">
        <w:t>9/16 (</w:t>
      </w:r>
      <w:r>
        <w:t>pour le texte, voir le chapitre I</w:t>
      </w:r>
      <w:r w:rsidR="00F96D15" w:rsidRPr="001420DE">
        <w:t>)</w:t>
      </w:r>
      <w:r w:rsidR="005C4A6F" w:rsidRPr="001420DE">
        <w:rPr>
          <w:lang w:bidi="fr-FR"/>
        </w:rPr>
        <w:t>.</w:t>
      </w:r>
    </w:p>
    <w:p w14:paraId="457CE71B" w14:textId="30BAED4A" w:rsidR="005C4A6F" w:rsidRPr="00A508D7" w:rsidRDefault="00742722" w:rsidP="000A18ED">
      <w:pPr>
        <w:pStyle w:val="Heading1multiline"/>
        <w:ind w:hanging="1417"/>
      </w:pPr>
      <w:bookmarkStart w:id="47" w:name="_Toc7428864"/>
      <w:bookmarkEnd w:id="46"/>
      <w:r>
        <w:rPr>
          <w:lang w:bidi="fr-FR"/>
        </w:rPr>
        <w:t xml:space="preserve">point </w:t>
      </w:r>
      <w:r w:rsidR="005C4A6F" w:rsidRPr="00A508D7">
        <w:rPr>
          <w:lang w:bidi="fr-FR"/>
        </w:rPr>
        <w:t xml:space="preserve">7. </w:t>
      </w:r>
      <w:r w:rsidR="005C4A6F" w:rsidRPr="00A508D7">
        <w:rPr>
          <w:lang w:bidi="fr-FR"/>
        </w:rPr>
        <w:tab/>
      </w:r>
      <w:r w:rsidR="000A18ED">
        <w:rPr>
          <w:kern w:val="22"/>
          <w:szCs w:val="22"/>
          <w:lang w:bidi="fr-FR"/>
        </w:rPr>
        <w:t>Questions relativ</w:t>
      </w:r>
      <w:r w:rsidR="00B67AE9">
        <w:rPr>
          <w:kern w:val="22"/>
          <w:szCs w:val="22"/>
          <w:lang w:bidi="fr-FR"/>
        </w:rPr>
        <w:t>es au m</w:t>
      </w:r>
      <w:r w:rsidR="00B67AE9">
        <w:rPr>
          <w:rFonts w:cs="Times New Roman"/>
          <w:kern w:val="22"/>
          <w:szCs w:val="22"/>
          <w:lang w:bidi="fr-FR"/>
        </w:rPr>
        <w:t>É</w:t>
      </w:r>
      <w:r w:rsidR="005C4A6F" w:rsidRPr="00A508D7">
        <w:rPr>
          <w:kern w:val="22"/>
          <w:szCs w:val="22"/>
          <w:lang w:bidi="fr-FR"/>
        </w:rPr>
        <w:t>canisme de fina</w:t>
      </w:r>
      <w:r w:rsidR="000A18ED">
        <w:rPr>
          <w:kern w:val="22"/>
          <w:szCs w:val="22"/>
          <w:lang w:bidi="fr-FR"/>
        </w:rPr>
        <w:t>ncement et aux</w:t>
      </w:r>
      <w:r w:rsidR="005C4A6F" w:rsidRPr="00A508D7">
        <w:rPr>
          <w:kern w:val="22"/>
          <w:szCs w:val="22"/>
          <w:lang w:bidi="fr-FR"/>
        </w:rPr>
        <w:t xml:space="preserve"> ressources</w:t>
      </w:r>
      <w:r w:rsidR="00B67AE9">
        <w:rPr>
          <w:kern w:val="22"/>
          <w:szCs w:val="22"/>
          <w:lang w:bidi="fr-FR"/>
        </w:rPr>
        <w:t xml:space="preserve"> financi</w:t>
      </w:r>
      <w:r w:rsidR="00B67AE9">
        <w:rPr>
          <w:rFonts w:cs="Times New Roman"/>
          <w:kern w:val="22"/>
          <w:szCs w:val="22"/>
          <w:lang w:bidi="fr-FR"/>
        </w:rPr>
        <w:t>È</w:t>
      </w:r>
      <w:r w:rsidR="000A18ED">
        <w:rPr>
          <w:kern w:val="22"/>
          <w:szCs w:val="22"/>
          <w:lang w:bidi="fr-FR"/>
        </w:rPr>
        <w:t>res</w:t>
      </w:r>
      <w:r w:rsidR="005C4A6F" w:rsidRPr="00A508D7">
        <w:rPr>
          <w:kern w:val="22"/>
          <w:szCs w:val="22"/>
          <w:lang w:bidi="fr-FR"/>
        </w:rPr>
        <w:t xml:space="preserve"> (Article 28)</w:t>
      </w:r>
      <w:bookmarkEnd w:id="47"/>
    </w:p>
    <w:p w14:paraId="2B361547" w14:textId="77777777" w:rsidR="008823F3" w:rsidRDefault="005C4A6F" w:rsidP="008823F3">
      <w:pPr>
        <w:pStyle w:val="Para1"/>
        <w:tabs>
          <w:tab w:val="clear" w:pos="360"/>
          <w:tab w:val="num" w:pos="0"/>
        </w:tabs>
      </w:pPr>
      <w:r w:rsidRPr="00A508D7">
        <w:rPr>
          <w:lang w:bidi="fr-FR"/>
        </w:rPr>
        <w:t>Le Groupe de trava</w:t>
      </w:r>
      <w:r w:rsidR="000A18ED">
        <w:rPr>
          <w:lang w:bidi="fr-FR"/>
        </w:rPr>
        <w:t>il I a abordé</w:t>
      </w:r>
      <w:r w:rsidR="00CD5C38">
        <w:rPr>
          <w:lang w:bidi="fr-FR"/>
        </w:rPr>
        <w:t xml:space="preserve"> le point 7 </w:t>
      </w:r>
      <w:r w:rsidR="000A18ED">
        <w:rPr>
          <w:lang w:bidi="fr-FR"/>
        </w:rPr>
        <w:t xml:space="preserve">de l’ordre du jour </w:t>
      </w:r>
      <w:r w:rsidR="00CD5C38">
        <w:rPr>
          <w:lang w:bidi="fr-FR"/>
        </w:rPr>
        <w:t>à sa 3</w:t>
      </w:r>
      <w:r w:rsidR="00CD5C38" w:rsidRPr="00CD5C38">
        <w:rPr>
          <w:vertAlign w:val="superscript"/>
          <w:lang w:bidi="fr-FR"/>
        </w:rPr>
        <w:t>ème</w:t>
      </w:r>
      <w:r w:rsidRPr="00A508D7">
        <w:rPr>
          <w:lang w:bidi="fr-FR"/>
        </w:rPr>
        <w:t xml:space="preserve"> réunion, le 19 novembre 2018. Pour examiner ce point, le groupe de travail disposait du rapport du Conseil du FEM (CBD/COP/14/7) et d’une note de la Secrétaire exéc</w:t>
      </w:r>
      <w:r w:rsidR="000A18ED">
        <w:rPr>
          <w:lang w:bidi="fr-FR"/>
        </w:rPr>
        <w:t>utive</w:t>
      </w:r>
      <w:r w:rsidRPr="00A508D7">
        <w:rPr>
          <w:lang w:bidi="fr-FR"/>
        </w:rPr>
        <w:t xml:space="preserve"> résumant les informations pertinentes</w:t>
      </w:r>
      <w:r w:rsidR="000A18ED">
        <w:rPr>
          <w:lang w:bidi="fr-FR"/>
        </w:rPr>
        <w:t xml:space="preserve"> au sujet de l’appui du </w:t>
      </w:r>
      <w:r w:rsidR="008823F3">
        <w:rPr>
          <w:lang w:bidi="fr-FR"/>
        </w:rPr>
        <w:t>FEM en matière de</w:t>
      </w:r>
      <w:r w:rsidR="000A18ED">
        <w:rPr>
          <w:lang w:bidi="fr-FR"/>
        </w:rPr>
        <w:t xml:space="preserve"> prévention des risques </w:t>
      </w:r>
      <w:r w:rsidR="008823F3">
        <w:rPr>
          <w:lang w:bidi="fr-FR"/>
        </w:rPr>
        <w:t>bio</w:t>
      </w:r>
      <w:r w:rsidR="000A18ED">
        <w:rPr>
          <w:lang w:bidi="fr-FR"/>
        </w:rPr>
        <w:t>technolo</w:t>
      </w:r>
      <w:r w:rsidRPr="00A508D7">
        <w:rPr>
          <w:lang w:bidi="fr-FR"/>
        </w:rPr>
        <w:t>gique</w:t>
      </w:r>
      <w:r w:rsidR="000A18ED">
        <w:rPr>
          <w:lang w:bidi="fr-FR"/>
        </w:rPr>
        <w:t>s</w:t>
      </w:r>
      <w:r w:rsidRPr="00A508D7">
        <w:rPr>
          <w:lang w:bidi="fr-FR"/>
        </w:rPr>
        <w:t xml:space="preserve"> (CBD/CP/MOP/9/12). Il disposait également d’un projet de décision</w:t>
      </w:r>
      <w:r w:rsidR="008823F3">
        <w:rPr>
          <w:lang w:bidi="fr-FR"/>
        </w:rPr>
        <w:t xml:space="preserve"> figurant dans la compilation du projet</w:t>
      </w:r>
      <w:r w:rsidRPr="00A508D7">
        <w:rPr>
          <w:lang w:bidi="fr-FR"/>
        </w:rPr>
        <w:t xml:space="preserve"> de décision (CBD/CP/MOP/9/1/Add.2).</w:t>
      </w:r>
    </w:p>
    <w:p w14:paraId="274806B0" w14:textId="33D5D208" w:rsidR="008823F3" w:rsidRDefault="005C4A6F" w:rsidP="008823F3">
      <w:pPr>
        <w:pStyle w:val="Para1"/>
        <w:tabs>
          <w:tab w:val="clear" w:pos="360"/>
          <w:tab w:val="num" w:pos="0"/>
        </w:tabs>
      </w:pPr>
      <w:r w:rsidRPr="00A508D7">
        <w:rPr>
          <w:lang w:bidi="fr-FR"/>
        </w:rPr>
        <w:t xml:space="preserve">Des déclarations ont été faites par les représentants </w:t>
      </w:r>
      <w:r w:rsidR="008823F3">
        <w:rPr>
          <w:lang w:bidi="fr-FR"/>
        </w:rPr>
        <w:t xml:space="preserve">de l’Inde, </w:t>
      </w:r>
      <w:r w:rsidRPr="00A508D7">
        <w:rPr>
          <w:lang w:bidi="fr-FR"/>
        </w:rPr>
        <w:t xml:space="preserve">du </w:t>
      </w:r>
      <w:r w:rsidR="008823F3">
        <w:rPr>
          <w:lang w:bidi="fr-FR"/>
        </w:rPr>
        <w:t xml:space="preserve">Mexique, et </w:t>
      </w:r>
      <w:r w:rsidR="008823F3" w:rsidRPr="00A508D7">
        <w:rPr>
          <w:lang w:bidi="fr-FR"/>
        </w:rPr>
        <w:t>de l’Union europé</w:t>
      </w:r>
      <w:r w:rsidR="008823F3">
        <w:rPr>
          <w:lang w:bidi="fr-FR"/>
        </w:rPr>
        <w:t>enne et ses 28 États membres</w:t>
      </w:r>
      <w:r w:rsidRPr="00A508D7">
        <w:rPr>
          <w:lang w:bidi="fr-FR"/>
        </w:rPr>
        <w:t>.</w:t>
      </w:r>
    </w:p>
    <w:p w14:paraId="722F088E" w14:textId="77777777" w:rsidR="008823F3" w:rsidRDefault="00CD5C38" w:rsidP="008823F3">
      <w:pPr>
        <w:pStyle w:val="Para1"/>
        <w:tabs>
          <w:tab w:val="clear" w:pos="360"/>
          <w:tab w:val="num" w:pos="0"/>
        </w:tabs>
      </w:pPr>
      <w:r>
        <w:rPr>
          <w:lang w:bidi="fr-FR"/>
        </w:rPr>
        <w:t>À sa 4</w:t>
      </w:r>
      <w:r w:rsidRPr="008823F3">
        <w:rPr>
          <w:vertAlign w:val="superscript"/>
          <w:lang w:bidi="fr-FR"/>
        </w:rPr>
        <w:t>ème</w:t>
      </w:r>
      <w:r>
        <w:rPr>
          <w:lang w:bidi="fr-FR"/>
        </w:rPr>
        <w:t xml:space="preserve"> réunion</w:t>
      </w:r>
      <w:r w:rsidR="008823F3">
        <w:rPr>
          <w:lang w:bidi="fr-FR"/>
        </w:rPr>
        <w:t>, le 19 novembre 2018, le G</w:t>
      </w:r>
      <w:r w:rsidR="005C4A6F" w:rsidRPr="00A508D7">
        <w:rPr>
          <w:lang w:bidi="fr-FR"/>
        </w:rPr>
        <w:t>roupe de travail a repris l’examen de la question.</w:t>
      </w:r>
    </w:p>
    <w:p w14:paraId="5C33EC53" w14:textId="77777777" w:rsidR="008823F3" w:rsidRDefault="005C4A6F" w:rsidP="008823F3">
      <w:pPr>
        <w:pStyle w:val="Para1"/>
        <w:tabs>
          <w:tab w:val="clear" w:pos="360"/>
          <w:tab w:val="num" w:pos="0"/>
        </w:tabs>
      </w:pPr>
      <w:r w:rsidRPr="00A508D7">
        <w:rPr>
          <w:lang w:bidi="fr-FR"/>
        </w:rPr>
        <w:t>Des déclarations ont été faites par les représentants de l</w:t>
      </w:r>
      <w:r w:rsidR="008823F3">
        <w:rPr>
          <w:lang w:bidi="fr-FR"/>
        </w:rPr>
        <w:t>’</w:t>
      </w:r>
      <w:r w:rsidR="00C852DD" w:rsidRPr="00A508D7">
        <w:rPr>
          <w:lang w:bidi="fr-FR"/>
        </w:rPr>
        <w:t>Afrique du Sud,</w:t>
      </w:r>
      <w:r w:rsidRPr="00A508D7">
        <w:rPr>
          <w:lang w:bidi="fr-FR"/>
        </w:rPr>
        <w:t xml:space="preserve"> </w:t>
      </w:r>
      <w:r w:rsidR="008823F3">
        <w:rPr>
          <w:lang w:bidi="fr-FR"/>
        </w:rPr>
        <w:t>l’</w:t>
      </w:r>
      <w:r w:rsidRPr="00A508D7">
        <w:rPr>
          <w:lang w:bidi="fr-FR"/>
        </w:rPr>
        <w:t xml:space="preserve">Ouganda (au nom du groupe </w:t>
      </w:r>
      <w:r w:rsidR="008823F3">
        <w:rPr>
          <w:lang w:bidi="fr-FR"/>
        </w:rPr>
        <w:t>des pays d’Afrique</w:t>
      </w:r>
      <w:r w:rsidRPr="00A508D7">
        <w:rPr>
          <w:lang w:bidi="fr-FR"/>
        </w:rPr>
        <w:t>)</w:t>
      </w:r>
      <w:r w:rsidR="008823F3">
        <w:rPr>
          <w:lang w:bidi="fr-FR"/>
        </w:rPr>
        <w:t>, la République de Corée</w:t>
      </w:r>
      <w:r w:rsidRPr="00A508D7">
        <w:rPr>
          <w:lang w:bidi="fr-FR"/>
        </w:rPr>
        <w:t xml:space="preserve"> et </w:t>
      </w:r>
      <w:r w:rsidR="008823F3">
        <w:rPr>
          <w:lang w:bidi="fr-FR"/>
        </w:rPr>
        <w:t xml:space="preserve">le </w:t>
      </w:r>
      <w:r w:rsidRPr="00A508D7">
        <w:rPr>
          <w:lang w:bidi="fr-FR"/>
        </w:rPr>
        <w:t>Venezuela (République bolivarienne du).</w:t>
      </w:r>
    </w:p>
    <w:p w14:paraId="6DDB3E91" w14:textId="5B0D3A8C" w:rsidR="008823F3" w:rsidRDefault="00E73568" w:rsidP="008823F3">
      <w:pPr>
        <w:pStyle w:val="Para1"/>
        <w:tabs>
          <w:tab w:val="clear" w:pos="360"/>
          <w:tab w:val="num" w:pos="0"/>
        </w:tabs>
      </w:pPr>
      <w:r>
        <w:rPr>
          <w:lang w:bidi="fr-FR"/>
        </w:rPr>
        <w:t>Le</w:t>
      </w:r>
      <w:r w:rsidR="005C4A6F" w:rsidRPr="00A508D7">
        <w:rPr>
          <w:lang w:bidi="fr-FR"/>
        </w:rPr>
        <w:t xml:space="preserve"> </w:t>
      </w:r>
      <w:r w:rsidR="00BC0D55">
        <w:rPr>
          <w:lang w:bidi="fr-FR"/>
        </w:rPr>
        <w:t>président</w:t>
      </w:r>
      <w:r>
        <w:rPr>
          <w:lang w:bidi="fr-FR"/>
        </w:rPr>
        <w:t xml:space="preserve"> a indiqué qu’il</w:t>
      </w:r>
      <w:r w:rsidR="005C4A6F" w:rsidRPr="00A508D7">
        <w:rPr>
          <w:lang w:bidi="fr-FR"/>
        </w:rPr>
        <w:t xml:space="preserve"> préparerait un </w:t>
      </w:r>
      <w:r w:rsidR="00DB542F">
        <w:rPr>
          <w:lang w:bidi="fr-FR"/>
        </w:rPr>
        <w:t>projet de décision révisé</w:t>
      </w:r>
      <w:r w:rsidR="005C4A6F" w:rsidRPr="00A508D7">
        <w:rPr>
          <w:lang w:bidi="fr-FR"/>
        </w:rPr>
        <w:t xml:space="preserve"> à ce sujet, prenant en considération les vues exprimées oralement et présentées par écrit.</w:t>
      </w:r>
    </w:p>
    <w:p w14:paraId="095B1C9E" w14:textId="0BE04A8D" w:rsidR="00500277" w:rsidRDefault="00CD5C38" w:rsidP="00500277">
      <w:pPr>
        <w:pStyle w:val="Para1"/>
        <w:tabs>
          <w:tab w:val="clear" w:pos="360"/>
          <w:tab w:val="num" w:pos="0"/>
        </w:tabs>
      </w:pPr>
      <w:r>
        <w:rPr>
          <w:lang w:bidi="fr-FR"/>
        </w:rPr>
        <w:t>À sa 9</w:t>
      </w:r>
      <w:r w:rsidRPr="008823F3">
        <w:rPr>
          <w:vertAlign w:val="superscript"/>
          <w:lang w:bidi="fr-FR"/>
        </w:rPr>
        <w:t>ème</w:t>
      </w:r>
      <w:r w:rsidR="005C4A6F" w:rsidRPr="00A508D7">
        <w:rPr>
          <w:lang w:bidi="fr-FR"/>
        </w:rPr>
        <w:t xml:space="preserve"> réunion, le 22 novembre 2018, le Groupe de travail a examiné le projet de décision révisé établi par </w:t>
      </w:r>
      <w:r w:rsidR="008500EE">
        <w:rPr>
          <w:lang w:bidi="fr-FR"/>
        </w:rPr>
        <w:t>le président</w:t>
      </w:r>
      <w:r w:rsidR="008823F3">
        <w:rPr>
          <w:lang w:bidi="fr-FR"/>
        </w:rPr>
        <w:t>,</w:t>
      </w:r>
      <w:r w:rsidR="005C4A6F" w:rsidRPr="00A508D7">
        <w:rPr>
          <w:lang w:bidi="fr-FR"/>
        </w:rPr>
        <w:t xml:space="preserve"> et l'a approuvé pour transmission à la plénière en tant que projet de décision CBD/CP/MOP/9/L.3. </w:t>
      </w:r>
    </w:p>
    <w:p w14:paraId="0ECC6535" w14:textId="655EB3D8" w:rsidR="00F96D15" w:rsidRPr="00030395" w:rsidRDefault="00030395" w:rsidP="00500277">
      <w:pPr>
        <w:pStyle w:val="Para1"/>
        <w:tabs>
          <w:tab w:val="clear" w:pos="360"/>
          <w:tab w:val="num" w:pos="0"/>
        </w:tabs>
      </w:pPr>
      <w:r w:rsidRPr="00030395">
        <w:t>A la 7</w:t>
      </w:r>
      <w:r w:rsidRPr="00500277">
        <w:rPr>
          <w:vertAlign w:val="superscript"/>
        </w:rPr>
        <w:t>ème</w:t>
      </w:r>
      <w:r w:rsidRPr="00030395">
        <w:t xml:space="preserve"> séance plénière de la réunion</w:t>
      </w:r>
      <w:r w:rsidR="00F96D15" w:rsidRPr="00030395">
        <w:t xml:space="preserve">, </w:t>
      </w:r>
      <w:r w:rsidR="0022341B">
        <w:t>le 28 novembre</w:t>
      </w:r>
      <w:r w:rsidR="00F96D15" w:rsidRPr="00030395">
        <w:t xml:space="preserve"> 2018, </w:t>
      </w:r>
      <w:r w:rsidRPr="00030395">
        <w:t>la Conférence des Parties siégeant en tant que réunion des Parties</w:t>
      </w:r>
      <w:r w:rsidR="00F96D15" w:rsidRPr="00030395">
        <w:t xml:space="preserve"> </w:t>
      </w:r>
      <w:r w:rsidR="00500277">
        <w:t xml:space="preserve">au Protocole de Cartagena </w:t>
      </w:r>
      <w:r w:rsidR="0022341B">
        <w:t xml:space="preserve">a </w:t>
      </w:r>
      <w:r w:rsidR="00F908C1">
        <w:t>examiné le projet de décision</w:t>
      </w:r>
      <w:r w:rsidR="00F96D15" w:rsidRPr="00030395">
        <w:t xml:space="preserve"> CBD/CP/MOP/9/L.3.</w:t>
      </w:r>
    </w:p>
    <w:p w14:paraId="3588AE11" w14:textId="428AC683" w:rsidR="005C4A6F" w:rsidRPr="001420DE" w:rsidRDefault="00F96D15" w:rsidP="00F96D15">
      <w:pPr>
        <w:pStyle w:val="Para1"/>
      </w:pPr>
      <w:r w:rsidRPr="00030395">
        <w:lastRenderedPageBreak/>
        <w:tab/>
      </w:r>
      <w:r w:rsidR="001420DE" w:rsidRPr="001420DE">
        <w:t>La Conférence des Parties siégeant en tant que réunion des Parties</w:t>
      </w:r>
      <w:r w:rsidRPr="001420DE">
        <w:t xml:space="preserve"> </w:t>
      </w:r>
      <w:r w:rsidR="00030395" w:rsidRPr="001420DE">
        <w:t>au Protocole de Cartagena</w:t>
      </w:r>
      <w:r w:rsidRPr="001420DE">
        <w:t xml:space="preserve"> </w:t>
      </w:r>
      <w:r w:rsidR="001420DE">
        <w:t>a adopté le projet de décision</w:t>
      </w:r>
      <w:r w:rsidRPr="001420DE">
        <w:t xml:space="preserve"> CBD/CP/MOP/9/L.3 </w:t>
      </w:r>
      <w:r w:rsidR="001420DE">
        <w:t>en tant que décision</w:t>
      </w:r>
      <w:r w:rsidRPr="001420DE">
        <w:t xml:space="preserve"> </w:t>
      </w:r>
      <w:r w:rsidRPr="00A441A2">
        <w:t>CP-9/4</w:t>
      </w:r>
      <w:r w:rsidRPr="001420DE">
        <w:t xml:space="preserve"> (</w:t>
      </w:r>
      <w:r w:rsidR="00500277">
        <w:t>pour le texte, voir le chapitre </w:t>
      </w:r>
      <w:r w:rsidR="001420DE">
        <w:t>I</w:t>
      </w:r>
      <w:r w:rsidRPr="001420DE">
        <w:t>)</w:t>
      </w:r>
      <w:r w:rsidR="005C4A6F" w:rsidRPr="001420DE">
        <w:rPr>
          <w:lang w:bidi="fr-FR"/>
        </w:rPr>
        <w:t>.</w:t>
      </w:r>
    </w:p>
    <w:p w14:paraId="578A8935" w14:textId="234FEA56" w:rsidR="005C4A6F" w:rsidRPr="00A508D7" w:rsidRDefault="00F90EF4" w:rsidP="00F90EF4">
      <w:pPr>
        <w:pStyle w:val="Heading1multiline"/>
        <w:jc w:val="center"/>
      </w:pPr>
      <w:bookmarkStart w:id="48" w:name="_Toc7428865"/>
      <w:r>
        <w:rPr>
          <w:lang w:bidi="fr-FR"/>
        </w:rPr>
        <w:t xml:space="preserve">point </w:t>
      </w:r>
      <w:r w:rsidR="005C4A6F" w:rsidRPr="00A508D7">
        <w:rPr>
          <w:lang w:bidi="fr-FR"/>
        </w:rPr>
        <w:t xml:space="preserve">8. </w:t>
      </w:r>
      <w:r w:rsidR="005C4A6F" w:rsidRPr="00A508D7">
        <w:rPr>
          <w:lang w:bidi="fr-FR"/>
        </w:rPr>
        <w:tab/>
      </w:r>
      <w:r w:rsidR="005C4A6F" w:rsidRPr="00A508D7">
        <w:rPr>
          <w:kern w:val="22"/>
          <w:szCs w:val="22"/>
          <w:lang w:bidi="fr-FR"/>
        </w:rPr>
        <w:t>Renforcement des capacit</w:t>
      </w:r>
      <w:r w:rsidR="005C4A6F" w:rsidRPr="00A508D7">
        <w:rPr>
          <w:rFonts w:cs="Times New Roman"/>
          <w:kern w:val="22"/>
          <w:szCs w:val="22"/>
          <w:lang w:bidi="fr-FR"/>
        </w:rPr>
        <w:t>É</w:t>
      </w:r>
      <w:r w:rsidR="005C4A6F" w:rsidRPr="00A508D7">
        <w:rPr>
          <w:kern w:val="22"/>
          <w:szCs w:val="22"/>
          <w:lang w:bidi="fr-FR"/>
        </w:rPr>
        <w:t>s (Article 22)</w:t>
      </w:r>
      <w:bookmarkEnd w:id="48"/>
    </w:p>
    <w:p w14:paraId="72A26689" w14:textId="77777777" w:rsidR="00500277" w:rsidRDefault="00500277" w:rsidP="00500277">
      <w:pPr>
        <w:pStyle w:val="Para1"/>
        <w:tabs>
          <w:tab w:val="clear" w:pos="360"/>
          <w:tab w:val="num" w:pos="0"/>
        </w:tabs>
      </w:pPr>
      <w:r>
        <w:rPr>
          <w:lang w:bidi="fr-FR"/>
        </w:rPr>
        <w:t>Le Groupe de travail I a abordé le point 8 de l’ordre du jour</w:t>
      </w:r>
      <w:r w:rsidR="00CD5C38">
        <w:rPr>
          <w:lang w:bidi="fr-FR"/>
        </w:rPr>
        <w:t xml:space="preserve"> à sa 4</w:t>
      </w:r>
      <w:r w:rsidR="00CD5C38" w:rsidRPr="00CD5C38">
        <w:rPr>
          <w:vertAlign w:val="superscript"/>
          <w:lang w:bidi="fr-FR"/>
        </w:rPr>
        <w:t>ème</w:t>
      </w:r>
      <w:r w:rsidR="00CD5C38">
        <w:rPr>
          <w:lang w:bidi="fr-FR"/>
        </w:rPr>
        <w:t xml:space="preserve"> réunion</w:t>
      </w:r>
      <w:r w:rsidR="005C4A6F" w:rsidRPr="00A508D7">
        <w:rPr>
          <w:lang w:bidi="fr-FR"/>
        </w:rPr>
        <w:t xml:space="preserve">, le 19 </w:t>
      </w:r>
      <w:r>
        <w:rPr>
          <w:lang w:bidi="fr-FR"/>
        </w:rPr>
        <w:t xml:space="preserve">novembre 2018. Pour </w:t>
      </w:r>
      <w:r w:rsidR="005C4A6F" w:rsidRPr="00A508D7">
        <w:rPr>
          <w:lang w:bidi="fr-FR"/>
        </w:rPr>
        <w:t xml:space="preserve">l'examen de ce point, le Groupe de travail disposait d'une note de la Secrétaire exécutive sur le renforcement des capacités (CBD/CP/MOP/9/3) et du rapport du Groupe de liaison sur le renforcement des capacités pour la prévention des risques biotechnologiques à sa douzième réunion (CBD/CP/LG/CB/12/3) ; </w:t>
      </w:r>
      <w:r>
        <w:rPr>
          <w:lang w:bidi="fr-FR"/>
        </w:rPr>
        <w:t>d’</w:t>
      </w:r>
      <w:r w:rsidR="005C4A6F" w:rsidRPr="00A508D7">
        <w:rPr>
          <w:lang w:bidi="fr-FR"/>
        </w:rPr>
        <w:t>une synthèse des communications sur l'état d'avancement de la mise en œuvre du Cadre et du Plan d'action pour le renforcement des capacités en vue de l'application effective du Protocole de Cartagena sur la prévention des risques biotech</w:t>
      </w:r>
      <w:r>
        <w:rPr>
          <w:lang w:bidi="fr-FR"/>
        </w:rPr>
        <w:t>nologiques (CBD/CP/MOP/9/INF/1)</w:t>
      </w:r>
      <w:r w:rsidR="005C4A6F" w:rsidRPr="00A508D7">
        <w:rPr>
          <w:lang w:bidi="fr-FR"/>
        </w:rPr>
        <w:t xml:space="preserve">; et </w:t>
      </w:r>
      <w:r>
        <w:rPr>
          <w:lang w:bidi="fr-FR"/>
        </w:rPr>
        <w:t>d’</w:t>
      </w:r>
      <w:r w:rsidR="005C4A6F" w:rsidRPr="00A508D7">
        <w:rPr>
          <w:lang w:bidi="fr-FR"/>
        </w:rPr>
        <w:t>un rapport intérimaire sur l'application du Plan d'action à court terme pour renforcer et appuyer le renforcement des capacités pour la mise en œuvre de la Convention et de ses Protocoles (CBD/COP/14/INF/10). Il disposait également d’un projet de décision</w:t>
      </w:r>
      <w:r>
        <w:rPr>
          <w:lang w:bidi="fr-FR"/>
        </w:rPr>
        <w:t xml:space="preserve"> figurant dans la compilation du projet</w:t>
      </w:r>
      <w:r w:rsidR="005C4A6F" w:rsidRPr="00A508D7">
        <w:rPr>
          <w:lang w:bidi="fr-FR"/>
        </w:rPr>
        <w:t xml:space="preserve"> de décision</w:t>
      </w:r>
      <w:r>
        <w:rPr>
          <w:lang w:bidi="fr-FR"/>
        </w:rPr>
        <w:t>s</w:t>
      </w:r>
      <w:r w:rsidR="005C4A6F" w:rsidRPr="00A508D7">
        <w:rPr>
          <w:lang w:bidi="fr-FR"/>
        </w:rPr>
        <w:t xml:space="preserve"> (CBD/CP/MOP/9/1/Add.2). Les paragraphes 1 et 7 à 11 du projet de décision</w:t>
      </w:r>
      <w:r>
        <w:rPr>
          <w:lang w:bidi="fr-FR"/>
        </w:rPr>
        <w:t>s</w:t>
      </w:r>
      <w:r w:rsidR="005C4A6F" w:rsidRPr="00A508D7">
        <w:rPr>
          <w:lang w:bidi="fr-FR"/>
        </w:rPr>
        <w:t xml:space="preserve"> sont tirés de la recommandation SBI-2/8, partie III, tandis que les para</w:t>
      </w:r>
      <w:r>
        <w:rPr>
          <w:lang w:bidi="fr-FR"/>
        </w:rPr>
        <w:t>graphes 2 à 6 et 12 à 13 sont tirés des conclusions émis</w:t>
      </w:r>
      <w:r w:rsidR="005C4A6F" w:rsidRPr="00A508D7">
        <w:rPr>
          <w:lang w:bidi="fr-FR"/>
        </w:rPr>
        <w:t>es dans le rapport du Groupe de liaison.</w:t>
      </w:r>
    </w:p>
    <w:p w14:paraId="36F79FD5" w14:textId="77777777" w:rsidR="00500277" w:rsidRDefault="005C4A6F" w:rsidP="00500277">
      <w:pPr>
        <w:pStyle w:val="Para1"/>
        <w:tabs>
          <w:tab w:val="clear" w:pos="360"/>
          <w:tab w:val="num" w:pos="0"/>
        </w:tabs>
      </w:pPr>
      <w:r w:rsidRPr="00A508D7">
        <w:rPr>
          <w:lang w:bidi="fr-FR"/>
        </w:rPr>
        <w:t>Des déclarations ont été faites par les représentants de</w:t>
      </w:r>
      <w:r w:rsidR="00C852DD" w:rsidRPr="00A508D7">
        <w:rPr>
          <w:lang w:bidi="fr-FR"/>
        </w:rPr>
        <w:t xml:space="preserve"> l’Afrique du Sud, </w:t>
      </w:r>
      <w:r w:rsidRPr="00A508D7">
        <w:rPr>
          <w:lang w:bidi="fr-FR"/>
        </w:rPr>
        <w:t xml:space="preserve">de la Colombie, de </w:t>
      </w:r>
      <w:r w:rsidR="00500277">
        <w:rPr>
          <w:lang w:bidi="fr-FR"/>
        </w:rPr>
        <w:t>l’Inde, du Kenya, de la Malaisie</w:t>
      </w:r>
      <w:r w:rsidRPr="00A508D7">
        <w:rPr>
          <w:lang w:bidi="fr-FR"/>
        </w:rPr>
        <w:t>, des Maldives, du Mexique, de la Nouvelle-Zélande</w:t>
      </w:r>
      <w:r w:rsidR="00C852DD" w:rsidRPr="00A508D7">
        <w:rPr>
          <w:lang w:bidi="fr-FR"/>
        </w:rPr>
        <w:t xml:space="preserve">, </w:t>
      </w:r>
      <w:r w:rsidR="00500277" w:rsidRPr="00A508D7">
        <w:rPr>
          <w:lang w:bidi="fr-FR"/>
        </w:rPr>
        <w:t>de la République centrafricaine,</w:t>
      </w:r>
      <w:r w:rsidR="00500277">
        <w:rPr>
          <w:lang w:bidi="fr-FR"/>
        </w:rPr>
        <w:t xml:space="preserve"> </w:t>
      </w:r>
      <w:r w:rsidRPr="00A508D7">
        <w:rPr>
          <w:lang w:bidi="fr-FR"/>
        </w:rPr>
        <w:t>de la Thaïlande</w:t>
      </w:r>
      <w:r w:rsidR="00C852DD" w:rsidRPr="00A508D7">
        <w:rPr>
          <w:lang w:bidi="fr-FR"/>
        </w:rPr>
        <w:t xml:space="preserve"> et de l’Union européenne et ses 28 États membres</w:t>
      </w:r>
      <w:r w:rsidRPr="00A508D7">
        <w:rPr>
          <w:lang w:bidi="fr-FR"/>
        </w:rPr>
        <w:t>.</w:t>
      </w:r>
    </w:p>
    <w:p w14:paraId="490F8177" w14:textId="77777777" w:rsidR="00500277" w:rsidRDefault="005C4A6F" w:rsidP="00500277">
      <w:pPr>
        <w:pStyle w:val="Para1"/>
        <w:tabs>
          <w:tab w:val="clear" w:pos="360"/>
          <w:tab w:val="num" w:pos="0"/>
        </w:tabs>
      </w:pPr>
      <w:r w:rsidRPr="00A508D7">
        <w:rPr>
          <w:lang w:bidi="fr-FR"/>
        </w:rPr>
        <w:t xml:space="preserve">Un représentant de l’Argentine </w:t>
      </w:r>
      <w:r w:rsidR="00500277">
        <w:rPr>
          <w:lang w:bidi="fr-FR"/>
        </w:rPr>
        <w:t>a pris la parole également</w:t>
      </w:r>
      <w:r w:rsidRPr="00A508D7">
        <w:rPr>
          <w:lang w:bidi="fr-FR"/>
        </w:rPr>
        <w:t>.</w:t>
      </w:r>
    </w:p>
    <w:p w14:paraId="3DF5A023" w14:textId="77777777" w:rsidR="00500277" w:rsidRDefault="005C4A6F" w:rsidP="00500277">
      <w:pPr>
        <w:pStyle w:val="Para1"/>
        <w:tabs>
          <w:tab w:val="clear" w:pos="360"/>
          <w:tab w:val="num" w:pos="0"/>
        </w:tabs>
      </w:pPr>
      <w:r w:rsidRPr="00A508D7">
        <w:rPr>
          <w:lang w:bidi="fr-FR"/>
        </w:rPr>
        <w:t>Un représentant de Third World Networ</w:t>
      </w:r>
      <w:r w:rsidR="00500277">
        <w:rPr>
          <w:lang w:bidi="fr-FR"/>
        </w:rPr>
        <w:t>k s’est aussi exprimé</w:t>
      </w:r>
      <w:r w:rsidRPr="00A508D7">
        <w:rPr>
          <w:lang w:bidi="fr-FR"/>
        </w:rPr>
        <w:t>.</w:t>
      </w:r>
    </w:p>
    <w:p w14:paraId="62AC7443" w14:textId="5A8AF1DE" w:rsidR="00500277" w:rsidRDefault="00E73568" w:rsidP="00500277">
      <w:pPr>
        <w:pStyle w:val="Para1"/>
        <w:tabs>
          <w:tab w:val="clear" w:pos="360"/>
          <w:tab w:val="num" w:pos="0"/>
        </w:tabs>
      </w:pPr>
      <w:r>
        <w:rPr>
          <w:lang w:bidi="fr-FR"/>
        </w:rPr>
        <w:t>Le</w:t>
      </w:r>
      <w:r w:rsidR="005C4A6F" w:rsidRPr="00A508D7">
        <w:rPr>
          <w:lang w:bidi="fr-FR"/>
        </w:rPr>
        <w:t xml:space="preserve"> </w:t>
      </w:r>
      <w:r w:rsidR="00BC0D55">
        <w:rPr>
          <w:lang w:bidi="fr-FR"/>
        </w:rPr>
        <w:t>président</w:t>
      </w:r>
      <w:r>
        <w:rPr>
          <w:lang w:bidi="fr-FR"/>
        </w:rPr>
        <w:t xml:space="preserve"> a indiqué qu’il</w:t>
      </w:r>
      <w:r w:rsidR="005C4A6F" w:rsidRPr="00A508D7">
        <w:rPr>
          <w:lang w:bidi="fr-FR"/>
        </w:rPr>
        <w:t xml:space="preserve"> préparerait un proj</w:t>
      </w:r>
      <w:r w:rsidR="00500277">
        <w:rPr>
          <w:lang w:bidi="fr-FR"/>
        </w:rPr>
        <w:t>et de décision révisé</w:t>
      </w:r>
      <w:r w:rsidR="005C4A6F" w:rsidRPr="00A508D7">
        <w:rPr>
          <w:lang w:bidi="fr-FR"/>
        </w:rPr>
        <w:t>, prenant en considération les vues exprimées oralement et présentées par écrit.</w:t>
      </w:r>
    </w:p>
    <w:p w14:paraId="6E73BE45" w14:textId="1B8EC3BD" w:rsidR="005C4A6F" w:rsidRPr="00A508D7" w:rsidRDefault="00CD5C38" w:rsidP="00500277">
      <w:pPr>
        <w:pStyle w:val="Para1"/>
        <w:tabs>
          <w:tab w:val="clear" w:pos="360"/>
          <w:tab w:val="num" w:pos="0"/>
        </w:tabs>
      </w:pPr>
      <w:r>
        <w:rPr>
          <w:lang w:bidi="fr-FR"/>
        </w:rPr>
        <w:t>À sa 10</w:t>
      </w:r>
      <w:r w:rsidRPr="00500277">
        <w:rPr>
          <w:vertAlign w:val="superscript"/>
          <w:lang w:bidi="fr-FR"/>
        </w:rPr>
        <w:t>ème</w:t>
      </w:r>
      <w:r w:rsidR="005C4A6F" w:rsidRPr="00A508D7">
        <w:rPr>
          <w:lang w:bidi="fr-FR"/>
        </w:rPr>
        <w:t xml:space="preserve"> réunion, le 25 novembre 2018, le Groupe de travail a examiné un pro</w:t>
      </w:r>
      <w:r w:rsidR="00500277">
        <w:rPr>
          <w:lang w:bidi="fr-FR"/>
        </w:rPr>
        <w:t>jet de décision révisé établi</w:t>
      </w:r>
      <w:r w:rsidR="005C4A6F" w:rsidRPr="00A508D7">
        <w:rPr>
          <w:lang w:bidi="fr-FR"/>
        </w:rPr>
        <w:t xml:space="preserve"> par </w:t>
      </w:r>
      <w:r w:rsidR="008500EE">
        <w:rPr>
          <w:lang w:bidi="fr-FR"/>
        </w:rPr>
        <w:t>le président</w:t>
      </w:r>
      <w:r w:rsidR="00500277">
        <w:rPr>
          <w:lang w:bidi="fr-FR"/>
        </w:rPr>
        <w:t>, et l’</w:t>
      </w:r>
      <w:r w:rsidR="005C4A6F" w:rsidRPr="00A508D7">
        <w:rPr>
          <w:lang w:bidi="fr-FR"/>
        </w:rPr>
        <w:t xml:space="preserve">a approuvé pour transmission à la plénière en tant que projet de décision CBD/CP-MOP/9/L.10. </w:t>
      </w:r>
    </w:p>
    <w:p w14:paraId="73E5EAE2" w14:textId="77777777" w:rsidR="00500277" w:rsidRDefault="00030395" w:rsidP="00500277">
      <w:pPr>
        <w:pStyle w:val="Para1"/>
        <w:tabs>
          <w:tab w:val="clear" w:pos="360"/>
          <w:tab w:val="num" w:pos="0"/>
        </w:tabs>
      </w:pPr>
      <w:r w:rsidRPr="00030395">
        <w:t>A la 7</w:t>
      </w:r>
      <w:r w:rsidRPr="00CD5C38">
        <w:rPr>
          <w:vertAlign w:val="superscript"/>
        </w:rPr>
        <w:t>ème</w:t>
      </w:r>
      <w:r w:rsidRPr="00030395">
        <w:t xml:space="preserve"> séance plénière de la réunion</w:t>
      </w:r>
      <w:r w:rsidR="00F96D15" w:rsidRPr="00030395">
        <w:t xml:space="preserve">, </w:t>
      </w:r>
      <w:r w:rsidR="0022341B">
        <w:t>le 28 novembre</w:t>
      </w:r>
      <w:r w:rsidR="00F96D15" w:rsidRPr="00030395">
        <w:t xml:space="preserve"> 2018, </w:t>
      </w:r>
      <w:r w:rsidRPr="00030395">
        <w:t>la Conférence des Parties siégeant en tant que réunion des Parties</w:t>
      </w:r>
      <w:r w:rsidR="00F96D15" w:rsidRPr="00030395">
        <w:t xml:space="preserve"> </w:t>
      </w:r>
      <w:r>
        <w:t>au Protocole de Cartagena</w:t>
      </w:r>
      <w:r w:rsidR="00F96D15" w:rsidRPr="00030395">
        <w:t xml:space="preserve"> </w:t>
      </w:r>
      <w:r w:rsidR="0022341B">
        <w:t xml:space="preserve">a </w:t>
      </w:r>
      <w:r w:rsidR="00F908C1">
        <w:t>examiné le projet de décision</w:t>
      </w:r>
      <w:r w:rsidR="001420DE">
        <w:t xml:space="preserve"> </w:t>
      </w:r>
      <w:r w:rsidR="00F96D15" w:rsidRPr="00030395">
        <w:t>CBD/CP/MOP/9/L.10.</w:t>
      </w:r>
    </w:p>
    <w:p w14:paraId="695758C5" w14:textId="5E388388" w:rsidR="005C4A6F" w:rsidRPr="001420DE" w:rsidRDefault="001420DE" w:rsidP="00500277">
      <w:pPr>
        <w:pStyle w:val="Para1"/>
        <w:tabs>
          <w:tab w:val="clear" w:pos="360"/>
          <w:tab w:val="num" w:pos="0"/>
        </w:tabs>
      </w:pPr>
      <w:r w:rsidRPr="001420DE">
        <w:t>La Conférence des Parties siégeant en tant que réunion des Parties</w:t>
      </w:r>
      <w:r w:rsidR="00F96D15" w:rsidRPr="001420DE">
        <w:t xml:space="preserve"> </w:t>
      </w:r>
      <w:r w:rsidR="00030395" w:rsidRPr="001420DE">
        <w:t>au Protocole de Cartagena</w:t>
      </w:r>
      <w:r w:rsidR="00F96D15" w:rsidRPr="001420DE">
        <w:t xml:space="preserve"> </w:t>
      </w:r>
      <w:r>
        <w:t>a adopté le projet de décision</w:t>
      </w:r>
      <w:r w:rsidR="00F96D15" w:rsidRPr="001420DE">
        <w:t xml:space="preserve"> CBD/CP/MOP/9/L.10 </w:t>
      </w:r>
      <w:r>
        <w:t>en tant que décision</w:t>
      </w:r>
      <w:r w:rsidR="00A441A2">
        <w:t xml:space="preserve"> CP-9</w:t>
      </w:r>
      <w:r w:rsidR="00F96D15" w:rsidRPr="001420DE">
        <w:t>/3 (</w:t>
      </w:r>
      <w:r>
        <w:t>pour le texte, voir le chapitre I</w:t>
      </w:r>
      <w:r w:rsidR="00F96D15" w:rsidRPr="001420DE">
        <w:t>).</w:t>
      </w:r>
    </w:p>
    <w:p w14:paraId="56F57992" w14:textId="29093BD8" w:rsidR="005C4A6F" w:rsidRPr="00A508D7" w:rsidRDefault="0004618C" w:rsidP="00500277">
      <w:pPr>
        <w:pStyle w:val="Heading1multiline"/>
        <w:ind w:hanging="1417"/>
      </w:pPr>
      <w:bookmarkStart w:id="49" w:name="_Toc7428866"/>
      <w:r>
        <w:rPr>
          <w:lang w:bidi="fr-FR"/>
        </w:rPr>
        <w:t>point</w:t>
      </w:r>
      <w:r w:rsidR="005C4A6F" w:rsidRPr="00A508D7">
        <w:rPr>
          <w:lang w:bidi="fr-FR"/>
        </w:rPr>
        <w:t xml:space="preserve"> 9. </w:t>
      </w:r>
      <w:r w:rsidR="005C4A6F" w:rsidRPr="00A508D7">
        <w:rPr>
          <w:lang w:bidi="fr-FR"/>
        </w:rPr>
        <w:tab/>
      </w:r>
      <w:r w:rsidR="005C4A6F" w:rsidRPr="00A508D7">
        <w:rPr>
          <w:kern w:val="22"/>
          <w:szCs w:val="22"/>
          <w:lang w:bidi="fr-FR"/>
        </w:rPr>
        <w:t>Fonctionnement et activit</w:t>
      </w:r>
      <w:r w:rsidR="005C4A6F" w:rsidRPr="00A508D7">
        <w:rPr>
          <w:rFonts w:cs="Times New Roman"/>
          <w:kern w:val="22"/>
          <w:szCs w:val="22"/>
          <w:lang w:bidi="fr-FR"/>
        </w:rPr>
        <w:t>É</w:t>
      </w:r>
      <w:r w:rsidR="005C4A6F" w:rsidRPr="00A508D7">
        <w:rPr>
          <w:kern w:val="22"/>
          <w:szCs w:val="22"/>
          <w:lang w:bidi="fr-FR"/>
        </w:rPr>
        <w:t>s du Centre d’</w:t>
      </w:r>
      <w:r w:rsidR="005C4A6F" w:rsidRPr="00A508D7">
        <w:rPr>
          <w:rFonts w:cs="Times New Roman"/>
          <w:kern w:val="22"/>
          <w:szCs w:val="22"/>
          <w:lang w:bidi="fr-FR"/>
        </w:rPr>
        <w:t>É</w:t>
      </w:r>
      <w:r w:rsidR="005C4A6F" w:rsidRPr="00A508D7">
        <w:rPr>
          <w:kern w:val="22"/>
          <w:szCs w:val="22"/>
          <w:lang w:bidi="fr-FR"/>
        </w:rPr>
        <w:t>change pour la pr</w:t>
      </w:r>
      <w:r w:rsidR="005C4A6F" w:rsidRPr="00A508D7">
        <w:rPr>
          <w:rFonts w:cs="Times New Roman"/>
          <w:kern w:val="22"/>
          <w:szCs w:val="22"/>
          <w:lang w:bidi="fr-FR"/>
        </w:rPr>
        <w:t>É</w:t>
      </w:r>
      <w:r w:rsidR="005C4A6F" w:rsidRPr="00A508D7">
        <w:rPr>
          <w:kern w:val="22"/>
          <w:szCs w:val="22"/>
          <w:lang w:bidi="fr-FR"/>
        </w:rPr>
        <w:t>vention des risques biotechnologiques (Article 20)</w:t>
      </w:r>
      <w:bookmarkEnd w:id="49"/>
    </w:p>
    <w:p w14:paraId="1C51F6C7" w14:textId="7CD046D9" w:rsidR="00500277" w:rsidRDefault="008500EE" w:rsidP="00500277">
      <w:pPr>
        <w:pStyle w:val="Para1"/>
        <w:tabs>
          <w:tab w:val="clear" w:pos="360"/>
          <w:tab w:val="num" w:pos="0"/>
        </w:tabs>
      </w:pPr>
      <w:r>
        <w:rPr>
          <w:lang w:bidi="fr-FR"/>
        </w:rPr>
        <w:t>Le Groupe de travail I a abord</w:t>
      </w:r>
      <w:r w:rsidR="00500277">
        <w:rPr>
          <w:lang w:bidi="fr-FR"/>
        </w:rPr>
        <w:t>é le point 9 de l’ordre du jour</w:t>
      </w:r>
      <w:r w:rsidR="00CD5C38">
        <w:rPr>
          <w:lang w:bidi="fr-FR"/>
        </w:rPr>
        <w:t xml:space="preserve"> à sa 4</w:t>
      </w:r>
      <w:r w:rsidR="00CD5C38" w:rsidRPr="00CD5C38">
        <w:rPr>
          <w:vertAlign w:val="superscript"/>
          <w:lang w:bidi="fr-FR"/>
        </w:rPr>
        <w:t>ème</w:t>
      </w:r>
      <w:r w:rsidR="00CD5C38">
        <w:rPr>
          <w:lang w:bidi="fr-FR"/>
        </w:rPr>
        <w:t xml:space="preserve"> réunion</w:t>
      </w:r>
      <w:r w:rsidR="005C4A6F" w:rsidRPr="00A508D7">
        <w:rPr>
          <w:lang w:bidi="fr-FR"/>
        </w:rPr>
        <w:t>,</w:t>
      </w:r>
      <w:r w:rsidR="00500277">
        <w:rPr>
          <w:lang w:bidi="fr-FR"/>
        </w:rPr>
        <w:t xml:space="preserve"> le 19 novembre 2018. Pour </w:t>
      </w:r>
      <w:r w:rsidR="005C4A6F" w:rsidRPr="00A508D7">
        <w:rPr>
          <w:lang w:bidi="fr-FR"/>
        </w:rPr>
        <w:t>l'examen de ce point, il disposait d'une note de la Secrétaire exécutive sur le fonctionnement et les activités du Centre d'échange pour la prévention des risques biotechnologiques (CBD/CP/MOP/9/4), à laquelle étaient annexées les modalités de fonctionne</w:t>
      </w:r>
      <w:r w:rsidR="00500277">
        <w:rPr>
          <w:lang w:bidi="fr-FR"/>
        </w:rPr>
        <w:t xml:space="preserve">ment communes du Centre </w:t>
      </w:r>
      <w:r w:rsidR="005C4A6F" w:rsidRPr="00A508D7">
        <w:rPr>
          <w:lang w:bidi="fr-FR"/>
        </w:rPr>
        <w:t>d'échange</w:t>
      </w:r>
      <w:r w:rsidR="00500277">
        <w:rPr>
          <w:lang w:bidi="fr-FR"/>
        </w:rPr>
        <w:t xml:space="preserve"> central</w:t>
      </w:r>
      <w:r w:rsidR="005C4A6F" w:rsidRPr="00A508D7">
        <w:rPr>
          <w:lang w:bidi="fr-FR"/>
        </w:rPr>
        <w:t>, du Centre d'échange pour la prévention des risques biotechnolog</w:t>
      </w:r>
      <w:r w:rsidR="00500277">
        <w:rPr>
          <w:lang w:bidi="fr-FR"/>
        </w:rPr>
        <w:t>iques et du Centre d'échange su</w:t>
      </w:r>
      <w:r w:rsidR="005C4A6F" w:rsidRPr="00A508D7">
        <w:rPr>
          <w:lang w:bidi="fr-FR"/>
        </w:rPr>
        <w:t>r l'accès et le partage des avantages, telles que détaillées dans l'annexe à cette note par la Secrétaire exécutive. Le Groupe de travail disposait également d'un projet de décision reproduit de la note de la Se</w:t>
      </w:r>
      <w:r w:rsidR="00500277">
        <w:rPr>
          <w:lang w:bidi="fr-FR"/>
        </w:rPr>
        <w:t>crétaire exécutive, qui figure dans la compilation du projet</w:t>
      </w:r>
      <w:r w:rsidR="005C4A6F" w:rsidRPr="00A508D7">
        <w:rPr>
          <w:lang w:bidi="fr-FR"/>
        </w:rPr>
        <w:t xml:space="preserve"> de décision</w:t>
      </w:r>
      <w:r w:rsidR="00500277">
        <w:rPr>
          <w:lang w:bidi="fr-FR"/>
        </w:rPr>
        <w:t>s</w:t>
      </w:r>
      <w:r w:rsidR="005C4A6F" w:rsidRPr="00A508D7">
        <w:rPr>
          <w:lang w:bidi="fr-FR"/>
        </w:rPr>
        <w:t xml:space="preserve"> figurant dans le document CBD/CP/MOP/9/1/Add.1.</w:t>
      </w:r>
    </w:p>
    <w:p w14:paraId="41411722" w14:textId="77777777" w:rsidR="00500277" w:rsidRDefault="005C4A6F" w:rsidP="00500277">
      <w:pPr>
        <w:pStyle w:val="Para1"/>
        <w:tabs>
          <w:tab w:val="clear" w:pos="360"/>
          <w:tab w:val="num" w:pos="0"/>
        </w:tabs>
      </w:pPr>
      <w:r w:rsidRPr="00A508D7">
        <w:rPr>
          <w:lang w:bidi="fr-FR"/>
        </w:rPr>
        <w:t>Des déclarations ont été faites par les représentants de l’</w:t>
      </w:r>
      <w:r w:rsidR="00C852DD" w:rsidRPr="00A508D7">
        <w:rPr>
          <w:lang w:bidi="fr-FR"/>
        </w:rPr>
        <w:t>Afrique du Sud, de l’</w:t>
      </w:r>
      <w:r w:rsidRPr="00A508D7">
        <w:rPr>
          <w:lang w:bidi="fr-FR"/>
        </w:rPr>
        <w:t xml:space="preserve">Inde, </w:t>
      </w:r>
      <w:r w:rsidR="00C852DD" w:rsidRPr="00A508D7">
        <w:rPr>
          <w:lang w:bidi="fr-FR"/>
        </w:rPr>
        <w:t xml:space="preserve">de </w:t>
      </w:r>
      <w:r w:rsidR="00500277">
        <w:rPr>
          <w:lang w:bidi="fr-FR"/>
        </w:rPr>
        <w:t xml:space="preserve">la </w:t>
      </w:r>
      <w:r w:rsidRPr="00A508D7">
        <w:rPr>
          <w:lang w:bidi="fr-FR"/>
        </w:rPr>
        <w:t xml:space="preserve">Jordanie, </w:t>
      </w:r>
      <w:r w:rsidR="00C852DD" w:rsidRPr="00A508D7">
        <w:rPr>
          <w:lang w:bidi="fr-FR"/>
        </w:rPr>
        <w:t xml:space="preserve">de la </w:t>
      </w:r>
      <w:r w:rsidRPr="00A508D7">
        <w:rPr>
          <w:lang w:bidi="fr-FR"/>
        </w:rPr>
        <w:t xml:space="preserve">Norvège, </w:t>
      </w:r>
      <w:r w:rsidR="00C852DD" w:rsidRPr="00A508D7">
        <w:rPr>
          <w:lang w:bidi="fr-FR"/>
        </w:rPr>
        <w:t>de la</w:t>
      </w:r>
      <w:r w:rsidRPr="00A508D7">
        <w:rPr>
          <w:lang w:bidi="fr-FR"/>
        </w:rPr>
        <w:t xml:space="preserve"> Thaïlande</w:t>
      </w:r>
      <w:r w:rsidR="00C852DD" w:rsidRPr="00A508D7">
        <w:rPr>
          <w:lang w:bidi="fr-FR"/>
        </w:rPr>
        <w:t>, et de l’Union européenne et ses 28 États membres.</w:t>
      </w:r>
    </w:p>
    <w:p w14:paraId="2999DD96" w14:textId="77777777" w:rsidR="00500277" w:rsidRDefault="00500277" w:rsidP="00500277">
      <w:pPr>
        <w:pStyle w:val="Para1"/>
        <w:tabs>
          <w:tab w:val="clear" w:pos="360"/>
          <w:tab w:val="num" w:pos="0"/>
        </w:tabs>
      </w:pPr>
      <w:r>
        <w:rPr>
          <w:lang w:bidi="fr-FR"/>
        </w:rPr>
        <w:t xml:space="preserve">Une déclaration a </w:t>
      </w:r>
      <w:r w:rsidR="005C4A6F" w:rsidRPr="00A508D7">
        <w:rPr>
          <w:lang w:bidi="fr-FR"/>
        </w:rPr>
        <w:t xml:space="preserve">été faite </w:t>
      </w:r>
      <w:r>
        <w:rPr>
          <w:lang w:bidi="fr-FR"/>
        </w:rPr>
        <w:t xml:space="preserve">également </w:t>
      </w:r>
      <w:r w:rsidR="005C4A6F" w:rsidRPr="00A508D7">
        <w:rPr>
          <w:lang w:bidi="fr-FR"/>
        </w:rPr>
        <w:t>par un représentant du Canada.</w:t>
      </w:r>
    </w:p>
    <w:p w14:paraId="6C4D6921" w14:textId="77777777" w:rsidR="00500277" w:rsidRDefault="005C4A6F" w:rsidP="00500277">
      <w:pPr>
        <w:pStyle w:val="Para1"/>
        <w:tabs>
          <w:tab w:val="clear" w:pos="360"/>
          <w:tab w:val="num" w:pos="0"/>
        </w:tabs>
      </w:pPr>
      <w:r w:rsidRPr="00A508D7">
        <w:rPr>
          <w:lang w:bidi="fr-FR"/>
        </w:rPr>
        <w:lastRenderedPageBreak/>
        <w:t xml:space="preserve">Le Groupe de travail a repris l'examen de ce </w:t>
      </w:r>
      <w:r w:rsidR="00500277">
        <w:rPr>
          <w:lang w:bidi="fr-FR"/>
        </w:rPr>
        <w:t>point de l'ordre du jour à sa 5</w:t>
      </w:r>
      <w:r w:rsidR="00500277" w:rsidRPr="00500277">
        <w:rPr>
          <w:vertAlign w:val="superscript"/>
          <w:lang w:bidi="fr-FR"/>
        </w:rPr>
        <w:t>ème</w:t>
      </w:r>
      <w:r w:rsidR="00500277">
        <w:rPr>
          <w:lang w:bidi="fr-FR"/>
        </w:rPr>
        <w:t xml:space="preserve"> réunion, le 20 </w:t>
      </w:r>
      <w:r w:rsidRPr="00A508D7">
        <w:rPr>
          <w:lang w:bidi="fr-FR"/>
        </w:rPr>
        <w:t>novembre 2018.</w:t>
      </w:r>
    </w:p>
    <w:p w14:paraId="4887A53F" w14:textId="371643E3" w:rsidR="00500277" w:rsidRDefault="005C4A6F" w:rsidP="00500277">
      <w:pPr>
        <w:pStyle w:val="Para1"/>
        <w:tabs>
          <w:tab w:val="clear" w:pos="360"/>
          <w:tab w:val="num" w:pos="0"/>
        </w:tabs>
      </w:pPr>
      <w:r w:rsidRPr="00A508D7">
        <w:rPr>
          <w:lang w:bidi="fr-FR"/>
        </w:rPr>
        <w:t>Des déclarations ont été faites par les représentants de</w:t>
      </w:r>
      <w:r w:rsidR="00500277">
        <w:rPr>
          <w:lang w:bidi="fr-FR"/>
        </w:rPr>
        <w:t xml:space="preserve">s pays suivants : </w:t>
      </w:r>
      <w:r w:rsidR="00C852DD" w:rsidRPr="00A508D7">
        <w:rPr>
          <w:lang w:bidi="fr-FR"/>
        </w:rPr>
        <w:t>Afrique du Sud,</w:t>
      </w:r>
      <w:r w:rsidRPr="00A508D7">
        <w:rPr>
          <w:lang w:bidi="fr-FR"/>
        </w:rPr>
        <w:t xml:space="preserve"> Bahreïn, Côte d’Ivoire, Gambie, Ghana, Guatemala, Jordanie, Malaisie, Mexique, Maroc, Nouvelle-Zélande, Niger, Norvège, </w:t>
      </w:r>
      <w:r w:rsidR="00C852DD" w:rsidRPr="00A508D7">
        <w:rPr>
          <w:lang w:bidi="fr-FR"/>
        </w:rPr>
        <w:t xml:space="preserve">Ouganda, </w:t>
      </w:r>
      <w:r w:rsidRPr="00A508D7">
        <w:rPr>
          <w:lang w:bidi="fr-FR"/>
        </w:rPr>
        <w:t>Pérou, République de Corée</w:t>
      </w:r>
      <w:r w:rsidR="00500277">
        <w:rPr>
          <w:lang w:bidi="fr-FR"/>
        </w:rPr>
        <w:t>, République-</w:t>
      </w:r>
      <w:r w:rsidRPr="00A508D7">
        <w:rPr>
          <w:lang w:bidi="fr-FR"/>
        </w:rPr>
        <w:t>Unie de Tanzanie</w:t>
      </w:r>
      <w:r w:rsidR="00500277">
        <w:rPr>
          <w:lang w:bidi="fr-FR"/>
        </w:rPr>
        <w:t>, et</w:t>
      </w:r>
      <w:r w:rsidR="00500277" w:rsidRPr="00500277">
        <w:rPr>
          <w:lang w:bidi="fr-FR"/>
        </w:rPr>
        <w:t xml:space="preserve"> </w:t>
      </w:r>
      <w:r w:rsidR="00500277" w:rsidRPr="00A508D7">
        <w:rPr>
          <w:lang w:bidi="fr-FR"/>
        </w:rPr>
        <w:t>Union eur</w:t>
      </w:r>
      <w:r w:rsidR="00500277">
        <w:rPr>
          <w:lang w:bidi="fr-FR"/>
        </w:rPr>
        <w:t>opéenne et ses 28 États membres</w:t>
      </w:r>
      <w:r w:rsidRPr="00A508D7">
        <w:rPr>
          <w:lang w:bidi="fr-FR"/>
        </w:rPr>
        <w:t>.</w:t>
      </w:r>
    </w:p>
    <w:p w14:paraId="39E739AF" w14:textId="77777777" w:rsidR="00500277" w:rsidRDefault="005C4A6F" w:rsidP="00500277">
      <w:pPr>
        <w:pStyle w:val="Para1"/>
        <w:tabs>
          <w:tab w:val="clear" w:pos="360"/>
          <w:tab w:val="num" w:pos="0"/>
        </w:tabs>
      </w:pPr>
      <w:r w:rsidRPr="00A508D7">
        <w:rPr>
          <w:lang w:bidi="fr-FR"/>
        </w:rPr>
        <w:t>Une autre déclaration a été faite par un représentant de l'Argentine.</w:t>
      </w:r>
    </w:p>
    <w:p w14:paraId="5A979039" w14:textId="2589F070" w:rsidR="00500277" w:rsidRDefault="005C4A6F" w:rsidP="00500277">
      <w:pPr>
        <w:pStyle w:val="Para1"/>
        <w:tabs>
          <w:tab w:val="clear" w:pos="360"/>
          <w:tab w:val="num" w:pos="0"/>
        </w:tabs>
      </w:pPr>
      <w:r w:rsidRPr="00A508D7">
        <w:rPr>
          <w:lang w:bidi="fr-FR"/>
        </w:rPr>
        <w:t>Une déclaration a également été faite par u</w:t>
      </w:r>
      <w:r w:rsidR="00500277">
        <w:rPr>
          <w:lang w:bidi="fr-FR"/>
        </w:rPr>
        <w:t>n représentant de l’</w:t>
      </w:r>
      <w:r w:rsidR="00500277" w:rsidRPr="007504FD">
        <w:t>International Service for the Acquisition of Agri-biotech Applications</w:t>
      </w:r>
      <w:r w:rsidR="00500277" w:rsidRPr="00A508D7">
        <w:rPr>
          <w:lang w:bidi="fr-FR"/>
        </w:rPr>
        <w:t xml:space="preserve"> </w:t>
      </w:r>
      <w:r w:rsidR="00500277">
        <w:rPr>
          <w:lang w:bidi="fr-FR"/>
        </w:rPr>
        <w:t>(ISAAA).</w:t>
      </w:r>
    </w:p>
    <w:p w14:paraId="0C93647D" w14:textId="77777777" w:rsidR="008500EE" w:rsidRDefault="00500277" w:rsidP="008500EE">
      <w:pPr>
        <w:pStyle w:val="Para1"/>
        <w:tabs>
          <w:tab w:val="clear" w:pos="360"/>
          <w:tab w:val="num" w:pos="0"/>
        </w:tabs>
      </w:pPr>
      <w:r>
        <w:rPr>
          <w:lang w:bidi="fr-FR"/>
        </w:rPr>
        <w:t>A l'issue des</w:t>
      </w:r>
      <w:r w:rsidR="005C4A6F" w:rsidRPr="00A508D7">
        <w:rPr>
          <w:lang w:bidi="fr-FR"/>
        </w:rPr>
        <w:t xml:space="preserve"> débat</w:t>
      </w:r>
      <w:r>
        <w:rPr>
          <w:lang w:bidi="fr-FR"/>
        </w:rPr>
        <w:t>s</w:t>
      </w:r>
      <w:r w:rsidR="005C4A6F" w:rsidRPr="00A508D7">
        <w:rPr>
          <w:lang w:bidi="fr-FR"/>
        </w:rPr>
        <w:t xml:space="preserve">, le </w:t>
      </w:r>
      <w:r w:rsidR="00BC0D55">
        <w:rPr>
          <w:lang w:bidi="fr-FR"/>
        </w:rPr>
        <w:t>président</w:t>
      </w:r>
      <w:r>
        <w:rPr>
          <w:lang w:bidi="fr-FR"/>
        </w:rPr>
        <w:t xml:space="preserve"> a fait savoir</w:t>
      </w:r>
      <w:r w:rsidR="005C4A6F" w:rsidRPr="00A508D7">
        <w:rPr>
          <w:lang w:bidi="fr-FR"/>
        </w:rPr>
        <w:t xml:space="preserve"> qu'il préparerait un projet de décision révisé pour examen par le Groupe de travail.</w:t>
      </w:r>
    </w:p>
    <w:p w14:paraId="38578780" w14:textId="77777777" w:rsidR="008500EE" w:rsidRDefault="00CD5C38" w:rsidP="008500EE">
      <w:pPr>
        <w:pStyle w:val="Para1"/>
        <w:tabs>
          <w:tab w:val="clear" w:pos="360"/>
          <w:tab w:val="num" w:pos="0"/>
        </w:tabs>
      </w:pPr>
      <w:r>
        <w:rPr>
          <w:lang w:bidi="fr-FR"/>
        </w:rPr>
        <w:t>À sa 10</w:t>
      </w:r>
      <w:r w:rsidRPr="008500EE">
        <w:rPr>
          <w:vertAlign w:val="superscript"/>
          <w:lang w:bidi="fr-FR"/>
        </w:rPr>
        <w:t>ème</w:t>
      </w:r>
      <w:r w:rsidR="005C4A6F" w:rsidRPr="00A508D7">
        <w:rPr>
          <w:lang w:bidi="fr-FR"/>
        </w:rPr>
        <w:t xml:space="preserve"> réunion, le 25 novembre 2018, le Groupe de travail a examiné un</w:t>
      </w:r>
      <w:r w:rsidR="008500EE">
        <w:rPr>
          <w:lang w:bidi="fr-FR"/>
        </w:rPr>
        <w:t xml:space="preserve"> projet de décision révisé établi</w:t>
      </w:r>
      <w:r w:rsidR="005C4A6F" w:rsidRPr="00A508D7">
        <w:rPr>
          <w:lang w:bidi="fr-FR"/>
        </w:rPr>
        <w:t xml:space="preserve"> par </w:t>
      </w:r>
      <w:r w:rsidR="008500EE">
        <w:rPr>
          <w:lang w:bidi="fr-FR"/>
        </w:rPr>
        <w:t>le président</w:t>
      </w:r>
      <w:r w:rsidR="005C4A6F" w:rsidRPr="00A508D7">
        <w:rPr>
          <w:lang w:bidi="fr-FR"/>
        </w:rPr>
        <w:t>.</w:t>
      </w:r>
    </w:p>
    <w:p w14:paraId="23CFF3CB" w14:textId="77777777" w:rsidR="008500EE" w:rsidRDefault="005C4A6F" w:rsidP="008500EE">
      <w:pPr>
        <w:pStyle w:val="Para1"/>
        <w:tabs>
          <w:tab w:val="clear" w:pos="360"/>
          <w:tab w:val="num" w:pos="0"/>
        </w:tabs>
      </w:pPr>
      <w:r w:rsidRPr="00A508D7">
        <w:rPr>
          <w:lang w:bidi="fr-FR"/>
        </w:rPr>
        <w:t>Des déclarations ont été</w:t>
      </w:r>
      <w:r w:rsidR="008500EE">
        <w:rPr>
          <w:lang w:bidi="fr-FR"/>
        </w:rPr>
        <w:t xml:space="preserve"> faites par les représentants du Mexique et de l’Union européenne et </w:t>
      </w:r>
      <w:r w:rsidRPr="00A508D7">
        <w:rPr>
          <w:lang w:bidi="fr-FR"/>
        </w:rPr>
        <w:t>se</w:t>
      </w:r>
      <w:r w:rsidR="008500EE">
        <w:rPr>
          <w:lang w:bidi="fr-FR"/>
        </w:rPr>
        <w:t>s 28 États membres</w:t>
      </w:r>
      <w:r w:rsidRPr="00A508D7">
        <w:rPr>
          <w:lang w:bidi="fr-FR"/>
        </w:rPr>
        <w:t>.</w:t>
      </w:r>
    </w:p>
    <w:p w14:paraId="1CF098BF" w14:textId="77777777" w:rsidR="008500EE" w:rsidRDefault="005C4A6F" w:rsidP="008500EE">
      <w:pPr>
        <w:pStyle w:val="Para1"/>
        <w:tabs>
          <w:tab w:val="clear" w:pos="360"/>
          <w:tab w:val="num" w:pos="0"/>
        </w:tabs>
      </w:pPr>
      <w:r w:rsidRPr="00A508D7">
        <w:rPr>
          <w:lang w:bidi="fr-FR"/>
        </w:rPr>
        <w:t>Le Groupe de travail a approuvé le projet de décision révisé, tel que modifié oralement, pour transmission à la plénière en tant que proje</w:t>
      </w:r>
      <w:r w:rsidR="008500EE">
        <w:rPr>
          <w:lang w:bidi="fr-FR"/>
        </w:rPr>
        <w:t>t de décision CBD/CP-MOP/9/L.8.</w:t>
      </w:r>
    </w:p>
    <w:p w14:paraId="0A50AC44" w14:textId="77777777" w:rsidR="008500EE" w:rsidRDefault="008500EE" w:rsidP="008500EE">
      <w:pPr>
        <w:pStyle w:val="Para1"/>
        <w:tabs>
          <w:tab w:val="clear" w:pos="360"/>
          <w:tab w:val="num" w:pos="0"/>
        </w:tabs>
      </w:pPr>
      <w:r>
        <w:rPr>
          <w:lang w:bidi="fr-FR"/>
        </w:rPr>
        <w:t>A</w:t>
      </w:r>
      <w:r w:rsidR="00030395" w:rsidRPr="00030395">
        <w:t xml:space="preserve"> la 7</w:t>
      </w:r>
      <w:r w:rsidR="00030395" w:rsidRPr="008500EE">
        <w:rPr>
          <w:vertAlign w:val="superscript"/>
        </w:rPr>
        <w:t>ème</w:t>
      </w:r>
      <w:r w:rsidR="00030395" w:rsidRPr="00030395">
        <w:t xml:space="preserve"> séance plénière de la réunion</w:t>
      </w:r>
      <w:r w:rsidR="00F96D15" w:rsidRPr="00030395">
        <w:t xml:space="preserve">, </w:t>
      </w:r>
      <w:r w:rsidR="0022341B">
        <w:t>le 28 novembre</w:t>
      </w:r>
      <w:r w:rsidR="00F96D15" w:rsidRPr="00030395">
        <w:t xml:space="preserve"> 2018, </w:t>
      </w:r>
      <w:r w:rsidR="00030395" w:rsidRPr="00030395">
        <w:t>la Conférence des Parties siégeant en tant que réunion des Parties</w:t>
      </w:r>
      <w:r w:rsidR="00F96D15" w:rsidRPr="00030395">
        <w:t xml:space="preserve"> </w:t>
      </w:r>
      <w:r w:rsidR="00030395">
        <w:t>au Protocole de Cartagena</w:t>
      </w:r>
      <w:r w:rsidR="00F96D15" w:rsidRPr="00030395">
        <w:t xml:space="preserve"> </w:t>
      </w:r>
      <w:r w:rsidR="0022341B">
        <w:t xml:space="preserve">a </w:t>
      </w:r>
      <w:r w:rsidR="00F908C1">
        <w:t>examiné le projet de décision</w:t>
      </w:r>
      <w:r w:rsidR="00F96D15" w:rsidRPr="00030395">
        <w:t xml:space="preserve"> CBD/CP/MOP/9/L.8.</w:t>
      </w:r>
    </w:p>
    <w:p w14:paraId="44C05DBC" w14:textId="12DE8E40" w:rsidR="005C4A6F" w:rsidRPr="00A508D7" w:rsidRDefault="001420DE" w:rsidP="008500EE">
      <w:pPr>
        <w:pStyle w:val="Para1"/>
        <w:tabs>
          <w:tab w:val="clear" w:pos="360"/>
          <w:tab w:val="num" w:pos="0"/>
        </w:tabs>
      </w:pPr>
      <w:r w:rsidRPr="001420DE">
        <w:t>La Conférence des Parties siégeant en tant que réunion des Parties</w:t>
      </w:r>
      <w:r w:rsidR="00F96D15" w:rsidRPr="001420DE">
        <w:t xml:space="preserve"> </w:t>
      </w:r>
      <w:r w:rsidR="008500EE">
        <w:t xml:space="preserve">au Protocole de Cartagena </w:t>
      </w:r>
      <w:r>
        <w:t>a adopté le projet de décision</w:t>
      </w:r>
      <w:r w:rsidR="00F96D15" w:rsidRPr="001420DE">
        <w:t xml:space="preserve"> CBD/CP/MOP/9/L.8 </w:t>
      </w:r>
      <w:r>
        <w:t>en tant que décision</w:t>
      </w:r>
      <w:r w:rsidR="00A441A2">
        <w:t xml:space="preserve"> CP-9</w:t>
      </w:r>
      <w:r w:rsidR="00F96D15" w:rsidRPr="001420DE">
        <w:t>/2 (</w:t>
      </w:r>
      <w:r>
        <w:t>pour le texte, voir le chapitre I</w:t>
      </w:r>
      <w:r w:rsidR="00F96D15">
        <w:t>)</w:t>
      </w:r>
      <w:r w:rsidR="005C4A6F" w:rsidRPr="00A508D7">
        <w:rPr>
          <w:lang w:bidi="fr-FR"/>
        </w:rPr>
        <w:t>.</w:t>
      </w:r>
    </w:p>
    <w:p w14:paraId="22D8C027" w14:textId="11721990" w:rsidR="005C4A6F" w:rsidRPr="00A508D7" w:rsidRDefault="005C4A6F" w:rsidP="00E03306">
      <w:pPr>
        <w:pStyle w:val="Heading1multiline"/>
        <w:ind w:hanging="1275"/>
      </w:pPr>
      <w:bookmarkStart w:id="50" w:name="_Toc7428867"/>
      <w:r w:rsidRPr="00A508D7">
        <w:rPr>
          <w:lang w:bidi="fr-FR"/>
        </w:rPr>
        <w:t xml:space="preserve">POINT 10. </w:t>
      </w:r>
      <w:r w:rsidRPr="00A508D7">
        <w:rPr>
          <w:lang w:bidi="fr-FR"/>
        </w:rPr>
        <w:tab/>
      </w:r>
      <w:r w:rsidRPr="00A508D7">
        <w:rPr>
          <w:kern w:val="22"/>
          <w:szCs w:val="22"/>
          <w:lang w:bidi="fr-FR"/>
        </w:rPr>
        <w:t xml:space="preserve">Suivi et </w:t>
      </w:r>
      <w:r w:rsidRPr="00A508D7">
        <w:rPr>
          <w:rFonts w:cs="Times New Roman"/>
          <w:kern w:val="22"/>
          <w:szCs w:val="22"/>
          <w:lang w:bidi="fr-FR"/>
        </w:rPr>
        <w:t>É</w:t>
      </w:r>
      <w:r w:rsidRPr="00A508D7">
        <w:rPr>
          <w:kern w:val="22"/>
          <w:szCs w:val="22"/>
          <w:lang w:bidi="fr-FR"/>
        </w:rPr>
        <w:t>tablissement de</w:t>
      </w:r>
      <w:r w:rsidR="008500EE">
        <w:rPr>
          <w:kern w:val="22"/>
          <w:szCs w:val="22"/>
          <w:lang w:bidi="fr-FR"/>
        </w:rPr>
        <w:t>s</w:t>
      </w:r>
      <w:r w:rsidRPr="00A508D7">
        <w:rPr>
          <w:kern w:val="22"/>
          <w:szCs w:val="22"/>
          <w:lang w:bidi="fr-FR"/>
        </w:rPr>
        <w:t xml:space="preserve"> rapports (article 33) et </w:t>
      </w:r>
      <w:r w:rsidRPr="00A508D7">
        <w:rPr>
          <w:rFonts w:cs="Times New Roman"/>
          <w:kern w:val="22"/>
          <w:szCs w:val="22"/>
          <w:lang w:bidi="fr-FR"/>
        </w:rPr>
        <w:t>É</w:t>
      </w:r>
      <w:r w:rsidRPr="00A508D7">
        <w:rPr>
          <w:kern w:val="22"/>
          <w:szCs w:val="22"/>
          <w:lang w:bidi="fr-FR"/>
        </w:rPr>
        <w:t>valuation et examen de l'efficacit</w:t>
      </w:r>
      <w:r w:rsidRPr="00A508D7">
        <w:rPr>
          <w:rFonts w:cs="Times New Roman"/>
          <w:kern w:val="22"/>
          <w:szCs w:val="22"/>
          <w:lang w:bidi="fr-FR"/>
        </w:rPr>
        <w:t>É</w:t>
      </w:r>
      <w:r w:rsidRPr="00A508D7">
        <w:rPr>
          <w:kern w:val="22"/>
          <w:szCs w:val="22"/>
          <w:lang w:bidi="fr-FR"/>
        </w:rPr>
        <w:t xml:space="preserve"> du Protocole (article 35)</w:t>
      </w:r>
      <w:bookmarkEnd w:id="50"/>
    </w:p>
    <w:p w14:paraId="70505D40" w14:textId="77777777" w:rsidR="005C4A6F" w:rsidRPr="00A508D7" w:rsidRDefault="005C4A6F" w:rsidP="005C4A6F">
      <w:pPr>
        <w:suppressLineNumbers/>
        <w:suppressAutoHyphens/>
        <w:kinsoku w:val="0"/>
        <w:overflowPunct w:val="0"/>
        <w:autoSpaceDE w:val="0"/>
        <w:autoSpaceDN w:val="0"/>
        <w:snapToGrid w:val="0"/>
        <w:spacing w:before="120" w:after="120"/>
        <w:rPr>
          <w:snapToGrid w:val="0"/>
          <w:kern w:val="22"/>
          <w:szCs w:val="22"/>
        </w:rPr>
      </w:pPr>
      <w:r w:rsidRPr="00A508D7">
        <w:rPr>
          <w:i/>
          <w:snapToGrid w:val="0"/>
          <w:kern w:val="22"/>
          <w:szCs w:val="22"/>
          <w:lang w:bidi="fr-FR"/>
        </w:rPr>
        <w:t>Quatrième évaluation et examen de l'efficacité du Protocole de Cartagena et évaluation finale du Plan stratégique du Protocole de Cartagena pour la période 2011-2020</w:t>
      </w:r>
    </w:p>
    <w:p w14:paraId="4E35094B" w14:textId="77777777" w:rsidR="00E03306" w:rsidRDefault="005C4A6F" w:rsidP="00E03306">
      <w:pPr>
        <w:pStyle w:val="Para1"/>
        <w:tabs>
          <w:tab w:val="clear" w:pos="360"/>
          <w:tab w:val="num" w:pos="0"/>
        </w:tabs>
      </w:pPr>
      <w:r w:rsidRPr="00A508D7">
        <w:rPr>
          <w:lang w:bidi="fr-FR"/>
        </w:rPr>
        <w:t>Le Groupe de travail I a examiné le premier aspect du poi</w:t>
      </w:r>
      <w:r w:rsidR="00CD5C38">
        <w:rPr>
          <w:lang w:bidi="fr-FR"/>
        </w:rPr>
        <w:t>nt 10 de l'ordre du jour à sa 5</w:t>
      </w:r>
      <w:r w:rsidR="00CD5C38" w:rsidRPr="00CD5C38">
        <w:rPr>
          <w:vertAlign w:val="superscript"/>
          <w:lang w:bidi="fr-FR"/>
        </w:rPr>
        <w:t>ème</w:t>
      </w:r>
      <w:r w:rsidRPr="00A508D7">
        <w:rPr>
          <w:lang w:bidi="fr-FR"/>
        </w:rPr>
        <w:t xml:space="preserve"> réunion, le 20 novembre 2018. Pour l'examen de ce point, le Groupe de travail disposait d'un projet de décision, fondé sur la recommandation SBI-2/12, </w:t>
      </w:r>
      <w:r w:rsidR="008500EE">
        <w:rPr>
          <w:lang w:bidi="fr-FR"/>
        </w:rPr>
        <w:t>figurant dans la compilation du projet</w:t>
      </w:r>
      <w:r w:rsidRPr="00A508D7">
        <w:rPr>
          <w:lang w:bidi="fr-FR"/>
        </w:rPr>
        <w:t xml:space="preserve"> de décision</w:t>
      </w:r>
      <w:r w:rsidR="008500EE">
        <w:rPr>
          <w:lang w:bidi="fr-FR"/>
        </w:rPr>
        <w:t>s</w:t>
      </w:r>
      <w:r w:rsidRPr="00A508D7">
        <w:rPr>
          <w:lang w:bidi="fr-FR"/>
        </w:rPr>
        <w:t xml:space="preserve"> (CBD/CP/MOP/9/1/Add.2).</w:t>
      </w:r>
    </w:p>
    <w:p w14:paraId="0999AB60" w14:textId="77777777" w:rsidR="00E03306" w:rsidRDefault="005C4A6F" w:rsidP="00E03306">
      <w:pPr>
        <w:pStyle w:val="Para1"/>
        <w:tabs>
          <w:tab w:val="clear" w:pos="360"/>
          <w:tab w:val="num" w:pos="0"/>
        </w:tabs>
      </w:pPr>
      <w:r w:rsidRPr="00A508D7">
        <w:rPr>
          <w:lang w:bidi="fr-FR"/>
        </w:rPr>
        <w:t xml:space="preserve">Le Groupe de travail a examiné le projet de décision révisé établi par </w:t>
      </w:r>
      <w:r w:rsidR="008500EE">
        <w:rPr>
          <w:lang w:bidi="fr-FR"/>
        </w:rPr>
        <w:t>le président à sa 9</w:t>
      </w:r>
      <w:r w:rsidR="008500EE" w:rsidRPr="00E03306">
        <w:rPr>
          <w:vertAlign w:val="superscript"/>
          <w:lang w:bidi="fr-FR"/>
        </w:rPr>
        <w:t>ème</w:t>
      </w:r>
      <w:r w:rsidRPr="00A508D7">
        <w:rPr>
          <w:lang w:bidi="fr-FR"/>
        </w:rPr>
        <w:t xml:space="preserve"> réunion, le 22 novembre 2018.</w:t>
      </w:r>
    </w:p>
    <w:p w14:paraId="6AE60C98" w14:textId="77777777" w:rsidR="00E03306" w:rsidRDefault="005C4A6F" w:rsidP="00E03306">
      <w:pPr>
        <w:pStyle w:val="Para1"/>
        <w:tabs>
          <w:tab w:val="clear" w:pos="360"/>
          <w:tab w:val="num" w:pos="0"/>
        </w:tabs>
      </w:pPr>
      <w:r w:rsidRPr="00A508D7">
        <w:rPr>
          <w:lang w:bidi="fr-FR"/>
        </w:rPr>
        <w:t xml:space="preserve">Le Groupe de travail a approuvé le projet de décision révisé pour transmission à la plénière en tant que projet de décision CBD/CP/MOP/9/L.6. </w:t>
      </w:r>
    </w:p>
    <w:p w14:paraId="1790E3FA" w14:textId="167E1676" w:rsidR="005C4A6F" w:rsidRPr="00A508D7" w:rsidRDefault="00CD5C38" w:rsidP="00E03306">
      <w:pPr>
        <w:pStyle w:val="Para1"/>
        <w:tabs>
          <w:tab w:val="clear" w:pos="360"/>
          <w:tab w:val="num" w:pos="0"/>
        </w:tabs>
      </w:pPr>
      <w:r>
        <w:rPr>
          <w:lang w:bidi="fr-FR"/>
        </w:rPr>
        <w:t>À la 5</w:t>
      </w:r>
      <w:r w:rsidRPr="00E03306">
        <w:rPr>
          <w:vertAlign w:val="superscript"/>
          <w:lang w:bidi="fr-FR"/>
        </w:rPr>
        <w:t>ème</w:t>
      </w:r>
      <w:r w:rsidR="005C4A6F" w:rsidRPr="00A508D7">
        <w:rPr>
          <w:lang w:bidi="fr-FR"/>
        </w:rPr>
        <w:t xml:space="preserve"> séance plénière de la réunion, le 25 novembre 2018, la Conférence des Parties </w:t>
      </w:r>
      <w:r w:rsidR="00F908C1">
        <w:rPr>
          <w:lang w:bidi="fr-FR"/>
        </w:rPr>
        <w:t>siégeant en tant que</w:t>
      </w:r>
      <w:r w:rsidR="005C4A6F" w:rsidRPr="00A508D7">
        <w:rPr>
          <w:lang w:bidi="fr-FR"/>
        </w:rPr>
        <w:t xml:space="preserve"> réunion des Parties </w:t>
      </w:r>
      <w:r w:rsidR="008500EE">
        <w:rPr>
          <w:lang w:bidi="fr-FR"/>
        </w:rPr>
        <w:t xml:space="preserve">au Protocole de Cartagena </w:t>
      </w:r>
      <w:r w:rsidR="005C4A6F" w:rsidRPr="00A508D7">
        <w:rPr>
          <w:lang w:bidi="fr-FR"/>
        </w:rPr>
        <w:t xml:space="preserve">a adopté le projet de décision CBD/CP/MOP/9/L.6 </w:t>
      </w:r>
      <w:r w:rsidR="001420DE">
        <w:rPr>
          <w:lang w:bidi="fr-FR"/>
        </w:rPr>
        <w:t>en tant que décision</w:t>
      </w:r>
      <w:r w:rsidR="008500EE">
        <w:rPr>
          <w:lang w:bidi="fr-FR"/>
        </w:rPr>
        <w:t xml:space="preserve"> CP-9/6</w:t>
      </w:r>
      <w:r w:rsidR="005C4A6F" w:rsidRPr="00A508D7">
        <w:rPr>
          <w:lang w:bidi="fr-FR"/>
        </w:rPr>
        <w:t>.</w:t>
      </w:r>
    </w:p>
    <w:p w14:paraId="2C86B707" w14:textId="719ABBA2" w:rsidR="005C4A6F" w:rsidRPr="00A508D7" w:rsidRDefault="005C4A6F" w:rsidP="005C4A6F">
      <w:pPr>
        <w:keepNext/>
        <w:suppressLineNumbers/>
        <w:suppressAutoHyphens/>
        <w:kinsoku w:val="0"/>
        <w:overflowPunct w:val="0"/>
        <w:autoSpaceDE w:val="0"/>
        <w:autoSpaceDN w:val="0"/>
        <w:spacing w:before="60" w:after="60"/>
        <w:rPr>
          <w:i/>
          <w:snapToGrid w:val="0"/>
          <w:kern w:val="22"/>
          <w:szCs w:val="22"/>
        </w:rPr>
      </w:pPr>
      <w:r w:rsidRPr="00A508D7">
        <w:rPr>
          <w:i/>
          <w:snapToGrid w:val="0"/>
          <w:kern w:val="22"/>
          <w:szCs w:val="22"/>
          <w:lang w:bidi="fr-FR"/>
        </w:rPr>
        <w:t xml:space="preserve"> Suivi et établissement de</w:t>
      </w:r>
      <w:r w:rsidR="008500EE">
        <w:rPr>
          <w:i/>
          <w:snapToGrid w:val="0"/>
          <w:kern w:val="22"/>
          <w:szCs w:val="22"/>
          <w:lang w:bidi="fr-FR"/>
        </w:rPr>
        <w:t>s</w:t>
      </w:r>
      <w:r w:rsidRPr="00A508D7">
        <w:rPr>
          <w:i/>
          <w:snapToGrid w:val="0"/>
          <w:kern w:val="22"/>
          <w:szCs w:val="22"/>
          <w:lang w:bidi="fr-FR"/>
        </w:rPr>
        <w:t xml:space="preserve"> rapports</w:t>
      </w:r>
      <w:r w:rsidR="008500EE">
        <w:rPr>
          <w:i/>
          <w:snapToGrid w:val="0"/>
          <w:kern w:val="22"/>
          <w:szCs w:val="22"/>
          <w:lang w:bidi="fr-FR"/>
        </w:rPr>
        <w:t xml:space="preserve">, y compris un projet de modèle </w:t>
      </w:r>
      <w:r w:rsidRPr="00A508D7">
        <w:rPr>
          <w:i/>
          <w:snapToGrid w:val="0"/>
          <w:kern w:val="22"/>
          <w:szCs w:val="22"/>
          <w:lang w:bidi="fr-FR"/>
        </w:rPr>
        <w:t>révisé pour le quatrième rapport national</w:t>
      </w:r>
    </w:p>
    <w:p w14:paraId="007C55C6" w14:textId="77777777" w:rsidR="00C020D7" w:rsidRDefault="008500EE" w:rsidP="00C020D7">
      <w:pPr>
        <w:pStyle w:val="Para1"/>
        <w:tabs>
          <w:tab w:val="clear" w:pos="360"/>
          <w:tab w:val="num" w:pos="0"/>
        </w:tabs>
      </w:pPr>
      <w:r>
        <w:rPr>
          <w:lang w:bidi="fr-FR"/>
        </w:rPr>
        <w:t>Le Groupe de travail I a abord</w:t>
      </w:r>
      <w:r w:rsidR="005C4A6F" w:rsidRPr="00A508D7">
        <w:rPr>
          <w:lang w:bidi="fr-FR"/>
        </w:rPr>
        <w:t>é le deuxième aspect du poi</w:t>
      </w:r>
      <w:r w:rsidR="00CD5C38">
        <w:rPr>
          <w:lang w:bidi="fr-FR"/>
        </w:rPr>
        <w:t>nt 10 de l’ordre du jour à sa 5</w:t>
      </w:r>
      <w:r w:rsidR="00CD5C38" w:rsidRPr="00CD5C38">
        <w:rPr>
          <w:vertAlign w:val="superscript"/>
          <w:lang w:bidi="fr-FR"/>
        </w:rPr>
        <w:t>ème</w:t>
      </w:r>
      <w:r w:rsidR="005C4A6F" w:rsidRPr="00A508D7">
        <w:rPr>
          <w:lang w:bidi="fr-FR"/>
        </w:rPr>
        <w:t xml:space="preserve"> réunion, le 20 novembre 2018. Pour l'examen de ce point, le Groupe de travail disposait d'un projet de décision, fondé sur les recommandations SBI-2/11 et SBI-2/13, </w:t>
      </w:r>
      <w:r w:rsidR="00C020D7">
        <w:rPr>
          <w:lang w:bidi="fr-FR"/>
        </w:rPr>
        <w:t xml:space="preserve">et des recommandations formulées dans le rapport du Comité chargé du respect des obligations (annexe, partie D, document CBD/CP/MOP/9/2), </w:t>
      </w:r>
      <w:r>
        <w:rPr>
          <w:lang w:bidi="fr-FR"/>
        </w:rPr>
        <w:t xml:space="preserve">figurant dans </w:t>
      </w:r>
      <w:r>
        <w:rPr>
          <w:lang w:bidi="fr-FR"/>
        </w:rPr>
        <w:lastRenderedPageBreak/>
        <w:t>la compilation du projet</w:t>
      </w:r>
      <w:r w:rsidR="005C4A6F" w:rsidRPr="00A508D7">
        <w:rPr>
          <w:lang w:bidi="fr-FR"/>
        </w:rPr>
        <w:t xml:space="preserve"> de décision</w:t>
      </w:r>
      <w:r>
        <w:rPr>
          <w:lang w:bidi="fr-FR"/>
        </w:rPr>
        <w:t>s</w:t>
      </w:r>
      <w:r w:rsidR="005C4A6F" w:rsidRPr="00A508D7">
        <w:rPr>
          <w:lang w:bidi="fr-FR"/>
        </w:rPr>
        <w:t xml:space="preserve"> (CBD/CP/MOP/9/1/Add.2), y compris un projet </w:t>
      </w:r>
      <w:r>
        <w:rPr>
          <w:lang w:bidi="fr-FR"/>
        </w:rPr>
        <w:t xml:space="preserve">de modèle </w:t>
      </w:r>
      <w:r w:rsidR="005C4A6F" w:rsidRPr="00A508D7">
        <w:rPr>
          <w:lang w:bidi="fr-FR"/>
        </w:rPr>
        <w:t>révisé pour le quatrième rapport national. Il disposait également d'une note de la Secrétaire exécutive sur le projet de modèle révisé (CBD/CP/MOP/9/5) et d'une note d'information destinée à faciliter la comparaison des questions posées dans le projet de modèle actualisé du quatrième rapport national avec les questi</w:t>
      </w:r>
      <w:r>
        <w:rPr>
          <w:lang w:bidi="fr-FR"/>
        </w:rPr>
        <w:t>ons correspondantes du modèle pour le</w:t>
      </w:r>
      <w:r w:rsidR="005C4A6F" w:rsidRPr="00A508D7">
        <w:rPr>
          <w:lang w:bidi="fr-FR"/>
        </w:rPr>
        <w:t xml:space="preserve"> troisième rapport national (CBD/CP/MOP/9/INF/5).</w:t>
      </w:r>
    </w:p>
    <w:p w14:paraId="16B2E724" w14:textId="77777777" w:rsidR="00C020D7" w:rsidRDefault="005C4A6F" w:rsidP="00C020D7">
      <w:pPr>
        <w:pStyle w:val="Para1"/>
        <w:tabs>
          <w:tab w:val="clear" w:pos="360"/>
          <w:tab w:val="num" w:pos="0"/>
        </w:tabs>
      </w:pPr>
      <w:r w:rsidRPr="00A508D7">
        <w:rPr>
          <w:lang w:bidi="fr-FR"/>
        </w:rPr>
        <w:t>Des déclarations ont été faites par les représentants de</w:t>
      </w:r>
      <w:r w:rsidR="00C020D7">
        <w:rPr>
          <w:lang w:bidi="fr-FR"/>
        </w:rPr>
        <w:t>s pays suivants : Colombie, Egypte, Eswatini</w:t>
      </w:r>
      <w:r w:rsidRPr="00A508D7">
        <w:rPr>
          <w:lang w:bidi="fr-FR"/>
        </w:rPr>
        <w:t xml:space="preserve">, </w:t>
      </w:r>
      <w:r w:rsidR="00C020D7">
        <w:rPr>
          <w:lang w:bidi="fr-FR"/>
        </w:rPr>
        <w:t xml:space="preserve">Etat de Palestine, </w:t>
      </w:r>
      <w:r w:rsidRPr="00A508D7">
        <w:rPr>
          <w:lang w:bidi="fr-FR"/>
        </w:rPr>
        <w:t xml:space="preserve">Inde, Jordanie, Kenya, Liban, Malaisie, Mexique, Namibie, Nouvelle-Zélande, Oman, </w:t>
      </w:r>
      <w:r w:rsidR="00C020D7">
        <w:rPr>
          <w:lang w:bidi="fr-FR"/>
        </w:rPr>
        <w:t xml:space="preserve">Ouganda, Suisse, et </w:t>
      </w:r>
      <w:r w:rsidR="00C020D7" w:rsidRPr="00A508D7">
        <w:rPr>
          <w:lang w:bidi="fr-FR"/>
        </w:rPr>
        <w:t>Union européenne et ses 28 États membres</w:t>
      </w:r>
    </w:p>
    <w:p w14:paraId="411F172C" w14:textId="77777777" w:rsidR="00C020D7" w:rsidRDefault="005C4A6F" w:rsidP="00C020D7">
      <w:pPr>
        <w:pStyle w:val="Para1"/>
        <w:tabs>
          <w:tab w:val="clear" w:pos="360"/>
          <w:tab w:val="num" w:pos="0"/>
        </w:tabs>
      </w:pPr>
      <w:r w:rsidRPr="00A508D7">
        <w:rPr>
          <w:lang w:bidi="fr-FR"/>
        </w:rPr>
        <w:t>D'autres déclarations ont été faites par des représentants de la Cornell University Alliance for Science et de l'ISAAA.</w:t>
      </w:r>
    </w:p>
    <w:p w14:paraId="2C8AD926" w14:textId="77777777" w:rsidR="00C020D7" w:rsidRDefault="00C020D7" w:rsidP="00C020D7">
      <w:pPr>
        <w:pStyle w:val="Para1"/>
        <w:tabs>
          <w:tab w:val="clear" w:pos="360"/>
          <w:tab w:val="num" w:pos="0"/>
        </w:tabs>
      </w:pPr>
      <w:r>
        <w:rPr>
          <w:lang w:bidi="fr-FR"/>
        </w:rPr>
        <w:t>Le</w:t>
      </w:r>
      <w:r w:rsidR="005C4A6F" w:rsidRPr="00A508D7">
        <w:rPr>
          <w:lang w:bidi="fr-FR"/>
        </w:rPr>
        <w:t xml:space="preserve"> </w:t>
      </w:r>
      <w:r w:rsidR="00BC0D55">
        <w:rPr>
          <w:lang w:bidi="fr-FR"/>
        </w:rPr>
        <w:t>président</w:t>
      </w:r>
      <w:r>
        <w:rPr>
          <w:lang w:bidi="fr-FR"/>
        </w:rPr>
        <w:t xml:space="preserve"> a fait savoir qu’il</w:t>
      </w:r>
      <w:r w:rsidR="005C4A6F" w:rsidRPr="00A508D7">
        <w:rPr>
          <w:lang w:bidi="fr-FR"/>
        </w:rPr>
        <w:t xml:space="preserve"> préparerait un projet de décision révisé, prenant en considération les vues exprimées oralement et présentées par écrit</w:t>
      </w:r>
      <w:r>
        <w:rPr>
          <w:lang w:bidi="fr-FR"/>
        </w:rPr>
        <w:t>, et comprenant une note de bas de page actualisée pour tenir compte des récentes transmissions de rapports nationaux</w:t>
      </w:r>
      <w:r w:rsidR="005C4A6F" w:rsidRPr="00A508D7">
        <w:rPr>
          <w:lang w:bidi="fr-FR"/>
        </w:rPr>
        <w:t>.</w:t>
      </w:r>
    </w:p>
    <w:p w14:paraId="38B94DCF" w14:textId="77777777" w:rsidR="00C020D7" w:rsidRDefault="00CD5C38" w:rsidP="00C020D7">
      <w:pPr>
        <w:pStyle w:val="Para1"/>
        <w:tabs>
          <w:tab w:val="clear" w:pos="360"/>
          <w:tab w:val="num" w:pos="0"/>
        </w:tabs>
      </w:pPr>
      <w:r>
        <w:rPr>
          <w:lang w:bidi="fr-FR"/>
        </w:rPr>
        <w:t>À sa 9</w:t>
      </w:r>
      <w:r w:rsidRPr="00C020D7">
        <w:rPr>
          <w:vertAlign w:val="superscript"/>
          <w:lang w:bidi="fr-FR"/>
        </w:rPr>
        <w:t>ème</w:t>
      </w:r>
      <w:r w:rsidR="005C4A6F" w:rsidRPr="00A508D7">
        <w:rPr>
          <w:lang w:bidi="fr-FR"/>
        </w:rPr>
        <w:t xml:space="preserve"> réunion, le 22 novembre 2018, le Groupe de travail a examiné le projet de décision révisé établi par </w:t>
      </w:r>
      <w:r w:rsidR="008500EE">
        <w:rPr>
          <w:lang w:bidi="fr-FR"/>
        </w:rPr>
        <w:t>le président</w:t>
      </w:r>
      <w:r w:rsidR="005C4A6F" w:rsidRPr="00A508D7">
        <w:rPr>
          <w:lang w:bidi="fr-FR"/>
        </w:rPr>
        <w:t>.</w:t>
      </w:r>
    </w:p>
    <w:p w14:paraId="3E2DD306" w14:textId="77777777" w:rsidR="00C020D7" w:rsidRDefault="005C4A6F" w:rsidP="00C020D7">
      <w:pPr>
        <w:pStyle w:val="Para1"/>
        <w:tabs>
          <w:tab w:val="clear" w:pos="360"/>
          <w:tab w:val="num" w:pos="0"/>
        </w:tabs>
      </w:pPr>
      <w:r w:rsidRPr="00A508D7">
        <w:rPr>
          <w:lang w:bidi="fr-FR"/>
        </w:rPr>
        <w:t>Un représentant du Secrétariat a ap</w:t>
      </w:r>
      <w:r w:rsidR="00C020D7">
        <w:rPr>
          <w:lang w:bidi="fr-FR"/>
        </w:rPr>
        <w:t>pelé l'attention sur une partie</w:t>
      </w:r>
      <w:r w:rsidRPr="00A508D7">
        <w:rPr>
          <w:lang w:bidi="fr-FR"/>
        </w:rPr>
        <w:t xml:space="preserve"> du texte qui devait être modifiée pour tenir compte des observations formulées précédemment.</w:t>
      </w:r>
    </w:p>
    <w:p w14:paraId="43E62065" w14:textId="77777777" w:rsidR="00C020D7" w:rsidRDefault="005C4A6F" w:rsidP="00C020D7">
      <w:pPr>
        <w:pStyle w:val="Para1"/>
        <w:tabs>
          <w:tab w:val="clear" w:pos="360"/>
          <w:tab w:val="num" w:pos="0"/>
        </w:tabs>
      </w:pPr>
      <w:r w:rsidRPr="00A508D7">
        <w:rPr>
          <w:lang w:bidi="fr-FR"/>
        </w:rPr>
        <w:t>Une déclaration a été faite par un représentant de l’Union européenne et ses 28 États membres.</w:t>
      </w:r>
    </w:p>
    <w:p w14:paraId="79C9D3F1" w14:textId="77777777" w:rsidR="00C020D7" w:rsidRDefault="005C4A6F" w:rsidP="00C020D7">
      <w:pPr>
        <w:pStyle w:val="Para1"/>
        <w:tabs>
          <w:tab w:val="clear" w:pos="360"/>
          <w:tab w:val="num" w:pos="0"/>
        </w:tabs>
      </w:pPr>
      <w:r w:rsidRPr="00A508D7">
        <w:rPr>
          <w:lang w:bidi="fr-FR"/>
        </w:rPr>
        <w:t xml:space="preserve">Le Groupe de travail a approuvé le projet de décision révisé, tel que modifié oralement, pour transmission à la plénière en tant que projet de décision CBD/CP-MOP/9/L.5. </w:t>
      </w:r>
    </w:p>
    <w:p w14:paraId="5EAE5E8A" w14:textId="57EA5551" w:rsidR="005C4A6F" w:rsidRPr="00A508D7" w:rsidRDefault="00CD5C38" w:rsidP="00C020D7">
      <w:pPr>
        <w:pStyle w:val="Para1"/>
        <w:tabs>
          <w:tab w:val="clear" w:pos="360"/>
          <w:tab w:val="num" w:pos="0"/>
        </w:tabs>
      </w:pPr>
      <w:r>
        <w:rPr>
          <w:lang w:bidi="fr-FR"/>
        </w:rPr>
        <w:t>À la 5</w:t>
      </w:r>
      <w:r w:rsidRPr="00C020D7">
        <w:rPr>
          <w:vertAlign w:val="superscript"/>
          <w:lang w:bidi="fr-FR"/>
        </w:rPr>
        <w:t>ème</w:t>
      </w:r>
      <w:r w:rsidR="005C4A6F" w:rsidRPr="00A508D7">
        <w:rPr>
          <w:lang w:bidi="fr-FR"/>
        </w:rPr>
        <w:t xml:space="preserve"> séance plénière de la réunion, le 25 novembre 2018, la Conférence des Parties </w:t>
      </w:r>
      <w:r w:rsidR="00F908C1">
        <w:rPr>
          <w:lang w:bidi="fr-FR"/>
        </w:rPr>
        <w:t>siégeant en tant que</w:t>
      </w:r>
      <w:r w:rsidR="005C4A6F" w:rsidRPr="00A508D7">
        <w:rPr>
          <w:lang w:bidi="fr-FR"/>
        </w:rPr>
        <w:t xml:space="preserve"> réunion des Parties</w:t>
      </w:r>
      <w:r w:rsidR="00C020D7">
        <w:rPr>
          <w:lang w:bidi="fr-FR"/>
        </w:rPr>
        <w:t xml:space="preserve"> au Protocole de Cartagena</w:t>
      </w:r>
      <w:r w:rsidR="005C4A6F" w:rsidRPr="00A508D7">
        <w:rPr>
          <w:lang w:bidi="fr-FR"/>
        </w:rPr>
        <w:t xml:space="preserve"> a adopté le projet de décision CBD/CP/MOP/9/L.5 </w:t>
      </w:r>
      <w:r w:rsidR="001420DE">
        <w:rPr>
          <w:lang w:bidi="fr-FR"/>
        </w:rPr>
        <w:t>en tant que décision</w:t>
      </w:r>
      <w:r w:rsidR="00C020D7">
        <w:rPr>
          <w:lang w:bidi="fr-FR"/>
        </w:rPr>
        <w:t xml:space="preserve"> CP-9</w:t>
      </w:r>
      <w:r w:rsidR="005C4A6F" w:rsidRPr="00A508D7">
        <w:rPr>
          <w:lang w:bidi="fr-FR"/>
        </w:rPr>
        <w:t>/</w:t>
      </w:r>
      <w:r w:rsidR="00C020D7">
        <w:rPr>
          <w:lang w:bidi="fr-FR"/>
        </w:rPr>
        <w:t>5 (pour le texte, voir le chapitre I)</w:t>
      </w:r>
      <w:r w:rsidR="005C4A6F" w:rsidRPr="00A508D7">
        <w:rPr>
          <w:lang w:bidi="fr-FR"/>
        </w:rPr>
        <w:t>.</w:t>
      </w:r>
    </w:p>
    <w:p w14:paraId="626DCB0B" w14:textId="1E8D24D0" w:rsidR="005C4A6F" w:rsidRPr="00A508D7" w:rsidRDefault="005C4A6F" w:rsidP="00E03306">
      <w:pPr>
        <w:pStyle w:val="Heading1multiline"/>
        <w:ind w:hanging="1275"/>
      </w:pPr>
      <w:bookmarkStart w:id="51" w:name="_Toc7428868"/>
      <w:r w:rsidRPr="00A508D7">
        <w:rPr>
          <w:lang w:bidi="fr-FR"/>
        </w:rPr>
        <w:t xml:space="preserve">POINT 11. </w:t>
      </w:r>
      <w:r w:rsidRPr="00A508D7">
        <w:rPr>
          <w:lang w:bidi="fr-FR"/>
        </w:rPr>
        <w:tab/>
      </w:r>
      <w:r w:rsidRPr="00A508D7">
        <w:rPr>
          <w:kern w:val="22"/>
          <w:szCs w:val="22"/>
          <w:lang w:bidi="fr-FR"/>
        </w:rPr>
        <w:t>Renforcement de l’int</w:t>
      </w:r>
      <w:r w:rsidRPr="00A508D7">
        <w:rPr>
          <w:rFonts w:cs="Times New Roman"/>
          <w:kern w:val="22"/>
          <w:szCs w:val="22"/>
          <w:lang w:bidi="fr-FR"/>
        </w:rPr>
        <w:t>É</w:t>
      </w:r>
      <w:r w:rsidR="00C020D7">
        <w:rPr>
          <w:kern w:val="22"/>
          <w:szCs w:val="22"/>
          <w:lang w:bidi="fr-FR"/>
        </w:rPr>
        <w:t>gration au titre</w:t>
      </w:r>
      <w:r w:rsidRPr="00A508D7">
        <w:rPr>
          <w:kern w:val="22"/>
          <w:szCs w:val="22"/>
          <w:lang w:bidi="fr-FR"/>
        </w:rPr>
        <w:t xml:space="preserve"> de la Convention et de ses Protocoles concernant les dispositions relatives </w:t>
      </w:r>
      <w:r w:rsidRPr="00A508D7">
        <w:rPr>
          <w:rFonts w:cs="Times New Roman"/>
          <w:kern w:val="22"/>
          <w:szCs w:val="22"/>
          <w:lang w:bidi="fr-FR"/>
        </w:rPr>
        <w:t>À</w:t>
      </w:r>
      <w:r w:rsidRPr="00A508D7">
        <w:rPr>
          <w:kern w:val="22"/>
          <w:szCs w:val="22"/>
          <w:lang w:bidi="fr-FR"/>
        </w:rPr>
        <w:t xml:space="preserve"> la pr</w:t>
      </w:r>
      <w:r w:rsidRPr="00A508D7">
        <w:rPr>
          <w:rFonts w:cs="Times New Roman"/>
          <w:kern w:val="22"/>
          <w:szCs w:val="22"/>
          <w:lang w:bidi="fr-FR"/>
        </w:rPr>
        <w:t>É</w:t>
      </w:r>
      <w:r w:rsidRPr="00A508D7">
        <w:rPr>
          <w:kern w:val="22"/>
          <w:szCs w:val="22"/>
          <w:lang w:bidi="fr-FR"/>
        </w:rPr>
        <w:t>vention des risques biotechnologiques.</w:t>
      </w:r>
      <w:bookmarkEnd w:id="51"/>
    </w:p>
    <w:p w14:paraId="43931095" w14:textId="77777777" w:rsidR="00C020D7" w:rsidRDefault="005C4A6F" w:rsidP="00C020D7">
      <w:pPr>
        <w:pStyle w:val="Para1"/>
        <w:tabs>
          <w:tab w:val="clear" w:pos="360"/>
          <w:tab w:val="num" w:pos="0"/>
        </w:tabs>
      </w:pPr>
      <w:r w:rsidRPr="00A508D7">
        <w:rPr>
          <w:lang w:bidi="fr-FR"/>
        </w:rPr>
        <w:t>Le Groupe de trav</w:t>
      </w:r>
      <w:r w:rsidR="00C020D7">
        <w:rPr>
          <w:lang w:bidi="fr-FR"/>
        </w:rPr>
        <w:t>ail a abord</w:t>
      </w:r>
      <w:r w:rsidR="00CD5C38">
        <w:rPr>
          <w:lang w:bidi="fr-FR"/>
        </w:rPr>
        <w:t xml:space="preserve">é le point 11 </w:t>
      </w:r>
      <w:r w:rsidR="00C020D7">
        <w:rPr>
          <w:lang w:bidi="fr-FR"/>
        </w:rPr>
        <w:t xml:space="preserve">de l’ordre du jour </w:t>
      </w:r>
      <w:r w:rsidR="00CD5C38">
        <w:rPr>
          <w:lang w:bidi="fr-FR"/>
        </w:rPr>
        <w:t>à sa 6</w:t>
      </w:r>
      <w:r w:rsidR="00CD5C38" w:rsidRPr="00CD5C38">
        <w:rPr>
          <w:vertAlign w:val="superscript"/>
          <w:lang w:bidi="fr-FR"/>
        </w:rPr>
        <w:t>ème</w:t>
      </w:r>
      <w:r w:rsidRPr="00A508D7">
        <w:rPr>
          <w:lang w:bidi="fr-FR"/>
        </w:rPr>
        <w:t xml:space="preserve"> réunion, le 21 novembre 2018</w:t>
      </w:r>
      <w:r w:rsidR="00711EB5" w:rsidRPr="00A508D7">
        <w:rPr>
          <w:lang w:bidi="fr-FR"/>
        </w:rPr>
        <w:t>, ainsi que le point 13 de l'ordre du jour de</w:t>
      </w:r>
      <w:r w:rsidR="00C020D7">
        <w:rPr>
          <w:lang w:bidi="fr-FR"/>
        </w:rPr>
        <w:t xml:space="preserve"> la Conférence des Parties et le</w:t>
      </w:r>
      <w:r w:rsidR="00711EB5" w:rsidRPr="00A508D7">
        <w:rPr>
          <w:lang w:bidi="fr-FR"/>
        </w:rPr>
        <w:t xml:space="preserve"> point 13 de l'ordre du jour de la Conférence des Parties siégeant en tant que réunion des Parties au Protocole de Nagoya</w:t>
      </w:r>
      <w:r w:rsidRPr="00A508D7">
        <w:rPr>
          <w:lang w:bidi="fr-FR"/>
        </w:rPr>
        <w:t xml:space="preserve">. Pour l'examen de ce point, le Groupe de travail disposait d'un projet de décision, fondé sur la recommandation SBI-2/14, </w:t>
      </w:r>
      <w:r w:rsidR="00C020D7">
        <w:rPr>
          <w:lang w:bidi="fr-FR"/>
        </w:rPr>
        <w:t>figurant dans la compilation du projet</w:t>
      </w:r>
      <w:r w:rsidRPr="00A508D7">
        <w:rPr>
          <w:lang w:bidi="fr-FR"/>
        </w:rPr>
        <w:t xml:space="preserve"> de décision</w:t>
      </w:r>
      <w:r w:rsidR="00C020D7">
        <w:rPr>
          <w:lang w:bidi="fr-FR"/>
        </w:rPr>
        <w:t>s</w:t>
      </w:r>
      <w:r w:rsidRPr="00A508D7">
        <w:rPr>
          <w:lang w:bidi="fr-FR"/>
        </w:rPr>
        <w:t xml:space="preserve"> (CBD/CP/MOP/9/1/Add.2).</w:t>
      </w:r>
    </w:p>
    <w:p w14:paraId="7F147455" w14:textId="77777777" w:rsidR="00DB542F" w:rsidRDefault="005C4A6F" w:rsidP="00DB542F">
      <w:pPr>
        <w:pStyle w:val="Para1"/>
        <w:tabs>
          <w:tab w:val="clear" w:pos="360"/>
          <w:tab w:val="num" w:pos="0"/>
        </w:tabs>
      </w:pPr>
      <w:r w:rsidRPr="00A508D7">
        <w:rPr>
          <w:lang w:bidi="fr-FR"/>
        </w:rPr>
        <w:t>Des déclarations ont été fai</w:t>
      </w:r>
      <w:r w:rsidR="00DB542F">
        <w:rPr>
          <w:lang w:bidi="fr-FR"/>
        </w:rPr>
        <w:t xml:space="preserve">tes par les représentants des pays suivants : </w:t>
      </w:r>
      <w:r w:rsidRPr="00A508D7">
        <w:rPr>
          <w:lang w:bidi="fr-FR"/>
        </w:rPr>
        <w:t>Colombie, Gabon, In</w:t>
      </w:r>
      <w:r w:rsidR="00DB542F">
        <w:rPr>
          <w:lang w:bidi="fr-FR"/>
        </w:rPr>
        <w:t xml:space="preserve">de, Indonésie, Malawi, Maroc, </w:t>
      </w:r>
      <w:r w:rsidR="00DB542F" w:rsidRPr="00A508D7">
        <w:rPr>
          <w:lang w:bidi="fr-FR"/>
        </w:rPr>
        <w:t xml:space="preserve">Union européenne et ses 28 États membres, </w:t>
      </w:r>
      <w:r w:rsidR="00DB542F">
        <w:rPr>
          <w:lang w:bidi="fr-FR"/>
        </w:rPr>
        <w:t xml:space="preserve">et </w:t>
      </w:r>
      <w:r w:rsidRPr="00A508D7">
        <w:rPr>
          <w:lang w:bidi="fr-FR"/>
        </w:rPr>
        <w:t>Venezuela (République bolivarienne du).</w:t>
      </w:r>
    </w:p>
    <w:p w14:paraId="00C5BA75" w14:textId="77777777" w:rsidR="00DB542F" w:rsidRDefault="005C4A6F" w:rsidP="00DB542F">
      <w:pPr>
        <w:pStyle w:val="Para1"/>
        <w:tabs>
          <w:tab w:val="clear" w:pos="360"/>
          <w:tab w:val="num" w:pos="0"/>
        </w:tabs>
      </w:pPr>
      <w:r w:rsidRPr="00A508D7">
        <w:rPr>
          <w:lang w:bidi="fr-FR"/>
        </w:rPr>
        <w:t xml:space="preserve">Un représentant de l’Argentine </w:t>
      </w:r>
      <w:r w:rsidR="00DB542F">
        <w:rPr>
          <w:lang w:bidi="fr-FR"/>
        </w:rPr>
        <w:t>a pris la parole également</w:t>
      </w:r>
      <w:r w:rsidRPr="00A508D7">
        <w:rPr>
          <w:lang w:bidi="fr-FR"/>
        </w:rPr>
        <w:t>.</w:t>
      </w:r>
    </w:p>
    <w:p w14:paraId="2EA8D06B" w14:textId="77777777" w:rsidR="00DB542F" w:rsidRDefault="005C4A6F" w:rsidP="00DB542F">
      <w:pPr>
        <w:pStyle w:val="Para1"/>
        <w:tabs>
          <w:tab w:val="clear" w:pos="360"/>
          <w:tab w:val="num" w:pos="0"/>
        </w:tabs>
      </w:pPr>
      <w:r w:rsidRPr="00A508D7">
        <w:rPr>
          <w:lang w:bidi="fr-FR"/>
        </w:rPr>
        <w:t>Une autre déclaration a été faite par un représentant de l’ISAAA.</w:t>
      </w:r>
    </w:p>
    <w:p w14:paraId="6D4BEF5B" w14:textId="77777777" w:rsidR="00DB542F" w:rsidRDefault="00DB542F" w:rsidP="00DB542F">
      <w:pPr>
        <w:pStyle w:val="Para1"/>
        <w:tabs>
          <w:tab w:val="clear" w:pos="360"/>
          <w:tab w:val="num" w:pos="0"/>
        </w:tabs>
      </w:pPr>
      <w:r>
        <w:rPr>
          <w:lang w:bidi="fr-FR"/>
        </w:rPr>
        <w:t>Le</w:t>
      </w:r>
      <w:r w:rsidR="005C4A6F" w:rsidRPr="00A508D7">
        <w:rPr>
          <w:lang w:bidi="fr-FR"/>
        </w:rPr>
        <w:t xml:space="preserve"> </w:t>
      </w:r>
      <w:r w:rsidR="00BC0D55">
        <w:rPr>
          <w:lang w:bidi="fr-FR"/>
        </w:rPr>
        <w:t>président</w:t>
      </w:r>
      <w:r>
        <w:rPr>
          <w:lang w:bidi="fr-FR"/>
        </w:rPr>
        <w:t xml:space="preserve"> a fait savoir qu’il</w:t>
      </w:r>
      <w:r w:rsidR="005C4A6F" w:rsidRPr="00A508D7">
        <w:rPr>
          <w:lang w:bidi="fr-FR"/>
        </w:rPr>
        <w:t xml:space="preserve"> préparerait un projet de décision révisé, prenant en considération les vues exprimées oralement et présentées par écrit. </w:t>
      </w:r>
    </w:p>
    <w:p w14:paraId="057ACB5D" w14:textId="77777777" w:rsidR="00DB542F" w:rsidRDefault="00CD5C38" w:rsidP="00DB542F">
      <w:pPr>
        <w:pStyle w:val="Para1"/>
        <w:tabs>
          <w:tab w:val="clear" w:pos="360"/>
          <w:tab w:val="num" w:pos="0"/>
        </w:tabs>
      </w:pPr>
      <w:r>
        <w:t>À sa 12</w:t>
      </w:r>
      <w:r w:rsidRPr="00DB542F">
        <w:rPr>
          <w:vertAlign w:val="superscript"/>
        </w:rPr>
        <w:t>ème</w:t>
      </w:r>
      <w:r w:rsidR="0049442E" w:rsidRPr="00A508D7">
        <w:t xml:space="preserve"> réunion, le 28 novembre 2018, le Groupe de travail I a examiné un projet</w:t>
      </w:r>
      <w:r w:rsidR="00DB542F">
        <w:t xml:space="preserve"> de décision révisé établi par le</w:t>
      </w:r>
      <w:r w:rsidR="0049442E" w:rsidRPr="00A508D7">
        <w:t xml:space="preserve"> </w:t>
      </w:r>
      <w:r w:rsidR="00BC0D55">
        <w:t>président</w:t>
      </w:r>
      <w:r w:rsidR="0049442E" w:rsidRPr="00A508D7">
        <w:t>.</w:t>
      </w:r>
      <w:r w:rsidR="00911FEE">
        <w:t xml:space="preserve"> </w:t>
      </w:r>
    </w:p>
    <w:p w14:paraId="0243EA84" w14:textId="77777777" w:rsidR="00DB542F" w:rsidRDefault="0049442E" w:rsidP="00DB542F">
      <w:pPr>
        <w:pStyle w:val="Para1"/>
        <w:tabs>
          <w:tab w:val="clear" w:pos="360"/>
          <w:tab w:val="num" w:pos="0"/>
        </w:tabs>
      </w:pPr>
      <w:r w:rsidRPr="00A508D7">
        <w:t xml:space="preserve">Des déclarations ont été faites par les représentants de la Colombie et de l'Union européenne et de ses 28 États membres. </w:t>
      </w:r>
    </w:p>
    <w:p w14:paraId="37814613" w14:textId="66D21D08" w:rsidR="00DB542F" w:rsidRDefault="0049442E" w:rsidP="00DB542F">
      <w:pPr>
        <w:pStyle w:val="Para1"/>
        <w:tabs>
          <w:tab w:val="clear" w:pos="360"/>
          <w:tab w:val="num" w:pos="0"/>
        </w:tabs>
      </w:pPr>
      <w:r w:rsidRPr="00A508D7">
        <w:lastRenderedPageBreak/>
        <w:t>Le Groupe de travail a approuvé le projet de décision révisé, tel que modifié oralement, pour transmission à la plénière en tant q</w:t>
      </w:r>
      <w:r w:rsidR="00D27907">
        <w:t>ue projet de décision CBD/CP/MOP/9</w:t>
      </w:r>
      <w:r w:rsidRPr="00A508D7">
        <w:t xml:space="preserve">/L.14. </w:t>
      </w:r>
    </w:p>
    <w:p w14:paraId="1BEC124F" w14:textId="77777777" w:rsidR="00DB542F" w:rsidRDefault="00CD5C38" w:rsidP="00DB542F">
      <w:pPr>
        <w:pStyle w:val="Para1"/>
        <w:tabs>
          <w:tab w:val="clear" w:pos="360"/>
          <w:tab w:val="num" w:pos="0"/>
        </w:tabs>
      </w:pPr>
      <w:r>
        <w:t>A la 7</w:t>
      </w:r>
      <w:r w:rsidRPr="00DB542F">
        <w:rPr>
          <w:vertAlign w:val="superscript"/>
        </w:rPr>
        <w:t>ème</w:t>
      </w:r>
      <w:r>
        <w:t xml:space="preserve"> </w:t>
      </w:r>
      <w:r w:rsidR="00030395" w:rsidRPr="00030395">
        <w:t>séance plénière de la réunion</w:t>
      </w:r>
      <w:r w:rsidR="00F96D15" w:rsidRPr="00030395">
        <w:t xml:space="preserve">, </w:t>
      </w:r>
      <w:r w:rsidR="0022341B">
        <w:t>le 28 novembre</w:t>
      </w:r>
      <w:r w:rsidR="00F96D15" w:rsidRPr="00030395">
        <w:t xml:space="preserve"> 2018, </w:t>
      </w:r>
      <w:r w:rsidR="00030395" w:rsidRPr="00030395">
        <w:t>la Conférence des Parties siégeant en tant que réunion des Parties</w:t>
      </w:r>
      <w:r w:rsidR="00F96D15" w:rsidRPr="00030395">
        <w:t xml:space="preserve"> </w:t>
      </w:r>
      <w:r w:rsidR="00DB542F">
        <w:t xml:space="preserve">au Protocole de Cartagena </w:t>
      </w:r>
      <w:r w:rsidR="0022341B">
        <w:t xml:space="preserve">a </w:t>
      </w:r>
      <w:r w:rsidR="00F908C1">
        <w:t>examiné le projet de décision</w:t>
      </w:r>
      <w:r w:rsidR="001420DE">
        <w:t xml:space="preserve"> </w:t>
      </w:r>
      <w:r w:rsidR="00F96D15" w:rsidRPr="00030395">
        <w:t>CBD/CP/MOP/9/L.14.</w:t>
      </w:r>
    </w:p>
    <w:p w14:paraId="14C047F5" w14:textId="22C3A78B" w:rsidR="00911FEE" w:rsidRPr="00A508D7" w:rsidRDefault="001420DE" w:rsidP="00DB542F">
      <w:pPr>
        <w:pStyle w:val="Para1"/>
        <w:tabs>
          <w:tab w:val="clear" w:pos="360"/>
          <w:tab w:val="num" w:pos="0"/>
        </w:tabs>
      </w:pPr>
      <w:r w:rsidRPr="001420DE">
        <w:t>La Conférence des Parties siégeant en tant que réunion des Parties</w:t>
      </w:r>
      <w:r w:rsidR="00F96D15" w:rsidRPr="001420DE">
        <w:t xml:space="preserve"> </w:t>
      </w:r>
      <w:r w:rsidR="00DB542F">
        <w:t xml:space="preserve">au Protocole de Cartagena </w:t>
      </w:r>
      <w:r>
        <w:t>a adopté le projet de décision</w:t>
      </w:r>
      <w:r w:rsidR="00F96D15" w:rsidRPr="001420DE">
        <w:t xml:space="preserve"> CBD/CP/MOP/9/L.14 </w:t>
      </w:r>
      <w:r>
        <w:t>en tant que décision</w:t>
      </w:r>
      <w:r w:rsidR="00F96D15" w:rsidRPr="001420DE">
        <w:t xml:space="preserve"> </w:t>
      </w:r>
      <w:r w:rsidR="00A441A2" w:rsidRPr="00A441A2">
        <w:t>CP-9</w:t>
      </w:r>
      <w:r w:rsidR="00F96D15" w:rsidRPr="00A441A2">
        <w:t>/9</w:t>
      </w:r>
      <w:r w:rsidR="00F96D15" w:rsidRPr="001420DE">
        <w:t xml:space="preserve"> (</w:t>
      </w:r>
      <w:r>
        <w:t>pour le texte, voir le chapitre I</w:t>
      </w:r>
      <w:r w:rsidR="00F96D15" w:rsidRPr="00B5655E">
        <w:t>).</w:t>
      </w:r>
    </w:p>
    <w:p w14:paraId="6A53D84A" w14:textId="77777777" w:rsidR="005C4A6F" w:rsidRPr="00A508D7" w:rsidRDefault="005C4A6F" w:rsidP="00E03306">
      <w:pPr>
        <w:pStyle w:val="Heading1multiline"/>
        <w:ind w:hanging="1275"/>
      </w:pPr>
      <w:bookmarkStart w:id="52" w:name="_Toc7428869"/>
      <w:r w:rsidRPr="00A508D7">
        <w:rPr>
          <w:lang w:bidi="fr-FR"/>
        </w:rPr>
        <w:t xml:space="preserve">POINT 12. </w:t>
      </w:r>
      <w:r w:rsidRPr="00A508D7">
        <w:rPr>
          <w:lang w:bidi="fr-FR"/>
        </w:rPr>
        <w:tab/>
      </w:r>
      <w:r w:rsidRPr="00A508D7">
        <w:rPr>
          <w:kern w:val="22"/>
          <w:szCs w:val="22"/>
          <w:lang w:bidi="fr-FR"/>
        </w:rPr>
        <w:t>Coop</w:t>
      </w:r>
      <w:r w:rsidRPr="00A508D7">
        <w:rPr>
          <w:rFonts w:cs="Times New Roman"/>
          <w:kern w:val="22"/>
          <w:szCs w:val="22"/>
          <w:lang w:bidi="fr-FR"/>
        </w:rPr>
        <w:t>É</w:t>
      </w:r>
      <w:r w:rsidRPr="00A508D7">
        <w:rPr>
          <w:kern w:val="22"/>
          <w:szCs w:val="22"/>
          <w:lang w:bidi="fr-FR"/>
        </w:rPr>
        <w:t>ration avec d'autres organisations, conventions et initiatives</w:t>
      </w:r>
      <w:bookmarkEnd w:id="52"/>
    </w:p>
    <w:p w14:paraId="2D9D8C04" w14:textId="2E8DDE91" w:rsidR="005C4A6F" w:rsidRPr="00A508D7" w:rsidRDefault="005C4A6F" w:rsidP="00DB542F">
      <w:pPr>
        <w:pStyle w:val="Para1"/>
        <w:tabs>
          <w:tab w:val="clear" w:pos="360"/>
          <w:tab w:val="num" w:pos="0"/>
        </w:tabs>
        <w:rPr>
          <w:i/>
        </w:rPr>
      </w:pPr>
      <w:r w:rsidRPr="00A508D7">
        <w:rPr>
          <w:lang w:bidi="fr-FR"/>
        </w:rPr>
        <w:t>Le Groupe de trav</w:t>
      </w:r>
      <w:r w:rsidR="00DB542F">
        <w:rPr>
          <w:lang w:bidi="fr-FR"/>
        </w:rPr>
        <w:t>ail a abordé</w:t>
      </w:r>
      <w:r w:rsidR="00CD5C38">
        <w:rPr>
          <w:lang w:bidi="fr-FR"/>
        </w:rPr>
        <w:t xml:space="preserve"> le point 12 </w:t>
      </w:r>
      <w:r w:rsidR="00DB542F">
        <w:rPr>
          <w:lang w:bidi="fr-FR"/>
        </w:rPr>
        <w:t xml:space="preserve">de l’ordre du jour </w:t>
      </w:r>
      <w:r w:rsidR="00CD5C38">
        <w:rPr>
          <w:lang w:bidi="fr-FR"/>
        </w:rPr>
        <w:t>à sa 6</w:t>
      </w:r>
      <w:r w:rsidR="00CD5C38" w:rsidRPr="00CD5C38">
        <w:rPr>
          <w:vertAlign w:val="superscript"/>
          <w:lang w:bidi="fr-FR"/>
        </w:rPr>
        <w:t>ème</w:t>
      </w:r>
      <w:r w:rsidRPr="00A508D7">
        <w:rPr>
          <w:lang w:bidi="fr-FR"/>
        </w:rPr>
        <w:t xml:space="preserve"> réunion, le 21 novembre 2018. Lors de l'examen de ce point, le Groupe de travail disposait d'une note de la Secrétaire exécutive faisant le point sur les activités de coopération entre le Secrétariat et d'autres conventions, organisations internationales et initiatives intéressant l'application du Protocole (CBD/CP/MOP/9/6).</w:t>
      </w:r>
    </w:p>
    <w:p w14:paraId="101135F8" w14:textId="2E0A0ECF" w:rsidR="005C4A6F" w:rsidRPr="00A508D7" w:rsidRDefault="005C4A6F" w:rsidP="005C4A6F">
      <w:pPr>
        <w:pStyle w:val="Para1"/>
        <w:rPr>
          <w:i/>
        </w:rPr>
      </w:pPr>
      <w:r w:rsidRPr="00A508D7">
        <w:rPr>
          <w:lang w:bidi="fr-FR"/>
        </w:rPr>
        <w:t>Une déclaration a été faite par un rep</w:t>
      </w:r>
      <w:r w:rsidR="00DB542F">
        <w:rPr>
          <w:lang w:bidi="fr-FR"/>
        </w:rPr>
        <w:t>résentant de l’Organisation de coopération et de développement é</w:t>
      </w:r>
      <w:r w:rsidRPr="00A508D7">
        <w:rPr>
          <w:lang w:bidi="fr-FR"/>
        </w:rPr>
        <w:t>conomiques (OCDE).</w:t>
      </w:r>
    </w:p>
    <w:p w14:paraId="7F502DA0" w14:textId="7E6DB3AB" w:rsidR="005C4A6F" w:rsidRPr="00A508D7" w:rsidRDefault="00DB542F" w:rsidP="005C4A6F">
      <w:pPr>
        <w:pStyle w:val="Para1"/>
      </w:pPr>
      <w:r>
        <w:rPr>
          <w:lang w:bidi="fr-FR"/>
        </w:rPr>
        <w:t>Le G</w:t>
      </w:r>
      <w:r w:rsidR="005C4A6F" w:rsidRPr="00A508D7">
        <w:rPr>
          <w:lang w:bidi="fr-FR"/>
        </w:rPr>
        <w:t xml:space="preserve">roupe de travail a pris note des informations contenues dans le document CBD/CP/MOP/9/6. </w:t>
      </w:r>
    </w:p>
    <w:p w14:paraId="30857B9B" w14:textId="139D174B" w:rsidR="005C4A6F" w:rsidRPr="00A508D7" w:rsidRDefault="00DB542F" w:rsidP="00E03306">
      <w:pPr>
        <w:pStyle w:val="Heading1multiline"/>
        <w:ind w:hanging="1275"/>
      </w:pPr>
      <w:bookmarkStart w:id="53" w:name="_Toc7428870"/>
      <w:r>
        <w:rPr>
          <w:lang w:bidi="fr-FR"/>
        </w:rPr>
        <w:t xml:space="preserve">POINT 13.  </w:t>
      </w:r>
      <w:r w:rsidR="00E03306">
        <w:rPr>
          <w:lang w:bidi="fr-FR"/>
        </w:rPr>
        <w:t xml:space="preserve">  </w:t>
      </w:r>
      <w:r>
        <w:rPr>
          <w:lang w:bidi="fr-FR"/>
        </w:rPr>
        <w:t>examen de</w:t>
      </w:r>
      <w:r w:rsidR="005C4A6F" w:rsidRPr="00A508D7">
        <w:rPr>
          <w:kern w:val="22"/>
          <w:szCs w:val="22"/>
          <w:lang w:bidi="fr-FR"/>
        </w:rPr>
        <w:t xml:space="preserve"> l’efficacit</w:t>
      </w:r>
      <w:r w:rsidR="005C4A6F" w:rsidRPr="00A508D7">
        <w:rPr>
          <w:rFonts w:cs="Times New Roman"/>
          <w:kern w:val="22"/>
          <w:szCs w:val="22"/>
          <w:lang w:bidi="fr-FR"/>
        </w:rPr>
        <w:t>É</w:t>
      </w:r>
      <w:r w:rsidR="005C4A6F" w:rsidRPr="00A508D7">
        <w:rPr>
          <w:kern w:val="22"/>
          <w:szCs w:val="22"/>
          <w:lang w:bidi="fr-FR"/>
        </w:rPr>
        <w:t xml:space="preserve"> des structures et des processus au titre de la Convention et de ses Protocoles</w:t>
      </w:r>
      <w:bookmarkEnd w:id="53"/>
    </w:p>
    <w:p w14:paraId="0BE3BD15" w14:textId="06354C1B" w:rsidR="005C4A6F" w:rsidRPr="00E72F2E" w:rsidRDefault="00E72F2E" w:rsidP="00E72F2E">
      <w:pPr>
        <w:rPr>
          <w:i/>
          <w:color w:val="000000" w:themeColor="text1"/>
        </w:rPr>
      </w:pPr>
      <w:bookmarkStart w:id="54" w:name="_Toc7428871"/>
      <w:r w:rsidRPr="00E72F2E">
        <w:rPr>
          <w:i/>
          <w:color w:val="000000" w:themeColor="text1"/>
          <w:lang w:bidi="fr-FR"/>
        </w:rPr>
        <w:t>Examen de l’expérience de</w:t>
      </w:r>
      <w:r w:rsidR="00DB542F" w:rsidRPr="00E72F2E">
        <w:rPr>
          <w:i/>
          <w:color w:val="000000" w:themeColor="text1"/>
          <w:lang w:bidi="fr-FR"/>
        </w:rPr>
        <w:t xml:space="preserve"> tenue de réunions concomitante</w:t>
      </w:r>
      <w:r w:rsidR="005C4A6F" w:rsidRPr="00E72F2E">
        <w:rPr>
          <w:i/>
          <w:color w:val="000000" w:themeColor="text1"/>
          <w:lang w:bidi="fr-FR"/>
        </w:rPr>
        <w:t xml:space="preserve">s </w:t>
      </w:r>
      <w:r w:rsidR="00DB542F" w:rsidRPr="00E72F2E">
        <w:rPr>
          <w:i/>
          <w:color w:val="000000" w:themeColor="text1"/>
          <w:lang w:bidi="fr-FR"/>
        </w:rPr>
        <w:t xml:space="preserve">au titre </w:t>
      </w:r>
      <w:r w:rsidR="005C4A6F" w:rsidRPr="00E72F2E">
        <w:rPr>
          <w:i/>
          <w:color w:val="000000" w:themeColor="text1"/>
          <w:lang w:bidi="fr-FR"/>
        </w:rPr>
        <w:t>de la Convention et ses Protocoles</w:t>
      </w:r>
      <w:bookmarkEnd w:id="54"/>
    </w:p>
    <w:p w14:paraId="3AD984F4" w14:textId="28708DCC" w:rsidR="005C4A6F" w:rsidRPr="00A508D7" w:rsidRDefault="005C4A6F" w:rsidP="00B27A4B">
      <w:pPr>
        <w:pStyle w:val="Para1"/>
        <w:rPr>
          <w:color w:val="000000" w:themeColor="text1"/>
        </w:rPr>
      </w:pPr>
      <w:r w:rsidRPr="00A508D7">
        <w:rPr>
          <w:color w:val="000000" w:themeColor="text1"/>
          <w:lang w:bidi="fr-FR"/>
        </w:rPr>
        <w:t>Le Groupe de travail I a traité le premier aspect du poi</w:t>
      </w:r>
      <w:r w:rsidR="00CD5C38">
        <w:rPr>
          <w:color w:val="000000" w:themeColor="text1"/>
          <w:lang w:bidi="fr-FR"/>
        </w:rPr>
        <w:t>nt 13 de l’ordre du jour à sa 6</w:t>
      </w:r>
      <w:r w:rsidR="00CD5C38" w:rsidRPr="00CD5C38">
        <w:rPr>
          <w:color w:val="000000" w:themeColor="text1"/>
          <w:vertAlign w:val="superscript"/>
          <w:lang w:bidi="fr-FR"/>
        </w:rPr>
        <w:t>ème</w:t>
      </w:r>
      <w:r w:rsidRPr="00A508D7">
        <w:rPr>
          <w:color w:val="000000" w:themeColor="text1"/>
          <w:lang w:bidi="fr-FR"/>
        </w:rPr>
        <w:t xml:space="preserve"> réunion, le 21 novembre 2018. Pour l'examen de ce point, le Groupe de travail disposait d'un projet de décision, fondé sur</w:t>
      </w:r>
      <w:r w:rsidR="00DB542F">
        <w:rPr>
          <w:color w:val="000000" w:themeColor="text1"/>
          <w:lang w:bidi="fr-FR"/>
        </w:rPr>
        <w:t xml:space="preserve"> la partie A de</w:t>
      </w:r>
      <w:r w:rsidRPr="00A508D7">
        <w:rPr>
          <w:color w:val="000000" w:themeColor="text1"/>
          <w:lang w:bidi="fr-FR"/>
        </w:rPr>
        <w:t xml:space="preserve"> la recommandation SBI-2/15, figurant dans la compilatio</w:t>
      </w:r>
      <w:r w:rsidR="00DB542F">
        <w:rPr>
          <w:color w:val="000000" w:themeColor="text1"/>
          <w:lang w:bidi="fr-FR"/>
        </w:rPr>
        <w:t>n du projet</w:t>
      </w:r>
      <w:r w:rsidRPr="00A508D7">
        <w:rPr>
          <w:color w:val="000000" w:themeColor="text1"/>
          <w:lang w:bidi="fr-FR"/>
        </w:rPr>
        <w:t xml:space="preserve"> de décision</w:t>
      </w:r>
      <w:r w:rsidR="00DB542F">
        <w:rPr>
          <w:color w:val="000000" w:themeColor="text1"/>
          <w:lang w:bidi="fr-FR"/>
        </w:rPr>
        <w:t xml:space="preserve">s (CBD/CP/MOP/9/1/Add.2). </w:t>
      </w:r>
    </w:p>
    <w:p w14:paraId="45CE5291" w14:textId="454F993C" w:rsidR="005C4A6F" w:rsidRPr="00A508D7" w:rsidRDefault="005C4A6F" w:rsidP="00B27A4B">
      <w:pPr>
        <w:pStyle w:val="Para1"/>
        <w:rPr>
          <w:i/>
          <w:color w:val="000000" w:themeColor="text1"/>
        </w:rPr>
      </w:pPr>
      <w:r w:rsidRPr="00A508D7">
        <w:rPr>
          <w:color w:val="000000" w:themeColor="text1"/>
          <w:lang w:bidi="fr-FR"/>
        </w:rPr>
        <w:t>Des déclarations ont été faites par les représentants</w:t>
      </w:r>
      <w:r w:rsidR="00DB542F">
        <w:rPr>
          <w:color w:val="000000" w:themeColor="text1"/>
          <w:lang w:bidi="fr-FR"/>
        </w:rPr>
        <w:t xml:space="preserve"> des pays suivants :</w:t>
      </w:r>
      <w:r w:rsidRPr="00A508D7">
        <w:rPr>
          <w:color w:val="000000" w:themeColor="text1"/>
          <w:lang w:bidi="fr-FR"/>
        </w:rPr>
        <w:t xml:space="preserve"> Honduras, Inde, Jordanie, Mexique, Nouvelle-Zélande, </w:t>
      </w:r>
      <w:r w:rsidR="00DB542F" w:rsidRPr="00A508D7">
        <w:rPr>
          <w:color w:val="000000" w:themeColor="text1"/>
          <w:lang w:bidi="fr-FR"/>
        </w:rPr>
        <w:t xml:space="preserve">Ouganda (au nom du </w:t>
      </w:r>
      <w:r w:rsidR="00DB542F">
        <w:rPr>
          <w:color w:val="000000" w:themeColor="text1"/>
          <w:lang w:bidi="fr-FR"/>
        </w:rPr>
        <w:t>groupe des pays d’Afrique</w:t>
      </w:r>
      <w:r w:rsidR="00DB542F" w:rsidRPr="00A508D7">
        <w:rPr>
          <w:color w:val="000000" w:themeColor="text1"/>
          <w:lang w:bidi="fr-FR"/>
        </w:rPr>
        <w:t>)</w:t>
      </w:r>
      <w:r w:rsidR="00DB542F">
        <w:rPr>
          <w:color w:val="000000" w:themeColor="text1"/>
          <w:lang w:bidi="fr-FR"/>
        </w:rPr>
        <w:t xml:space="preserve">, </w:t>
      </w:r>
      <w:r w:rsidRPr="00A508D7">
        <w:rPr>
          <w:color w:val="000000" w:themeColor="text1"/>
          <w:lang w:bidi="fr-FR"/>
        </w:rPr>
        <w:t xml:space="preserve">Panama, Paraguay, Suisse et </w:t>
      </w:r>
      <w:r w:rsidR="00DB542F" w:rsidRPr="00A508D7">
        <w:rPr>
          <w:color w:val="000000" w:themeColor="text1"/>
          <w:lang w:bidi="fr-FR"/>
        </w:rPr>
        <w:t>Union européenne et ses 28 États membres</w:t>
      </w:r>
      <w:r w:rsidRPr="00A508D7">
        <w:rPr>
          <w:color w:val="000000" w:themeColor="text1"/>
          <w:lang w:bidi="fr-FR"/>
        </w:rPr>
        <w:t>.</w:t>
      </w:r>
    </w:p>
    <w:p w14:paraId="17425AEC" w14:textId="5F087CA3" w:rsidR="005C4A6F" w:rsidRPr="00A508D7" w:rsidRDefault="005C4A6F" w:rsidP="00B27A4B">
      <w:pPr>
        <w:pStyle w:val="Para1"/>
        <w:rPr>
          <w:color w:val="000000" w:themeColor="text1"/>
        </w:rPr>
      </w:pPr>
      <w:r w:rsidRPr="00A508D7">
        <w:rPr>
          <w:color w:val="000000" w:themeColor="text1"/>
          <w:lang w:bidi="fr-FR"/>
        </w:rPr>
        <w:t>Des</w:t>
      </w:r>
      <w:r w:rsidR="00DB542F">
        <w:rPr>
          <w:color w:val="000000" w:themeColor="text1"/>
          <w:lang w:bidi="fr-FR"/>
        </w:rPr>
        <w:t xml:space="preserve"> déclarations ont été </w:t>
      </w:r>
      <w:r w:rsidRPr="00A508D7">
        <w:rPr>
          <w:color w:val="000000" w:themeColor="text1"/>
          <w:lang w:bidi="fr-FR"/>
        </w:rPr>
        <w:t xml:space="preserve">faites </w:t>
      </w:r>
      <w:r w:rsidR="00DB542F">
        <w:rPr>
          <w:color w:val="000000" w:themeColor="text1"/>
          <w:lang w:bidi="fr-FR"/>
        </w:rPr>
        <w:t xml:space="preserve">également </w:t>
      </w:r>
      <w:r w:rsidRPr="00A508D7">
        <w:rPr>
          <w:color w:val="000000" w:themeColor="text1"/>
          <w:lang w:bidi="fr-FR"/>
        </w:rPr>
        <w:t>par les représentants de l’Argentine et du Canada.</w:t>
      </w:r>
    </w:p>
    <w:p w14:paraId="67A6C5D5" w14:textId="0245BB77" w:rsidR="005C4A6F" w:rsidRPr="00A508D7" w:rsidRDefault="005C4A6F" w:rsidP="00B27A4B">
      <w:pPr>
        <w:pStyle w:val="Para1"/>
        <w:rPr>
          <w:color w:val="000000" w:themeColor="text1"/>
        </w:rPr>
      </w:pPr>
      <w:r w:rsidRPr="00A508D7">
        <w:rPr>
          <w:color w:val="000000" w:themeColor="text1"/>
          <w:lang w:bidi="fr-FR"/>
        </w:rPr>
        <w:t xml:space="preserve">D’autres déclarations ont été faites par les représentants du J. Craig Venter Institute, </w:t>
      </w:r>
      <w:r w:rsidR="00AF5560">
        <w:rPr>
          <w:color w:val="000000" w:themeColor="text1"/>
          <w:lang w:bidi="fr-FR"/>
        </w:rPr>
        <w:t xml:space="preserve">du </w:t>
      </w:r>
      <w:r w:rsidR="00AF5560" w:rsidRPr="004E3CAC">
        <w:rPr>
          <w:color w:val="222222"/>
          <w:shd w:val="clear" w:color="auto" w:fill="FFFFFF"/>
        </w:rPr>
        <w:t xml:space="preserve">Public Religion Research Institute </w:t>
      </w:r>
      <w:r w:rsidR="00AF5560">
        <w:rPr>
          <w:color w:val="222222"/>
          <w:shd w:val="clear" w:color="auto" w:fill="FFFFFF"/>
        </w:rPr>
        <w:t>(</w:t>
      </w:r>
      <w:r w:rsidRPr="00A508D7">
        <w:rPr>
          <w:color w:val="000000" w:themeColor="text1"/>
          <w:lang w:bidi="fr-FR"/>
        </w:rPr>
        <w:t>PRRI</w:t>
      </w:r>
      <w:r w:rsidR="00AF5560">
        <w:rPr>
          <w:color w:val="000000" w:themeColor="text1"/>
          <w:lang w:bidi="fr-FR"/>
        </w:rPr>
        <w:t>),</w:t>
      </w:r>
      <w:r w:rsidRPr="00A508D7">
        <w:rPr>
          <w:color w:val="000000" w:themeColor="text1"/>
          <w:lang w:bidi="fr-FR"/>
        </w:rPr>
        <w:t xml:space="preserve"> et du Third World Network (pour le compte de Corporate Europe Observatory, EcoNexus, ETC Group, Friends of the Earth International et Pro Natura).</w:t>
      </w:r>
    </w:p>
    <w:p w14:paraId="04005BC4" w14:textId="7DDCF94B" w:rsidR="005C4A6F" w:rsidRPr="00A508D7" w:rsidRDefault="00CD5C38" w:rsidP="00B27A4B">
      <w:pPr>
        <w:pStyle w:val="Para1"/>
      </w:pPr>
      <w:r>
        <w:rPr>
          <w:color w:val="000000" w:themeColor="text1"/>
          <w:lang w:bidi="fr-FR"/>
        </w:rPr>
        <w:t>À sa 10</w:t>
      </w:r>
      <w:r w:rsidRPr="00CD5C38">
        <w:rPr>
          <w:color w:val="000000" w:themeColor="text1"/>
          <w:vertAlign w:val="superscript"/>
          <w:lang w:bidi="fr-FR"/>
        </w:rPr>
        <w:t>ème</w:t>
      </w:r>
      <w:r w:rsidR="005C4A6F" w:rsidRPr="00A508D7">
        <w:rPr>
          <w:color w:val="000000" w:themeColor="text1"/>
          <w:lang w:bidi="fr-FR"/>
        </w:rPr>
        <w:t xml:space="preserve"> ré</w:t>
      </w:r>
      <w:r w:rsidR="00DB542F">
        <w:rPr>
          <w:color w:val="000000" w:themeColor="text1"/>
          <w:lang w:bidi="fr-FR"/>
        </w:rPr>
        <w:t>union, le 25 novembre 2018, le G</w:t>
      </w:r>
      <w:r w:rsidR="005C4A6F" w:rsidRPr="00A508D7">
        <w:rPr>
          <w:color w:val="000000" w:themeColor="text1"/>
          <w:lang w:bidi="fr-FR"/>
        </w:rPr>
        <w:t>roupe de tra</w:t>
      </w:r>
      <w:r w:rsidR="00DB542F">
        <w:rPr>
          <w:color w:val="000000" w:themeColor="text1"/>
          <w:lang w:bidi="fr-FR"/>
        </w:rPr>
        <w:t xml:space="preserve">vail a examiné un projet </w:t>
      </w:r>
      <w:r w:rsidR="005C4A6F" w:rsidRPr="00A508D7">
        <w:rPr>
          <w:color w:val="000000" w:themeColor="text1"/>
          <w:lang w:bidi="fr-FR"/>
        </w:rPr>
        <w:t>de décision</w:t>
      </w:r>
      <w:r w:rsidR="00DB542F">
        <w:rPr>
          <w:color w:val="000000" w:themeColor="text1"/>
          <w:lang w:bidi="fr-FR"/>
        </w:rPr>
        <w:t xml:space="preserve"> révisé établi par le président, et l’a </w:t>
      </w:r>
      <w:r w:rsidR="005C4A6F" w:rsidRPr="00A508D7">
        <w:rPr>
          <w:color w:val="000000" w:themeColor="text1"/>
          <w:lang w:bidi="fr-FR"/>
        </w:rPr>
        <w:t>ap</w:t>
      </w:r>
      <w:r w:rsidR="00DB542F">
        <w:rPr>
          <w:color w:val="000000" w:themeColor="text1"/>
          <w:lang w:bidi="fr-FR"/>
        </w:rPr>
        <w:t xml:space="preserve">prouvé pour transmission à la </w:t>
      </w:r>
      <w:r w:rsidR="005C4A6F" w:rsidRPr="00A508D7">
        <w:rPr>
          <w:color w:val="000000" w:themeColor="text1"/>
          <w:lang w:bidi="fr-FR"/>
        </w:rPr>
        <w:t>plénière en tant que projet de décision CBD/CP/MOP/9/L.9.</w:t>
      </w:r>
    </w:p>
    <w:p w14:paraId="2775DC3A" w14:textId="6200A7E7" w:rsidR="00F96D15" w:rsidRPr="00030395" w:rsidRDefault="00030395" w:rsidP="00B27A4B">
      <w:pPr>
        <w:pStyle w:val="Para1"/>
      </w:pPr>
      <w:r w:rsidRPr="00030395">
        <w:t>A la 7</w:t>
      </w:r>
      <w:r w:rsidRPr="00CD5C38">
        <w:rPr>
          <w:vertAlign w:val="superscript"/>
        </w:rPr>
        <w:t>ème</w:t>
      </w:r>
      <w:r w:rsidRPr="00030395">
        <w:t xml:space="preserve"> séance plénière de la réunion</w:t>
      </w:r>
      <w:r w:rsidR="00F96D15" w:rsidRPr="00030395">
        <w:t xml:space="preserve">, </w:t>
      </w:r>
      <w:r w:rsidR="0022341B">
        <w:t>le 28 novembre</w:t>
      </w:r>
      <w:r w:rsidR="00F96D15" w:rsidRPr="00030395">
        <w:t xml:space="preserve"> 2018, </w:t>
      </w:r>
      <w:r w:rsidRPr="00030395">
        <w:t>la Conférence des Parties siégeant en tant que réunion des Parties</w:t>
      </w:r>
      <w:r w:rsidR="00F96D15" w:rsidRPr="00030395">
        <w:t xml:space="preserve"> </w:t>
      </w:r>
      <w:r>
        <w:t>au Protocole de Cartagena</w:t>
      </w:r>
      <w:r w:rsidR="00F96D15" w:rsidRPr="00030395">
        <w:t xml:space="preserve"> </w:t>
      </w:r>
      <w:r w:rsidR="0022341B">
        <w:t>a examiné</w:t>
      </w:r>
      <w:r w:rsidR="001420DE">
        <w:t xml:space="preserve"> le projet de dé</w:t>
      </w:r>
      <w:r w:rsidR="00F96D15" w:rsidRPr="00030395">
        <w:t>cision CBD/CP/MOP/9/L.9.</w:t>
      </w:r>
    </w:p>
    <w:p w14:paraId="1CCD2A73" w14:textId="0A3FC4B6" w:rsidR="005C4A6F" w:rsidRPr="001420DE" w:rsidRDefault="001420DE" w:rsidP="00B27A4B">
      <w:pPr>
        <w:pStyle w:val="Para1"/>
      </w:pPr>
      <w:r w:rsidRPr="001420DE">
        <w:t>La Conférence des Parties siégeant en tant que réunion des Parties</w:t>
      </w:r>
      <w:r w:rsidR="00F96D15" w:rsidRPr="001420DE">
        <w:t xml:space="preserve"> </w:t>
      </w:r>
      <w:r w:rsidR="00030395" w:rsidRPr="001420DE">
        <w:t>au Protocole de Cartagena</w:t>
      </w:r>
      <w:r w:rsidR="00F96D15" w:rsidRPr="001420DE">
        <w:t xml:space="preserve"> </w:t>
      </w:r>
      <w:r>
        <w:t>a adopté le projet de décision</w:t>
      </w:r>
      <w:r w:rsidR="00F96D15" w:rsidRPr="001420DE">
        <w:t xml:space="preserve"> CBD/CP/MOP/9/L.9 </w:t>
      </w:r>
      <w:r>
        <w:t>en tant que décision</w:t>
      </w:r>
      <w:r w:rsidR="00F96D15" w:rsidRPr="001420DE">
        <w:t xml:space="preserve"> </w:t>
      </w:r>
      <w:r w:rsidR="00A441A2" w:rsidRPr="00A441A2">
        <w:t>CP-9</w:t>
      </w:r>
      <w:r w:rsidR="00F96D15" w:rsidRPr="00A441A2">
        <w:t>/8</w:t>
      </w:r>
      <w:r w:rsidR="00F96D15" w:rsidRPr="001420DE">
        <w:t xml:space="preserve"> (</w:t>
      </w:r>
      <w:r w:rsidR="00E03306">
        <w:t>pour le texte, voir le chapitre </w:t>
      </w:r>
      <w:r>
        <w:t>I</w:t>
      </w:r>
      <w:r w:rsidR="00F96D15" w:rsidRPr="001420DE">
        <w:t>)</w:t>
      </w:r>
      <w:r w:rsidR="005C4A6F" w:rsidRPr="001420DE">
        <w:rPr>
          <w:lang w:bidi="fr-FR"/>
        </w:rPr>
        <w:t>.</w:t>
      </w:r>
    </w:p>
    <w:p w14:paraId="05E232C1" w14:textId="3B3AC818" w:rsidR="005C4A6F" w:rsidRPr="00A508D7" w:rsidRDefault="005C4A6F" w:rsidP="005C4A6F">
      <w:pPr>
        <w:pStyle w:val="Heading3"/>
        <w:tabs>
          <w:tab w:val="clear" w:pos="567"/>
        </w:tabs>
        <w:rPr>
          <w:color w:val="000000" w:themeColor="text1"/>
        </w:rPr>
      </w:pPr>
      <w:bookmarkStart w:id="55" w:name="_Toc7428872"/>
      <w:r w:rsidRPr="00A508D7">
        <w:rPr>
          <w:color w:val="000000" w:themeColor="text1"/>
          <w:lang w:bidi="fr-FR"/>
        </w:rPr>
        <w:t>Procédure pour éviter ou gére</w:t>
      </w:r>
      <w:r w:rsidR="00E72F2E">
        <w:rPr>
          <w:color w:val="000000" w:themeColor="text1"/>
          <w:lang w:bidi="fr-FR"/>
        </w:rPr>
        <w:t>r les conflits d’intérêts au sein des</w:t>
      </w:r>
      <w:r w:rsidRPr="00A508D7">
        <w:rPr>
          <w:color w:val="000000" w:themeColor="text1"/>
          <w:lang w:bidi="fr-FR"/>
        </w:rPr>
        <w:t xml:space="preserve"> groupes d’experts</w:t>
      </w:r>
      <w:bookmarkEnd w:id="55"/>
    </w:p>
    <w:p w14:paraId="51C1D9B3" w14:textId="4557AB37" w:rsidR="005C4A6F" w:rsidRPr="00A508D7" w:rsidRDefault="005C4A6F" w:rsidP="005C4A6F">
      <w:pPr>
        <w:pStyle w:val="Para1"/>
      </w:pPr>
      <w:r w:rsidRPr="00A508D7">
        <w:rPr>
          <w:lang w:bidi="fr-FR"/>
        </w:rPr>
        <w:t>Le Groupe de travail I a traité le deuxième aspect du poi</w:t>
      </w:r>
      <w:r w:rsidR="00CD5C38">
        <w:rPr>
          <w:lang w:bidi="fr-FR"/>
        </w:rPr>
        <w:t>nt 13 de l’ordre du jour à sa 6</w:t>
      </w:r>
      <w:r w:rsidR="00CD5C38" w:rsidRPr="00CD5C38">
        <w:rPr>
          <w:vertAlign w:val="superscript"/>
          <w:lang w:bidi="fr-FR"/>
        </w:rPr>
        <w:t>ème</w:t>
      </w:r>
      <w:r w:rsidRPr="00A508D7">
        <w:rPr>
          <w:lang w:bidi="fr-FR"/>
        </w:rPr>
        <w:t xml:space="preserve"> réunion, le 21 novembre 2018. Pour l'examen de ce point, le Groupe de travail disposait d'un projet de décision fondé sur la partie B de la recommandation SBI-2/15, </w:t>
      </w:r>
      <w:r w:rsidR="00B140BD">
        <w:rPr>
          <w:lang w:bidi="fr-FR"/>
        </w:rPr>
        <w:t>figurant dans la compilation du projet</w:t>
      </w:r>
      <w:r w:rsidRPr="00A508D7">
        <w:rPr>
          <w:lang w:bidi="fr-FR"/>
        </w:rPr>
        <w:t xml:space="preserve"> de décision</w:t>
      </w:r>
      <w:r w:rsidR="00B140BD">
        <w:rPr>
          <w:lang w:bidi="fr-FR"/>
        </w:rPr>
        <w:t>s</w:t>
      </w:r>
      <w:r w:rsidRPr="00A508D7">
        <w:rPr>
          <w:lang w:bidi="fr-FR"/>
        </w:rPr>
        <w:t xml:space="preserve"> </w:t>
      </w:r>
      <w:r w:rsidRPr="00A508D7">
        <w:rPr>
          <w:lang w:bidi="fr-FR"/>
        </w:rPr>
        <w:lastRenderedPageBreak/>
        <w:t>(CBD/CP/MOP/9/1/Add.2), et d'un résumé des vues présentées par les Parties et les observateurs sur les procédures visant à éviter ou gérer les conflits d'intérêts dans les groupes d'experts (CBD/COP/14/INF/3).</w:t>
      </w:r>
    </w:p>
    <w:p w14:paraId="14C97BBA" w14:textId="43871D28" w:rsidR="005C4A6F" w:rsidRPr="00A508D7" w:rsidRDefault="005C4A6F" w:rsidP="005C4A6F">
      <w:pPr>
        <w:pStyle w:val="Para1"/>
        <w:rPr>
          <w:i/>
        </w:rPr>
      </w:pPr>
      <w:r w:rsidRPr="00A508D7">
        <w:rPr>
          <w:lang w:bidi="fr-FR"/>
        </w:rPr>
        <w:t xml:space="preserve">Des déclarations ont été faites par les représentants </w:t>
      </w:r>
      <w:r w:rsidR="00B140BD">
        <w:rPr>
          <w:lang w:bidi="fr-FR"/>
        </w:rPr>
        <w:t xml:space="preserve">des pays suivants : </w:t>
      </w:r>
      <w:r w:rsidRPr="00A508D7">
        <w:rPr>
          <w:lang w:bidi="fr-FR"/>
        </w:rPr>
        <w:t xml:space="preserve">Honduras, Inde, Jordanie, Mexique, Nouvelle-Zélande, </w:t>
      </w:r>
      <w:r w:rsidR="00B140BD" w:rsidRPr="00A508D7">
        <w:rPr>
          <w:lang w:bidi="fr-FR"/>
        </w:rPr>
        <w:t xml:space="preserve">Ouganda (au nom du </w:t>
      </w:r>
      <w:r w:rsidR="00B140BD">
        <w:rPr>
          <w:lang w:bidi="fr-FR"/>
        </w:rPr>
        <w:t>groupe des pays d’Afrique),</w:t>
      </w:r>
      <w:r w:rsidR="00B140BD" w:rsidRPr="00A508D7">
        <w:rPr>
          <w:lang w:bidi="fr-FR"/>
        </w:rPr>
        <w:t xml:space="preserve"> </w:t>
      </w:r>
      <w:r w:rsidRPr="00A508D7">
        <w:rPr>
          <w:lang w:bidi="fr-FR"/>
        </w:rPr>
        <w:t>Panama, Paraguay, S</w:t>
      </w:r>
      <w:r w:rsidR="00B140BD">
        <w:rPr>
          <w:lang w:bidi="fr-FR"/>
        </w:rPr>
        <w:t xml:space="preserve">uisse, et </w:t>
      </w:r>
      <w:r w:rsidR="00B140BD" w:rsidRPr="00A508D7">
        <w:rPr>
          <w:lang w:bidi="fr-FR"/>
        </w:rPr>
        <w:t>Union européenne et ses 28 États membres,</w:t>
      </w:r>
    </w:p>
    <w:p w14:paraId="109C3DEE" w14:textId="77777777" w:rsidR="005C4A6F" w:rsidRPr="00A508D7" w:rsidRDefault="005C4A6F" w:rsidP="005C4A6F">
      <w:pPr>
        <w:pStyle w:val="Para1"/>
      </w:pPr>
      <w:r w:rsidRPr="00A508D7">
        <w:rPr>
          <w:lang w:bidi="fr-FR"/>
        </w:rPr>
        <w:t>Des déclarations ont été également faites par les représentants de l’Argentine et du Canada.</w:t>
      </w:r>
    </w:p>
    <w:p w14:paraId="55007F25" w14:textId="77777777" w:rsidR="005C4A6F" w:rsidRPr="00A508D7" w:rsidRDefault="005C4A6F" w:rsidP="005C4A6F">
      <w:pPr>
        <w:pStyle w:val="Para1"/>
      </w:pPr>
      <w:r w:rsidRPr="00A508D7">
        <w:rPr>
          <w:lang w:bidi="fr-FR"/>
        </w:rPr>
        <w:t>D’autres déclarations ont été faites par les représentants du J. Craig Venter Institute, PRRI et du Third World Network (pour le compte de Corporate Europe Observatory, EcoNexus, ETC Group, Friends of the Earth International et Pro Natura).</w:t>
      </w:r>
    </w:p>
    <w:p w14:paraId="0F1A8450" w14:textId="2CE9C58B" w:rsidR="005C4A6F" w:rsidRPr="00A508D7" w:rsidRDefault="005C4A6F" w:rsidP="005C4A6F">
      <w:pPr>
        <w:pStyle w:val="Para1"/>
      </w:pPr>
      <w:r w:rsidRPr="00A508D7">
        <w:rPr>
          <w:lang w:bidi="fr-FR"/>
        </w:rPr>
        <w:t xml:space="preserve">Après l'échange de vues, </w:t>
      </w:r>
      <w:r w:rsidR="008500EE">
        <w:rPr>
          <w:lang w:bidi="fr-FR"/>
        </w:rPr>
        <w:t>le président</w:t>
      </w:r>
      <w:r w:rsidRPr="00A508D7">
        <w:rPr>
          <w:lang w:bidi="fr-FR"/>
        </w:rPr>
        <w:t xml:space="preserve"> a constitué un groupe d'amis du </w:t>
      </w:r>
      <w:r w:rsidR="00BC0D55">
        <w:rPr>
          <w:lang w:bidi="fr-FR"/>
        </w:rPr>
        <w:t>président</w:t>
      </w:r>
      <w:r w:rsidRPr="00A508D7">
        <w:rPr>
          <w:lang w:bidi="fr-FR"/>
        </w:rPr>
        <w:t xml:space="preserve"> pour poursuivre la discussion sur les questions non résolues. </w:t>
      </w:r>
    </w:p>
    <w:p w14:paraId="09D2E6AD" w14:textId="44093AC5" w:rsidR="00D61FD5" w:rsidRPr="00A508D7" w:rsidRDefault="00D61FD5" w:rsidP="00D61FD5">
      <w:pPr>
        <w:pStyle w:val="Para1"/>
        <w:rPr>
          <w:lang w:bidi="fr-FR"/>
        </w:rPr>
      </w:pPr>
      <w:r w:rsidRPr="00A508D7">
        <w:t>À</w:t>
      </w:r>
      <w:r w:rsidR="00CD5C38">
        <w:rPr>
          <w:lang w:bidi="fr-FR"/>
        </w:rPr>
        <w:t xml:space="preserve"> sa 12</w:t>
      </w:r>
      <w:r w:rsidR="00CD5C38" w:rsidRPr="00CD5C38">
        <w:rPr>
          <w:vertAlign w:val="superscript"/>
          <w:lang w:bidi="fr-FR"/>
        </w:rPr>
        <w:t>ème</w:t>
      </w:r>
      <w:r w:rsidRPr="00A508D7">
        <w:rPr>
          <w:lang w:bidi="fr-FR"/>
        </w:rPr>
        <w:t xml:space="preserve"> réunion, le 28 novembre 2018, le Groupe de travail I a examiné un projet de</w:t>
      </w:r>
      <w:r w:rsidR="00B140BD">
        <w:rPr>
          <w:lang w:bidi="fr-FR"/>
        </w:rPr>
        <w:t xml:space="preserve"> décision révisé établi par le</w:t>
      </w:r>
      <w:r w:rsidRPr="00A508D7">
        <w:rPr>
          <w:lang w:bidi="fr-FR"/>
        </w:rPr>
        <w:t xml:space="preserve"> </w:t>
      </w:r>
      <w:r w:rsidR="00BC0D55">
        <w:rPr>
          <w:lang w:bidi="fr-FR"/>
        </w:rPr>
        <w:t>président</w:t>
      </w:r>
      <w:r w:rsidRPr="00A508D7">
        <w:rPr>
          <w:lang w:bidi="fr-FR"/>
        </w:rPr>
        <w:t xml:space="preserve">. </w:t>
      </w:r>
    </w:p>
    <w:p w14:paraId="716FC47D" w14:textId="0C6A4496" w:rsidR="00D61FD5" w:rsidRPr="00A508D7" w:rsidRDefault="00D61FD5" w:rsidP="00D61FD5">
      <w:pPr>
        <w:pStyle w:val="Para1"/>
        <w:rPr>
          <w:lang w:bidi="fr-FR"/>
        </w:rPr>
      </w:pPr>
      <w:r w:rsidRPr="00A508D7">
        <w:rPr>
          <w:lang w:bidi="fr-FR"/>
        </w:rPr>
        <w:t xml:space="preserve">Des déclarations ont été </w:t>
      </w:r>
      <w:r w:rsidR="00B140BD">
        <w:rPr>
          <w:lang w:bidi="fr-FR"/>
        </w:rPr>
        <w:t>faites par les représentants de la Suisse et de l'Union européenne et ses 28 États membres</w:t>
      </w:r>
      <w:r w:rsidRPr="00A508D7">
        <w:rPr>
          <w:lang w:bidi="fr-FR"/>
        </w:rPr>
        <w:t>.</w:t>
      </w:r>
    </w:p>
    <w:p w14:paraId="0B271E18" w14:textId="380695E6" w:rsidR="00D61FD5" w:rsidRDefault="00D61FD5" w:rsidP="00D61FD5">
      <w:pPr>
        <w:pStyle w:val="Para1"/>
      </w:pPr>
      <w:r w:rsidRPr="00A508D7">
        <w:rPr>
          <w:lang w:bidi="fr-FR"/>
        </w:rPr>
        <w:t>Le Groupe de travail a approuvé le projet de décision révisé, tel que modifié oralement, pour transmission à la plénière en ta</w:t>
      </w:r>
      <w:r w:rsidR="00B140BD">
        <w:rPr>
          <w:lang w:bidi="fr-FR"/>
        </w:rPr>
        <w:t>nt que projet de décision CBD/C</w:t>
      </w:r>
      <w:r w:rsidRPr="00A508D7">
        <w:rPr>
          <w:lang w:bidi="fr-FR"/>
        </w:rPr>
        <w:t>P/</w:t>
      </w:r>
      <w:r w:rsidR="00B140BD">
        <w:rPr>
          <w:lang w:bidi="fr-FR"/>
        </w:rPr>
        <w:t>MOP/9</w:t>
      </w:r>
      <w:r w:rsidRPr="00A508D7">
        <w:rPr>
          <w:lang w:bidi="fr-FR"/>
        </w:rPr>
        <w:t>/L.15.</w:t>
      </w:r>
    </w:p>
    <w:p w14:paraId="5D3E0A61" w14:textId="63D5E8EF" w:rsidR="00F96D15" w:rsidRPr="00030395" w:rsidRDefault="00030395" w:rsidP="00F96D15">
      <w:pPr>
        <w:pStyle w:val="Para1"/>
      </w:pPr>
      <w:r w:rsidRPr="00030395">
        <w:t>A la 7</w:t>
      </w:r>
      <w:r w:rsidRPr="00CD5C38">
        <w:rPr>
          <w:vertAlign w:val="superscript"/>
        </w:rPr>
        <w:t>ème</w:t>
      </w:r>
      <w:r w:rsidRPr="00030395">
        <w:t xml:space="preserve"> séance plénière de la réunion</w:t>
      </w:r>
      <w:r w:rsidR="00F96D15" w:rsidRPr="00030395">
        <w:t xml:space="preserve">, </w:t>
      </w:r>
      <w:r w:rsidR="0022341B">
        <w:t>le 28 novembre</w:t>
      </w:r>
      <w:r w:rsidR="00F96D15" w:rsidRPr="00030395">
        <w:t xml:space="preserve"> 2018, </w:t>
      </w:r>
      <w:r w:rsidRPr="00030395">
        <w:t>la Conférence des Parties siégeant en tant que réunion des Parties</w:t>
      </w:r>
      <w:r w:rsidR="00F96D15" w:rsidRPr="00030395">
        <w:t xml:space="preserve"> </w:t>
      </w:r>
      <w:r>
        <w:t>au Protocole de Cartagena</w:t>
      </w:r>
      <w:r w:rsidR="00F96D15" w:rsidRPr="00030395">
        <w:t xml:space="preserve"> </w:t>
      </w:r>
      <w:r w:rsidR="0022341B">
        <w:t>a examiné</w:t>
      </w:r>
      <w:r w:rsidR="00F96D15" w:rsidRPr="00030395">
        <w:t xml:space="preserve"> </w:t>
      </w:r>
      <w:r w:rsidR="00B140BD">
        <w:t xml:space="preserve">le </w:t>
      </w:r>
      <w:r w:rsidR="001420DE">
        <w:t>projet de décision</w:t>
      </w:r>
      <w:r w:rsidR="00F96D15" w:rsidRPr="00030395">
        <w:t xml:space="preserve"> CBD/CP/MOP/9/L.15.</w:t>
      </w:r>
    </w:p>
    <w:p w14:paraId="3206E0D3" w14:textId="724B6487" w:rsidR="00911FEE" w:rsidRPr="00A508D7" w:rsidRDefault="00CD5C38" w:rsidP="00F96D15">
      <w:pPr>
        <w:pStyle w:val="Para1"/>
      </w:pPr>
      <w:r>
        <w:t>Après les</w:t>
      </w:r>
      <w:r w:rsidR="00F96D15" w:rsidRPr="00030395">
        <w:t xml:space="preserve"> corrections</w:t>
      </w:r>
      <w:r>
        <w:t xml:space="preserve"> à l’oral faites par le </w:t>
      </w:r>
      <w:r w:rsidR="001420DE">
        <w:t>Secrétariat</w:t>
      </w:r>
      <w:r w:rsidR="00F96D15" w:rsidRPr="00030395">
        <w:t xml:space="preserve">, </w:t>
      </w:r>
      <w:r w:rsidR="00030395" w:rsidRPr="00030395">
        <w:t>la Conférence des Parties siégeant en tant que réunion des Parties</w:t>
      </w:r>
      <w:r w:rsidR="00F96D15" w:rsidRPr="00030395">
        <w:t xml:space="preserve"> </w:t>
      </w:r>
      <w:r w:rsidR="00030395">
        <w:t>au Protocole de Cartagena</w:t>
      </w:r>
      <w:r w:rsidR="00F96D15" w:rsidRPr="00030395">
        <w:t xml:space="preserve"> </w:t>
      </w:r>
      <w:r w:rsidR="001420DE">
        <w:t>a adopté le projet de décision</w:t>
      </w:r>
      <w:r w:rsidR="00F96D15" w:rsidRPr="00030395">
        <w:t xml:space="preserve"> CBD/CP/MOP/9/L.15 </w:t>
      </w:r>
      <w:r w:rsidR="001420DE">
        <w:t>en tant que décision</w:t>
      </w:r>
      <w:r w:rsidR="00A441A2">
        <w:t xml:space="preserve"> CP-9</w:t>
      </w:r>
      <w:r w:rsidR="00F96D15" w:rsidRPr="00030395">
        <w:t>/10 (</w:t>
      </w:r>
      <w:r w:rsidR="001420DE">
        <w:t>pour le texte, voir le chapitre I</w:t>
      </w:r>
      <w:r w:rsidR="00F96D15" w:rsidRPr="009D40EC">
        <w:t>).</w:t>
      </w:r>
    </w:p>
    <w:p w14:paraId="096AC934" w14:textId="126D0FC8" w:rsidR="005C4A6F" w:rsidRPr="00A508D7" w:rsidRDefault="005C4A6F" w:rsidP="00E03306">
      <w:pPr>
        <w:pStyle w:val="Heading1multiline"/>
        <w:ind w:hanging="1275"/>
      </w:pPr>
      <w:bookmarkStart w:id="56" w:name="_Toc7428873"/>
      <w:r w:rsidRPr="00A508D7">
        <w:rPr>
          <w:lang w:bidi="fr-FR"/>
        </w:rPr>
        <w:t>POINT 14.</w:t>
      </w:r>
      <w:r w:rsidRPr="00A508D7">
        <w:rPr>
          <w:lang w:bidi="fr-FR"/>
        </w:rPr>
        <w:tab/>
        <w:t>Pr</w:t>
      </w:r>
      <w:r w:rsidRPr="00A508D7">
        <w:rPr>
          <w:rFonts w:cs="Times New Roman"/>
          <w:kern w:val="22"/>
          <w:szCs w:val="22"/>
          <w:lang w:bidi="fr-FR"/>
        </w:rPr>
        <w:t>É</w:t>
      </w:r>
      <w:r w:rsidR="00B140BD">
        <w:rPr>
          <w:lang w:bidi="fr-FR"/>
        </w:rPr>
        <w:t>paration du texte donnant suite au</w:t>
      </w:r>
      <w:r w:rsidRPr="00A508D7">
        <w:rPr>
          <w:lang w:bidi="fr-FR"/>
        </w:rPr>
        <w:t xml:space="preserve"> Plan strat</w:t>
      </w:r>
      <w:r w:rsidRPr="00A508D7">
        <w:rPr>
          <w:rFonts w:cs="Times New Roman"/>
          <w:kern w:val="22"/>
          <w:szCs w:val="22"/>
          <w:lang w:bidi="fr-FR"/>
        </w:rPr>
        <w:t>É</w:t>
      </w:r>
      <w:r w:rsidRPr="00A508D7">
        <w:rPr>
          <w:lang w:bidi="fr-FR"/>
        </w:rPr>
        <w:t>gique pour la diversit</w:t>
      </w:r>
      <w:r w:rsidRPr="00A508D7">
        <w:rPr>
          <w:rFonts w:cs="Times New Roman"/>
          <w:kern w:val="22"/>
          <w:szCs w:val="22"/>
          <w:lang w:bidi="fr-FR"/>
        </w:rPr>
        <w:t>É</w:t>
      </w:r>
      <w:r w:rsidR="00B140BD">
        <w:rPr>
          <w:lang w:bidi="fr-FR"/>
        </w:rPr>
        <w:t xml:space="preserve"> biologique 2011-2020 et au</w:t>
      </w:r>
      <w:r w:rsidRPr="00A508D7">
        <w:rPr>
          <w:lang w:bidi="fr-FR"/>
        </w:rPr>
        <w:t xml:space="preserve"> Plan strat</w:t>
      </w:r>
      <w:r w:rsidRPr="00A508D7">
        <w:rPr>
          <w:rFonts w:cs="Times New Roman"/>
          <w:kern w:val="22"/>
          <w:szCs w:val="22"/>
          <w:lang w:bidi="fr-FR"/>
        </w:rPr>
        <w:t>É</w:t>
      </w:r>
      <w:r w:rsidRPr="00A508D7">
        <w:rPr>
          <w:lang w:bidi="fr-FR"/>
        </w:rPr>
        <w:t>gique du Protocole de Cartagena sur la pr</w:t>
      </w:r>
      <w:r w:rsidRPr="00A508D7">
        <w:rPr>
          <w:rFonts w:cs="Times New Roman"/>
          <w:kern w:val="22"/>
          <w:szCs w:val="22"/>
          <w:lang w:bidi="fr-FR"/>
        </w:rPr>
        <w:t>É</w:t>
      </w:r>
      <w:r w:rsidRPr="00A508D7">
        <w:rPr>
          <w:lang w:bidi="fr-FR"/>
        </w:rPr>
        <w:t>vention des risques biotechnologiques 2011-2020</w:t>
      </w:r>
      <w:bookmarkEnd w:id="56"/>
    </w:p>
    <w:p w14:paraId="60B58A42" w14:textId="7D0B8166" w:rsidR="005C4A6F" w:rsidRPr="00A508D7" w:rsidRDefault="00B140BD" w:rsidP="005C4A6F">
      <w:pPr>
        <w:pStyle w:val="Para1"/>
      </w:pPr>
      <w:r>
        <w:rPr>
          <w:lang w:bidi="fr-FR"/>
        </w:rPr>
        <w:t>Le p</w:t>
      </w:r>
      <w:r w:rsidR="005C4A6F" w:rsidRPr="00A508D7">
        <w:rPr>
          <w:lang w:bidi="fr-FR"/>
        </w:rPr>
        <w:t>oint 14 de l’ordre du</w:t>
      </w:r>
      <w:r>
        <w:rPr>
          <w:lang w:bidi="fr-FR"/>
        </w:rPr>
        <w:t xml:space="preserve"> jour a été traité à</w:t>
      </w:r>
      <w:r w:rsidR="00CD5C38">
        <w:rPr>
          <w:lang w:bidi="fr-FR"/>
        </w:rPr>
        <w:t xml:space="preserve"> la 3</w:t>
      </w:r>
      <w:r w:rsidR="00CD5C38" w:rsidRPr="00CD5C38">
        <w:rPr>
          <w:vertAlign w:val="superscript"/>
          <w:lang w:bidi="fr-FR"/>
        </w:rPr>
        <w:t>ème</w:t>
      </w:r>
      <w:r w:rsidR="005C4A6F" w:rsidRPr="00A508D7">
        <w:rPr>
          <w:lang w:bidi="fr-FR"/>
        </w:rPr>
        <w:t xml:space="preserve"> séance plénière de la réunion, le 20 novembre 2018</w:t>
      </w:r>
      <w:r w:rsidR="00D61FD5" w:rsidRPr="00A508D7">
        <w:rPr>
          <w:lang w:bidi="fr-FR"/>
        </w:rPr>
        <w:t xml:space="preserve">, ainsi que le point 17 de l'ordre du jour de la Conférence des Parties et le point 16 de l'ordre du jour de la Conférence des Parties </w:t>
      </w:r>
      <w:r w:rsidR="00710E66">
        <w:rPr>
          <w:lang w:bidi="fr-FR"/>
        </w:rPr>
        <w:t xml:space="preserve">siégeant </w:t>
      </w:r>
      <w:r w:rsidR="00B27A4B">
        <w:rPr>
          <w:lang w:bidi="fr-FR"/>
        </w:rPr>
        <w:t>en tant que réunion des Parties</w:t>
      </w:r>
      <w:r w:rsidR="00D61FD5" w:rsidRPr="00A508D7">
        <w:rPr>
          <w:lang w:bidi="fr-FR"/>
        </w:rPr>
        <w:t xml:space="preserve"> au Protocole de Nagoya.</w:t>
      </w:r>
      <w:r>
        <w:rPr>
          <w:lang w:bidi="fr-FR"/>
        </w:rPr>
        <w:t xml:space="preserve"> Pour</w:t>
      </w:r>
      <w:r w:rsidR="005C4A6F" w:rsidRPr="00A508D7">
        <w:rPr>
          <w:lang w:bidi="fr-FR"/>
        </w:rPr>
        <w:t xml:space="preserve"> l'examen de ce point, la Conférence des Parties </w:t>
      </w:r>
      <w:r w:rsidR="00F908C1">
        <w:rPr>
          <w:lang w:bidi="fr-FR"/>
        </w:rPr>
        <w:t>siégeant en tant que</w:t>
      </w:r>
      <w:r w:rsidR="005C4A6F" w:rsidRPr="00A508D7">
        <w:rPr>
          <w:lang w:bidi="fr-FR"/>
        </w:rPr>
        <w:t xml:space="preserve"> réunion des Parties </w:t>
      </w:r>
      <w:r>
        <w:rPr>
          <w:lang w:bidi="fr-FR"/>
        </w:rPr>
        <w:t xml:space="preserve">au Protocole de Cartagena </w:t>
      </w:r>
      <w:r w:rsidR="005C4A6F" w:rsidRPr="00A508D7">
        <w:rPr>
          <w:lang w:bidi="fr-FR"/>
        </w:rPr>
        <w:t>disposait d'une note de la Secrétaire exé</w:t>
      </w:r>
      <w:r>
        <w:rPr>
          <w:lang w:bidi="fr-FR"/>
        </w:rPr>
        <w:t>cutive sur les préparatifs d’élaboration d'un texte donnant suite au</w:t>
      </w:r>
      <w:r w:rsidR="005C4A6F" w:rsidRPr="00A508D7">
        <w:rPr>
          <w:lang w:bidi="fr-FR"/>
        </w:rPr>
        <w:t xml:space="preserve"> Plan stratégique pour le Protocole de Cartagena sur la prévention des risques biotechnologiques 2011-2020 </w:t>
      </w:r>
      <w:r w:rsidR="005C4A6F" w:rsidRPr="00A508D7">
        <w:rPr>
          <w:rFonts w:eastAsia="Times New Roman"/>
          <w:lang w:bidi="fr-FR"/>
        </w:rPr>
        <w:t>(CBD/CP/MOP/9/7)</w:t>
      </w:r>
      <w:r w:rsidR="005C4A6F" w:rsidRPr="00A508D7">
        <w:rPr>
          <w:lang w:bidi="fr-FR"/>
        </w:rPr>
        <w:t xml:space="preserve">, et un projet de décision fondé sur </w:t>
      </w:r>
      <w:r w:rsidR="005C4A6F" w:rsidRPr="00A508D7">
        <w:rPr>
          <w:rFonts w:eastAsia="Times New Roman"/>
          <w:lang w:bidi="fr-FR"/>
        </w:rPr>
        <w:t>la recommandation SBI-2/19 et des éléments supplémentaires du document CBD/CP/MOP/9/7, figurant dans la compilation</w:t>
      </w:r>
      <w:r w:rsidR="00911FEE">
        <w:rPr>
          <w:rFonts w:eastAsia="Times New Roman"/>
          <w:lang w:bidi="fr-FR"/>
        </w:rPr>
        <w:t xml:space="preserve"> </w:t>
      </w:r>
      <w:r w:rsidR="005C4A6F" w:rsidRPr="00A508D7">
        <w:rPr>
          <w:lang w:bidi="fr-FR"/>
        </w:rPr>
        <w:t>des projets de décision (CBD/CP/MOP/9/1/Add.2).</w:t>
      </w:r>
    </w:p>
    <w:p w14:paraId="2F85F2EC" w14:textId="714D24AD" w:rsidR="005C4A6F" w:rsidRPr="00A508D7" w:rsidRDefault="005C4A6F" w:rsidP="005C4A6F">
      <w:pPr>
        <w:pStyle w:val="Para1"/>
      </w:pPr>
      <w:r w:rsidRPr="00A508D7">
        <w:rPr>
          <w:lang w:bidi="fr-FR"/>
        </w:rPr>
        <w:t xml:space="preserve">Des déclarations ont été faites par les représentants de </w:t>
      </w:r>
      <w:r w:rsidR="00B140BD">
        <w:rPr>
          <w:lang w:bidi="fr-FR"/>
        </w:rPr>
        <w:t>l’</w:t>
      </w:r>
      <w:r w:rsidR="00B140BD" w:rsidRPr="00A508D7">
        <w:rPr>
          <w:lang w:bidi="fr-FR"/>
        </w:rPr>
        <w:t xml:space="preserve">Afrique du Sud (au nom du </w:t>
      </w:r>
      <w:r w:rsidR="00B140BD">
        <w:rPr>
          <w:lang w:bidi="fr-FR"/>
        </w:rPr>
        <w:t xml:space="preserve">groupe des pays d’Afrique), </w:t>
      </w:r>
      <w:r w:rsidRPr="00A508D7">
        <w:rPr>
          <w:lang w:bidi="fr-FR"/>
        </w:rPr>
        <w:t xml:space="preserve">Algérie, Antigua-et-Barbuda, Bangladesh, Bosnie-Herzégovine, Botswana, Brésil, Burkina Faso, Cambodge, Cameroun, Chine, Colombie (au nom </w:t>
      </w:r>
      <w:r w:rsidR="00115465" w:rsidRPr="00A508D7">
        <w:rPr>
          <w:lang w:bidi="fr-FR"/>
        </w:rPr>
        <w:t>du groupe des</w:t>
      </w:r>
      <w:r w:rsidR="00B140BD">
        <w:rPr>
          <w:lang w:bidi="fr-FR"/>
        </w:rPr>
        <w:t xml:space="preserve"> pays hyperdivers animés d’un</w:t>
      </w:r>
      <w:r w:rsidRPr="00A508D7">
        <w:rPr>
          <w:lang w:bidi="fr-FR"/>
        </w:rPr>
        <w:t xml:space="preserve"> même esprit), Costa Rica, Côte d’Ivoire, Cuba (au nom des petits États insulaires en développement), Équateur, Égypte, Éthiopie, Gabon, Inde, Iraq, Jamaïque, Japon, Kenya, Malawi, Me</w:t>
      </w:r>
      <w:r w:rsidR="00B140BD">
        <w:rPr>
          <w:lang w:bidi="fr-FR"/>
        </w:rPr>
        <w:t xml:space="preserve">xique, Maroc, Nouvelle-Zélande, </w:t>
      </w:r>
      <w:r w:rsidRPr="00A508D7">
        <w:rPr>
          <w:lang w:bidi="fr-FR"/>
        </w:rPr>
        <w:t xml:space="preserve">Norvège, </w:t>
      </w:r>
      <w:r w:rsidR="00B140BD">
        <w:rPr>
          <w:lang w:bidi="fr-FR"/>
        </w:rPr>
        <w:t>Ouganda, Palaos</w:t>
      </w:r>
      <w:r w:rsidRPr="00A508D7">
        <w:rPr>
          <w:lang w:bidi="fr-FR"/>
        </w:rPr>
        <w:t xml:space="preserve"> (au nom des pays insulaires du Pacifique), Panama, Philippines, </w:t>
      </w:r>
      <w:r w:rsidR="00B140BD" w:rsidRPr="00A508D7">
        <w:rPr>
          <w:lang w:bidi="fr-FR"/>
        </w:rPr>
        <w:t xml:space="preserve">République dominicaine, </w:t>
      </w:r>
      <w:r w:rsidR="00B140BD">
        <w:rPr>
          <w:lang w:bidi="fr-FR"/>
        </w:rPr>
        <w:t xml:space="preserve">République-Unie de Tanzanie, </w:t>
      </w:r>
      <w:r w:rsidRPr="00A508D7">
        <w:rPr>
          <w:lang w:bidi="fr-FR"/>
        </w:rPr>
        <w:t>Saint-Kitts-et-Nevis (au nom de l’Amérique latine et des Caraïbes), So</w:t>
      </w:r>
      <w:r w:rsidR="00B140BD">
        <w:rPr>
          <w:lang w:bidi="fr-FR"/>
        </w:rPr>
        <w:t>udan, Suisse, Turquie, Union européenne e</w:t>
      </w:r>
      <w:r w:rsidR="00B140BD" w:rsidRPr="00A508D7">
        <w:rPr>
          <w:lang w:bidi="fr-FR"/>
        </w:rPr>
        <w:t xml:space="preserve">t ses 28 États membres, </w:t>
      </w:r>
      <w:r w:rsidRPr="00A508D7">
        <w:rPr>
          <w:lang w:bidi="fr-FR"/>
        </w:rPr>
        <w:t>Uruguay et Venezuela (République bolivarienne du).</w:t>
      </w:r>
    </w:p>
    <w:p w14:paraId="40C5259F" w14:textId="77777777" w:rsidR="005C4A6F" w:rsidRPr="00A508D7" w:rsidRDefault="005C4A6F" w:rsidP="005C4A6F">
      <w:pPr>
        <w:pStyle w:val="Para1"/>
      </w:pPr>
      <w:r w:rsidRPr="00A508D7">
        <w:rPr>
          <w:lang w:bidi="fr-FR"/>
        </w:rPr>
        <w:t>Des représentants de l’Argentine, du Canada et du Népal ont également fait des déclarations.</w:t>
      </w:r>
    </w:p>
    <w:p w14:paraId="66410F17" w14:textId="043AF916" w:rsidR="005C4A6F" w:rsidRPr="00A508D7" w:rsidRDefault="005C4A6F" w:rsidP="005C4A6F">
      <w:pPr>
        <w:pStyle w:val="Para1"/>
      </w:pPr>
      <w:r w:rsidRPr="00A508D7">
        <w:rPr>
          <w:lang w:bidi="fr-FR"/>
        </w:rPr>
        <w:lastRenderedPageBreak/>
        <w:t>Des déclarations supplémentaires ont été faites par des représentants de l'Organisation des Nations Unies pour l'alimentation et l'agriculture (FAO) (également au nom du Traité international sur les ressources phytogénétiques pour l'alimentation et l'agriculture), de l'Entité des Nations Unies pour l'égalité des sexes et l'autonomisation</w:t>
      </w:r>
      <w:r w:rsidR="00B140BD">
        <w:rPr>
          <w:lang w:bidi="fr-FR"/>
        </w:rPr>
        <w:t xml:space="preserve"> des femmes (ONU-Femmes) et du S</w:t>
      </w:r>
      <w:r w:rsidRPr="00A508D7">
        <w:rPr>
          <w:lang w:bidi="fr-FR"/>
        </w:rPr>
        <w:t>ecrétariat de la Convention sur le commerce international des espèces de faune et de flore sauvages menacées d'extinction (CITES) (a</w:t>
      </w:r>
      <w:r w:rsidR="00B140BD">
        <w:rPr>
          <w:lang w:bidi="fr-FR"/>
        </w:rPr>
        <w:t xml:space="preserve">u nom du Groupe de liaison des Conventions relatives à la </w:t>
      </w:r>
      <w:r w:rsidRPr="00A508D7">
        <w:rPr>
          <w:lang w:bidi="fr-FR"/>
        </w:rPr>
        <w:t>diversité</w:t>
      </w:r>
      <w:r w:rsidR="00B140BD">
        <w:rPr>
          <w:lang w:bidi="fr-FR"/>
        </w:rPr>
        <w:t xml:space="preserve"> biologique</w:t>
      </w:r>
      <w:r w:rsidRPr="00A508D7">
        <w:rPr>
          <w:lang w:bidi="fr-FR"/>
        </w:rPr>
        <w:t>).</w:t>
      </w:r>
    </w:p>
    <w:p w14:paraId="68ECC663" w14:textId="521A9007" w:rsidR="005C4A6F" w:rsidRPr="00A508D7" w:rsidRDefault="005C4A6F" w:rsidP="005C4A6F">
      <w:pPr>
        <w:pStyle w:val="Para1"/>
      </w:pPr>
      <w:r w:rsidRPr="00A508D7">
        <w:rPr>
          <w:lang w:bidi="fr-FR"/>
        </w:rPr>
        <w:t xml:space="preserve">D'autres déclarations ont été faites par des représentants de BirdLife International (également au nom de Conservation International, GYBN, le Fonds international pour la protection des animaux (IFAW), Rare, la Royal Society for the Protection of Birds (RSPB), The Nature Conservancy, The Pew Charitable Trust et WWF) ; Friends of the Earth International (également au nom d'EcoNexus, le Réseau européen de réflexion et d'action écologiques (ECOROPA), Forêts du monde, </w:t>
      </w:r>
      <w:r w:rsidRPr="00A508D7">
        <w:rPr>
          <w:rFonts w:eastAsia="Times New Roman"/>
          <w:shd w:val="clear" w:color="auto" w:fill="FFFFFF"/>
          <w:lang w:bidi="fr-FR"/>
        </w:rPr>
        <w:t xml:space="preserve">Fundación Ambiente y Recursos Naturales (FARN) </w:t>
      </w:r>
      <w:r w:rsidRPr="00A508D7">
        <w:rPr>
          <w:rFonts w:eastAsia="Times New Roman"/>
          <w:lang w:bidi="fr-FR"/>
        </w:rPr>
        <w:t xml:space="preserve">et </w:t>
      </w:r>
      <w:r w:rsidRPr="00A508D7">
        <w:rPr>
          <w:lang w:bidi="fr-FR"/>
        </w:rPr>
        <w:t>la Coalition forestière mondiale), le Groupe sur l'observation de la Terre Réseau d'observation de la biodiversité (GEO BON), GYBN, le Comité international pour la souveraineté alimentaire, le FIAB, l'Union internationale pour la conservation de la nature (UICN), l'Institut pour l'étude avancée de la durabilité (UNU-IAS) et WWF.</w:t>
      </w:r>
    </w:p>
    <w:p w14:paraId="7F1E3C36" w14:textId="2BEB7CA2" w:rsidR="00115465" w:rsidRPr="00A508D7" w:rsidRDefault="00115465" w:rsidP="00115465">
      <w:pPr>
        <w:pStyle w:val="Para1"/>
      </w:pPr>
      <w:r w:rsidRPr="00A508D7">
        <w:t xml:space="preserve">Sur la base des vues exprimées, la Conférence des Parties </w:t>
      </w:r>
      <w:r w:rsidR="00F908C1">
        <w:t>siégeant en tant que</w:t>
      </w:r>
      <w:r w:rsidRPr="00A508D7">
        <w:t xml:space="preserve"> réunion des Parties </w:t>
      </w:r>
      <w:r w:rsidR="00B140BD">
        <w:t xml:space="preserve">au Protocole de Cartagena </w:t>
      </w:r>
      <w:r w:rsidR="00E46C1D" w:rsidRPr="00A508D7">
        <w:t>a</w:t>
      </w:r>
      <w:r w:rsidRPr="00A508D7">
        <w:t xml:space="preserve"> convenue de créer un groupe de contact, présidé par Mme Charlotta Sörqvist (Suède)</w:t>
      </w:r>
      <w:r w:rsidR="00320388">
        <w:t xml:space="preserve"> et M. Francis Ogwal (Ouganda), chargé</w:t>
      </w:r>
      <w:r w:rsidRPr="00A508D7">
        <w:t xml:space="preserve"> </w:t>
      </w:r>
      <w:r w:rsidR="00320388">
        <w:t>d’</w:t>
      </w:r>
      <w:r w:rsidRPr="00A508D7">
        <w:t>examiner le processus pr</w:t>
      </w:r>
      <w:r w:rsidR="00B140BD">
        <w:t>éparatoire du cadre mondial de</w:t>
      </w:r>
      <w:r w:rsidRPr="00A508D7">
        <w:t xml:space="preserve"> la biodiversité </w:t>
      </w:r>
      <w:r w:rsidR="00B140BD">
        <w:t>pour l’après-</w:t>
      </w:r>
      <w:r w:rsidRPr="00A508D7">
        <w:t xml:space="preserve">2020. </w:t>
      </w:r>
    </w:p>
    <w:p w14:paraId="45F8DF8D" w14:textId="4A40A243" w:rsidR="00115465" w:rsidRPr="00A508D7" w:rsidRDefault="00710E66" w:rsidP="00115465">
      <w:pPr>
        <w:pStyle w:val="Para1"/>
      </w:pPr>
      <w:r>
        <w:t>A la</w:t>
      </w:r>
      <w:r w:rsidR="00CD5C38">
        <w:t xml:space="preserve"> 4</w:t>
      </w:r>
      <w:r w:rsidR="00CD5C38" w:rsidRPr="00CD5C38">
        <w:rPr>
          <w:vertAlign w:val="superscript"/>
        </w:rPr>
        <w:t>ème</w:t>
      </w:r>
      <w:r w:rsidR="00115465" w:rsidRPr="00A508D7">
        <w:t xml:space="preserve"> séance plénière de la réunion, le 22 novembre 2018, </w:t>
      </w:r>
      <w:r w:rsidR="008500EE">
        <w:t>le président</w:t>
      </w:r>
      <w:r w:rsidR="00115465" w:rsidRPr="00A508D7">
        <w:t xml:space="preserve"> du groupe de contact a rendu compte des progrès réalisés par </w:t>
      </w:r>
      <w:r w:rsidR="00E46C1D" w:rsidRPr="00A508D7">
        <w:t>ce dernier</w:t>
      </w:r>
      <w:r w:rsidR="00115465" w:rsidRPr="00A508D7">
        <w:t>.</w:t>
      </w:r>
    </w:p>
    <w:p w14:paraId="77A4F3DE" w14:textId="64E81601" w:rsidR="00115465" w:rsidRPr="00A508D7" w:rsidRDefault="00B140BD" w:rsidP="00115465">
      <w:pPr>
        <w:pStyle w:val="Para1"/>
      </w:pPr>
      <w:r>
        <w:t>A l</w:t>
      </w:r>
      <w:r w:rsidR="00CD5C38">
        <w:t>a 5</w:t>
      </w:r>
      <w:r w:rsidR="00CD5C38" w:rsidRPr="00CD5C38">
        <w:rPr>
          <w:vertAlign w:val="superscript"/>
        </w:rPr>
        <w:t>ème</w:t>
      </w:r>
      <w:r w:rsidR="00115465" w:rsidRPr="00A508D7">
        <w:t xml:space="preserve"> séance plénière de la réunion, le 25 novembre 2018, la Conférence des Parties </w:t>
      </w:r>
      <w:r w:rsidR="00F908C1">
        <w:t>siégeant en tant que</w:t>
      </w:r>
      <w:r w:rsidR="00115465" w:rsidRPr="00A508D7">
        <w:t xml:space="preserve"> réunion des Parties</w:t>
      </w:r>
      <w:r>
        <w:t xml:space="preserve"> au Protocole de Cartagena</w:t>
      </w:r>
      <w:r w:rsidR="00115465" w:rsidRPr="00A508D7">
        <w:t xml:space="preserve"> a entendu un autre rapport du </w:t>
      </w:r>
      <w:r w:rsidR="00BC0D55">
        <w:t>président</w:t>
      </w:r>
      <w:r w:rsidR="00115465" w:rsidRPr="00A508D7">
        <w:t xml:space="preserve"> du groupe de contact. </w:t>
      </w:r>
    </w:p>
    <w:p w14:paraId="0E2C8F13" w14:textId="72505083" w:rsidR="00115465" w:rsidRPr="00A508D7" w:rsidRDefault="00115465" w:rsidP="00115465">
      <w:pPr>
        <w:pStyle w:val="Para1"/>
      </w:pPr>
      <w:r w:rsidRPr="00A508D7">
        <w:t xml:space="preserve">Le représentant de la Norvège a informé la Conférence des Parties </w:t>
      </w:r>
      <w:r w:rsidR="00F908C1">
        <w:t>siégeant en tant que</w:t>
      </w:r>
      <w:r w:rsidRPr="00A508D7">
        <w:t xml:space="preserve"> réunion des Parties </w:t>
      </w:r>
      <w:r w:rsidR="00B140BD">
        <w:t xml:space="preserve">au Protocole de Cartagena </w:t>
      </w:r>
      <w:r w:rsidRPr="00A508D7">
        <w:t xml:space="preserve">que, sous réserve de l'approbation des parlementaires, la Norvège verserait 350 000 dollars pour des ateliers régionaux </w:t>
      </w:r>
      <w:r w:rsidR="00320388">
        <w:t xml:space="preserve">en Afrique, Amérique latine et </w:t>
      </w:r>
      <w:r w:rsidRPr="00A508D7">
        <w:t>Caraïbes</w:t>
      </w:r>
      <w:r w:rsidR="00320388">
        <w:t xml:space="preserve">, et </w:t>
      </w:r>
      <w:r w:rsidRPr="00A508D7">
        <w:t>Asie et du Pacifique</w:t>
      </w:r>
      <w:r w:rsidR="00320388">
        <w:t>,</w:t>
      </w:r>
      <w:r w:rsidRPr="00A508D7">
        <w:t xml:space="preserve"> afin de contribuer à la poursui</w:t>
      </w:r>
      <w:r w:rsidR="00320388">
        <w:t>te des débats sur le cadre mondial pour l’après-</w:t>
      </w:r>
      <w:r w:rsidRPr="00A508D7">
        <w:t>2020. Il a également déclaré que la Norvège fournirait une aide financière pour les frais de voyage des délégués des pays en développement participant à la neuvième Conférence de Trondheim sur la diversité biologique, qui se tiendra en juillet 2019.</w:t>
      </w:r>
    </w:p>
    <w:p w14:paraId="5E83A66B" w14:textId="0E2DA356" w:rsidR="005C4A6F" w:rsidRPr="00A508D7" w:rsidRDefault="00710E66" w:rsidP="005C4A6F">
      <w:pPr>
        <w:pStyle w:val="Para1"/>
      </w:pPr>
      <w:r>
        <w:rPr>
          <w:lang w:bidi="fr-FR"/>
        </w:rPr>
        <w:t>A la 6</w:t>
      </w:r>
      <w:r w:rsidRPr="00710E66">
        <w:rPr>
          <w:vertAlign w:val="superscript"/>
          <w:lang w:bidi="fr-FR"/>
        </w:rPr>
        <w:t>ème</w:t>
      </w:r>
      <w:r>
        <w:rPr>
          <w:lang w:bidi="fr-FR"/>
        </w:rPr>
        <w:t xml:space="preserve"> </w:t>
      </w:r>
      <w:r w:rsidR="005C4A6F" w:rsidRPr="00A508D7">
        <w:rPr>
          <w:lang w:bidi="fr-FR"/>
        </w:rPr>
        <w:t xml:space="preserve">séance plénière de la réunion, le 28 novembre 2018, la Conférence des Parties siégeant en tant que réunion des Parties </w:t>
      </w:r>
      <w:r w:rsidR="00320388">
        <w:rPr>
          <w:lang w:bidi="fr-FR"/>
        </w:rPr>
        <w:t xml:space="preserve">au Protocole de Cartagena </w:t>
      </w:r>
      <w:r w:rsidR="005C4A6F" w:rsidRPr="00A508D7">
        <w:rPr>
          <w:lang w:bidi="fr-FR"/>
        </w:rPr>
        <w:t>a examiné à nouveau le projet de décision sur cette question.</w:t>
      </w:r>
    </w:p>
    <w:p w14:paraId="7B944AA2" w14:textId="77777777" w:rsidR="005C4A6F" w:rsidRPr="00A508D7" w:rsidRDefault="005C4A6F" w:rsidP="005C4A6F">
      <w:pPr>
        <w:pStyle w:val="Para1"/>
      </w:pPr>
      <w:r w:rsidRPr="00A508D7">
        <w:rPr>
          <w:lang w:bidi="fr-FR"/>
        </w:rPr>
        <w:t>Une déclaration a été faite par un représentant de l’Afrique du Sud.</w:t>
      </w:r>
    </w:p>
    <w:p w14:paraId="03001B0C" w14:textId="77777777" w:rsidR="005C4A6F" w:rsidRPr="00A508D7" w:rsidRDefault="005C4A6F" w:rsidP="005C4A6F">
      <w:pPr>
        <w:pStyle w:val="Para1"/>
      </w:pPr>
      <w:r w:rsidRPr="00A508D7">
        <w:rPr>
          <w:lang w:bidi="fr-FR"/>
        </w:rPr>
        <w:t xml:space="preserve">Le projet de décision, tel que modifié oralement, a été approuvé pour adoption formelle en tant que projet de décision CBD/CP/MOP/9/L.16. </w:t>
      </w:r>
    </w:p>
    <w:p w14:paraId="79241374" w14:textId="4FBF99B0" w:rsidR="00F96D15" w:rsidRPr="00030395" w:rsidRDefault="00030395" w:rsidP="00F96D15">
      <w:pPr>
        <w:pStyle w:val="Para1"/>
      </w:pPr>
      <w:r w:rsidRPr="00030395">
        <w:t>A la 7</w:t>
      </w:r>
      <w:r w:rsidRPr="00CD5C38">
        <w:rPr>
          <w:vertAlign w:val="superscript"/>
        </w:rPr>
        <w:t>ème</w:t>
      </w:r>
      <w:r w:rsidRPr="00030395">
        <w:t xml:space="preserve"> séance plénière de la réunion</w:t>
      </w:r>
      <w:r w:rsidR="00F96D15" w:rsidRPr="00030395">
        <w:t xml:space="preserve">, </w:t>
      </w:r>
      <w:r w:rsidR="0022341B">
        <w:t>le 28 novembre</w:t>
      </w:r>
      <w:r w:rsidR="00F96D15" w:rsidRPr="00030395">
        <w:t xml:space="preserve"> 2018, </w:t>
      </w:r>
      <w:r w:rsidRPr="00030395">
        <w:t>la Conférence des Parties siégeant en tant que réunion des Parties</w:t>
      </w:r>
      <w:r w:rsidR="00F96D15" w:rsidRPr="00030395">
        <w:t xml:space="preserve"> </w:t>
      </w:r>
      <w:r>
        <w:t>au Protocole de Cartagena</w:t>
      </w:r>
      <w:r w:rsidR="00F96D15" w:rsidRPr="00030395">
        <w:t xml:space="preserve"> </w:t>
      </w:r>
      <w:r w:rsidR="0022341B">
        <w:t>a examiné</w:t>
      </w:r>
      <w:r w:rsidR="00F908C1">
        <w:t xml:space="preserve"> le </w:t>
      </w:r>
      <w:r w:rsidR="001420DE">
        <w:t>projet de décision</w:t>
      </w:r>
      <w:r w:rsidR="00F96D15" w:rsidRPr="00030395">
        <w:t xml:space="preserve"> CBD/CP/MOP/9/L.16.</w:t>
      </w:r>
    </w:p>
    <w:p w14:paraId="361A47F1" w14:textId="6266E9E1" w:rsidR="005C4A6F" w:rsidRPr="001420DE" w:rsidRDefault="001420DE" w:rsidP="00F96D15">
      <w:pPr>
        <w:pStyle w:val="Para1"/>
      </w:pPr>
      <w:r w:rsidRPr="001420DE">
        <w:t>La Conférence des Parties siégeant en tant que réunion des Parties</w:t>
      </w:r>
      <w:r w:rsidR="00F96D15" w:rsidRPr="001420DE">
        <w:t xml:space="preserve"> </w:t>
      </w:r>
      <w:r w:rsidR="00030395" w:rsidRPr="001420DE">
        <w:t>au Protocole de Cartagena</w:t>
      </w:r>
      <w:r w:rsidR="00F96D15" w:rsidRPr="001420DE">
        <w:t xml:space="preserve"> </w:t>
      </w:r>
      <w:r>
        <w:t>a adopté le projet de décision</w:t>
      </w:r>
      <w:r w:rsidR="00F96D15" w:rsidRPr="001420DE">
        <w:t xml:space="preserve"> CBD/CP/MOP/9/L.16 </w:t>
      </w:r>
      <w:r>
        <w:t>en tant que décision</w:t>
      </w:r>
      <w:r w:rsidR="00A441A2">
        <w:t xml:space="preserve"> CP-9</w:t>
      </w:r>
      <w:r w:rsidR="00F96D15" w:rsidRPr="001420DE">
        <w:t>/7 (</w:t>
      </w:r>
      <w:r>
        <w:t>pour le texte, voir le chapitre I</w:t>
      </w:r>
      <w:r w:rsidR="00F96D15" w:rsidRPr="001420DE">
        <w:t>).</w:t>
      </w:r>
    </w:p>
    <w:p w14:paraId="2946C551" w14:textId="77777777" w:rsidR="005C4A6F" w:rsidRPr="00A508D7" w:rsidRDefault="005C4A6F" w:rsidP="00320388">
      <w:pPr>
        <w:pStyle w:val="Heading1multiline"/>
        <w:ind w:hanging="1275"/>
      </w:pPr>
      <w:bookmarkStart w:id="57" w:name="_Toc7428874"/>
      <w:r w:rsidRPr="00A508D7">
        <w:rPr>
          <w:lang w:bidi="fr-FR"/>
        </w:rPr>
        <w:t xml:space="preserve">POINT 15. </w:t>
      </w:r>
      <w:r w:rsidRPr="00A508D7">
        <w:rPr>
          <w:lang w:bidi="fr-FR"/>
        </w:rPr>
        <w:tab/>
      </w:r>
      <w:r w:rsidRPr="00A508D7">
        <w:rPr>
          <w:kern w:val="22"/>
          <w:szCs w:val="22"/>
          <w:lang w:bidi="fr-FR"/>
        </w:rPr>
        <w:t>Évaluation des risques et gestion des risques (Articles 15 et 16)</w:t>
      </w:r>
      <w:bookmarkEnd w:id="57"/>
    </w:p>
    <w:p w14:paraId="1B0C79F6" w14:textId="12990072" w:rsidR="005C4A6F" w:rsidRPr="00A508D7" w:rsidRDefault="005C4A6F" w:rsidP="005C4A6F">
      <w:pPr>
        <w:pStyle w:val="Para1"/>
      </w:pPr>
      <w:r w:rsidRPr="00A508D7">
        <w:rPr>
          <w:lang w:bidi="fr-FR"/>
        </w:rPr>
        <w:t>Le Groupe de travai</w:t>
      </w:r>
      <w:r w:rsidR="00CD5C38">
        <w:rPr>
          <w:lang w:bidi="fr-FR"/>
        </w:rPr>
        <w:t xml:space="preserve">l II a examiné le point 15 </w:t>
      </w:r>
      <w:r w:rsidR="00320388">
        <w:rPr>
          <w:lang w:bidi="fr-FR"/>
        </w:rPr>
        <w:t xml:space="preserve">de l’ordre du jour </w:t>
      </w:r>
      <w:r w:rsidR="00CD5C38">
        <w:rPr>
          <w:lang w:bidi="fr-FR"/>
        </w:rPr>
        <w:t>à sa 1</w:t>
      </w:r>
      <w:r w:rsidR="00CD5C38" w:rsidRPr="00CD5C38">
        <w:rPr>
          <w:vertAlign w:val="superscript"/>
          <w:lang w:bidi="fr-FR"/>
        </w:rPr>
        <w:t>ère</w:t>
      </w:r>
      <w:r w:rsidR="00CD5C38">
        <w:rPr>
          <w:lang w:bidi="fr-FR"/>
        </w:rPr>
        <w:t xml:space="preserve">  réunion</w:t>
      </w:r>
      <w:r w:rsidRPr="00A508D7">
        <w:rPr>
          <w:lang w:bidi="fr-FR"/>
        </w:rPr>
        <w:t xml:space="preserve">, le 18 novembre 2018. Pour l'examen de ce point, le Groupe de travail disposait d'un projet de décision fondé sur la </w:t>
      </w:r>
      <w:r w:rsidRPr="00A508D7">
        <w:rPr>
          <w:lang w:bidi="fr-FR"/>
        </w:rPr>
        <w:lastRenderedPageBreak/>
        <w:t xml:space="preserve">recommandation SBSTTA-22/2, </w:t>
      </w:r>
      <w:r w:rsidR="00320388">
        <w:rPr>
          <w:lang w:bidi="fr-FR"/>
        </w:rPr>
        <w:t>figurant dans la compilation du projet</w:t>
      </w:r>
      <w:r w:rsidRPr="00A508D7">
        <w:rPr>
          <w:lang w:bidi="fr-FR"/>
        </w:rPr>
        <w:t xml:space="preserve"> de décision</w:t>
      </w:r>
      <w:r w:rsidR="00320388">
        <w:rPr>
          <w:lang w:bidi="fr-FR"/>
        </w:rPr>
        <w:t>s</w:t>
      </w:r>
      <w:r w:rsidRPr="00A508D7">
        <w:rPr>
          <w:lang w:bidi="fr-FR"/>
        </w:rPr>
        <w:t xml:space="preserve"> (CBD/CP/MOP/9/1/Add.2), ainsi que d'un rapport intérimaire sur les activités de renforcement des capacités concernant l'évaluation des ri</w:t>
      </w:r>
      <w:r w:rsidR="00320388">
        <w:rPr>
          <w:lang w:bidi="fr-FR"/>
        </w:rPr>
        <w:t xml:space="preserve">sques présentés par les </w:t>
      </w:r>
      <w:r w:rsidRPr="00A508D7">
        <w:rPr>
          <w:lang w:bidi="fr-FR"/>
        </w:rPr>
        <w:t>organismes vivants modifiés (CBD/CP/MOP/9/INF/3).</w:t>
      </w:r>
    </w:p>
    <w:p w14:paraId="48AF9B6C" w14:textId="5A7CE3F3" w:rsidR="005C4A6F" w:rsidRPr="00A508D7" w:rsidRDefault="005C4A6F" w:rsidP="005C4A6F">
      <w:pPr>
        <w:pStyle w:val="Para1"/>
      </w:pPr>
      <w:r w:rsidRPr="00A508D7">
        <w:rPr>
          <w:lang w:bidi="fr-FR"/>
        </w:rPr>
        <w:t>Des déclarations ont été faites par les représentants de la Bolivie (État plurinational de), du G</w:t>
      </w:r>
      <w:r w:rsidR="00320388">
        <w:rPr>
          <w:lang w:bidi="fr-FR"/>
        </w:rPr>
        <w:t>uatemala, du Malawi (au nom du g</w:t>
      </w:r>
      <w:r w:rsidRPr="00A508D7">
        <w:rPr>
          <w:lang w:bidi="fr-FR"/>
        </w:rPr>
        <w:t xml:space="preserve">roupe </w:t>
      </w:r>
      <w:r w:rsidR="00320388">
        <w:rPr>
          <w:lang w:bidi="fr-FR"/>
        </w:rPr>
        <w:t>des pays d’Afrique</w:t>
      </w:r>
      <w:r w:rsidRPr="00A508D7">
        <w:rPr>
          <w:lang w:bidi="fr-FR"/>
        </w:rPr>
        <w:t xml:space="preserve">), </w:t>
      </w:r>
      <w:r w:rsidR="00320388">
        <w:rPr>
          <w:lang w:bidi="fr-FR"/>
        </w:rPr>
        <w:t>de la Nouvelle-Zélande,</w:t>
      </w:r>
      <w:r w:rsidRPr="00A508D7">
        <w:rPr>
          <w:lang w:bidi="fr-FR"/>
        </w:rPr>
        <w:t xml:space="preserve"> de la Thaïlande</w:t>
      </w:r>
      <w:r w:rsidR="00320388">
        <w:rPr>
          <w:lang w:bidi="fr-FR"/>
        </w:rPr>
        <w:t>, et</w:t>
      </w:r>
      <w:r w:rsidR="00320388" w:rsidRPr="00320388">
        <w:rPr>
          <w:lang w:bidi="fr-FR"/>
        </w:rPr>
        <w:t xml:space="preserve"> </w:t>
      </w:r>
      <w:r w:rsidR="00320388">
        <w:rPr>
          <w:lang w:bidi="fr-FR"/>
        </w:rPr>
        <w:t>de l'Union européenne et ses 28 États membres</w:t>
      </w:r>
      <w:r w:rsidRPr="00A508D7">
        <w:rPr>
          <w:lang w:bidi="fr-FR"/>
        </w:rPr>
        <w:t>.</w:t>
      </w:r>
    </w:p>
    <w:p w14:paraId="13EA5BE6" w14:textId="1F8E2D6B" w:rsidR="005C4A6F" w:rsidRPr="00A508D7" w:rsidRDefault="00CD5C38" w:rsidP="005C4A6F">
      <w:pPr>
        <w:pStyle w:val="Para1"/>
      </w:pPr>
      <w:r>
        <w:rPr>
          <w:lang w:bidi="fr-FR"/>
        </w:rPr>
        <w:t>À sa 2</w:t>
      </w:r>
      <w:r w:rsidRPr="00CD5C38">
        <w:rPr>
          <w:vertAlign w:val="superscript"/>
          <w:lang w:bidi="fr-FR"/>
        </w:rPr>
        <w:t>ème</w:t>
      </w:r>
      <w:r>
        <w:rPr>
          <w:lang w:bidi="fr-FR"/>
        </w:rPr>
        <w:t xml:space="preserve"> réunion</w:t>
      </w:r>
      <w:r w:rsidR="005C4A6F" w:rsidRPr="00A508D7">
        <w:rPr>
          <w:lang w:bidi="fr-FR"/>
        </w:rPr>
        <w:t xml:space="preserve">, le 18 novembre 2018, le Groupe de travail a repris l'examen de la question. </w:t>
      </w:r>
    </w:p>
    <w:p w14:paraId="20D43BFB" w14:textId="627AC81F" w:rsidR="005C4A6F" w:rsidRPr="00A508D7" w:rsidRDefault="005C4A6F" w:rsidP="005C4A6F">
      <w:pPr>
        <w:pStyle w:val="Para1"/>
      </w:pPr>
      <w:r w:rsidRPr="00A508D7">
        <w:rPr>
          <w:lang w:bidi="fr-FR"/>
        </w:rPr>
        <w:t>Des déclarations ont été faites par les représentants des pay</w:t>
      </w:r>
      <w:r w:rsidR="00320388">
        <w:rPr>
          <w:lang w:bidi="fr-FR"/>
        </w:rPr>
        <w:t xml:space="preserve">s suivants : Arabie saoudite, Belarus, Brésil, </w:t>
      </w:r>
      <w:r w:rsidRPr="00A508D7">
        <w:rPr>
          <w:lang w:bidi="fr-FR"/>
        </w:rPr>
        <w:t>Chine, Co</w:t>
      </w:r>
      <w:r w:rsidR="00320388">
        <w:rPr>
          <w:lang w:bidi="fr-FR"/>
        </w:rPr>
        <w:t xml:space="preserve">lombie, Costa Rica, </w:t>
      </w:r>
      <w:r w:rsidRPr="00A508D7">
        <w:rPr>
          <w:lang w:bidi="fr-FR"/>
        </w:rPr>
        <w:t>Eswatini, Gabon, Ghana, Honduras, Inde, Japon, Kenya, Maroc, Mexique, Norvège, Ouganda, Paraguay, Pérou, Philippines, Tchad, Suisse, Uruguay et Venezuela (République bolivarienne du).</w:t>
      </w:r>
    </w:p>
    <w:p w14:paraId="090DD338" w14:textId="3DA79054" w:rsidR="005C4A6F" w:rsidRPr="00A508D7" w:rsidRDefault="005C4A6F" w:rsidP="005C4A6F">
      <w:pPr>
        <w:pStyle w:val="Para1"/>
      </w:pPr>
      <w:r w:rsidRPr="00A508D7">
        <w:rPr>
          <w:lang w:bidi="fr-FR"/>
        </w:rPr>
        <w:t>Une déclaration a également été faite par un représen</w:t>
      </w:r>
      <w:r w:rsidR="00320388">
        <w:rPr>
          <w:lang w:bidi="fr-FR"/>
        </w:rPr>
        <w:t>tant de l'Argentine</w:t>
      </w:r>
      <w:r w:rsidRPr="00A508D7">
        <w:rPr>
          <w:lang w:bidi="fr-FR"/>
        </w:rPr>
        <w:t>.</w:t>
      </w:r>
    </w:p>
    <w:p w14:paraId="726CC64F" w14:textId="77777777" w:rsidR="005C4A6F" w:rsidRPr="00A508D7" w:rsidRDefault="005C4A6F" w:rsidP="005C4A6F">
      <w:pPr>
        <w:pStyle w:val="Para1"/>
        <w:rPr>
          <w:rFonts w:cs="Tahoma"/>
          <w:bCs/>
        </w:rPr>
      </w:pPr>
      <w:r w:rsidRPr="00A508D7">
        <w:rPr>
          <w:lang w:bidi="fr-FR"/>
        </w:rPr>
        <w:t>D'autres déclarations ont été faites par des représentants du Centre d'appui aux peuples autochtones du Nord (CSIPN) (également au nom du Forum international autochtone sur la biodiversité (FIAB)), du PRRI, de Target Malaria et Youth Biotech.</w:t>
      </w:r>
    </w:p>
    <w:p w14:paraId="5200C307" w14:textId="2705B94D" w:rsidR="005C4A6F" w:rsidRPr="00A508D7" w:rsidRDefault="005C4A6F" w:rsidP="005C4A6F">
      <w:pPr>
        <w:pStyle w:val="Para1"/>
        <w:rPr>
          <w:iCs/>
        </w:rPr>
      </w:pPr>
      <w:r w:rsidRPr="00A508D7">
        <w:rPr>
          <w:lang w:bidi="fr-FR"/>
        </w:rPr>
        <w:t>Le Groupe de travail a repris l'examen de l</w:t>
      </w:r>
      <w:r w:rsidR="00CD5C38">
        <w:rPr>
          <w:lang w:bidi="fr-FR"/>
        </w:rPr>
        <w:t>a question à sa 8</w:t>
      </w:r>
      <w:r w:rsidR="00CD5C38" w:rsidRPr="00CD5C38">
        <w:rPr>
          <w:vertAlign w:val="superscript"/>
          <w:lang w:bidi="fr-FR"/>
        </w:rPr>
        <w:t>ème</w:t>
      </w:r>
      <w:r w:rsidR="00CD5C38">
        <w:rPr>
          <w:lang w:bidi="fr-FR"/>
        </w:rPr>
        <w:t xml:space="preserve"> réunion</w:t>
      </w:r>
      <w:r w:rsidRPr="00A508D7">
        <w:rPr>
          <w:lang w:bidi="fr-FR"/>
        </w:rPr>
        <w:t>, le 22 novembre 2018</w:t>
      </w:r>
      <w:r w:rsidR="00E46C1D" w:rsidRPr="00A508D7">
        <w:rPr>
          <w:lang w:bidi="fr-FR"/>
        </w:rPr>
        <w:t>. Il a été</w:t>
      </w:r>
      <w:r w:rsidRPr="00A508D7">
        <w:rPr>
          <w:lang w:bidi="fr-FR"/>
        </w:rPr>
        <w:t xml:space="preserve"> convenu qu'étant donné la relation étroite de certains éléments du projet de décision sur l'évaluation et la gestion des risques avec ceux du projet de décision sur la biologie synthétique</w:t>
      </w:r>
      <w:r w:rsidR="00C61772">
        <w:rPr>
          <w:lang w:bidi="fr-FR"/>
        </w:rPr>
        <w:t>,</w:t>
      </w:r>
      <w:r w:rsidRPr="00A508D7">
        <w:rPr>
          <w:lang w:bidi="fr-FR"/>
        </w:rPr>
        <w:t xml:space="preserve"> actuellement examiné par la Conférence des Parties, un groupe de contact, présidé par M. Horst Korn (Allemagne)</w:t>
      </w:r>
      <w:r w:rsidR="00C61772">
        <w:rPr>
          <w:lang w:bidi="fr-FR"/>
        </w:rPr>
        <w:t>,</w:t>
      </w:r>
      <w:r w:rsidRPr="00A508D7">
        <w:rPr>
          <w:lang w:bidi="fr-FR"/>
        </w:rPr>
        <w:t xml:space="preserve"> qui assurait également la présidence du groupe de contact sur la biologie synthétique</w:t>
      </w:r>
      <w:r w:rsidR="00E46C1D" w:rsidRPr="00A508D7">
        <w:rPr>
          <w:lang w:bidi="fr-FR"/>
        </w:rPr>
        <w:t>,</w:t>
      </w:r>
      <w:r w:rsidR="00E46C1D" w:rsidRPr="00A508D7">
        <w:t xml:space="preserve"> </w:t>
      </w:r>
      <w:r w:rsidR="00E46C1D" w:rsidRPr="00A508D7">
        <w:rPr>
          <w:lang w:bidi="fr-FR"/>
        </w:rPr>
        <w:t xml:space="preserve">serait établi pour résoudre le texte entre crochets </w:t>
      </w:r>
      <w:r w:rsidR="00C61772">
        <w:rPr>
          <w:lang w:bidi="fr-FR"/>
        </w:rPr>
        <w:t xml:space="preserve">inclus </w:t>
      </w:r>
      <w:r w:rsidR="00E46C1D" w:rsidRPr="00A508D7">
        <w:rPr>
          <w:lang w:bidi="fr-FR"/>
        </w:rPr>
        <w:t>dans le projet de décision</w:t>
      </w:r>
      <w:r w:rsidRPr="00A508D7">
        <w:rPr>
          <w:lang w:bidi="fr-FR"/>
        </w:rPr>
        <w:t xml:space="preserve">. </w:t>
      </w:r>
    </w:p>
    <w:p w14:paraId="0246C6FA" w14:textId="72801B41" w:rsidR="005C4A6F" w:rsidRDefault="00CD5C38" w:rsidP="005C4A6F">
      <w:pPr>
        <w:pStyle w:val="Para1"/>
      </w:pPr>
      <w:r>
        <w:rPr>
          <w:lang w:bidi="fr-FR"/>
        </w:rPr>
        <w:t>À sa 17</w:t>
      </w:r>
      <w:r w:rsidRPr="00CD5C38">
        <w:rPr>
          <w:vertAlign w:val="superscript"/>
          <w:lang w:bidi="fr-FR"/>
        </w:rPr>
        <w:t>ème</w:t>
      </w:r>
      <w:r>
        <w:rPr>
          <w:lang w:bidi="fr-FR"/>
        </w:rPr>
        <w:t xml:space="preserve"> réunion</w:t>
      </w:r>
      <w:r w:rsidR="005C4A6F" w:rsidRPr="00A508D7">
        <w:rPr>
          <w:lang w:bidi="fr-FR"/>
        </w:rPr>
        <w:t xml:space="preserve">, le 28 novembre 2018, le Groupe de travail a approuvé une version révisée du projet de décision </w:t>
      </w:r>
      <w:r w:rsidR="00E46C1D" w:rsidRPr="00A508D7">
        <w:rPr>
          <w:lang w:bidi="fr-FR"/>
        </w:rPr>
        <w:t xml:space="preserve">sur l'évaluation </w:t>
      </w:r>
      <w:r w:rsidR="00C61772">
        <w:rPr>
          <w:lang w:bidi="fr-FR"/>
        </w:rPr>
        <w:t xml:space="preserve">des risques </w:t>
      </w:r>
      <w:r w:rsidR="00E46C1D" w:rsidRPr="00A508D7">
        <w:rPr>
          <w:lang w:bidi="fr-FR"/>
        </w:rPr>
        <w:t xml:space="preserve">et la gestion des risques </w:t>
      </w:r>
      <w:r w:rsidR="005C4A6F" w:rsidRPr="00A508D7">
        <w:rPr>
          <w:lang w:bidi="fr-FR"/>
        </w:rPr>
        <w:t>(article</w:t>
      </w:r>
      <w:r w:rsidR="00E46C1D" w:rsidRPr="00A508D7">
        <w:rPr>
          <w:lang w:bidi="fr-FR"/>
        </w:rPr>
        <w:t>s 15 et 16</w:t>
      </w:r>
      <w:r w:rsidR="005C4A6F" w:rsidRPr="00A508D7">
        <w:rPr>
          <w:lang w:bidi="fr-FR"/>
        </w:rPr>
        <w:t>)</w:t>
      </w:r>
      <w:r w:rsidR="00C61772">
        <w:rPr>
          <w:lang w:bidi="fr-FR"/>
        </w:rPr>
        <w:t>,</w:t>
      </w:r>
      <w:r w:rsidR="005C4A6F" w:rsidRPr="00A508D7">
        <w:rPr>
          <w:lang w:bidi="fr-FR"/>
        </w:rPr>
        <w:t xml:space="preserve"> pour transmission à la plénière en tant que projet de décision CBD/CP/MOP/9/L.13. </w:t>
      </w:r>
    </w:p>
    <w:p w14:paraId="4AB78806" w14:textId="35BB9D68" w:rsidR="00F96D15" w:rsidRPr="00030395" w:rsidRDefault="00030395" w:rsidP="00F96D15">
      <w:pPr>
        <w:pStyle w:val="Para1"/>
      </w:pPr>
      <w:r w:rsidRPr="00030395">
        <w:t>A la 7</w:t>
      </w:r>
      <w:r w:rsidRPr="00CD5C38">
        <w:rPr>
          <w:vertAlign w:val="superscript"/>
        </w:rPr>
        <w:t>ème</w:t>
      </w:r>
      <w:r w:rsidRPr="00030395">
        <w:t xml:space="preserve"> séance plénière de la réunion</w:t>
      </w:r>
      <w:r w:rsidR="00F96D15" w:rsidRPr="00030395">
        <w:t xml:space="preserve">, </w:t>
      </w:r>
      <w:r w:rsidR="0022341B">
        <w:t>le 28 novembre</w:t>
      </w:r>
      <w:r w:rsidR="00F96D15" w:rsidRPr="00030395">
        <w:t xml:space="preserve"> 2018, </w:t>
      </w:r>
      <w:r w:rsidRPr="00030395">
        <w:t>la Conférence des Parties siégeant en tant que réunion des Parties</w:t>
      </w:r>
      <w:r w:rsidR="00F96D15" w:rsidRPr="00030395">
        <w:t xml:space="preserve"> </w:t>
      </w:r>
      <w:r>
        <w:t>au Protocole de Cartagena</w:t>
      </w:r>
      <w:r w:rsidR="00F96D15" w:rsidRPr="00030395">
        <w:t xml:space="preserve"> </w:t>
      </w:r>
      <w:r w:rsidR="0022341B">
        <w:t>a examiné</w:t>
      </w:r>
      <w:r w:rsidR="00F96D15" w:rsidRPr="00030395">
        <w:t xml:space="preserve"> </w:t>
      </w:r>
      <w:r w:rsidR="00F908C1">
        <w:t xml:space="preserve">le projet de décision </w:t>
      </w:r>
      <w:r w:rsidR="00F96D15" w:rsidRPr="00030395">
        <w:t>CBD/CP/MOP/9/L.13.</w:t>
      </w:r>
    </w:p>
    <w:p w14:paraId="785CA1E8" w14:textId="7BAA17CD" w:rsidR="00911FEE" w:rsidRPr="001420DE" w:rsidRDefault="001420DE" w:rsidP="00F96D15">
      <w:pPr>
        <w:pStyle w:val="Para1"/>
      </w:pPr>
      <w:r w:rsidRPr="001420DE">
        <w:t>La Conférence des Parties siégeant en tant que réunion des Parties</w:t>
      </w:r>
      <w:r w:rsidR="00F96D15" w:rsidRPr="001420DE">
        <w:t xml:space="preserve"> </w:t>
      </w:r>
      <w:r w:rsidR="00030395" w:rsidRPr="001420DE">
        <w:t>au Protocole de Cartagena</w:t>
      </w:r>
      <w:r w:rsidR="00F96D15" w:rsidRPr="001420DE">
        <w:t xml:space="preserve"> </w:t>
      </w:r>
      <w:r>
        <w:t>a adopté le projet de décision</w:t>
      </w:r>
      <w:r w:rsidR="00F96D15" w:rsidRPr="001420DE">
        <w:t xml:space="preserve"> CBD/CP/MOP/9/L.13 </w:t>
      </w:r>
      <w:r>
        <w:t>en tant que décision</w:t>
      </w:r>
      <w:r w:rsidR="00A441A2">
        <w:t xml:space="preserve"> CP-9</w:t>
      </w:r>
      <w:r w:rsidR="00F96D15" w:rsidRPr="001420DE">
        <w:t>/13 (</w:t>
      </w:r>
      <w:r>
        <w:t>pour le texte, voir le chapitre I</w:t>
      </w:r>
      <w:r w:rsidR="00F96D15" w:rsidRPr="001420DE">
        <w:t>).</w:t>
      </w:r>
    </w:p>
    <w:p w14:paraId="32838AD4" w14:textId="77777777" w:rsidR="005C4A6F" w:rsidRPr="00A508D7" w:rsidRDefault="005C4A6F" w:rsidP="00E03306">
      <w:pPr>
        <w:pStyle w:val="Heading1multiline"/>
        <w:ind w:hanging="1275"/>
      </w:pPr>
      <w:bookmarkStart w:id="58" w:name="_Toc7428875"/>
      <w:r w:rsidRPr="00A508D7">
        <w:rPr>
          <w:lang w:bidi="fr-FR"/>
        </w:rPr>
        <w:t xml:space="preserve">POINT 16. </w:t>
      </w:r>
      <w:r w:rsidRPr="00A508D7">
        <w:rPr>
          <w:lang w:bidi="fr-FR"/>
        </w:rPr>
        <w:tab/>
      </w:r>
      <w:r w:rsidRPr="00A508D7">
        <w:rPr>
          <w:kern w:val="22"/>
          <w:szCs w:val="22"/>
          <w:lang w:bidi="fr-FR"/>
        </w:rPr>
        <w:t>Mouvements transfronti</w:t>
      </w:r>
      <w:r w:rsidRPr="00A508D7">
        <w:rPr>
          <w:rFonts w:cs="Times New Roman"/>
          <w:kern w:val="22"/>
          <w:szCs w:val="22"/>
          <w:lang w:bidi="fr-FR"/>
        </w:rPr>
        <w:t>È</w:t>
      </w:r>
      <w:r w:rsidRPr="00A508D7">
        <w:rPr>
          <w:kern w:val="22"/>
          <w:szCs w:val="22"/>
          <w:lang w:bidi="fr-FR"/>
        </w:rPr>
        <w:t>res non intentionnels et mesures d’urgence (Article 17)</w:t>
      </w:r>
      <w:bookmarkEnd w:id="58"/>
      <w:r w:rsidRPr="00A508D7">
        <w:rPr>
          <w:kern w:val="22"/>
          <w:szCs w:val="22"/>
          <w:lang w:bidi="fr-FR"/>
        </w:rPr>
        <w:t xml:space="preserve"> </w:t>
      </w:r>
    </w:p>
    <w:p w14:paraId="7B71AF78" w14:textId="66DA49E5" w:rsidR="005C4A6F" w:rsidRPr="00A508D7" w:rsidRDefault="005C4A6F" w:rsidP="005C4A6F">
      <w:pPr>
        <w:pStyle w:val="Para1"/>
      </w:pPr>
      <w:r w:rsidRPr="00A508D7">
        <w:rPr>
          <w:lang w:bidi="fr-FR"/>
        </w:rPr>
        <w:t>Le Groupe de travail II a examiné le poi</w:t>
      </w:r>
      <w:r w:rsidR="00CD5C38">
        <w:rPr>
          <w:lang w:bidi="fr-FR"/>
        </w:rPr>
        <w:t>nt 16 de l'ordre du jour à sa 2</w:t>
      </w:r>
      <w:r w:rsidR="00CD5C38" w:rsidRPr="00CD5C38">
        <w:rPr>
          <w:vertAlign w:val="superscript"/>
          <w:lang w:bidi="fr-FR"/>
        </w:rPr>
        <w:t>ème</w:t>
      </w:r>
      <w:r w:rsidRPr="00A508D7">
        <w:rPr>
          <w:lang w:bidi="fr-FR"/>
        </w:rPr>
        <w:t xml:space="preserve"> réunio</w:t>
      </w:r>
      <w:r w:rsidR="00C61772">
        <w:rPr>
          <w:lang w:bidi="fr-FR"/>
        </w:rPr>
        <w:t xml:space="preserve">n, le 18 novembre 2018. Pour </w:t>
      </w:r>
      <w:r w:rsidRPr="00A508D7">
        <w:rPr>
          <w:lang w:bidi="fr-FR"/>
        </w:rPr>
        <w:t>l'examen de ce point, le Groupe de travail disposait d'un rapport succinct sur les activités entreprises en application de la décision CP-VIII/16 (CBD/CP/MOP/9/8), y compris un projet de décision</w:t>
      </w:r>
      <w:r w:rsidR="00911FEE">
        <w:rPr>
          <w:lang w:bidi="fr-FR"/>
        </w:rPr>
        <w:t> </w:t>
      </w:r>
      <w:r w:rsidRPr="00A508D7">
        <w:rPr>
          <w:lang w:bidi="fr-FR"/>
        </w:rPr>
        <w:t xml:space="preserve">; une version révisée du projet de manuel de formation sur la détection et l'identification des organismes vivants modifiés (CBD/CP/MOP/9/8/Add.1) ; et un résumé des activités de renforcement des capacités sur la détection et l'identification des organismes vivants modifiés (CBD/CP/MOP/9/INF/4). </w:t>
      </w:r>
    </w:p>
    <w:p w14:paraId="5365813C" w14:textId="4DAECF03" w:rsidR="005C4A6F" w:rsidRPr="00A508D7" w:rsidRDefault="005C4A6F" w:rsidP="005C4A6F">
      <w:pPr>
        <w:pStyle w:val="Para1"/>
      </w:pPr>
      <w:r w:rsidRPr="00A508D7">
        <w:rPr>
          <w:lang w:bidi="fr-FR"/>
        </w:rPr>
        <w:t>Des déclarations ont été faites par les représentan</w:t>
      </w:r>
      <w:r w:rsidR="00C61772">
        <w:rPr>
          <w:lang w:bidi="fr-FR"/>
        </w:rPr>
        <w:t xml:space="preserve">ts des pays suivants : </w:t>
      </w:r>
      <w:r w:rsidR="00C61772" w:rsidRPr="00A508D7">
        <w:rPr>
          <w:lang w:bidi="fr-FR"/>
        </w:rPr>
        <w:t xml:space="preserve">Afrique du Sud, </w:t>
      </w:r>
      <w:r w:rsidR="00C61772">
        <w:rPr>
          <w:lang w:bidi="fr-FR"/>
        </w:rPr>
        <w:t>Be</w:t>
      </w:r>
      <w:r w:rsidRPr="00A508D7">
        <w:rPr>
          <w:lang w:bidi="fr-FR"/>
        </w:rPr>
        <w:t xml:space="preserve">larus, Bolivie (état Plurinational de), Costa Rica, Équateur, Gabon, Ghana, Guatemala, Guinée, Honduras, Inde, Indonésie, Kenya, Malawi, Mexique, Namibie, Oman, Panama, Paraguay, Pérou, </w:t>
      </w:r>
      <w:r w:rsidR="00C61772" w:rsidRPr="00A508D7">
        <w:rPr>
          <w:lang w:bidi="fr-FR"/>
        </w:rPr>
        <w:t xml:space="preserve">République centrafricaine, </w:t>
      </w:r>
      <w:r w:rsidRPr="00A508D7">
        <w:rPr>
          <w:lang w:bidi="fr-FR"/>
        </w:rPr>
        <w:t>République de Corée, Sri Lanka, Tadjikistan, Thaïlande</w:t>
      </w:r>
      <w:r w:rsidR="00C61772">
        <w:rPr>
          <w:lang w:bidi="fr-FR"/>
        </w:rPr>
        <w:t xml:space="preserve">, </w:t>
      </w:r>
      <w:r w:rsidR="00C61772" w:rsidRPr="00A508D7">
        <w:rPr>
          <w:lang w:bidi="fr-FR"/>
        </w:rPr>
        <w:t xml:space="preserve">Union européenne et ses 28 États membres, </w:t>
      </w:r>
      <w:r w:rsidR="00C61772">
        <w:rPr>
          <w:lang w:bidi="fr-FR"/>
        </w:rPr>
        <w:t xml:space="preserve">et </w:t>
      </w:r>
      <w:r w:rsidRPr="00A508D7">
        <w:rPr>
          <w:lang w:bidi="fr-FR"/>
        </w:rPr>
        <w:t>Uruguay.</w:t>
      </w:r>
    </w:p>
    <w:p w14:paraId="781BB156" w14:textId="644FB6ED" w:rsidR="005C4A6F" w:rsidRPr="00A508D7" w:rsidRDefault="005C4A6F" w:rsidP="005C4A6F">
      <w:pPr>
        <w:pStyle w:val="Para1"/>
        <w:rPr>
          <w:rFonts w:cs="Arial"/>
          <w:color w:val="222222"/>
          <w:shd w:val="clear" w:color="auto" w:fill="FFFFFF"/>
        </w:rPr>
      </w:pPr>
      <w:r w:rsidRPr="00A508D7">
        <w:rPr>
          <w:lang w:bidi="fr-FR"/>
        </w:rPr>
        <w:t>Une déclaration a également été faite par un représen</w:t>
      </w:r>
      <w:r w:rsidR="00C61772">
        <w:rPr>
          <w:lang w:bidi="fr-FR"/>
        </w:rPr>
        <w:t>tant de l'Argentine</w:t>
      </w:r>
      <w:r w:rsidRPr="00A508D7">
        <w:rPr>
          <w:lang w:bidi="fr-FR"/>
        </w:rPr>
        <w:t>.</w:t>
      </w:r>
    </w:p>
    <w:p w14:paraId="596F2893" w14:textId="6C36B452" w:rsidR="005C4A6F" w:rsidRPr="00A508D7" w:rsidRDefault="005C4A6F" w:rsidP="005C4A6F">
      <w:pPr>
        <w:pStyle w:val="Para1"/>
      </w:pPr>
      <w:r w:rsidRPr="00A508D7">
        <w:rPr>
          <w:lang w:bidi="fr-FR"/>
        </w:rPr>
        <w:lastRenderedPageBreak/>
        <w:t xml:space="preserve">Après l’échange de vues, </w:t>
      </w:r>
      <w:r w:rsidR="00C61772">
        <w:rPr>
          <w:lang w:bidi="fr-FR"/>
        </w:rPr>
        <w:t>la</w:t>
      </w:r>
      <w:r w:rsidR="008500EE">
        <w:rPr>
          <w:lang w:bidi="fr-FR"/>
        </w:rPr>
        <w:t xml:space="preserve"> président</w:t>
      </w:r>
      <w:r w:rsidR="00C61772">
        <w:rPr>
          <w:lang w:bidi="fr-FR"/>
        </w:rPr>
        <w:t>e a fait savoir</w:t>
      </w:r>
      <w:r w:rsidRPr="00A508D7">
        <w:rPr>
          <w:lang w:bidi="fr-FR"/>
        </w:rPr>
        <w:t xml:space="preserve"> qu’elle préparerait un </w:t>
      </w:r>
      <w:r w:rsidR="00DB542F">
        <w:rPr>
          <w:lang w:bidi="fr-FR"/>
        </w:rPr>
        <w:t>projet de décision révisé</w:t>
      </w:r>
      <w:r w:rsidR="00C61772">
        <w:rPr>
          <w:lang w:bidi="fr-FR"/>
        </w:rPr>
        <w:t xml:space="preserve"> pour examen par le G</w:t>
      </w:r>
      <w:r w:rsidRPr="00A508D7">
        <w:rPr>
          <w:lang w:bidi="fr-FR"/>
        </w:rPr>
        <w:t>roupe de travail, prenant en considération les vues exprimées oralement et présentées par écrit.</w:t>
      </w:r>
    </w:p>
    <w:p w14:paraId="187484D1" w14:textId="678D925A" w:rsidR="005C4A6F" w:rsidRPr="00A508D7" w:rsidRDefault="00CD5C38" w:rsidP="005C4A6F">
      <w:pPr>
        <w:pStyle w:val="Para1"/>
      </w:pPr>
      <w:r>
        <w:rPr>
          <w:lang w:bidi="fr-FR"/>
        </w:rPr>
        <w:t>À sa 7</w:t>
      </w:r>
      <w:r w:rsidRPr="00CD5C38">
        <w:rPr>
          <w:vertAlign w:val="superscript"/>
          <w:lang w:bidi="fr-FR"/>
        </w:rPr>
        <w:t>ème</w:t>
      </w:r>
      <w:r w:rsidR="005C4A6F" w:rsidRPr="00A508D7">
        <w:rPr>
          <w:lang w:bidi="fr-FR"/>
        </w:rPr>
        <w:t xml:space="preserve"> réunion, le mercredi 21 novembre, le Groupe de travail a examiné le projet </w:t>
      </w:r>
      <w:r w:rsidR="00C61772">
        <w:rPr>
          <w:lang w:bidi="fr-FR"/>
        </w:rPr>
        <w:t>de décision révisé établi par la</w:t>
      </w:r>
      <w:r w:rsidR="008500EE">
        <w:rPr>
          <w:lang w:bidi="fr-FR"/>
        </w:rPr>
        <w:t xml:space="preserve"> président</w:t>
      </w:r>
      <w:r w:rsidR="00C61772">
        <w:rPr>
          <w:lang w:bidi="fr-FR"/>
        </w:rPr>
        <w:t>e</w:t>
      </w:r>
      <w:r w:rsidR="005C4A6F" w:rsidRPr="00A508D7">
        <w:rPr>
          <w:lang w:bidi="fr-FR"/>
        </w:rPr>
        <w:t>.</w:t>
      </w:r>
    </w:p>
    <w:p w14:paraId="4918119A" w14:textId="71895A7D" w:rsidR="005C4A6F" w:rsidRPr="00A508D7" w:rsidRDefault="005C4A6F" w:rsidP="005C4A6F">
      <w:pPr>
        <w:pStyle w:val="Para1"/>
      </w:pPr>
      <w:r w:rsidRPr="00A508D7">
        <w:rPr>
          <w:lang w:bidi="fr-FR"/>
        </w:rPr>
        <w:t>Des déclarations ont été faites par les représentants d</w:t>
      </w:r>
      <w:r w:rsidR="00E46C1D" w:rsidRPr="00A508D7">
        <w:rPr>
          <w:lang w:bidi="fr-FR"/>
        </w:rPr>
        <w:t xml:space="preserve">e l’Afrique du Sud, Arabie saoudite, </w:t>
      </w:r>
      <w:r w:rsidR="00C61772">
        <w:rPr>
          <w:lang w:bidi="fr-FR"/>
        </w:rPr>
        <w:t>Be</w:t>
      </w:r>
      <w:r w:rsidRPr="00A508D7">
        <w:rPr>
          <w:lang w:bidi="fr-FR"/>
        </w:rPr>
        <w:t xml:space="preserve">larus, Bolivie (état Plurinational de), Brésil, Cameroun, Colombie, Costa Rica, Égypte, Gabon, Honduras, Indonésie, Mexique, Namibie, </w:t>
      </w:r>
      <w:r w:rsidR="00E46C1D" w:rsidRPr="00A508D7">
        <w:rPr>
          <w:lang w:bidi="fr-FR"/>
        </w:rPr>
        <w:t xml:space="preserve">Ouganda, </w:t>
      </w:r>
      <w:r w:rsidRPr="00A508D7">
        <w:rPr>
          <w:lang w:bidi="fr-FR"/>
        </w:rPr>
        <w:t>Panama, P</w:t>
      </w:r>
      <w:r w:rsidR="00C61772">
        <w:rPr>
          <w:lang w:bidi="fr-FR"/>
        </w:rPr>
        <w:t xml:space="preserve">araguay, Suisse, Tadjikistan, </w:t>
      </w:r>
      <w:r w:rsidR="00C61772" w:rsidRPr="00A508D7">
        <w:rPr>
          <w:lang w:bidi="fr-FR"/>
        </w:rPr>
        <w:t xml:space="preserve">Union européenne et ses 28 États membres, </w:t>
      </w:r>
      <w:r w:rsidR="00C61772">
        <w:rPr>
          <w:lang w:bidi="fr-FR"/>
        </w:rPr>
        <w:t xml:space="preserve">et </w:t>
      </w:r>
      <w:r w:rsidRPr="00A508D7">
        <w:rPr>
          <w:lang w:bidi="fr-FR"/>
        </w:rPr>
        <w:t>Venezuela (République bolivarienne du).</w:t>
      </w:r>
    </w:p>
    <w:p w14:paraId="3B682C51" w14:textId="5D0D5956" w:rsidR="005C4A6F" w:rsidRPr="00A508D7" w:rsidRDefault="005C4A6F" w:rsidP="005C4A6F">
      <w:pPr>
        <w:pStyle w:val="Para1"/>
        <w:rPr>
          <w:iCs/>
        </w:rPr>
      </w:pPr>
      <w:r w:rsidRPr="00A508D7">
        <w:rPr>
          <w:lang w:bidi="fr-FR"/>
        </w:rPr>
        <w:t>Une autre déclaration a été faite par un représen</w:t>
      </w:r>
      <w:r w:rsidR="00C61772">
        <w:rPr>
          <w:lang w:bidi="fr-FR"/>
        </w:rPr>
        <w:t>tant de l'Argentine</w:t>
      </w:r>
      <w:r w:rsidRPr="00A508D7">
        <w:rPr>
          <w:lang w:bidi="fr-FR"/>
        </w:rPr>
        <w:t xml:space="preserve">. </w:t>
      </w:r>
    </w:p>
    <w:p w14:paraId="2679046E" w14:textId="1AA4C3F9" w:rsidR="005C4A6F" w:rsidRPr="00A508D7" w:rsidRDefault="005C4A6F" w:rsidP="005C4A6F">
      <w:pPr>
        <w:pStyle w:val="Para1"/>
        <w:rPr>
          <w:iCs/>
        </w:rPr>
      </w:pPr>
      <w:r w:rsidRPr="00A508D7">
        <w:rPr>
          <w:lang w:bidi="fr-FR"/>
        </w:rPr>
        <w:t>Le Groupe de travail a convenu de tenir des discussions informelles sur le</w:t>
      </w:r>
      <w:r w:rsidR="00C61772">
        <w:rPr>
          <w:lang w:bidi="fr-FR"/>
        </w:rPr>
        <w:t xml:space="preserve">s parties </w:t>
      </w:r>
      <w:r w:rsidRPr="00A508D7">
        <w:rPr>
          <w:lang w:bidi="fr-FR"/>
        </w:rPr>
        <w:t>non résolu</w:t>
      </w:r>
      <w:r w:rsidR="00C61772">
        <w:rPr>
          <w:lang w:bidi="fr-FR"/>
        </w:rPr>
        <w:t>es du texte</w:t>
      </w:r>
      <w:r w:rsidRPr="00A508D7">
        <w:rPr>
          <w:lang w:bidi="fr-FR"/>
        </w:rPr>
        <w:t>.</w:t>
      </w:r>
    </w:p>
    <w:p w14:paraId="0BABC41C" w14:textId="7A30D9BD" w:rsidR="005C4A6F" w:rsidRPr="00A508D7" w:rsidRDefault="00CD5C38" w:rsidP="005C4A6F">
      <w:pPr>
        <w:pStyle w:val="Para1"/>
      </w:pPr>
      <w:r>
        <w:rPr>
          <w:lang w:bidi="fr-FR"/>
        </w:rPr>
        <w:t>À sa 8</w:t>
      </w:r>
      <w:r w:rsidRPr="00CD5C38">
        <w:rPr>
          <w:vertAlign w:val="superscript"/>
          <w:lang w:bidi="fr-FR"/>
        </w:rPr>
        <w:t>ème</w:t>
      </w:r>
      <w:r w:rsidR="005C4A6F" w:rsidRPr="00A508D7">
        <w:rPr>
          <w:lang w:bidi="fr-FR"/>
        </w:rPr>
        <w:t xml:space="preserve"> réunion, le 22 novembre 2018, le Groupe de travail a repris l'examen du projet de décision révisé, y compris les amendements proposés sur la base des discussions informelles. </w:t>
      </w:r>
    </w:p>
    <w:p w14:paraId="578F18F9" w14:textId="571185A3" w:rsidR="005C4A6F" w:rsidRPr="00A508D7" w:rsidRDefault="005C4A6F" w:rsidP="005C4A6F">
      <w:pPr>
        <w:pStyle w:val="Para1"/>
      </w:pPr>
      <w:r w:rsidRPr="00A508D7">
        <w:rPr>
          <w:lang w:bidi="fr-FR"/>
        </w:rPr>
        <w:t xml:space="preserve">Des déclarations ont été faites par les représentants du Brésil, </w:t>
      </w:r>
      <w:r w:rsidR="00F22329">
        <w:rPr>
          <w:lang w:bidi="fr-FR"/>
        </w:rPr>
        <w:t xml:space="preserve">de l’Ouganda, </w:t>
      </w:r>
      <w:r w:rsidRPr="00A508D7">
        <w:rPr>
          <w:lang w:bidi="fr-FR"/>
        </w:rPr>
        <w:t>du Pan</w:t>
      </w:r>
      <w:r w:rsidR="00F22329">
        <w:rPr>
          <w:lang w:bidi="fr-FR"/>
        </w:rPr>
        <w:t>ama et du Paraguay</w:t>
      </w:r>
      <w:r w:rsidRPr="00A508D7">
        <w:rPr>
          <w:lang w:bidi="fr-FR"/>
        </w:rPr>
        <w:t>.</w:t>
      </w:r>
    </w:p>
    <w:p w14:paraId="27BDE824" w14:textId="092CCAB5" w:rsidR="005C4A6F" w:rsidRPr="00A508D7" w:rsidRDefault="00F22329" w:rsidP="005C4A6F">
      <w:pPr>
        <w:pStyle w:val="Para1"/>
      </w:pPr>
      <w:r>
        <w:rPr>
          <w:lang w:bidi="fr-FR"/>
        </w:rPr>
        <w:t>À l'issue des débats</w:t>
      </w:r>
      <w:r w:rsidR="005C4A6F" w:rsidRPr="00A508D7">
        <w:rPr>
          <w:lang w:bidi="fr-FR"/>
        </w:rPr>
        <w:t xml:space="preserve">, le projet de décision, tel que modifié oralement, a été approuvé pour transmission à la plénière en tant que projet de décision CBD/CP/MOP/9/L.2. </w:t>
      </w:r>
    </w:p>
    <w:p w14:paraId="3B7F8532" w14:textId="6F532B9F" w:rsidR="005C4A6F" w:rsidRPr="00A508D7" w:rsidRDefault="00CD5C38" w:rsidP="005C4A6F">
      <w:pPr>
        <w:pStyle w:val="Para1"/>
      </w:pPr>
      <w:r>
        <w:rPr>
          <w:lang w:bidi="fr-FR"/>
        </w:rPr>
        <w:t>À la 5</w:t>
      </w:r>
      <w:r w:rsidRPr="00CD5C38">
        <w:rPr>
          <w:vertAlign w:val="superscript"/>
          <w:lang w:bidi="fr-FR"/>
        </w:rPr>
        <w:t>ème</w:t>
      </w:r>
      <w:r w:rsidR="005C4A6F" w:rsidRPr="00A508D7">
        <w:rPr>
          <w:lang w:bidi="fr-FR"/>
        </w:rPr>
        <w:t xml:space="preserve"> séance plénière de la réunion, le 25 novembre 2018, la Conférence des Parties </w:t>
      </w:r>
      <w:r w:rsidR="00F908C1">
        <w:rPr>
          <w:lang w:bidi="fr-FR"/>
        </w:rPr>
        <w:t>siégeant en tant que</w:t>
      </w:r>
      <w:r w:rsidR="005C4A6F" w:rsidRPr="00A508D7">
        <w:rPr>
          <w:lang w:bidi="fr-FR"/>
        </w:rPr>
        <w:t xml:space="preserve"> réunion des Parties </w:t>
      </w:r>
      <w:r w:rsidR="00F22329">
        <w:rPr>
          <w:lang w:bidi="fr-FR"/>
        </w:rPr>
        <w:t xml:space="preserve">au Protocole de Cartagena </w:t>
      </w:r>
      <w:r w:rsidR="005C4A6F" w:rsidRPr="00A508D7">
        <w:rPr>
          <w:lang w:bidi="fr-FR"/>
        </w:rPr>
        <w:t>a adopté le projet de décision CBD/CP/MOP/9/L.2, tel que modifié ora</w:t>
      </w:r>
      <w:r w:rsidR="00F22329">
        <w:rPr>
          <w:lang w:bidi="fr-FR"/>
        </w:rPr>
        <w:t>lement, en tant que décision CP-9/11 (pour le texte, voir le chapitre I)</w:t>
      </w:r>
      <w:r w:rsidR="005C4A6F" w:rsidRPr="00A508D7">
        <w:rPr>
          <w:lang w:bidi="fr-FR"/>
        </w:rPr>
        <w:t>.</w:t>
      </w:r>
    </w:p>
    <w:p w14:paraId="26259A05" w14:textId="64BD73F0" w:rsidR="005C4A6F" w:rsidRPr="00A508D7" w:rsidRDefault="005C4A6F" w:rsidP="00E03306">
      <w:pPr>
        <w:pStyle w:val="Heading1multiline"/>
        <w:ind w:hanging="1275"/>
      </w:pPr>
      <w:bookmarkStart w:id="59" w:name="_Toc7428876"/>
      <w:r w:rsidRPr="00A508D7">
        <w:rPr>
          <w:lang w:bidi="fr-FR"/>
        </w:rPr>
        <w:t xml:space="preserve">POINT 17. </w:t>
      </w:r>
      <w:r w:rsidRPr="00A508D7">
        <w:rPr>
          <w:lang w:bidi="fr-FR"/>
        </w:rPr>
        <w:tab/>
      </w:r>
      <w:r w:rsidRPr="00A508D7">
        <w:rPr>
          <w:kern w:val="22"/>
          <w:szCs w:val="22"/>
          <w:lang w:bidi="fr-FR"/>
        </w:rPr>
        <w:t>Transit et utilisation</w:t>
      </w:r>
      <w:r w:rsidR="00F22329">
        <w:rPr>
          <w:kern w:val="22"/>
          <w:szCs w:val="22"/>
          <w:lang w:bidi="fr-FR"/>
        </w:rPr>
        <w:t>s</w:t>
      </w:r>
      <w:r w:rsidRPr="00A508D7">
        <w:rPr>
          <w:kern w:val="22"/>
          <w:szCs w:val="22"/>
          <w:lang w:bidi="fr-FR"/>
        </w:rPr>
        <w:t xml:space="preserve"> en milieu confin</w:t>
      </w:r>
      <w:r w:rsidRPr="00A508D7">
        <w:rPr>
          <w:rFonts w:cs="Times New Roman"/>
          <w:kern w:val="22"/>
          <w:szCs w:val="22"/>
          <w:lang w:bidi="fr-FR"/>
        </w:rPr>
        <w:t>É</w:t>
      </w:r>
      <w:r w:rsidRPr="00A508D7">
        <w:rPr>
          <w:kern w:val="22"/>
          <w:szCs w:val="22"/>
          <w:lang w:bidi="fr-FR"/>
        </w:rPr>
        <w:t xml:space="preserve"> d'organismes vivants modifi</w:t>
      </w:r>
      <w:r w:rsidRPr="00A508D7">
        <w:rPr>
          <w:rFonts w:cs="Times New Roman"/>
          <w:kern w:val="22"/>
          <w:szCs w:val="22"/>
          <w:lang w:bidi="fr-FR"/>
        </w:rPr>
        <w:t>É</w:t>
      </w:r>
      <w:r w:rsidRPr="00A508D7">
        <w:rPr>
          <w:kern w:val="22"/>
          <w:szCs w:val="22"/>
          <w:lang w:bidi="fr-FR"/>
        </w:rPr>
        <w:t>s (article 6)</w:t>
      </w:r>
      <w:bookmarkEnd w:id="59"/>
    </w:p>
    <w:p w14:paraId="0B9276E7" w14:textId="76876410" w:rsidR="005C4A6F" w:rsidRPr="00A508D7" w:rsidRDefault="005C4A6F" w:rsidP="005C4A6F">
      <w:pPr>
        <w:pStyle w:val="Para1"/>
      </w:pPr>
      <w:r w:rsidRPr="00A508D7">
        <w:rPr>
          <w:lang w:bidi="fr-FR"/>
        </w:rPr>
        <w:t>Le Groupe de travail II a examiné le poi</w:t>
      </w:r>
      <w:r w:rsidR="00CD5C38">
        <w:rPr>
          <w:lang w:bidi="fr-FR"/>
        </w:rPr>
        <w:t>nt 17 de l'ordre du jour à sa 2</w:t>
      </w:r>
      <w:r w:rsidR="00CD5C38" w:rsidRPr="00CD5C38">
        <w:rPr>
          <w:vertAlign w:val="superscript"/>
          <w:lang w:bidi="fr-FR"/>
        </w:rPr>
        <w:t>ème</w:t>
      </w:r>
      <w:r w:rsidRPr="00A508D7">
        <w:rPr>
          <w:lang w:bidi="fr-FR"/>
        </w:rPr>
        <w:t xml:space="preserve"> réunio</w:t>
      </w:r>
      <w:r w:rsidR="00B14420">
        <w:rPr>
          <w:lang w:bidi="fr-FR"/>
        </w:rPr>
        <w:t xml:space="preserve">n, le 18 novembre 2018. Pour </w:t>
      </w:r>
      <w:r w:rsidRPr="00A508D7">
        <w:rPr>
          <w:lang w:bidi="fr-FR"/>
        </w:rPr>
        <w:t>l'examen de ce point, le Groupe de travail disposait d'un document contenant un résumé de l'évaluation d</w:t>
      </w:r>
      <w:r w:rsidR="00B14420">
        <w:rPr>
          <w:lang w:bidi="fr-FR"/>
        </w:rPr>
        <w:t xml:space="preserve">es informations enregistrées dans le </w:t>
      </w:r>
      <w:r w:rsidRPr="00A508D7">
        <w:rPr>
          <w:lang w:bidi="fr-FR"/>
        </w:rPr>
        <w:t xml:space="preserve">Centre d'échange pour la prévention </w:t>
      </w:r>
      <w:r w:rsidR="00B14420">
        <w:rPr>
          <w:lang w:bidi="fr-FR"/>
        </w:rPr>
        <w:t>des risques biotechnologiques sur les</w:t>
      </w:r>
      <w:r w:rsidRPr="00A508D7">
        <w:rPr>
          <w:lang w:bidi="fr-FR"/>
        </w:rPr>
        <w:t xml:space="preserve"> utilisation</w:t>
      </w:r>
      <w:r w:rsidR="00B14420">
        <w:rPr>
          <w:lang w:bidi="fr-FR"/>
        </w:rPr>
        <w:t>s en milieu confiné,</w:t>
      </w:r>
      <w:r w:rsidRPr="00A508D7">
        <w:rPr>
          <w:lang w:bidi="fr-FR"/>
        </w:rPr>
        <w:t xml:space="preserve"> eff</w:t>
      </w:r>
      <w:r w:rsidR="00B14420">
        <w:rPr>
          <w:lang w:bidi="fr-FR"/>
        </w:rPr>
        <w:t>ectuée par le Comité chargé du respect des obliga</w:t>
      </w:r>
      <w:r w:rsidRPr="00A508D7">
        <w:rPr>
          <w:lang w:bidi="fr-FR"/>
        </w:rPr>
        <w:t xml:space="preserve">tions </w:t>
      </w:r>
      <w:r w:rsidR="00B14420">
        <w:rPr>
          <w:lang w:bidi="fr-FR"/>
        </w:rPr>
        <w:t xml:space="preserve">au titre </w:t>
      </w:r>
      <w:r w:rsidRPr="00A508D7">
        <w:rPr>
          <w:lang w:bidi="fr-FR"/>
        </w:rPr>
        <w:t>du Protocole de Cartagena ; une compi</w:t>
      </w:r>
      <w:r w:rsidR="00B14420">
        <w:rPr>
          <w:lang w:bidi="fr-FR"/>
        </w:rPr>
        <w:t xml:space="preserve">lation des communications sur les </w:t>
      </w:r>
      <w:r w:rsidRPr="00A508D7">
        <w:rPr>
          <w:lang w:bidi="fr-FR"/>
        </w:rPr>
        <w:t>utilisation</w:t>
      </w:r>
      <w:r w:rsidR="00B14420">
        <w:rPr>
          <w:lang w:bidi="fr-FR"/>
        </w:rPr>
        <w:t>s en milieu confiné</w:t>
      </w:r>
      <w:r w:rsidRPr="00A508D7">
        <w:rPr>
          <w:lang w:bidi="fr-FR"/>
        </w:rPr>
        <w:t xml:space="preserve"> d'or</w:t>
      </w:r>
      <w:r w:rsidR="00B14420">
        <w:rPr>
          <w:lang w:bidi="fr-FR"/>
        </w:rPr>
        <w:t xml:space="preserve">ganismes vivants modifiés transmises par </w:t>
      </w:r>
      <w:r w:rsidRPr="00A508D7">
        <w:rPr>
          <w:lang w:bidi="fr-FR"/>
        </w:rPr>
        <w:t>de</w:t>
      </w:r>
      <w:r w:rsidR="00B14420">
        <w:rPr>
          <w:lang w:bidi="fr-FR"/>
        </w:rPr>
        <w:t>s</w:t>
      </w:r>
      <w:r w:rsidRPr="00A508D7">
        <w:rPr>
          <w:lang w:bidi="fr-FR"/>
        </w:rPr>
        <w:t xml:space="preserve"> Parties au Protocole et d'autres gouvernements ; et des éléments proposés pour un projet de décision (CBD/CP/MOP/9/9).</w:t>
      </w:r>
    </w:p>
    <w:p w14:paraId="0CE84188" w14:textId="357B50B6" w:rsidR="005C4A6F" w:rsidRPr="00A508D7" w:rsidRDefault="005C4A6F" w:rsidP="005C4A6F">
      <w:pPr>
        <w:pStyle w:val="Para1"/>
      </w:pPr>
      <w:r w:rsidRPr="00A508D7">
        <w:rPr>
          <w:lang w:bidi="fr-FR"/>
        </w:rPr>
        <w:t>Des déclarations ont été faites par les représentants de la Bolivie (état Plurinational de), du Burundi, de l’Équateur, du Gabon, du Guatemala,</w:t>
      </w:r>
      <w:r w:rsidR="00A508D7">
        <w:rPr>
          <w:lang w:bidi="fr-FR"/>
        </w:rPr>
        <w:t xml:space="preserve"> du </w:t>
      </w:r>
      <w:r w:rsidRPr="00A508D7">
        <w:rPr>
          <w:lang w:bidi="fr-FR"/>
        </w:rPr>
        <w:t xml:space="preserve">Honduras, de l’Inde, de l’Indonésie, du Kenya, du Malawi, du Mexique, du Maroc, de la Namibie, du Niger, du Nigéria, </w:t>
      </w:r>
      <w:r w:rsidR="00B14420">
        <w:rPr>
          <w:lang w:bidi="fr-FR"/>
        </w:rPr>
        <w:t xml:space="preserve">de </w:t>
      </w:r>
      <w:r w:rsidR="00B14420" w:rsidRPr="00A508D7">
        <w:rPr>
          <w:color w:val="333333"/>
          <w:lang w:bidi="fr-FR"/>
        </w:rPr>
        <w:t>l’Ouganda</w:t>
      </w:r>
      <w:r w:rsidR="00B14420" w:rsidRPr="00A508D7">
        <w:rPr>
          <w:lang w:bidi="fr-FR"/>
        </w:rPr>
        <w:t>.</w:t>
      </w:r>
      <w:r w:rsidR="00B14420" w:rsidRPr="00B14420">
        <w:rPr>
          <w:lang w:bidi="fr-FR"/>
        </w:rPr>
        <w:t xml:space="preserve"> </w:t>
      </w:r>
      <w:r w:rsidRPr="00A508D7">
        <w:rPr>
          <w:lang w:bidi="fr-FR"/>
        </w:rPr>
        <w:t xml:space="preserve">du </w:t>
      </w:r>
      <w:r w:rsidR="00A508D7" w:rsidRPr="00A508D7">
        <w:rPr>
          <w:lang w:bidi="fr-FR"/>
        </w:rPr>
        <w:t>Pérou, du</w:t>
      </w:r>
      <w:r w:rsidRPr="00A508D7">
        <w:rPr>
          <w:lang w:bidi="fr-FR"/>
        </w:rPr>
        <w:t xml:space="preserve"> Sénégal, de la Suisse, de la Thaïlande, du Togo et </w:t>
      </w:r>
      <w:r w:rsidR="00B14420" w:rsidRPr="00A508D7">
        <w:rPr>
          <w:lang w:bidi="fr-FR"/>
        </w:rPr>
        <w:t>de l’Union européenne et ses 28 États membres,</w:t>
      </w:r>
    </w:p>
    <w:p w14:paraId="4526A811" w14:textId="308FA9DC" w:rsidR="005C4A6F" w:rsidRPr="00A508D7" w:rsidRDefault="005C4A6F" w:rsidP="005C4A6F">
      <w:pPr>
        <w:pStyle w:val="Para1"/>
      </w:pPr>
      <w:r w:rsidRPr="00A508D7">
        <w:rPr>
          <w:lang w:bidi="fr-FR"/>
        </w:rPr>
        <w:t>Un représentant de Third World Network a fait également une déclaration.</w:t>
      </w:r>
    </w:p>
    <w:p w14:paraId="770A6DB6" w14:textId="6328C66C" w:rsidR="005C4A6F" w:rsidRPr="00A508D7" w:rsidRDefault="005C4A6F" w:rsidP="005C4A6F">
      <w:pPr>
        <w:pStyle w:val="Para1"/>
      </w:pPr>
      <w:r w:rsidRPr="00A508D7">
        <w:rPr>
          <w:lang w:bidi="fr-FR"/>
        </w:rPr>
        <w:t xml:space="preserve">Après l’échange de vues, </w:t>
      </w:r>
      <w:r w:rsidR="00B14420">
        <w:rPr>
          <w:lang w:bidi="fr-FR"/>
        </w:rPr>
        <w:t>la</w:t>
      </w:r>
      <w:r w:rsidR="008500EE">
        <w:rPr>
          <w:lang w:bidi="fr-FR"/>
        </w:rPr>
        <w:t xml:space="preserve"> président</w:t>
      </w:r>
      <w:r w:rsidR="00B14420">
        <w:rPr>
          <w:lang w:bidi="fr-FR"/>
        </w:rPr>
        <w:t>e</w:t>
      </w:r>
      <w:r w:rsidRPr="00A508D7">
        <w:rPr>
          <w:lang w:bidi="fr-FR"/>
        </w:rPr>
        <w:t xml:space="preserve"> a indiqué qu’elle allait préparer un projet </w:t>
      </w:r>
      <w:r w:rsidR="00B14420">
        <w:rPr>
          <w:lang w:bidi="fr-FR"/>
        </w:rPr>
        <w:t>de décision pour examen par le G</w:t>
      </w:r>
      <w:r w:rsidRPr="00A508D7">
        <w:rPr>
          <w:lang w:bidi="fr-FR"/>
        </w:rPr>
        <w:t>roupe de travail, en tenant compte des opinions exprimées oralement et présentées par écrit et, éventuellement, en consultation avec les Parties intéressées.</w:t>
      </w:r>
    </w:p>
    <w:p w14:paraId="661FE1A4" w14:textId="59523F70" w:rsidR="005C4A6F" w:rsidRPr="00A508D7" w:rsidRDefault="00CD5C38" w:rsidP="005C4A6F">
      <w:pPr>
        <w:pStyle w:val="Para1"/>
      </w:pPr>
      <w:r>
        <w:rPr>
          <w:lang w:bidi="fr-FR"/>
        </w:rPr>
        <w:t>À sa 10</w:t>
      </w:r>
      <w:r w:rsidRPr="00CD5C38">
        <w:rPr>
          <w:vertAlign w:val="superscript"/>
          <w:lang w:bidi="fr-FR"/>
        </w:rPr>
        <w:t>ème</w:t>
      </w:r>
      <w:r w:rsidR="00B14420">
        <w:rPr>
          <w:lang w:bidi="fr-FR"/>
        </w:rPr>
        <w:t xml:space="preserve"> réunion, le </w:t>
      </w:r>
      <w:r w:rsidR="005C4A6F" w:rsidRPr="00A508D7">
        <w:rPr>
          <w:lang w:bidi="fr-FR"/>
        </w:rPr>
        <w:t>25 novembre</w:t>
      </w:r>
      <w:r w:rsidR="00B14420">
        <w:rPr>
          <w:lang w:bidi="fr-FR"/>
        </w:rPr>
        <w:t xml:space="preserve"> 2018, le G</w:t>
      </w:r>
      <w:r w:rsidR="005C4A6F" w:rsidRPr="00A508D7">
        <w:rPr>
          <w:lang w:bidi="fr-FR"/>
        </w:rPr>
        <w:t>roupe de travail a examiné</w:t>
      </w:r>
      <w:r w:rsidR="00B14420">
        <w:rPr>
          <w:lang w:bidi="fr-FR"/>
        </w:rPr>
        <w:t xml:space="preserve"> le projet de décision établi</w:t>
      </w:r>
      <w:r w:rsidR="005C4A6F" w:rsidRPr="00A508D7">
        <w:rPr>
          <w:lang w:bidi="fr-FR"/>
        </w:rPr>
        <w:t xml:space="preserve"> par </w:t>
      </w:r>
      <w:r w:rsidR="00B14420">
        <w:rPr>
          <w:lang w:bidi="fr-FR"/>
        </w:rPr>
        <w:t>la</w:t>
      </w:r>
      <w:r w:rsidR="008500EE">
        <w:rPr>
          <w:lang w:bidi="fr-FR"/>
        </w:rPr>
        <w:t xml:space="preserve"> président</w:t>
      </w:r>
      <w:r w:rsidR="00B14420">
        <w:rPr>
          <w:lang w:bidi="fr-FR"/>
        </w:rPr>
        <w:t>e</w:t>
      </w:r>
      <w:r w:rsidR="005C4A6F" w:rsidRPr="00A508D7">
        <w:rPr>
          <w:lang w:bidi="fr-FR"/>
        </w:rPr>
        <w:t>.</w:t>
      </w:r>
    </w:p>
    <w:p w14:paraId="70203A99" w14:textId="77777777" w:rsidR="005C4A6F" w:rsidRPr="00A508D7" w:rsidRDefault="005C4A6F" w:rsidP="005C4A6F">
      <w:pPr>
        <w:pStyle w:val="Para1"/>
      </w:pPr>
      <w:r w:rsidRPr="00A508D7">
        <w:rPr>
          <w:lang w:bidi="fr-FR"/>
        </w:rPr>
        <w:t>Des déclarations ont été faites par les représentants de la Bolivie (état Plurinational de), Gabon, Honduras, Mexique, Panama et Suisse.</w:t>
      </w:r>
    </w:p>
    <w:p w14:paraId="1F75009C" w14:textId="321E8725" w:rsidR="005C4A6F" w:rsidRPr="00A508D7" w:rsidRDefault="00B14420" w:rsidP="005C4A6F">
      <w:pPr>
        <w:pStyle w:val="Para1"/>
      </w:pPr>
      <w:r>
        <w:rPr>
          <w:lang w:bidi="fr-FR"/>
        </w:rPr>
        <w:t>À l'issue de</w:t>
      </w:r>
      <w:r w:rsidR="005C4A6F" w:rsidRPr="00A508D7">
        <w:rPr>
          <w:lang w:bidi="fr-FR"/>
        </w:rPr>
        <w:t>s</w:t>
      </w:r>
      <w:r>
        <w:rPr>
          <w:lang w:bidi="fr-FR"/>
        </w:rPr>
        <w:t xml:space="preserve"> débats</w:t>
      </w:r>
      <w:r w:rsidR="005C4A6F" w:rsidRPr="00A508D7">
        <w:rPr>
          <w:lang w:bidi="fr-FR"/>
        </w:rPr>
        <w:t xml:space="preserve">, le projet de décision, tel que modifié oralement, a été approuvé pour transmission à la plénière en tant que projet de décision CBD/CP/MOP/9/L.7. </w:t>
      </w:r>
    </w:p>
    <w:p w14:paraId="21B1E218" w14:textId="7D5F83D0" w:rsidR="00F96D15" w:rsidRPr="00030395" w:rsidRDefault="00CD5C38" w:rsidP="00F96D15">
      <w:pPr>
        <w:pStyle w:val="Para1"/>
      </w:pPr>
      <w:r>
        <w:lastRenderedPageBreak/>
        <w:t>A la 7</w:t>
      </w:r>
      <w:r w:rsidRPr="00CD5C38">
        <w:rPr>
          <w:vertAlign w:val="superscript"/>
        </w:rPr>
        <w:t>ème</w:t>
      </w:r>
      <w:r>
        <w:t xml:space="preserve">  </w:t>
      </w:r>
      <w:r w:rsidR="00030395" w:rsidRPr="00030395">
        <w:t>séance plénière de la réunion</w:t>
      </w:r>
      <w:r w:rsidR="00F96D15" w:rsidRPr="00030395">
        <w:t xml:space="preserve">, </w:t>
      </w:r>
      <w:r w:rsidR="0022341B">
        <w:t>le 28 novembre</w:t>
      </w:r>
      <w:r w:rsidR="00F96D15" w:rsidRPr="00030395">
        <w:t xml:space="preserve"> 2018, </w:t>
      </w:r>
      <w:r w:rsidR="00030395" w:rsidRPr="00030395">
        <w:t>la Conférence des Parties siégeant en tant que réunion des Parties</w:t>
      </w:r>
      <w:r w:rsidR="00F96D15" w:rsidRPr="00030395">
        <w:t xml:space="preserve"> </w:t>
      </w:r>
      <w:r w:rsidR="00030395">
        <w:t>au Protocole de Cartagena</w:t>
      </w:r>
      <w:r w:rsidR="00F96D15" w:rsidRPr="00030395">
        <w:t xml:space="preserve"> </w:t>
      </w:r>
      <w:r w:rsidR="0022341B">
        <w:t>a examiné</w:t>
      </w:r>
      <w:r w:rsidR="00F96D15" w:rsidRPr="00030395">
        <w:t xml:space="preserve"> </w:t>
      </w:r>
      <w:r w:rsidR="00F908C1">
        <w:t xml:space="preserve">le projet de décision </w:t>
      </w:r>
      <w:r w:rsidR="00F96D15" w:rsidRPr="00030395">
        <w:t>CBD/CP/MOP/9/L.7.</w:t>
      </w:r>
    </w:p>
    <w:p w14:paraId="66A5326B" w14:textId="4A50177F" w:rsidR="005C4A6F" w:rsidRPr="001420DE" w:rsidRDefault="001420DE" w:rsidP="00F96D15">
      <w:pPr>
        <w:pStyle w:val="Para1"/>
      </w:pPr>
      <w:r w:rsidRPr="001420DE">
        <w:t>La Conférence des Parties siégeant en tant que réunion des Parties</w:t>
      </w:r>
      <w:r w:rsidR="00F96D15" w:rsidRPr="001420DE">
        <w:t xml:space="preserve"> </w:t>
      </w:r>
      <w:r w:rsidR="00030395" w:rsidRPr="001420DE">
        <w:t>au Protocole de Cartagena</w:t>
      </w:r>
      <w:r w:rsidR="00F96D15" w:rsidRPr="001420DE">
        <w:t xml:space="preserve"> </w:t>
      </w:r>
      <w:r>
        <w:t>a adopté le projet de décision</w:t>
      </w:r>
      <w:r w:rsidR="00F96D15" w:rsidRPr="001420DE">
        <w:t xml:space="preserve"> CBD/CP/MOP/9/L.7 </w:t>
      </w:r>
      <w:r>
        <w:t>en tant que décision</w:t>
      </w:r>
      <w:r w:rsidR="00A441A2">
        <w:t xml:space="preserve"> CP-9</w:t>
      </w:r>
      <w:r w:rsidR="00F96D15" w:rsidRPr="001420DE">
        <w:t>/12 (</w:t>
      </w:r>
      <w:r>
        <w:t>pour le texte, voir le chapitre I</w:t>
      </w:r>
      <w:r w:rsidR="00F96D15" w:rsidRPr="001420DE">
        <w:t>)</w:t>
      </w:r>
      <w:r w:rsidR="005C4A6F" w:rsidRPr="001420DE">
        <w:rPr>
          <w:lang w:bidi="fr-FR"/>
        </w:rPr>
        <w:t>.</w:t>
      </w:r>
    </w:p>
    <w:p w14:paraId="6A8C133A" w14:textId="383B14D1" w:rsidR="005C4A6F" w:rsidRPr="00A508D7" w:rsidRDefault="005C4A6F" w:rsidP="005C4A6F">
      <w:pPr>
        <w:pStyle w:val="Heading1multiline"/>
      </w:pPr>
      <w:bookmarkStart w:id="60" w:name="_Toc7428877"/>
      <w:r w:rsidRPr="00A508D7">
        <w:rPr>
          <w:lang w:bidi="fr-FR"/>
        </w:rPr>
        <w:t xml:space="preserve">POINT 18. </w:t>
      </w:r>
      <w:r w:rsidRPr="00A508D7">
        <w:rPr>
          <w:lang w:bidi="fr-FR"/>
        </w:rPr>
        <w:tab/>
      </w:r>
      <w:r w:rsidRPr="00A508D7">
        <w:rPr>
          <w:kern w:val="22"/>
          <w:szCs w:val="22"/>
          <w:lang w:bidi="fr-FR"/>
        </w:rPr>
        <w:t>Consid</w:t>
      </w:r>
      <w:r w:rsidRPr="00A508D7">
        <w:rPr>
          <w:rFonts w:cs="Times New Roman"/>
          <w:kern w:val="22"/>
          <w:szCs w:val="22"/>
          <w:lang w:bidi="fr-FR"/>
        </w:rPr>
        <w:t>É</w:t>
      </w:r>
      <w:r w:rsidR="00E03306">
        <w:rPr>
          <w:kern w:val="22"/>
          <w:szCs w:val="22"/>
          <w:lang w:bidi="fr-FR"/>
        </w:rPr>
        <w:t>rations socio</w:t>
      </w:r>
      <w:r w:rsidR="00B14420">
        <w:rPr>
          <w:rFonts w:cs="Times New Roman"/>
          <w:kern w:val="22"/>
          <w:szCs w:val="22"/>
          <w:lang w:bidi="fr-FR"/>
        </w:rPr>
        <w:t>É</w:t>
      </w:r>
      <w:r w:rsidRPr="00A508D7">
        <w:rPr>
          <w:kern w:val="22"/>
          <w:szCs w:val="22"/>
          <w:lang w:bidi="fr-FR"/>
        </w:rPr>
        <w:t>conomiques (Article 26)</w:t>
      </w:r>
      <w:bookmarkEnd w:id="60"/>
    </w:p>
    <w:p w14:paraId="1ACA888A" w14:textId="17B1A6EC" w:rsidR="005C4A6F" w:rsidRPr="00A508D7" w:rsidRDefault="005C4A6F" w:rsidP="005C4A6F">
      <w:pPr>
        <w:pStyle w:val="Para1"/>
      </w:pPr>
      <w:r w:rsidRPr="00A508D7">
        <w:rPr>
          <w:lang w:bidi="fr-FR"/>
        </w:rPr>
        <w:t>Le Groupe de travail II a traité le point 18</w:t>
      </w:r>
      <w:r w:rsidR="00B14420">
        <w:rPr>
          <w:lang w:bidi="fr-FR"/>
        </w:rPr>
        <w:t xml:space="preserve"> de l’ordre du jour</w:t>
      </w:r>
      <w:r w:rsidRPr="00A508D7">
        <w:rPr>
          <w:lang w:bidi="fr-FR"/>
        </w:rPr>
        <w:t xml:space="preserve"> à sa 2</w:t>
      </w:r>
      <w:r w:rsidRPr="00CD5C38">
        <w:rPr>
          <w:vertAlign w:val="superscript"/>
          <w:lang w:bidi="fr-FR"/>
        </w:rPr>
        <w:t>ème</w:t>
      </w:r>
      <w:r w:rsidRPr="00A508D7">
        <w:rPr>
          <w:lang w:bidi="fr-FR"/>
        </w:rPr>
        <w:t xml:space="preserve"> réunio</w:t>
      </w:r>
      <w:r w:rsidR="00B14420">
        <w:rPr>
          <w:lang w:bidi="fr-FR"/>
        </w:rPr>
        <w:t xml:space="preserve">n, le 18 novembre 2018. Pour </w:t>
      </w:r>
      <w:r w:rsidRPr="00A508D7">
        <w:rPr>
          <w:lang w:bidi="fr-FR"/>
        </w:rPr>
        <w:t>l'examen de ce point, le Groupe de travail disposait d'un document contenant un résumé de la réunion en personne du Groupe spécial d'experts techniques sur les considérations socioéconomiques, tenue à Ljubljana du 9 au 13 octobre 2017, et des éléments d'un projet de décision (CBD/CP/MOP/9/10). Le rapport complet de la réunion du Groupe spécial d'experts techniques a été publié sous la cote CBD/CP/SEC/AHTEG/2017/1/3.</w:t>
      </w:r>
    </w:p>
    <w:p w14:paraId="66E4E242" w14:textId="7E074B7B" w:rsidR="005C4A6F" w:rsidRPr="00A508D7" w:rsidRDefault="005C4A6F" w:rsidP="005C4A6F">
      <w:pPr>
        <w:pStyle w:val="Para1"/>
      </w:pPr>
      <w:r w:rsidRPr="00A508D7">
        <w:rPr>
          <w:lang w:bidi="fr-FR"/>
        </w:rPr>
        <w:t xml:space="preserve">Des déclarations ont été faites par les représentants </w:t>
      </w:r>
      <w:r w:rsidR="00B14420">
        <w:rPr>
          <w:lang w:bidi="fr-FR"/>
        </w:rPr>
        <w:t xml:space="preserve">de </w:t>
      </w:r>
      <w:r w:rsidR="00B14420" w:rsidRPr="00A508D7">
        <w:rPr>
          <w:lang w:bidi="fr-FR"/>
        </w:rPr>
        <w:t>l'Afrique du Sud.</w:t>
      </w:r>
      <w:r w:rsidR="00B14420" w:rsidRPr="00B14420">
        <w:rPr>
          <w:lang w:bidi="fr-FR"/>
        </w:rPr>
        <w:t xml:space="preserve"> </w:t>
      </w:r>
      <w:r w:rsidRPr="00A508D7">
        <w:rPr>
          <w:lang w:bidi="fr-FR"/>
        </w:rPr>
        <w:t xml:space="preserve">du Brésil, </w:t>
      </w:r>
      <w:r w:rsidR="00B14420">
        <w:rPr>
          <w:lang w:bidi="fr-FR"/>
        </w:rPr>
        <w:t xml:space="preserve">du Cameroun, de la Colombie, </w:t>
      </w:r>
      <w:r w:rsidRPr="00A508D7">
        <w:rPr>
          <w:lang w:bidi="fr-FR"/>
        </w:rPr>
        <w:t xml:space="preserve">du Honduras, du Kenya, du Mexique, de la Norvège, des Philippines et de </w:t>
      </w:r>
      <w:r w:rsidR="00B14420">
        <w:rPr>
          <w:lang w:bidi="fr-FR"/>
        </w:rPr>
        <w:t xml:space="preserve">l'Union européenne et </w:t>
      </w:r>
      <w:r w:rsidR="00B14420" w:rsidRPr="00A508D7">
        <w:rPr>
          <w:lang w:bidi="fr-FR"/>
        </w:rPr>
        <w:t>ses 28 États membres,</w:t>
      </w:r>
    </w:p>
    <w:p w14:paraId="75C8ECCB" w14:textId="6F352FA4" w:rsidR="005C4A6F" w:rsidRPr="00A508D7" w:rsidRDefault="005C4A6F" w:rsidP="005C4A6F">
      <w:pPr>
        <w:pStyle w:val="Para1"/>
      </w:pPr>
      <w:r w:rsidRPr="00A508D7">
        <w:rPr>
          <w:lang w:bidi="fr-FR"/>
        </w:rPr>
        <w:t>Le Groupe de travail a repris</w:t>
      </w:r>
      <w:r w:rsidR="00B14420">
        <w:rPr>
          <w:lang w:bidi="fr-FR"/>
        </w:rPr>
        <w:t xml:space="preserve"> l'examen de la question à sa 3</w:t>
      </w:r>
      <w:r w:rsidR="00B14420" w:rsidRPr="00B14420">
        <w:rPr>
          <w:vertAlign w:val="superscript"/>
          <w:lang w:bidi="fr-FR"/>
        </w:rPr>
        <w:t>ème</w:t>
      </w:r>
      <w:r w:rsidRPr="00A508D7">
        <w:rPr>
          <w:lang w:bidi="fr-FR"/>
        </w:rPr>
        <w:t xml:space="preserve"> réunion, le 19 novembre 2018.</w:t>
      </w:r>
    </w:p>
    <w:p w14:paraId="38311A63" w14:textId="763A9960" w:rsidR="005C4A6F" w:rsidRDefault="005C4A6F" w:rsidP="005C4A6F">
      <w:pPr>
        <w:pStyle w:val="Para1"/>
      </w:pPr>
      <w:r w:rsidRPr="00A508D7">
        <w:rPr>
          <w:lang w:bidi="fr-FR"/>
        </w:rPr>
        <w:t>Des déclarations ont été faites par</w:t>
      </w:r>
      <w:r w:rsidR="00B14420">
        <w:rPr>
          <w:lang w:bidi="fr-FR"/>
        </w:rPr>
        <w:t xml:space="preserve"> les représentants de la </w:t>
      </w:r>
      <w:r w:rsidRPr="00A508D7">
        <w:rPr>
          <w:lang w:bidi="fr-FR"/>
        </w:rPr>
        <w:t xml:space="preserve">Bolivie (Etat Plurinational de), Chine, Costa Rica, Cuba, </w:t>
      </w:r>
      <w:r w:rsidR="00B14420">
        <w:rPr>
          <w:lang w:bidi="fr-FR"/>
        </w:rPr>
        <w:t xml:space="preserve">Équateur, Éthiopie, </w:t>
      </w:r>
      <w:r w:rsidRPr="00A508D7">
        <w:rPr>
          <w:lang w:bidi="fr-FR"/>
        </w:rPr>
        <w:t xml:space="preserve">Gambie, Guatemala, Inde, Japon, Malaisie, Mali, Maroc, Namibie, Niger, Panama, Paraguay, Pérou, </w:t>
      </w:r>
      <w:r w:rsidR="00B14420" w:rsidRPr="00A508D7">
        <w:rPr>
          <w:lang w:bidi="fr-FR"/>
        </w:rPr>
        <w:t xml:space="preserve">République dominicaine, </w:t>
      </w:r>
      <w:r w:rsidR="00B14420">
        <w:rPr>
          <w:lang w:bidi="fr-FR"/>
        </w:rPr>
        <w:t>République-</w:t>
      </w:r>
      <w:r w:rsidR="00B14420" w:rsidRPr="00A508D7">
        <w:rPr>
          <w:lang w:bidi="fr-FR"/>
        </w:rPr>
        <w:t>Unie de Tanzanie,</w:t>
      </w:r>
      <w:r w:rsidR="00B14420">
        <w:rPr>
          <w:lang w:bidi="fr-FR"/>
        </w:rPr>
        <w:t xml:space="preserve"> </w:t>
      </w:r>
      <w:r w:rsidRPr="00A508D7">
        <w:rPr>
          <w:lang w:bidi="fr-FR"/>
        </w:rPr>
        <w:t>Thaïlande, Uruguay et Venezuela (République bolivarienne du).</w:t>
      </w:r>
    </w:p>
    <w:p w14:paraId="0756AB29" w14:textId="201D60C1" w:rsidR="00B14420" w:rsidRPr="00A508D7" w:rsidRDefault="00B14420" w:rsidP="005C4A6F">
      <w:pPr>
        <w:pStyle w:val="Para1"/>
      </w:pPr>
      <w:r>
        <w:rPr>
          <w:lang w:bidi="fr-FR"/>
        </w:rPr>
        <w:t>Un représentant de l’Argentine a pris la parole également.</w:t>
      </w:r>
    </w:p>
    <w:p w14:paraId="4ECE1E82" w14:textId="582B11CC" w:rsidR="005C4A6F" w:rsidRPr="00A508D7" w:rsidRDefault="005C4A6F" w:rsidP="005C4A6F">
      <w:pPr>
        <w:pStyle w:val="Para1"/>
      </w:pPr>
      <w:r w:rsidRPr="00A508D7">
        <w:rPr>
          <w:lang w:bidi="fr-FR"/>
        </w:rPr>
        <w:t xml:space="preserve">Des déclarations ont également été faites par des représentants du FIAB, </w:t>
      </w:r>
      <w:r w:rsidR="00B14420">
        <w:rPr>
          <w:lang w:bidi="fr-FR"/>
        </w:rPr>
        <w:t>de l’ISAAA</w:t>
      </w:r>
      <w:r w:rsidRPr="00A508D7">
        <w:rPr>
          <w:lang w:bidi="fr-FR"/>
        </w:rPr>
        <w:t>, de La Via Campesina et du PRRI.</w:t>
      </w:r>
    </w:p>
    <w:p w14:paraId="54753332" w14:textId="7212AFD1" w:rsidR="005C4A6F" w:rsidRPr="00A508D7" w:rsidRDefault="00B14420" w:rsidP="005C4A6F">
      <w:pPr>
        <w:pStyle w:val="Para1"/>
      </w:pPr>
      <w:r>
        <w:rPr>
          <w:lang w:bidi="fr-FR"/>
        </w:rPr>
        <w:t>Le G</w:t>
      </w:r>
      <w:r w:rsidR="005C4A6F" w:rsidRPr="00A508D7">
        <w:rPr>
          <w:lang w:bidi="fr-FR"/>
        </w:rPr>
        <w:t>roupe de travail a décidé de créer un groupe de contact, présidé par Nathalie Campos Reales (Mexique), pour poursuivre la discussion.</w:t>
      </w:r>
    </w:p>
    <w:p w14:paraId="2F39FA6E" w14:textId="0F2E0BBF" w:rsidR="005C4A6F" w:rsidRPr="00A508D7" w:rsidRDefault="00CD5C38" w:rsidP="005C4A6F">
      <w:pPr>
        <w:pStyle w:val="Para1"/>
      </w:pPr>
      <w:r>
        <w:rPr>
          <w:lang w:bidi="fr-FR"/>
        </w:rPr>
        <w:t xml:space="preserve"> À sa 17</w:t>
      </w:r>
      <w:r w:rsidRPr="00CD5C38">
        <w:rPr>
          <w:vertAlign w:val="superscript"/>
          <w:lang w:bidi="fr-FR"/>
        </w:rPr>
        <w:t>ème</w:t>
      </w:r>
      <w:r w:rsidR="005C4A6F" w:rsidRPr="00A508D7">
        <w:rPr>
          <w:lang w:bidi="fr-FR"/>
        </w:rPr>
        <w:t xml:space="preserve"> réunion, le 28 novembre 2018, le Groupe de travail a examiné la version révisée du projet de décision et l'a approuvée pour transmission à la plénière en tant que projet de décision CBD/CP-MOP/9/L.12. </w:t>
      </w:r>
    </w:p>
    <w:p w14:paraId="771E167E" w14:textId="192D69CD" w:rsidR="00AD68F9" w:rsidRPr="00030395" w:rsidRDefault="00CD5C38" w:rsidP="00AD68F9">
      <w:pPr>
        <w:pStyle w:val="Para1"/>
      </w:pPr>
      <w:r>
        <w:t>A la 7</w:t>
      </w:r>
      <w:r w:rsidRPr="00CD5C38">
        <w:rPr>
          <w:vertAlign w:val="superscript"/>
        </w:rPr>
        <w:t>ème</w:t>
      </w:r>
      <w:r w:rsidR="00030395" w:rsidRPr="00030395">
        <w:t xml:space="preserve"> séance plénière de la réunion</w:t>
      </w:r>
      <w:r w:rsidR="00AD68F9" w:rsidRPr="00030395">
        <w:t xml:space="preserve">, </w:t>
      </w:r>
      <w:r w:rsidR="0022341B">
        <w:t>le 28 novembre</w:t>
      </w:r>
      <w:r w:rsidR="00AD68F9" w:rsidRPr="00030395">
        <w:t xml:space="preserve"> 2018, </w:t>
      </w:r>
      <w:r w:rsidR="00030395" w:rsidRPr="00030395">
        <w:t>la Conférence des Parties siégeant en tant que réunion des Parties</w:t>
      </w:r>
      <w:r w:rsidR="00AD68F9" w:rsidRPr="00030395">
        <w:t xml:space="preserve"> </w:t>
      </w:r>
      <w:r w:rsidR="00030395">
        <w:t>au Protocole de Cartagena</w:t>
      </w:r>
      <w:r w:rsidR="00AD68F9" w:rsidRPr="00030395">
        <w:t xml:space="preserve"> </w:t>
      </w:r>
      <w:r w:rsidR="0022341B">
        <w:t>a examiné</w:t>
      </w:r>
      <w:r w:rsidR="00AD68F9" w:rsidRPr="00030395">
        <w:t xml:space="preserve"> </w:t>
      </w:r>
      <w:r w:rsidR="00F908C1">
        <w:t xml:space="preserve">le projet de décision </w:t>
      </w:r>
      <w:r w:rsidR="00AD68F9" w:rsidRPr="00030395">
        <w:t>CBD/CP/MOP/9/L.12.</w:t>
      </w:r>
    </w:p>
    <w:p w14:paraId="5E490BB3" w14:textId="539439CB" w:rsidR="005C4A6F" w:rsidRPr="001420DE" w:rsidRDefault="001420DE" w:rsidP="00AD68F9">
      <w:pPr>
        <w:pStyle w:val="Para1"/>
      </w:pPr>
      <w:r w:rsidRPr="001420DE">
        <w:t>La Conférence des Parties siégeant en tant que réunion des Parties</w:t>
      </w:r>
      <w:r w:rsidR="00AD68F9" w:rsidRPr="001420DE">
        <w:t xml:space="preserve"> </w:t>
      </w:r>
      <w:r w:rsidR="00030395" w:rsidRPr="001420DE">
        <w:t>au Protocole de Cartagena</w:t>
      </w:r>
      <w:r w:rsidR="00AD68F9" w:rsidRPr="001420DE">
        <w:t xml:space="preserve"> </w:t>
      </w:r>
      <w:r>
        <w:t>a adopté le projet de décision</w:t>
      </w:r>
      <w:r w:rsidR="00AD68F9" w:rsidRPr="001420DE">
        <w:t xml:space="preserve"> CBD/CP/MOP/9/L.12 </w:t>
      </w:r>
      <w:r>
        <w:t>en tant que décision</w:t>
      </w:r>
      <w:r w:rsidR="00A441A2">
        <w:t xml:space="preserve"> CP-9</w:t>
      </w:r>
      <w:r w:rsidR="00AD68F9" w:rsidRPr="001420DE">
        <w:t>/14 (</w:t>
      </w:r>
      <w:r>
        <w:t>pour le texte, voir le chapitre I</w:t>
      </w:r>
      <w:r w:rsidR="00AD68F9" w:rsidRPr="001420DE">
        <w:t>)</w:t>
      </w:r>
      <w:r w:rsidR="005C4A6F" w:rsidRPr="001420DE">
        <w:rPr>
          <w:lang w:bidi="fr-FR"/>
        </w:rPr>
        <w:t>.</w:t>
      </w:r>
    </w:p>
    <w:p w14:paraId="3352C5A5" w14:textId="2215843D" w:rsidR="005C4A6F" w:rsidRPr="00A508D7" w:rsidRDefault="005C4A6F" w:rsidP="00E03306">
      <w:pPr>
        <w:pStyle w:val="Heading1multiline"/>
        <w:ind w:hanging="1275"/>
      </w:pPr>
      <w:bookmarkStart w:id="61" w:name="_Toc7428878"/>
      <w:r w:rsidRPr="00A508D7">
        <w:rPr>
          <w:lang w:bidi="fr-FR"/>
        </w:rPr>
        <w:t xml:space="preserve">POINT 19. </w:t>
      </w:r>
      <w:r w:rsidRPr="00A508D7">
        <w:rPr>
          <w:lang w:bidi="fr-FR"/>
        </w:rPr>
        <w:tab/>
      </w:r>
      <w:r w:rsidRPr="00A508D7">
        <w:rPr>
          <w:kern w:val="22"/>
          <w:szCs w:val="22"/>
          <w:lang w:bidi="fr-FR"/>
        </w:rPr>
        <w:t xml:space="preserve">Protocole </w:t>
      </w:r>
      <w:r w:rsidR="00B14420">
        <w:rPr>
          <w:kern w:val="22"/>
          <w:szCs w:val="22"/>
          <w:lang w:bidi="fr-FR"/>
        </w:rPr>
        <w:t xml:space="preserve">additionnel </w:t>
      </w:r>
      <w:r w:rsidRPr="00A508D7">
        <w:rPr>
          <w:kern w:val="22"/>
          <w:szCs w:val="22"/>
          <w:lang w:bidi="fr-FR"/>
        </w:rPr>
        <w:t>de Nagoya-Kuala Lumpur sur la responsabilit</w:t>
      </w:r>
      <w:r w:rsidRPr="00A508D7">
        <w:rPr>
          <w:rFonts w:cs="Times New Roman"/>
          <w:kern w:val="22"/>
          <w:szCs w:val="22"/>
          <w:lang w:bidi="fr-FR"/>
        </w:rPr>
        <w:t>É</w:t>
      </w:r>
      <w:r w:rsidRPr="00A508D7">
        <w:rPr>
          <w:kern w:val="22"/>
          <w:szCs w:val="22"/>
          <w:lang w:bidi="fr-FR"/>
        </w:rPr>
        <w:t xml:space="preserve"> et la r</w:t>
      </w:r>
      <w:r w:rsidRPr="00A508D7">
        <w:rPr>
          <w:rFonts w:cs="Times New Roman"/>
          <w:kern w:val="22"/>
          <w:szCs w:val="22"/>
          <w:lang w:bidi="fr-FR"/>
        </w:rPr>
        <w:t>É</w:t>
      </w:r>
      <w:r w:rsidRPr="00A508D7">
        <w:rPr>
          <w:kern w:val="22"/>
          <w:szCs w:val="22"/>
          <w:lang w:bidi="fr-FR"/>
        </w:rPr>
        <w:t>paration</w:t>
      </w:r>
      <w:bookmarkEnd w:id="61"/>
    </w:p>
    <w:p w14:paraId="097508D6" w14:textId="05BC65BF" w:rsidR="005C4A6F" w:rsidRPr="00A508D7" w:rsidRDefault="005C4A6F" w:rsidP="005C4A6F">
      <w:pPr>
        <w:pStyle w:val="Para1"/>
      </w:pPr>
      <w:r w:rsidRPr="00A508D7">
        <w:rPr>
          <w:lang w:bidi="fr-FR"/>
        </w:rPr>
        <w:t xml:space="preserve">Le Groupe de travail II a traité le point 19 </w:t>
      </w:r>
      <w:r w:rsidR="00B14420">
        <w:rPr>
          <w:lang w:bidi="fr-FR"/>
        </w:rPr>
        <w:t xml:space="preserve">de l’ordre du jour </w:t>
      </w:r>
      <w:r w:rsidRPr="00A508D7">
        <w:rPr>
          <w:lang w:bidi="fr-FR"/>
        </w:rPr>
        <w:t>à sa 2</w:t>
      </w:r>
      <w:r w:rsidRPr="00CD5C38">
        <w:rPr>
          <w:vertAlign w:val="superscript"/>
          <w:lang w:bidi="fr-FR"/>
        </w:rPr>
        <w:t>ème</w:t>
      </w:r>
      <w:r w:rsidRPr="00A508D7">
        <w:rPr>
          <w:lang w:bidi="fr-FR"/>
        </w:rPr>
        <w:t xml:space="preserve"> réuni</w:t>
      </w:r>
      <w:r w:rsidR="00B14420">
        <w:rPr>
          <w:lang w:bidi="fr-FR"/>
        </w:rPr>
        <w:t>on, le 18 novembre 2018. Pour</w:t>
      </w:r>
      <w:r w:rsidRPr="00A508D7">
        <w:rPr>
          <w:lang w:bidi="fr-FR"/>
        </w:rPr>
        <w:t xml:space="preserve"> l'examen de ce point, le Groupe de</w:t>
      </w:r>
      <w:r w:rsidR="00992BF8">
        <w:rPr>
          <w:lang w:bidi="fr-FR"/>
        </w:rPr>
        <w:t xml:space="preserve"> travail disposait d'une note de la Secrétaire exécutive donnant les grandes lignes du statut</w:t>
      </w:r>
      <w:r w:rsidRPr="00A508D7">
        <w:rPr>
          <w:lang w:bidi="fr-FR"/>
        </w:rPr>
        <w:t xml:space="preserve"> actuel du Protocole additionnel de Nagoya-Kuala Lumpur sur la r</w:t>
      </w:r>
      <w:r w:rsidR="00992BF8">
        <w:rPr>
          <w:lang w:bidi="fr-FR"/>
        </w:rPr>
        <w:t>esponsabilité et la réparation, d’</w:t>
      </w:r>
      <w:r w:rsidRPr="00A508D7">
        <w:rPr>
          <w:lang w:bidi="fr-FR"/>
        </w:rPr>
        <w:t>un résu</w:t>
      </w:r>
      <w:r w:rsidR="00B14420">
        <w:rPr>
          <w:lang w:bidi="fr-FR"/>
        </w:rPr>
        <w:t>mé des activités menées par le S</w:t>
      </w:r>
      <w:r w:rsidRPr="00A508D7">
        <w:rPr>
          <w:lang w:bidi="fr-FR"/>
        </w:rPr>
        <w:t>ecrétariat pour mieux faire connaître le Protocole addition</w:t>
      </w:r>
      <w:r w:rsidR="00992BF8">
        <w:rPr>
          <w:lang w:bidi="fr-FR"/>
        </w:rPr>
        <w:t xml:space="preserve">nel et appuyer son application, d’une description </w:t>
      </w:r>
      <w:r w:rsidRPr="00A508D7">
        <w:rPr>
          <w:lang w:bidi="fr-FR"/>
        </w:rPr>
        <w:t>des prochaines mesures à prendre après son en</w:t>
      </w:r>
      <w:r w:rsidR="00992BF8">
        <w:rPr>
          <w:lang w:bidi="fr-FR"/>
        </w:rPr>
        <w:t>trée en vigueur,</w:t>
      </w:r>
      <w:r w:rsidRPr="00A508D7">
        <w:rPr>
          <w:lang w:bidi="fr-FR"/>
        </w:rPr>
        <w:t xml:space="preserve"> et des éléments d'un projet de décision (CBD/CP/MOP/9/11).</w:t>
      </w:r>
    </w:p>
    <w:p w14:paraId="69E0AE90" w14:textId="7131375E" w:rsidR="005C4A6F" w:rsidRPr="00A508D7" w:rsidRDefault="005C4A6F" w:rsidP="005C4A6F">
      <w:pPr>
        <w:pStyle w:val="Para1"/>
      </w:pPr>
      <w:r w:rsidRPr="00A508D7">
        <w:rPr>
          <w:lang w:bidi="fr-FR"/>
        </w:rPr>
        <w:t>Des déclarations ont été</w:t>
      </w:r>
      <w:r w:rsidR="00992BF8">
        <w:rPr>
          <w:lang w:bidi="fr-FR"/>
        </w:rPr>
        <w:t xml:space="preserve"> faites par les représentants du Mexique,</w:t>
      </w:r>
      <w:r w:rsidRPr="00A508D7">
        <w:rPr>
          <w:lang w:bidi="fr-FR"/>
        </w:rPr>
        <w:t xml:space="preserve"> du Tadjikistan</w:t>
      </w:r>
      <w:r w:rsidR="00992BF8">
        <w:rPr>
          <w:lang w:bidi="fr-FR"/>
        </w:rPr>
        <w:t>, et de</w:t>
      </w:r>
      <w:r w:rsidR="00992BF8" w:rsidRPr="00992BF8">
        <w:rPr>
          <w:lang w:bidi="fr-FR"/>
        </w:rPr>
        <w:t xml:space="preserve"> </w:t>
      </w:r>
      <w:r w:rsidR="00992BF8" w:rsidRPr="00A508D7">
        <w:rPr>
          <w:lang w:bidi="fr-FR"/>
        </w:rPr>
        <w:t xml:space="preserve">l’Union européenne et ses 28 </w:t>
      </w:r>
      <w:r w:rsidR="00992BF8">
        <w:rPr>
          <w:lang w:bidi="fr-FR"/>
        </w:rPr>
        <w:t xml:space="preserve">Etats </w:t>
      </w:r>
      <w:r w:rsidR="00992BF8" w:rsidRPr="00A508D7">
        <w:rPr>
          <w:lang w:bidi="fr-FR"/>
        </w:rPr>
        <w:t>membres</w:t>
      </w:r>
      <w:r w:rsidRPr="00A508D7">
        <w:rPr>
          <w:lang w:bidi="fr-FR"/>
        </w:rPr>
        <w:t>.</w:t>
      </w:r>
    </w:p>
    <w:p w14:paraId="6B95CCAF" w14:textId="3F576325" w:rsidR="005C4A6F" w:rsidRPr="00A508D7" w:rsidRDefault="005C4A6F" w:rsidP="005C4A6F">
      <w:pPr>
        <w:pStyle w:val="Para1"/>
      </w:pPr>
      <w:r w:rsidRPr="00A508D7">
        <w:rPr>
          <w:lang w:bidi="fr-FR"/>
        </w:rPr>
        <w:lastRenderedPageBreak/>
        <w:t xml:space="preserve">Après l’échange de vues, </w:t>
      </w:r>
      <w:r w:rsidR="00992BF8">
        <w:rPr>
          <w:lang w:bidi="fr-FR"/>
        </w:rPr>
        <w:t>la</w:t>
      </w:r>
      <w:r w:rsidR="008500EE">
        <w:rPr>
          <w:lang w:bidi="fr-FR"/>
        </w:rPr>
        <w:t xml:space="preserve"> président</w:t>
      </w:r>
      <w:r w:rsidR="00992BF8">
        <w:rPr>
          <w:lang w:bidi="fr-FR"/>
        </w:rPr>
        <w:t>e a fait savoir</w:t>
      </w:r>
      <w:r w:rsidRPr="00A508D7">
        <w:rPr>
          <w:lang w:bidi="fr-FR"/>
        </w:rPr>
        <w:t xml:space="preserve"> qu’elle préparerait un projet </w:t>
      </w:r>
      <w:r w:rsidR="00992BF8">
        <w:rPr>
          <w:lang w:bidi="fr-FR"/>
        </w:rPr>
        <w:t>de décision pour examen par le G</w:t>
      </w:r>
      <w:r w:rsidRPr="00A508D7">
        <w:rPr>
          <w:lang w:bidi="fr-FR"/>
        </w:rPr>
        <w:t>roupe de travail, prenant en considération les vues exprimées oralement et présentées par écrit.</w:t>
      </w:r>
    </w:p>
    <w:p w14:paraId="6CDA57DF" w14:textId="02F7D9DB" w:rsidR="005C4A6F" w:rsidRPr="00A508D7" w:rsidRDefault="00CD5C38" w:rsidP="005C4A6F">
      <w:pPr>
        <w:pStyle w:val="Para1"/>
        <w:rPr>
          <w:rStyle w:val="normaltextrun"/>
          <w:szCs w:val="24"/>
        </w:rPr>
      </w:pPr>
      <w:r>
        <w:rPr>
          <w:rStyle w:val="normaltextrun"/>
          <w:szCs w:val="24"/>
          <w:lang w:bidi="fr-FR"/>
        </w:rPr>
        <w:t>À sa 7</w:t>
      </w:r>
      <w:r w:rsidRPr="00CD5C38">
        <w:rPr>
          <w:rStyle w:val="normaltextrun"/>
          <w:szCs w:val="24"/>
          <w:vertAlign w:val="superscript"/>
          <w:lang w:bidi="fr-FR"/>
        </w:rPr>
        <w:t>ème</w:t>
      </w:r>
      <w:r w:rsidR="005C4A6F" w:rsidRPr="00A508D7">
        <w:rPr>
          <w:rStyle w:val="normaltextrun"/>
          <w:szCs w:val="24"/>
          <w:lang w:bidi="fr-FR"/>
        </w:rPr>
        <w:t xml:space="preserve"> ré</w:t>
      </w:r>
      <w:r w:rsidR="00992BF8">
        <w:rPr>
          <w:rStyle w:val="normaltextrun"/>
          <w:szCs w:val="24"/>
          <w:lang w:bidi="fr-FR"/>
        </w:rPr>
        <w:t>union, le 21 novembre 2018, le G</w:t>
      </w:r>
      <w:r w:rsidR="005C4A6F" w:rsidRPr="00A508D7">
        <w:rPr>
          <w:rStyle w:val="normaltextrun"/>
          <w:szCs w:val="24"/>
          <w:lang w:bidi="fr-FR"/>
        </w:rPr>
        <w:t>roupe de travail a commencé l’e</w:t>
      </w:r>
      <w:r w:rsidR="00992BF8">
        <w:rPr>
          <w:rStyle w:val="normaltextrun"/>
          <w:szCs w:val="24"/>
          <w:lang w:bidi="fr-FR"/>
        </w:rPr>
        <w:t xml:space="preserve">xamen d’un projet de décision remis </w:t>
      </w:r>
      <w:r w:rsidR="005C4A6F" w:rsidRPr="00A508D7">
        <w:rPr>
          <w:rStyle w:val="normaltextrun"/>
          <w:szCs w:val="24"/>
          <w:lang w:bidi="fr-FR"/>
        </w:rPr>
        <w:t xml:space="preserve">par </w:t>
      </w:r>
      <w:r w:rsidR="00992BF8">
        <w:rPr>
          <w:rStyle w:val="normaltextrun"/>
          <w:szCs w:val="24"/>
          <w:lang w:bidi="fr-FR"/>
        </w:rPr>
        <w:t>la</w:t>
      </w:r>
      <w:r w:rsidR="008500EE">
        <w:rPr>
          <w:rStyle w:val="normaltextrun"/>
          <w:szCs w:val="24"/>
          <w:lang w:bidi="fr-FR"/>
        </w:rPr>
        <w:t xml:space="preserve"> président</w:t>
      </w:r>
      <w:r w:rsidR="00992BF8">
        <w:rPr>
          <w:rStyle w:val="normaltextrun"/>
          <w:szCs w:val="24"/>
          <w:lang w:bidi="fr-FR"/>
        </w:rPr>
        <w:t>e</w:t>
      </w:r>
      <w:r w:rsidR="005C4A6F" w:rsidRPr="00A508D7">
        <w:rPr>
          <w:rStyle w:val="normaltextrun"/>
          <w:szCs w:val="24"/>
          <w:lang w:bidi="fr-FR"/>
        </w:rPr>
        <w:t>.</w:t>
      </w:r>
    </w:p>
    <w:p w14:paraId="0F6A016C" w14:textId="77777777" w:rsidR="005C4A6F" w:rsidRPr="00A508D7" w:rsidRDefault="005C4A6F" w:rsidP="005C4A6F">
      <w:pPr>
        <w:pStyle w:val="Para1"/>
        <w:rPr>
          <w:rStyle w:val="normaltextrun"/>
          <w:szCs w:val="24"/>
        </w:rPr>
      </w:pPr>
      <w:r w:rsidRPr="00A508D7">
        <w:rPr>
          <w:rStyle w:val="normaltextrun"/>
          <w:szCs w:val="24"/>
          <w:lang w:bidi="fr-FR"/>
        </w:rPr>
        <w:t>Des déclarations ont été faites par les représentants du Brésil et du Venezuela (République bolivarienne du).</w:t>
      </w:r>
    </w:p>
    <w:p w14:paraId="70C54600" w14:textId="027614A9" w:rsidR="005C4A6F" w:rsidRPr="00A508D7" w:rsidRDefault="005C4A6F" w:rsidP="005C4A6F">
      <w:pPr>
        <w:pStyle w:val="Para1"/>
        <w:rPr>
          <w:rStyle w:val="normaltextrun"/>
        </w:rPr>
      </w:pPr>
      <w:r w:rsidRPr="00A508D7">
        <w:rPr>
          <w:rStyle w:val="normaltextrun"/>
          <w:szCs w:val="24"/>
          <w:lang w:bidi="fr-FR"/>
        </w:rPr>
        <w:t>Une autre déclaration a été faite par un représentant de l’Argentine.</w:t>
      </w:r>
    </w:p>
    <w:p w14:paraId="5B1B6FED" w14:textId="676501DB" w:rsidR="005C4A6F" w:rsidRPr="00A508D7" w:rsidRDefault="005C4A6F" w:rsidP="005C4A6F">
      <w:pPr>
        <w:pStyle w:val="Para1"/>
      </w:pPr>
      <w:r w:rsidRPr="00A508D7">
        <w:rPr>
          <w:lang w:bidi="fr-FR"/>
        </w:rPr>
        <w:t xml:space="preserve">À </w:t>
      </w:r>
      <w:r w:rsidR="00CD5C38">
        <w:rPr>
          <w:lang w:bidi="fr-FR"/>
        </w:rPr>
        <w:t>sa 8</w:t>
      </w:r>
      <w:r w:rsidR="00CD5C38" w:rsidRPr="00CD5C38">
        <w:rPr>
          <w:vertAlign w:val="superscript"/>
          <w:lang w:bidi="fr-FR"/>
        </w:rPr>
        <w:t>ème</w:t>
      </w:r>
      <w:r w:rsidR="00CD5C38">
        <w:rPr>
          <w:lang w:bidi="fr-FR"/>
        </w:rPr>
        <w:t xml:space="preserve"> réunion</w:t>
      </w:r>
      <w:r w:rsidRPr="00A508D7">
        <w:rPr>
          <w:lang w:bidi="fr-FR"/>
        </w:rPr>
        <w:t>, le 22 novembre 2018, le Groupe de travail a repris l'examen du projet de décision.</w:t>
      </w:r>
    </w:p>
    <w:p w14:paraId="46A1AFBD" w14:textId="03559946" w:rsidR="005C4A6F" w:rsidRPr="00A508D7" w:rsidRDefault="005C4A6F" w:rsidP="005C4A6F">
      <w:pPr>
        <w:pStyle w:val="Para1"/>
      </w:pPr>
      <w:r w:rsidRPr="00A508D7">
        <w:rPr>
          <w:lang w:bidi="fr-FR"/>
        </w:rPr>
        <w:t>Des observations ont été faites par les représentants du Brésil, de Cuba, du Gabon, de la Suisse,</w:t>
      </w:r>
      <w:r w:rsidR="00992BF8" w:rsidRPr="00992BF8">
        <w:rPr>
          <w:lang w:bidi="fr-FR"/>
        </w:rPr>
        <w:t xml:space="preserve"> </w:t>
      </w:r>
      <w:r w:rsidR="00992BF8" w:rsidRPr="00A508D7">
        <w:rPr>
          <w:lang w:bidi="fr-FR"/>
        </w:rPr>
        <w:t>de l'Union europée</w:t>
      </w:r>
      <w:r w:rsidR="00992BF8">
        <w:rPr>
          <w:lang w:bidi="fr-FR"/>
        </w:rPr>
        <w:t>nne et de ses 28 États membres,</w:t>
      </w:r>
      <w:r w:rsidRPr="00A508D7">
        <w:rPr>
          <w:lang w:bidi="fr-FR"/>
        </w:rPr>
        <w:t xml:space="preserve"> du Venezuela (République bolivarienne du) et du Viet Nam.</w:t>
      </w:r>
    </w:p>
    <w:p w14:paraId="43DFBAEE" w14:textId="58E39E1A" w:rsidR="005C4A6F" w:rsidRPr="00A508D7" w:rsidRDefault="005C4A6F" w:rsidP="005C4A6F">
      <w:pPr>
        <w:pStyle w:val="Para1"/>
      </w:pPr>
      <w:r w:rsidRPr="00A508D7">
        <w:rPr>
          <w:lang w:bidi="fr-FR"/>
        </w:rPr>
        <w:t>Des observations ont également été faites par les représent</w:t>
      </w:r>
      <w:r w:rsidR="00992BF8">
        <w:rPr>
          <w:lang w:bidi="fr-FR"/>
        </w:rPr>
        <w:t>ants de l'Argentine</w:t>
      </w:r>
      <w:r w:rsidRPr="00A508D7">
        <w:rPr>
          <w:lang w:bidi="fr-FR"/>
        </w:rPr>
        <w:t>.</w:t>
      </w:r>
    </w:p>
    <w:p w14:paraId="79130B0F" w14:textId="5DE61833" w:rsidR="005C4A6F" w:rsidRPr="00A508D7" w:rsidRDefault="005C4A6F" w:rsidP="005C4A6F">
      <w:pPr>
        <w:pStyle w:val="Para1"/>
      </w:pPr>
      <w:r w:rsidRPr="00A508D7">
        <w:rPr>
          <w:lang w:bidi="fr-FR"/>
        </w:rPr>
        <w:t xml:space="preserve">Le Groupe de travail a convenu de tenir </w:t>
      </w:r>
      <w:r w:rsidR="00992BF8">
        <w:rPr>
          <w:lang w:bidi="fr-FR"/>
        </w:rPr>
        <w:t>des discussions informelles concernant les parties du texte non résolues</w:t>
      </w:r>
      <w:r w:rsidRPr="00A508D7">
        <w:rPr>
          <w:lang w:bidi="fr-FR"/>
        </w:rPr>
        <w:t>.</w:t>
      </w:r>
    </w:p>
    <w:p w14:paraId="6A9C2D0B" w14:textId="0119BDDD" w:rsidR="005C4A6F" w:rsidRPr="00A508D7" w:rsidRDefault="005C4A6F" w:rsidP="005C4A6F">
      <w:pPr>
        <w:pStyle w:val="Para1"/>
      </w:pPr>
      <w:r w:rsidRPr="00A508D7">
        <w:rPr>
          <w:lang w:bidi="fr-FR"/>
        </w:rPr>
        <w:t>À l'issue des discussions informelles, le Groupe de travail a approuvé le projet de décision, tel que modifié oralement, pour transmission à la plénière en tant que pro</w:t>
      </w:r>
      <w:r w:rsidR="00992BF8">
        <w:rPr>
          <w:lang w:bidi="fr-FR"/>
        </w:rPr>
        <w:t>jet de décision CBD/CP/MOP/9/L.4</w:t>
      </w:r>
      <w:r w:rsidRPr="00A508D7">
        <w:rPr>
          <w:lang w:bidi="fr-FR"/>
        </w:rPr>
        <w:t xml:space="preserve">. </w:t>
      </w:r>
    </w:p>
    <w:p w14:paraId="4F4DC3E2" w14:textId="46C8C18C" w:rsidR="00AD68F9" w:rsidRPr="00030395" w:rsidRDefault="00030395" w:rsidP="00AD68F9">
      <w:pPr>
        <w:pStyle w:val="Para1"/>
      </w:pPr>
      <w:r w:rsidRPr="00030395">
        <w:t>A la 7</w:t>
      </w:r>
      <w:r w:rsidRPr="00CD5C38">
        <w:rPr>
          <w:vertAlign w:val="superscript"/>
        </w:rPr>
        <w:t>ème</w:t>
      </w:r>
      <w:r w:rsidRPr="00030395">
        <w:t xml:space="preserve"> séance plénière de la réunion</w:t>
      </w:r>
      <w:r w:rsidR="00AD68F9" w:rsidRPr="00030395">
        <w:t xml:space="preserve">, </w:t>
      </w:r>
      <w:r w:rsidR="0022341B">
        <w:t>le 28 novembre</w:t>
      </w:r>
      <w:r w:rsidR="00AD68F9" w:rsidRPr="00030395">
        <w:t xml:space="preserve"> 2018, </w:t>
      </w:r>
      <w:r w:rsidRPr="00030395">
        <w:t>la Conférence des Parties siégeant en tant que réunion des Parties</w:t>
      </w:r>
      <w:r w:rsidR="00AD68F9" w:rsidRPr="00030395">
        <w:t xml:space="preserve"> </w:t>
      </w:r>
      <w:r>
        <w:t>au Protocole de Cartagena</w:t>
      </w:r>
      <w:r w:rsidR="00AD68F9" w:rsidRPr="00030395">
        <w:t xml:space="preserve"> </w:t>
      </w:r>
      <w:r w:rsidR="0022341B">
        <w:t>a examiné</w:t>
      </w:r>
      <w:r w:rsidR="00AD68F9" w:rsidRPr="00030395">
        <w:t xml:space="preserve"> </w:t>
      </w:r>
      <w:r w:rsidR="00F908C1">
        <w:t xml:space="preserve">le projet de décision </w:t>
      </w:r>
      <w:r w:rsidR="00AD68F9" w:rsidRPr="00030395">
        <w:t>CBD/CP/MOP/9/L.4.</w:t>
      </w:r>
    </w:p>
    <w:p w14:paraId="0478DCBC" w14:textId="713A4EDC" w:rsidR="005C4A6F" w:rsidRPr="001420DE" w:rsidRDefault="001420DE" w:rsidP="00AD68F9">
      <w:pPr>
        <w:pStyle w:val="Para1"/>
      </w:pPr>
      <w:r w:rsidRPr="001420DE">
        <w:t>La Conférence des Parties siégeant en tant que réunion des Parties</w:t>
      </w:r>
      <w:r w:rsidR="00AD68F9" w:rsidRPr="001420DE">
        <w:t xml:space="preserve"> </w:t>
      </w:r>
      <w:r w:rsidR="00030395" w:rsidRPr="001420DE">
        <w:t>au Protocole de Cartagena</w:t>
      </w:r>
      <w:r w:rsidR="00AD68F9" w:rsidRPr="001420DE">
        <w:t xml:space="preserve"> </w:t>
      </w:r>
      <w:r>
        <w:t>a adopté le projet de décision</w:t>
      </w:r>
      <w:r w:rsidR="00AD68F9" w:rsidRPr="001420DE">
        <w:t xml:space="preserve"> CBD/CP/MOP/9/L.4 </w:t>
      </w:r>
      <w:r>
        <w:t>en tant que décision</w:t>
      </w:r>
      <w:r w:rsidR="00A441A2">
        <w:t xml:space="preserve"> CP-9</w:t>
      </w:r>
      <w:r w:rsidR="00AD68F9" w:rsidRPr="001420DE">
        <w:t>/15 (</w:t>
      </w:r>
      <w:r>
        <w:t>pour le texte, voir le chapitre I</w:t>
      </w:r>
      <w:r w:rsidR="00AD68F9" w:rsidRPr="001420DE">
        <w:t>)</w:t>
      </w:r>
      <w:r w:rsidR="005C4A6F" w:rsidRPr="001420DE">
        <w:rPr>
          <w:lang w:bidi="fr-FR"/>
        </w:rPr>
        <w:t>.</w:t>
      </w:r>
    </w:p>
    <w:p w14:paraId="2BB8D4B1" w14:textId="7A29A1C6" w:rsidR="005C4A6F" w:rsidRPr="00A508D7" w:rsidRDefault="00AD68F9" w:rsidP="005C4A6F">
      <w:pPr>
        <w:pStyle w:val="Heading1"/>
        <w:rPr>
          <w:snapToGrid w:val="0"/>
        </w:rPr>
      </w:pPr>
      <w:bookmarkStart w:id="62" w:name="_Toc7428879"/>
      <w:r>
        <w:rPr>
          <w:snapToGrid w:val="0"/>
          <w:lang w:bidi="fr-FR"/>
        </w:rPr>
        <w:t>POINT 20.</w:t>
      </w:r>
      <w:r>
        <w:rPr>
          <w:snapToGrid w:val="0"/>
          <w:lang w:bidi="fr-FR"/>
        </w:rPr>
        <w:tab/>
        <w:t>questions diverses</w:t>
      </w:r>
      <w:bookmarkEnd w:id="62"/>
    </w:p>
    <w:p w14:paraId="6CC44D36" w14:textId="32E3DCED" w:rsidR="005C4A6F" w:rsidRPr="00A508D7" w:rsidRDefault="00AD68F9" w:rsidP="005C4A6F">
      <w:pPr>
        <w:pStyle w:val="Para1"/>
      </w:pPr>
      <w:r>
        <w:rPr>
          <w:lang w:bidi="fr-FR"/>
        </w:rPr>
        <w:t>Aucune autre question n’a été examinée</w:t>
      </w:r>
      <w:r w:rsidR="005C4A6F" w:rsidRPr="00A508D7">
        <w:rPr>
          <w:lang w:bidi="fr-FR"/>
        </w:rPr>
        <w:t>.</w:t>
      </w:r>
    </w:p>
    <w:p w14:paraId="41D2F253" w14:textId="77777777" w:rsidR="005C4A6F" w:rsidRPr="00A508D7" w:rsidRDefault="005C4A6F" w:rsidP="005C4A6F">
      <w:pPr>
        <w:pStyle w:val="Heading1"/>
      </w:pPr>
      <w:bookmarkStart w:id="63" w:name="_Toc7428880"/>
      <w:r w:rsidRPr="00A508D7">
        <w:rPr>
          <w:lang w:bidi="fr-FR"/>
        </w:rPr>
        <w:t>POINT 21.</w:t>
      </w:r>
      <w:r w:rsidRPr="00A508D7">
        <w:rPr>
          <w:lang w:bidi="fr-FR"/>
        </w:rPr>
        <w:tab/>
        <w:t>Adoption du rapport</w:t>
      </w:r>
      <w:bookmarkEnd w:id="63"/>
    </w:p>
    <w:p w14:paraId="54A72E98" w14:textId="3F1A4D61" w:rsidR="005C4A6F" w:rsidRPr="00A508D7" w:rsidRDefault="005C4A6F" w:rsidP="005C4A6F">
      <w:pPr>
        <w:pStyle w:val="Para1"/>
      </w:pPr>
      <w:r w:rsidRPr="00A508D7">
        <w:rPr>
          <w:lang w:bidi="fr-FR"/>
        </w:rPr>
        <w:t xml:space="preserve">Le présent rapport a été adopté à la </w:t>
      </w:r>
      <w:r w:rsidR="00AD68F9">
        <w:rPr>
          <w:lang w:bidi="fr-FR"/>
        </w:rPr>
        <w:t>8</w:t>
      </w:r>
      <w:r w:rsidR="00AD68F9" w:rsidRPr="00AD68F9">
        <w:rPr>
          <w:vertAlign w:val="superscript"/>
          <w:lang w:bidi="fr-FR"/>
        </w:rPr>
        <w:t>ème</w:t>
      </w:r>
      <w:r w:rsidR="00AD68F9">
        <w:rPr>
          <w:lang w:bidi="fr-FR"/>
        </w:rPr>
        <w:t xml:space="preserve"> </w:t>
      </w:r>
      <w:r w:rsidRPr="00A508D7">
        <w:rPr>
          <w:lang w:bidi="fr-FR"/>
        </w:rPr>
        <w:t>séance plénière</w:t>
      </w:r>
      <w:r w:rsidR="00AD68F9">
        <w:rPr>
          <w:i/>
          <w:lang w:bidi="fr-FR"/>
        </w:rPr>
        <w:t xml:space="preserve"> </w:t>
      </w:r>
      <w:r w:rsidR="00AD68F9">
        <w:rPr>
          <w:lang w:bidi="fr-FR"/>
        </w:rPr>
        <w:t xml:space="preserve">de la réunion, le 29 novembre </w:t>
      </w:r>
      <w:r w:rsidRPr="00A508D7">
        <w:rPr>
          <w:lang w:bidi="fr-FR"/>
        </w:rPr>
        <w:t xml:space="preserve">2018, sur la base du projet de rapport présenté par le Rapporteur (CBD/CP/MOP/9/L.1), </w:t>
      </w:r>
      <w:r w:rsidR="00992BF8">
        <w:rPr>
          <w:lang w:bidi="fr-FR"/>
        </w:rPr>
        <w:t xml:space="preserve">et </w:t>
      </w:r>
      <w:r w:rsidRPr="00A508D7">
        <w:rPr>
          <w:lang w:bidi="fr-FR"/>
        </w:rPr>
        <w:t>ét</w:t>
      </w:r>
      <w:r w:rsidR="00992BF8">
        <w:rPr>
          <w:lang w:bidi="fr-FR"/>
        </w:rPr>
        <w:t>ant entendu que le Rapporteur</w:t>
      </w:r>
      <w:r w:rsidRPr="00A508D7">
        <w:rPr>
          <w:lang w:bidi="fr-FR"/>
        </w:rPr>
        <w:t xml:space="preserve"> serait chargé</w:t>
      </w:r>
      <w:r w:rsidR="00992BF8">
        <w:rPr>
          <w:lang w:bidi="fr-FR"/>
        </w:rPr>
        <w:t xml:space="preserve"> de parachever le rapport</w:t>
      </w:r>
      <w:r w:rsidRPr="00A508D7">
        <w:rPr>
          <w:lang w:bidi="fr-FR"/>
        </w:rPr>
        <w:t>.</w:t>
      </w:r>
    </w:p>
    <w:p w14:paraId="2CB37242" w14:textId="113401A0" w:rsidR="005C4A6F" w:rsidRPr="00A508D7" w:rsidRDefault="00175565" w:rsidP="005C4A6F">
      <w:pPr>
        <w:pStyle w:val="Heading1"/>
      </w:pPr>
      <w:bookmarkStart w:id="64" w:name="_Toc7428881"/>
      <w:r>
        <w:rPr>
          <w:lang w:bidi="fr-FR"/>
        </w:rPr>
        <w:t>POINT 22.</w:t>
      </w:r>
      <w:r>
        <w:rPr>
          <w:lang w:bidi="fr-FR"/>
        </w:rPr>
        <w:tab/>
        <w:t>Cl</w:t>
      </w:r>
      <w:r>
        <w:rPr>
          <w:rFonts w:cs="Times New Roman"/>
          <w:lang w:bidi="fr-FR"/>
        </w:rPr>
        <w:t>Ô</w:t>
      </w:r>
      <w:r w:rsidR="005C4A6F" w:rsidRPr="00A508D7">
        <w:rPr>
          <w:lang w:bidi="fr-FR"/>
        </w:rPr>
        <w:t>ture de la r</w:t>
      </w:r>
      <w:r w:rsidR="005C4A6F" w:rsidRPr="00A508D7">
        <w:rPr>
          <w:rFonts w:cs="Times New Roman"/>
          <w:snapToGrid w:val="0"/>
          <w:kern w:val="22"/>
          <w:szCs w:val="22"/>
          <w:lang w:bidi="fr-FR"/>
        </w:rPr>
        <w:t>É</w:t>
      </w:r>
      <w:r w:rsidR="005C4A6F" w:rsidRPr="00A508D7">
        <w:rPr>
          <w:lang w:bidi="fr-FR"/>
        </w:rPr>
        <w:t>union</w:t>
      </w:r>
      <w:bookmarkEnd w:id="64"/>
    </w:p>
    <w:p w14:paraId="7B331D2C" w14:textId="2F73E9AC" w:rsidR="005C4A6F" w:rsidRPr="00A508D7" w:rsidRDefault="00E73568" w:rsidP="00992BF8">
      <w:pPr>
        <w:pStyle w:val="Para1"/>
        <w:rPr>
          <w:i/>
        </w:rPr>
      </w:pPr>
      <w:r>
        <w:rPr>
          <w:lang w:bidi="fr-FR"/>
        </w:rPr>
        <w:t>La</w:t>
      </w:r>
      <w:r w:rsidR="005C4A6F" w:rsidRPr="00A508D7">
        <w:rPr>
          <w:lang w:bidi="fr-FR"/>
        </w:rPr>
        <w:t xml:space="preserve"> </w:t>
      </w:r>
      <w:r w:rsidR="00BC0D55">
        <w:rPr>
          <w:lang w:bidi="fr-FR"/>
        </w:rPr>
        <w:t>président</w:t>
      </w:r>
      <w:r>
        <w:rPr>
          <w:lang w:bidi="fr-FR"/>
        </w:rPr>
        <w:t>e</w:t>
      </w:r>
      <w:r w:rsidR="005C4A6F" w:rsidRPr="00A508D7">
        <w:rPr>
          <w:lang w:bidi="fr-FR"/>
        </w:rPr>
        <w:t xml:space="preserve"> a déclaré la neuvième réunion de la Conférence des Parties siégeant en tant que réunion des Parties au </w:t>
      </w:r>
      <w:r w:rsidR="00AD68F9">
        <w:rPr>
          <w:lang w:bidi="fr-FR"/>
        </w:rPr>
        <w:t>Protocole de Cartagena close à 21 heures, le 29</w:t>
      </w:r>
      <w:r w:rsidR="005C4A6F" w:rsidRPr="00A508D7">
        <w:rPr>
          <w:lang w:bidi="fr-FR"/>
        </w:rPr>
        <w:t xml:space="preserve"> novembre 2018.</w:t>
      </w:r>
    </w:p>
    <w:p w14:paraId="4701B1CD" w14:textId="5382232C" w:rsidR="00121663" w:rsidRPr="005C4A6F" w:rsidRDefault="00121663" w:rsidP="005C4A6F"/>
    <w:sectPr w:rsidR="00121663" w:rsidRPr="005C4A6F" w:rsidSect="00844310">
      <w:type w:val="continuous"/>
      <w:pgSz w:w="12240" w:h="15840" w:code="1"/>
      <w:pgMar w:top="1021" w:right="1440" w:bottom="1134" w:left="1440" w:header="459"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7415E" w14:textId="77777777" w:rsidR="00FD5889" w:rsidRDefault="00FD5889">
      <w:r>
        <w:separator/>
      </w:r>
    </w:p>
  </w:endnote>
  <w:endnote w:type="continuationSeparator" w:id="0">
    <w:p w14:paraId="4E093FA8" w14:textId="77777777" w:rsidR="00FD5889" w:rsidRDefault="00FD5889">
      <w:r>
        <w:continuationSeparator/>
      </w:r>
    </w:p>
  </w:endnote>
  <w:endnote w:type="continuationNotice" w:id="1">
    <w:p w14:paraId="36434636" w14:textId="77777777" w:rsidR="00FD5889" w:rsidRDefault="00FD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7F16" w14:textId="77777777" w:rsidR="00C54665" w:rsidRDefault="00C54665">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DD9A" w14:textId="77777777" w:rsidR="00C54665" w:rsidRDefault="00C54665">
    <w:pPr>
      <w:pStyle w:val="Footer"/>
      <w:tabs>
        <w:tab w:val="clear" w:pos="4320"/>
        <w:tab w:val="clear" w:pos="8640"/>
      </w:tabs>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89F44" w14:textId="77777777" w:rsidR="00FD5889" w:rsidRDefault="00FD5889">
      <w:r>
        <w:separator/>
      </w:r>
    </w:p>
  </w:footnote>
  <w:footnote w:type="continuationSeparator" w:id="0">
    <w:p w14:paraId="550465A2" w14:textId="77777777" w:rsidR="00FD5889" w:rsidRDefault="00FD5889">
      <w:r>
        <w:continuationSeparator/>
      </w:r>
    </w:p>
  </w:footnote>
  <w:footnote w:type="continuationNotice" w:id="1">
    <w:p w14:paraId="56792D2D" w14:textId="77777777" w:rsidR="00FD5889" w:rsidRDefault="00FD5889"/>
  </w:footnote>
  <w:footnote w:id="2">
    <w:p w14:paraId="2DF1B917" w14:textId="77777777" w:rsidR="00C54665" w:rsidRPr="00E83799" w:rsidRDefault="00C54665" w:rsidP="00741BCC">
      <w:pPr>
        <w:pStyle w:val="FootnoteText"/>
        <w:ind w:firstLine="0"/>
      </w:pPr>
      <w:r w:rsidRPr="007A0534">
        <w:rPr>
          <w:rStyle w:val="FootnoteReference"/>
          <w:sz w:val="20"/>
          <w:szCs w:val="20"/>
          <w:vertAlign w:val="superscript"/>
        </w:rPr>
        <w:footnoteRef/>
      </w:r>
      <w:r w:rsidRPr="007A0534">
        <w:rPr>
          <w:sz w:val="20"/>
          <w:szCs w:val="20"/>
          <w:vertAlign w:val="superscript"/>
        </w:rPr>
        <w:t xml:space="preserve"> </w:t>
      </w:r>
      <w:r w:rsidRPr="00E83799">
        <w:t>CBD/CP/MOP/9/2.</w:t>
      </w:r>
    </w:p>
  </w:footnote>
  <w:footnote w:id="3">
    <w:p w14:paraId="594BE259" w14:textId="77777777" w:rsidR="00C54665" w:rsidRPr="00172E35" w:rsidRDefault="00C54665" w:rsidP="00896373">
      <w:pPr>
        <w:pStyle w:val="FootnoteText"/>
        <w:suppressLineNumbers/>
        <w:suppressAutoHyphens/>
        <w:kinsoku w:val="0"/>
        <w:overflowPunct w:val="0"/>
        <w:autoSpaceDE w:val="0"/>
        <w:autoSpaceDN w:val="0"/>
        <w:ind w:firstLine="0"/>
        <w:jc w:val="left"/>
        <w:rPr>
          <w:kern w:val="18"/>
          <w:szCs w:val="18"/>
        </w:rPr>
      </w:pPr>
      <w:r w:rsidRPr="007A0534">
        <w:rPr>
          <w:rStyle w:val="FootnoteReference"/>
          <w:kern w:val="18"/>
          <w:sz w:val="20"/>
          <w:szCs w:val="20"/>
          <w:vertAlign w:val="superscript"/>
        </w:rPr>
        <w:footnoteRef/>
      </w:r>
      <w:r w:rsidRPr="00172E35">
        <w:rPr>
          <w:kern w:val="18"/>
          <w:szCs w:val="18"/>
        </w:rPr>
        <w:t xml:space="preserve"> Le rapport </w:t>
      </w:r>
      <w:r>
        <w:rPr>
          <w:kern w:val="18"/>
          <w:szCs w:val="18"/>
        </w:rPr>
        <w:t>actualisé</w:t>
      </w:r>
      <w:r w:rsidRPr="00172E35">
        <w:rPr>
          <w:kern w:val="18"/>
          <w:szCs w:val="18"/>
        </w:rPr>
        <w:t xml:space="preserve"> figure dans le document </w:t>
      </w:r>
      <w:r>
        <w:rPr>
          <w:kern w:val="18"/>
          <w:szCs w:val="18"/>
        </w:rPr>
        <w:t xml:space="preserve">d’information </w:t>
      </w:r>
      <w:r w:rsidRPr="00172E35">
        <w:rPr>
          <w:kern w:val="18"/>
          <w:szCs w:val="18"/>
        </w:rPr>
        <w:t>CBD/COP/14/INF/10.</w:t>
      </w:r>
    </w:p>
  </w:footnote>
  <w:footnote w:id="4">
    <w:p w14:paraId="4F37453A" w14:textId="77777777" w:rsidR="00C54665" w:rsidRPr="00022657" w:rsidRDefault="00C54665" w:rsidP="00896373">
      <w:pPr>
        <w:pStyle w:val="FootnoteText"/>
        <w:ind w:firstLine="0"/>
      </w:pPr>
      <w:r w:rsidRPr="007A0534">
        <w:rPr>
          <w:rStyle w:val="FootnoteReference"/>
          <w:sz w:val="20"/>
          <w:szCs w:val="20"/>
          <w:vertAlign w:val="superscript"/>
        </w:rPr>
        <w:footnoteRef/>
      </w:r>
      <w:r w:rsidRPr="00022657">
        <w:t xml:space="preserve"> </w:t>
      </w:r>
      <w:r>
        <w:t>CBD/CP/MOP/9/3, partie II.</w:t>
      </w:r>
    </w:p>
  </w:footnote>
  <w:footnote w:id="5">
    <w:p w14:paraId="16679432" w14:textId="77777777" w:rsidR="00C54665" w:rsidRPr="00B45C46" w:rsidRDefault="00C54665" w:rsidP="00896373">
      <w:pPr>
        <w:pStyle w:val="FootnoteText"/>
        <w:ind w:firstLine="0"/>
      </w:pPr>
      <w:r w:rsidRPr="00155BE5">
        <w:rPr>
          <w:rStyle w:val="FootnoteReference"/>
          <w:sz w:val="20"/>
          <w:szCs w:val="20"/>
          <w:vertAlign w:val="superscript"/>
        </w:rPr>
        <w:footnoteRef/>
      </w:r>
      <w:r w:rsidRPr="00155BE5">
        <w:rPr>
          <w:sz w:val="20"/>
          <w:szCs w:val="20"/>
          <w:vertAlign w:val="superscript"/>
        </w:rPr>
        <w:t xml:space="preserve"> </w:t>
      </w:r>
      <w:r>
        <w:t xml:space="preserve">Auparavant dénommé </w:t>
      </w:r>
      <w:r w:rsidRPr="00B45C46">
        <w:t>Groupe de liaison sur le renforcement des capacités.</w:t>
      </w:r>
    </w:p>
  </w:footnote>
  <w:footnote w:id="6">
    <w:p w14:paraId="1EACF8A4" w14:textId="77777777" w:rsidR="00C54665" w:rsidRPr="00B45C46" w:rsidRDefault="00C54665" w:rsidP="00896373">
      <w:pPr>
        <w:pStyle w:val="FootnoteText"/>
        <w:ind w:firstLine="0"/>
      </w:pPr>
      <w:r w:rsidRPr="00155BE5">
        <w:rPr>
          <w:rStyle w:val="FootnoteReference"/>
          <w:sz w:val="20"/>
          <w:szCs w:val="20"/>
          <w:vertAlign w:val="superscript"/>
        </w:rPr>
        <w:footnoteRef/>
      </w:r>
      <w:r w:rsidRPr="00155BE5">
        <w:rPr>
          <w:sz w:val="20"/>
          <w:szCs w:val="20"/>
          <w:vertAlign w:val="superscript"/>
        </w:rPr>
        <w:t xml:space="preserve"> </w:t>
      </w:r>
      <w:r w:rsidRPr="00B45C46">
        <w:t>Voir le paragraphe 1 d) de la décision 14/24.</w:t>
      </w:r>
    </w:p>
  </w:footnote>
  <w:footnote w:id="7">
    <w:p w14:paraId="163EE5C6" w14:textId="77777777" w:rsidR="00C54665" w:rsidRPr="00F61C45" w:rsidRDefault="00C54665" w:rsidP="00952749">
      <w:pPr>
        <w:pStyle w:val="FootnoteText"/>
        <w:ind w:firstLine="0"/>
        <w:rPr>
          <w:lang w:val="fr-CA"/>
        </w:rPr>
      </w:pPr>
      <w:r w:rsidRPr="00F0685C">
        <w:rPr>
          <w:rStyle w:val="FootnoteReference"/>
          <w:sz w:val="20"/>
          <w:szCs w:val="20"/>
          <w:vertAlign w:val="superscript"/>
          <w:lang w:val="fr-CA"/>
        </w:rPr>
        <w:footnoteRef/>
      </w:r>
      <w:r w:rsidRPr="00F0685C">
        <w:rPr>
          <w:lang w:val="fr-CA"/>
        </w:rPr>
        <w:t xml:space="preserve"> </w:t>
      </w:r>
      <w:r w:rsidRPr="00F61C45">
        <w:rPr>
          <w:lang w:val="fr-CA"/>
        </w:rPr>
        <w:t>Décision BS-V/16, annexe I.</w:t>
      </w:r>
    </w:p>
  </w:footnote>
  <w:footnote w:id="8">
    <w:p w14:paraId="060188EB" w14:textId="77777777" w:rsidR="00C54665" w:rsidRPr="00F61C45" w:rsidRDefault="00C54665" w:rsidP="00952749">
      <w:pPr>
        <w:pStyle w:val="FootnoteText"/>
        <w:ind w:firstLine="0"/>
        <w:rPr>
          <w:lang w:val="fr-CA"/>
        </w:rPr>
      </w:pPr>
      <w:r w:rsidRPr="00F0685C">
        <w:rPr>
          <w:rStyle w:val="FootnoteReference"/>
          <w:sz w:val="20"/>
          <w:szCs w:val="20"/>
          <w:vertAlign w:val="superscript"/>
          <w:lang w:val="fr-CA"/>
        </w:rPr>
        <w:footnoteRef/>
      </w:r>
      <w:r w:rsidRPr="00F61C45">
        <w:rPr>
          <w:lang w:val="fr-CA"/>
        </w:rPr>
        <w:t xml:space="preserve"> Voir CBD/CP/MOP/9/2.</w:t>
      </w:r>
    </w:p>
  </w:footnote>
  <w:footnote w:id="9">
    <w:p w14:paraId="69255363" w14:textId="77777777" w:rsidR="00C54665" w:rsidRPr="004F61D0" w:rsidRDefault="00C54665" w:rsidP="00952749">
      <w:pPr>
        <w:pStyle w:val="FootnoteText"/>
        <w:ind w:firstLine="0"/>
      </w:pPr>
      <w:r>
        <w:rPr>
          <w:rStyle w:val="FootnoteReference"/>
        </w:rPr>
        <w:footnoteRef/>
      </w:r>
      <w:r>
        <w:t xml:space="preserve"> Voir CBD/SBI/2/22, partie I, recommandation 2/13.</w:t>
      </w:r>
      <w:r w:rsidRPr="004F61D0">
        <w:t xml:space="preserve"> </w:t>
      </w:r>
    </w:p>
  </w:footnote>
  <w:footnote w:id="10">
    <w:p w14:paraId="57FCEA0F" w14:textId="77777777" w:rsidR="00C54665" w:rsidRPr="0001083B" w:rsidRDefault="00C54665" w:rsidP="00952749">
      <w:pPr>
        <w:pStyle w:val="FootnoteText"/>
        <w:kinsoku w:val="0"/>
        <w:overflowPunct w:val="0"/>
        <w:autoSpaceDE w:val="0"/>
        <w:autoSpaceDN w:val="0"/>
        <w:ind w:firstLine="0"/>
        <w:jc w:val="left"/>
      </w:pPr>
      <w:r>
        <w:rPr>
          <w:rStyle w:val="FootnoteReference"/>
        </w:rPr>
        <w:footnoteRef/>
      </w:r>
      <w:r w:rsidRPr="0001083B">
        <w:t xml:space="preserve"> Résolution 70/1 de l’Assemblée générale, du 25 septembre 2015.</w:t>
      </w:r>
    </w:p>
  </w:footnote>
  <w:footnote w:id="11">
    <w:p w14:paraId="1CAC2D46" w14:textId="77777777" w:rsidR="00C54665" w:rsidRPr="0001083B" w:rsidRDefault="00C54665" w:rsidP="00952749">
      <w:pPr>
        <w:pStyle w:val="FootnoteText"/>
        <w:ind w:firstLine="0"/>
        <w:jc w:val="left"/>
      </w:pPr>
      <w:r>
        <w:rPr>
          <w:rStyle w:val="FootnoteReference"/>
        </w:rPr>
        <w:footnoteRef/>
      </w:r>
      <w:r>
        <w:t xml:space="preserve"> </w:t>
      </w:r>
      <w:r w:rsidRPr="0001083B">
        <w:t xml:space="preserve">Angola, </w:t>
      </w:r>
      <w:r>
        <w:t xml:space="preserve">Arabie saoudite, </w:t>
      </w:r>
      <w:r w:rsidRPr="0001083B">
        <w:t>A</w:t>
      </w:r>
      <w:r>
        <w:t>zerbaïdjan, Belize, Cabo Verde,</w:t>
      </w:r>
      <w:r w:rsidRPr="0001083B">
        <w:t xml:space="preserve"> </w:t>
      </w:r>
      <w:r>
        <w:t>Djibouti,</w:t>
      </w:r>
      <w:r w:rsidRPr="0001083B">
        <w:t xml:space="preserve"> Jordan</w:t>
      </w:r>
      <w:r>
        <w:t>ie, Libye</w:t>
      </w:r>
      <w:r w:rsidRPr="0001083B">
        <w:t>,</w:t>
      </w:r>
      <w:r>
        <w:t xml:space="preserve"> Monténé</w:t>
      </w:r>
      <w:r w:rsidRPr="0001083B">
        <w:t xml:space="preserve">gro, </w:t>
      </w:r>
      <w:r>
        <w:t>Nauru, État de Palestine, Papouasie-Nouvelle-</w:t>
      </w:r>
      <w:r w:rsidRPr="0001083B">
        <w:t>Guin</w:t>
      </w:r>
      <w:r>
        <w:t>ée</w:t>
      </w:r>
      <w:r w:rsidRPr="0001083B">
        <w:t xml:space="preserve">, Qatar, </w:t>
      </w:r>
      <w:r>
        <w:t>République arabe syrienne, Serbie et</w:t>
      </w:r>
      <w:r w:rsidRPr="0001083B">
        <w:t xml:space="preserve"> </w:t>
      </w:r>
      <w:r>
        <w:t>Seychelles</w:t>
      </w:r>
      <w:r w:rsidRPr="0001083B">
        <w:t>.</w:t>
      </w:r>
    </w:p>
  </w:footnote>
  <w:footnote w:id="12">
    <w:p w14:paraId="14519885" w14:textId="77777777" w:rsidR="00C54665" w:rsidRPr="00CC3B47" w:rsidRDefault="00C54665" w:rsidP="00952749">
      <w:pPr>
        <w:pStyle w:val="FootnoteText"/>
        <w:ind w:firstLine="0"/>
        <w:jc w:val="left"/>
        <w:rPr>
          <w:snapToGrid w:val="0"/>
          <w:kern w:val="18"/>
        </w:rPr>
      </w:pPr>
      <w:r>
        <w:rPr>
          <w:rStyle w:val="FootnoteReference"/>
          <w:rFonts w:eastAsiaTheme="majorEastAsia"/>
          <w:snapToGrid w:val="0"/>
          <w:kern w:val="18"/>
        </w:rPr>
        <w:footnoteRef/>
      </w:r>
      <w:r>
        <w:rPr>
          <w:snapToGrid w:val="0"/>
          <w:kern w:val="18"/>
        </w:rPr>
        <w:t xml:space="preserve"> Annexe I à</w:t>
      </w:r>
      <w:r w:rsidRPr="00CC3B47">
        <w:rPr>
          <w:snapToGrid w:val="0"/>
          <w:kern w:val="18"/>
        </w:rPr>
        <w:t xml:space="preserve"> la décision </w:t>
      </w:r>
      <w:hyperlink r:id="rId1" w:history="1">
        <w:r w:rsidRPr="00CC3B47">
          <w:rPr>
            <w:rStyle w:val="Hyperlink"/>
            <w:rFonts w:eastAsiaTheme="majorEastAsia"/>
            <w:snapToGrid w:val="0"/>
            <w:kern w:val="18"/>
          </w:rPr>
          <w:t>BS-V/16</w:t>
        </w:r>
      </w:hyperlink>
      <w:r w:rsidRPr="00CC3B47">
        <w:rPr>
          <w:snapToGrid w:val="0"/>
          <w:kern w:val="18"/>
        </w:rPr>
        <w:t>.</w:t>
      </w:r>
    </w:p>
  </w:footnote>
  <w:footnote w:id="13">
    <w:p w14:paraId="1954E1BD" w14:textId="77777777" w:rsidR="00C54665" w:rsidRPr="00DE0683" w:rsidRDefault="00C54665" w:rsidP="00952749">
      <w:pPr>
        <w:pStyle w:val="FootnoteText"/>
        <w:kinsoku w:val="0"/>
        <w:overflowPunct w:val="0"/>
        <w:autoSpaceDE w:val="0"/>
        <w:autoSpaceDN w:val="0"/>
        <w:ind w:firstLine="0"/>
        <w:jc w:val="left"/>
        <w:rPr>
          <w:snapToGrid w:val="0"/>
          <w:kern w:val="18"/>
          <w:szCs w:val="18"/>
        </w:rPr>
      </w:pPr>
      <w:r w:rsidRPr="00E603D8">
        <w:rPr>
          <w:rStyle w:val="FootnoteReference"/>
          <w:snapToGrid w:val="0"/>
          <w:kern w:val="18"/>
          <w:szCs w:val="18"/>
          <w:lang w:bidi="fr-FR"/>
        </w:rPr>
        <w:footnoteRef/>
      </w:r>
      <w:r>
        <w:rPr>
          <w:snapToGrid w:val="0"/>
          <w:kern w:val="18"/>
          <w:szCs w:val="18"/>
          <w:lang w:bidi="fr-FR"/>
        </w:rPr>
        <w:t xml:space="preserve"> </w:t>
      </w:r>
      <w:r w:rsidRPr="005021F2">
        <w:rPr>
          <w:snapToGrid w:val="0"/>
          <w:kern w:val="18"/>
          <w:szCs w:val="18"/>
          <w:lang w:bidi="fr-FR"/>
        </w:rPr>
        <w:t>Ce document est mis à disposition en tant que formulaire protégé au format MS Word pour le traitement ultérieur des informations qui y sont contenues par le Secrétariat de la CDB. Seules les zones de texte et les cases à cocher sont modifiables. Une fois le document rempli, veuillez le sauvegarder, et imprimer et signer cette première page. Ce document est aussi dis</w:t>
      </w:r>
      <w:r>
        <w:rPr>
          <w:snapToGrid w:val="0"/>
          <w:kern w:val="18"/>
          <w:szCs w:val="18"/>
          <w:lang w:bidi="fr-FR"/>
        </w:rPr>
        <w:t>ponible au CEPRB pour une transmission</w:t>
      </w:r>
      <w:r w:rsidRPr="005021F2">
        <w:rPr>
          <w:snapToGrid w:val="0"/>
          <w:kern w:val="18"/>
          <w:szCs w:val="18"/>
          <w:lang w:bidi="fr-FR"/>
        </w:rPr>
        <w:t xml:space="preserve"> électronique à : [AJOUTER LE LIEN]</w:t>
      </w:r>
    </w:p>
    <w:p w14:paraId="6864C4B5" w14:textId="77777777" w:rsidR="00C54665" w:rsidRPr="00DE0683" w:rsidRDefault="00C54665" w:rsidP="00952749">
      <w:pPr>
        <w:pStyle w:val="FootnoteText"/>
        <w:kinsoku w:val="0"/>
        <w:overflowPunct w:val="0"/>
        <w:autoSpaceDE w:val="0"/>
        <w:autoSpaceDN w:val="0"/>
        <w:ind w:firstLine="0"/>
        <w:jc w:val="left"/>
        <w:rPr>
          <w:snapToGrid w:val="0"/>
          <w:kern w:val="18"/>
          <w:szCs w:val="18"/>
        </w:rPr>
      </w:pPr>
    </w:p>
    <w:p w14:paraId="7CDB44AB" w14:textId="77777777" w:rsidR="00C54665" w:rsidRPr="00DE0683" w:rsidRDefault="00C54665" w:rsidP="00952749">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rPr>
      </w:pPr>
      <w:r w:rsidRPr="005021F2">
        <w:rPr>
          <w:b/>
          <w:snapToGrid w:val="0"/>
          <w:kern w:val="18"/>
          <w:szCs w:val="18"/>
          <w:lang w:bidi="fr-FR"/>
        </w:rPr>
        <w:t>IMPORTANT : Pour rendre plus aisée l'analyse de l'information contenue dans le présent rapport, il est recommandé aux Parties de soumettr</w:t>
      </w:r>
      <w:r>
        <w:rPr>
          <w:b/>
          <w:snapToGrid w:val="0"/>
          <w:kern w:val="18"/>
          <w:szCs w:val="18"/>
          <w:lang w:bidi="fr-FR"/>
        </w:rPr>
        <w:t xml:space="preserve">e le rapport en ligne par le biais du </w:t>
      </w:r>
      <w:r w:rsidRPr="005021F2">
        <w:rPr>
          <w:b/>
          <w:snapToGrid w:val="0"/>
          <w:kern w:val="18"/>
          <w:szCs w:val="18"/>
          <w:lang w:bidi="fr-FR"/>
        </w:rPr>
        <w:t xml:space="preserve">Centre d’échange pour la prévention des risques biotechnologiques ou comme pièce jointe en format MS Word à un courriel au Secrétariat, accompagné d'une copie scannée de la première page dûment signée, à l'adresse suivante : </w:t>
      </w:r>
      <w:hyperlink r:id="rId2" w:history="1">
        <w:r w:rsidRPr="005021F2">
          <w:rPr>
            <w:rStyle w:val="Hyperlink"/>
            <w:b/>
            <w:snapToGrid w:val="0"/>
            <w:kern w:val="18"/>
            <w:szCs w:val="18"/>
            <w:lang w:bidi="fr-FR"/>
          </w:rPr>
          <w:t>secretariat@cbd.int</w:t>
        </w:r>
      </w:hyperlink>
      <w:r w:rsidRPr="005021F2">
        <w:rPr>
          <w:b/>
          <w:snapToGrid w:val="0"/>
          <w:kern w:val="18"/>
          <w:szCs w:val="18"/>
          <w:lang w:bidi="fr-FR"/>
        </w:rPr>
        <w:t xml:space="preserve">. </w:t>
      </w:r>
    </w:p>
    <w:p w14:paraId="02E64A10" w14:textId="77777777" w:rsidR="00C54665" w:rsidRPr="00DE0683" w:rsidRDefault="00C54665" w:rsidP="00952749">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rPr>
      </w:pPr>
      <w:r w:rsidRPr="005021F2">
        <w:rPr>
          <w:b/>
          <w:snapToGrid w:val="0"/>
          <w:kern w:val="18"/>
          <w:szCs w:val="18"/>
          <w:lang w:bidi="fr-FR"/>
        </w:rPr>
        <w:t xml:space="preserve">Veuillez </w:t>
      </w:r>
      <w:r w:rsidRPr="005021F2">
        <w:rPr>
          <w:b/>
          <w:i/>
          <w:snapToGrid w:val="0"/>
          <w:kern w:val="18"/>
          <w:szCs w:val="18"/>
          <w:lang w:bidi="fr-FR"/>
        </w:rPr>
        <w:t>ne pas</w:t>
      </w:r>
      <w:r w:rsidRPr="005021F2">
        <w:rPr>
          <w:b/>
          <w:snapToGrid w:val="0"/>
          <w:kern w:val="18"/>
          <w:szCs w:val="18"/>
          <w:lang w:bidi="fr-FR"/>
        </w:rPr>
        <w:t xml:space="preserve"> envoyer ce rapport par télécopieur ni par courrier postal ni dans d’autres formats électroniques que MS Word.</w:t>
      </w:r>
    </w:p>
  </w:footnote>
  <w:footnote w:id="14">
    <w:p w14:paraId="57B3F7B1" w14:textId="77777777" w:rsidR="00C54665" w:rsidRPr="00DE0683" w:rsidRDefault="00C54665" w:rsidP="00952749">
      <w:pPr>
        <w:pStyle w:val="FootnoteText"/>
        <w:kinsoku w:val="0"/>
        <w:overflowPunct w:val="0"/>
        <w:autoSpaceDE w:val="0"/>
        <w:autoSpaceDN w:val="0"/>
        <w:ind w:firstLine="0"/>
        <w:jc w:val="left"/>
        <w:rPr>
          <w:snapToGrid w:val="0"/>
          <w:kern w:val="18"/>
          <w:szCs w:val="18"/>
        </w:rPr>
      </w:pPr>
      <w:r w:rsidRPr="00D554EA">
        <w:rPr>
          <w:rStyle w:val="FootnoteReference"/>
          <w:snapToGrid w:val="0"/>
          <w:kern w:val="18"/>
          <w:szCs w:val="18"/>
          <w:lang w:bidi="fr-FR"/>
        </w:rPr>
        <w:footnoteRef/>
      </w:r>
      <w:r w:rsidRPr="005021F2">
        <w:rPr>
          <w:snapToGrid w:val="0"/>
          <w:kern w:val="18"/>
          <w:szCs w:val="18"/>
          <w:lang w:bidi="fr-FR"/>
        </w:rPr>
        <w:t xml:space="preserve"> Conformément à la définition opérationnelle adoptée dans l</w:t>
      </w:r>
      <w:r>
        <w:rPr>
          <w:snapToGrid w:val="0"/>
          <w:kern w:val="18"/>
          <w:szCs w:val="18"/>
          <w:lang w:bidi="fr-FR"/>
        </w:rPr>
        <w:t>a décision CP VIII / 16, un « m</w:t>
      </w:r>
      <w:r w:rsidRPr="005021F2">
        <w:rPr>
          <w:snapToGrid w:val="0"/>
          <w:kern w:val="18"/>
          <w:szCs w:val="18"/>
          <w:lang w:bidi="fr-FR"/>
        </w:rPr>
        <w:t xml:space="preserve">ouvement </w:t>
      </w:r>
      <w:r>
        <w:rPr>
          <w:snapToGrid w:val="0"/>
          <w:kern w:val="18"/>
          <w:szCs w:val="18"/>
          <w:lang w:bidi="fr-FR"/>
        </w:rPr>
        <w:t>transfrontière non intentionnel</w:t>
      </w:r>
      <w:r w:rsidRPr="005021F2">
        <w:rPr>
          <w:snapToGrid w:val="0"/>
          <w:kern w:val="18"/>
          <w:szCs w:val="18"/>
          <w:lang w:bidi="fr-FR"/>
        </w:rPr>
        <w:t xml:space="preserve"> est un mouvement transfrontière d'un organisme vivant modifié qui a traversé par inadvertance les frontières nationales d'une Partie où l'organisme vivant modifié a été libéré, et les exigences de l'article 17 du Protocole ne s'appliquent à ces mouvements transfrontières que si l'organisme vivant modifié en question est susceptible d'avoir des effets négatifs importants sur la conservation et l'utilisation durable de la diversité biologique, en tenant compte également des risques pour la santé humaine, dans les États touchés ou potentiellement affectés. »</w:t>
      </w:r>
    </w:p>
  </w:footnote>
  <w:footnote w:id="15">
    <w:p w14:paraId="2E321DC4" w14:textId="77777777" w:rsidR="00C54665" w:rsidRPr="00DE0683" w:rsidRDefault="00C54665" w:rsidP="00952749">
      <w:pPr>
        <w:pStyle w:val="FootnoteText"/>
        <w:kinsoku w:val="0"/>
        <w:overflowPunct w:val="0"/>
        <w:autoSpaceDE w:val="0"/>
        <w:autoSpaceDN w:val="0"/>
        <w:ind w:firstLine="0"/>
        <w:jc w:val="left"/>
        <w:rPr>
          <w:snapToGrid w:val="0"/>
          <w:kern w:val="18"/>
          <w:szCs w:val="18"/>
        </w:rPr>
      </w:pPr>
      <w:r w:rsidRPr="004C2F26">
        <w:rPr>
          <w:rStyle w:val="FootnoteReference"/>
          <w:snapToGrid w:val="0"/>
          <w:kern w:val="18"/>
          <w:szCs w:val="18"/>
          <w:lang w:bidi="fr-FR"/>
        </w:rPr>
        <w:footnoteRef/>
      </w:r>
      <w:r w:rsidRPr="004C2F26">
        <w:rPr>
          <w:snapToGrid w:val="0"/>
          <w:kern w:val="18"/>
          <w:szCs w:val="18"/>
          <w:lang w:bidi="fr-FR"/>
        </w:rPr>
        <w:t xml:space="preserve"> Conformément à la définition opérationnelle adoptée da</w:t>
      </w:r>
      <w:r>
        <w:rPr>
          <w:snapToGrid w:val="0"/>
          <w:kern w:val="18"/>
          <w:szCs w:val="18"/>
          <w:lang w:bidi="fr-FR"/>
        </w:rPr>
        <w:t>ns la décision CP VIII / 16, « l</w:t>
      </w:r>
      <w:r w:rsidRPr="004C2F26">
        <w:rPr>
          <w:snapToGrid w:val="0"/>
          <w:kern w:val="18"/>
          <w:szCs w:val="18"/>
          <w:lang w:bidi="fr-FR"/>
        </w:rPr>
        <w:t>es mouvements transfrontières illégaux sont des mouvements transfrontières d'organismes vivants modifiés qui contreviennent aux mesures nationales d'application du Protocole adoptées par la Partie concernée ».</w:t>
      </w:r>
    </w:p>
  </w:footnote>
  <w:footnote w:id="16">
    <w:p w14:paraId="3AC975BF" w14:textId="77777777" w:rsidR="00C54665" w:rsidRPr="00D510E8" w:rsidRDefault="00C54665" w:rsidP="00952749">
      <w:pPr>
        <w:pStyle w:val="FootnoteText"/>
        <w:ind w:firstLine="0"/>
      </w:pPr>
      <w:r>
        <w:rPr>
          <w:rStyle w:val="FootnoteReference"/>
        </w:rPr>
        <w:footnoteRef/>
      </w:r>
      <w:r>
        <w:t xml:space="preserve"> Annexe à la décision 14/34.</w:t>
      </w:r>
    </w:p>
  </w:footnote>
  <w:footnote w:id="17">
    <w:p w14:paraId="3EDB6408" w14:textId="77777777" w:rsidR="00C54665" w:rsidRPr="001B7EB2" w:rsidRDefault="00C54665" w:rsidP="009137A8">
      <w:pPr>
        <w:pStyle w:val="FootnoteText"/>
        <w:ind w:firstLine="0"/>
      </w:pPr>
      <w:r>
        <w:rPr>
          <w:rStyle w:val="FootnoteReference"/>
        </w:rPr>
        <w:footnoteRef/>
      </w:r>
      <w:r>
        <w:t xml:space="preserve"> </w:t>
      </w:r>
      <w:hyperlink r:id="rId3" w:history="1">
        <w:r w:rsidRPr="001B7EB2">
          <w:rPr>
            <w:rStyle w:val="Hyperlink"/>
          </w:rPr>
          <w:t>CBD/SBI/2/16</w:t>
        </w:r>
      </w:hyperlink>
      <w:r>
        <w:t xml:space="preserve"> et </w:t>
      </w:r>
      <w:hyperlink r:id="rId4" w:history="1">
        <w:r w:rsidRPr="001B7EB2">
          <w:rPr>
            <w:rStyle w:val="Hyperlink"/>
          </w:rPr>
          <w:t>Add.1</w:t>
        </w:r>
      </w:hyperlink>
      <w:r>
        <w:t>.</w:t>
      </w:r>
    </w:p>
  </w:footnote>
  <w:footnote w:id="18">
    <w:p w14:paraId="60DF9379" w14:textId="77777777" w:rsidR="00C54665" w:rsidRPr="00407853" w:rsidRDefault="00C54665" w:rsidP="009137A8">
      <w:pPr>
        <w:pStyle w:val="FootnoteText"/>
        <w:ind w:firstLine="0"/>
      </w:pPr>
      <w:r>
        <w:rPr>
          <w:rStyle w:val="FootnoteReference"/>
          <w:rFonts w:eastAsiaTheme="majorEastAsia"/>
        </w:rPr>
        <w:footnoteRef/>
      </w:r>
      <w:r w:rsidRPr="00407853">
        <w:t xml:space="preserve"> Tel qu</w:t>
      </w:r>
      <w:r>
        <w:t>’</w:t>
      </w:r>
      <w:r w:rsidRPr="00407853">
        <w:t xml:space="preserve">il figure dans le document </w:t>
      </w:r>
      <w:r w:rsidRPr="00407853">
        <w:rPr>
          <w:snapToGrid w:val="0"/>
          <w:color w:val="000000"/>
          <w:kern w:val="22"/>
        </w:rPr>
        <w:t>CBD/CP/</w:t>
      </w:r>
      <w:r w:rsidRPr="008343C7">
        <w:rPr>
          <w:noProof/>
          <w:snapToGrid w:val="0"/>
          <w:color w:val="000000"/>
          <w:kern w:val="22"/>
          <w:lang w:val="fr-CA"/>
        </w:rPr>
        <w:t>MOP/9/8/Add.1.</w:t>
      </w:r>
    </w:p>
  </w:footnote>
  <w:footnote w:id="19">
    <w:p w14:paraId="7C296BB6" w14:textId="77777777" w:rsidR="00C54665" w:rsidRPr="009216D4" w:rsidRDefault="00C54665" w:rsidP="009137A8">
      <w:pPr>
        <w:pStyle w:val="FootnoteText"/>
        <w:ind w:firstLine="0"/>
        <w:jc w:val="left"/>
      </w:pPr>
      <w:r>
        <w:rPr>
          <w:rStyle w:val="FootnoteReference"/>
        </w:rPr>
        <w:footnoteRef/>
      </w:r>
      <w:r w:rsidRPr="009216D4">
        <w:t xml:space="preserve"> Par “opérateur”, on entend n’importe quelle personne ayant un contrôle direct et indirect </w:t>
      </w:r>
      <w:r>
        <w:t xml:space="preserve">sur </w:t>
      </w:r>
      <w:r w:rsidRPr="009216D4">
        <w:t>l’organisme vivant modifié</w:t>
      </w:r>
      <w:r>
        <w:t>,</w:t>
      </w:r>
      <w:r w:rsidRPr="009216D4">
        <w:t xml:space="preserve"> qui pourrait</w:t>
      </w:r>
      <w:r>
        <w:t xml:space="preserve"> inclure</w:t>
      </w:r>
      <w:r w:rsidRPr="009216D4">
        <w:t xml:space="preserve">, </w:t>
      </w:r>
      <w:r>
        <w:t xml:space="preserve">entre autres, </w:t>
      </w:r>
      <w:r w:rsidRPr="009216D4">
        <w:t>selon qu’</w:t>
      </w:r>
      <w:r>
        <w:t>il</w:t>
      </w:r>
      <w:r w:rsidRPr="009216D4">
        <w:t xml:space="preserve"> convient</w:t>
      </w:r>
      <w:r>
        <w:t xml:space="preserve"> et comme le détermine la législation nationale,</w:t>
      </w:r>
      <w:r w:rsidRPr="009216D4">
        <w:t xml:space="preserve"> </w:t>
      </w:r>
      <w:r>
        <w:t>le détenteur du permis</w:t>
      </w:r>
      <w:r w:rsidRPr="009216D4">
        <w:t xml:space="preserve">, </w:t>
      </w:r>
      <w:r>
        <w:t>la personne qui a placé l’organisme vivant modifié sur le marché</w:t>
      </w:r>
      <w:r w:rsidRPr="009216D4">
        <w:t xml:space="preserve">, </w:t>
      </w:r>
      <w:r>
        <w:t>l’entrepreneur</w:t>
      </w:r>
      <w:r w:rsidRPr="009216D4">
        <w:t xml:space="preserve">, </w:t>
      </w:r>
      <w:r>
        <w:t>le producteur</w:t>
      </w:r>
      <w:r w:rsidRPr="009216D4">
        <w:t xml:space="preserve">, </w:t>
      </w:r>
      <w:r>
        <w:t>le notificateur, l’exportateur</w:t>
      </w:r>
      <w:r w:rsidRPr="009216D4">
        <w:t xml:space="preserve">, </w:t>
      </w:r>
      <w:r>
        <w:t>l’importateur</w:t>
      </w:r>
      <w:r w:rsidRPr="009216D4">
        <w:t xml:space="preserve">, </w:t>
      </w:r>
      <w:r>
        <w:t>le transporteur ou le fournisseur</w:t>
      </w:r>
      <w:r w:rsidRPr="009216D4">
        <w:t>.</w:t>
      </w:r>
    </w:p>
  </w:footnote>
  <w:footnote w:id="20">
    <w:p w14:paraId="20FEB01B" w14:textId="77777777" w:rsidR="00C54665" w:rsidRDefault="00C54665" w:rsidP="007C4381">
      <w:pPr>
        <w:pStyle w:val="FootnoteText"/>
        <w:ind w:firstLine="0"/>
      </w:pPr>
      <w:r>
        <w:rPr>
          <w:rStyle w:val="FootnoteReference"/>
        </w:rPr>
        <w:footnoteRef/>
      </w:r>
      <w:r>
        <w:t xml:space="preserve"> Voir CBD/CP/MOP/9/2.</w:t>
      </w:r>
    </w:p>
  </w:footnote>
  <w:footnote w:id="21">
    <w:p w14:paraId="142DAA9A" w14:textId="77777777" w:rsidR="00C54665" w:rsidRPr="00407853" w:rsidRDefault="00C54665" w:rsidP="007C4381">
      <w:pPr>
        <w:pStyle w:val="FootnoteText"/>
        <w:kinsoku w:val="0"/>
        <w:overflowPunct w:val="0"/>
        <w:autoSpaceDE w:val="0"/>
        <w:autoSpaceDN w:val="0"/>
        <w:ind w:firstLine="0"/>
        <w:jc w:val="left"/>
        <w:rPr>
          <w:kern w:val="18"/>
        </w:rPr>
      </w:pPr>
      <w:r w:rsidRPr="0068290F">
        <w:rPr>
          <w:rStyle w:val="FootnoteReference"/>
          <w:rFonts w:eastAsiaTheme="majorEastAsia"/>
          <w:kern w:val="18"/>
          <w:lang w:bidi="fr-FR"/>
        </w:rPr>
        <w:footnoteRef/>
      </w:r>
      <w:r w:rsidRPr="00407853">
        <w:rPr>
          <w:kern w:val="18"/>
          <w:lang w:bidi="fr-FR"/>
        </w:rPr>
        <w:t xml:space="preserve"> </w:t>
      </w:r>
      <w:hyperlink r:id="rId5" w:history="1">
        <w:r w:rsidRPr="00407853">
          <w:rPr>
            <w:rStyle w:val="Hyperlink"/>
            <w:kern w:val="18"/>
            <w:lang w:bidi="fr-FR"/>
          </w:rPr>
          <w:t>Décision VIII/10</w:t>
        </w:r>
      </w:hyperlink>
      <w:r w:rsidRPr="00407853">
        <w:rPr>
          <w:kern w:val="18"/>
          <w:lang w:bidi="fr-FR"/>
        </w:rPr>
        <w:t>, annexe III.</w:t>
      </w:r>
    </w:p>
  </w:footnote>
  <w:footnote w:id="22">
    <w:p w14:paraId="20D9F69A" w14:textId="77777777" w:rsidR="00C54665" w:rsidRPr="00E446C1" w:rsidRDefault="00C54665" w:rsidP="007C4381">
      <w:pPr>
        <w:pStyle w:val="FootnoteText"/>
        <w:ind w:firstLine="0"/>
      </w:pPr>
      <w:r w:rsidRPr="00E446C1">
        <w:rPr>
          <w:rStyle w:val="FootnoteReference"/>
        </w:rPr>
        <w:footnoteRef/>
      </w:r>
      <w:r>
        <w:t xml:space="preserve"> Figurant à l’</w:t>
      </w:r>
      <w:r w:rsidRPr="00E446C1">
        <w:t>annexe du document CBD/CP/MOP/9/10.</w:t>
      </w:r>
    </w:p>
  </w:footnote>
  <w:footnote w:id="23">
    <w:p w14:paraId="3FB411A5" w14:textId="77777777" w:rsidR="00C54665" w:rsidRPr="00A8299E" w:rsidRDefault="00C54665" w:rsidP="00B63B63">
      <w:pPr>
        <w:pStyle w:val="FootnoteText"/>
        <w:suppressLineNumbers/>
        <w:suppressAutoHyphens/>
        <w:ind w:firstLine="0"/>
        <w:jc w:val="left"/>
        <w:rPr>
          <w:szCs w:val="18"/>
        </w:rPr>
      </w:pPr>
      <w:r>
        <w:rPr>
          <w:rStyle w:val="FootnoteReference"/>
          <w:szCs w:val="18"/>
        </w:rPr>
        <w:footnoteRef/>
      </w:r>
      <w:r w:rsidRPr="00A8299E">
        <w:rPr>
          <w:szCs w:val="18"/>
        </w:rPr>
        <w:t xml:space="preserve"> Conformément </w:t>
      </w:r>
      <w:r>
        <w:rPr>
          <w:szCs w:val="18"/>
        </w:rPr>
        <w:t>au paragraphe 1 de l’article 14 du Protocole additionnel, et sous réserve du paragraphe 2 de l</w:t>
      </w:r>
      <w:r w:rsidRPr="00A8299E">
        <w:rPr>
          <w:szCs w:val="18"/>
        </w:rPr>
        <w:t>’article 32 de la Convention</w:t>
      </w:r>
      <w:r>
        <w:rPr>
          <w:szCs w:val="18"/>
        </w:rPr>
        <w:t>, la Conférence des Parties siégeant en tant que réunion des Parties au Protocole siège en tant que réunion des Parties au Protocole additionnel. Par conséquent, la présente décision a été prise par les Parties au Protocole additionnel.</w:t>
      </w:r>
    </w:p>
  </w:footnote>
  <w:footnote w:id="24">
    <w:p w14:paraId="2772CD0E" w14:textId="77777777" w:rsidR="00C54665" w:rsidRPr="00895E77" w:rsidRDefault="00C54665" w:rsidP="00B63B63">
      <w:pPr>
        <w:pStyle w:val="FootnoteText"/>
        <w:ind w:firstLine="0"/>
        <w:jc w:val="left"/>
        <w:rPr>
          <w:kern w:val="18"/>
          <w:szCs w:val="18"/>
        </w:rPr>
      </w:pPr>
      <w:r w:rsidRPr="00723EEE">
        <w:rPr>
          <w:rStyle w:val="FootnoteReference"/>
          <w:kern w:val="18"/>
          <w:szCs w:val="18"/>
        </w:rPr>
        <w:footnoteRef/>
      </w:r>
      <w:r w:rsidRPr="00895E77">
        <w:rPr>
          <w:kern w:val="18"/>
          <w:szCs w:val="18"/>
        </w:rPr>
        <w:t xml:space="preserve"> Voi</w:t>
      </w:r>
      <w:r>
        <w:rPr>
          <w:kern w:val="18"/>
          <w:szCs w:val="18"/>
        </w:rPr>
        <w:t>r la note de bas de page du</w:t>
      </w:r>
      <w:r w:rsidRPr="00895E77">
        <w:rPr>
          <w:kern w:val="18"/>
          <w:szCs w:val="18"/>
        </w:rPr>
        <w:t xml:space="preserve"> tableau 2. </w:t>
      </w:r>
      <w:r>
        <w:rPr>
          <w:kern w:val="18"/>
          <w:szCs w:val="18"/>
        </w:rPr>
        <w:t>Conformément à la résolution 70/245 de l’Assemblée générale des Nations Unies</w:t>
      </w:r>
      <w:r w:rsidRPr="00895E77">
        <w:rPr>
          <w:kern w:val="18"/>
          <w:szCs w:val="18"/>
        </w:rPr>
        <w:t>.</w:t>
      </w:r>
    </w:p>
  </w:footnote>
  <w:footnote w:id="25">
    <w:p w14:paraId="5AEA3050" w14:textId="77777777" w:rsidR="00C54665" w:rsidRPr="00764C9C" w:rsidRDefault="00C54665" w:rsidP="00981B76">
      <w:pPr>
        <w:pStyle w:val="FootnoteText"/>
        <w:ind w:firstLine="0"/>
        <w:jc w:val="left"/>
        <w:rPr>
          <w:color w:val="000000" w:themeColor="text1"/>
          <w:kern w:val="18"/>
          <w:szCs w:val="18"/>
        </w:rPr>
      </w:pPr>
      <w:r w:rsidRPr="00723EEE">
        <w:rPr>
          <w:rStyle w:val="FootnoteReference"/>
          <w:color w:val="000000" w:themeColor="text1"/>
          <w:kern w:val="18"/>
          <w:szCs w:val="18"/>
        </w:rPr>
        <w:footnoteRef/>
      </w:r>
      <w:r w:rsidRPr="00764C9C">
        <w:rPr>
          <w:color w:val="000000" w:themeColor="text1"/>
          <w:kern w:val="18"/>
          <w:szCs w:val="18"/>
        </w:rPr>
        <w:t xml:space="preserve"> </w:t>
      </w:r>
      <w:r w:rsidRPr="00764C9C">
        <w:rPr>
          <w:kern w:val="18"/>
          <w:szCs w:val="18"/>
        </w:rPr>
        <w:t>Conformément à la résolution 70/245 de l’Assemblée générale des Nations Unies. Un barème des quote</w:t>
      </w:r>
      <w:r>
        <w:rPr>
          <w:kern w:val="18"/>
          <w:szCs w:val="18"/>
        </w:rPr>
        <w:t>s</w:t>
      </w:r>
      <w:r w:rsidRPr="00764C9C">
        <w:rPr>
          <w:kern w:val="18"/>
          <w:szCs w:val="18"/>
        </w:rPr>
        <w:t xml:space="preserve">-parts révisé pour l’exercice </w:t>
      </w:r>
      <w:r>
        <w:rPr>
          <w:kern w:val="18"/>
          <w:szCs w:val="18"/>
        </w:rPr>
        <w:t>triennal sera appliqué, une fois</w:t>
      </w:r>
      <w:r w:rsidRPr="00764C9C">
        <w:rPr>
          <w:kern w:val="18"/>
          <w:szCs w:val="18"/>
        </w:rPr>
        <w:t xml:space="preserve"> diffusé,</w:t>
      </w:r>
      <w:r>
        <w:rPr>
          <w:kern w:val="18"/>
          <w:szCs w:val="18"/>
        </w:rPr>
        <w:t xml:space="preserve"> afin de calculer les quotes-parts pour l’exercice biennal</w:t>
      </w:r>
      <w:r w:rsidRPr="00764C9C">
        <w:rPr>
          <w:kern w:val="18"/>
          <w:szCs w:val="18"/>
        </w:rPr>
        <w:t xml:space="preserve"> 2019-2020</w:t>
      </w:r>
      <w:r>
        <w:rPr>
          <w:kern w:val="18"/>
          <w:szCs w:val="18"/>
        </w:rPr>
        <w:t xml:space="preserve"> (</w:t>
      </w:r>
      <w:hyperlink r:id="rId6" w:history="1">
        <w:r>
          <w:rPr>
            <w:rStyle w:val="Hyperlink"/>
            <w:lang w:val="es-MX"/>
          </w:rPr>
          <w:t>https://www.cbd.int/doc/notifications/2019/ntf-2019-016-budget-cp-en.pdf</w:t>
        </w:r>
      </w:hyperlink>
      <w:r w:rsidRPr="00764C9C">
        <w:rPr>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344895144"/>
      <w:placeholder>
        <w:docPart w:val="CB1E491EAE164F319D99980A0FAC6A3D"/>
      </w:placeholder>
      <w:dataBinding w:prefixMappings="xmlns:ns0='http://purl.org/dc/elements/1.1/' xmlns:ns1='http://schemas.openxmlformats.org/package/2006/metadata/core-properties' " w:xpath="/ns1:coreProperties[1]/ns0:subject[1]" w:storeItemID="{6C3C8BC8-F283-45AE-878A-BAB7291924A1}"/>
      <w:text/>
    </w:sdtPr>
    <w:sdtEndPr/>
    <w:sdtContent>
      <w:p w14:paraId="513200DE" w14:textId="1D020B08" w:rsidR="00C54665" w:rsidRPr="00171BE7" w:rsidRDefault="00C54665" w:rsidP="00E36C22">
        <w:pPr>
          <w:pStyle w:val="Header"/>
          <w:tabs>
            <w:tab w:val="clear" w:pos="4320"/>
            <w:tab w:val="clear" w:pos="8640"/>
          </w:tabs>
          <w:jc w:val="left"/>
          <w:rPr>
            <w:noProof/>
            <w:kern w:val="22"/>
          </w:rPr>
        </w:pPr>
        <w:r>
          <w:rPr>
            <w:noProof/>
            <w:kern w:val="22"/>
          </w:rPr>
          <w:t>CBD/CP/MOP/9/13</w:t>
        </w:r>
      </w:p>
    </w:sdtContent>
  </w:sdt>
  <w:p w14:paraId="06583652" w14:textId="77777777" w:rsidR="00C54665" w:rsidRPr="00171BE7" w:rsidRDefault="00C54665" w:rsidP="00E36C22">
    <w:pPr>
      <w:pStyle w:val="Header"/>
      <w:tabs>
        <w:tab w:val="clear" w:pos="4320"/>
        <w:tab w:val="clear" w:pos="8640"/>
      </w:tabs>
      <w:jc w:val="left"/>
      <w:rPr>
        <w:noProof/>
        <w:kern w:val="22"/>
      </w:rPr>
    </w:pPr>
    <w:r w:rsidRPr="00171BE7">
      <w:rPr>
        <w:noProof/>
        <w:kern w:val="22"/>
      </w:rPr>
      <w:t xml:space="preserve">Page </w:t>
    </w:r>
    <w:r w:rsidRPr="00F41283">
      <w:rPr>
        <w:noProof/>
        <w:kern w:val="22"/>
      </w:rPr>
      <w:fldChar w:fldCharType="begin"/>
    </w:r>
    <w:r w:rsidRPr="00171BE7">
      <w:rPr>
        <w:noProof/>
        <w:kern w:val="22"/>
      </w:rPr>
      <w:instrText xml:space="preserve"> PAGE   \* MERGEFORMAT </w:instrText>
    </w:r>
    <w:r w:rsidRPr="00F41283">
      <w:rPr>
        <w:noProof/>
        <w:kern w:val="22"/>
      </w:rPr>
      <w:fldChar w:fldCharType="separate"/>
    </w:r>
    <w:r w:rsidR="00FC7941">
      <w:rPr>
        <w:noProof/>
        <w:kern w:val="22"/>
      </w:rPr>
      <w:t>16</w:t>
    </w:r>
    <w:r w:rsidRPr="00F41283">
      <w:rPr>
        <w:noProof/>
        <w:kern w:val="22"/>
      </w:rPr>
      <w:fldChar w:fldCharType="end"/>
    </w:r>
  </w:p>
  <w:p w14:paraId="012889F6" w14:textId="77777777" w:rsidR="00C54665" w:rsidRPr="00171BE7" w:rsidRDefault="00C54665" w:rsidP="00E36C22">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90224604"/>
      <w:placeholder>
        <w:docPart w:val="BE8EBC3B429546578C0FF529C16641FD"/>
      </w:placeholder>
      <w:dataBinding w:prefixMappings="xmlns:ns0='http://purl.org/dc/elements/1.1/' xmlns:ns1='http://schemas.openxmlformats.org/package/2006/metadata/core-properties' " w:xpath="/ns1:coreProperties[1]/ns0:subject[1]" w:storeItemID="{6C3C8BC8-F283-45AE-878A-BAB7291924A1}"/>
      <w:text/>
    </w:sdtPr>
    <w:sdtEndPr/>
    <w:sdtContent>
      <w:p w14:paraId="638A1C85" w14:textId="6A19A26C" w:rsidR="00C54665" w:rsidRPr="00171BE7" w:rsidRDefault="00C54665" w:rsidP="00E36C22">
        <w:pPr>
          <w:pStyle w:val="Header"/>
          <w:tabs>
            <w:tab w:val="clear" w:pos="4320"/>
            <w:tab w:val="clear" w:pos="8640"/>
          </w:tabs>
          <w:jc w:val="right"/>
          <w:rPr>
            <w:noProof/>
            <w:kern w:val="22"/>
          </w:rPr>
        </w:pPr>
        <w:r>
          <w:rPr>
            <w:noProof/>
            <w:kern w:val="22"/>
          </w:rPr>
          <w:t>CBD/CP/MOP/9/13</w:t>
        </w:r>
      </w:p>
    </w:sdtContent>
  </w:sdt>
  <w:p w14:paraId="44751097" w14:textId="77777777" w:rsidR="00C54665" w:rsidRPr="00171BE7" w:rsidRDefault="00C54665" w:rsidP="00E36C22">
    <w:pPr>
      <w:pStyle w:val="Header"/>
      <w:tabs>
        <w:tab w:val="clear" w:pos="4320"/>
        <w:tab w:val="clear" w:pos="8640"/>
      </w:tabs>
      <w:jc w:val="right"/>
      <w:rPr>
        <w:noProof/>
        <w:kern w:val="22"/>
      </w:rPr>
    </w:pPr>
    <w:r w:rsidRPr="00171BE7">
      <w:rPr>
        <w:noProof/>
        <w:kern w:val="22"/>
      </w:rPr>
      <w:t xml:space="preserve">Page </w:t>
    </w:r>
    <w:r w:rsidRPr="00F41283">
      <w:rPr>
        <w:noProof/>
        <w:kern w:val="22"/>
      </w:rPr>
      <w:fldChar w:fldCharType="begin"/>
    </w:r>
    <w:r w:rsidRPr="00171BE7">
      <w:rPr>
        <w:noProof/>
        <w:kern w:val="22"/>
      </w:rPr>
      <w:instrText xml:space="preserve"> PAGE   \* MERGEFORMAT </w:instrText>
    </w:r>
    <w:r w:rsidRPr="00F41283">
      <w:rPr>
        <w:noProof/>
        <w:kern w:val="22"/>
      </w:rPr>
      <w:fldChar w:fldCharType="separate"/>
    </w:r>
    <w:r w:rsidR="00FC7941">
      <w:rPr>
        <w:noProof/>
        <w:kern w:val="22"/>
      </w:rPr>
      <w:t>15</w:t>
    </w:r>
    <w:r w:rsidRPr="00F41283">
      <w:rPr>
        <w:noProof/>
        <w:kern w:val="22"/>
      </w:rPr>
      <w:fldChar w:fldCharType="end"/>
    </w:r>
  </w:p>
  <w:p w14:paraId="5A0A5329" w14:textId="77777777" w:rsidR="00C54665" w:rsidRPr="00171BE7" w:rsidRDefault="00C54665" w:rsidP="00E36C22">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E9CE" w14:textId="118314AB" w:rsidR="00C54665" w:rsidRPr="00A77AAD" w:rsidRDefault="00C54665">
    <w:pPr>
      <w:pStyle w:val="Header"/>
      <w:tabs>
        <w:tab w:val="clear" w:pos="4320"/>
        <w:tab w:val="clear" w:pos="8640"/>
      </w:tabs>
      <w:jc w:val="left"/>
      <w:rPr>
        <w:noProof/>
        <w:kern w:val="22"/>
        <w:szCs w:val="22"/>
      </w:rPr>
    </w:pPr>
    <w:r w:rsidRPr="00A77AAD">
      <w:rPr>
        <w:bCs/>
        <w:szCs w:val="22"/>
      </w:rPr>
      <w:t>C</w:t>
    </w:r>
    <w:r>
      <w:rPr>
        <w:bCs/>
        <w:szCs w:val="22"/>
      </w:rPr>
      <w:t>BD/CP/MOP/9/13</w:t>
    </w:r>
  </w:p>
  <w:p w14:paraId="022C3FA2" w14:textId="43667326" w:rsidR="00C54665" w:rsidRPr="00A77AAD" w:rsidRDefault="00C54665">
    <w:pPr>
      <w:pStyle w:val="Header"/>
      <w:tabs>
        <w:tab w:val="clear" w:pos="4320"/>
        <w:tab w:val="clear" w:pos="8640"/>
      </w:tabs>
      <w:jc w:val="left"/>
      <w:rPr>
        <w:noProof/>
        <w:kern w:val="22"/>
        <w:szCs w:val="22"/>
      </w:rPr>
    </w:pPr>
    <w:r w:rsidRPr="00A77AAD">
      <w:rPr>
        <w:noProof/>
        <w:kern w:val="22"/>
        <w:szCs w:val="22"/>
      </w:rPr>
      <w:t xml:space="preserve">Page </w:t>
    </w:r>
    <w:r>
      <w:rPr>
        <w:bCs/>
        <w:noProof/>
        <w:kern w:val="22"/>
        <w:szCs w:val="22"/>
      </w:rPr>
      <w:fldChar w:fldCharType="begin"/>
    </w:r>
    <w:r w:rsidRPr="00A77AAD">
      <w:rPr>
        <w:bCs/>
        <w:noProof/>
        <w:kern w:val="22"/>
        <w:szCs w:val="22"/>
      </w:rPr>
      <w:instrText xml:space="preserve"> PAGE </w:instrText>
    </w:r>
    <w:r>
      <w:rPr>
        <w:bCs/>
        <w:noProof/>
        <w:kern w:val="22"/>
        <w:szCs w:val="22"/>
      </w:rPr>
      <w:fldChar w:fldCharType="separate"/>
    </w:r>
    <w:r w:rsidR="00FC7941">
      <w:rPr>
        <w:bCs/>
        <w:noProof/>
        <w:kern w:val="22"/>
        <w:szCs w:val="22"/>
      </w:rPr>
      <w:t>90</w:t>
    </w:r>
    <w:r>
      <w:rPr>
        <w:bCs/>
        <w:noProof/>
        <w:kern w:val="22"/>
        <w:szCs w:val="22"/>
      </w:rPr>
      <w:fldChar w:fldCharType="end"/>
    </w:r>
  </w:p>
  <w:p w14:paraId="7691DB60" w14:textId="77777777" w:rsidR="00C54665" w:rsidRPr="00A77AAD" w:rsidRDefault="00C54665">
    <w:pPr>
      <w:pStyle w:val="Header"/>
      <w:tabs>
        <w:tab w:val="clear" w:pos="4320"/>
        <w:tab w:val="clear" w:pos="8640"/>
      </w:tabs>
      <w:jc w:val="left"/>
      <w:rPr>
        <w:noProof/>
        <w:kern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ADC0" w14:textId="1D85F26D" w:rsidR="00C54665" w:rsidRPr="00A77AAD" w:rsidRDefault="00C54665">
    <w:pPr>
      <w:pStyle w:val="Header"/>
      <w:tabs>
        <w:tab w:val="clear" w:pos="4320"/>
        <w:tab w:val="clear" w:pos="8640"/>
      </w:tabs>
      <w:jc w:val="right"/>
      <w:rPr>
        <w:noProof/>
        <w:kern w:val="22"/>
        <w:szCs w:val="22"/>
      </w:rPr>
    </w:pPr>
    <w:r w:rsidRPr="00A77AAD">
      <w:rPr>
        <w:bCs/>
        <w:szCs w:val="22"/>
      </w:rPr>
      <w:t>C</w:t>
    </w:r>
    <w:r>
      <w:rPr>
        <w:bCs/>
        <w:szCs w:val="22"/>
      </w:rPr>
      <w:t>BD/CP/MOP/9/13</w:t>
    </w:r>
  </w:p>
  <w:p w14:paraId="25E16123" w14:textId="0A0F95D2" w:rsidR="00C54665" w:rsidRPr="00A77AAD" w:rsidRDefault="00C54665">
    <w:pPr>
      <w:pStyle w:val="Header"/>
      <w:tabs>
        <w:tab w:val="clear" w:pos="4320"/>
        <w:tab w:val="clear" w:pos="8640"/>
      </w:tabs>
      <w:jc w:val="right"/>
      <w:rPr>
        <w:noProof/>
        <w:kern w:val="22"/>
        <w:szCs w:val="22"/>
      </w:rPr>
    </w:pPr>
    <w:r w:rsidRPr="00A77AAD">
      <w:rPr>
        <w:noProof/>
        <w:kern w:val="22"/>
        <w:szCs w:val="22"/>
      </w:rPr>
      <w:t xml:space="preserve">Page </w:t>
    </w:r>
    <w:r>
      <w:rPr>
        <w:bCs/>
        <w:noProof/>
        <w:kern w:val="22"/>
        <w:szCs w:val="22"/>
      </w:rPr>
      <w:fldChar w:fldCharType="begin"/>
    </w:r>
    <w:r w:rsidRPr="00A77AAD">
      <w:rPr>
        <w:bCs/>
        <w:noProof/>
        <w:kern w:val="22"/>
        <w:szCs w:val="22"/>
      </w:rPr>
      <w:instrText xml:space="preserve"> PAGE </w:instrText>
    </w:r>
    <w:r>
      <w:rPr>
        <w:bCs/>
        <w:noProof/>
        <w:kern w:val="22"/>
        <w:szCs w:val="22"/>
      </w:rPr>
      <w:fldChar w:fldCharType="separate"/>
    </w:r>
    <w:r w:rsidR="00FC7941">
      <w:rPr>
        <w:bCs/>
        <w:noProof/>
        <w:kern w:val="22"/>
        <w:szCs w:val="22"/>
      </w:rPr>
      <w:t>91</w:t>
    </w:r>
    <w:r>
      <w:rPr>
        <w:bCs/>
        <w:noProof/>
        <w:kern w:val="22"/>
        <w:szCs w:val="22"/>
      </w:rPr>
      <w:fldChar w:fldCharType="end"/>
    </w:r>
  </w:p>
  <w:p w14:paraId="52585301" w14:textId="77777777" w:rsidR="00C54665" w:rsidRPr="00A77AAD" w:rsidRDefault="00C54665">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15:restartNumberingAfterBreak="0">
    <w:nsid w:val="050F4A6C"/>
    <w:multiLevelType w:val="hybridMultilevel"/>
    <w:tmpl w:val="57781B8A"/>
    <w:lvl w:ilvl="0" w:tplc="E8A6BADE">
      <w:start w:val="3"/>
      <w:numFmt w:val="lowerLetter"/>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3" w15:restartNumberingAfterBreak="0">
    <w:nsid w:val="06353F4C"/>
    <w:multiLevelType w:val="hybridMultilevel"/>
    <w:tmpl w:val="D6BC742E"/>
    <w:lvl w:ilvl="0" w:tplc="9A427DC8">
      <w:start w:val="1"/>
      <w:numFmt w:val="lowerLetter"/>
      <w:lvlText w:val="%1)"/>
      <w:lvlJc w:val="left"/>
      <w:pPr>
        <w:ind w:left="1004" w:hanging="360"/>
      </w:pPr>
      <w:rPr>
        <w:rFonts w:ascii="Times New Roman" w:eastAsia="Times New Roman"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BA27549"/>
    <w:multiLevelType w:val="hybridMultilevel"/>
    <w:tmpl w:val="7584ADF4"/>
    <w:lvl w:ilvl="0" w:tplc="0C090017">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D5C3974"/>
    <w:multiLevelType w:val="hybridMultilevel"/>
    <w:tmpl w:val="6C26654A"/>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2D03A2"/>
    <w:multiLevelType w:val="hybridMultilevel"/>
    <w:tmpl w:val="0FAEC1DA"/>
    <w:lvl w:ilvl="0" w:tplc="0C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C27B10"/>
    <w:multiLevelType w:val="hybridMultilevel"/>
    <w:tmpl w:val="9F22453A"/>
    <w:lvl w:ilvl="0" w:tplc="42504E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905C9D"/>
    <w:multiLevelType w:val="hybridMultilevel"/>
    <w:tmpl w:val="B3E2770A"/>
    <w:lvl w:ilvl="0" w:tplc="0C0C0017">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9"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6777F8"/>
    <w:multiLevelType w:val="hybridMultilevel"/>
    <w:tmpl w:val="CE1EDFBE"/>
    <w:lvl w:ilvl="0" w:tplc="380A5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B8F7FB2"/>
    <w:multiLevelType w:val="hybridMultilevel"/>
    <w:tmpl w:val="0D362D94"/>
    <w:lvl w:ilvl="0" w:tplc="111CCE32">
      <w:start w:val="8"/>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0442B4"/>
    <w:multiLevelType w:val="multilevel"/>
    <w:tmpl w:val="591CE200"/>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5D154C"/>
    <w:multiLevelType w:val="multilevel"/>
    <w:tmpl w:val="03482B3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7C089F"/>
    <w:multiLevelType w:val="hybridMultilevel"/>
    <w:tmpl w:val="03CCE134"/>
    <w:lvl w:ilvl="0" w:tplc="049C0C58">
      <w:start w:val="1"/>
      <w:numFmt w:val="decimal"/>
      <w:pStyle w:val="ListParagrap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30" w15:restartNumberingAfterBreak="0">
    <w:nsid w:val="575B1473"/>
    <w:multiLevelType w:val="hybridMultilevel"/>
    <w:tmpl w:val="DE4A4C12"/>
    <w:lvl w:ilvl="0" w:tplc="662C00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8645C3"/>
    <w:multiLevelType w:val="hybridMultilevel"/>
    <w:tmpl w:val="23F4D254"/>
    <w:lvl w:ilvl="0" w:tplc="EE968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20D6AEB"/>
    <w:multiLevelType w:val="multilevel"/>
    <w:tmpl w:val="47F879A8"/>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65A375B9"/>
    <w:multiLevelType w:val="hybridMultilevel"/>
    <w:tmpl w:val="2304C3BC"/>
    <w:lvl w:ilvl="0" w:tplc="EA8A6226">
      <w:start w:val="2"/>
      <w:numFmt w:val="upperRoman"/>
      <w:lvlText w:val="%1."/>
      <w:lvlJc w:val="left"/>
      <w:pPr>
        <w:ind w:left="216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42" w15:restartNumberingAfterBreak="0">
    <w:nsid w:val="7DA60DD6"/>
    <w:multiLevelType w:val="hybridMultilevel"/>
    <w:tmpl w:val="F446DA98"/>
    <w:numStyleLink w:val="ImportedStyle6"/>
  </w:abstractNum>
  <w:num w:numId="1">
    <w:abstractNumId w:val="10"/>
  </w:num>
  <w:num w:numId="2">
    <w:abstractNumId w:val="23"/>
  </w:num>
  <w:num w:numId="3">
    <w:abstractNumId w:val="20"/>
    <w:lvlOverride w:ilvl="0">
      <w:startOverride w:val="1"/>
    </w:lvlOverride>
  </w:num>
  <w:num w:numId="4">
    <w:abstractNumId w:val="4"/>
  </w:num>
  <w:num w:numId="5">
    <w:abstractNumId w:val="13"/>
  </w:num>
  <w:num w:numId="6">
    <w:abstractNumId w:val="37"/>
  </w:num>
  <w:num w:numId="7">
    <w:abstractNumId w:val="28"/>
  </w:num>
  <w:num w:numId="8">
    <w:abstractNumId w:val="17"/>
  </w:num>
  <w:num w:numId="9">
    <w:abstractNumId w:val="22"/>
  </w:num>
  <w:num w:numId="10">
    <w:abstractNumId w:val="18"/>
  </w:num>
  <w:num w:numId="11">
    <w:abstractNumId w:val="32"/>
  </w:num>
  <w:num w:numId="12">
    <w:abstractNumId w:val="7"/>
  </w:num>
  <w:num w:numId="13">
    <w:abstractNumId w:val="25"/>
  </w:num>
  <w:num w:numId="14">
    <w:abstractNumId w:val="40"/>
  </w:num>
  <w:num w:numId="15">
    <w:abstractNumId w:val="35"/>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30"/>
  </w:num>
  <w:num w:numId="19">
    <w:abstractNumId w:val="15"/>
  </w:num>
  <w:num w:numId="20">
    <w:abstractNumId w:val="31"/>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9"/>
  </w:num>
  <w:num w:numId="26">
    <w:abstractNumId w:val="12"/>
  </w:num>
  <w:num w:numId="27">
    <w:abstractNumId w:val="11"/>
  </w:num>
  <w:num w:numId="28">
    <w:abstractNumId w:val="9"/>
  </w:num>
  <w:num w:numId="29">
    <w:abstractNumId w:val="41"/>
  </w:num>
  <w:num w:numId="30">
    <w:abstractNumId w:val="19"/>
  </w:num>
  <w:num w:numId="31">
    <w:abstractNumId w:val="36"/>
  </w:num>
  <w:num w:numId="3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5"/>
  </w:num>
  <w:num w:numId="37">
    <w:abstractNumId w:val="24"/>
  </w:num>
  <w:num w:numId="38">
    <w:abstractNumId w:val="2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
  </w:num>
  <w:num w:numId="42">
    <w:abstractNumId w:val="6"/>
  </w:num>
  <w:num w:numId="43">
    <w:abstractNumId w:val="34"/>
  </w:num>
  <w:num w:numId="44">
    <w:abstractNumId w:val="14"/>
  </w:num>
  <w:num w:numId="45">
    <w:abstractNumId w:val="1"/>
  </w:num>
  <w:num w:numId="46">
    <w:abstractNumId w:val="38"/>
  </w:num>
  <w:num w:numId="47">
    <w:abstractNumId w:val="29"/>
  </w:num>
  <w:num w:numId="4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7A"/>
    <w:rsid w:val="0000403C"/>
    <w:rsid w:val="00004A22"/>
    <w:rsid w:val="00011502"/>
    <w:rsid w:val="00012D46"/>
    <w:rsid w:val="00016614"/>
    <w:rsid w:val="00017E49"/>
    <w:rsid w:val="00022CD2"/>
    <w:rsid w:val="00030395"/>
    <w:rsid w:val="000362A4"/>
    <w:rsid w:val="00042D4B"/>
    <w:rsid w:val="0004618C"/>
    <w:rsid w:val="00053093"/>
    <w:rsid w:val="0007300F"/>
    <w:rsid w:val="00076E21"/>
    <w:rsid w:val="0008301D"/>
    <w:rsid w:val="00090F24"/>
    <w:rsid w:val="00094641"/>
    <w:rsid w:val="00096E06"/>
    <w:rsid w:val="000A18ED"/>
    <w:rsid w:val="000A59A5"/>
    <w:rsid w:val="000A5F8B"/>
    <w:rsid w:val="000A745C"/>
    <w:rsid w:val="000B6984"/>
    <w:rsid w:val="000C2153"/>
    <w:rsid w:val="000C7D0D"/>
    <w:rsid w:val="000D4041"/>
    <w:rsid w:val="000F35A4"/>
    <w:rsid w:val="000F4DBB"/>
    <w:rsid w:val="000F4F43"/>
    <w:rsid w:val="001007BC"/>
    <w:rsid w:val="001012CC"/>
    <w:rsid w:val="00111698"/>
    <w:rsid w:val="00114CF1"/>
    <w:rsid w:val="00115465"/>
    <w:rsid w:val="001163BB"/>
    <w:rsid w:val="00117A7B"/>
    <w:rsid w:val="0012071F"/>
    <w:rsid w:val="00120818"/>
    <w:rsid w:val="00121663"/>
    <w:rsid w:val="001301D9"/>
    <w:rsid w:val="00132116"/>
    <w:rsid w:val="00133124"/>
    <w:rsid w:val="00133EFC"/>
    <w:rsid w:val="00136B0F"/>
    <w:rsid w:val="00136FDC"/>
    <w:rsid w:val="001407F3"/>
    <w:rsid w:val="001420DE"/>
    <w:rsid w:val="0014276A"/>
    <w:rsid w:val="001472EF"/>
    <w:rsid w:val="00150A29"/>
    <w:rsid w:val="001514B9"/>
    <w:rsid w:val="00153D79"/>
    <w:rsid w:val="00155BE5"/>
    <w:rsid w:val="0015763B"/>
    <w:rsid w:val="0016209E"/>
    <w:rsid w:val="0016231A"/>
    <w:rsid w:val="00165ADA"/>
    <w:rsid w:val="0016711F"/>
    <w:rsid w:val="001739F0"/>
    <w:rsid w:val="00174489"/>
    <w:rsid w:val="00175565"/>
    <w:rsid w:val="001766AB"/>
    <w:rsid w:val="00176A16"/>
    <w:rsid w:val="00181AE0"/>
    <w:rsid w:val="0018763A"/>
    <w:rsid w:val="001A1D93"/>
    <w:rsid w:val="001A66E5"/>
    <w:rsid w:val="001B7DA0"/>
    <w:rsid w:val="001C663A"/>
    <w:rsid w:val="001D0B45"/>
    <w:rsid w:val="001D46E2"/>
    <w:rsid w:val="001E43F6"/>
    <w:rsid w:val="001F24B4"/>
    <w:rsid w:val="001F54A1"/>
    <w:rsid w:val="001F59AF"/>
    <w:rsid w:val="001F63FE"/>
    <w:rsid w:val="001F7C30"/>
    <w:rsid w:val="002221A3"/>
    <w:rsid w:val="0022341B"/>
    <w:rsid w:val="002255C8"/>
    <w:rsid w:val="0022707B"/>
    <w:rsid w:val="00234E16"/>
    <w:rsid w:val="002378BF"/>
    <w:rsid w:val="00243B64"/>
    <w:rsid w:val="00245A61"/>
    <w:rsid w:val="002514D0"/>
    <w:rsid w:val="00252BE3"/>
    <w:rsid w:val="00253625"/>
    <w:rsid w:val="00256AF5"/>
    <w:rsid w:val="00266A39"/>
    <w:rsid w:val="002740F2"/>
    <w:rsid w:val="00275234"/>
    <w:rsid w:val="00296D8E"/>
    <w:rsid w:val="002A1CF9"/>
    <w:rsid w:val="002A211E"/>
    <w:rsid w:val="002A49EF"/>
    <w:rsid w:val="002B3560"/>
    <w:rsid w:val="002B38A6"/>
    <w:rsid w:val="002B3AC5"/>
    <w:rsid w:val="002C1136"/>
    <w:rsid w:val="002C3055"/>
    <w:rsid w:val="002C6919"/>
    <w:rsid w:val="002C69D0"/>
    <w:rsid w:val="002C6C47"/>
    <w:rsid w:val="002C7C66"/>
    <w:rsid w:val="002D0B1C"/>
    <w:rsid w:val="002D4BCB"/>
    <w:rsid w:val="002E089C"/>
    <w:rsid w:val="002E26B7"/>
    <w:rsid w:val="002F0B9E"/>
    <w:rsid w:val="002F5797"/>
    <w:rsid w:val="00301285"/>
    <w:rsid w:val="00301DC9"/>
    <w:rsid w:val="00302626"/>
    <w:rsid w:val="003114F0"/>
    <w:rsid w:val="00317AE1"/>
    <w:rsid w:val="00320388"/>
    <w:rsid w:val="00323F14"/>
    <w:rsid w:val="00326958"/>
    <w:rsid w:val="003534DE"/>
    <w:rsid w:val="00356871"/>
    <w:rsid w:val="003705CC"/>
    <w:rsid w:val="00372DBF"/>
    <w:rsid w:val="003739F4"/>
    <w:rsid w:val="00377484"/>
    <w:rsid w:val="00381999"/>
    <w:rsid w:val="00384200"/>
    <w:rsid w:val="00384296"/>
    <w:rsid w:val="00394CAA"/>
    <w:rsid w:val="003960CF"/>
    <w:rsid w:val="003A5009"/>
    <w:rsid w:val="003B0CDB"/>
    <w:rsid w:val="003B3E88"/>
    <w:rsid w:val="003C3484"/>
    <w:rsid w:val="003E1CB9"/>
    <w:rsid w:val="003E780E"/>
    <w:rsid w:val="003F05F6"/>
    <w:rsid w:val="003F7075"/>
    <w:rsid w:val="00400007"/>
    <w:rsid w:val="00401468"/>
    <w:rsid w:val="0040450F"/>
    <w:rsid w:val="00404C56"/>
    <w:rsid w:val="00420C67"/>
    <w:rsid w:val="00430A25"/>
    <w:rsid w:val="00442B33"/>
    <w:rsid w:val="0045303C"/>
    <w:rsid w:val="00456995"/>
    <w:rsid w:val="00460924"/>
    <w:rsid w:val="0046488F"/>
    <w:rsid w:val="00465032"/>
    <w:rsid w:val="00471A55"/>
    <w:rsid w:val="00477094"/>
    <w:rsid w:val="00480224"/>
    <w:rsid w:val="00486E42"/>
    <w:rsid w:val="0049442E"/>
    <w:rsid w:val="00495B7A"/>
    <w:rsid w:val="0049732D"/>
    <w:rsid w:val="004A3455"/>
    <w:rsid w:val="004A41D1"/>
    <w:rsid w:val="004A60BE"/>
    <w:rsid w:val="004A7881"/>
    <w:rsid w:val="004B72F5"/>
    <w:rsid w:val="004C13E7"/>
    <w:rsid w:val="004C1746"/>
    <w:rsid w:val="004C61A5"/>
    <w:rsid w:val="004C7DBD"/>
    <w:rsid w:val="004D2EBD"/>
    <w:rsid w:val="004D6468"/>
    <w:rsid w:val="004E0AE0"/>
    <w:rsid w:val="004E1CA8"/>
    <w:rsid w:val="004E4D41"/>
    <w:rsid w:val="004F64C5"/>
    <w:rsid w:val="00500277"/>
    <w:rsid w:val="005014DE"/>
    <w:rsid w:val="005018EE"/>
    <w:rsid w:val="0050326F"/>
    <w:rsid w:val="00503B73"/>
    <w:rsid w:val="005051AD"/>
    <w:rsid w:val="00506210"/>
    <w:rsid w:val="00506232"/>
    <w:rsid w:val="00507DF8"/>
    <w:rsid w:val="00512012"/>
    <w:rsid w:val="00517400"/>
    <w:rsid w:val="00520E18"/>
    <w:rsid w:val="0052674C"/>
    <w:rsid w:val="00533D1A"/>
    <w:rsid w:val="00533DC4"/>
    <w:rsid w:val="00534479"/>
    <w:rsid w:val="00535805"/>
    <w:rsid w:val="00537E44"/>
    <w:rsid w:val="00543F26"/>
    <w:rsid w:val="005471BB"/>
    <w:rsid w:val="00550CBD"/>
    <w:rsid w:val="00551ED8"/>
    <w:rsid w:val="00556572"/>
    <w:rsid w:val="0057070B"/>
    <w:rsid w:val="00585104"/>
    <w:rsid w:val="005855A9"/>
    <w:rsid w:val="005857DF"/>
    <w:rsid w:val="00585F74"/>
    <w:rsid w:val="005863B9"/>
    <w:rsid w:val="00587211"/>
    <w:rsid w:val="005878B8"/>
    <w:rsid w:val="00593DA5"/>
    <w:rsid w:val="0059459B"/>
    <w:rsid w:val="00595FC4"/>
    <w:rsid w:val="005A202B"/>
    <w:rsid w:val="005A20F8"/>
    <w:rsid w:val="005A5671"/>
    <w:rsid w:val="005B63F3"/>
    <w:rsid w:val="005C0734"/>
    <w:rsid w:val="005C4A6F"/>
    <w:rsid w:val="005C721D"/>
    <w:rsid w:val="005D3BD4"/>
    <w:rsid w:val="005D4B86"/>
    <w:rsid w:val="005D4C9C"/>
    <w:rsid w:val="005F2957"/>
    <w:rsid w:val="005F3582"/>
    <w:rsid w:val="005F4A61"/>
    <w:rsid w:val="006010F3"/>
    <w:rsid w:val="00616C89"/>
    <w:rsid w:val="00630E6F"/>
    <w:rsid w:val="00635018"/>
    <w:rsid w:val="00636A6E"/>
    <w:rsid w:val="00640F4C"/>
    <w:rsid w:val="006436B7"/>
    <w:rsid w:val="00643E9B"/>
    <w:rsid w:val="00645391"/>
    <w:rsid w:val="00645EFB"/>
    <w:rsid w:val="00647C90"/>
    <w:rsid w:val="00651707"/>
    <w:rsid w:val="006527BC"/>
    <w:rsid w:val="0065410C"/>
    <w:rsid w:val="00654C68"/>
    <w:rsid w:val="006616DE"/>
    <w:rsid w:val="00663793"/>
    <w:rsid w:val="006734A2"/>
    <w:rsid w:val="006811C0"/>
    <w:rsid w:val="00684A14"/>
    <w:rsid w:val="0069332A"/>
    <w:rsid w:val="006A0217"/>
    <w:rsid w:val="006A5AC9"/>
    <w:rsid w:val="006A6D72"/>
    <w:rsid w:val="006A7199"/>
    <w:rsid w:val="006B022F"/>
    <w:rsid w:val="006B06A7"/>
    <w:rsid w:val="006B0946"/>
    <w:rsid w:val="006B2234"/>
    <w:rsid w:val="006B501F"/>
    <w:rsid w:val="006B735C"/>
    <w:rsid w:val="006B774E"/>
    <w:rsid w:val="006C3AD6"/>
    <w:rsid w:val="006C542B"/>
    <w:rsid w:val="006C5568"/>
    <w:rsid w:val="006C59C4"/>
    <w:rsid w:val="006C60BB"/>
    <w:rsid w:val="006C7009"/>
    <w:rsid w:val="006D70D0"/>
    <w:rsid w:val="006E4996"/>
    <w:rsid w:val="006F250A"/>
    <w:rsid w:val="006F4671"/>
    <w:rsid w:val="006F78B8"/>
    <w:rsid w:val="00701263"/>
    <w:rsid w:val="007035F3"/>
    <w:rsid w:val="007066B3"/>
    <w:rsid w:val="00710E66"/>
    <w:rsid w:val="00711EB5"/>
    <w:rsid w:val="00726242"/>
    <w:rsid w:val="007406DC"/>
    <w:rsid w:val="00740CF8"/>
    <w:rsid w:val="00741BCC"/>
    <w:rsid w:val="00742722"/>
    <w:rsid w:val="00745A0D"/>
    <w:rsid w:val="00747FCB"/>
    <w:rsid w:val="0075208D"/>
    <w:rsid w:val="0075395F"/>
    <w:rsid w:val="0076481B"/>
    <w:rsid w:val="00765EA5"/>
    <w:rsid w:val="0077354A"/>
    <w:rsid w:val="00774079"/>
    <w:rsid w:val="00774C94"/>
    <w:rsid w:val="00777BEE"/>
    <w:rsid w:val="0078047D"/>
    <w:rsid w:val="0079069E"/>
    <w:rsid w:val="00795662"/>
    <w:rsid w:val="00797F09"/>
    <w:rsid w:val="007A0534"/>
    <w:rsid w:val="007A0952"/>
    <w:rsid w:val="007A3AC2"/>
    <w:rsid w:val="007B0B58"/>
    <w:rsid w:val="007B1618"/>
    <w:rsid w:val="007B2C3A"/>
    <w:rsid w:val="007C4381"/>
    <w:rsid w:val="007D08D2"/>
    <w:rsid w:val="007D17F1"/>
    <w:rsid w:val="007D46E7"/>
    <w:rsid w:val="007E35FC"/>
    <w:rsid w:val="007F3FF4"/>
    <w:rsid w:val="00802076"/>
    <w:rsid w:val="00803769"/>
    <w:rsid w:val="00814921"/>
    <w:rsid w:val="00825133"/>
    <w:rsid w:val="008253D1"/>
    <w:rsid w:val="00835816"/>
    <w:rsid w:val="0084107C"/>
    <w:rsid w:val="0084417F"/>
    <w:rsid w:val="00844310"/>
    <w:rsid w:val="008500EE"/>
    <w:rsid w:val="00850DA7"/>
    <w:rsid w:val="008517B4"/>
    <w:rsid w:val="00852A8B"/>
    <w:rsid w:val="00860A25"/>
    <w:rsid w:val="00860CD0"/>
    <w:rsid w:val="00860E30"/>
    <w:rsid w:val="00863258"/>
    <w:rsid w:val="00865E8E"/>
    <w:rsid w:val="00873809"/>
    <w:rsid w:val="00880B51"/>
    <w:rsid w:val="00880B80"/>
    <w:rsid w:val="0088228E"/>
    <w:rsid w:val="008823F3"/>
    <w:rsid w:val="00886F8E"/>
    <w:rsid w:val="008910CA"/>
    <w:rsid w:val="00895415"/>
    <w:rsid w:val="00895EE2"/>
    <w:rsid w:val="00896373"/>
    <w:rsid w:val="008B0347"/>
    <w:rsid w:val="008B5DAA"/>
    <w:rsid w:val="008B6D9B"/>
    <w:rsid w:val="008C63E9"/>
    <w:rsid w:val="008D7552"/>
    <w:rsid w:val="008F2645"/>
    <w:rsid w:val="008F2C15"/>
    <w:rsid w:val="008F469E"/>
    <w:rsid w:val="009035B3"/>
    <w:rsid w:val="00904CE4"/>
    <w:rsid w:val="009062D4"/>
    <w:rsid w:val="00911FEE"/>
    <w:rsid w:val="009137A8"/>
    <w:rsid w:val="00913A04"/>
    <w:rsid w:val="009169B0"/>
    <w:rsid w:val="0092032C"/>
    <w:rsid w:val="00920638"/>
    <w:rsid w:val="00923B37"/>
    <w:rsid w:val="00924637"/>
    <w:rsid w:val="0092727D"/>
    <w:rsid w:val="00931BEC"/>
    <w:rsid w:val="00932E3A"/>
    <w:rsid w:val="00935F6B"/>
    <w:rsid w:val="009445D0"/>
    <w:rsid w:val="00950BEB"/>
    <w:rsid w:val="00952749"/>
    <w:rsid w:val="00953C1E"/>
    <w:rsid w:val="009547AA"/>
    <w:rsid w:val="009549BF"/>
    <w:rsid w:val="0097307B"/>
    <w:rsid w:val="00975058"/>
    <w:rsid w:val="009761F7"/>
    <w:rsid w:val="009765D0"/>
    <w:rsid w:val="00976FE4"/>
    <w:rsid w:val="0098141B"/>
    <w:rsid w:val="00981B76"/>
    <w:rsid w:val="0098483F"/>
    <w:rsid w:val="00986E09"/>
    <w:rsid w:val="00987E72"/>
    <w:rsid w:val="00991732"/>
    <w:rsid w:val="00992BF8"/>
    <w:rsid w:val="009A45FF"/>
    <w:rsid w:val="009A5409"/>
    <w:rsid w:val="009A55D2"/>
    <w:rsid w:val="009A7839"/>
    <w:rsid w:val="009B688D"/>
    <w:rsid w:val="009B7156"/>
    <w:rsid w:val="009B7F22"/>
    <w:rsid w:val="009C5CE8"/>
    <w:rsid w:val="009C72A9"/>
    <w:rsid w:val="009D100F"/>
    <w:rsid w:val="009D11C5"/>
    <w:rsid w:val="009E33CC"/>
    <w:rsid w:val="009E450A"/>
    <w:rsid w:val="009F153E"/>
    <w:rsid w:val="009F39BD"/>
    <w:rsid w:val="009F3BBF"/>
    <w:rsid w:val="00A00FC7"/>
    <w:rsid w:val="00A0333A"/>
    <w:rsid w:val="00A04979"/>
    <w:rsid w:val="00A04FB1"/>
    <w:rsid w:val="00A07286"/>
    <w:rsid w:val="00A11E0E"/>
    <w:rsid w:val="00A122A9"/>
    <w:rsid w:val="00A14152"/>
    <w:rsid w:val="00A15B4A"/>
    <w:rsid w:val="00A16165"/>
    <w:rsid w:val="00A220A2"/>
    <w:rsid w:val="00A22FD5"/>
    <w:rsid w:val="00A2725C"/>
    <w:rsid w:val="00A34C41"/>
    <w:rsid w:val="00A441A2"/>
    <w:rsid w:val="00A471E8"/>
    <w:rsid w:val="00A508D7"/>
    <w:rsid w:val="00A527B5"/>
    <w:rsid w:val="00A57228"/>
    <w:rsid w:val="00A5723F"/>
    <w:rsid w:val="00A6554A"/>
    <w:rsid w:val="00A72019"/>
    <w:rsid w:val="00A77AAD"/>
    <w:rsid w:val="00A84459"/>
    <w:rsid w:val="00A85C3E"/>
    <w:rsid w:val="00A92C6A"/>
    <w:rsid w:val="00A95753"/>
    <w:rsid w:val="00A96F6E"/>
    <w:rsid w:val="00AA411A"/>
    <w:rsid w:val="00AA4921"/>
    <w:rsid w:val="00AA51F9"/>
    <w:rsid w:val="00AB0EEB"/>
    <w:rsid w:val="00AB6F68"/>
    <w:rsid w:val="00AC0518"/>
    <w:rsid w:val="00AD1196"/>
    <w:rsid w:val="00AD6692"/>
    <w:rsid w:val="00AD68F9"/>
    <w:rsid w:val="00AE6843"/>
    <w:rsid w:val="00AE6E67"/>
    <w:rsid w:val="00AF4E36"/>
    <w:rsid w:val="00AF5560"/>
    <w:rsid w:val="00AF61B5"/>
    <w:rsid w:val="00B058F4"/>
    <w:rsid w:val="00B073C0"/>
    <w:rsid w:val="00B10120"/>
    <w:rsid w:val="00B140BD"/>
    <w:rsid w:val="00B14420"/>
    <w:rsid w:val="00B21E39"/>
    <w:rsid w:val="00B21F95"/>
    <w:rsid w:val="00B271DD"/>
    <w:rsid w:val="00B27A4B"/>
    <w:rsid w:val="00B32DBE"/>
    <w:rsid w:val="00B32EBB"/>
    <w:rsid w:val="00B33A4A"/>
    <w:rsid w:val="00B3702B"/>
    <w:rsid w:val="00B40D62"/>
    <w:rsid w:val="00B423BE"/>
    <w:rsid w:val="00B447C5"/>
    <w:rsid w:val="00B5052F"/>
    <w:rsid w:val="00B536B7"/>
    <w:rsid w:val="00B53C10"/>
    <w:rsid w:val="00B541EA"/>
    <w:rsid w:val="00B5479F"/>
    <w:rsid w:val="00B63B63"/>
    <w:rsid w:val="00B67888"/>
    <w:rsid w:val="00B67AE9"/>
    <w:rsid w:val="00B7029C"/>
    <w:rsid w:val="00B76174"/>
    <w:rsid w:val="00B80446"/>
    <w:rsid w:val="00B8227C"/>
    <w:rsid w:val="00B861DF"/>
    <w:rsid w:val="00B93823"/>
    <w:rsid w:val="00B96443"/>
    <w:rsid w:val="00BA24A0"/>
    <w:rsid w:val="00BA40A0"/>
    <w:rsid w:val="00BA4528"/>
    <w:rsid w:val="00BB17C9"/>
    <w:rsid w:val="00BC0D55"/>
    <w:rsid w:val="00BC5EEA"/>
    <w:rsid w:val="00BE575F"/>
    <w:rsid w:val="00BF4E37"/>
    <w:rsid w:val="00BF5795"/>
    <w:rsid w:val="00BF599C"/>
    <w:rsid w:val="00BF5D35"/>
    <w:rsid w:val="00C020D7"/>
    <w:rsid w:val="00C03986"/>
    <w:rsid w:val="00C17333"/>
    <w:rsid w:val="00C20F5D"/>
    <w:rsid w:val="00C20F60"/>
    <w:rsid w:val="00C3482F"/>
    <w:rsid w:val="00C43499"/>
    <w:rsid w:val="00C4525B"/>
    <w:rsid w:val="00C50461"/>
    <w:rsid w:val="00C54665"/>
    <w:rsid w:val="00C5600A"/>
    <w:rsid w:val="00C56E85"/>
    <w:rsid w:val="00C61772"/>
    <w:rsid w:val="00C61C4E"/>
    <w:rsid w:val="00C63904"/>
    <w:rsid w:val="00C6644B"/>
    <w:rsid w:val="00C70AFF"/>
    <w:rsid w:val="00C729F6"/>
    <w:rsid w:val="00C74906"/>
    <w:rsid w:val="00C83C59"/>
    <w:rsid w:val="00C852DD"/>
    <w:rsid w:val="00C86B79"/>
    <w:rsid w:val="00C8755A"/>
    <w:rsid w:val="00C92FE8"/>
    <w:rsid w:val="00C93A02"/>
    <w:rsid w:val="00C95D4E"/>
    <w:rsid w:val="00C95D8C"/>
    <w:rsid w:val="00C96D2F"/>
    <w:rsid w:val="00C978E9"/>
    <w:rsid w:val="00CA03DD"/>
    <w:rsid w:val="00CA0E00"/>
    <w:rsid w:val="00CA0EDD"/>
    <w:rsid w:val="00CA3898"/>
    <w:rsid w:val="00CA5D63"/>
    <w:rsid w:val="00CA7857"/>
    <w:rsid w:val="00CB3140"/>
    <w:rsid w:val="00CB383D"/>
    <w:rsid w:val="00CB50FA"/>
    <w:rsid w:val="00CB5BE7"/>
    <w:rsid w:val="00CC4721"/>
    <w:rsid w:val="00CC70CF"/>
    <w:rsid w:val="00CD0B85"/>
    <w:rsid w:val="00CD1761"/>
    <w:rsid w:val="00CD1C52"/>
    <w:rsid w:val="00CD5C38"/>
    <w:rsid w:val="00CE39CB"/>
    <w:rsid w:val="00CE5AD5"/>
    <w:rsid w:val="00CE67CD"/>
    <w:rsid w:val="00D00A02"/>
    <w:rsid w:val="00D27907"/>
    <w:rsid w:val="00D324D4"/>
    <w:rsid w:val="00D35EF0"/>
    <w:rsid w:val="00D3670C"/>
    <w:rsid w:val="00D44825"/>
    <w:rsid w:val="00D44A29"/>
    <w:rsid w:val="00D46F3B"/>
    <w:rsid w:val="00D54B51"/>
    <w:rsid w:val="00D611B3"/>
    <w:rsid w:val="00D61FD5"/>
    <w:rsid w:val="00D66376"/>
    <w:rsid w:val="00D72273"/>
    <w:rsid w:val="00D742D9"/>
    <w:rsid w:val="00D804A3"/>
    <w:rsid w:val="00D80A57"/>
    <w:rsid w:val="00D852CD"/>
    <w:rsid w:val="00D91A89"/>
    <w:rsid w:val="00D95F01"/>
    <w:rsid w:val="00D96799"/>
    <w:rsid w:val="00DA2E03"/>
    <w:rsid w:val="00DA5638"/>
    <w:rsid w:val="00DA581B"/>
    <w:rsid w:val="00DB542F"/>
    <w:rsid w:val="00DC2F89"/>
    <w:rsid w:val="00DD6C4D"/>
    <w:rsid w:val="00DD6CE4"/>
    <w:rsid w:val="00DE029C"/>
    <w:rsid w:val="00DE3E08"/>
    <w:rsid w:val="00DE48F5"/>
    <w:rsid w:val="00DE6B25"/>
    <w:rsid w:val="00DF0BBB"/>
    <w:rsid w:val="00DF2ADF"/>
    <w:rsid w:val="00E01E02"/>
    <w:rsid w:val="00E030C5"/>
    <w:rsid w:val="00E03306"/>
    <w:rsid w:val="00E10E7A"/>
    <w:rsid w:val="00E14BB2"/>
    <w:rsid w:val="00E14C3F"/>
    <w:rsid w:val="00E17DD1"/>
    <w:rsid w:val="00E23785"/>
    <w:rsid w:val="00E254F9"/>
    <w:rsid w:val="00E35F04"/>
    <w:rsid w:val="00E36C22"/>
    <w:rsid w:val="00E428D5"/>
    <w:rsid w:val="00E46C1D"/>
    <w:rsid w:val="00E5015B"/>
    <w:rsid w:val="00E50864"/>
    <w:rsid w:val="00E5632A"/>
    <w:rsid w:val="00E67FF4"/>
    <w:rsid w:val="00E72A3E"/>
    <w:rsid w:val="00E72F2E"/>
    <w:rsid w:val="00E73568"/>
    <w:rsid w:val="00E7678F"/>
    <w:rsid w:val="00E83799"/>
    <w:rsid w:val="00E915A0"/>
    <w:rsid w:val="00E95DEC"/>
    <w:rsid w:val="00EA15EA"/>
    <w:rsid w:val="00EA1677"/>
    <w:rsid w:val="00EA3B12"/>
    <w:rsid w:val="00EA547F"/>
    <w:rsid w:val="00EA6E97"/>
    <w:rsid w:val="00EB1943"/>
    <w:rsid w:val="00EB561A"/>
    <w:rsid w:val="00EB5CC6"/>
    <w:rsid w:val="00EC1E26"/>
    <w:rsid w:val="00EC22EB"/>
    <w:rsid w:val="00EC72F3"/>
    <w:rsid w:val="00EC7444"/>
    <w:rsid w:val="00EC7857"/>
    <w:rsid w:val="00ED11EF"/>
    <w:rsid w:val="00ED453D"/>
    <w:rsid w:val="00ED50E9"/>
    <w:rsid w:val="00ED6BC5"/>
    <w:rsid w:val="00EE263F"/>
    <w:rsid w:val="00EE6B5E"/>
    <w:rsid w:val="00EF531B"/>
    <w:rsid w:val="00F0508D"/>
    <w:rsid w:val="00F0685C"/>
    <w:rsid w:val="00F16FB6"/>
    <w:rsid w:val="00F21BA2"/>
    <w:rsid w:val="00F22329"/>
    <w:rsid w:val="00F258A2"/>
    <w:rsid w:val="00F26166"/>
    <w:rsid w:val="00F26E04"/>
    <w:rsid w:val="00F35AEC"/>
    <w:rsid w:val="00F4122A"/>
    <w:rsid w:val="00F41EC3"/>
    <w:rsid w:val="00F4211E"/>
    <w:rsid w:val="00F43C9E"/>
    <w:rsid w:val="00F52DE5"/>
    <w:rsid w:val="00F55EFB"/>
    <w:rsid w:val="00F56BE8"/>
    <w:rsid w:val="00F61FC0"/>
    <w:rsid w:val="00F67B66"/>
    <w:rsid w:val="00F70BF1"/>
    <w:rsid w:val="00F74963"/>
    <w:rsid w:val="00F908C1"/>
    <w:rsid w:val="00F90B2E"/>
    <w:rsid w:val="00F90EF4"/>
    <w:rsid w:val="00F910D6"/>
    <w:rsid w:val="00F957F6"/>
    <w:rsid w:val="00F95CA7"/>
    <w:rsid w:val="00F96D15"/>
    <w:rsid w:val="00FA1543"/>
    <w:rsid w:val="00FA166F"/>
    <w:rsid w:val="00FA1ACD"/>
    <w:rsid w:val="00FA21B9"/>
    <w:rsid w:val="00FA36F2"/>
    <w:rsid w:val="00FA4098"/>
    <w:rsid w:val="00FA5B56"/>
    <w:rsid w:val="00FB3975"/>
    <w:rsid w:val="00FB3B7C"/>
    <w:rsid w:val="00FB636B"/>
    <w:rsid w:val="00FB7124"/>
    <w:rsid w:val="00FC7941"/>
    <w:rsid w:val="00FD03E2"/>
    <w:rsid w:val="00FD5212"/>
    <w:rsid w:val="00FD5889"/>
    <w:rsid w:val="00FD7B33"/>
    <w:rsid w:val="00FE1BC0"/>
    <w:rsid w:val="00FE54DF"/>
    <w:rsid w:val="00FF25C8"/>
    <w:rsid w:val="00FF3C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E8A9F"/>
  <w15:docId w15:val="{C4347118-D1CB-40DE-99D6-54A20024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fr-FR"/>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link w:val="Heading2Char2"/>
    <w:qFormat/>
    <w:rsid w:val="00B058F4"/>
    <w:pPr>
      <w:keepNext/>
      <w:tabs>
        <w:tab w:val="left" w:pos="720"/>
      </w:tabs>
      <w:spacing w:before="120" w:after="120"/>
      <w:jc w:val="center"/>
      <w:outlineLvl w:val="1"/>
    </w:pPr>
    <w:rPr>
      <w:b/>
      <w:bCs/>
      <w:iCs/>
      <w:snapToGrid w:val="0"/>
    </w:rPr>
  </w:style>
  <w:style w:type="paragraph" w:styleId="Heading3">
    <w:name w:val="heading 3"/>
    <w:basedOn w:val="Normal"/>
    <w:next w:val="Normal"/>
    <w:link w:val="Heading3Char"/>
    <w:qFormat/>
    <w:rsid w:val="00BF5795"/>
    <w:pPr>
      <w:keepNext/>
      <w:tabs>
        <w:tab w:val="left" w:pos="567"/>
      </w:tabs>
      <w:spacing w:before="120" w:after="120"/>
      <w:jc w:val="left"/>
      <w:outlineLvl w:val="2"/>
    </w:pPr>
    <w:rPr>
      <w:i/>
      <w:iCs/>
    </w:rPr>
  </w:style>
  <w:style w:type="paragraph" w:styleId="Heading40">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uiPriority w:val="99"/>
    <w:qFormat/>
    <w:rsid w:val="00AE6843"/>
    <w:rPr>
      <w:position w:val="6"/>
      <w:sz w:val="16"/>
    </w:rPr>
  </w:style>
  <w:style w:type="character" w:styleId="PageNumber">
    <w:name w:val="page number"/>
    <w:rPr>
      <w:rFonts w:ascii="Times New Roman" w:hAnsi="Times New Roman"/>
      <w:sz w:val="22"/>
    </w:rPr>
  </w:style>
  <w:style w:type="paragraph" w:styleId="BodyText">
    <w:name w:val="Body Text"/>
    <w:basedOn w:val="Normal"/>
    <w:link w:val="BodyTextChar1"/>
    <w:pPr>
      <w:spacing w:before="120" w:after="120"/>
      <w:ind w:firstLine="720"/>
    </w:pPr>
    <w:rPr>
      <w:iCs/>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pPr>
      <w:tabs>
        <w:tab w:val="center" w:pos="4320"/>
        <w:tab w:val="right" w:pos="8640"/>
      </w:tabs>
    </w:pPr>
    <w:rPr>
      <w:rFonts w:cs="Times New Roman"/>
    </w:rPr>
  </w:style>
  <w:style w:type="paragraph" w:styleId="Footer">
    <w:name w:val="footer"/>
    <w:basedOn w:val="Normal"/>
    <w:link w:val="FooterChar"/>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pPr>
      <w:keepLines/>
      <w:spacing w:after="60"/>
      <w:ind w:firstLine="720"/>
    </w:pPr>
    <w:rPr>
      <w:rFonts w:cs="Times New Roman"/>
      <w:sz w:val="18"/>
      <w:lang w:eastAsia="x-none"/>
    </w:rPr>
  </w:style>
  <w:style w:type="paragraph" w:styleId="BodyText2">
    <w:name w:val="Body Text 2"/>
    <w:basedOn w:val="Normal"/>
    <w:link w:val="BodyText2Char1"/>
    <w:rPr>
      <w:i/>
      <w:iCs/>
    </w:rPr>
  </w:style>
  <w:style w:type="paragraph" w:styleId="BodyText3">
    <w:name w:val="Body Text 3"/>
    <w:basedOn w:val="Normal"/>
    <w:link w:val="BodyText3Char"/>
    <w:pPr>
      <w:jc w:val="center"/>
    </w:pPr>
    <w:rPr>
      <w:sz w:val="28"/>
    </w:rPr>
  </w:style>
  <w:style w:type="paragraph" w:styleId="BodyTextIndent2">
    <w:name w:val="Body Text Indent 2"/>
    <w:basedOn w:val="Normal"/>
    <w:link w:val="BodyTextIndent2Char"/>
    <w:pPr>
      <w:ind w:firstLine="720"/>
    </w:pPr>
  </w:style>
  <w:style w:type="paragraph" w:styleId="BodyTextIndent3">
    <w:name w:val="Body Text Indent 3"/>
    <w:basedOn w:val="Normal"/>
    <w:link w:val="BodyTextIndent3Char"/>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pPr>
      <w:spacing w:before="120" w:after="120"/>
      <w:ind w:left="1440" w:hanging="720"/>
      <w:jc w:val="left"/>
    </w:pPr>
  </w:style>
  <w:style w:type="character" w:styleId="EndnoteReference">
    <w:name w:val="endnote reference"/>
    <w:semiHidden/>
    <w:rPr>
      <w:vertAlign w:val="superscript"/>
    </w:rPr>
  </w:style>
  <w:style w:type="paragraph" w:styleId="Title">
    <w:name w:val="Title"/>
    <w:basedOn w:val="Normal"/>
    <w:link w:val="TitleChar"/>
    <w:uiPriority w:val="10"/>
    <w:qFormat/>
    <w:pPr>
      <w:jc w:val="center"/>
    </w:pPr>
    <w:rPr>
      <w:i/>
      <w:iCs/>
    </w:r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pPr>
      <w:ind w:left="284" w:right="4398" w:hanging="284"/>
      <w:jc w:val="left"/>
    </w:pPr>
  </w:style>
  <w:style w:type="paragraph" w:customStyle="1" w:styleId="Para1">
    <w:name w:val="Para1"/>
    <w:basedOn w:val="Normal"/>
    <w:link w:val="Para1Char1"/>
    <w:rsid w:val="006C5568"/>
    <w:pPr>
      <w:numPr>
        <w:numId w:val="15"/>
      </w:numPr>
      <w:spacing w:before="120" w:after="120"/>
    </w:pPr>
    <w:rPr>
      <w:rFonts w:cs="Times New Roman"/>
      <w:snapToGrid w:val="0"/>
      <w:kern w:val="22"/>
      <w:szCs w:val="22"/>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0"/>
    <w:pPr>
      <w:ind w:left="720"/>
    </w:pPr>
  </w:style>
  <w:style w:type="paragraph" w:styleId="PlainText">
    <w:name w:val="Plain Text"/>
    <w:basedOn w:val="Normal"/>
    <w:link w:val="PlainTextChar"/>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style>
  <w:style w:type="paragraph" w:customStyle="1" w:styleId="HEADINGNOTFORTOC">
    <w:name w:val="HEADING (NOT FOR TOC)"/>
    <w:basedOn w:val="Heading1"/>
    <w:next w:val="Heading2"/>
    <w:link w:val="HEADINGNOTFORTOCChar"/>
  </w:style>
  <w:style w:type="paragraph" w:styleId="Subtitle">
    <w:name w:val="Subtitle"/>
    <w:basedOn w:val="Normal"/>
    <w:link w:val="SubtitleChar"/>
    <w:uiPriority w:val="11"/>
    <w:qFormat/>
    <w:rPr>
      <w:b/>
      <w:bCs/>
    </w:rPr>
  </w:style>
  <w:style w:type="character" w:styleId="Strong">
    <w:name w:val="Strong"/>
    <w:uiPriority w:val="22"/>
    <w:qFormat/>
    <w:rPr>
      <w:b/>
      <w:bCs/>
    </w:rPr>
  </w:style>
  <w:style w:type="paragraph" w:customStyle="1" w:styleId="Para10">
    <w:name w:val="Para 1"/>
    <w:basedOn w:val="Para1"/>
    <w:rsid w:val="00BF5795"/>
  </w:style>
  <w:style w:type="paragraph" w:customStyle="1" w:styleId="Style1">
    <w:name w:val="Style1"/>
    <w:basedOn w:val="Para10"/>
    <w:qFormat/>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895415"/>
    <w:pPr>
      <w:tabs>
        <w:tab w:val="left" w:pos="0"/>
        <w:tab w:val="right" w:leader="dot" w:pos="9360"/>
      </w:tabs>
      <w:spacing w:after="120"/>
      <w:ind w:left="1134" w:right="540" w:hanging="850"/>
      <w:jc w:val="left"/>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link w:val="Heading1multilineChar"/>
    <w:rsid w:val="00B058F4"/>
    <w:pPr>
      <w:tabs>
        <w:tab w:val="clear" w:pos="720"/>
        <w:tab w:val="left" w:pos="1701"/>
      </w:tabs>
      <w:ind w:left="1701" w:right="571" w:hanging="1134"/>
      <w:jc w:val="left"/>
    </w:pPr>
    <w:rPr>
      <w:snapToGrid w:val="0"/>
    </w:r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uiPriority w:val="39"/>
    <w:rsid w:val="0088228E"/>
    <w:pPr>
      <w:tabs>
        <w:tab w:val="left" w:pos="0"/>
        <w:tab w:val="left" w:pos="2700"/>
        <w:tab w:val="right" w:leader="dot" w:pos="9360"/>
      </w:tabs>
      <w:ind w:left="1134" w:right="720" w:hanging="850"/>
    </w:pPr>
    <w:rPr>
      <w:noProof/>
      <w:szCs w:val="22"/>
    </w:rPr>
  </w:style>
  <w:style w:type="paragraph" w:styleId="TOC3">
    <w:name w:val="toc 3"/>
    <w:basedOn w:val="Normal"/>
    <w:next w:val="Normal"/>
    <w:autoRedefine/>
    <w:uiPriority w:val="39"/>
    <w:pPr>
      <w:ind w:left="2160" w:hanging="720"/>
    </w:pPr>
  </w:style>
  <w:style w:type="paragraph" w:styleId="TOC5">
    <w:name w:val="toc 5"/>
    <w:basedOn w:val="Normal"/>
    <w:next w:val="Normal"/>
    <w:autoRedefine/>
    <w:semiHidden/>
    <w:pPr>
      <w:ind w:left="880"/>
    </w:pPr>
  </w:style>
  <w:style w:type="character" w:customStyle="1" w:styleId="Heading1Char">
    <w:name w:val="Heading 1 Char"/>
    <w:link w:val="Heading1"/>
    <w:rPr>
      <w:rFonts w:cs="Angsana New"/>
      <w:b/>
      <w:caps/>
      <w:sz w:val="22"/>
      <w:szCs w:val="24"/>
      <w:lang w:val="en-GB" w:eastAsia="en-US" w:bidi="ar-SA"/>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cs="Angsana New"/>
      <w:b/>
      <w:caps/>
      <w:sz w:val="22"/>
      <w:szCs w:val="24"/>
      <w:lang w:val="en-GB" w:eastAsia="en-US" w:bidi="ar-SA"/>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jc w:val="left"/>
    </w:pPr>
    <w:rPr>
      <w:rFonts w:eastAsia="Calibri" w:cs="Times New Roman"/>
      <w:color w:val="000000"/>
      <w:sz w:val="24"/>
      <w:lang w:val="en-US"/>
    </w:rPr>
  </w:style>
  <w:style w:type="character" w:customStyle="1" w:styleId="apple-style-span">
    <w:name w:val="apple-style-span"/>
  </w:style>
  <w:style w:type="character" w:customStyle="1" w:styleId="HeaderChar">
    <w:name w:val="Header Char"/>
    <w:link w:val="Header"/>
    <w:rPr>
      <w:rFonts w:cs="Angsana New"/>
      <w:sz w:val="22"/>
      <w:szCs w:val="24"/>
      <w:lang w:val="en-GB" w:eastAsia="en-US"/>
    </w:rPr>
  </w:style>
  <w:style w:type="character" w:customStyle="1" w:styleId="PlainTextChar">
    <w:name w:val="Plain Text Char"/>
    <w:link w:val="PlainText"/>
    <w:rPr>
      <w:rFonts w:ascii="Courier New" w:hAnsi="Courier New" w:cs="Courier New"/>
      <w:szCs w:val="24"/>
      <w:lang w:eastAsia="en-US"/>
    </w:rPr>
  </w:style>
  <w:style w:type="character" w:customStyle="1" w:styleId="FooterChar">
    <w:name w:val="Footer Char"/>
    <w:link w:val="Footer"/>
    <w:rPr>
      <w:rFonts w:cs="Angsana New"/>
      <w:sz w:val="22"/>
      <w:szCs w:val="24"/>
      <w:lang w:eastAsia="en-US"/>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customStyle="1" w:styleId="DarkList-Accent61">
    <w:name w:val="Dark List - Accent 61"/>
    <w:uiPriority w:val="1"/>
    <w:qFormat/>
    <w:rPr>
      <w:rFonts w:ascii="Calibri" w:hAnsi="Calibri"/>
      <w:sz w:val="22"/>
      <w:szCs w:val="22"/>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rFonts w:cs="Angsana New"/>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ColorfulGrid-Accent62">
    <w:name w:val="Colorful Grid - Accent 62"/>
    <w:hidden/>
    <w:uiPriority w:val="99"/>
    <w:semiHidden/>
    <w:rPr>
      <w:rFonts w:cs="Angsana New"/>
      <w:sz w:val="22"/>
      <w:szCs w:val="24"/>
      <w:lang w:val="en-GB"/>
    </w:rPr>
  </w:style>
  <w:style w:type="paragraph" w:customStyle="1" w:styleId="SubtleEmphasis2">
    <w:name w:val="Subtle Emphasis2"/>
    <w:basedOn w:val="Normal"/>
    <w:uiPriority w:val="34"/>
    <w:qFormat/>
    <w:pPr>
      <w:ind w:left="720"/>
    </w:pPr>
  </w:style>
  <w:style w:type="paragraph" w:customStyle="1" w:styleId="LightGrid-Accent31">
    <w:name w:val="Light Grid - Accent 31"/>
    <w:basedOn w:val="Normal"/>
    <w:uiPriority w:val="34"/>
    <w:qFormat/>
    <w:pPr>
      <w:ind w:left="720"/>
    </w:pPr>
  </w:style>
  <w:style w:type="paragraph" w:styleId="Revision">
    <w:name w:val="Revision"/>
    <w:hidden/>
    <w:uiPriority w:val="99"/>
    <w:rPr>
      <w:rFonts w:cs="Angsana New"/>
      <w:sz w:val="22"/>
      <w:szCs w:val="24"/>
      <w:lang w:val="en-GB"/>
    </w:rPr>
  </w:style>
  <w:style w:type="paragraph" w:customStyle="1" w:styleId="meetingname">
    <w:name w:val="meeting name"/>
    <w:basedOn w:val="Normal"/>
    <w:qFormat/>
    <w:pPr>
      <w:ind w:left="170" w:right="3119" w:hanging="170"/>
      <w:jc w:val="left"/>
    </w:pPr>
    <w:rPr>
      <w:rFonts w:eastAsia="Malgun Gothic" w:cs="Times New Roman"/>
      <w:caps/>
      <w:snapToGrid w:val="0"/>
    </w:rPr>
  </w:style>
  <w:style w:type="paragraph" w:styleId="TOC9">
    <w:name w:val="toc 9"/>
    <w:basedOn w:val="Normal"/>
    <w:next w:val="Normal"/>
    <w:autoRedefine/>
    <w:pPr>
      <w:tabs>
        <w:tab w:val="num" w:pos="1440"/>
      </w:tabs>
      <w:spacing w:before="120" w:after="120"/>
      <w:ind w:left="1440" w:hanging="360"/>
      <w:jc w:val="left"/>
    </w:pPr>
    <w:rPr>
      <w:rFonts w:eastAsia="Times New Roman" w:cs="Times New Roman"/>
    </w:rPr>
  </w:style>
  <w:style w:type="paragraph" w:styleId="ListParagraph">
    <w:name w:val="List Paragraph"/>
    <w:aliases w:val="Dot pt,List Paragraph12,MAIN CONTENT,List Paragraph2,Rec para,Recommendation,List Paragraph11,F5 List Paragraph,List Paragraph Char Char Char,Indicator Text"/>
    <w:basedOn w:val="Normal"/>
    <w:link w:val="ListParagraphChar"/>
    <w:uiPriority w:val="34"/>
    <w:qFormat/>
    <w:pPr>
      <w:ind w:left="720"/>
    </w:pPr>
  </w:style>
  <w:style w:type="character" w:customStyle="1" w:styleId="CommentTextChar">
    <w:name w:val="Comment Text Char"/>
    <w:link w:val="CommentText"/>
    <w:rPr>
      <w:rFonts w:cs="Angsana New"/>
      <w:szCs w:val="24"/>
      <w:lang w:val="en-GB"/>
    </w:rPr>
  </w:style>
  <w:style w:type="table" w:styleId="TableGrid">
    <w:name w:val="Table Grid"/>
    <w:basedOn w:val="TableNormal"/>
    <w:uiPriority w:val="59"/>
    <w:rPr>
      <w:rFonts w:ascii="Cambria"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uiPriority w:val="99"/>
    <w:unhideWhenUsed/>
    <w:rPr>
      <w:i/>
      <w:iCs/>
    </w:rPr>
  </w:style>
  <w:style w:type="character" w:customStyle="1" w:styleId="apple-converted-space">
    <w:name w:val="apple-converted-space"/>
  </w:style>
  <w:style w:type="character" w:customStyle="1" w:styleId="st">
    <w:name w:val="st"/>
  </w:style>
  <w:style w:type="character" w:customStyle="1" w:styleId="Para1Char1">
    <w:name w:val="Para1 Char1"/>
    <w:link w:val="Para1"/>
    <w:rsid w:val="006C5568"/>
    <w:rPr>
      <w:snapToGrid w:val="0"/>
      <w:kern w:val="22"/>
      <w:sz w:val="22"/>
      <w:szCs w:val="22"/>
      <w:lang w:val="fr-FR"/>
    </w:rPr>
  </w:style>
  <w:style w:type="character" w:styleId="PlaceholderText">
    <w:name w:val="Placeholder Text"/>
    <w:basedOn w:val="DefaultParagraphFont"/>
    <w:uiPriority w:val="67"/>
    <w:rsid w:val="0084107C"/>
    <w:rPr>
      <w:color w:val="808080"/>
    </w:rPr>
  </w:style>
  <w:style w:type="table" w:customStyle="1" w:styleId="TableGrid1">
    <w:name w:val="Table Grid1"/>
    <w:basedOn w:val="TableNormal"/>
    <w:next w:val="TableGrid"/>
    <w:uiPriority w:val="59"/>
    <w:rsid w:val="0084107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A1677"/>
    <w:rPr>
      <w:color w:val="808080"/>
      <w:shd w:val="clear" w:color="auto" w:fill="E6E6E6"/>
    </w:rPr>
  </w:style>
  <w:style w:type="character" w:customStyle="1" w:styleId="UnresolvedMention2">
    <w:name w:val="Unresolved Mention2"/>
    <w:basedOn w:val="DefaultParagraphFont"/>
    <w:uiPriority w:val="99"/>
    <w:semiHidden/>
    <w:unhideWhenUsed/>
    <w:rsid w:val="008B0347"/>
    <w:rPr>
      <w:color w:val="808080"/>
      <w:shd w:val="clear" w:color="auto" w:fill="E6E6E6"/>
    </w:rPr>
  </w:style>
  <w:style w:type="paragraph" w:customStyle="1" w:styleId="ListParagraph1">
    <w:name w:val="List Paragraph1"/>
    <w:basedOn w:val="Normal"/>
    <w:qFormat/>
    <w:rsid w:val="008517B4"/>
    <w:pPr>
      <w:numPr>
        <w:numId w:val="17"/>
      </w:numPr>
      <w:tabs>
        <w:tab w:val="left" w:pos="720"/>
      </w:tabs>
      <w:spacing w:before="120" w:after="120"/>
      <w:ind w:left="0" w:firstLine="0"/>
    </w:pPr>
    <w:rPr>
      <w:rFonts w:eastAsia="Times New Roman" w:cs="Times New Roman"/>
      <w:szCs w:val="22"/>
      <w:lang w:val="en-US" w:eastAsia="en-CA"/>
    </w:rPr>
  </w:style>
  <w:style w:type="character" w:customStyle="1" w:styleId="normaltextrun">
    <w:name w:val="normaltextrun"/>
    <w:rsid w:val="008517B4"/>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E6843"/>
    <w:pPr>
      <w:spacing w:after="160" w:line="240" w:lineRule="exact"/>
      <w:jc w:val="left"/>
    </w:pPr>
    <w:rPr>
      <w:rFonts w:cs="Times New Roman"/>
      <w:position w:val="6"/>
      <w:sz w:val="16"/>
      <w:szCs w:val="20"/>
      <w:lang w:val="en-US"/>
    </w:rPr>
  </w:style>
  <w:style w:type="character" w:customStyle="1" w:styleId="Hyperlink0">
    <w:name w:val="Hyperlink.0"/>
    <w:basedOn w:val="DefaultParagraphFont"/>
    <w:rsid w:val="00741BCC"/>
    <w:rPr>
      <w:color w:val="0000FF"/>
      <w:kern w:val="22"/>
      <w:sz w:val="22"/>
      <w:szCs w:val="22"/>
      <w:u w:val="single" w:color="0000FF"/>
    </w:rPr>
  </w:style>
  <w:style w:type="character" w:customStyle="1" w:styleId="None">
    <w:name w:val="None"/>
    <w:rsid w:val="00741BCC"/>
  </w:style>
  <w:style w:type="numbering" w:customStyle="1" w:styleId="ImportedStyle6">
    <w:name w:val="Imported Style 6"/>
    <w:rsid w:val="00741BCC"/>
    <w:pPr>
      <w:numPr>
        <w:numId w:val="20"/>
      </w:numPr>
    </w:pPr>
  </w:style>
  <w:style w:type="character" w:customStyle="1" w:styleId="StyleFootnoteReferencenumberFootnoteReferenceSuperscript-EF">
    <w:name w:val="Style Footnote ReferencenumberFootnote Reference Superscript-E F..."/>
    <w:rsid w:val="00896373"/>
    <w:rPr>
      <w:strike w:val="0"/>
      <w:dstrike w:val="0"/>
      <w:kern w:val="22"/>
      <w:sz w:val="18"/>
      <w:u w:val="none"/>
      <w:effect w:val="none"/>
      <w:vertAlign w:val="superscript"/>
    </w:rPr>
  </w:style>
  <w:style w:type="character" w:customStyle="1" w:styleId="BalloonTextChar">
    <w:name w:val="Balloon Text Char"/>
    <w:basedOn w:val="DefaultParagraphFont"/>
    <w:link w:val="BalloonText"/>
    <w:uiPriority w:val="99"/>
    <w:semiHidden/>
    <w:rsid w:val="00952749"/>
    <w:rPr>
      <w:rFonts w:ascii="Tahoma" w:hAnsi="Tahoma" w:cs="Tahoma"/>
      <w:sz w:val="16"/>
      <w:szCs w:val="16"/>
      <w:lang w:val="fr-FR"/>
    </w:rPr>
  </w:style>
  <w:style w:type="character" w:customStyle="1" w:styleId="TitleChar">
    <w:name w:val="Title Char"/>
    <w:basedOn w:val="DefaultParagraphFont"/>
    <w:link w:val="Title"/>
    <w:uiPriority w:val="10"/>
    <w:rsid w:val="00952749"/>
    <w:rPr>
      <w:rFonts w:cs="Angsana New"/>
      <w:i/>
      <w:iCs/>
      <w:sz w:val="22"/>
      <w:szCs w:val="24"/>
      <w:lang w:val="fr-FR"/>
    </w:rPr>
  </w:style>
  <w:style w:type="character" w:customStyle="1" w:styleId="SubtitleChar">
    <w:name w:val="Subtitle Char"/>
    <w:basedOn w:val="DefaultParagraphFont"/>
    <w:link w:val="Subtitle"/>
    <w:uiPriority w:val="11"/>
    <w:rsid w:val="00952749"/>
    <w:rPr>
      <w:rFonts w:cs="Angsana New"/>
      <w:b/>
      <w:bCs/>
      <w:sz w:val="22"/>
      <w:szCs w:val="24"/>
      <w:lang w:val="fr-FR"/>
    </w:rPr>
  </w:style>
  <w:style w:type="character" w:customStyle="1" w:styleId="BodyTextChar1">
    <w:name w:val="Body Text Char1"/>
    <w:basedOn w:val="DefaultParagraphFont"/>
    <w:link w:val="BodyText"/>
    <w:rsid w:val="00952749"/>
    <w:rPr>
      <w:rFonts w:cs="Angsana New"/>
      <w:iCs/>
      <w:sz w:val="22"/>
      <w:szCs w:val="24"/>
      <w:lang w:val="fr-FR"/>
    </w:rPr>
  </w:style>
  <w:style w:type="character" w:customStyle="1" w:styleId="BodyTextIndentChar">
    <w:name w:val="Body Text Indent Char"/>
    <w:basedOn w:val="DefaultParagraphFont"/>
    <w:link w:val="BodyTextIndent"/>
    <w:rsid w:val="00952749"/>
    <w:rPr>
      <w:rFonts w:cs="Angsana New"/>
      <w:sz w:val="22"/>
      <w:szCs w:val="24"/>
      <w:lang w:val="fr-FR"/>
    </w:rPr>
  </w:style>
  <w:style w:type="character" w:customStyle="1" w:styleId="EndnoteTextChar">
    <w:name w:val="Endnote Text Char"/>
    <w:basedOn w:val="DefaultParagraphFont"/>
    <w:link w:val="EndnoteText"/>
    <w:semiHidden/>
    <w:rsid w:val="00952749"/>
    <w:rPr>
      <w:rFonts w:ascii="Courier New" w:hAnsi="Courier New" w:cs="Angsana New"/>
      <w:sz w:val="22"/>
      <w:szCs w:val="24"/>
      <w:lang w:val="fr-FR"/>
    </w:rPr>
  </w:style>
  <w:style w:type="character" w:customStyle="1" w:styleId="Heading2Char2">
    <w:name w:val="Heading 2 Char2"/>
    <w:basedOn w:val="DefaultParagraphFont"/>
    <w:link w:val="Heading2"/>
    <w:rsid w:val="00952749"/>
    <w:rPr>
      <w:rFonts w:cs="Angsana New"/>
      <w:b/>
      <w:bCs/>
      <w:iCs/>
      <w:snapToGrid w:val="0"/>
      <w:sz w:val="22"/>
      <w:szCs w:val="24"/>
      <w:lang w:val="fr-FR"/>
    </w:rPr>
  </w:style>
  <w:style w:type="character" w:customStyle="1" w:styleId="Heading3Char">
    <w:name w:val="Heading 3 Char"/>
    <w:basedOn w:val="DefaultParagraphFont"/>
    <w:link w:val="Heading3"/>
    <w:rsid w:val="00952749"/>
    <w:rPr>
      <w:rFonts w:cs="Angsana New"/>
      <w:i/>
      <w:iCs/>
      <w:sz w:val="22"/>
      <w:szCs w:val="24"/>
      <w:lang w:val="fr-FR"/>
    </w:rPr>
  </w:style>
  <w:style w:type="paragraph" w:customStyle="1" w:styleId="heading2notforTOC">
    <w:name w:val="heading 2 not for TOC"/>
    <w:basedOn w:val="Heading3"/>
    <w:rsid w:val="00952749"/>
    <w:pPr>
      <w:jc w:val="center"/>
    </w:pPr>
    <w:rPr>
      <w:rFonts w:eastAsia="Times New Roman" w:cs="Times New Roman"/>
      <w:lang w:val="en-GB"/>
    </w:rPr>
  </w:style>
  <w:style w:type="character" w:customStyle="1" w:styleId="Heading4Char">
    <w:name w:val="Heading 4 Char"/>
    <w:basedOn w:val="DefaultParagraphFont"/>
    <w:link w:val="Heading40"/>
    <w:rsid w:val="00952749"/>
    <w:rPr>
      <w:rFonts w:ascii="Times New Roman Bold" w:eastAsia="Arial Unicode MS" w:hAnsi="Times New Roman Bold" w:cs="Arial"/>
      <w:b/>
      <w:bCs/>
      <w:i/>
      <w:iCs/>
      <w:sz w:val="22"/>
      <w:szCs w:val="24"/>
      <w:lang w:val="fr-FR"/>
    </w:rPr>
  </w:style>
  <w:style w:type="character" w:customStyle="1" w:styleId="Heading5Char">
    <w:name w:val="Heading 5 Char"/>
    <w:aliases w:val="Heading 5 - GTI Char"/>
    <w:basedOn w:val="DefaultParagraphFont"/>
    <w:link w:val="Heading5"/>
    <w:rsid w:val="00952749"/>
    <w:rPr>
      <w:rFonts w:cs="Angsana New"/>
      <w:bCs/>
      <w:i/>
      <w:sz w:val="22"/>
      <w:szCs w:val="26"/>
      <w:lang w:val="en-CA"/>
    </w:rPr>
  </w:style>
  <w:style w:type="character" w:customStyle="1" w:styleId="Heading6Char">
    <w:name w:val="Heading 6 Char"/>
    <w:basedOn w:val="DefaultParagraphFont"/>
    <w:link w:val="Heading6"/>
    <w:rsid w:val="00952749"/>
    <w:rPr>
      <w:rFonts w:cs="Angsana New"/>
      <w:sz w:val="22"/>
      <w:szCs w:val="24"/>
      <w:u w:val="single"/>
      <w:lang w:val="fr-FR"/>
    </w:rPr>
  </w:style>
  <w:style w:type="character" w:customStyle="1" w:styleId="Heading7Char">
    <w:name w:val="Heading 7 Char"/>
    <w:basedOn w:val="DefaultParagraphFont"/>
    <w:link w:val="Heading7"/>
    <w:rsid w:val="00952749"/>
    <w:rPr>
      <w:rFonts w:ascii="Univers" w:hAnsi="Univers" w:cs="Angsana New"/>
      <w:b/>
      <w:sz w:val="28"/>
      <w:szCs w:val="24"/>
      <w:lang w:val="fr-FR"/>
    </w:rPr>
  </w:style>
  <w:style w:type="character" w:customStyle="1" w:styleId="Heading8Char">
    <w:name w:val="Heading 8 Char"/>
    <w:basedOn w:val="DefaultParagraphFont"/>
    <w:link w:val="Heading8"/>
    <w:rsid w:val="00952749"/>
    <w:rPr>
      <w:rFonts w:ascii="Univers" w:hAnsi="Univers" w:cs="Angsana New"/>
      <w:b/>
      <w:sz w:val="32"/>
      <w:szCs w:val="24"/>
      <w:lang w:val="fr-FR"/>
    </w:rPr>
  </w:style>
  <w:style w:type="character" w:customStyle="1" w:styleId="Heading9Char">
    <w:name w:val="Heading 9 Char"/>
    <w:basedOn w:val="DefaultParagraphFont"/>
    <w:link w:val="Heading9"/>
    <w:rsid w:val="00952749"/>
    <w:rPr>
      <w:rFonts w:cs="Angsana New"/>
      <w:i/>
      <w:iCs/>
      <w:sz w:val="22"/>
      <w:szCs w:val="24"/>
      <w:lang w:val="fr-FR"/>
    </w:rPr>
  </w:style>
  <w:style w:type="paragraph" w:customStyle="1" w:styleId="Quotationtextindented">
    <w:name w:val="Quotation text (indented)"/>
    <w:basedOn w:val="Normal"/>
    <w:qFormat/>
    <w:rsid w:val="00952749"/>
    <w:pPr>
      <w:spacing w:before="120" w:after="120"/>
      <w:ind w:left="720" w:right="720"/>
    </w:pPr>
    <w:rPr>
      <w:rFonts w:eastAsia="Times New Roman" w:cs="Times New Roman"/>
      <w:bCs/>
      <w:lang w:val="en-GB"/>
    </w:rPr>
  </w:style>
  <w:style w:type="paragraph" w:customStyle="1" w:styleId="recommendationheader">
    <w:name w:val="recommendation header"/>
    <w:basedOn w:val="Heading2"/>
    <w:qFormat/>
    <w:rsid w:val="00952749"/>
    <w:rPr>
      <w:rFonts w:eastAsia="Times New Roman" w:cs="Times New Roman"/>
      <w:snapToGrid/>
      <w:lang w:val="en-GB"/>
    </w:rPr>
  </w:style>
  <w:style w:type="paragraph" w:customStyle="1" w:styleId="recommendationheaderlong">
    <w:name w:val="recommendation header long"/>
    <w:basedOn w:val="Heading2longmultiline"/>
    <w:qFormat/>
    <w:rsid w:val="00952749"/>
    <w:rPr>
      <w:rFonts w:eastAsia="Times New Roman" w:cs="Times New Roman"/>
      <w:lang w:val="en-GB"/>
    </w:rPr>
  </w:style>
  <w:style w:type="paragraph" w:customStyle="1" w:styleId="reference">
    <w:name w:val="reference"/>
    <w:basedOn w:val="Heading9"/>
    <w:qFormat/>
    <w:rsid w:val="00952749"/>
    <w:rPr>
      <w:rFonts w:eastAsia="Times New Roman" w:cs="Times New Roman"/>
      <w:i w:val="0"/>
      <w:sz w:val="18"/>
      <w:lang w:val="en-GB"/>
    </w:rPr>
  </w:style>
  <w:style w:type="character" w:customStyle="1" w:styleId="StyleFootnoteReferenceNounderline">
    <w:name w:val="Style Footnote Reference + No underline"/>
    <w:rsid w:val="00952749"/>
    <w:rPr>
      <w:sz w:val="18"/>
      <w:u w:val="none"/>
      <w:vertAlign w:val="baseline"/>
    </w:rPr>
  </w:style>
  <w:style w:type="paragraph" w:customStyle="1" w:styleId="tabletitle">
    <w:name w:val="table title"/>
    <w:basedOn w:val="Heading2"/>
    <w:qFormat/>
    <w:rsid w:val="00952749"/>
    <w:pPr>
      <w:jc w:val="left"/>
      <w:outlineLvl w:val="9"/>
    </w:pPr>
    <w:rPr>
      <w:rFonts w:eastAsia="Times New Roman" w:cs="Times New Roman"/>
      <w:i/>
      <w:snapToGrid/>
      <w:lang w:val="en-GB"/>
    </w:rPr>
  </w:style>
  <w:style w:type="paragraph" w:styleId="TOAHeading">
    <w:name w:val="toa heading"/>
    <w:basedOn w:val="Normal"/>
    <w:next w:val="Normal"/>
    <w:semiHidden/>
    <w:rsid w:val="00952749"/>
    <w:pPr>
      <w:spacing w:before="120"/>
    </w:pPr>
    <w:rPr>
      <w:rFonts w:eastAsia="Times New Roman" w:cs="Arial"/>
      <w:b/>
      <w:bCs/>
      <w:sz w:val="24"/>
      <w:lang w:val="en-GB"/>
    </w:rPr>
  </w:style>
  <w:style w:type="paragraph" w:styleId="TOC4">
    <w:name w:val="toc 4"/>
    <w:basedOn w:val="Normal"/>
    <w:next w:val="Normal"/>
    <w:autoRedefine/>
    <w:semiHidden/>
    <w:rsid w:val="00952749"/>
    <w:pPr>
      <w:spacing w:before="120" w:after="120"/>
      <w:ind w:left="660"/>
      <w:jc w:val="left"/>
    </w:pPr>
    <w:rPr>
      <w:rFonts w:eastAsia="Times New Roman" w:cs="Times New Roman"/>
      <w:lang w:val="en-GB"/>
    </w:rPr>
  </w:style>
  <w:style w:type="paragraph" w:styleId="TOC6">
    <w:name w:val="toc 6"/>
    <w:basedOn w:val="Normal"/>
    <w:next w:val="Normal"/>
    <w:autoRedefine/>
    <w:semiHidden/>
    <w:rsid w:val="00952749"/>
    <w:pPr>
      <w:spacing w:before="120" w:after="120"/>
      <w:ind w:left="1100"/>
      <w:jc w:val="left"/>
    </w:pPr>
    <w:rPr>
      <w:rFonts w:eastAsia="Times New Roman" w:cs="Times New Roman"/>
      <w:lang w:val="en-GB"/>
    </w:rPr>
  </w:style>
  <w:style w:type="paragraph" w:styleId="TOC7">
    <w:name w:val="toc 7"/>
    <w:basedOn w:val="Normal"/>
    <w:next w:val="Normal"/>
    <w:autoRedefine/>
    <w:semiHidden/>
    <w:rsid w:val="00952749"/>
    <w:pPr>
      <w:spacing w:before="120" w:after="120"/>
      <w:ind w:left="1320"/>
      <w:jc w:val="left"/>
    </w:pPr>
    <w:rPr>
      <w:rFonts w:eastAsia="Times New Roman" w:cs="Times New Roman"/>
      <w:lang w:val="en-GB"/>
    </w:rPr>
  </w:style>
  <w:style w:type="paragraph" w:styleId="TOC8">
    <w:name w:val="toc 8"/>
    <w:basedOn w:val="Normal"/>
    <w:next w:val="Normal"/>
    <w:autoRedefine/>
    <w:semiHidden/>
    <w:rsid w:val="00952749"/>
    <w:pPr>
      <w:spacing w:before="120" w:after="120"/>
      <w:ind w:left="1540"/>
      <w:jc w:val="left"/>
    </w:pPr>
    <w:rPr>
      <w:rFonts w:eastAsia="Times New Roman" w:cs="Times New Roman"/>
      <w:lang w:val="en-GB"/>
    </w:rPr>
  </w:style>
  <w:style w:type="paragraph" w:customStyle="1" w:styleId="CBD-Doc-Type">
    <w:name w:val="CBD-Doc-Type"/>
    <w:basedOn w:val="Normal"/>
    <w:rsid w:val="00952749"/>
    <w:pPr>
      <w:keepLines/>
      <w:spacing w:before="240" w:after="120"/>
    </w:pPr>
    <w:rPr>
      <w:rFonts w:eastAsia="Times New Roman"/>
      <w:b/>
      <w:i/>
      <w:sz w:val="24"/>
      <w:lang w:val="en-GB"/>
    </w:rPr>
  </w:style>
  <w:style w:type="paragraph" w:customStyle="1" w:styleId="CBD-Doc">
    <w:name w:val="CBD-Doc"/>
    <w:basedOn w:val="Normal"/>
    <w:rsid w:val="00952749"/>
    <w:pPr>
      <w:keepLines/>
      <w:numPr>
        <w:numId w:val="25"/>
      </w:numPr>
      <w:spacing w:after="120"/>
    </w:pPr>
    <w:rPr>
      <w:rFonts w:eastAsia="Times New Roman"/>
      <w:lang w:val="en-GB"/>
    </w:rPr>
  </w:style>
  <w:style w:type="paragraph" w:styleId="NoSpacing">
    <w:name w:val="No Spacing"/>
    <w:link w:val="NoSpacingChar"/>
    <w:uiPriority w:val="1"/>
    <w:qFormat/>
    <w:rsid w:val="00952749"/>
    <w:rPr>
      <w:rFonts w:ascii="Calibri" w:eastAsia="Calibri" w:hAnsi="Calibri"/>
      <w:sz w:val="22"/>
      <w:szCs w:val="22"/>
    </w:rPr>
  </w:style>
  <w:style w:type="character" w:customStyle="1" w:styleId="NoSpacingChar">
    <w:name w:val="No Spacing Char"/>
    <w:basedOn w:val="DefaultParagraphFont"/>
    <w:link w:val="NoSpacing"/>
    <w:uiPriority w:val="1"/>
    <w:rsid w:val="00952749"/>
    <w:rPr>
      <w:rFonts w:ascii="Calibri" w:eastAsia="Calibri" w:hAnsi="Calibri"/>
      <w:sz w:val="22"/>
      <w:szCs w:val="22"/>
    </w:rPr>
  </w:style>
  <w:style w:type="character" w:customStyle="1" w:styleId="BodyText2Char1">
    <w:name w:val="Body Text 2 Char1"/>
    <w:basedOn w:val="DefaultParagraphFont"/>
    <w:link w:val="BodyText2"/>
    <w:rsid w:val="00952749"/>
    <w:rPr>
      <w:rFonts w:cs="Angsana New"/>
      <w:i/>
      <w:iCs/>
      <w:sz w:val="22"/>
      <w:szCs w:val="24"/>
      <w:lang w:val="fr-FR"/>
    </w:rPr>
  </w:style>
  <w:style w:type="character" w:customStyle="1" w:styleId="BodyText3Char">
    <w:name w:val="Body Text 3 Char"/>
    <w:basedOn w:val="DefaultParagraphFont"/>
    <w:link w:val="BodyText3"/>
    <w:rsid w:val="00952749"/>
    <w:rPr>
      <w:rFonts w:cs="Angsana New"/>
      <w:sz w:val="28"/>
      <w:szCs w:val="24"/>
      <w:lang w:val="fr-FR"/>
    </w:rPr>
  </w:style>
  <w:style w:type="character" w:customStyle="1" w:styleId="BodyTextIndent2Char">
    <w:name w:val="Body Text Indent 2 Char"/>
    <w:basedOn w:val="DefaultParagraphFont"/>
    <w:link w:val="BodyTextIndent2"/>
    <w:rsid w:val="00952749"/>
    <w:rPr>
      <w:rFonts w:cs="Angsana New"/>
      <w:sz w:val="22"/>
      <w:szCs w:val="24"/>
      <w:lang w:val="fr-FR"/>
    </w:rPr>
  </w:style>
  <w:style w:type="character" w:customStyle="1" w:styleId="BodyTextIndent3Char">
    <w:name w:val="Body Text Indent 3 Char"/>
    <w:basedOn w:val="DefaultParagraphFont"/>
    <w:link w:val="BodyTextIndent3"/>
    <w:rsid w:val="00952749"/>
    <w:rPr>
      <w:rFonts w:ascii="Courier" w:hAnsi="Courier" w:cs="Angsana New"/>
      <w:szCs w:val="24"/>
      <w:lang w:val="fr-FR"/>
    </w:rPr>
  </w:style>
  <w:style w:type="character" w:customStyle="1" w:styleId="DocumentMapChar">
    <w:name w:val="Document Map Char"/>
    <w:basedOn w:val="DefaultParagraphFont"/>
    <w:link w:val="DocumentMap"/>
    <w:semiHidden/>
    <w:rsid w:val="00952749"/>
    <w:rPr>
      <w:rFonts w:ascii="Tahoma" w:hAnsi="Tahoma" w:cs="Angsana New"/>
      <w:sz w:val="22"/>
      <w:szCs w:val="24"/>
      <w:shd w:val="clear" w:color="auto" w:fill="000080"/>
      <w:lang w:val="fr-FR"/>
    </w:rPr>
  </w:style>
  <w:style w:type="character" w:customStyle="1" w:styleId="HTMLPreformattedChar">
    <w:name w:val="HTML Preformatted Char"/>
    <w:basedOn w:val="DefaultParagraphFont"/>
    <w:link w:val="HTMLPreformatted"/>
    <w:uiPriority w:val="99"/>
    <w:rsid w:val="00952749"/>
    <w:rPr>
      <w:rFonts w:ascii="Courier New" w:hAnsi="Courier New" w:cs="Courier New"/>
      <w:szCs w:val="24"/>
      <w:lang w:val="fr-FR"/>
    </w:rPr>
  </w:style>
  <w:style w:type="character" w:customStyle="1" w:styleId="CommentSubjectChar">
    <w:name w:val="Comment Subject Char"/>
    <w:basedOn w:val="CommentTextChar"/>
    <w:link w:val="CommentSubject"/>
    <w:uiPriority w:val="99"/>
    <w:semiHidden/>
    <w:rsid w:val="00952749"/>
    <w:rPr>
      <w:rFonts w:cs="Angsana New"/>
      <w:b/>
      <w:bCs/>
      <w:szCs w:val="24"/>
      <w:lang w:val="fr-FR"/>
    </w:rPr>
  </w:style>
  <w:style w:type="paragraph" w:customStyle="1" w:styleId="item-compilation">
    <w:name w:val="item-compilation"/>
    <w:basedOn w:val="Normal"/>
    <w:qFormat/>
    <w:rsid w:val="00952749"/>
    <w:pPr>
      <w:spacing w:after="120"/>
      <w:jc w:val="center"/>
    </w:pPr>
    <w:rPr>
      <w:rFonts w:eastAsia="Malgun Gothic" w:cs="Times New Roman"/>
      <w:b/>
      <w:lang w:val="en-GB" w:eastAsia="x-none"/>
    </w:rPr>
  </w:style>
  <w:style w:type="paragraph" w:customStyle="1" w:styleId="Body">
    <w:name w:val="Body"/>
    <w:rsid w:val="00952749"/>
    <w:pPr>
      <w:jc w:val="both"/>
    </w:pPr>
    <w:rPr>
      <w:rFonts w:eastAsia="Times New Roman"/>
      <w:color w:val="000000"/>
      <w:sz w:val="22"/>
      <w:szCs w:val="22"/>
      <w:u w:color="000000"/>
      <w:lang w:val="en-CA" w:eastAsia="en-CA"/>
    </w:rPr>
  </w:style>
  <w:style w:type="character" w:customStyle="1" w:styleId="Hyperlink1">
    <w:name w:val="Hyperlink.1"/>
    <w:basedOn w:val="DefaultParagraphFont"/>
    <w:rsid w:val="00952749"/>
    <w:rPr>
      <w:kern w:val="22"/>
    </w:rPr>
  </w:style>
  <w:style w:type="character" w:customStyle="1" w:styleId="HEADINGNOTFORTOCChar">
    <w:name w:val="HEADING (NOT FOR TOC) Char"/>
    <w:link w:val="HEADINGNOTFORTOC"/>
    <w:locked/>
    <w:rsid w:val="00952749"/>
    <w:rPr>
      <w:rFonts w:cs="Angsana New"/>
      <w:b/>
      <w:caps/>
      <w:sz w:val="22"/>
      <w:szCs w:val="24"/>
      <w:lang w:val="fr-FR"/>
    </w:rPr>
  </w:style>
  <w:style w:type="paragraph" w:customStyle="1" w:styleId="Heading-replies">
    <w:name w:val="Heading -replies"/>
    <w:basedOn w:val="Heading1"/>
    <w:rsid w:val="00952749"/>
    <w:pPr>
      <w:spacing w:before="0" w:after="0"/>
      <w:jc w:val="right"/>
    </w:pPr>
    <w:rPr>
      <w:rFonts w:eastAsia="Times New Roman" w:cs="Times New Roman"/>
      <w:b w:val="0"/>
      <w:bCs/>
      <w:lang w:val="x-none"/>
    </w:rPr>
  </w:style>
  <w:style w:type="paragraph" w:customStyle="1" w:styleId="Paragraph">
    <w:name w:val="Paragraph"/>
    <w:basedOn w:val="Normal"/>
    <w:rsid w:val="00952749"/>
    <w:pPr>
      <w:spacing w:before="120" w:after="120"/>
    </w:pPr>
    <w:rPr>
      <w:rFonts w:eastAsia="Times New Roman" w:cs="Times New Roman"/>
      <w:lang w:val="en-GB"/>
    </w:rPr>
  </w:style>
  <w:style w:type="paragraph" w:customStyle="1" w:styleId="Title1">
    <w:name w:val="Title1"/>
    <w:basedOn w:val="HEADING"/>
    <w:rsid w:val="00952749"/>
    <w:pPr>
      <w:tabs>
        <w:tab w:val="clear" w:pos="426"/>
      </w:tabs>
      <w:overflowPunct w:val="0"/>
      <w:autoSpaceDE w:val="0"/>
      <w:autoSpaceDN w:val="0"/>
      <w:adjustRightInd w:val="0"/>
      <w:spacing w:before="240"/>
      <w:textAlignment w:val="baseline"/>
    </w:pPr>
    <w:rPr>
      <w:rFonts w:ascii="Times New Roman" w:eastAsia="Times New Roman" w:hAnsi="Times New Roman"/>
      <w:szCs w:val="20"/>
      <w:lang w:val="en-GB"/>
    </w:rPr>
  </w:style>
  <w:style w:type="paragraph" w:customStyle="1" w:styleId="ReplyForwardHeaders">
    <w:name w:val="Reply/Forward Headers"/>
    <w:basedOn w:val="Normal"/>
    <w:next w:val="Normal"/>
    <w:rsid w:val="00952749"/>
    <w:pPr>
      <w:pBdr>
        <w:left w:val="single" w:sz="18" w:space="1" w:color="auto"/>
      </w:pBdr>
      <w:shd w:val="pct10" w:color="auto" w:fill="FFFFFF"/>
      <w:ind w:left="1080" w:hanging="1080"/>
      <w:jc w:val="left"/>
      <w:outlineLvl w:val="0"/>
    </w:pPr>
    <w:rPr>
      <w:rFonts w:ascii="Arial" w:eastAsia="Times New Roman" w:hAnsi="Arial" w:cs="Times New Roman"/>
      <w:b/>
      <w:noProof/>
      <w:sz w:val="20"/>
      <w:szCs w:val="20"/>
      <w:lang w:val="en-US" w:bidi="he-IL"/>
    </w:rPr>
  </w:style>
  <w:style w:type="character" w:customStyle="1" w:styleId="underline">
    <w:name w:val="underline"/>
    <w:rsid w:val="00952749"/>
    <w:rPr>
      <w:rFonts w:ascii="Courier" w:hAnsi="Courier"/>
      <w:sz w:val="20"/>
      <w:u w:val="single"/>
    </w:rPr>
  </w:style>
  <w:style w:type="character" w:customStyle="1" w:styleId="titlex1">
    <w:name w:val="titlex1"/>
    <w:basedOn w:val="DefaultParagraphFont"/>
    <w:rsid w:val="00952749"/>
  </w:style>
  <w:style w:type="numbering" w:customStyle="1" w:styleId="NoList1">
    <w:name w:val="No List1"/>
    <w:next w:val="NoList"/>
    <w:uiPriority w:val="99"/>
    <w:semiHidden/>
    <w:unhideWhenUsed/>
    <w:rsid w:val="00952749"/>
  </w:style>
  <w:style w:type="paragraph" w:customStyle="1" w:styleId="small">
    <w:name w:val="small"/>
    <w:basedOn w:val="FootnoteText"/>
    <w:rsid w:val="00952749"/>
    <w:pPr>
      <w:keepLines w:val="0"/>
      <w:tabs>
        <w:tab w:val="left" w:pos="720"/>
      </w:tabs>
      <w:spacing w:after="120"/>
      <w:ind w:firstLine="0"/>
      <w:jc w:val="left"/>
    </w:pPr>
    <w:rPr>
      <w:rFonts w:ascii="Courier" w:eastAsia="Times New Roman" w:hAnsi="Courier"/>
      <w:szCs w:val="20"/>
      <w:lang w:val="en-GB" w:eastAsia="en-US"/>
    </w:rPr>
  </w:style>
  <w:style w:type="character" w:customStyle="1" w:styleId="cmsbold">
    <w:name w:val="cmsbold"/>
    <w:rsid w:val="00952749"/>
  </w:style>
  <w:style w:type="paragraph" w:customStyle="1" w:styleId="ColorfulShading-Accent11">
    <w:name w:val="Colorful Shading - Accent 11"/>
    <w:hidden/>
    <w:uiPriority w:val="99"/>
    <w:semiHidden/>
    <w:rsid w:val="00952749"/>
    <w:rPr>
      <w:rFonts w:eastAsia="Times New Roman"/>
      <w:sz w:val="22"/>
      <w:szCs w:val="24"/>
      <w:lang w:val="en-GB"/>
    </w:rPr>
  </w:style>
  <w:style w:type="paragraph" w:customStyle="1" w:styleId="ColorfulShading-Accent12">
    <w:name w:val="Colorful Shading - Accent 12"/>
    <w:hidden/>
    <w:uiPriority w:val="99"/>
    <w:semiHidden/>
    <w:rsid w:val="00952749"/>
    <w:rPr>
      <w:rFonts w:eastAsia="Times New Roman"/>
      <w:sz w:val="22"/>
      <w:szCs w:val="24"/>
      <w:lang w:val="en-GB"/>
    </w:rPr>
  </w:style>
  <w:style w:type="paragraph" w:customStyle="1" w:styleId="ColorfulList-Accent12">
    <w:name w:val="Colorful List - Accent 12"/>
    <w:basedOn w:val="Normal"/>
    <w:uiPriority w:val="34"/>
    <w:qFormat/>
    <w:rsid w:val="00952749"/>
    <w:pPr>
      <w:ind w:left="720"/>
    </w:pPr>
    <w:rPr>
      <w:rFonts w:eastAsia="Times New Roman" w:cs="Times New Roman"/>
      <w:lang w:val="en-GB"/>
    </w:rPr>
  </w:style>
  <w:style w:type="character" w:customStyle="1" w:styleId="Heading1multilineChar">
    <w:name w:val="Heading 1 (multiline) Char"/>
    <w:link w:val="Heading1multiline"/>
    <w:locked/>
    <w:rsid w:val="00952749"/>
    <w:rPr>
      <w:rFonts w:cs="Angsana New"/>
      <w:b/>
      <w:caps/>
      <w:snapToGrid w:val="0"/>
      <w:sz w:val="22"/>
      <w:szCs w:val="24"/>
      <w:lang w:val="fr-FR"/>
    </w:rPr>
  </w:style>
  <w:style w:type="paragraph" w:customStyle="1" w:styleId="Para-no-num">
    <w:name w:val="Para-no-num"/>
    <w:basedOn w:val="Normal"/>
    <w:rsid w:val="00952749"/>
    <w:pPr>
      <w:tabs>
        <w:tab w:val="left" w:pos="720"/>
      </w:tabs>
      <w:spacing w:before="120" w:after="120"/>
    </w:pPr>
    <w:rPr>
      <w:rFonts w:eastAsia="Times New Roman" w:cs="Times New Roman"/>
      <w:szCs w:val="18"/>
      <w:lang w:val="en-GB"/>
    </w:rPr>
  </w:style>
  <w:style w:type="paragraph" w:customStyle="1" w:styleId="ProgElemt">
    <w:name w:val="ProgElemt"/>
    <w:basedOn w:val="HEADINGNOTFORTOC"/>
    <w:rsid w:val="00952749"/>
    <w:rPr>
      <w:rFonts w:ascii="Times New Roman Bold" w:eastAsia="Times New Roman" w:hAnsi="Times New Roman Bold" w:cs="Times New Roman"/>
      <w:caps w:val="0"/>
      <w:szCs w:val="22"/>
      <w:lang w:val="en-GB"/>
    </w:rPr>
  </w:style>
  <w:style w:type="character" w:customStyle="1" w:styleId="mainheader">
    <w:name w:val="main_header"/>
    <w:rsid w:val="00952749"/>
  </w:style>
  <w:style w:type="character" w:customStyle="1" w:styleId="BodyTextIndent3Char1">
    <w:name w:val="Body Text Indent 3 Char1"/>
    <w:basedOn w:val="DefaultParagraphFont"/>
    <w:rsid w:val="00952749"/>
    <w:rPr>
      <w:rFonts w:ascii="Times New Roman" w:eastAsia="Times New Roman" w:hAnsi="Times New Roman" w:cs="Times New Roman"/>
      <w:sz w:val="16"/>
      <w:szCs w:val="16"/>
      <w:lang w:val="en-GB"/>
    </w:rPr>
  </w:style>
  <w:style w:type="paragraph" w:customStyle="1" w:styleId="AbstractText">
    <w:name w:val="Abstract Text"/>
    <w:rsid w:val="00952749"/>
    <w:pPr>
      <w:tabs>
        <w:tab w:val="left" w:pos="1680"/>
      </w:tabs>
      <w:spacing w:line="280" w:lineRule="exact"/>
      <w:ind w:left="360"/>
    </w:pPr>
    <w:rPr>
      <w:rFonts w:ascii="Arial" w:eastAsia="Times New Roman" w:hAnsi="Arial"/>
      <w:sz w:val="19"/>
    </w:rPr>
  </w:style>
  <w:style w:type="paragraph" w:customStyle="1" w:styleId="ActivityPoint">
    <w:name w:val="Activity Point"/>
    <w:basedOn w:val="Normal"/>
    <w:rsid w:val="00952749"/>
    <w:pPr>
      <w:tabs>
        <w:tab w:val="left" w:pos="1080"/>
      </w:tabs>
      <w:spacing w:line="360" w:lineRule="auto"/>
      <w:ind w:left="1440" w:hanging="1440"/>
    </w:pPr>
    <w:rPr>
      <w:rFonts w:eastAsia="Times New Roman" w:cs="Times New Roman"/>
      <w:kern w:val="28"/>
      <w:lang w:val="en-CA"/>
    </w:rPr>
  </w:style>
  <w:style w:type="paragraph" w:customStyle="1" w:styleId="BodytextforICCP">
    <w:name w:val="Body text for ICCP"/>
    <w:basedOn w:val="BodyText"/>
    <w:rsid w:val="00952749"/>
    <w:pPr>
      <w:tabs>
        <w:tab w:val="left" w:pos="-720"/>
      </w:tabs>
      <w:suppressAutoHyphens/>
      <w:overflowPunct w:val="0"/>
      <w:autoSpaceDE w:val="0"/>
      <w:autoSpaceDN w:val="0"/>
      <w:adjustRightInd w:val="0"/>
    </w:pPr>
    <w:rPr>
      <w:rFonts w:eastAsia="Times New Roman" w:cs="Times New Roman"/>
      <w:lang w:val="en-GB"/>
    </w:rPr>
  </w:style>
  <w:style w:type="paragraph" w:customStyle="1" w:styleId="HEAD-2lines">
    <w:name w:val="HEAD-2lines"/>
    <w:basedOn w:val="Heading2"/>
    <w:rsid w:val="00952749"/>
    <w:pPr>
      <w:ind w:left="1944" w:right="864" w:hanging="1080"/>
      <w:outlineLvl w:val="9"/>
    </w:pPr>
    <w:rPr>
      <w:rFonts w:eastAsia="Times New Roman" w:cs="Times New Roman"/>
      <w:b w:val="0"/>
      <w:bCs w:val="0"/>
      <w:i/>
      <w:snapToGrid/>
      <w:lang w:val="en-GB"/>
    </w:rPr>
  </w:style>
  <w:style w:type="paragraph" w:customStyle="1" w:styleId="Heading2-lines">
    <w:name w:val="Heading 2 - lines"/>
    <w:basedOn w:val="Heading2-center"/>
    <w:next w:val="Normal"/>
    <w:rsid w:val="00952749"/>
    <w:pPr>
      <w:tabs>
        <w:tab w:val="left" w:pos="284"/>
      </w:tabs>
      <w:spacing w:before="240"/>
      <w:ind w:left="1400" w:right="573" w:hanging="408"/>
      <w:jc w:val="left"/>
      <w:outlineLvl w:val="9"/>
    </w:pPr>
    <w:rPr>
      <w:rFonts w:eastAsia="Times New Roman" w:cs="Times New Roman"/>
      <w:b w:val="0"/>
      <w:bCs w:val="0"/>
      <w:i/>
      <w:snapToGrid/>
      <w:lang w:val="en-GB"/>
    </w:rPr>
  </w:style>
  <w:style w:type="paragraph" w:customStyle="1" w:styleId="Heading51">
    <w:name w:val="Heading 51"/>
    <w:rsid w:val="00952749"/>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eastAsia="Times New Roman"/>
      <w:b/>
    </w:rPr>
  </w:style>
  <w:style w:type="paragraph" w:customStyle="1" w:styleId="Heading10">
    <w:name w:val="Heading1"/>
    <w:basedOn w:val="Normal"/>
    <w:rsid w:val="00952749"/>
    <w:pPr>
      <w:keepNext/>
      <w:keepLines/>
      <w:ind w:left="1702" w:right="998" w:hanging="284"/>
    </w:pPr>
    <w:rPr>
      <w:rFonts w:eastAsia="Times New Roman" w:cs="Times New Roman"/>
      <w:i/>
      <w:iCs/>
      <w:lang w:val="en-GB"/>
    </w:rPr>
  </w:style>
  <w:style w:type="paragraph" w:customStyle="1" w:styleId="Heading4">
    <w:name w:val="Heading4"/>
    <w:basedOn w:val="Normal"/>
    <w:rsid w:val="00952749"/>
    <w:pPr>
      <w:keepNext/>
      <w:numPr>
        <w:numId w:val="26"/>
      </w:numPr>
    </w:pPr>
    <w:rPr>
      <w:rFonts w:eastAsia="Times New Roman" w:cs="Times New Roman"/>
      <w:i/>
      <w:iCs/>
      <w:lang w:val="en-GB"/>
    </w:rPr>
  </w:style>
  <w:style w:type="paragraph" w:customStyle="1" w:styleId="HEADINGII">
    <w:name w:val="HEADINGII"/>
    <w:basedOn w:val="Normal"/>
    <w:rsid w:val="00952749"/>
    <w:pPr>
      <w:spacing w:before="240"/>
      <w:ind w:left="1474" w:right="856" w:hanging="340"/>
    </w:pPr>
    <w:rPr>
      <w:rFonts w:eastAsia="Times New Roman" w:cs="Times New Roman"/>
      <w:b/>
      <w:bCs/>
      <w:caps/>
      <w:lang w:val="en-GB"/>
    </w:rPr>
  </w:style>
  <w:style w:type="paragraph" w:customStyle="1" w:styleId="headingoneline">
    <w:name w:val="headingoneline"/>
    <w:basedOn w:val="Normal"/>
    <w:next w:val="Normal"/>
    <w:rsid w:val="00952749"/>
    <w:pPr>
      <w:keepNext/>
      <w:tabs>
        <w:tab w:val="left" w:pos="567"/>
      </w:tabs>
      <w:spacing w:before="120" w:after="120"/>
      <w:jc w:val="center"/>
    </w:pPr>
    <w:rPr>
      <w:rFonts w:eastAsia="Times New Roman" w:cs="Times New Roman"/>
      <w:b/>
      <w:bCs/>
      <w:i/>
      <w:lang w:val="en-GB"/>
    </w:rPr>
  </w:style>
  <w:style w:type="paragraph" w:customStyle="1" w:styleId="list3">
    <w:name w:val="list3"/>
    <w:basedOn w:val="Normal"/>
    <w:autoRedefine/>
    <w:rsid w:val="00952749"/>
    <w:pPr>
      <w:numPr>
        <w:numId w:val="27"/>
      </w:numPr>
    </w:pPr>
    <w:rPr>
      <w:rFonts w:eastAsia="Times New Roman" w:cs="Times New Roman"/>
      <w:lang w:val="en-GB"/>
    </w:rPr>
  </w:style>
  <w:style w:type="paragraph" w:customStyle="1" w:styleId="Numberedparagraph">
    <w:name w:val="Numbered paragraph"/>
    <w:basedOn w:val="Normal"/>
    <w:rsid w:val="00952749"/>
    <w:pPr>
      <w:numPr>
        <w:numId w:val="28"/>
      </w:numPr>
    </w:pPr>
    <w:rPr>
      <w:rFonts w:eastAsia="Times New Roman" w:cs="Times New Roman"/>
      <w:kern w:val="28"/>
      <w:lang w:val="en-GB"/>
    </w:rPr>
  </w:style>
  <w:style w:type="paragraph" w:customStyle="1" w:styleId="Activity">
    <w:name w:val="Activity"/>
    <w:basedOn w:val="Normal"/>
    <w:rsid w:val="00952749"/>
    <w:pPr>
      <w:numPr>
        <w:ilvl w:val="1"/>
        <w:numId w:val="29"/>
      </w:numPr>
      <w:tabs>
        <w:tab w:val="num" w:pos="360"/>
      </w:tabs>
      <w:spacing w:before="120" w:after="120"/>
      <w:ind w:left="0" w:firstLine="0"/>
    </w:pPr>
    <w:rPr>
      <w:rFonts w:eastAsia="Times New Roman" w:cs="Times New Roman"/>
      <w:szCs w:val="20"/>
      <w:lang w:val="en-GB"/>
    </w:rPr>
  </w:style>
  <w:style w:type="paragraph" w:customStyle="1" w:styleId="bodytextnoindent0">
    <w:name w:val="bodytextnoindent"/>
    <w:basedOn w:val="Normal"/>
    <w:rsid w:val="00952749"/>
    <w:pPr>
      <w:overflowPunct w:val="0"/>
      <w:autoSpaceDE w:val="0"/>
      <w:autoSpaceDN w:val="0"/>
      <w:spacing w:before="120" w:after="120"/>
    </w:pPr>
    <w:rPr>
      <w:rFonts w:eastAsia="Arial Unicode MS" w:cs="Times New Roman"/>
      <w:szCs w:val="22"/>
      <w:lang w:val="en-US"/>
    </w:rPr>
  </w:style>
  <w:style w:type="paragraph" w:customStyle="1" w:styleId="Heading1centred">
    <w:name w:val="Heading 1 (centred)"/>
    <w:basedOn w:val="Normal"/>
    <w:next w:val="Para1"/>
    <w:rsid w:val="00952749"/>
    <w:pPr>
      <w:keepNext/>
      <w:tabs>
        <w:tab w:val="left" w:pos="709"/>
      </w:tabs>
      <w:overflowPunct w:val="0"/>
      <w:autoSpaceDE w:val="0"/>
      <w:autoSpaceDN w:val="0"/>
      <w:adjustRightInd w:val="0"/>
      <w:spacing w:before="240" w:after="120"/>
      <w:jc w:val="center"/>
    </w:pPr>
    <w:rPr>
      <w:rFonts w:eastAsia="Times New Roman" w:cs="Times New Roman"/>
      <w:b/>
      <w:caps/>
      <w:szCs w:val="20"/>
      <w:lang w:val="en-GB"/>
    </w:rPr>
  </w:style>
  <w:style w:type="paragraph" w:customStyle="1" w:styleId="paraa0">
    <w:name w:val="para (a)"/>
    <w:basedOn w:val="para4"/>
    <w:rsid w:val="00952749"/>
    <w:pPr>
      <w:numPr>
        <w:ilvl w:val="0"/>
        <w:numId w:val="0"/>
      </w:numPr>
      <w:tabs>
        <w:tab w:val="num" w:pos="720"/>
      </w:tabs>
      <w:ind w:left="720" w:hanging="720"/>
      <w:textAlignment w:val="auto"/>
    </w:pPr>
    <w:rPr>
      <w:rFonts w:ascii="Times New Roman" w:eastAsia="Times New Roman" w:hAnsi="Times New Roman" w:cs="Times New Roman"/>
      <w:sz w:val="22"/>
      <w:lang w:val="en-GB"/>
    </w:rPr>
  </w:style>
  <w:style w:type="paragraph" w:customStyle="1" w:styleId="Paranormal">
    <w:name w:val="Para normal"/>
    <w:basedOn w:val="Normal"/>
    <w:rsid w:val="00952749"/>
    <w:pPr>
      <w:framePr w:hSpace="187" w:vSpace="187" w:wrap="notBeside" w:vAnchor="text" w:hAnchor="text" w:y="1"/>
      <w:numPr>
        <w:numId w:val="30"/>
      </w:numPr>
      <w:spacing w:before="120" w:after="120"/>
    </w:pPr>
    <w:rPr>
      <w:rFonts w:eastAsia="Times New Roman" w:cs="Times New Roman"/>
      <w:szCs w:val="20"/>
      <w:lang w:val="en-GB"/>
    </w:rPr>
  </w:style>
  <w:style w:type="paragraph" w:customStyle="1" w:styleId="para11">
    <w:name w:val="para1"/>
    <w:basedOn w:val="Normal"/>
    <w:rsid w:val="00952749"/>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952749"/>
    <w:pPr>
      <w:spacing w:before="60" w:after="60"/>
      <w:ind w:left="288" w:hanging="288"/>
    </w:pPr>
    <w:rPr>
      <w:rFonts w:eastAsia="Times New Roman" w:cs="Times New Roman"/>
      <w:lang w:val="en-US"/>
    </w:rPr>
  </w:style>
  <w:style w:type="paragraph" w:customStyle="1" w:styleId="Dec-titleoneline">
    <w:name w:val="Dec-title one line"/>
    <w:basedOn w:val="Heading2"/>
    <w:rsid w:val="00952749"/>
    <w:rPr>
      <w:rFonts w:eastAsia="Times New Roman" w:cs="Times New Roman"/>
      <w:i/>
      <w:snapToGrid/>
      <w:lang w:val="en-GB"/>
    </w:rPr>
  </w:style>
  <w:style w:type="paragraph" w:customStyle="1" w:styleId="Decheadmuliline">
    <w:name w:val="Dec_head muliline"/>
    <w:basedOn w:val="BodyText"/>
    <w:next w:val="BodyText"/>
    <w:rsid w:val="00952749"/>
    <w:pPr>
      <w:ind w:left="2127" w:hanging="1276"/>
    </w:pPr>
    <w:rPr>
      <w:rFonts w:eastAsia="Times New Roman" w:cs="Times New Roman"/>
      <w:b/>
      <w:i/>
      <w:lang w:val="en-GB"/>
    </w:rPr>
  </w:style>
  <w:style w:type="paragraph" w:customStyle="1" w:styleId="Numbering">
    <w:name w:val="Numbering"/>
    <w:basedOn w:val="Normal"/>
    <w:rsid w:val="00952749"/>
    <w:pPr>
      <w:tabs>
        <w:tab w:val="num" w:pos="720"/>
      </w:tabs>
    </w:pPr>
    <w:rPr>
      <w:rFonts w:eastAsia="Times New Roman" w:cs="Times New Roman"/>
      <w:szCs w:val="20"/>
      <w:lang w:val="en-GB"/>
    </w:rPr>
  </w:style>
  <w:style w:type="paragraph" w:customStyle="1" w:styleId="msolistparagraph0">
    <w:name w:val="msolistparagraph"/>
    <w:basedOn w:val="Normal"/>
    <w:rsid w:val="00952749"/>
    <w:pPr>
      <w:ind w:left="720"/>
      <w:jc w:val="left"/>
    </w:pPr>
    <w:rPr>
      <w:rFonts w:ascii="Calibri" w:eastAsia="Times New Roman" w:hAnsi="Calibri" w:cs="Times New Roman"/>
      <w:szCs w:val="22"/>
      <w:lang w:val="en-US"/>
    </w:rPr>
  </w:style>
  <w:style w:type="paragraph" w:customStyle="1" w:styleId="StylePara1Before6ptAfter6pt">
    <w:name w:val="Style Para 1 + Before:  6 pt After:  6 pt"/>
    <w:basedOn w:val="Para10"/>
    <w:rsid w:val="00952749"/>
    <w:pPr>
      <w:numPr>
        <w:numId w:val="0"/>
      </w:numPr>
      <w:tabs>
        <w:tab w:val="num" w:pos="360"/>
      </w:tabs>
    </w:pPr>
    <w:rPr>
      <w:rFonts w:eastAsia="Times New Roman"/>
      <w:snapToGrid/>
      <w:kern w:val="0"/>
      <w:szCs w:val="20"/>
      <w:lang w:val="en-GB"/>
    </w:rPr>
  </w:style>
  <w:style w:type="character" w:customStyle="1" w:styleId="Hyperlink10">
    <w:name w:val="Hyperlink1"/>
    <w:rsid w:val="00952749"/>
    <w:rPr>
      <w:color w:val="0000FF"/>
      <w:u w:val="single"/>
    </w:rPr>
  </w:style>
  <w:style w:type="character" w:customStyle="1" w:styleId="maintextbldleft1">
    <w:name w:val="maintextbldleft1"/>
    <w:rsid w:val="00952749"/>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952749"/>
    <w:rPr>
      <w:b/>
      <w:bCs w:val="0"/>
      <w:caps/>
      <w:sz w:val="22"/>
      <w:szCs w:val="24"/>
      <w:lang w:eastAsia="en-US"/>
    </w:rPr>
  </w:style>
  <w:style w:type="character" w:customStyle="1" w:styleId="longtext">
    <w:name w:val="long_text"/>
    <w:rsid w:val="00952749"/>
  </w:style>
  <w:style w:type="character" w:customStyle="1" w:styleId="A8">
    <w:name w:val="A8"/>
    <w:rsid w:val="00952749"/>
    <w:rPr>
      <w:rFonts w:ascii="Myriad Pro" w:hAnsi="Myriad Pro" w:cs="Myriad Pro" w:hint="default"/>
      <w:color w:val="000000"/>
      <w:sz w:val="30"/>
      <w:szCs w:val="30"/>
    </w:rPr>
  </w:style>
  <w:style w:type="character" w:customStyle="1" w:styleId="A3">
    <w:name w:val="A3"/>
    <w:rsid w:val="00952749"/>
    <w:rPr>
      <w:rFonts w:ascii="Myriad Pro" w:hAnsi="Myriad Pro" w:cs="Myriad Pro" w:hint="default"/>
      <w:color w:val="000000"/>
      <w:sz w:val="21"/>
      <w:szCs w:val="21"/>
    </w:rPr>
  </w:style>
  <w:style w:type="character" w:customStyle="1" w:styleId="A11">
    <w:name w:val="A11"/>
    <w:rsid w:val="00952749"/>
    <w:rPr>
      <w:rFonts w:ascii="Myriad Pro" w:hAnsi="Myriad Pro" w:cs="Myriad Pro" w:hint="default"/>
      <w:color w:val="000000"/>
      <w:sz w:val="13"/>
      <w:szCs w:val="13"/>
    </w:rPr>
  </w:style>
  <w:style w:type="character" w:customStyle="1" w:styleId="CharChar20">
    <w:name w:val="Char Char20"/>
    <w:rsid w:val="00952749"/>
    <w:rPr>
      <w:rFonts w:ascii="Times New Roman" w:eastAsia="Times New Roman" w:hAnsi="Times New Roman" w:cs="Times New Roman" w:hint="default"/>
      <w:b/>
      <w:bCs w:val="0"/>
      <w:caps/>
      <w:szCs w:val="24"/>
      <w:lang w:val="en-GB"/>
    </w:rPr>
  </w:style>
  <w:style w:type="character" w:customStyle="1" w:styleId="CharChar19">
    <w:name w:val="Char Char19"/>
    <w:rsid w:val="00952749"/>
    <w:rPr>
      <w:rFonts w:ascii="Times New Roman" w:eastAsia="Times New Roman" w:hAnsi="Times New Roman" w:cs="Times New Roman" w:hint="default"/>
      <w:b/>
      <w:bCs/>
      <w:i/>
      <w:iCs/>
      <w:szCs w:val="24"/>
      <w:lang w:val="en-GB"/>
    </w:rPr>
  </w:style>
  <w:style w:type="character" w:customStyle="1" w:styleId="CharChar10">
    <w:name w:val="Char Char10"/>
    <w:rsid w:val="00952749"/>
    <w:rPr>
      <w:rFonts w:ascii="Times New Roman" w:eastAsia="Times New Roman" w:hAnsi="Times New Roman" w:cs="Times New Roman" w:hint="default"/>
      <w:szCs w:val="24"/>
      <w:lang w:val="en-GB"/>
    </w:rPr>
  </w:style>
  <w:style w:type="character" w:customStyle="1" w:styleId="ipa">
    <w:name w:val="ipa"/>
    <w:rsid w:val="00952749"/>
  </w:style>
  <w:style w:type="character" w:customStyle="1" w:styleId="shorttext">
    <w:name w:val="short_text"/>
    <w:rsid w:val="00952749"/>
  </w:style>
  <w:style w:type="character" w:customStyle="1" w:styleId="StyleFootnoteReferenceBoldAllcaps">
    <w:name w:val="Style Footnote Reference + Bold All caps"/>
    <w:rsid w:val="00952749"/>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952749"/>
    <w:rPr>
      <w:b/>
      <w:bCs/>
      <w:i/>
      <w:iCs/>
      <w:sz w:val="22"/>
      <w:szCs w:val="24"/>
      <w:lang w:val="en-GB" w:eastAsia="en-US" w:bidi="ar-SA"/>
    </w:rPr>
  </w:style>
  <w:style w:type="character" w:customStyle="1" w:styleId="titlex11">
    <w:name w:val="titlex11"/>
    <w:rsid w:val="00952749"/>
    <w:rPr>
      <w:rFonts w:ascii="Trebuchet MS" w:hAnsi="Trebuchet MS" w:hint="default"/>
      <w:color w:val="003344"/>
      <w:sz w:val="36"/>
      <w:szCs w:val="36"/>
    </w:rPr>
  </w:style>
  <w:style w:type="character" w:customStyle="1" w:styleId="Heading2Char1">
    <w:name w:val="Heading 2 Char1"/>
    <w:rsid w:val="00952749"/>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952749"/>
    <w:rPr>
      <w:color w:val="808080"/>
      <w:shd w:val="clear" w:color="auto" w:fill="E6E6E6"/>
    </w:rPr>
  </w:style>
  <w:style w:type="character" w:customStyle="1" w:styleId="Mentionnonrsolue1">
    <w:name w:val="Mention non résolue1"/>
    <w:basedOn w:val="DefaultParagraphFont"/>
    <w:uiPriority w:val="99"/>
    <w:semiHidden/>
    <w:unhideWhenUsed/>
    <w:rsid w:val="00952749"/>
    <w:rPr>
      <w:color w:val="808080"/>
      <w:shd w:val="clear" w:color="auto" w:fill="E6E6E6"/>
    </w:rPr>
  </w:style>
  <w:style w:type="character" w:customStyle="1" w:styleId="UnresolvedMention4">
    <w:name w:val="Unresolved Mention4"/>
    <w:basedOn w:val="DefaultParagraphFont"/>
    <w:uiPriority w:val="99"/>
    <w:semiHidden/>
    <w:unhideWhenUsed/>
    <w:rsid w:val="00952749"/>
    <w:rPr>
      <w:color w:val="605E5C"/>
      <w:shd w:val="clear" w:color="auto" w:fill="E1DFDD"/>
    </w:rPr>
  </w:style>
  <w:style w:type="character" w:customStyle="1" w:styleId="ListParagraphChar">
    <w:name w:val="List Paragraph Char"/>
    <w:aliases w:val="Dot pt Char,List Paragraph12 Char,MAIN CONTENT Char,List Paragraph2 Char,Rec para Char,Recommendation Char,List Paragraph11 Char,F5 List Paragraph Char,List Paragraph Char Char Char Char,Indicator Text Char"/>
    <w:link w:val="ListParagraph"/>
    <w:uiPriority w:val="34"/>
    <w:qFormat/>
    <w:locked/>
    <w:rsid w:val="009137A8"/>
    <w:rPr>
      <w:rFonts w:cs="Angsana New"/>
      <w:sz w:val="22"/>
      <w:szCs w:val="24"/>
      <w:lang w:val="fr-FR"/>
    </w:rPr>
  </w:style>
  <w:style w:type="paragraph" w:styleId="ListBullet">
    <w:name w:val="List Bullet"/>
    <w:aliases w:val="UL 1"/>
    <w:basedOn w:val="Normal"/>
    <w:uiPriority w:val="9"/>
    <w:qFormat/>
    <w:rsid w:val="009137A8"/>
    <w:pPr>
      <w:tabs>
        <w:tab w:val="num" w:pos="360"/>
      </w:tabs>
      <w:spacing w:line="276" w:lineRule="auto"/>
      <w:contextualSpacing/>
    </w:pPr>
    <w:rPr>
      <w:rFonts w:ascii="Arial" w:eastAsia="Times New Roman" w:hAnsi="Arial" w:cs="Times New Roman"/>
      <w:lang w:val="de-AT" w:eastAsia="de-AT"/>
    </w:rPr>
  </w:style>
  <w:style w:type="paragraph" w:customStyle="1" w:styleId="xl69">
    <w:name w:val="xl69"/>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0">
    <w:name w:val="xl70"/>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1">
    <w:name w:val="xl71"/>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2">
    <w:name w:val="xl72"/>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3">
    <w:name w:val="xl73"/>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4">
    <w:name w:val="xl74"/>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5">
    <w:name w:val="xl75"/>
    <w:basedOn w:val="Normal"/>
    <w:rsid w:val="00B63B63"/>
    <w:pPr>
      <w:spacing w:before="100" w:beforeAutospacing="1" w:after="100" w:afterAutospacing="1"/>
      <w:jc w:val="left"/>
      <w:textAlignment w:val="center"/>
    </w:pPr>
    <w:rPr>
      <w:rFonts w:eastAsia="Times New Roman" w:cs="Times New Roman"/>
      <w:sz w:val="24"/>
      <w:lang w:val="en-CA" w:eastAsia="en-CA"/>
    </w:rPr>
  </w:style>
  <w:style w:type="paragraph" w:customStyle="1" w:styleId="xl76">
    <w:name w:val="xl76"/>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7">
    <w:name w:val="xl77"/>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8">
    <w:name w:val="xl78"/>
    <w:basedOn w:val="Normal"/>
    <w:rsid w:val="00B63B6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9">
    <w:name w:val="xl79"/>
    <w:basedOn w:val="Normal"/>
    <w:rsid w:val="00B63B63"/>
    <w:pPr>
      <w:spacing w:before="100" w:beforeAutospacing="1" w:after="100" w:afterAutospacing="1"/>
      <w:jc w:val="left"/>
      <w:textAlignment w:val="center"/>
    </w:pPr>
    <w:rPr>
      <w:rFonts w:eastAsia="Times New Roman" w:cs="Times New Roman"/>
      <w:sz w:val="24"/>
      <w:lang w:val="en-CA" w:eastAsia="en-CA"/>
    </w:rPr>
  </w:style>
  <w:style w:type="character" w:customStyle="1" w:styleId="UnresolvedMention">
    <w:name w:val="Unresolved Mention"/>
    <w:basedOn w:val="DefaultParagraphFont"/>
    <w:uiPriority w:val="99"/>
    <w:semiHidden/>
    <w:unhideWhenUsed/>
    <w:rsid w:val="00B63B63"/>
    <w:rPr>
      <w:color w:val="605E5C"/>
      <w:shd w:val="clear" w:color="auto" w:fill="E1DFDD"/>
    </w:rPr>
  </w:style>
  <w:style w:type="paragraph" w:styleId="TOCHeading">
    <w:name w:val="TOC Heading"/>
    <w:basedOn w:val="Heading1"/>
    <w:next w:val="Normal"/>
    <w:uiPriority w:val="39"/>
    <w:unhideWhenUsed/>
    <w:qFormat/>
    <w:rsid w:val="004E0AE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26431583">
      <w:bodyDiv w:val="1"/>
      <w:marLeft w:val="0"/>
      <w:marRight w:val="0"/>
      <w:marTop w:val="0"/>
      <w:marBottom w:val="0"/>
      <w:divBdr>
        <w:top w:val="none" w:sz="0" w:space="0" w:color="auto"/>
        <w:left w:val="none" w:sz="0" w:space="0" w:color="auto"/>
        <w:bottom w:val="none" w:sz="0" w:space="0" w:color="auto"/>
        <w:right w:val="none" w:sz="0" w:space="0" w:color="auto"/>
      </w:divBdr>
      <w:divsChild>
        <w:div w:id="1313480743">
          <w:marLeft w:val="0"/>
          <w:marRight w:val="0"/>
          <w:marTop w:val="0"/>
          <w:marBottom w:val="0"/>
          <w:divBdr>
            <w:top w:val="none" w:sz="0" w:space="0" w:color="auto"/>
            <w:left w:val="none" w:sz="0" w:space="0" w:color="auto"/>
            <w:bottom w:val="none" w:sz="0" w:space="0" w:color="auto"/>
            <w:right w:val="none" w:sz="0" w:space="0" w:color="auto"/>
          </w:divBdr>
          <w:divsChild>
            <w:div w:id="276059701">
              <w:marLeft w:val="0"/>
              <w:marRight w:val="0"/>
              <w:marTop w:val="0"/>
              <w:marBottom w:val="0"/>
              <w:divBdr>
                <w:top w:val="none" w:sz="0" w:space="0" w:color="auto"/>
                <w:left w:val="none" w:sz="0" w:space="0" w:color="auto"/>
                <w:bottom w:val="none" w:sz="0" w:space="0" w:color="auto"/>
                <w:right w:val="none" w:sz="0" w:space="0" w:color="auto"/>
              </w:divBdr>
              <w:divsChild>
                <w:div w:id="1246495077">
                  <w:marLeft w:val="0"/>
                  <w:marRight w:val="300"/>
                  <w:marTop w:val="0"/>
                  <w:marBottom w:val="0"/>
                  <w:divBdr>
                    <w:top w:val="none" w:sz="0" w:space="0" w:color="auto"/>
                    <w:left w:val="none" w:sz="0" w:space="0" w:color="auto"/>
                    <w:bottom w:val="none" w:sz="0" w:space="0" w:color="auto"/>
                    <w:right w:val="none" w:sz="0" w:space="0" w:color="auto"/>
                  </w:divBdr>
                  <w:divsChild>
                    <w:div w:id="110783501">
                      <w:marLeft w:val="0"/>
                      <w:marRight w:val="0"/>
                      <w:marTop w:val="0"/>
                      <w:marBottom w:val="0"/>
                      <w:divBdr>
                        <w:top w:val="none" w:sz="0" w:space="0" w:color="auto"/>
                        <w:left w:val="none" w:sz="0" w:space="0" w:color="auto"/>
                        <w:bottom w:val="none" w:sz="0" w:space="0" w:color="auto"/>
                        <w:right w:val="none" w:sz="0" w:space="0" w:color="auto"/>
                      </w:divBdr>
                      <w:divsChild>
                        <w:div w:id="221454745">
                          <w:marLeft w:val="0"/>
                          <w:marRight w:val="0"/>
                          <w:marTop w:val="0"/>
                          <w:marBottom w:val="0"/>
                          <w:divBdr>
                            <w:top w:val="none" w:sz="0" w:space="0" w:color="auto"/>
                            <w:left w:val="none" w:sz="0" w:space="0" w:color="auto"/>
                            <w:bottom w:val="none" w:sz="0" w:space="0" w:color="auto"/>
                            <w:right w:val="none" w:sz="0" w:space="0" w:color="auto"/>
                          </w:divBdr>
                          <w:divsChild>
                            <w:div w:id="2112582171">
                              <w:marLeft w:val="0"/>
                              <w:marRight w:val="0"/>
                              <w:marTop w:val="0"/>
                              <w:marBottom w:val="0"/>
                              <w:divBdr>
                                <w:top w:val="none" w:sz="0" w:space="0" w:color="auto"/>
                                <w:left w:val="none" w:sz="0" w:space="0" w:color="auto"/>
                                <w:bottom w:val="none" w:sz="0" w:space="0" w:color="auto"/>
                                <w:right w:val="none" w:sz="0" w:space="0" w:color="auto"/>
                              </w:divBdr>
                              <w:divsChild>
                                <w:div w:id="1082291725">
                                  <w:marLeft w:val="0"/>
                                  <w:marRight w:val="0"/>
                                  <w:marTop w:val="0"/>
                                  <w:marBottom w:val="0"/>
                                  <w:divBdr>
                                    <w:top w:val="none" w:sz="0" w:space="0" w:color="auto"/>
                                    <w:left w:val="none" w:sz="0" w:space="0" w:color="auto"/>
                                    <w:bottom w:val="none" w:sz="0" w:space="0" w:color="auto"/>
                                    <w:right w:val="none" w:sz="0" w:space="0" w:color="auto"/>
                                  </w:divBdr>
                                  <w:divsChild>
                                    <w:div w:id="462119864">
                                      <w:marLeft w:val="0"/>
                                      <w:marRight w:val="0"/>
                                      <w:marTop w:val="0"/>
                                      <w:marBottom w:val="0"/>
                                      <w:divBdr>
                                        <w:top w:val="none" w:sz="0" w:space="0" w:color="auto"/>
                                        <w:left w:val="none" w:sz="0" w:space="0" w:color="auto"/>
                                        <w:bottom w:val="none" w:sz="0" w:space="0" w:color="auto"/>
                                        <w:right w:val="none" w:sz="0" w:space="0" w:color="auto"/>
                                      </w:divBdr>
                                    </w:div>
                                    <w:div w:id="937447470">
                                      <w:marLeft w:val="0"/>
                                      <w:marRight w:val="0"/>
                                      <w:marTop w:val="0"/>
                                      <w:marBottom w:val="0"/>
                                      <w:divBdr>
                                        <w:top w:val="none" w:sz="0" w:space="0" w:color="auto"/>
                                        <w:left w:val="none" w:sz="0" w:space="0" w:color="auto"/>
                                        <w:bottom w:val="none" w:sz="0" w:space="0" w:color="auto"/>
                                        <w:right w:val="none" w:sz="0" w:space="0" w:color="auto"/>
                                      </w:divBdr>
                                    </w:div>
                                    <w:div w:id="372581071">
                                      <w:marLeft w:val="0"/>
                                      <w:marRight w:val="0"/>
                                      <w:marTop w:val="0"/>
                                      <w:marBottom w:val="0"/>
                                      <w:divBdr>
                                        <w:top w:val="none" w:sz="0" w:space="0" w:color="auto"/>
                                        <w:left w:val="none" w:sz="0" w:space="0" w:color="auto"/>
                                        <w:bottom w:val="none" w:sz="0" w:space="0" w:color="auto"/>
                                        <w:right w:val="none" w:sz="0" w:space="0" w:color="auto"/>
                                      </w:divBdr>
                                    </w:div>
                                    <w:div w:id="16443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43533640">
      <w:bodyDiv w:val="1"/>
      <w:marLeft w:val="0"/>
      <w:marRight w:val="0"/>
      <w:marTop w:val="0"/>
      <w:marBottom w:val="0"/>
      <w:divBdr>
        <w:top w:val="none" w:sz="0" w:space="0" w:color="auto"/>
        <w:left w:val="none" w:sz="0" w:space="0" w:color="auto"/>
        <w:bottom w:val="none" w:sz="0" w:space="0" w:color="auto"/>
        <w:right w:val="none" w:sz="0" w:space="0" w:color="auto"/>
      </w:divBdr>
      <w:divsChild>
        <w:div w:id="64888195">
          <w:marLeft w:val="0"/>
          <w:marRight w:val="0"/>
          <w:marTop w:val="0"/>
          <w:marBottom w:val="0"/>
          <w:divBdr>
            <w:top w:val="none" w:sz="0" w:space="0" w:color="auto"/>
            <w:left w:val="none" w:sz="0" w:space="0" w:color="auto"/>
            <w:bottom w:val="none" w:sz="0" w:space="0" w:color="auto"/>
            <w:right w:val="none" w:sz="0" w:space="0" w:color="auto"/>
          </w:divBdr>
          <w:divsChild>
            <w:div w:id="2127695923">
              <w:marLeft w:val="0"/>
              <w:marRight w:val="0"/>
              <w:marTop w:val="0"/>
              <w:marBottom w:val="0"/>
              <w:divBdr>
                <w:top w:val="none" w:sz="0" w:space="0" w:color="auto"/>
                <w:left w:val="none" w:sz="0" w:space="0" w:color="auto"/>
                <w:bottom w:val="none" w:sz="0" w:space="0" w:color="auto"/>
                <w:right w:val="none" w:sz="0" w:space="0" w:color="auto"/>
              </w:divBdr>
              <w:divsChild>
                <w:div w:id="1073308312">
                  <w:marLeft w:val="0"/>
                  <w:marRight w:val="300"/>
                  <w:marTop w:val="0"/>
                  <w:marBottom w:val="0"/>
                  <w:divBdr>
                    <w:top w:val="none" w:sz="0" w:space="0" w:color="auto"/>
                    <w:left w:val="none" w:sz="0" w:space="0" w:color="auto"/>
                    <w:bottom w:val="none" w:sz="0" w:space="0" w:color="auto"/>
                    <w:right w:val="none" w:sz="0" w:space="0" w:color="auto"/>
                  </w:divBdr>
                  <w:divsChild>
                    <w:div w:id="320500646">
                      <w:marLeft w:val="0"/>
                      <w:marRight w:val="0"/>
                      <w:marTop w:val="0"/>
                      <w:marBottom w:val="0"/>
                      <w:divBdr>
                        <w:top w:val="none" w:sz="0" w:space="0" w:color="auto"/>
                        <w:left w:val="none" w:sz="0" w:space="0" w:color="auto"/>
                        <w:bottom w:val="none" w:sz="0" w:space="0" w:color="auto"/>
                        <w:right w:val="none" w:sz="0" w:space="0" w:color="auto"/>
                      </w:divBdr>
                      <w:divsChild>
                        <w:div w:id="1805270024">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sChild>
                                <w:div w:id="773549218">
                                  <w:marLeft w:val="0"/>
                                  <w:marRight w:val="0"/>
                                  <w:marTop w:val="0"/>
                                  <w:marBottom w:val="0"/>
                                  <w:divBdr>
                                    <w:top w:val="none" w:sz="0" w:space="0" w:color="auto"/>
                                    <w:left w:val="none" w:sz="0" w:space="0" w:color="auto"/>
                                    <w:bottom w:val="none" w:sz="0" w:space="0" w:color="auto"/>
                                    <w:right w:val="none" w:sz="0" w:space="0" w:color="auto"/>
                                  </w:divBdr>
                                  <w:divsChild>
                                    <w:div w:id="1506045567">
                                      <w:marLeft w:val="0"/>
                                      <w:marRight w:val="0"/>
                                      <w:marTop w:val="0"/>
                                      <w:marBottom w:val="0"/>
                                      <w:divBdr>
                                        <w:top w:val="none" w:sz="0" w:space="0" w:color="auto"/>
                                        <w:left w:val="none" w:sz="0" w:space="0" w:color="auto"/>
                                        <w:bottom w:val="none" w:sz="0" w:space="0" w:color="auto"/>
                                        <w:right w:val="none" w:sz="0" w:space="0" w:color="auto"/>
                                      </w:divBdr>
                                      <w:divsChild>
                                        <w:div w:id="726731402">
                                          <w:marLeft w:val="0"/>
                                          <w:marRight w:val="0"/>
                                          <w:marTop w:val="0"/>
                                          <w:marBottom w:val="0"/>
                                          <w:divBdr>
                                            <w:top w:val="none" w:sz="0" w:space="0" w:color="auto"/>
                                            <w:left w:val="none" w:sz="0" w:space="0" w:color="auto"/>
                                            <w:bottom w:val="none" w:sz="0" w:space="0" w:color="auto"/>
                                            <w:right w:val="none" w:sz="0" w:space="0" w:color="auto"/>
                                          </w:divBdr>
                                          <w:divsChild>
                                            <w:div w:id="348289330">
                                              <w:marLeft w:val="0"/>
                                              <w:marRight w:val="0"/>
                                              <w:marTop w:val="105"/>
                                              <w:marBottom w:val="105"/>
                                              <w:divBdr>
                                                <w:top w:val="none" w:sz="0" w:space="0" w:color="auto"/>
                                                <w:left w:val="none" w:sz="0" w:space="0" w:color="auto"/>
                                                <w:bottom w:val="none" w:sz="0" w:space="0" w:color="auto"/>
                                                <w:right w:val="none" w:sz="0" w:space="0" w:color="auto"/>
                                              </w:divBdr>
                                              <w:divsChild>
                                                <w:div w:id="362943196">
                                                  <w:marLeft w:val="0"/>
                                                  <w:marRight w:val="0"/>
                                                  <w:marTop w:val="105"/>
                                                  <w:marBottom w:val="105"/>
                                                  <w:divBdr>
                                                    <w:top w:val="none" w:sz="0" w:space="0" w:color="auto"/>
                                                    <w:left w:val="none" w:sz="0" w:space="0" w:color="auto"/>
                                                    <w:bottom w:val="none" w:sz="0" w:space="0" w:color="auto"/>
                                                    <w:right w:val="none" w:sz="0" w:space="0" w:color="auto"/>
                                                  </w:divBdr>
                                                </w:div>
                                                <w:div w:id="530921151">
                                                  <w:marLeft w:val="0"/>
                                                  <w:marRight w:val="0"/>
                                                  <w:marTop w:val="105"/>
                                                  <w:marBottom w:val="105"/>
                                                  <w:divBdr>
                                                    <w:top w:val="none" w:sz="0" w:space="0" w:color="auto"/>
                                                    <w:left w:val="none" w:sz="0" w:space="0" w:color="auto"/>
                                                    <w:bottom w:val="none" w:sz="0" w:space="0" w:color="auto"/>
                                                    <w:right w:val="none" w:sz="0" w:space="0" w:color="auto"/>
                                                  </w:divBdr>
                                                </w:div>
                                                <w:div w:id="1659649569">
                                                  <w:marLeft w:val="0"/>
                                                  <w:marRight w:val="0"/>
                                                  <w:marTop w:val="105"/>
                                                  <w:marBottom w:val="105"/>
                                                  <w:divBdr>
                                                    <w:top w:val="none" w:sz="0" w:space="0" w:color="auto"/>
                                                    <w:left w:val="none" w:sz="0" w:space="0" w:color="auto"/>
                                                    <w:bottom w:val="none" w:sz="0" w:space="0" w:color="auto"/>
                                                    <w:right w:val="none" w:sz="0" w:space="0" w:color="auto"/>
                                                  </w:divBdr>
                                                </w:div>
                                                <w:div w:id="61953142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48605843">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8284" TargetMode="External"/><Relationship Id="rId18" Type="http://schemas.openxmlformats.org/officeDocument/2006/relationships/hyperlink" Target="http://bch.cbd.int/protocol/decisions/?decisionID=12329" TargetMode="External"/><Relationship Id="rId26" Type="http://schemas.openxmlformats.org/officeDocument/2006/relationships/hyperlink" Target="https://www.cbd.int/decision/mop/default.shtml?id=13246"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bch.cbd.int/protocol/decisions/?decisionID=12315"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ch.cbd.int/protocol/decisions/?decisionID=13517" TargetMode="External"/><Relationship Id="rId17" Type="http://schemas.openxmlformats.org/officeDocument/2006/relationships/hyperlink" Target="http://bch.cbd.int/protocol/decisions/?decisionID=13248" TargetMode="External"/><Relationship Id="rId25" Type="http://schemas.openxmlformats.org/officeDocument/2006/relationships/hyperlink" Target="https://www.cbd.int/doc/decisions/cop-12/cop-12-dec-24-fr.pdf" TargetMode="External"/><Relationship Id="rId33" Type="http://schemas.openxmlformats.org/officeDocument/2006/relationships/header" Target="header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ch.cbd.int/protocol/decisions/?decisionID=13542" TargetMode="External"/><Relationship Id="rId20" Type="http://schemas.openxmlformats.org/officeDocument/2006/relationships/hyperlink" Target="https://www.cbd.int/doc/decisions/mop-08/mop-08-dec-10-fr.pdf" TargetMode="External"/><Relationship Id="rId29" Type="http://schemas.openxmlformats.org/officeDocument/2006/relationships/hyperlink" Target="http://bch.cbd.int/protocol/decisions/?decisionID=13519"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mop-07/mop-07-dec-12-fr.pdf" TargetMode="External"/><Relationship Id="rId32" Type="http://schemas.openxmlformats.org/officeDocument/2006/relationships/hyperlink" Target="https://www.cbd.int/decision/cop/default.shtml?id=7097"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mop-08/mop-08-dec-03-fr.pdf" TargetMode="External"/><Relationship Id="rId23" Type="http://schemas.openxmlformats.org/officeDocument/2006/relationships/hyperlink" Target="http://bch.cbd.int/protocol/decisions/?decisionID=13545" TargetMode="External"/><Relationship Id="rId28" Type="http://schemas.openxmlformats.org/officeDocument/2006/relationships/hyperlink" Target="https://www.cbd.int/doc/decisions/mop-08/mop-08-dec-13-fr.pdf" TargetMode="External"/><Relationship Id="rId36"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s://www.cbd.int/doc/decisions/mop-07/mop-07-dec-09-fr.pdf" TargetMode="External"/><Relationship Id="rId31" Type="http://schemas.openxmlformats.org/officeDocument/2006/relationships/hyperlink" Target="https://www.cbd.int/doc/decisions/np-mop-02/np-mop-02-dec-13-fr.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mop/default.shtml?id=13236" TargetMode="External"/><Relationship Id="rId22" Type="http://schemas.openxmlformats.org/officeDocument/2006/relationships/hyperlink" Target="http://bch.cbd.int/protocol/decisions/?decisionID=13349" TargetMode="External"/><Relationship Id="rId27" Type="http://schemas.openxmlformats.org/officeDocument/2006/relationships/hyperlink" Target="https://www.cbd.int/doc/decisions/mop-07/mop-07-dec-13-fr.pdf" TargetMode="External"/><Relationship Id="rId30" Type="http://schemas.openxmlformats.org/officeDocument/2006/relationships/hyperlink" Target="https://www.cbd.int/doc/decisions/cop-13/cop-13-dec-32-fr.pdf" TargetMode="External"/><Relationship Id="rId35" Type="http://schemas.openxmlformats.org/officeDocument/2006/relationships/hyperlink" Target="https://www.cbd.int/doc/decisions/cop-13/cop-13-dec-3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c0ec/0c32/af301e7abc00c0ae92c2110e/sbi-02-16-en.pdf" TargetMode="External"/><Relationship Id="rId2" Type="http://schemas.openxmlformats.org/officeDocument/2006/relationships/hyperlink" Target="mailto:secretariat@cbd.int" TargetMode="External"/><Relationship Id="rId1" Type="http://schemas.openxmlformats.org/officeDocument/2006/relationships/hyperlink" Target="https://bch.cbd.int/protocol/decisions/decision.shtml?decisionID=12329" TargetMode="External"/><Relationship Id="rId6" Type="http://schemas.openxmlformats.org/officeDocument/2006/relationships/hyperlink" Target="https://www.cbd.int/doc/notifications/2019/ntf-2019-016-budget-cp-en.pdf" TargetMode="External"/><Relationship Id="rId5" Type="http://schemas.openxmlformats.org/officeDocument/2006/relationships/hyperlink" Target="https://www.cbd.int/doc/decisions/cop-08/cop-08-dec-10-fr.pdf" TargetMode="External"/><Relationship Id="rId4" Type="http://schemas.openxmlformats.org/officeDocument/2006/relationships/hyperlink" Target="https://www.cbd.int/doc/c/2a4e/4a1b/9aa23008d4af76c6e2cf4de8/sbi-02-16-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1E491EAE164F319D99980A0FAC6A3D"/>
        <w:category>
          <w:name w:val="Général"/>
          <w:gallery w:val="placeholder"/>
        </w:category>
        <w:types>
          <w:type w:val="bbPlcHdr"/>
        </w:types>
        <w:behaviors>
          <w:behavior w:val="content"/>
        </w:behaviors>
        <w:guid w:val="{4F8313F8-18FE-4B6D-A9CE-651AC0EE9CAA}"/>
      </w:docPartPr>
      <w:docPartBody>
        <w:p w:rsidR="00592AE9" w:rsidRDefault="001139F9" w:rsidP="001139F9">
          <w:pPr>
            <w:pStyle w:val="CB1E491EAE164F319D99980A0FAC6A3D"/>
          </w:pPr>
          <w:r w:rsidRPr="007E02EB">
            <w:rPr>
              <w:rStyle w:val="PlaceholderText"/>
              <w:lang w:bidi="fr-FR"/>
            </w:rPr>
            <w:t>Statut</w:t>
          </w:r>
        </w:p>
      </w:docPartBody>
    </w:docPart>
    <w:docPart>
      <w:docPartPr>
        <w:name w:val="BE8EBC3B429546578C0FF529C16641FD"/>
        <w:category>
          <w:name w:val="Général"/>
          <w:gallery w:val="placeholder"/>
        </w:category>
        <w:types>
          <w:type w:val="bbPlcHdr"/>
        </w:types>
        <w:behaviors>
          <w:behavior w:val="content"/>
        </w:behaviors>
        <w:guid w:val="{7C7341AC-464B-49CD-A4E5-2EC41030D5B0}"/>
      </w:docPartPr>
      <w:docPartBody>
        <w:p w:rsidR="00592AE9" w:rsidRDefault="001139F9" w:rsidP="001139F9">
          <w:pPr>
            <w:pStyle w:val="BE8EBC3B429546578C0FF529C16641FD"/>
          </w:pPr>
          <w:r w:rsidRPr="007E02EB">
            <w:rPr>
              <w:rStyle w:val="PlaceholderText"/>
              <w:lang w:bidi="fr-FR"/>
            </w:rPr>
            <w:t>[Sujet]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42"/>
    <w:rsid w:val="00016C15"/>
    <w:rsid w:val="001139F9"/>
    <w:rsid w:val="00230542"/>
    <w:rsid w:val="00344D4E"/>
    <w:rsid w:val="003479F5"/>
    <w:rsid w:val="003A5BC4"/>
    <w:rsid w:val="003C67AE"/>
    <w:rsid w:val="00461CFF"/>
    <w:rsid w:val="00465665"/>
    <w:rsid w:val="004712C3"/>
    <w:rsid w:val="00507D43"/>
    <w:rsid w:val="00592AE9"/>
    <w:rsid w:val="006B0156"/>
    <w:rsid w:val="006C4372"/>
    <w:rsid w:val="008A08EB"/>
    <w:rsid w:val="008C3D59"/>
    <w:rsid w:val="0093019A"/>
    <w:rsid w:val="009310FF"/>
    <w:rsid w:val="00976D44"/>
    <w:rsid w:val="00A52D72"/>
    <w:rsid w:val="00B06793"/>
    <w:rsid w:val="00BF0596"/>
    <w:rsid w:val="00D55212"/>
    <w:rsid w:val="00D77485"/>
    <w:rsid w:val="00DC0067"/>
    <w:rsid w:val="00DF12E5"/>
    <w:rsid w:val="00E66889"/>
    <w:rsid w:val="00EC207F"/>
    <w:rsid w:val="00F24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12E5"/>
    <w:rPr>
      <w:color w:val="808080"/>
    </w:rPr>
  </w:style>
  <w:style w:type="paragraph" w:customStyle="1" w:styleId="D78D5438D86D4A71BBE6089CEEBFFBDE">
    <w:name w:val="D78D5438D86D4A71BBE6089CEEBFFBDE"/>
    <w:rsid w:val="00230542"/>
  </w:style>
  <w:style w:type="paragraph" w:customStyle="1" w:styleId="44258BF6970D4CC59FE855240C8C7AF3">
    <w:name w:val="44258BF6970D4CC59FE855240C8C7AF3"/>
    <w:rsid w:val="00230542"/>
  </w:style>
  <w:style w:type="paragraph" w:customStyle="1" w:styleId="8CDFAA1EFF984817A8F23316EBBCEA15">
    <w:name w:val="8CDFAA1EFF984817A8F23316EBBCEA15"/>
    <w:rsid w:val="00230542"/>
  </w:style>
  <w:style w:type="paragraph" w:customStyle="1" w:styleId="CB1E491EAE164F319D99980A0FAC6A3D">
    <w:name w:val="CB1E491EAE164F319D99980A0FAC6A3D"/>
    <w:rsid w:val="001139F9"/>
    <w:rPr>
      <w:lang w:val="fr-FR" w:eastAsia="fr-FR"/>
    </w:rPr>
  </w:style>
  <w:style w:type="paragraph" w:customStyle="1" w:styleId="BE8EBC3B429546578C0FF529C16641FD">
    <w:name w:val="BE8EBC3B429546578C0FF529C16641FD"/>
    <w:rsid w:val="001139F9"/>
    <w:rPr>
      <w:lang w:val="fr-FR" w:eastAsia="fr-FR"/>
    </w:rPr>
  </w:style>
  <w:style w:type="paragraph" w:customStyle="1" w:styleId="1A6BEED713734B9D9D823FFE588A4E65">
    <w:name w:val="1A6BEED713734B9D9D823FFE588A4E65"/>
    <w:rsid w:val="0093019A"/>
    <w:rPr>
      <w:lang w:val="fr-FR" w:eastAsia="fr-FR"/>
    </w:rPr>
  </w:style>
  <w:style w:type="paragraph" w:customStyle="1" w:styleId="32C73082B9CC403C933171255E857EB3">
    <w:name w:val="32C73082B9CC403C933171255E857EB3"/>
    <w:rsid w:val="0093019A"/>
    <w:rPr>
      <w:lang w:val="fr-FR" w:eastAsia="fr-FR"/>
    </w:rPr>
  </w:style>
  <w:style w:type="paragraph" w:customStyle="1" w:styleId="F6C45982902744B59CF351D55F02F947">
    <w:name w:val="F6C45982902744B59CF351D55F02F947"/>
    <w:rsid w:val="00EC207F"/>
    <w:rPr>
      <w:lang w:val="fr-FR" w:eastAsia="fr-FR"/>
    </w:rPr>
  </w:style>
  <w:style w:type="paragraph" w:customStyle="1" w:styleId="74ABBF1D2D374B20B43B444AD1ED5C63">
    <w:name w:val="74ABBF1D2D374B20B43B444AD1ED5C63"/>
    <w:rsid w:val="00EC207F"/>
    <w:rPr>
      <w:lang w:val="fr-FR" w:eastAsia="fr-FR"/>
    </w:rPr>
  </w:style>
  <w:style w:type="paragraph" w:customStyle="1" w:styleId="5BBB95539488407AA1BE5E52F3F24FD8">
    <w:name w:val="5BBB95539488407AA1BE5E52F3F24FD8"/>
    <w:rsid w:val="00D55212"/>
    <w:rPr>
      <w:lang w:val="fr-FR" w:eastAsia="fr-FR"/>
    </w:rPr>
  </w:style>
  <w:style w:type="paragraph" w:customStyle="1" w:styleId="6F16073E567F446FA8C95A63F1C464A3">
    <w:name w:val="6F16073E567F446FA8C95A63F1C464A3"/>
    <w:rsid w:val="00D55212"/>
    <w:rPr>
      <w:lang w:val="fr-FR" w:eastAsia="fr-FR"/>
    </w:rPr>
  </w:style>
  <w:style w:type="paragraph" w:customStyle="1" w:styleId="51ADD948329E41ABAD7F19733E163BD9">
    <w:name w:val="51ADD948329E41ABAD7F19733E163BD9"/>
    <w:rsid w:val="00D55212"/>
    <w:rPr>
      <w:lang w:val="fr-FR" w:eastAsia="fr-FR"/>
    </w:rPr>
  </w:style>
  <w:style w:type="paragraph" w:customStyle="1" w:styleId="B9EEDC2759A247E8A43747AFC4DC852A">
    <w:name w:val="B9EEDC2759A247E8A43747AFC4DC852A"/>
    <w:rsid w:val="00D55212"/>
    <w:rPr>
      <w:lang w:val="fr-FR" w:eastAsia="fr-FR"/>
    </w:rPr>
  </w:style>
  <w:style w:type="paragraph" w:customStyle="1" w:styleId="BA70D670DD8A49118750DB83137C9617">
    <w:name w:val="BA70D670DD8A49118750DB83137C9617"/>
    <w:rsid w:val="00D55212"/>
    <w:rPr>
      <w:lang w:val="fr-FR" w:eastAsia="fr-FR"/>
    </w:rPr>
  </w:style>
  <w:style w:type="paragraph" w:customStyle="1" w:styleId="C2A1A354585E405B9D26127C04528C32">
    <w:name w:val="C2A1A354585E405B9D26127C04528C32"/>
    <w:rsid w:val="00D55212"/>
    <w:rPr>
      <w:lang w:val="fr-FR" w:eastAsia="fr-FR"/>
    </w:rPr>
  </w:style>
  <w:style w:type="paragraph" w:customStyle="1" w:styleId="97F12A802FF9460DAC24498764CCAAE1">
    <w:name w:val="97F12A802FF9460DAC24498764CCAAE1"/>
    <w:rsid w:val="00D55212"/>
    <w:rPr>
      <w:lang w:val="fr-FR" w:eastAsia="fr-FR"/>
    </w:rPr>
  </w:style>
  <w:style w:type="paragraph" w:customStyle="1" w:styleId="A71106303C41403BA590E06546877DB4">
    <w:name w:val="A71106303C41403BA590E06546877DB4"/>
    <w:rsid w:val="00D55212"/>
    <w:rPr>
      <w:lang w:val="fr-FR" w:eastAsia="fr-FR"/>
    </w:rPr>
  </w:style>
  <w:style w:type="paragraph" w:customStyle="1" w:styleId="5FE3BD1344C64355973913413230E2A2">
    <w:name w:val="5FE3BD1344C64355973913413230E2A2"/>
    <w:rsid w:val="00D55212"/>
    <w:rPr>
      <w:lang w:val="fr-FR" w:eastAsia="fr-FR"/>
    </w:rPr>
  </w:style>
  <w:style w:type="paragraph" w:customStyle="1" w:styleId="87260CB71B124D278D5C6B9798253262">
    <w:name w:val="87260CB71B124D278D5C6B9798253262"/>
    <w:rsid w:val="00D55212"/>
    <w:rPr>
      <w:lang w:val="fr-FR" w:eastAsia="fr-FR"/>
    </w:rPr>
  </w:style>
  <w:style w:type="paragraph" w:customStyle="1" w:styleId="3DD6EE69D1D54B89BADF218568FE4EF2">
    <w:name w:val="3DD6EE69D1D54B89BADF218568FE4EF2"/>
    <w:rsid w:val="00D55212"/>
    <w:rPr>
      <w:lang w:val="fr-FR" w:eastAsia="fr-FR"/>
    </w:rPr>
  </w:style>
  <w:style w:type="paragraph" w:customStyle="1" w:styleId="D9DB4F5A445C4D39B59DBAD1FBD6E806">
    <w:name w:val="D9DB4F5A445C4D39B59DBAD1FBD6E806"/>
    <w:rsid w:val="00D55212"/>
    <w:rPr>
      <w:lang w:val="fr-FR" w:eastAsia="fr-FR"/>
    </w:rPr>
  </w:style>
  <w:style w:type="paragraph" w:customStyle="1" w:styleId="35CBE919167F4DF980655610F02DB932">
    <w:name w:val="35CBE919167F4DF980655610F02DB932"/>
    <w:rsid w:val="00D55212"/>
    <w:rPr>
      <w:lang w:val="fr-FR" w:eastAsia="fr-FR"/>
    </w:rPr>
  </w:style>
  <w:style w:type="paragraph" w:customStyle="1" w:styleId="419BE58DFB2C456FB065ECE4BEFCCD7F">
    <w:name w:val="419BE58DFB2C456FB065ECE4BEFCCD7F"/>
    <w:rsid w:val="00DF12E5"/>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October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25F07-B2E8-4EE5-AC82-C665EC16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91</Pages>
  <Words>34983</Words>
  <Characters>192407</Characters>
  <Application>Microsoft Office Word</Application>
  <DocSecurity>0</DocSecurity>
  <Lines>1603</Lines>
  <Paragraphs>453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9 :</vt:lpstr>
      <vt:lpstr>Annotated provisional agenda</vt:lpstr>
    </vt:vector>
  </TitlesOfParts>
  <Company>SCBD</Company>
  <LinksUpToDate>false</LinksUpToDate>
  <CharactersWithSpaces>226937</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c:title>
  <dc:subject>CBD/CP/MOP/9/13</dc:subject>
  <dc:creator>SCBD</dc:creator>
  <cp:lastModifiedBy>Finn Kinley</cp:lastModifiedBy>
  <cp:revision>87</cp:revision>
  <cp:lastPrinted>2018-10-16T14:44:00Z</cp:lastPrinted>
  <dcterms:created xsi:type="dcterms:W3CDTF">2018-11-29T14:40:00Z</dcterms:created>
  <dcterms:modified xsi:type="dcterms:W3CDTF">2019-06-05T00:06:00Z</dcterms:modified>
  <cp:contentStatus>GENERALE</cp:contentStatus>
</cp:coreProperties>
</file>