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8"/>
        <w:gridCol w:w="3933"/>
        <w:gridCol w:w="5802"/>
      </w:tblGrid>
      <w:tr w:rsidR="00A96B21" w:rsidRPr="00202230" w:rsidTr="009A2AD9">
        <w:trPr>
          <w:trHeight w:val="851"/>
        </w:trPr>
        <w:tc>
          <w:tcPr>
            <w:tcW w:w="465" w:type="pct"/>
            <w:tcBorders>
              <w:bottom w:val="single" w:sz="8" w:space="0" w:color="auto"/>
            </w:tcBorders>
            <w:vAlign w:val="bottom"/>
          </w:tcPr>
          <w:p w:rsidR="00A96B21" w:rsidRPr="00202230" w:rsidRDefault="00A96B21" w:rsidP="009A2AD9">
            <w:pPr>
              <w:spacing w:after="120"/>
              <w:jc w:val="left"/>
            </w:pPr>
            <w:bookmarkStart w:id="0" w:name="_Hlk137651738"/>
            <w:r w:rsidRPr="00202230">
              <w:rPr>
                <w:noProof/>
                <w:lang w:val="fr-CA" w:eastAsia="fr-CA"/>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A96B21" w:rsidRPr="00202230" w:rsidRDefault="00073732" w:rsidP="009A2AD9">
            <w:pPr>
              <w:spacing w:after="120"/>
              <w:jc w:val="left"/>
            </w:pPr>
            <w:r w:rsidRPr="00073732">
              <w:rPr>
                <w:noProof/>
                <w:lang w:val="fr-CA" w:eastAsia="fr-CA"/>
              </w:rPr>
              <w:drawing>
                <wp:inline distT="0" distB="0" distL="0" distR="0">
                  <wp:extent cx="590550" cy="3619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rsidR="00A96B21" w:rsidRPr="00202230" w:rsidRDefault="00A96B21" w:rsidP="00184909">
            <w:pPr>
              <w:spacing w:after="120"/>
              <w:ind w:left="2021"/>
              <w:jc w:val="right"/>
              <w:rPr>
                <w:szCs w:val="22"/>
              </w:rPr>
            </w:pPr>
            <w:bookmarkStart w:id="1" w:name="_Hlk159230754"/>
            <w:r w:rsidRPr="00BC00D2">
              <w:rPr>
                <w:sz w:val="40"/>
                <w:szCs w:val="40"/>
              </w:rPr>
              <w:t>CBD</w:t>
            </w:r>
            <w:r w:rsidRPr="00202230">
              <w:rPr>
                <w:szCs w:val="22"/>
              </w:rPr>
              <w:t>/</w:t>
            </w:r>
            <w:r w:rsidR="003E0A26" w:rsidRPr="00BC00D2">
              <w:rPr>
                <w:szCs w:val="22"/>
              </w:rPr>
              <w:t>SBI</w:t>
            </w:r>
            <w:r w:rsidR="003E0A26" w:rsidRPr="00202230">
              <w:rPr>
                <w:szCs w:val="22"/>
              </w:rPr>
              <w:t>/4/</w:t>
            </w:r>
            <w:bookmarkEnd w:id="1"/>
            <w:r w:rsidR="00775A77" w:rsidRPr="00202230">
              <w:rPr>
                <w:szCs w:val="22"/>
              </w:rPr>
              <w:t>11/Add.1</w:t>
            </w:r>
          </w:p>
        </w:tc>
      </w:tr>
      <w:tr w:rsidR="00A96B21" w:rsidRPr="00073732" w:rsidTr="009A2AD9">
        <w:tc>
          <w:tcPr>
            <w:tcW w:w="2297" w:type="pct"/>
            <w:gridSpan w:val="2"/>
            <w:tcBorders>
              <w:top w:val="single" w:sz="8" w:space="0" w:color="auto"/>
              <w:bottom w:val="single" w:sz="12" w:space="0" w:color="auto"/>
            </w:tcBorders>
          </w:tcPr>
          <w:p w:rsidR="00A96B21" w:rsidRPr="00073732" w:rsidRDefault="00073732" w:rsidP="009A2AD9">
            <w:pPr>
              <w:pStyle w:val="Cornernotation"/>
              <w:suppressLineNumbers/>
              <w:suppressAutoHyphens/>
              <w:spacing w:before="120" w:after="120"/>
              <w:ind w:left="0" w:right="0" w:firstLine="0"/>
              <w:rPr>
                <w:lang w:val="fr-CA"/>
              </w:rPr>
            </w:pPr>
            <w:r w:rsidRPr="00073732">
              <w:rPr>
                <w:b w:val="0"/>
                <w:bCs/>
                <w:noProof/>
                <w:lang w:val="fr-CA" w:eastAsia="fr-CA"/>
              </w:rPr>
              <w:drawing>
                <wp:inline distT="0" distB="0" distL="0" distR="0">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rsidR="00A96B21" w:rsidRPr="00073732" w:rsidRDefault="009D58E1" w:rsidP="003C6F10">
            <w:pPr>
              <w:ind w:left="2584"/>
              <w:rPr>
                <w:noProof/>
                <w:sz w:val="22"/>
                <w:szCs w:val="22"/>
                <w:lang w:val="fr-CA"/>
              </w:rPr>
            </w:pPr>
            <w:r>
              <w:rPr>
                <w:noProof/>
                <w:sz w:val="22"/>
                <w:szCs w:val="22"/>
                <w:lang w:val="fr-CA"/>
              </w:rPr>
              <w:t>Distr. g</w:t>
            </w:r>
            <w:r w:rsidR="00073732" w:rsidRPr="00073732">
              <w:rPr>
                <w:noProof/>
                <w:sz w:val="22"/>
                <w:szCs w:val="22"/>
                <w:lang w:val="fr-CA"/>
              </w:rPr>
              <w:t>énérale</w:t>
            </w:r>
          </w:p>
          <w:p w:rsidR="00A96B21" w:rsidRPr="00073732" w:rsidRDefault="00073732" w:rsidP="003C6F10">
            <w:pPr>
              <w:ind w:left="2584"/>
              <w:rPr>
                <w:sz w:val="22"/>
                <w:szCs w:val="22"/>
                <w:lang w:val="fr-CA"/>
              </w:rPr>
            </w:pPr>
            <w:r w:rsidRPr="00073732">
              <w:rPr>
                <w:sz w:val="22"/>
                <w:szCs w:val="22"/>
                <w:lang w:val="fr-CA"/>
              </w:rPr>
              <w:t>24 avril </w:t>
            </w:r>
            <w:r w:rsidR="00A96B21" w:rsidRPr="00073732">
              <w:rPr>
                <w:sz w:val="22"/>
                <w:szCs w:val="22"/>
                <w:lang w:val="fr-CA"/>
              </w:rPr>
              <w:t>202</w:t>
            </w:r>
            <w:r w:rsidR="0092346F" w:rsidRPr="00073732">
              <w:rPr>
                <w:sz w:val="22"/>
                <w:szCs w:val="22"/>
                <w:lang w:val="fr-CA"/>
              </w:rPr>
              <w:t>4</w:t>
            </w:r>
          </w:p>
          <w:p w:rsidR="00073732" w:rsidRPr="00073732" w:rsidRDefault="00073732" w:rsidP="00073732">
            <w:pPr>
              <w:ind w:left="2584"/>
              <w:rPr>
                <w:sz w:val="22"/>
                <w:szCs w:val="22"/>
                <w:lang w:val="fr-CA"/>
              </w:rPr>
            </w:pPr>
            <w:r w:rsidRPr="00073732">
              <w:rPr>
                <w:sz w:val="22"/>
                <w:szCs w:val="22"/>
                <w:lang w:val="fr-CA"/>
              </w:rPr>
              <w:t>Français</w:t>
            </w:r>
          </w:p>
          <w:p w:rsidR="00A96B21" w:rsidRPr="00073732" w:rsidRDefault="00073732" w:rsidP="00073732">
            <w:pPr>
              <w:ind w:left="2584"/>
              <w:rPr>
                <w:sz w:val="22"/>
                <w:szCs w:val="22"/>
                <w:lang w:val="fr-CA"/>
              </w:rPr>
            </w:pPr>
            <w:r w:rsidRPr="00073732">
              <w:rPr>
                <w:sz w:val="22"/>
                <w:szCs w:val="22"/>
                <w:lang w:val="fr-CA"/>
              </w:rPr>
              <w:t>Original</w:t>
            </w:r>
            <w:r>
              <w:rPr>
                <w:sz w:val="22"/>
                <w:szCs w:val="22"/>
                <w:lang w:val="fr-CA"/>
              </w:rPr>
              <w:t> :</w:t>
            </w:r>
            <w:r w:rsidRPr="00073732">
              <w:rPr>
                <w:sz w:val="22"/>
                <w:szCs w:val="22"/>
                <w:lang w:val="fr-CA"/>
              </w:rPr>
              <w:t xml:space="preserve"> anglais</w:t>
            </w:r>
          </w:p>
          <w:p w:rsidR="00A96B21" w:rsidRPr="00073732" w:rsidRDefault="00A96B21" w:rsidP="009A2AD9">
            <w:pPr>
              <w:rPr>
                <w:lang w:val="fr-CA"/>
              </w:rPr>
            </w:pPr>
          </w:p>
        </w:tc>
      </w:tr>
    </w:tbl>
    <w:p w:rsidR="00874541" w:rsidRPr="00073732" w:rsidRDefault="00073732" w:rsidP="00A96B21">
      <w:pPr>
        <w:pStyle w:val="Cornernotation"/>
        <w:rPr>
          <w:bCs/>
          <w:lang w:val="fr-CA"/>
        </w:rPr>
      </w:pPr>
      <w:r w:rsidRPr="00073732">
        <w:rPr>
          <w:bCs/>
          <w:lang w:val="fr-CA"/>
        </w:rPr>
        <w:t>Organe subsidiaire chargé de l’application</w:t>
      </w:r>
    </w:p>
    <w:p w:rsidR="00A96B21" w:rsidRPr="00073732" w:rsidRDefault="00073732" w:rsidP="00A96B21">
      <w:pPr>
        <w:pStyle w:val="Cornernotation"/>
        <w:rPr>
          <w:bCs/>
          <w:sz w:val="22"/>
          <w:szCs w:val="22"/>
          <w:lang w:val="fr-CA"/>
        </w:rPr>
      </w:pPr>
      <w:r w:rsidRPr="00073732">
        <w:rPr>
          <w:bCs/>
          <w:sz w:val="22"/>
          <w:szCs w:val="22"/>
          <w:lang w:val="fr-CA"/>
        </w:rPr>
        <w:t>Quatrième réunion</w:t>
      </w:r>
    </w:p>
    <w:p w:rsidR="00A96B21" w:rsidRPr="00073732" w:rsidRDefault="00073732" w:rsidP="00A96B21">
      <w:pPr>
        <w:pStyle w:val="Venuedate"/>
        <w:rPr>
          <w:lang w:val="fr-CA"/>
        </w:rPr>
      </w:pPr>
      <w:r w:rsidRPr="00073732">
        <w:rPr>
          <w:lang w:val="fr-CA"/>
        </w:rPr>
        <w:t>Nairobi, 21-29 mai 2024</w:t>
      </w:r>
    </w:p>
    <w:p w:rsidR="00A96B21" w:rsidRPr="00C72D3D" w:rsidRDefault="00073732" w:rsidP="00A96B21">
      <w:pPr>
        <w:pStyle w:val="Cornernotation-Item"/>
        <w:rPr>
          <w:b w:val="0"/>
          <w:bCs w:val="0"/>
          <w:lang w:val="fr-CA"/>
        </w:rPr>
      </w:pPr>
      <w:r>
        <w:rPr>
          <w:b w:val="0"/>
          <w:bCs w:val="0"/>
          <w:lang w:val="fr-CA"/>
        </w:rPr>
        <w:t>Point </w:t>
      </w:r>
      <w:r w:rsidR="00282CF6" w:rsidRPr="00073732">
        <w:rPr>
          <w:b w:val="0"/>
          <w:bCs w:val="0"/>
          <w:lang w:val="fr-CA"/>
        </w:rPr>
        <w:t>8</w:t>
      </w:r>
      <w:r>
        <w:rPr>
          <w:b w:val="0"/>
          <w:bCs w:val="0"/>
          <w:lang w:val="fr-CA"/>
        </w:rPr>
        <w:t xml:space="preserve"> de </w:t>
      </w:r>
      <w:r w:rsidRPr="00C72D3D">
        <w:rPr>
          <w:b w:val="0"/>
          <w:bCs w:val="0"/>
          <w:lang w:val="fr-CA"/>
        </w:rPr>
        <w:t>l’ordre du jour provisoire</w:t>
      </w:r>
      <w:r w:rsidRPr="00C72D3D">
        <w:rPr>
          <w:rStyle w:val="FootnoteReference"/>
          <w:b w:val="0"/>
          <w:bCs w:val="0"/>
          <w:lang w:val="fr-CA"/>
        </w:rPr>
        <w:t xml:space="preserve"> </w:t>
      </w:r>
      <w:r w:rsidR="00A96B21" w:rsidRPr="00C72D3D">
        <w:rPr>
          <w:rStyle w:val="FootnoteReference"/>
          <w:b w:val="0"/>
          <w:bCs w:val="0"/>
          <w:lang w:val="fr-CA"/>
        </w:rPr>
        <w:footnoteReference w:customMarkFollows="1" w:id="2"/>
        <w:t>*</w:t>
      </w:r>
    </w:p>
    <w:p w:rsidR="00A96B21" w:rsidRPr="00C72D3D" w:rsidRDefault="00073732" w:rsidP="00BC00D2">
      <w:pPr>
        <w:pStyle w:val="Cornernotation-Item"/>
        <w:ind w:left="0" w:right="4965" w:firstLine="0"/>
        <w:rPr>
          <w:lang w:val="fr-CA"/>
        </w:rPr>
      </w:pPr>
      <w:r w:rsidRPr="00C72D3D">
        <w:rPr>
          <w:lang w:val="fr-CA"/>
        </w:rPr>
        <w:t>Examen de l'efficacité des processus établis au titre de la Convention et de ses Protocoles</w:t>
      </w:r>
    </w:p>
    <w:bookmarkEnd w:id="0"/>
    <w:p w:rsidR="00A96B21" w:rsidRPr="00073732" w:rsidRDefault="00FF2089" w:rsidP="00BC00D2">
      <w:pPr>
        <w:pStyle w:val="Title"/>
        <w:jc w:val="left"/>
        <w:rPr>
          <w:lang w:val="fr-CA"/>
        </w:rPr>
      </w:pPr>
      <w:r>
        <w:rPr>
          <w:lang w:val="fr-CA"/>
        </w:rPr>
        <w:t>Rapport sur la mise en œuvre de la procédure visant à éviter ou à gérer les conflits d’intérêts au sein des groupes d’experts</w:t>
      </w:r>
    </w:p>
    <w:p w:rsidR="00A96B21" w:rsidRPr="00073732" w:rsidRDefault="00A96B21" w:rsidP="00A96B21">
      <w:pPr>
        <w:pStyle w:val="Subtitle"/>
        <w:spacing w:before="120" w:after="120"/>
        <w:ind w:left="567"/>
        <w:jc w:val="left"/>
        <w:rPr>
          <w:rFonts w:ascii="Times New Roman" w:hAnsi="Times New Roman" w:cs="Times New Roman"/>
          <w:color w:val="auto"/>
          <w:lang w:val="fr-CA"/>
        </w:rPr>
      </w:pPr>
      <w:r w:rsidRPr="00073732">
        <w:rPr>
          <w:rFonts w:ascii="Times New Roman" w:hAnsi="Times New Roman" w:cs="Times New Roman"/>
          <w:color w:val="auto"/>
          <w:lang w:val="fr-CA"/>
        </w:rPr>
        <w:t xml:space="preserve">Note </w:t>
      </w:r>
      <w:r w:rsidR="004E4856">
        <w:rPr>
          <w:rFonts w:ascii="Times New Roman" w:hAnsi="Times New Roman" w:cs="Times New Roman"/>
          <w:color w:val="auto"/>
          <w:lang w:val="fr-CA"/>
        </w:rPr>
        <w:t>du Secré</w:t>
      </w:r>
      <w:r w:rsidRPr="00073732">
        <w:rPr>
          <w:rFonts w:ascii="Times New Roman" w:hAnsi="Times New Roman" w:cs="Times New Roman"/>
          <w:color w:val="auto"/>
          <w:lang w:val="fr-CA"/>
        </w:rPr>
        <w:t>tariat</w:t>
      </w:r>
    </w:p>
    <w:p w:rsidR="00FA18C9" w:rsidRPr="00073732" w:rsidRDefault="004E4856" w:rsidP="007C77BC">
      <w:pPr>
        <w:pStyle w:val="Heading1"/>
        <w:rPr>
          <w:lang w:val="fr-CA"/>
        </w:rPr>
      </w:pPr>
      <w:r>
        <w:rPr>
          <w:lang w:val="fr-CA"/>
        </w:rPr>
        <w:t>Contexte</w:t>
      </w:r>
    </w:p>
    <w:p w:rsidR="00D40D7F" w:rsidRPr="00073732" w:rsidRDefault="00871D58" w:rsidP="00052216">
      <w:pPr>
        <w:pStyle w:val="Para1"/>
        <w:rPr>
          <w:lang w:val="fr-CA"/>
        </w:rPr>
      </w:pPr>
      <w:r>
        <w:rPr>
          <w:lang w:val="fr-CA"/>
        </w:rPr>
        <w:t xml:space="preserve">Conformément à la section B de la recommandation </w:t>
      </w:r>
      <w:hyperlink r:id="rId14" w:history="1">
        <w:r w:rsidRPr="00871D58">
          <w:rPr>
            <w:rStyle w:val="Hyperlink"/>
            <w:lang w:val="fr-CA"/>
          </w:rPr>
          <w:t>2/15</w:t>
        </w:r>
      </w:hyperlink>
      <w:r>
        <w:rPr>
          <w:lang w:val="fr-CA"/>
        </w:rPr>
        <w:t xml:space="preserve"> de l’Organe subsidiaire chargé de l’application et aux points de vue présentés par les Parties et les observateurs sur une procédure visant à éviter ou à gérer les conflits d’intérêts au sein des groupes d’experts,</w:t>
      </w:r>
      <w:r w:rsidRPr="00073732">
        <w:rPr>
          <w:rStyle w:val="FootnoteReference"/>
          <w:lang w:val="fr-CA"/>
        </w:rPr>
        <w:footnoteReference w:id="3"/>
      </w:r>
      <w:r>
        <w:rPr>
          <w:lang w:val="fr-CA"/>
        </w:rPr>
        <w:t xml:space="preserve"> la Conférence des Parties à la Convention, à sa quatorzième réunion, a adopté la décision </w:t>
      </w:r>
      <w:hyperlink r:id="rId15" w:history="1">
        <w:r>
          <w:rPr>
            <w:rStyle w:val="Hyperlink"/>
            <w:lang w:val="fr-CA"/>
          </w:rPr>
          <w:t>14/33</w:t>
        </w:r>
      </w:hyperlink>
      <w:r>
        <w:rPr>
          <w:lang w:val="fr-CA"/>
        </w:rPr>
        <w:t xml:space="preserve">, dans laquelle elle approuve </w:t>
      </w:r>
      <w:r w:rsidR="009E43EF" w:rsidRPr="009E43EF">
        <w:rPr>
          <w:lang w:val="fr-CA"/>
        </w:rPr>
        <w:t>la procédure relative à la prévention et à la gestion des conflits d’intérêts</w:t>
      </w:r>
      <w:r w:rsidR="009E43EF">
        <w:rPr>
          <w:lang w:val="fr-CA"/>
        </w:rPr>
        <w:t xml:space="preserve"> au sein des groupes d’experts</w:t>
      </w:r>
      <w:r>
        <w:rPr>
          <w:lang w:val="fr-CA"/>
        </w:rPr>
        <w:t xml:space="preserve">, </w:t>
      </w:r>
      <w:r w:rsidR="009E43EF">
        <w:rPr>
          <w:lang w:val="fr-CA"/>
        </w:rPr>
        <w:t>telle que figurant à l’annexe de ladite décision.</w:t>
      </w:r>
    </w:p>
    <w:p w:rsidR="00AC5357" w:rsidRPr="009D58E1" w:rsidRDefault="00AD3FFB" w:rsidP="009D58E1">
      <w:pPr>
        <w:pStyle w:val="Para1"/>
        <w:rPr>
          <w:lang w:val="fr-CA"/>
        </w:rPr>
      </w:pPr>
      <w:r w:rsidRPr="009D58E1">
        <w:rPr>
          <w:lang w:val="fr-CA"/>
        </w:rPr>
        <w:t>Dans la dé</w:t>
      </w:r>
      <w:r w:rsidR="00AC5357" w:rsidRPr="009D58E1">
        <w:rPr>
          <w:lang w:val="fr-CA"/>
        </w:rPr>
        <w:t>cision</w:t>
      </w:r>
      <w:r w:rsidRPr="009D58E1">
        <w:rPr>
          <w:lang w:val="fr-CA"/>
        </w:rPr>
        <w:t> </w:t>
      </w:r>
      <w:r w:rsidR="004A06FB" w:rsidRPr="009D58E1">
        <w:rPr>
          <w:lang w:val="fr-CA"/>
        </w:rPr>
        <w:t>14/33</w:t>
      </w:r>
      <w:r w:rsidR="00AC5357" w:rsidRPr="009D58E1">
        <w:rPr>
          <w:lang w:val="fr-CA"/>
        </w:rPr>
        <w:t>,</w:t>
      </w:r>
      <w:r w:rsidRPr="009D58E1">
        <w:rPr>
          <w:lang w:val="fr-CA"/>
        </w:rPr>
        <w:t xml:space="preserve">  la Conférence des Parties prie le Secrétaire exécutif</w:t>
      </w:r>
      <w:r w:rsidR="009D58E1" w:rsidRPr="009D58E1">
        <w:rPr>
          <w:lang w:val="fr-CA"/>
        </w:rPr>
        <w:t xml:space="preserve"> de</w:t>
      </w:r>
      <w:r w:rsidRPr="009D58E1">
        <w:rPr>
          <w:lang w:val="fr-CA"/>
        </w:rPr>
        <w:t xml:space="preserve"> préparer un rapport sur </w:t>
      </w:r>
      <w:r w:rsidR="009D58E1">
        <w:rPr>
          <w:lang w:val="fr-CA"/>
        </w:rPr>
        <w:t>l’application</w:t>
      </w:r>
      <w:r w:rsidRPr="009D58E1">
        <w:rPr>
          <w:lang w:val="fr-CA"/>
        </w:rPr>
        <w:t xml:space="preserve"> de la procédure et</w:t>
      </w:r>
      <w:r w:rsidR="009D58E1" w:rsidRPr="009D58E1">
        <w:t xml:space="preserve"> </w:t>
      </w:r>
      <w:r w:rsidR="009D58E1">
        <w:t>l</w:t>
      </w:r>
      <w:r w:rsidR="009D58E1" w:rsidRPr="009D58E1">
        <w:rPr>
          <w:lang w:val="fr-CA"/>
        </w:rPr>
        <w:t>es évolutions pertinentes en matière de prévention ou de gestion de conflits d’intérêts dans d’autres accords multilatéraux sur l’environnement, initiatives ou organisations intergouvernementales et, s’il y a lieu, de proposer des mises à jour et des modifications de la procédure actuelle</w:t>
      </w:r>
      <w:r w:rsidR="009D58E1">
        <w:rPr>
          <w:lang w:val="fr-CA"/>
        </w:rPr>
        <w:t>,</w:t>
      </w:r>
      <w:r w:rsidR="009D58E1" w:rsidRPr="009D58E1">
        <w:t xml:space="preserve"> </w:t>
      </w:r>
      <w:r w:rsidR="009D58E1" w:rsidRPr="009D58E1">
        <w:rPr>
          <w:lang w:val="fr-CA"/>
        </w:rPr>
        <w:t>aux fins d’examen par l’Organe subsidiaire chargé de l’application</w:t>
      </w:r>
      <w:r w:rsidR="000E221D">
        <w:rPr>
          <w:lang w:val="fr-CA"/>
        </w:rPr>
        <w:t>,</w:t>
      </w:r>
      <w:r w:rsidR="009D58E1" w:rsidRPr="009D58E1">
        <w:rPr>
          <w:lang w:val="fr-CA"/>
        </w:rPr>
        <w:t xml:space="preserve"> lors d’une réunion qui se</w:t>
      </w:r>
      <w:r w:rsidR="009D58E1">
        <w:rPr>
          <w:lang w:val="fr-CA"/>
        </w:rPr>
        <w:t xml:space="preserve"> </w:t>
      </w:r>
      <w:r w:rsidR="009D58E1" w:rsidRPr="009D58E1">
        <w:rPr>
          <w:lang w:val="fr-CA"/>
        </w:rPr>
        <w:t>tiendra avant la seizième réunion de la Conférence des Parties</w:t>
      </w:r>
      <w:r w:rsidR="009D58E1">
        <w:rPr>
          <w:lang w:val="fr-CA"/>
        </w:rPr>
        <w:t>.</w:t>
      </w:r>
    </w:p>
    <w:p w:rsidR="003426AC" w:rsidRPr="000E221D" w:rsidRDefault="009D58E1" w:rsidP="000E221D">
      <w:pPr>
        <w:pStyle w:val="Para1"/>
        <w:rPr>
          <w:lang w:val="fr-CA"/>
        </w:rPr>
      </w:pPr>
      <w:r w:rsidRPr="000E221D">
        <w:rPr>
          <w:lang w:val="fr-CA"/>
        </w:rPr>
        <w:t>Dans la même décision, la Conférence des Parties</w:t>
      </w:r>
      <w:r w:rsidR="000E221D">
        <w:rPr>
          <w:lang w:val="fr-CA"/>
        </w:rPr>
        <w:t xml:space="preserve"> </w:t>
      </w:r>
      <w:r w:rsidR="000E221D" w:rsidRPr="000E221D">
        <w:rPr>
          <w:lang w:val="fr-CA"/>
        </w:rPr>
        <w:t>pri</w:t>
      </w:r>
      <w:r w:rsidR="000E221D">
        <w:rPr>
          <w:lang w:val="fr-CA"/>
        </w:rPr>
        <w:t>e</w:t>
      </w:r>
      <w:r w:rsidR="000E221D" w:rsidRPr="000E221D">
        <w:rPr>
          <w:lang w:val="fr-CA"/>
        </w:rPr>
        <w:t xml:space="preserve"> l’Organe subsidiaire chargé de l’application d’examiner le rapport </w:t>
      </w:r>
      <w:r w:rsidR="00386BA4">
        <w:rPr>
          <w:lang w:val="fr-CA"/>
        </w:rPr>
        <w:t xml:space="preserve">susmentionné </w:t>
      </w:r>
      <w:r w:rsidR="000E221D">
        <w:rPr>
          <w:lang w:val="fr-CA"/>
        </w:rPr>
        <w:t>du Secrétaire exécutif</w:t>
      </w:r>
      <w:r w:rsidR="000E221D" w:rsidRPr="000E221D">
        <w:rPr>
          <w:lang w:val="fr-CA"/>
        </w:rPr>
        <w:t xml:space="preserve"> et de présenter des recommandations, selon qu’il convient, pour la considération</w:t>
      </w:r>
      <w:r w:rsidR="000E221D">
        <w:rPr>
          <w:lang w:val="fr-CA"/>
        </w:rPr>
        <w:t xml:space="preserve"> </w:t>
      </w:r>
      <w:r w:rsidR="000E221D" w:rsidRPr="000E221D">
        <w:rPr>
          <w:lang w:val="fr-CA"/>
        </w:rPr>
        <w:t>de la Conférence des Parties à sa seizième réunion</w:t>
      </w:r>
      <w:r w:rsidR="00386BA4">
        <w:rPr>
          <w:lang w:val="fr-CA"/>
        </w:rPr>
        <w:t>. La Conférence de</w:t>
      </w:r>
      <w:r w:rsidR="0028347E">
        <w:rPr>
          <w:lang w:val="fr-CA"/>
        </w:rPr>
        <w:t>s Parties siégeant en tant que R</w:t>
      </w:r>
      <w:r w:rsidR="00386BA4">
        <w:rPr>
          <w:lang w:val="fr-CA"/>
        </w:rPr>
        <w:t>éunion des Parties au Protocole de Cartagena et la Conférence des Parties siégeant en tant que Réunion des Parties au Protocole de Nagoya ont adopté des décisions semblables (dé</w:t>
      </w:r>
      <w:r w:rsidR="00386BA4" w:rsidRPr="000E221D">
        <w:rPr>
          <w:lang w:val="fr-CA"/>
        </w:rPr>
        <w:t>cisions</w:t>
      </w:r>
      <w:r w:rsidR="00386BA4">
        <w:rPr>
          <w:lang w:val="fr-CA"/>
        </w:rPr>
        <w:t xml:space="preserve"> </w:t>
      </w:r>
      <w:hyperlink r:id="rId16" w:history="1">
        <w:r w:rsidR="00386BA4">
          <w:rPr>
            <w:rStyle w:val="Hyperlink"/>
            <w:lang w:val="fr-CA"/>
          </w:rPr>
          <w:t>CP-9/10</w:t>
        </w:r>
      </w:hyperlink>
      <w:r w:rsidR="00386BA4">
        <w:rPr>
          <w:lang w:val="fr-CA"/>
        </w:rPr>
        <w:t xml:space="preserve"> et </w:t>
      </w:r>
      <w:hyperlink r:id="rId17" w:history="1">
        <w:r w:rsidR="00386BA4">
          <w:rPr>
            <w:rStyle w:val="Hyperlink"/>
            <w:lang w:val="fr-CA"/>
          </w:rPr>
          <w:t>NP-3/11</w:t>
        </w:r>
      </w:hyperlink>
      <w:r w:rsidR="00386BA4" w:rsidRPr="000E221D">
        <w:rPr>
          <w:lang w:val="fr-CA"/>
        </w:rPr>
        <w:t>)</w:t>
      </w:r>
      <w:r w:rsidR="0028347E">
        <w:rPr>
          <w:lang w:val="fr-CA"/>
        </w:rPr>
        <w:t>, au cours de leur neuvième et troisième réunions, respectivement.</w:t>
      </w:r>
      <w:r w:rsidR="003426AC" w:rsidRPr="000E221D">
        <w:rPr>
          <w:lang w:val="fr-CA"/>
        </w:rPr>
        <w:t xml:space="preserve"> </w:t>
      </w:r>
    </w:p>
    <w:p w:rsidR="00DF4AC1" w:rsidRPr="00073732" w:rsidRDefault="0028347E" w:rsidP="00DF4AC1">
      <w:pPr>
        <w:pStyle w:val="Para1"/>
        <w:rPr>
          <w:lang w:val="fr-CA"/>
        </w:rPr>
      </w:pPr>
      <w:r>
        <w:rPr>
          <w:lang w:val="fr-CA"/>
        </w:rPr>
        <w:t>La présente note contient le rapport du Secrétaire exécutif sur ladite procédure. La section II présente un résumé de la mise en œuvre de la procédure dans les processus au titre de la Convention et de ses Protocoles. La section III contient un bref aperçu de certaines évolutions</w:t>
      </w:r>
      <w:r w:rsidR="00C816CB">
        <w:rPr>
          <w:lang w:val="fr-CA"/>
        </w:rPr>
        <w:t xml:space="preserve"> </w:t>
      </w:r>
      <w:r w:rsidR="00C816CB">
        <w:rPr>
          <w:lang w:val="fr-CA"/>
        </w:rPr>
        <w:lastRenderedPageBreak/>
        <w:t>pertinentes</w:t>
      </w:r>
      <w:r>
        <w:rPr>
          <w:lang w:val="fr-CA"/>
        </w:rPr>
        <w:t xml:space="preserve"> dans d’autres</w:t>
      </w:r>
      <w:r w:rsidR="00C816CB">
        <w:rPr>
          <w:lang w:val="fr-CA"/>
        </w:rPr>
        <w:t xml:space="preserve"> accords</w:t>
      </w:r>
      <w:r>
        <w:rPr>
          <w:lang w:val="fr-CA"/>
        </w:rPr>
        <w:t xml:space="preserve"> </w:t>
      </w:r>
      <w:r w:rsidR="00C816CB">
        <w:rPr>
          <w:lang w:val="fr-CA"/>
        </w:rPr>
        <w:t xml:space="preserve">multilatéraux sur l’environnement, initiatives ou organisations intergouvernementales. Les mises à jour et les modifications à la procédure proposées sont présentées à la section IV. Le Secrétaire exécutif a mis en relief certains éléments d’une recommandation pour la considération de l’Organe subsidiaire chargé de l’application à sa quatrième réunion, qui figurent dans le document </w:t>
      </w:r>
      <w:r w:rsidR="00C816CB" w:rsidRPr="00073732">
        <w:rPr>
          <w:lang w:val="fr-CA"/>
        </w:rPr>
        <w:t xml:space="preserve">CBD/SBI/4/11 </w:t>
      </w:r>
      <w:r w:rsidR="00C816CB">
        <w:rPr>
          <w:lang w:val="fr-CA"/>
        </w:rPr>
        <w:t>sur l’examen de l’efficacité des processus au titre de la Convention et de ses Protocoles.</w:t>
      </w:r>
    </w:p>
    <w:p w:rsidR="00C77535" w:rsidRPr="00073732" w:rsidRDefault="006A3CBC" w:rsidP="00C77535">
      <w:pPr>
        <w:pStyle w:val="Heading1"/>
        <w:rPr>
          <w:lang w:val="fr-CA"/>
        </w:rPr>
      </w:pPr>
      <w:r>
        <w:rPr>
          <w:lang w:val="fr-CA"/>
        </w:rPr>
        <w:t>Mise en œuvre de la procédure dans les processus au titre de la Convention et de ses Protocoles</w:t>
      </w:r>
    </w:p>
    <w:p w:rsidR="00887497" w:rsidRPr="007F6725" w:rsidRDefault="002515B7" w:rsidP="007F6725">
      <w:pPr>
        <w:pStyle w:val="Para1"/>
        <w:rPr>
          <w:lang w:val="fr-CA"/>
        </w:rPr>
      </w:pPr>
      <w:r w:rsidRPr="007F6725">
        <w:rPr>
          <w:lang w:val="fr-CA"/>
        </w:rPr>
        <w:t xml:space="preserve">La procédure s’applique aux experts, </w:t>
      </w:r>
      <w:r w:rsidR="007F6725" w:rsidRPr="007F6725">
        <w:rPr>
          <w:lang w:val="fr-CA"/>
        </w:rPr>
        <w:t>y compris ceux qui font office de présidents, désignés par les Parties, les autres gouvernements, les observateurs de la Convention et de ses Protocoles et tout organisme ou agence, gouvernementale ou non gouvernementale, comme membres experts d’un groupe spécial d’experts techniques ou autre groupe d’experts technique</w:t>
      </w:r>
      <w:r w:rsidR="00281FD1">
        <w:rPr>
          <w:lang w:val="fr-CA"/>
        </w:rPr>
        <w:t>s</w:t>
      </w:r>
      <w:r w:rsidR="007F6725" w:rsidRPr="007F6725">
        <w:rPr>
          <w:lang w:val="fr-CA"/>
        </w:rPr>
        <w:t>. Chaque expert agit de manière objective, indépendamment de toute affiliation à un gouvernement,</w:t>
      </w:r>
      <w:r w:rsidR="007F6725">
        <w:rPr>
          <w:lang w:val="fr-CA"/>
        </w:rPr>
        <w:t xml:space="preserve"> </w:t>
      </w:r>
      <w:r w:rsidR="007F6725" w:rsidRPr="007F6725">
        <w:rPr>
          <w:lang w:val="fr-CA"/>
        </w:rPr>
        <w:t>industrie, organisation ou université, pour se conformer aux normes professionnelles les plus élevées et faire preuve d'un degré élevé de conduite professionnelle et d'intégrité</w:t>
      </w:r>
      <w:r w:rsidR="006C35BD">
        <w:rPr>
          <w:lang w:val="fr-CA"/>
        </w:rPr>
        <w:t>.</w:t>
      </w:r>
      <w:r w:rsidR="006C35BD" w:rsidRPr="00073732">
        <w:rPr>
          <w:rStyle w:val="FootnoteReference"/>
          <w:lang w:val="fr-CA"/>
        </w:rPr>
        <w:footnoteReference w:id="4"/>
      </w:r>
    </w:p>
    <w:p w:rsidR="00C77535" w:rsidRPr="0099647D" w:rsidRDefault="00ED4AD0" w:rsidP="0099647D">
      <w:pPr>
        <w:pStyle w:val="Para1"/>
        <w:rPr>
          <w:lang w:val="fr-CA"/>
        </w:rPr>
      </w:pPr>
      <w:r w:rsidRPr="0099647D">
        <w:rPr>
          <w:lang w:val="fr-CA"/>
        </w:rPr>
        <w:t xml:space="preserve">En approuvant la procédure, la Conférence des Parties a reconnu qu’il importe au plus haut point que les décisions soient prises en s’appuyant sur les meilleurs avis d’experts disponibles, </w:t>
      </w:r>
      <w:r w:rsidR="00281FD1">
        <w:rPr>
          <w:lang w:val="fr-CA"/>
        </w:rPr>
        <w:t xml:space="preserve">et </w:t>
      </w:r>
      <w:r w:rsidRPr="0099647D">
        <w:rPr>
          <w:lang w:val="fr-CA"/>
        </w:rPr>
        <w:t xml:space="preserve">la nécessité d’éviter ou de gérer, de manière transparente, les conflits d’intérêts. Par ailleurs, au paragraphe 4.4 de la procédure, </w:t>
      </w:r>
      <w:r w:rsidR="0099647D">
        <w:rPr>
          <w:lang w:val="fr-CA"/>
        </w:rPr>
        <w:t>il est précisé que d</w:t>
      </w:r>
      <w:r w:rsidR="0099647D" w:rsidRPr="0099647D">
        <w:rPr>
          <w:lang w:val="fr-CA"/>
        </w:rPr>
        <w:t>ans les situations où les possibilités sont limitées de constituer un groupe d’experts ayant toute la gamme de connaissances spécialisées requises pour lui permettre d’exécuter son mandat de manière efficace sans inclure des experts individuels qui, quoique hautement qualifiés, peuvent se trouver en situation de conflit d’intérêts potentiel, le</w:t>
      </w:r>
      <w:r w:rsidR="0099647D">
        <w:rPr>
          <w:lang w:val="fr-CA"/>
        </w:rPr>
        <w:t xml:space="preserve"> </w:t>
      </w:r>
      <w:r w:rsidR="0099647D" w:rsidRPr="0099647D">
        <w:rPr>
          <w:lang w:val="fr-CA"/>
        </w:rPr>
        <w:t>Bureau, sur les conseils du Secrétariat, peut inclure de tels experts à</w:t>
      </w:r>
      <w:r w:rsidR="0099647D">
        <w:rPr>
          <w:lang w:val="fr-CA"/>
        </w:rPr>
        <w:t xml:space="preserve"> certaines</w:t>
      </w:r>
      <w:r w:rsidR="0099647D" w:rsidRPr="0099647D">
        <w:rPr>
          <w:lang w:val="fr-CA"/>
        </w:rPr>
        <w:t xml:space="preserve"> condition</w:t>
      </w:r>
      <w:r w:rsidR="0099647D">
        <w:rPr>
          <w:lang w:val="fr-CA"/>
        </w:rPr>
        <w:t>s.</w:t>
      </w:r>
      <w:r w:rsidR="001515F3" w:rsidRPr="0099647D">
        <w:rPr>
          <w:spacing w:val="-2"/>
          <w:kern w:val="22"/>
          <w:szCs w:val="22"/>
          <w:lang w:val="fr-CA" w:eastAsia="en-CA"/>
        </w:rPr>
        <w:t xml:space="preserve"> </w:t>
      </w:r>
    </w:p>
    <w:p w:rsidR="00211DBB" w:rsidRPr="00C128D8" w:rsidRDefault="009A2E18" w:rsidP="00C128D8">
      <w:pPr>
        <w:pStyle w:val="Para1"/>
        <w:rPr>
          <w:lang w:val="fr-CA"/>
        </w:rPr>
      </w:pPr>
      <w:r w:rsidRPr="00C128D8">
        <w:rPr>
          <w:lang w:val="fr-CA"/>
        </w:rPr>
        <w:t xml:space="preserve">Dans le cadre de la mise en œuvre de la procédure, </w:t>
      </w:r>
      <w:r w:rsidR="007D528A">
        <w:rPr>
          <w:lang w:val="fr-CA"/>
        </w:rPr>
        <w:t>conformément au</w:t>
      </w:r>
      <w:r w:rsidRPr="00C128D8">
        <w:rPr>
          <w:lang w:val="fr-CA"/>
        </w:rPr>
        <w:t xml:space="preserve"> paragraphe 4.1, les</w:t>
      </w:r>
      <w:r w:rsidR="00C128D8" w:rsidRPr="00C128D8">
        <w:rPr>
          <w:lang w:val="fr-CA"/>
        </w:rPr>
        <w:t xml:space="preserve">  candidatures à un groupe d’experts doivent être accompagnées d’un formulaire de déclaration</w:t>
      </w:r>
      <w:r w:rsidR="00C128D8">
        <w:rPr>
          <w:lang w:val="fr-CA"/>
        </w:rPr>
        <w:t xml:space="preserve"> </w:t>
      </w:r>
      <w:r w:rsidR="00C128D8" w:rsidRPr="00C128D8">
        <w:rPr>
          <w:lang w:val="fr-CA"/>
        </w:rPr>
        <w:t>d’intérêts</w:t>
      </w:r>
      <w:r w:rsidR="00C128D8">
        <w:rPr>
          <w:lang w:val="fr-CA"/>
        </w:rPr>
        <w:t xml:space="preserve">, </w:t>
      </w:r>
      <w:r w:rsidR="002C50E9">
        <w:rPr>
          <w:lang w:val="fr-CA"/>
        </w:rPr>
        <w:t>figurant dans</w:t>
      </w:r>
      <w:r w:rsidR="00C128D8">
        <w:rPr>
          <w:lang w:val="fr-CA"/>
        </w:rPr>
        <w:t xml:space="preserve"> l’appendice à la décision 14/33,</w:t>
      </w:r>
      <w:r w:rsidR="00C128D8" w:rsidRPr="00C128D8">
        <w:rPr>
          <w:lang w:val="fr-CA"/>
        </w:rPr>
        <w:t xml:space="preserve"> dûment rempli et signé par chaque candidat</w:t>
      </w:r>
      <w:r w:rsidR="00E5629B">
        <w:rPr>
          <w:lang w:val="fr-CA"/>
        </w:rPr>
        <w:t xml:space="preserve">. Pour </w:t>
      </w:r>
      <w:r w:rsidR="007D528A">
        <w:rPr>
          <w:lang w:val="fr-CA"/>
        </w:rPr>
        <w:t xml:space="preserve">chaque processus de sélection, le Secrétariat </w:t>
      </w:r>
      <w:r w:rsidR="007D528A" w:rsidRPr="007D528A">
        <w:rPr>
          <w:lang w:val="fr-CA"/>
        </w:rPr>
        <w:t>examine les informations fournies</w:t>
      </w:r>
      <w:r w:rsidR="007D528A">
        <w:rPr>
          <w:lang w:val="fr-CA"/>
        </w:rPr>
        <w:t xml:space="preserve"> dans le </w:t>
      </w:r>
      <w:r w:rsidR="007D528A" w:rsidRPr="00C128D8">
        <w:rPr>
          <w:lang w:val="fr-CA"/>
        </w:rPr>
        <w:t>formulaire de déclaration</w:t>
      </w:r>
      <w:r w:rsidR="007D528A">
        <w:rPr>
          <w:lang w:val="fr-CA"/>
        </w:rPr>
        <w:t xml:space="preserve"> </w:t>
      </w:r>
      <w:r w:rsidR="007D528A" w:rsidRPr="00C128D8">
        <w:rPr>
          <w:lang w:val="fr-CA"/>
        </w:rPr>
        <w:t>d’intérêts</w:t>
      </w:r>
      <w:r w:rsidR="007D528A" w:rsidRPr="007D528A">
        <w:rPr>
          <w:lang w:val="fr-CA"/>
        </w:rPr>
        <w:t xml:space="preserve"> afin d’établir si un conflit d’intérêts existe</w:t>
      </w:r>
      <w:r w:rsidR="007D528A">
        <w:rPr>
          <w:lang w:val="fr-CA"/>
        </w:rPr>
        <w:t>,</w:t>
      </w:r>
      <w:r w:rsidR="007D528A" w:rsidRPr="00073732">
        <w:rPr>
          <w:rStyle w:val="FootnoteReference"/>
          <w:lang w:val="fr-CA"/>
        </w:rPr>
        <w:footnoteReference w:id="5"/>
      </w:r>
      <w:r w:rsidR="007D528A">
        <w:rPr>
          <w:lang w:val="fr-CA"/>
        </w:rPr>
        <w:t xml:space="preserve"> conformément aux étapes énoncées dan</w:t>
      </w:r>
      <w:r w:rsidR="008A61A1">
        <w:rPr>
          <w:lang w:val="fr-CA"/>
        </w:rPr>
        <w:t>s la section 4 de la procédure.</w:t>
      </w:r>
    </w:p>
    <w:p w:rsidR="00211DBB" w:rsidRPr="00073732" w:rsidRDefault="007D528A" w:rsidP="00211DBB">
      <w:pPr>
        <w:pStyle w:val="Para1"/>
        <w:rPr>
          <w:lang w:val="fr-CA"/>
        </w:rPr>
      </w:pPr>
      <w:r>
        <w:rPr>
          <w:lang w:val="fr-CA"/>
        </w:rPr>
        <w:t>Depuis son adoption, en novembre 2018, la procédure a été appliquée dans la sélection d’experts pour sept groupes spéciaux d’experts techniques</w:t>
      </w:r>
      <w:r w:rsidRPr="00073732">
        <w:rPr>
          <w:rStyle w:val="FootnoteReference"/>
          <w:lang w:val="fr-CA"/>
        </w:rPr>
        <w:footnoteReference w:id="6"/>
      </w:r>
      <w:r>
        <w:rPr>
          <w:lang w:val="fr-CA"/>
        </w:rPr>
        <w:t xml:space="preserve"> et un groupe d’experts techniques,</w:t>
      </w:r>
      <w:r w:rsidRPr="00073732">
        <w:rPr>
          <w:rStyle w:val="FootnoteReference"/>
          <w:lang w:val="fr-CA"/>
        </w:rPr>
        <w:footnoteReference w:id="7"/>
      </w:r>
      <w:r>
        <w:rPr>
          <w:lang w:val="fr-CA"/>
        </w:rPr>
        <w:t xml:space="preserve"> et, exceptionnellement, </w:t>
      </w:r>
      <w:r w:rsidR="00120C5B">
        <w:rPr>
          <w:lang w:val="fr-CA"/>
        </w:rPr>
        <w:t>pour quatre comités et groupes consultatifs informels,</w:t>
      </w:r>
      <w:r w:rsidR="00120C5B" w:rsidRPr="00073732">
        <w:rPr>
          <w:rStyle w:val="FootnoteReference"/>
          <w:lang w:val="fr-CA"/>
        </w:rPr>
        <w:footnoteReference w:id="8"/>
      </w:r>
      <w:r>
        <w:rPr>
          <w:lang w:val="fr-CA"/>
        </w:rPr>
        <w:t xml:space="preserve"> </w:t>
      </w:r>
      <w:r w:rsidR="0036387B">
        <w:rPr>
          <w:lang w:val="fr-CA"/>
        </w:rPr>
        <w:t>convoqués dans le cadre de processus au titre de la C</w:t>
      </w:r>
      <w:r w:rsidR="008A61A1">
        <w:rPr>
          <w:lang w:val="fr-CA"/>
        </w:rPr>
        <w:t>onvention et de ses Protocoles.</w:t>
      </w:r>
    </w:p>
    <w:p w:rsidR="008E1AAB" w:rsidRPr="00073732" w:rsidRDefault="00E97E07" w:rsidP="00211DBB">
      <w:pPr>
        <w:pStyle w:val="Para1"/>
        <w:rPr>
          <w:lang w:val="fr-CA"/>
        </w:rPr>
      </w:pPr>
      <w:r>
        <w:rPr>
          <w:lang w:val="fr-CA"/>
        </w:rPr>
        <w:lastRenderedPageBreak/>
        <w:t>Il convient de noter que le Secrétariat prend des mesures pour éviter ou gérer les conflits d’intérêts lorsqu’il s’agit d’attribuer des services (</w:t>
      </w:r>
      <w:r w:rsidR="001A79A6">
        <w:rPr>
          <w:lang w:val="fr-CA"/>
        </w:rPr>
        <w:t>lors, par exemple, de commandes d’études).</w:t>
      </w:r>
      <w:r w:rsidR="008E1AAB" w:rsidRPr="00073732">
        <w:rPr>
          <w:highlight w:val="yellow"/>
          <w:lang w:val="fr-CA"/>
        </w:rPr>
        <w:t xml:space="preserve"> </w:t>
      </w:r>
    </w:p>
    <w:p w:rsidR="006679A6" w:rsidRPr="00073732" w:rsidRDefault="00FF0AE7" w:rsidP="005B3B9D">
      <w:pPr>
        <w:pStyle w:val="Para1"/>
        <w:rPr>
          <w:lang w:val="fr-CA"/>
        </w:rPr>
      </w:pPr>
      <w:r>
        <w:rPr>
          <w:lang w:val="fr-CA"/>
        </w:rPr>
        <w:t>Des</w:t>
      </w:r>
      <w:r w:rsidR="001A79A6">
        <w:rPr>
          <w:lang w:val="fr-CA"/>
        </w:rPr>
        <w:t xml:space="preserve"> conflits d’intérêts</w:t>
      </w:r>
      <w:r>
        <w:rPr>
          <w:lang w:val="fr-CA"/>
        </w:rPr>
        <w:t xml:space="preserve"> potentiels</w:t>
      </w:r>
      <w:r w:rsidR="001A79A6">
        <w:rPr>
          <w:lang w:val="fr-CA"/>
        </w:rPr>
        <w:t xml:space="preserve"> liés aux groupes d’experts ont été </w:t>
      </w:r>
      <w:r w:rsidR="00B51453">
        <w:rPr>
          <w:lang w:val="fr-CA"/>
        </w:rPr>
        <w:t>relevés</w:t>
      </w:r>
      <w:r w:rsidR="001A79A6">
        <w:rPr>
          <w:lang w:val="fr-CA"/>
        </w:rPr>
        <w:t>, o</w:t>
      </w:r>
      <w:r>
        <w:rPr>
          <w:lang w:val="fr-CA"/>
        </w:rPr>
        <w:t>u</w:t>
      </w:r>
      <w:r w:rsidR="001A79A6">
        <w:rPr>
          <w:lang w:val="fr-CA"/>
        </w:rPr>
        <w:t xml:space="preserve"> l’attention du Secrétariat a été</w:t>
      </w:r>
      <w:r w:rsidR="00B51453">
        <w:rPr>
          <w:lang w:val="fr-CA"/>
        </w:rPr>
        <w:t xml:space="preserve"> </w:t>
      </w:r>
      <w:r>
        <w:rPr>
          <w:lang w:val="fr-CA"/>
        </w:rPr>
        <w:t>portée</w:t>
      </w:r>
      <w:r w:rsidR="00B51453">
        <w:rPr>
          <w:lang w:val="fr-CA"/>
        </w:rPr>
        <w:t xml:space="preserve"> sur des conflits d’intérêts potentiels, dans au moins quatre cas, </w:t>
      </w:r>
      <w:r>
        <w:rPr>
          <w:lang w:val="fr-CA"/>
        </w:rPr>
        <w:t>comme</w:t>
      </w:r>
      <w:r w:rsidR="00B51453">
        <w:rPr>
          <w:lang w:val="fr-CA"/>
        </w:rPr>
        <w:t xml:space="preserve"> </w:t>
      </w:r>
      <w:r>
        <w:rPr>
          <w:lang w:val="fr-CA"/>
        </w:rPr>
        <w:t xml:space="preserve">décrit </w:t>
      </w:r>
      <w:r w:rsidR="00B51453">
        <w:rPr>
          <w:lang w:val="fr-CA"/>
        </w:rPr>
        <w:t>ci-après.</w:t>
      </w:r>
    </w:p>
    <w:p w:rsidR="00391865" w:rsidRPr="00073732" w:rsidRDefault="0039758F" w:rsidP="00BC00D2">
      <w:pPr>
        <w:pStyle w:val="Heading2"/>
        <w:rPr>
          <w:lang w:val="fr-CA"/>
        </w:rPr>
      </w:pPr>
      <w:r w:rsidRPr="00073732">
        <w:rPr>
          <w:lang w:val="fr-CA"/>
        </w:rPr>
        <w:t>A.</w:t>
      </w:r>
      <w:r w:rsidRPr="00073732">
        <w:rPr>
          <w:lang w:val="fr-CA"/>
        </w:rPr>
        <w:tab/>
      </w:r>
      <w:r w:rsidR="0041499E">
        <w:rPr>
          <w:lang w:val="fr-CA"/>
        </w:rPr>
        <w:t>Cas de conflits d’intérêts potentiels et la manière dont ils ont été gérés</w:t>
      </w:r>
    </w:p>
    <w:p w:rsidR="00C13C3A" w:rsidRPr="00073732" w:rsidRDefault="0041499E" w:rsidP="00BC00D2">
      <w:pPr>
        <w:pStyle w:val="Heading3"/>
        <w:rPr>
          <w:lang w:val="fr-CA"/>
        </w:rPr>
      </w:pPr>
      <w:r>
        <w:rPr>
          <w:lang w:val="fr-CA"/>
        </w:rPr>
        <w:t>Conflits d’intérêts potentiels relevés dès le début, et les e</w:t>
      </w:r>
      <w:r w:rsidR="006E563A">
        <w:rPr>
          <w:lang w:val="fr-CA"/>
        </w:rPr>
        <w:t>xperts ne sont pas sélectionnés</w:t>
      </w:r>
    </w:p>
    <w:p w:rsidR="00704638" w:rsidRPr="00073732" w:rsidRDefault="00FF0AE7" w:rsidP="00704638">
      <w:pPr>
        <w:pStyle w:val="Para1"/>
        <w:rPr>
          <w:lang w:val="fr-CA"/>
        </w:rPr>
      </w:pPr>
      <w:bookmarkStart w:id="2" w:name="_Hlk158570161"/>
      <w:r>
        <w:rPr>
          <w:lang w:val="fr-CA"/>
        </w:rPr>
        <w:t>Dans deux cas</w:t>
      </w:r>
      <w:r w:rsidR="00DF22C3" w:rsidRPr="00073732">
        <w:rPr>
          <w:lang w:val="fr-CA"/>
        </w:rPr>
        <w:t>,</w:t>
      </w:r>
      <w:r w:rsidR="00704638" w:rsidRPr="00073732">
        <w:rPr>
          <w:rStyle w:val="FootnoteReference"/>
          <w:lang w:val="fr-CA"/>
        </w:rPr>
        <w:footnoteReference w:id="9"/>
      </w:r>
      <w:r w:rsidR="00704638" w:rsidRPr="00073732">
        <w:rPr>
          <w:lang w:val="fr-CA"/>
        </w:rPr>
        <w:t xml:space="preserve"> </w:t>
      </w:r>
      <w:r w:rsidR="009D10FC">
        <w:rPr>
          <w:lang w:val="fr-CA"/>
        </w:rPr>
        <w:t>l</w:t>
      </w:r>
      <w:r>
        <w:rPr>
          <w:lang w:val="fr-CA"/>
        </w:rPr>
        <w:t xml:space="preserve">es candidats ont déclaré des intérêts </w:t>
      </w:r>
      <w:r w:rsidR="00401E9A">
        <w:rPr>
          <w:lang w:val="fr-CA"/>
        </w:rPr>
        <w:t>jugés être</w:t>
      </w:r>
      <w:r>
        <w:rPr>
          <w:lang w:val="fr-CA"/>
        </w:rPr>
        <w:t xml:space="preserve"> des conflits d’intérêts potentiels, car ils pourraient raisonnablement porter à croire que l’objectivité des</w:t>
      </w:r>
      <w:r w:rsidR="00401E9A">
        <w:rPr>
          <w:lang w:val="fr-CA"/>
        </w:rPr>
        <w:t xml:space="preserve"> candidats dans l’exercice de leurs fonctions et responsabilités pour le groupe d’experts en question pourrait être sujette à caution, ou qu’un</w:t>
      </w:r>
      <w:r w:rsidR="00AF5635">
        <w:rPr>
          <w:lang w:val="fr-CA"/>
        </w:rPr>
        <w:t xml:space="preserve">e personne ou une organisation serait </w:t>
      </w:r>
      <w:r w:rsidR="00401E9A">
        <w:rPr>
          <w:lang w:val="fr-CA"/>
        </w:rPr>
        <w:t>avantag</w:t>
      </w:r>
      <w:r w:rsidR="00AF5635">
        <w:rPr>
          <w:lang w:val="fr-CA"/>
        </w:rPr>
        <w:t>ée de manière indue.</w:t>
      </w:r>
      <w:r w:rsidR="00401E9A" w:rsidRPr="00073732">
        <w:rPr>
          <w:rStyle w:val="FootnoteReference"/>
          <w:lang w:val="fr-CA"/>
        </w:rPr>
        <w:footnoteReference w:id="10"/>
      </w:r>
      <w:r w:rsidR="00401E9A">
        <w:rPr>
          <w:lang w:val="fr-CA"/>
        </w:rPr>
        <w:t xml:space="preserve"> </w:t>
      </w:r>
      <w:r w:rsidR="00EF084A">
        <w:rPr>
          <w:lang w:val="fr-CA"/>
        </w:rPr>
        <w:t>Cela a été pris en compte dans la proposition de composition du groupe d’experts, et les candidats concernés n’ont pas été retenus</w:t>
      </w:r>
      <w:r w:rsidR="00927E7E">
        <w:rPr>
          <w:lang w:val="fr-CA"/>
        </w:rPr>
        <w:t>.</w:t>
      </w:r>
    </w:p>
    <w:p w:rsidR="00950926" w:rsidRPr="00073732" w:rsidRDefault="004E08AB" w:rsidP="00BC00D2">
      <w:pPr>
        <w:pStyle w:val="Heading3"/>
        <w:rPr>
          <w:lang w:val="fr-CA"/>
        </w:rPr>
      </w:pPr>
      <w:r>
        <w:rPr>
          <w:lang w:val="fr-CA"/>
        </w:rPr>
        <w:t>Conflits d’intérêts potentiels identifiés plus tard, et les experts sont exclus des discussions et prises de décisions pertinentes</w:t>
      </w:r>
    </w:p>
    <w:p w:rsidR="00D13B6B" w:rsidRPr="00B1680E" w:rsidRDefault="00921764" w:rsidP="00B1680E">
      <w:pPr>
        <w:pStyle w:val="Para1"/>
        <w:rPr>
          <w:lang w:val="fr-CA"/>
        </w:rPr>
      </w:pPr>
      <w:r w:rsidRPr="00B1680E">
        <w:rPr>
          <w:lang w:val="fr-CA"/>
        </w:rPr>
        <w:t>Au paragraphe 2.4 de la procédure, il est prévu que</w:t>
      </w:r>
      <w:r w:rsidR="00B1680E" w:rsidRPr="00B1680E">
        <w:rPr>
          <w:lang w:val="fr-CA"/>
        </w:rPr>
        <w:t xml:space="preserve"> lorsqu’un expert qui est déjà membre d’un groupe d’experts se trouve en situation de conflit d’intérêts potentiel en raison d’un changement de circonstances pouvant avoir une incidence sur </w:t>
      </w:r>
      <w:r w:rsidR="00B1680E">
        <w:rPr>
          <w:lang w:val="fr-CA"/>
        </w:rPr>
        <w:t>l</w:t>
      </w:r>
      <w:r w:rsidR="00B1680E" w:rsidRPr="00B1680E">
        <w:rPr>
          <w:lang w:val="fr-CA"/>
        </w:rPr>
        <w:t>’indépendance de sa contribution aux travaux du groupe d’experts, cet expert informe le</w:t>
      </w:r>
      <w:r w:rsidR="00B1680E">
        <w:rPr>
          <w:lang w:val="fr-CA"/>
        </w:rPr>
        <w:t xml:space="preserve"> </w:t>
      </w:r>
      <w:r w:rsidR="00B1680E" w:rsidRPr="00B1680E">
        <w:rPr>
          <w:lang w:val="fr-CA"/>
        </w:rPr>
        <w:t>Secrétariat et le président du groupe d’experts immédiatement de la situation</w:t>
      </w:r>
      <w:r w:rsidR="00B1680E">
        <w:rPr>
          <w:lang w:val="fr-CA"/>
        </w:rPr>
        <w:t>.</w:t>
      </w:r>
      <w:r w:rsidR="00B1680E" w:rsidRPr="00B1680E">
        <w:rPr>
          <w:lang w:val="fr-CA"/>
        </w:rPr>
        <w:t xml:space="preserve"> </w:t>
      </w:r>
      <w:r w:rsidR="00B1680E">
        <w:rPr>
          <w:lang w:val="fr-CA"/>
        </w:rPr>
        <w:t>D</w:t>
      </w:r>
      <w:r w:rsidR="001734E1" w:rsidRPr="00B1680E">
        <w:rPr>
          <w:lang w:val="fr-CA"/>
        </w:rPr>
        <w:t>ans</w:t>
      </w:r>
      <w:r w:rsidRPr="00B1680E">
        <w:rPr>
          <w:lang w:val="fr-CA"/>
        </w:rPr>
        <w:t xml:space="preserve"> </w:t>
      </w:r>
      <w:r w:rsidR="001734E1" w:rsidRPr="00B1680E">
        <w:rPr>
          <w:lang w:val="fr-CA"/>
        </w:rPr>
        <w:t>l</w:t>
      </w:r>
      <w:r w:rsidR="00B1680E">
        <w:rPr>
          <w:lang w:val="fr-CA"/>
        </w:rPr>
        <w:t>e cas d</w:t>
      </w:r>
      <w:r w:rsidR="001734E1" w:rsidRPr="00B1680E">
        <w:rPr>
          <w:lang w:val="fr-CA"/>
        </w:rPr>
        <w:t xml:space="preserve">’un des </w:t>
      </w:r>
      <w:r w:rsidRPr="00B1680E">
        <w:rPr>
          <w:lang w:val="fr-CA"/>
        </w:rPr>
        <w:t>groupe</w:t>
      </w:r>
      <w:r w:rsidR="001734E1" w:rsidRPr="00B1680E">
        <w:rPr>
          <w:lang w:val="fr-CA"/>
        </w:rPr>
        <w:t>s</w:t>
      </w:r>
      <w:r w:rsidRPr="00B1680E">
        <w:rPr>
          <w:lang w:val="fr-CA"/>
        </w:rPr>
        <w:t>,</w:t>
      </w:r>
      <w:r w:rsidRPr="00073732">
        <w:rPr>
          <w:rStyle w:val="FootnoteReference"/>
          <w:lang w:val="fr-CA"/>
        </w:rPr>
        <w:footnoteReference w:id="11"/>
      </w:r>
      <w:r w:rsidRPr="00B1680E">
        <w:rPr>
          <w:lang w:val="fr-CA"/>
        </w:rPr>
        <w:t xml:space="preserve"> après </w:t>
      </w:r>
      <w:r w:rsidR="009B1612" w:rsidRPr="00B1680E">
        <w:rPr>
          <w:lang w:val="fr-CA"/>
        </w:rPr>
        <w:t>qu’il ait</w:t>
      </w:r>
      <w:r w:rsidR="0051593E">
        <w:rPr>
          <w:lang w:val="fr-CA"/>
        </w:rPr>
        <w:t xml:space="preserve"> été</w:t>
      </w:r>
      <w:r w:rsidR="009B1612" w:rsidRPr="00B1680E">
        <w:rPr>
          <w:lang w:val="fr-CA"/>
        </w:rPr>
        <w:t xml:space="preserve"> </w:t>
      </w:r>
      <w:r w:rsidR="00A95E77" w:rsidRPr="00B1680E">
        <w:rPr>
          <w:lang w:val="fr-CA"/>
        </w:rPr>
        <w:t>établi que certains membres étaient confrontés à des conflits d’intérêts potentiels</w:t>
      </w:r>
      <w:r w:rsidR="005159AF" w:rsidRPr="00B1680E">
        <w:rPr>
          <w:lang w:val="fr-CA"/>
        </w:rPr>
        <w:t xml:space="preserve"> sur des questions spécifiques</w:t>
      </w:r>
      <w:r w:rsidR="009B1612" w:rsidRPr="00B1680E">
        <w:rPr>
          <w:lang w:val="fr-CA"/>
        </w:rPr>
        <w:t xml:space="preserve"> à l’étude, les membres en question se sont récusés et retirés des discussions et prises de décisions concernant ces questions spécifiques uniquement.</w:t>
      </w:r>
    </w:p>
    <w:p w:rsidR="00E0277F" w:rsidRPr="00073732" w:rsidRDefault="001734E1" w:rsidP="00BC00D2">
      <w:pPr>
        <w:pStyle w:val="Heading3"/>
        <w:rPr>
          <w:lang w:val="fr-CA"/>
        </w:rPr>
      </w:pPr>
      <w:r>
        <w:rPr>
          <w:lang w:val="fr-CA"/>
        </w:rPr>
        <w:t>Allégations par des tiers de conflits d’intérêts potentiels</w:t>
      </w:r>
      <w:r w:rsidR="000029DB" w:rsidRPr="00073732">
        <w:rPr>
          <w:lang w:val="fr-CA"/>
        </w:rPr>
        <w:t xml:space="preserve"> </w:t>
      </w:r>
    </w:p>
    <w:bookmarkEnd w:id="2"/>
    <w:p w:rsidR="00BC0D87" w:rsidRPr="00B1680E" w:rsidRDefault="00B1680E" w:rsidP="00B1680E">
      <w:pPr>
        <w:pStyle w:val="Para1"/>
        <w:rPr>
          <w:lang w:val="fr-CA"/>
        </w:rPr>
      </w:pPr>
      <w:r w:rsidRPr="00B1680E">
        <w:rPr>
          <w:lang w:val="fr-CA"/>
        </w:rPr>
        <w:t xml:space="preserve">Conformément au paragraphe 1.5 de la procédure, </w:t>
      </w:r>
      <w:r>
        <w:rPr>
          <w:lang w:val="fr-CA"/>
        </w:rPr>
        <w:t>l</w:t>
      </w:r>
      <w:r w:rsidRPr="00B1680E">
        <w:rPr>
          <w:lang w:val="fr-CA"/>
        </w:rPr>
        <w:t>e simple fait qu’un expert désigné soit affilié à une entité administrative, éducative, de recherche,</w:t>
      </w:r>
      <w:r>
        <w:rPr>
          <w:lang w:val="fr-CA"/>
        </w:rPr>
        <w:t xml:space="preserve"> </w:t>
      </w:r>
      <w:r w:rsidRPr="00B1680E">
        <w:rPr>
          <w:lang w:val="fr-CA"/>
        </w:rPr>
        <w:t>ou de développement scientifique et technique appartenant au secteur public ne peut être interprété à priori comme indiquant un conflit d’intérêts, mais cette affiliation devrait être mentionnée dans le</w:t>
      </w:r>
      <w:r>
        <w:rPr>
          <w:lang w:val="fr-CA"/>
        </w:rPr>
        <w:t xml:space="preserve"> </w:t>
      </w:r>
      <w:r w:rsidRPr="00B1680E">
        <w:rPr>
          <w:lang w:val="fr-CA"/>
        </w:rPr>
        <w:t>formulaire de déclaration de conflit d’intérêts</w:t>
      </w:r>
      <w:r>
        <w:rPr>
          <w:lang w:val="fr-CA"/>
        </w:rPr>
        <w:t>. Dans un cas,</w:t>
      </w:r>
      <w:r w:rsidRPr="00073732">
        <w:rPr>
          <w:rStyle w:val="FootnoteReference"/>
          <w:lang w:val="fr-CA"/>
        </w:rPr>
        <w:footnoteReference w:id="12"/>
      </w:r>
      <w:r w:rsidRPr="00B1680E">
        <w:rPr>
          <w:lang w:val="fr-CA"/>
        </w:rPr>
        <w:t xml:space="preserve"> </w:t>
      </w:r>
      <w:r w:rsidR="00874EB1">
        <w:rPr>
          <w:lang w:val="fr-CA"/>
        </w:rPr>
        <w:t>bien que le candidat n’ait pas déclaré d’affiliation à une entité pertinente de recherche et de développement scientifique dans le formulaire, la lettre de nomination indiquait l’affiliation du candidat à cette entité. Le candidat a été retenu comme membre du groupe d’experts en question. Par la suite, un observateur (une organisation de la société civile) a demandé plus d’informations au Secrétariat</w:t>
      </w:r>
      <w:r w:rsidR="00927E7E">
        <w:rPr>
          <w:lang w:val="fr-CA"/>
        </w:rPr>
        <w:t xml:space="preserve"> au sujet de l’expert concerné.</w:t>
      </w:r>
    </w:p>
    <w:p w:rsidR="00BC0D87" w:rsidRPr="00073732" w:rsidRDefault="00874EB1" w:rsidP="00D834C5">
      <w:pPr>
        <w:pStyle w:val="Para1"/>
        <w:rPr>
          <w:lang w:val="fr-CA"/>
        </w:rPr>
      </w:pPr>
      <w:r>
        <w:rPr>
          <w:lang w:val="fr-CA"/>
        </w:rPr>
        <w:t xml:space="preserve">Dans sa réponse, le Secrétariat a décrit le processus qui avait mené à l’élection de l’expert en question et </w:t>
      </w:r>
      <w:r w:rsidR="008262A4">
        <w:rPr>
          <w:lang w:val="fr-CA"/>
        </w:rPr>
        <w:t>partagé une copie du formulaire</w:t>
      </w:r>
      <w:r>
        <w:rPr>
          <w:lang w:val="fr-CA"/>
        </w:rPr>
        <w:t xml:space="preserve"> </w:t>
      </w:r>
      <w:r w:rsidR="008262A4" w:rsidRPr="00B1680E">
        <w:rPr>
          <w:lang w:val="fr-CA"/>
        </w:rPr>
        <w:t>de déclaration de conflit d’intérêts</w:t>
      </w:r>
      <w:r w:rsidR="008262A4">
        <w:rPr>
          <w:lang w:val="fr-CA"/>
        </w:rPr>
        <w:t>, dûment signé et présenté par l’expert concerné. L’expert n’avait identifié aucun conflit d’intérêt potentiel, malgré son affiliation avec l’entité proposant sa candidature, qui gérait (comme précisé en détail dans la lettre de nomination) un projet de recherche qui avait un rapport avec le sujet traité par le groupe d’experts. Après ces échan</w:t>
      </w:r>
      <w:r w:rsidR="0037460D">
        <w:rPr>
          <w:lang w:val="fr-CA"/>
        </w:rPr>
        <w:t>ges, l’observateur susmentionné</w:t>
      </w:r>
      <w:r w:rsidR="008262A4">
        <w:rPr>
          <w:lang w:val="fr-CA"/>
        </w:rPr>
        <w:t xml:space="preserve"> </w:t>
      </w:r>
      <w:r w:rsidR="008862BB">
        <w:rPr>
          <w:lang w:val="fr-CA"/>
        </w:rPr>
        <w:t>et</w:t>
      </w:r>
      <w:r w:rsidR="0037460D">
        <w:rPr>
          <w:lang w:val="fr-CA"/>
        </w:rPr>
        <w:t xml:space="preserve"> </w:t>
      </w:r>
      <w:r w:rsidR="008262A4">
        <w:rPr>
          <w:lang w:val="fr-CA"/>
        </w:rPr>
        <w:t>d’autres org</w:t>
      </w:r>
      <w:r w:rsidR="0037460D">
        <w:rPr>
          <w:lang w:val="fr-CA"/>
        </w:rPr>
        <w:t xml:space="preserve">anisations de la société </w:t>
      </w:r>
      <w:r w:rsidR="0037460D">
        <w:rPr>
          <w:lang w:val="fr-CA"/>
        </w:rPr>
        <w:lastRenderedPageBreak/>
        <w:t>civile</w:t>
      </w:r>
      <w:r w:rsidR="008262A4">
        <w:rPr>
          <w:lang w:val="fr-CA"/>
        </w:rPr>
        <w:t xml:space="preserve"> </w:t>
      </w:r>
      <w:r w:rsidR="0037460D">
        <w:rPr>
          <w:lang w:val="fr-CA"/>
        </w:rPr>
        <w:t>ont</w:t>
      </w:r>
      <w:r w:rsidR="008262A4">
        <w:rPr>
          <w:lang w:val="fr-CA"/>
        </w:rPr>
        <w:t xml:space="preserve"> for</w:t>
      </w:r>
      <w:r w:rsidR="0037460D">
        <w:rPr>
          <w:lang w:val="fr-CA"/>
        </w:rPr>
        <w:t>mellement exprimé leurs</w:t>
      </w:r>
      <w:r w:rsidR="008262A4">
        <w:rPr>
          <w:lang w:val="fr-CA"/>
        </w:rPr>
        <w:t xml:space="preserve"> préoccupations </w:t>
      </w:r>
      <w:r w:rsidR="0037460D">
        <w:rPr>
          <w:lang w:val="fr-CA"/>
        </w:rPr>
        <w:t>quant à</w:t>
      </w:r>
      <w:r w:rsidR="008262A4">
        <w:rPr>
          <w:lang w:val="fr-CA"/>
        </w:rPr>
        <w:t xml:space="preserve"> un conflit d’intérêts potentiel</w:t>
      </w:r>
      <w:r w:rsidR="00CE517A">
        <w:rPr>
          <w:lang w:val="fr-CA"/>
        </w:rPr>
        <w:t xml:space="preserve"> découlant de l’affiliation de l’expert avec l’entité en question</w:t>
      </w:r>
      <w:r w:rsidR="00480D81">
        <w:rPr>
          <w:lang w:val="fr-CA"/>
        </w:rPr>
        <w:t>.</w:t>
      </w:r>
      <w:r w:rsidR="00497F5C" w:rsidRPr="00073732">
        <w:rPr>
          <w:highlight w:val="yellow"/>
          <w:lang w:val="fr-CA"/>
        </w:rPr>
        <w:t xml:space="preserve"> </w:t>
      </w:r>
    </w:p>
    <w:p w:rsidR="00AA17B4" w:rsidRPr="00073732" w:rsidRDefault="008862BB" w:rsidP="00D834C5">
      <w:pPr>
        <w:pStyle w:val="Para1"/>
        <w:rPr>
          <w:lang w:val="fr-CA"/>
        </w:rPr>
      </w:pPr>
      <w:r>
        <w:rPr>
          <w:lang w:val="fr-CA"/>
        </w:rPr>
        <w:t xml:space="preserve">Dans leur soumission, les organisations de la société civile ont fait valoir </w:t>
      </w:r>
      <w:r w:rsidR="00AB0476">
        <w:rPr>
          <w:lang w:val="fr-CA"/>
        </w:rPr>
        <w:t>qu’un argument</w:t>
      </w:r>
      <w:r w:rsidR="007640BA">
        <w:rPr>
          <w:lang w:val="fr-CA"/>
        </w:rPr>
        <w:t xml:space="preserve"> </w:t>
      </w:r>
      <w:r w:rsidR="00AB0476">
        <w:rPr>
          <w:noProof/>
          <w:lang w:val="fr-CA"/>
        </w:rPr>
        <w:t>prima facie</w:t>
      </w:r>
      <w:r w:rsidR="00AB0476">
        <w:rPr>
          <w:lang w:val="fr-CA"/>
        </w:rPr>
        <w:t xml:space="preserve"> pourrait être présenté</w:t>
      </w:r>
      <w:r w:rsidR="00123BC0">
        <w:rPr>
          <w:lang w:val="fr-CA"/>
        </w:rPr>
        <w:t>,</w:t>
      </w:r>
      <w:r w:rsidR="00AB0476">
        <w:rPr>
          <w:lang w:val="fr-CA"/>
        </w:rPr>
        <w:t xml:space="preserve"> établissant que l’expert concerné aurait dû divulguer sa situation, qui aurait pu être perçue comme affectant l’objectivité et l’indépendance de sa contribution, </w:t>
      </w:r>
      <w:r w:rsidR="00123BC0">
        <w:rPr>
          <w:lang w:val="fr-CA"/>
        </w:rPr>
        <w:t>affectant ainsi le résultat des travaux du groupe d’experts en question. Ils ont demandé, conformément aux paragraphes 4.4 et 4.5 de la procédure, que l’affaire soit portée à l’attention du Bureau pertinent pour ses conseils, ainsi qu’à l’attention des autres membres du groupe</w:t>
      </w:r>
      <w:r w:rsidR="00B078AD">
        <w:rPr>
          <w:lang w:val="fr-CA"/>
        </w:rPr>
        <w:t xml:space="preserve"> d’experts par souci de transparence.</w:t>
      </w:r>
      <w:r w:rsidR="00AB0476">
        <w:rPr>
          <w:lang w:val="fr-CA"/>
        </w:rPr>
        <w:t xml:space="preserve"> </w:t>
      </w:r>
      <w:r w:rsidR="00B078AD">
        <w:rPr>
          <w:lang w:val="fr-CA"/>
        </w:rPr>
        <w:t>Ils ont également demandé que des mesures soient prises pour gérer</w:t>
      </w:r>
      <w:r w:rsidR="00AB0476">
        <w:rPr>
          <w:lang w:val="fr-CA"/>
        </w:rPr>
        <w:t xml:space="preserve"> </w:t>
      </w:r>
      <w:r w:rsidR="00B078AD">
        <w:rPr>
          <w:lang w:val="fr-CA"/>
        </w:rPr>
        <w:t>les conflits d’intérêts potentiels, y compris la possibilité que l’expert se récuse.</w:t>
      </w:r>
      <w:r w:rsidR="00AB0476">
        <w:rPr>
          <w:lang w:val="fr-CA"/>
        </w:rPr>
        <w:t xml:space="preserve"> </w:t>
      </w:r>
      <w:r w:rsidR="00B078AD">
        <w:rPr>
          <w:lang w:val="fr-CA"/>
        </w:rPr>
        <w:t>Le Secrétariat a par la suite informé le président du groupe d’experts de la situation. Le président a tenu des discussions avec l’expert concerné et les organisations de la société civile et est parvenu à un accord</w:t>
      </w:r>
      <w:r w:rsidR="00433EB8">
        <w:rPr>
          <w:lang w:val="fr-CA"/>
        </w:rPr>
        <w:t xml:space="preserve"> avec eux</w:t>
      </w:r>
      <w:r w:rsidR="00B078AD">
        <w:rPr>
          <w:lang w:val="fr-CA"/>
        </w:rPr>
        <w:t xml:space="preserve"> sur la manière de gérer tout conflit d’intérêts </w:t>
      </w:r>
      <w:r w:rsidR="009309B1">
        <w:rPr>
          <w:lang w:val="fr-CA"/>
        </w:rPr>
        <w:t>en la matière, conformément au paragraphe 4.4 de la procédure. Le Bureau pertinent a été informé de la question par l’intermédiaire de son président.</w:t>
      </w:r>
    </w:p>
    <w:p w:rsidR="00615B2D" w:rsidRPr="00073732" w:rsidRDefault="0039758F" w:rsidP="00BC00D2">
      <w:pPr>
        <w:pStyle w:val="Heading2"/>
        <w:rPr>
          <w:lang w:val="fr-CA"/>
        </w:rPr>
      </w:pPr>
      <w:r w:rsidRPr="00073732">
        <w:rPr>
          <w:lang w:val="fr-CA"/>
        </w:rPr>
        <w:t>B.</w:t>
      </w:r>
      <w:r w:rsidRPr="00073732">
        <w:rPr>
          <w:lang w:val="fr-CA"/>
        </w:rPr>
        <w:tab/>
      </w:r>
      <w:r w:rsidR="00D20B51">
        <w:rPr>
          <w:lang w:val="fr-CA"/>
        </w:rPr>
        <w:t>Défis et enseignements tirés</w:t>
      </w:r>
    </w:p>
    <w:p w:rsidR="00BE1F5D" w:rsidRPr="00073732" w:rsidRDefault="00D20B51" w:rsidP="00D834C5">
      <w:pPr>
        <w:pStyle w:val="Para1"/>
        <w:rPr>
          <w:lang w:val="fr-CA"/>
        </w:rPr>
      </w:pPr>
      <w:r>
        <w:rPr>
          <w:lang w:val="fr-CA"/>
        </w:rPr>
        <w:t xml:space="preserve">Dans l’ensemble, la procédure s’est révélée très utile pour renforcer l’intégrité et l’objectivité des groupes d’experts dans leurs travaux. Bien que la procédure ait apporté de la transparence à l’examen des candidatures et </w:t>
      </w:r>
      <w:r w:rsidR="003C6EC1">
        <w:rPr>
          <w:lang w:val="fr-CA"/>
        </w:rPr>
        <w:t xml:space="preserve">à </w:t>
      </w:r>
      <w:r>
        <w:rPr>
          <w:lang w:val="fr-CA"/>
        </w:rPr>
        <w:t xml:space="preserve">la désignation des membres des groupes d’experts, son application à des processus au titre de la Convention et de ses Protocoles est encore assez nouvelle. </w:t>
      </w:r>
      <w:r w:rsidR="00480D81">
        <w:rPr>
          <w:lang w:val="fr-CA"/>
        </w:rPr>
        <w:t>Comme on pouvai</w:t>
      </w:r>
      <w:r w:rsidR="00667156">
        <w:rPr>
          <w:lang w:val="fr-CA"/>
        </w:rPr>
        <w:t xml:space="preserve">t raisonnablement s’y attendre, quelques </w:t>
      </w:r>
      <w:r w:rsidR="00F11B8C">
        <w:rPr>
          <w:lang w:val="fr-CA"/>
        </w:rPr>
        <w:t>problèmes ont surgi dans le cadre de la mise en œuvre de la procédure,</w:t>
      </w:r>
      <w:r>
        <w:rPr>
          <w:lang w:val="fr-CA"/>
        </w:rPr>
        <w:t xml:space="preserve"> </w:t>
      </w:r>
      <w:r w:rsidR="00F11B8C">
        <w:rPr>
          <w:lang w:val="fr-CA"/>
        </w:rPr>
        <w:t>comme il ressort de ce qui suit.</w:t>
      </w:r>
    </w:p>
    <w:p w:rsidR="002223B6" w:rsidRPr="00073732" w:rsidRDefault="009546AE" w:rsidP="00BC00D2">
      <w:pPr>
        <w:pStyle w:val="Heading3"/>
        <w:numPr>
          <w:ilvl w:val="0"/>
          <w:numId w:val="28"/>
        </w:numPr>
        <w:ind w:left="567" w:hanging="567"/>
        <w:rPr>
          <w:lang w:val="fr-CA"/>
        </w:rPr>
      </w:pPr>
      <w:r>
        <w:rPr>
          <w:noProof/>
          <w:lang w:val="fr-CA"/>
        </w:rPr>
        <w:t>Non</w:t>
      </w:r>
      <w:r>
        <w:rPr>
          <w:noProof/>
          <w:lang w:val="fr-CA"/>
        </w:rPr>
        <w:noBreakHyphen/>
        <w:t xml:space="preserve">soumission des formulaires </w:t>
      </w:r>
      <w:r w:rsidRPr="00B1680E">
        <w:rPr>
          <w:noProof/>
          <w:lang w:val="fr-CA"/>
        </w:rPr>
        <w:t>de déclaration</w:t>
      </w:r>
      <w:r w:rsidRPr="00B1680E">
        <w:rPr>
          <w:lang w:val="fr-CA"/>
        </w:rPr>
        <w:t xml:space="preserve"> de conflit d’intérêts</w:t>
      </w:r>
    </w:p>
    <w:p w:rsidR="006224D5" w:rsidRPr="00073732" w:rsidRDefault="009546AE" w:rsidP="007833F4">
      <w:pPr>
        <w:pStyle w:val="Para1"/>
        <w:rPr>
          <w:lang w:val="fr-CA"/>
        </w:rPr>
      </w:pPr>
      <w:r>
        <w:rPr>
          <w:lang w:val="fr-CA"/>
        </w:rPr>
        <w:t>Au</w:t>
      </w:r>
      <w:r w:rsidR="001855FA" w:rsidRPr="00073732">
        <w:rPr>
          <w:lang w:val="fr-CA"/>
        </w:rPr>
        <w:t xml:space="preserve"> p</w:t>
      </w:r>
      <w:r w:rsidR="006224D5" w:rsidRPr="00073732">
        <w:rPr>
          <w:lang w:val="fr-CA"/>
        </w:rPr>
        <w:t>aragraph</w:t>
      </w:r>
      <w:r>
        <w:rPr>
          <w:lang w:val="fr-CA"/>
        </w:rPr>
        <w:t>e </w:t>
      </w:r>
      <w:r w:rsidR="006224D5" w:rsidRPr="00073732">
        <w:rPr>
          <w:lang w:val="fr-CA"/>
        </w:rPr>
        <w:t>4.1</w:t>
      </w:r>
      <w:r>
        <w:rPr>
          <w:lang w:val="fr-CA"/>
        </w:rPr>
        <w:t xml:space="preserve"> de la procédure, il est indiqué que les </w:t>
      </w:r>
      <w:r w:rsidRPr="00DE30F2">
        <w:rPr>
          <w:kern w:val="22"/>
          <w:szCs w:val="22"/>
          <w:lang w:val="fr-CA"/>
        </w:rPr>
        <w:t>candidatures à un groupe d’experts doivent être accompagnées d’un formulaire de déclaration d’intérêts dûment rempli et signé par chaque candidat</w:t>
      </w:r>
      <w:r>
        <w:rPr>
          <w:kern w:val="22"/>
          <w:szCs w:val="22"/>
          <w:lang w:val="fr-CA"/>
        </w:rPr>
        <w:t xml:space="preserve">. Toutefois, dans </w:t>
      </w:r>
      <w:r w:rsidR="00E128EF">
        <w:rPr>
          <w:kern w:val="22"/>
          <w:szCs w:val="22"/>
          <w:lang w:val="fr-CA"/>
        </w:rPr>
        <w:t>quelque</w:t>
      </w:r>
      <w:r>
        <w:rPr>
          <w:kern w:val="22"/>
          <w:szCs w:val="22"/>
          <w:lang w:val="fr-CA"/>
        </w:rPr>
        <w:t xml:space="preserve">s cas, bien que dans la notification invitant les mises en candidature à un groupe d’experts cette obligation </w:t>
      </w:r>
      <w:r w:rsidR="00E128EF">
        <w:rPr>
          <w:kern w:val="22"/>
          <w:szCs w:val="22"/>
          <w:lang w:val="fr-CA"/>
        </w:rPr>
        <w:t xml:space="preserve">ait </w:t>
      </w:r>
      <w:r>
        <w:rPr>
          <w:kern w:val="22"/>
          <w:szCs w:val="22"/>
          <w:lang w:val="fr-CA"/>
        </w:rPr>
        <w:t>ét</w:t>
      </w:r>
      <w:r w:rsidR="00E128EF">
        <w:rPr>
          <w:kern w:val="22"/>
          <w:szCs w:val="22"/>
          <w:lang w:val="fr-CA"/>
        </w:rPr>
        <w:t>é</w:t>
      </w:r>
      <w:r>
        <w:rPr>
          <w:kern w:val="22"/>
          <w:szCs w:val="22"/>
          <w:lang w:val="fr-CA"/>
        </w:rPr>
        <w:t xml:space="preserve"> expressément indiquée</w:t>
      </w:r>
      <w:r w:rsidR="00E128EF">
        <w:rPr>
          <w:kern w:val="22"/>
          <w:szCs w:val="22"/>
          <w:lang w:val="fr-CA"/>
        </w:rPr>
        <w:t>, certaines candidatures étaient soumises sans la déclaration de conflits d’intérêts. La procédure ne comporte pas de disposition expresse sur la manière dont ces candidatures sans formulaire complété devraient être traitées.</w:t>
      </w:r>
      <w:r>
        <w:rPr>
          <w:kern w:val="22"/>
          <w:szCs w:val="22"/>
          <w:lang w:val="fr-CA"/>
        </w:rPr>
        <w:t xml:space="preserve"> </w:t>
      </w:r>
      <w:r w:rsidR="00E128EF">
        <w:rPr>
          <w:kern w:val="22"/>
          <w:szCs w:val="22"/>
          <w:lang w:val="fr-CA"/>
        </w:rPr>
        <w:t>Dans plusieurs cas, le Secrétariat a relancé les candidats concernés, les invitant à fournir les formulaires manquants.</w:t>
      </w:r>
    </w:p>
    <w:p w:rsidR="006E368B" w:rsidRPr="00073732" w:rsidRDefault="00E128EF" w:rsidP="00BC00D2">
      <w:pPr>
        <w:pStyle w:val="Heading3"/>
        <w:rPr>
          <w:lang w:val="fr-CA"/>
        </w:rPr>
      </w:pPr>
      <w:r>
        <w:rPr>
          <w:lang w:val="fr-CA"/>
        </w:rPr>
        <w:t>D</w:t>
      </w:r>
      <w:r w:rsidR="00B800C0">
        <w:rPr>
          <w:lang w:val="fr-CA"/>
        </w:rPr>
        <w:t>ivulgation</w:t>
      </w:r>
      <w:r w:rsidR="00480D81">
        <w:rPr>
          <w:lang w:val="fr-CA"/>
        </w:rPr>
        <w:t xml:space="preserve"> ou non de conflits d’intérêts</w:t>
      </w:r>
    </w:p>
    <w:p w:rsidR="00C173E8" w:rsidRPr="00073732" w:rsidRDefault="00E128EF" w:rsidP="00BC00D2">
      <w:pPr>
        <w:pStyle w:val="Para1"/>
        <w:rPr>
          <w:lang w:val="fr-CA"/>
        </w:rPr>
      </w:pPr>
      <w:bookmarkStart w:id="3" w:name="_Hlk165165231"/>
      <w:r>
        <w:rPr>
          <w:lang w:val="fr-CA"/>
        </w:rPr>
        <w:t xml:space="preserve">Conformément au </w:t>
      </w:r>
      <w:r w:rsidR="00B8696C" w:rsidRPr="00073732">
        <w:rPr>
          <w:lang w:val="fr-CA"/>
        </w:rPr>
        <w:t>p</w:t>
      </w:r>
      <w:r w:rsidR="008A7F22" w:rsidRPr="00073732">
        <w:rPr>
          <w:lang w:val="fr-CA"/>
        </w:rPr>
        <w:t>aragraph</w:t>
      </w:r>
      <w:r>
        <w:rPr>
          <w:lang w:val="fr-CA"/>
        </w:rPr>
        <w:t>e </w:t>
      </w:r>
      <w:r w:rsidR="00BF4809" w:rsidRPr="00073732">
        <w:rPr>
          <w:lang w:val="fr-CA"/>
        </w:rPr>
        <w:t>4.2</w:t>
      </w:r>
      <w:r>
        <w:rPr>
          <w:lang w:val="fr-CA"/>
        </w:rPr>
        <w:t xml:space="preserve"> de la procédure, </w:t>
      </w:r>
      <w:r w:rsidR="002B3BFA">
        <w:rPr>
          <w:lang w:val="fr-CA"/>
        </w:rPr>
        <w:t xml:space="preserve">le Secrétariat </w:t>
      </w:r>
      <w:r w:rsidRPr="00DE30F2">
        <w:rPr>
          <w:kern w:val="22"/>
          <w:szCs w:val="22"/>
          <w:lang w:val="fr-CA"/>
        </w:rPr>
        <w:t>examine les informations fournies</w:t>
      </w:r>
      <w:r w:rsidR="002B3BFA">
        <w:rPr>
          <w:kern w:val="22"/>
          <w:szCs w:val="22"/>
          <w:lang w:val="fr-CA"/>
        </w:rPr>
        <w:t xml:space="preserve"> dans l</w:t>
      </w:r>
      <w:r w:rsidR="002B3BFA" w:rsidRPr="00DE30F2">
        <w:rPr>
          <w:kern w:val="22"/>
          <w:szCs w:val="22"/>
          <w:lang w:val="fr-CA"/>
        </w:rPr>
        <w:t>es formulaires de déclaration d’intérêts dûment remplis</w:t>
      </w:r>
      <w:r w:rsidR="00D866B2">
        <w:rPr>
          <w:kern w:val="22"/>
          <w:szCs w:val="22"/>
          <w:lang w:val="fr-CA"/>
        </w:rPr>
        <w:t>,</w:t>
      </w:r>
      <w:r w:rsidRPr="00DE30F2">
        <w:rPr>
          <w:kern w:val="22"/>
          <w:szCs w:val="22"/>
          <w:lang w:val="fr-CA"/>
        </w:rPr>
        <w:t xml:space="preserve"> afin d’établir si un conflit d’intérêts existe</w:t>
      </w:r>
      <w:r w:rsidR="002B3BFA">
        <w:rPr>
          <w:kern w:val="22"/>
          <w:szCs w:val="22"/>
          <w:lang w:val="fr-CA"/>
        </w:rPr>
        <w:t>. Cependant, il n’existe pas de mécanisme permettant de vérifier si les déclarations sont complètes ou exactes. L’hypothèse est que chaque expert remplira le formulaire de déclaration de conflits d’intérêts de bonne foi et de manière aussi exacte que possible.</w:t>
      </w:r>
      <w:r>
        <w:rPr>
          <w:lang w:val="fr-CA"/>
        </w:rPr>
        <w:t xml:space="preserve"> </w:t>
      </w:r>
      <w:r w:rsidR="002B3BFA">
        <w:rPr>
          <w:lang w:val="fr-CA"/>
        </w:rPr>
        <w:t>Le formulaire contient une déclaration à cet égard devant être signée par l’expert.</w:t>
      </w:r>
    </w:p>
    <w:bookmarkEnd w:id="3"/>
    <w:p w:rsidR="001306FC" w:rsidRPr="00662A3F" w:rsidRDefault="002B3BFA" w:rsidP="00BC00D2">
      <w:pPr>
        <w:pStyle w:val="Heading3"/>
        <w:rPr>
          <w:lang w:val="fr-CA"/>
        </w:rPr>
      </w:pPr>
      <w:r>
        <w:rPr>
          <w:lang w:val="fr-CA"/>
        </w:rPr>
        <w:t xml:space="preserve">Détermination de conflits </w:t>
      </w:r>
      <w:r w:rsidRPr="00662A3F">
        <w:rPr>
          <w:lang w:val="fr-CA"/>
        </w:rPr>
        <w:t>d’intérêts potentiels</w:t>
      </w:r>
    </w:p>
    <w:p w:rsidR="00B977EC" w:rsidRPr="00073732" w:rsidRDefault="00C75628" w:rsidP="004E1771">
      <w:pPr>
        <w:pStyle w:val="Para1"/>
        <w:rPr>
          <w:lang w:val="fr-CA"/>
        </w:rPr>
      </w:pPr>
      <w:r w:rsidRPr="00662A3F">
        <w:rPr>
          <w:lang w:val="fr-CA"/>
        </w:rPr>
        <w:t>La déterminatio</w:t>
      </w:r>
      <w:r w:rsidR="00E155C7" w:rsidRPr="00662A3F">
        <w:rPr>
          <w:lang w:val="fr-CA"/>
        </w:rPr>
        <w:t xml:space="preserve">n </w:t>
      </w:r>
      <w:r w:rsidRPr="00662A3F">
        <w:rPr>
          <w:lang w:val="fr-CA"/>
        </w:rPr>
        <w:t xml:space="preserve">de conflits d’intérêts potentiels constitue un </w:t>
      </w:r>
      <w:r w:rsidR="00E155C7" w:rsidRPr="00662A3F">
        <w:rPr>
          <w:lang w:val="fr-CA"/>
        </w:rPr>
        <w:t>défi connexe</w:t>
      </w:r>
      <w:r w:rsidRPr="00662A3F">
        <w:rPr>
          <w:lang w:val="fr-CA"/>
        </w:rPr>
        <w:t>. Conformément</w:t>
      </w:r>
      <w:r w:rsidR="00662A3F" w:rsidRPr="00662A3F">
        <w:rPr>
          <w:lang w:val="fr-CA"/>
        </w:rPr>
        <w:t xml:space="preserve"> au</w:t>
      </w:r>
      <w:r w:rsidR="00662A3F">
        <w:rPr>
          <w:lang w:val="fr-CA"/>
        </w:rPr>
        <w:t xml:space="preserve"> paragraphe 1.3 de la procédure, </w:t>
      </w:r>
      <w:r w:rsidR="00662A3F" w:rsidRPr="00DE30F2">
        <w:rPr>
          <w:kern w:val="22"/>
          <w:szCs w:val="22"/>
          <w:lang w:val="fr-CA" w:eastAsia="de-AT"/>
        </w:rPr>
        <w:t>on entend par conflit d’intérêts une situation ou un intérêt actuel qui peut amener une personne à raisonnablement penser que l’objectivité d’un expert dans l’exercice de ses fonctions au sein d’un groupe d’experts spécifique pourrait être compromise, ou qu’un avantage indu pourrait être conféré à toute personne ou organisation</w:t>
      </w:r>
      <w:r w:rsidR="00662A3F">
        <w:rPr>
          <w:kern w:val="22"/>
          <w:szCs w:val="22"/>
          <w:lang w:val="fr-CA" w:eastAsia="de-AT"/>
        </w:rPr>
        <w:t>.</w:t>
      </w:r>
      <w:r w:rsidR="00D110A5" w:rsidRPr="00662A3F">
        <w:rPr>
          <w:lang w:val="fr-CA"/>
        </w:rPr>
        <w:t xml:space="preserve"> </w:t>
      </w:r>
      <w:r w:rsidR="00662A3F">
        <w:rPr>
          <w:lang w:val="fr-CA"/>
        </w:rPr>
        <w:t xml:space="preserve">D’aucuns pourraient juger que la détermination d’un conflit d’intérêts potentiel constitue un exercice subjectif, en particulier </w:t>
      </w:r>
      <w:r w:rsidR="00993078">
        <w:rPr>
          <w:lang w:val="fr-CA"/>
        </w:rPr>
        <w:t>lorsqu’un différend surgit quant à l’existence</w:t>
      </w:r>
      <w:r w:rsidR="008303BE">
        <w:rPr>
          <w:lang w:val="fr-CA"/>
        </w:rPr>
        <w:t xml:space="preserve"> ou non</w:t>
      </w:r>
      <w:r w:rsidR="00993078">
        <w:rPr>
          <w:lang w:val="fr-CA"/>
        </w:rPr>
        <w:t xml:space="preserve"> d’un conflit d’intérêts potentiel.</w:t>
      </w:r>
      <w:r w:rsidR="008303BE">
        <w:rPr>
          <w:lang w:val="fr-CA"/>
        </w:rPr>
        <w:t xml:space="preserve"> Au </w:t>
      </w:r>
      <w:r w:rsidR="008303BE">
        <w:rPr>
          <w:lang w:val="fr-CA"/>
        </w:rPr>
        <w:lastRenderedPageBreak/>
        <w:t xml:space="preserve">titre du paragraphe 4.5 de la procédure, </w:t>
      </w:r>
      <w:r w:rsidR="008303BE">
        <w:rPr>
          <w:szCs w:val="22"/>
          <w:lang w:val="fr-CA"/>
        </w:rPr>
        <w:t>e</w:t>
      </w:r>
      <w:r w:rsidR="008303BE" w:rsidRPr="00DE30F2">
        <w:rPr>
          <w:szCs w:val="22"/>
          <w:lang w:val="fr-CA"/>
        </w:rPr>
        <w:t>n cas de désaccord</w:t>
      </w:r>
      <w:r w:rsidR="008303BE" w:rsidRPr="00073732">
        <w:rPr>
          <w:rStyle w:val="FootnoteReference"/>
          <w:sz w:val="18"/>
          <w:szCs w:val="18"/>
          <w:lang w:val="fr-CA"/>
        </w:rPr>
        <w:footnoteReference w:id="13"/>
      </w:r>
      <w:r w:rsidR="00662A3F">
        <w:rPr>
          <w:lang w:val="fr-CA"/>
        </w:rPr>
        <w:t xml:space="preserve"> </w:t>
      </w:r>
      <w:r w:rsidR="008303BE">
        <w:rPr>
          <w:lang w:val="fr-CA"/>
        </w:rPr>
        <w:t>sur la détermination d’un conflit d’intérêts, le président du groupe d’experts concerné et le Bureau pertinent sont censés fournir des orientations.</w:t>
      </w:r>
      <w:r w:rsidR="00B800C0">
        <w:rPr>
          <w:lang w:val="fr-CA"/>
        </w:rPr>
        <w:t xml:space="preserve"> Comme indiqué au paragraphe 4.3 de la procédure, les décisions finales appartiennent au Bureau concerné.</w:t>
      </w:r>
    </w:p>
    <w:p w:rsidR="00014BF1" w:rsidRPr="00B800C0" w:rsidRDefault="00B800C0" w:rsidP="00BC00D2">
      <w:pPr>
        <w:pStyle w:val="Heading3"/>
        <w:rPr>
          <w:lang w:val="fr-CA"/>
        </w:rPr>
      </w:pPr>
      <w:r>
        <w:t xml:space="preserve"> </w:t>
      </w:r>
      <w:r w:rsidRPr="00B800C0">
        <w:rPr>
          <w:lang w:val="fr-CA"/>
        </w:rPr>
        <w:t>Gestion de confl</w:t>
      </w:r>
      <w:r>
        <w:rPr>
          <w:lang w:val="fr-CA"/>
        </w:rPr>
        <w:t>its d’intérêts potentiels</w:t>
      </w:r>
    </w:p>
    <w:p w:rsidR="004D0DD3" w:rsidRPr="00B800C0" w:rsidRDefault="00B800C0" w:rsidP="004E1771">
      <w:pPr>
        <w:pStyle w:val="Para1"/>
        <w:rPr>
          <w:lang w:val="fr-CA"/>
        </w:rPr>
      </w:pPr>
      <w:r>
        <w:rPr>
          <w:lang w:val="fr-CA"/>
        </w:rPr>
        <w:t xml:space="preserve">Comme susmentionné, la procédure permet de gérer les conflits d’intérêts lorsqu’il </w:t>
      </w:r>
      <w:r w:rsidR="007758A8">
        <w:rPr>
          <w:lang w:val="fr-CA"/>
        </w:rPr>
        <w:t>appert</w:t>
      </w:r>
      <w:r>
        <w:rPr>
          <w:lang w:val="fr-CA"/>
        </w:rPr>
        <w:t xml:space="preserve"> qu’ils ne peuvent être évités sans diminuer l’ampleur des compétences nécessaires </w:t>
      </w:r>
      <w:r w:rsidR="007758A8">
        <w:rPr>
          <w:lang w:val="fr-CA"/>
        </w:rPr>
        <w:t>pour</w:t>
      </w:r>
      <w:r>
        <w:rPr>
          <w:lang w:val="fr-CA"/>
        </w:rPr>
        <w:t xml:space="preserve"> que le groupe puissent exercer ses fonctions et fournir les meilleurs avis d’experts disponibles. </w:t>
      </w:r>
      <w:r w:rsidR="007758A8">
        <w:rPr>
          <w:lang w:val="fr-CA"/>
        </w:rPr>
        <w:t xml:space="preserve">Conformément à la section 4 de la procédure concernant la mise en œuvre, </w:t>
      </w:r>
      <w:r w:rsidR="00357142">
        <w:rPr>
          <w:lang w:val="fr-CA"/>
        </w:rPr>
        <w:t xml:space="preserve">il incombe au Secrétariat de gérer de tels conflits d’intérêts potentiels en consultation avec le président du groupe d’experts concerné et, si cela est indiqué, </w:t>
      </w:r>
      <w:r w:rsidR="00430278">
        <w:rPr>
          <w:lang w:val="fr-CA"/>
        </w:rPr>
        <w:t>avec les orientations du Bureau pertinent.</w:t>
      </w:r>
      <w:r>
        <w:rPr>
          <w:lang w:val="fr-CA"/>
        </w:rPr>
        <w:t xml:space="preserve"> </w:t>
      </w:r>
      <w:r w:rsidR="00430278">
        <w:rPr>
          <w:lang w:val="fr-CA"/>
        </w:rPr>
        <w:t xml:space="preserve">Comme présenté au paragraphe 4.4, </w:t>
      </w:r>
      <w:r w:rsidR="00430278" w:rsidRPr="00DE30F2">
        <w:rPr>
          <w:kern w:val="22"/>
          <w:szCs w:val="22"/>
          <w:lang w:val="fr-CA"/>
        </w:rPr>
        <w:t>dans les situations où des experts individuels qui, quoique hautement qualifiés, peuvent se trouver en situation de conflit d’intérêts potentiel, le Bureau, sur les conseils du Secrétariat, peut inclure de tels experts à condition que : a) il y ait un équilibre de ces intérêts potentiels d’une manière qui répond aux object</w:t>
      </w:r>
      <w:r w:rsidR="00235F7A">
        <w:rPr>
          <w:kern w:val="22"/>
          <w:szCs w:val="22"/>
          <w:lang w:val="fr-CA"/>
        </w:rPr>
        <w:t>ifs de la Convention et de ses P</w:t>
      </w:r>
      <w:r w:rsidR="00430278" w:rsidRPr="00DE30F2">
        <w:rPr>
          <w:kern w:val="22"/>
          <w:szCs w:val="22"/>
          <w:lang w:val="fr-CA"/>
        </w:rPr>
        <w:t>rotocoles selon qu’il convient et qui veille à ce que les produits du groupe d’experts soient complets et objectifs ; b) les informations concernant le conflit d’intérêts potentiel soient mises à la disposition du groupe d’experts et du public, sur demande; c) les experts s’engagent à s’efforcer de contribuer aux travaux du groupe d’experts avec objectivité ou à s’abstenir d’y participer lorsque cela n’est pas possible, ou en cas de doute</w:t>
      </w:r>
      <w:r w:rsidR="00235F7A">
        <w:rPr>
          <w:kern w:val="22"/>
          <w:szCs w:val="22"/>
          <w:lang w:val="fr-CA"/>
        </w:rPr>
        <w:t>.</w:t>
      </w:r>
    </w:p>
    <w:p w:rsidR="007368A4" w:rsidRPr="00B800C0" w:rsidRDefault="002835A5" w:rsidP="007368A4">
      <w:pPr>
        <w:pStyle w:val="Heading1"/>
        <w:rPr>
          <w:lang w:val="fr-CA"/>
        </w:rPr>
      </w:pPr>
      <w:r>
        <w:rPr>
          <w:lang w:val="fr-CA"/>
        </w:rPr>
        <w:t>Évolutions pertinentes dans d’autres accords multilatéraux sur l’environnement, initiatives et organisations intergouvernementales</w:t>
      </w:r>
    </w:p>
    <w:p w:rsidR="00C77535" w:rsidRPr="00B800C0" w:rsidRDefault="00716234" w:rsidP="00BC00D2">
      <w:pPr>
        <w:pStyle w:val="Para1"/>
        <w:numPr>
          <w:ilvl w:val="0"/>
          <w:numId w:val="0"/>
        </w:numPr>
        <w:ind w:left="567"/>
        <w:rPr>
          <w:lang w:val="fr-CA"/>
        </w:rPr>
      </w:pPr>
      <w:r w:rsidRPr="00B800C0">
        <w:rPr>
          <w:lang w:val="fr-CA"/>
        </w:rPr>
        <w:t>21.</w:t>
      </w:r>
      <w:r w:rsidR="004E1771" w:rsidRPr="00B800C0">
        <w:rPr>
          <w:lang w:val="fr-CA"/>
        </w:rPr>
        <w:tab/>
      </w:r>
      <w:r w:rsidR="002835A5">
        <w:rPr>
          <w:lang w:val="fr-CA"/>
        </w:rPr>
        <w:t xml:space="preserve">En plus des informations fournies aux paragraphes 27 à 30 du document </w:t>
      </w:r>
      <w:r w:rsidR="002835A5" w:rsidRPr="00B800C0">
        <w:rPr>
          <w:lang w:val="fr-CA"/>
        </w:rPr>
        <w:t>CBD/SBI/2/16</w:t>
      </w:r>
      <w:r w:rsidR="00501FFB">
        <w:rPr>
          <w:lang w:val="fr-CA"/>
        </w:rPr>
        <w:t>, sur l’expérience de la gestion de conflits d’intérêts dans d’autres conventions et organisations internationales,</w:t>
      </w:r>
      <w:r w:rsidR="00501FFB" w:rsidRPr="00B800C0">
        <w:rPr>
          <w:rStyle w:val="FootnoteReference"/>
          <w:lang w:val="fr-CA"/>
        </w:rPr>
        <w:footnoteReference w:id="14"/>
      </w:r>
      <w:r w:rsidR="002835A5">
        <w:rPr>
          <w:lang w:val="fr-CA"/>
        </w:rPr>
        <w:t xml:space="preserve"> </w:t>
      </w:r>
      <w:r w:rsidR="00260C1D">
        <w:rPr>
          <w:lang w:val="fr-CA"/>
        </w:rPr>
        <w:t>il existe d’autres évolutions pertinentes qui sont abordées dans la présente section.</w:t>
      </w:r>
    </w:p>
    <w:p w:rsidR="00167D4E" w:rsidRPr="00B800C0" w:rsidRDefault="00716234" w:rsidP="00884B9D">
      <w:pPr>
        <w:tabs>
          <w:tab w:val="left" w:pos="1134"/>
        </w:tabs>
        <w:autoSpaceDE w:val="0"/>
        <w:autoSpaceDN w:val="0"/>
        <w:adjustRightInd w:val="0"/>
        <w:ind w:left="567"/>
        <w:rPr>
          <w:lang w:val="fr-CA"/>
        </w:rPr>
      </w:pPr>
      <w:r w:rsidRPr="00B800C0">
        <w:rPr>
          <w:lang w:val="fr-CA"/>
        </w:rPr>
        <w:t>22.</w:t>
      </w:r>
      <w:r w:rsidR="004E1771" w:rsidRPr="00B800C0">
        <w:rPr>
          <w:lang w:val="fr-CA"/>
        </w:rPr>
        <w:tab/>
      </w:r>
      <w:r w:rsidR="00260C1D">
        <w:rPr>
          <w:lang w:val="fr-CA"/>
        </w:rPr>
        <w:t>Comme indiqué au paragraphe 29 du document</w:t>
      </w:r>
      <w:r w:rsidR="00260C1D" w:rsidRPr="00260C1D">
        <w:rPr>
          <w:lang w:val="fr-CA"/>
        </w:rPr>
        <w:t xml:space="preserve"> </w:t>
      </w:r>
      <w:r w:rsidR="00260C1D" w:rsidRPr="00B800C0">
        <w:rPr>
          <w:lang w:val="fr-CA"/>
        </w:rPr>
        <w:t>CBD/SBI/2/6</w:t>
      </w:r>
      <w:r w:rsidR="00260C1D">
        <w:rPr>
          <w:lang w:val="fr-CA"/>
        </w:rPr>
        <w:t xml:space="preserve">, </w:t>
      </w:r>
      <w:r w:rsidR="001B1BC2">
        <w:rPr>
          <w:lang w:val="fr-CA"/>
        </w:rPr>
        <w:t xml:space="preserve">au titre de la politique en matière de conflits d’intérêts et ses mesures de mise en œuvre, présentées à l’annexe II de la décision </w:t>
      </w:r>
      <w:r w:rsidR="001B1BC2" w:rsidRPr="00B800C0">
        <w:rPr>
          <w:lang w:val="fr-CA"/>
        </w:rPr>
        <w:t>IPBES-3/3</w:t>
      </w:r>
      <w:r w:rsidR="001B1BC2">
        <w:rPr>
          <w:lang w:val="fr-CA"/>
        </w:rPr>
        <w:t xml:space="preserve">, de la </w:t>
      </w:r>
      <w:r w:rsidR="00200CE6">
        <w:rPr>
          <w:lang w:val="fr-CA"/>
        </w:rPr>
        <w:t xml:space="preserve">Plateforme intergouvernementale scientifique et politique sur la biodiversité et les services </w:t>
      </w:r>
      <w:r w:rsidR="00200CE6">
        <w:rPr>
          <w:noProof/>
          <w:lang w:val="fr-CA"/>
        </w:rPr>
        <w:t>écosystémiques</w:t>
      </w:r>
      <w:r w:rsidR="002C738E">
        <w:rPr>
          <w:noProof/>
          <w:lang w:val="fr-CA"/>
        </w:rPr>
        <w:t>,</w:t>
      </w:r>
      <w:r w:rsidR="009F5A5F">
        <w:rPr>
          <w:noProof/>
          <w:lang w:val="fr-CA"/>
        </w:rPr>
        <w:t xml:space="preserve"> des</w:t>
      </w:r>
      <w:r w:rsidR="009F5A5F">
        <w:rPr>
          <w:lang w:val="fr-CA"/>
        </w:rPr>
        <w:t xml:space="preserve"> formulaires</w:t>
      </w:r>
      <w:r w:rsidR="002C738E">
        <w:rPr>
          <w:lang w:val="fr-CA"/>
        </w:rPr>
        <w:t xml:space="preserve"> de déclaration de conflits d’intérêts dûment </w:t>
      </w:r>
      <w:r w:rsidR="002C66E0">
        <w:rPr>
          <w:lang w:val="fr-CA"/>
        </w:rPr>
        <w:t>remplis</w:t>
      </w:r>
      <w:r w:rsidR="002C738E">
        <w:rPr>
          <w:lang w:val="fr-CA"/>
        </w:rPr>
        <w:t xml:space="preserve"> sont</w:t>
      </w:r>
      <w:r w:rsidR="002C738E" w:rsidRPr="002C738E">
        <w:rPr>
          <w:lang w:val="fr-CA"/>
        </w:rPr>
        <w:t xml:space="preserve"> soumis au Comité sur les conflits d’intérêts</w:t>
      </w:r>
      <w:r w:rsidR="002C738E">
        <w:rPr>
          <w:lang w:val="fr-CA"/>
        </w:rPr>
        <w:t xml:space="preserve"> pour évaluation et détermination.</w:t>
      </w:r>
      <w:r w:rsidR="00484A9C">
        <w:rPr>
          <w:lang w:val="fr-CA"/>
        </w:rPr>
        <w:t xml:space="preserve"> Le Comité présente un rapport sur ses travaux à la plénière de la Plateforme intergouvernementale scientifique et politique sur la biodiversité et les services </w:t>
      </w:r>
      <w:r w:rsidR="00484A9C">
        <w:rPr>
          <w:noProof/>
          <w:lang w:val="fr-CA"/>
        </w:rPr>
        <w:t xml:space="preserve">écosystémiques </w:t>
      </w:r>
      <w:r w:rsidR="00484A9C">
        <w:rPr>
          <w:lang w:val="fr-CA"/>
        </w:rPr>
        <w:t xml:space="preserve">à chacune de ses sessions. Le rapport le plus récent du Comité figure </w:t>
      </w:r>
      <w:r w:rsidR="003D5314">
        <w:rPr>
          <w:lang w:val="fr-CA"/>
        </w:rPr>
        <w:t>à</w:t>
      </w:r>
      <w:r w:rsidR="00484A9C">
        <w:rPr>
          <w:lang w:val="fr-CA"/>
        </w:rPr>
        <w:t xml:space="preserve"> l’appendice </w:t>
      </w:r>
      <w:r w:rsidR="003D5314">
        <w:rPr>
          <w:lang w:val="fr-CA"/>
        </w:rPr>
        <w:t>de</w:t>
      </w:r>
      <w:r w:rsidR="00484A9C">
        <w:rPr>
          <w:lang w:val="fr-CA"/>
        </w:rPr>
        <w:t xml:space="preserve"> l’annexe </w:t>
      </w:r>
      <w:r w:rsidR="003D5314">
        <w:rPr>
          <w:lang w:val="fr-CA"/>
        </w:rPr>
        <w:t>a</w:t>
      </w:r>
      <w:r w:rsidR="00484A9C">
        <w:rPr>
          <w:lang w:val="fr-CA"/>
        </w:rPr>
        <w:t xml:space="preserve">u document </w:t>
      </w:r>
      <w:r w:rsidR="00484A9C" w:rsidRPr="00B800C0">
        <w:rPr>
          <w:lang w:val="fr-CA"/>
        </w:rPr>
        <w:t>IPBES/10/INF/17</w:t>
      </w:r>
      <w:r w:rsidR="00484A9C">
        <w:rPr>
          <w:lang w:val="fr-CA"/>
        </w:rPr>
        <w:t>. Au paragraphe 3</w:t>
      </w:r>
      <w:r w:rsidR="003D5314">
        <w:rPr>
          <w:lang w:val="fr-CA"/>
        </w:rPr>
        <w:t>,</w:t>
      </w:r>
      <w:r w:rsidR="00484A9C">
        <w:rPr>
          <w:lang w:val="fr-CA"/>
        </w:rPr>
        <w:t xml:space="preserve"> </w:t>
      </w:r>
      <w:r w:rsidR="003D5314">
        <w:rPr>
          <w:lang w:val="fr-CA"/>
        </w:rPr>
        <w:t>le</w:t>
      </w:r>
      <w:r w:rsidR="00484A9C">
        <w:rPr>
          <w:lang w:val="fr-CA"/>
        </w:rPr>
        <w:t xml:space="preserve"> rapport</w:t>
      </w:r>
      <w:r w:rsidR="003D5314">
        <w:rPr>
          <w:lang w:val="fr-CA"/>
        </w:rPr>
        <w:t xml:space="preserve"> indique que le Comité a pris les mesures additionnelles suivantes :</w:t>
      </w:r>
    </w:p>
    <w:p w:rsidR="00A2213B" w:rsidRPr="00B800C0" w:rsidRDefault="00057FA4" w:rsidP="00BC00D2">
      <w:pPr>
        <w:pStyle w:val="Para1"/>
        <w:numPr>
          <w:ilvl w:val="0"/>
          <w:numId w:val="0"/>
        </w:numPr>
        <w:ind w:left="1134" w:firstLine="567"/>
        <w:rPr>
          <w:lang w:val="fr-CA"/>
        </w:rPr>
      </w:pPr>
      <w:r w:rsidRPr="00B800C0">
        <w:rPr>
          <w:lang w:val="fr-CA"/>
        </w:rPr>
        <w:t xml:space="preserve">a) </w:t>
      </w:r>
      <w:r w:rsidR="003D5314">
        <w:rPr>
          <w:lang w:val="fr-CA"/>
        </w:rPr>
        <w:t>Tou</w:t>
      </w:r>
      <w:r w:rsidR="00BB2CDF">
        <w:rPr>
          <w:lang w:val="fr-CA"/>
        </w:rPr>
        <w:t>te</w:t>
      </w:r>
      <w:r w:rsidR="003E2C85">
        <w:rPr>
          <w:lang w:val="fr-CA"/>
        </w:rPr>
        <w:t>s les</w:t>
      </w:r>
      <w:r w:rsidR="00BB2CDF">
        <w:rPr>
          <w:lang w:val="fr-CA"/>
        </w:rPr>
        <w:t xml:space="preserve"> personne</w:t>
      </w:r>
      <w:r w:rsidR="002C66E0">
        <w:rPr>
          <w:lang w:val="fr-CA"/>
        </w:rPr>
        <w:t>s</w:t>
      </w:r>
      <w:r w:rsidR="00BB2CDF">
        <w:rPr>
          <w:lang w:val="fr-CA"/>
        </w:rPr>
        <w:t xml:space="preserve"> sélectionnée</w:t>
      </w:r>
      <w:r w:rsidR="003E2C85">
        <w:rPr>
          <w:lang w:val="fr-CA"/>
        </w:rPr>
        <w:t>s</w:t>
      </w:r>
      <w:r w:rsidR="00BB2CDF">
        <w:rPr>
          <w:lang w:val="fr-CA"/>
        </w:rPr>
        <w:t xml:space="preserve"> peu</w:t>
      </w:r>
      <w:r w:rsidR="003E2C85">
        <w:rPr>
          <w:lang w:val="fr-CA"/>
        </w:rPr>
        <w:t>ven</w:t>
      </w:r>
      <w:r w:rsidR="00BB2CDF">
        <w:rPr>
          <w:lang w:val="fr-CA"/>
        </w:rPr>
        <w:t>t</w:t>
      </w:r>
      <w:r w:rsidR="003E2C85">
        <w:rPr>
          <w:lang w:val="fr-CA"/>
        </w:rPr>
        <w:t xml:space="preserve"> prendre leurs fonctions ou accepter la mission uniquement à condition qu’elles acceptent, dans le cadre de leur formulaire d’acceptation, la déclaration suivante : </w:t>
      </w:r>
      <w:r w:rsidR="001B1BC2">
        <w:rPr>
          <w:lang w:val="fr-CA"/>
        </w:rPr>
        <w:t>‘</w:t>
      </w:r>
      <w:r w:rsidR="003E2C85">
        <w:rPr>
          <w:lang w:val="fr-CA"/>
        </w:rPr>
        <w:t>Je comprends que j’ai été sélectionné</w:t>
      </w:r>
      <w:r w:rsidR="00615307">
        <w:rPr>
          <w:lang w:val="fr-CA"/>
        </w:rPr>
        <w:t>(e)</w:t>
      </w:r>
      <w:r w:rsidR="003E2C85">
        <w:rPr>
          <w:lang w:val="fr-CA"/>
        </w:rPr>
        <w:t xml:space="preserve"> pour mon expertise à titre individuel et non pour représenter les points de vue d’</w:t>
      </w:r>
      <w:r w:rsidR="001B1BC2">
        <w:rPr>
          <w:lang w:val="fr-CA"/>
        </w:rPr>
        <w:t xml:space="preserve">une </w:t>
      </w:r>
      <w:r w:rsidR="003E2C85">
        <w:rPr>
          <w:lang w:val="fr-CA"/>
        </w:rPr>
        <w:t>organisation, publique ou privée,</w:t>
      </w:r>
      <w:r w:rsidR="001B1BC2">
        <w:rPr>
          <w:lang w:val="fr-CA"/>
        </w:rPr>
        <w:t xml:space="preserve"> quelle qu’elle soit, et que je suis censé</w:t>
      </w:r>
      <w:r w:rsidR="00615307">
        <w:rPr>
          <w:lang w:val="fr-CA"/>
        </w:rPr>
        <w:t>(e)</w:t>
      </w:r>
      <w:r w:rsidR="001B1BC2">
        <w:rPr>
          <w:lang w:val="fr-CA"/>
        </w:rPr>
        <w:t xml:space="preserve"> exercer mes fonctions de manière neutre, à savoir que je vais exécuter mes devoirs et responsabilités pour la Plateforme intergouvernementale scientifique et politique sur la biodiversité et les services </w:t>
      </w:r>
      <w:r w:rsidR="001B1BC2">
        <w:rPr>
          <w:noProof/>
          <w:lang w:val="fr-CA"/>
        </w:rPr>
        <w:lastRenderedPageBreak/>
        <w:t>écosystémiques sur</w:t>
      </w:r>
      <w:r w:rsidR="001B1BC2">
        <w:rPr>
          <w:lang w:val="fr-CA"/>
        </w:rPr>
        <w:t xml:space="preserve"> la base des fonctions et responsabilités de cette institution, en toute objectivité.’</w:t>
      </w:r>
      <w:r w:rsidRPr="00B800C0">
        <w:rPr>
          <w:lang w:val="fr-CA"/>
        </w:rPr>
        <w:t xml:space="preserve"> </w:t>
      </w:r>
    </w:p>
    <w:p w:rsidR="00A2213B" w:rsidRPr="00B800C0" w:rsidRDefault="00057FA4" w:rsidP="00BC00D2">
      <w:pPr>
        <w:pStyle w:val="Para1"/>
        <w:numPr>
          <w:ilvl w:val="0"/>
          <w:numId w:val="0"/>
        </w:numPr>
        <w:ind w:left="1134" w:firstLine="567"/>
        <w:rPr>
          <w:lang w:val="fr-CA"/>
        </w:rPr>
      </w:pPr>
      <w:r w:rsidRPr="00B800C0">
        <w:rPr>
          <w:lang w:val="fr-CA"/>
        </w:rPr>
        <w:t xml:space="preserve">b) </w:t>
      </w:r>
      <w:r w:rsidR="002C66E0">
        <w:rPr>
          <w:lang w:val="fr-CA"/>
        </w:rPr>
        <w:t xml:space="preserve">Le code de conduite pour les experts de la Plateforme intergouvernementale scientifique et politique sur la biodiversité et les </w:t>
      </w:r>
      <w:r w:rsidR="002C66E0">
        <w:rPr>
          <w:noProof/>
          <w:lang w:val="fr-CA"/>
        </w:rPr>
        <w:t>services écosystémiques</w:t>
      </w:r>
      <w:r w:rsidR="002C66E0">
        <w:rPr>
          <w:lang w:val="fr-CA"/>
        </w:rPr>
        <w:t>, auquel tous les experts sélectionnés doivent souscrire lorsqu’ils acceptent leur rôle, a été modifié pour y inclure une référence à la politique et aux procédures de la Plateforme en matière de conflits d’intérêts;</w:t>
      </w:r>
      <w:r w:rsidRPr="00B800C0">
        <w:rPr>
          <w:lang w:val="fr-CA"/>
        </w:rPr>
        <w:t xml:space="preserve"> </w:t>
      </w:r>
    </w:p>
    <w:p w:rsidR="00A2213B" w:rsidRPr="00B800C0" w:rsidRDefault="00057FA4" w:rsidP="00BC00D2">
      <w:pPr>
        <w:pStyle w:val="Para1"/>
        <w:numPr>
          <w:ilvl w:val="0"/>
          <w:numId w:val="0"/>
        </w:numPr>
        <w:ind w:left="1134" w:firstLine="567"/>
        <w:rPr>
          <w:lang w:val="fr-CA"/>
        </w:rPr>
      </w:pPr>
      <w:r w:rsidRPr="00B800C0">
        <w:rPr>
          <w:lang w:val="fr-CA"/>
        </w:rPr>
        <w:t xml:space="preserve">c) </w:t>
      </w:r>
      <w:r w:rsidR="002C66E0">
        <w:rPr>
          <w:lang w:val="fr-CA"/>
        </w:rPr>
        <w:t xml:space="preserve">Tous les experts de la Plateforme intergouvernementale scientifique et politique sur la biodiversité et les </w:t>
      </w:r>
      <w:r w:rsidR="002C66E0">
        <w:rPr>
          <w:noProof/>
          <w:lang w:val="fr-CA"/>
        </w:rPr>
        <w:t>services écosystémiques</w:t>
      </w:r>
      <w:r w:rsidR="002C66E0">
        <w:rPr>
          <w:lang w:val="fr-CA"/>
        </w:rPr>
        <w:t>, une fois désignés, reçoivent un document résumant la politique et les procédures en matière de conflits d’intérêts;</w:t>
      </w:r>
      <w:r w:rsidRPr="00B800C0">
        <w:rPr>
          <w:lang w:val="fr-CA"/>
        </w:rPr>
        <w:t xml:space="preserve"> </w:t>
      </w:r>
    </w:p>
    <w:p w:rsidR="00572567" w:rsidRPr="00B800C0" w:rsidRDefault="00057FA4" w:rsidP="00BC00D2">
      <w:pPr>
        <w:pStyle w:val="Para1"/>
        <w:numPr>
          <w:ilvl w:val="0"/>
          <w:numId w:val="0"/>
        </w:numPr>
        <w:ind w:left="1134" w:firstLine="567"/>
        <w:rPr>
          <w:lang w:val="fr-CA"/>
        </w:rPr>
      </w:pPr>
      <w:r w:rsidRPr="00B800C0">
        <w:rPr>
          <w:lang w:val="fr-CA"/>
        </w:rPr>
        <w:t xml:space="preserve">d) </w:t>
      </w:r>
      <w:r w:rsidR="002C66E0">
        <w:rPr>
          <w:lang w:val="fr-CA"/>
        </w:rPr>
        <w:t>Chaque r</w:t>
      </w:r>
      <w:r w:rsidR="00802AD9">
        <w:rPr>
          <w:lang w:val="fr-CA"/>
        </w:rPr>
        <w:t>éunion d’introduction en ligne pour les auteurs de la Plateforme intergouvernementale scientifique et politique sur l</w:t>
      </w:r>
      <w:r w:rsidR="00802AD9">
        <w:rPr>
          <w:noProof/>
          <w:lang w:val="fr-CA"/>
        </w:rPr>
        <w:t xml:space="preserve">a biodiversité et les services écosystémiques </w:t>
      </w:r>
      <w:r w:rsidR="00802AD9">
        <w:rPr>
          <w:lang w:val="fr-CA"/>
        </w:rPr>
        <w:t>comprend un segment sur la politique et les procédures en matière de conflits d’intérêts et sur le code de conduite pour les auteurs.</w:t>
      </w:r>
      <w:r w:rsidRPr="00B800C0">
        <w:rPr>
          <w:lang w:val="fr-CA"/>
        </w:rPr>
        <w:t xml:space="preserve"> </w:t>
      </w:r>
    </w:p>
    <w:p w:rsidR="00565B1F" w:rsidRPr="00B800C0" w:rsidRDefault="00C2572B" w:rsidP="00BC00D2">
      <w:pPr>
        <w:pStyle w:val="Para1"/>
        <w:numPr>
          <w:ilvl w:val="0"/>
          <w:numId w:val="0"/>
        </w:numPr>
        <w:ind w:left="567"/>
        <w:rPr>
          <w:lang w:val="fr-CA"/>
        </w:rPr>
      </w:pPr>
      <w:r w:rsidRPr="00B800C0">
        <w:rPr>
          <w:lang w:val="fr-CA"/>
        </w:rPr>
        <w:t>23.</w:t>
      </w:r>
      <w:r w:rsidR="004E1771" w:rsidRPr="00B800C0">
        <w:rPr>
          <w:lang w:val="fr-CA"/>
        </w:rPr>
        <w:tab/>
      </w:r>
      <w:r w:rsidR="00802AD9">
        <w:rPr>
          <w:lang w:val="fr-CA"/>
        </w:rPr>
        <w:t>D’</w:t>
      </w:r>
      <w:r w:rsidR="00016090">
        <w:rPr>
          <w:lang w:val="fr-CA"/>
        </w:rPr>
        <w:t xml:space="preserve">autres développements pertinents dans les </w:t>
      </w:r>
      <w:r w:rsidR="00016090" w:rsidRPr="00CC40DD">
        <w:rPr>
          <w:lang w:val="fr-CA"/>
        </w:rPr>
        <w:t>processus internationaux</w:t>
      </w:r>
      <w:r w:rsidR="00AD0D2B">
        <w:rPr>
          <w:lang w:val="fr-CA"/>
        </w:rPr>
        <w:t xml:space="preserve"> sont</w:t>
      </w:r>
      <w:r w:rsidR="00016090" w:rsidRPr="00CC40DD">
        <w:rPr>
          <w:lang w:val="fr-CA"/>
        </w:rPr>
        <w:t xml:space="preserve"> présentés dans un document</w:t>
      </w:r>
      <w:r w:rsidR="00016090" w:rsidRPr="00CC40DD">
        <w:rPr>
          <w:rStyle w:val="FootnoteReference"/>
          <w:lang w:val="fr-CA"/>
        </w:rPr>
        <w:footnoteReference w:id="15"/>
      </w:r>
      <w:r w:rsidR="00016090" w:rsidRPr="00CC40DD">
        <w:rPr>
          <w:lang w:val="fr-CA"/>
        </w:rPr>
        <w:t xml:space="preserve"> qui</w:t>
      </w:r>
      <w:r w:rsidR="00615307">
        <w:rPr>
          <w:lang w:val="fr-CA"/>
        </w:rPr>
        <w:t xml:space="preserve"> a été mis à la disposition du g</w:t>
      </w:r>
      <w:r w:rsidR="00016090" w:rsidRPr="00CC40DD">
        <w:rPr>
          <w:lang w:val="fr-CA"/>
        </w:rPr>
        <w:t>roupe de travail à composition non limitée</w:t>
      </w:r>
      <w:r w:rsidR="00CC40DD" w:rsidRPr="00CC40DD">
        <w:rPr>
          <w:lang w:val="fr-CA"/>
        </w:rPr>
        <w:t xml:space="preserve"> </w:t>
      </w:r>
      <w:r w:rsidR="00CC40DD">
        <w:rPr>
          <w:rStyle w:val="preferred"/>
          <w:lang w:val="fr-CA"/>
        </w:rPr>
        <w:t xml:space="preserve">sur une </w:t>
      </w:r>
      <w:r w:rsidR="00CC40DD" w:rsidRPr="00CC40DD">
        <w:rPr>
          <w:rStyle w:val="preferred"/>
          <w:lang w:val="fr-CA"/>
        </w:rPr>
        <w:t xml:space="preserve">interface science-politiques </w:t>
      </w:r>
      <w:r w:rsidR="00CC40DD">
        <w:rPr>
          <w:rStyle w:val="preferred"/>
          <w:lang w:val="fr-CA"/>
        </w:rPr>
        <w:t>sur la gestion des</w:t>
      </w:r>
      <w:r w:rsidR="00CC40DD" w:rsidRPr="00CC40DD">
        <w:rPr>
          <w:rStyle w:val="preferred"/>
          <w:lang w:val="fr-CA"/>
        </w:rPr>
        <w:t xml:space="preserve"> produits chimiques et des déchets et de la prévention de la pollution</w:t>
      </w:r>
      <w:r w:rsidR="00CC40DD">
        <w:rPr>
          <w:rStyle w:val="preferred"/>
          <w:lang w:val="fr-CA"/>
        </w:rPr>
        <w:t>, établi pour contribuer davantage à la gestion rationnelle des</w:t>
      </w:r>
      <w:r w:rsidR="00CC40DD" w:rsidRPr="00CC40DD">
        <w:rPr>
          <w:rStyle w:val="preferred"/>
          <w:lang w:val="fr-CA"/>
        </w:rPr>
        <w:t xml:space="preserve"> produits chimiques et des déchets et de la prévention de la pollution</w:t>
      </w:r>
      <w:r w:rsidR="00CC40DD">
        <w:rPr>
          <w:rStyle w:val="preferred"/>
          <w:lang w:val="fr-CA"/>
        </w:rPr>
        <w:t>, à sa deuxième session, tenue en décembre 2023. Le document présente un aperçu des politiques pertinentes en matière de conflits d’intérêts émanant des interface</w:t>
      </w:r>
      <w:r w:rsidR="00615307">
        <w:rPr>
          <w:rStyle w:val="preferred"/>
          <w:lang w:val="fr-CA"/>
        </w:rPr>
        <w:t>s</w:t>
      </w:r>
      <w:r w:rsidR="00CC40DD">
        <w:rPr>
          <w:rStyle w:val="preferred"/>
          <w:lang w:val="fr-CA"/>
        </w:rPr>
        <w:t xml:space="preserve"> science-politiques existantes et donne des informations générales sur les procédures</w:t>
      </w:r>
      <w:r w:rsidR="009E03FE">
        <w:rPr>
          <w:rStyle w:val="preferred"/>
          <w:lang w:val="fr-CA"/>
        </w:rPr>
        <w:t xml:space="preserve"> </w:t>
      </w:r>
      <w:r w:rsidR="00AD0D2B">
        <w:rPr>
          <w:rStyle w:val="preferred"/>
          <w:lang w:val="fr-CA"/>
        </w:rPr>
        <w:t xml:space="preserve">à suivre </w:t>
      </w:r>
      <w:r w:rsidR="009E03FE">
        <w:rPr>
          <w:rStyle w:val="preferred"/>
          <w:lang w:val="fr-CA"/>
        </w:rPr>
        <w:t xml:space="preserve">pour aborder les conflits d’intérêts potentiels </w:t>
      </w:r>
      <w:r w:rsidR="00AD0D2B">
        <w:rPr>
          <w:rStyle w:val="preferred"/>
          <w:lang w:val="fr-CA"/>
        </w:rPr>
        <w:t>au sein</w:t>
      </w:r>
      <w:r w:rsidR="009E03FE">
        <w:rPr>
          <w:rStyle w:val="preferred"/>
          <w:lang w:val="fr-CA"/>
        </w:rPr>
        <w:t xml:space="preserve"> : a) du </w:t>
      </w:r>
      <w:r w:rsidR="009E03FE">
        <w:rPr>
          <w:rStyle w:val="preferred"/>
          <w:lang w:val="fr-FR"/>
        </w:rPr>
        <w:t xml:space="preserve">Groupe d'experts intergouvernemental sur l'évolution du climat ; b) de la Plateforme intergouvernementale scientifique et politique sur la biodiversité et les </w:t>
      </w:r>
      <w:r w:rsidR="009E03FE">
        <w:rPr>
          <w:rStyle w:val="preferred"/>
          <w:noProof/>
          <w:lang w:val="fr-FR"/>
        </w:rPr>
        <w:t>services écosystémiques ;</w:t>
      </w:r>
      <w:r w:rsidR="009E03FE">
        <w:rPr>
          <w:rStyle w:val="preferred"/>
          <w:lang w:val="fr-FR"/>
        </w:rPr>
        <w:t xml:space="preserve"> c) de l’Avenir de l’environnement mondial ; et d)</w:t>
      </w:r>
      <w:r w:rsidR="00CC40DD">
        <w:rPr>
          <w:rStyle w:val="preferred"/>
          <w:lang w:val="fr-CA"/>
        </w:rPr>
        <w:t xml:space="preserve"> </w:t>
      </w:r>
      <w:r w:rsidR="009E03FE">
        <w:rPr>
          <w:rStyle w:val="preferred"/>
          <w:lang w:val="fr-CA"/>
        </w:rPr>
        <w:t xml:space="preserve">du </w:t>
      </w:r>
      <w:r w:rsidR="009E03FE">
        <w:rPr>
          <w:rStyle w:val="preferred"/>
          <w:lang w:val="fr-FR"/>
        </w:rPr>
        <w:t>Groupe d’experts en évaluation scientifique du Protocole de Montréal.</w:t>
      </w:r>
    </w:p>
    <w:p w:rsidR="00F3120C" w:rsidRPr="00B800C0" w:rsidRDefault="00C2572B" w:rsidP="00BC00D2">
      <w:pPr>
        <w:pStyle w:val="Para1"/>
        <w:numPr>
          <w:ilvl w:val="0"/>
          <w:numId w:val="0"/>
        </w:numPr>
        <w:ind w:left="567"/>
        <w:rPr>
          <w:lang w:val="fr-CA"/>
        </w:rPr>
      </w:pPr>
      <w:r w:rsidRPr="00B800C0">
        <w:rPr>
          <w:lang w:val="fr-CA"/>
        </w:rPr>
        <w:t>24.</w:t>
      </w:r>
      <w:r w:rsidR="004E1771" w:rsidRPr="00B800C0">
        <w:rPr>
          <w:lang w:val="fr-CA"/>
        </w:rPr>
        <w:tab/>
      </w:r>
      <w:r w:rsidR="00DB129D">
        <w:rPr>
          <w:lang w:val="fr-CA"/>
        </w:rPr>
        <w:t xml:space="preserve">Notamment, au titre des processus du </w:t>
      </w:r>
      <w:r w:rsidR="00DB129D" w:rsidRPr="00DB129D">
        <w:rPr>
          <w:lang w:val="fr-CA"/>
        </w:rPr>
        <w:t>Protocole de Montréal relatif à des substances qui appauvrissent la couche d’ozone, il est prévu aux paragraphes 20 et 21 de l’annexe à la décision XXIV/8</w:t>
      </w:r>
      <w:r w:rsidR="00DB129D">
        <w:rPr>
          <w:lang w:val="fr-CA"/>
        </w:rPr>
        <w:t xml:space="preserve"> –</w:t>
      </w:r>
      <w:r w:rsidR="00DB129D" w:rsidRPr="00DB129D">
        <w:rPr>
          <w:lang w:val="fr-CA"/>
        </w:rPr>
        <w:t xml:space="preserve"> adoptée par la vingt-quatrième réunion des Parties au Protocole de Montréal, et intitulée</w:t>
      </w:r>
      <w:r w:rsidR="00615307">
        <w:rPr>
          <w:lang w:val="fr-CA"/>
        </w:rPr>
        <w:t xml:space="preserve"> ‘</w:t>
      </w:r>
      <w:r w:rsidR="00DB129D">
        <w:rPr>
          <w:lang w:val="fr-CA"/>
        </w:rPr>
        <w:t>Mandat,</w:t>
      </w:r>
      <w:r w:rsidR="00DB129D" w:rsidRPr="00DB129D">
        <w:rPr>
          <w:lang w:val="fr-CA"/>
        </w:rPr>
        <w:t xml:space="preserve"> code de conduite et directives concernant la divulgation et les conflits d’intérêts pour le Groupe de l’évaluation technique et économique</w:t>
      </w:r>
      <w:r w:rsidR="00452CCB">
        <w:rPr>
          <w:lang w:val="fr-CA"/>
        </w:rPr>
        <w:t xml:space="preserve"> et ses C</w:t>
      </w:r>
      <w:r w:rsidR="00DB129D">
        <w:rPr>
          <w:lang w:val="fr-CA"/>
        </w:rPr>
        <w:t>omités des choix techniques et organes subsidiaires temporaires</w:t>
      </w:r>
      <w:r w:rsidR="00615307">
        <w:rPr>
          <w:lang w:val="fr-CA"/>
        </w:rPr>
        <w:t>’</w:t>
      </w:r>
      <w:r w:rsidR="00DB129D">
        <w:rPr>
          <w:lang w:val="fr-CA"/>
        </w:rPr>
        <w:t xml:space="preserve"> – que :</w:t>
      </w:r>
    </w:p>
    <w:p w:rsidR="00696BE8" w:rsidRPr="00B800C0" w:rsidRDefault="00DB129D" w:rsidP="00696BE8">
      <w:pPr>
        <w:pStyle w:val="Para1"/>
        <w:numPr>
          <w:ilvl w:val="0"/>
          <w:numId w:val="0"/>
        </w:numPr>
        <w:ind w:left="1134"/>
        <w:rPr>
          <w:lang w:val="fr-CA"/>
        </w:rPr>
      </w:pPr>
      <w:r>
        <w:rPr>
          <w:lang w:val="fr-CA"/>
        </w:rPr>
        <w:t xml:space="preserve">20. Lorsqu’il </w:t>
      </w:r>
      <w:r w:rsidR="008467F4">
        <w:rPr>
          <w:lang w:val="fr-CA"/>
        </w:rPr>
        <w:t>a été</w:t>
      </w:r>
      <w:r>
        <w:rPr>
          <w:lang w:val="fr-CA"/>
        </w:rPr>
        <w:t xml:space="preserve"> déterminé qu’un conflit d’intérêts existe </w:t>
      </w:r>
      <w:r w:rsidR="008467F4">
        <w:rPr>
          <w:lang w:val="fr-CA"/>
        </w:rPr>
        <w:t>pour un</w:t>
      </w:r>
      <w:r>
        <w:rPr>
          <w:lang w:val="fr-CA"/>
        </w:rPr>
        <w:t xml:space="preserve"> Membre </w:t>
      </w:r>
      <w:r w:rsidR="008467F4">
        <w:rPr>
          <w:lang w:val="fr-CA"/>
        </w:rPr>
        <w:t>donné</w:t>
      </w:r>
      <w:r>
        <w:rPr>
          <w:lang w:val="fr-CA"/>
        </w:rPr>
        <w:t>, le Membre devrait, selon qu’il sera approprié en fonction des circonstances :</w:t>
      </w:r>
    </w:p>
    <w:p w:rsidR="00696BE8" w:rsidRPr="00B800C0" w:rsidRDefault="00696BE8" w:rsidP="00BC00D2">
      <w:pPr>
        <w:pStyle w:val="Para1"/>
        <w:numPr>
          <w:ilvl w:val="0"/>
          <w:numId w:val="0"/>
        </w:numPr>
        <w:ind w:left="1134" w:firstLine="567"/>
        <w:rPr>
          <w:lang w:val="fr-CA"/>
        </w:rPr>
      </w:pPr>
      <w:r w:rsidRPr="00B800C0">
        <w:rPr>
          <w:lang w:val="fr-CA"/>
        </w:rPr>
        <w:t xml:space="preserve">a) </w:t>
      </w:r>
      <w:r w:rsidR="008467F4">
        <w:rPr>
          <w:lang w:val="fr-CA"/>
        </w:rPr>
        <w:t>Être e</w:t>
      </w:r>
      <w:r w:rsidR="00DB129D">
        <w:rPr>
          <w:lang w:val="fr-CA"/>
        </w:rPr>
        <w:t xml:space="preserve">xclu du processus de prise de décisions et des </w:t>
      </w:r>
      <w:r w:rsidR="008467F4">
        <w:rPr>
          <w:lang w:val="fr-CA"/>
        </w:rPr>
        <w:t>débats concernant</w:t>
      </w:r>
      <w:r w:rsidR="00DB129D">
        <w:rPr>
          <w:lang w:val="fr-CA"/>
        </w:rPr>
        <w:t xml:space="preserve"> un domaine </w:t>
      </w:r>
      <w:r w:rsidR="008467F4">
        <w:rPr>
          <w:lang w:val="fr-CA"/>
        </w:rPr>
        <w:t>précis des travaux</w:t>
      </w:r>
      <w:r w:rsidR="00DB129D">
        <w:rPr>
          <w:lang w:val="fr-CA"/>
        </w:rPr>
        <w:t>;</w:t>
      </w:r>
    </w:p>
    <w:p w:rsidR="00696BE8" w:rsidRPr="00B800C0" w:rsidRDefault="00696BE8" w:rsidP="00BC00D2">
      <w:pPr>
        <w:pStyle w:val="Para1"/>
        <w:numPr>
          <w:ilvl w:val="0"/>
          <w:numId w:val="0"/>
        </w:numPr>
        <w:ind w:left="1134" w:firstLine="567"/>
        <w:rPr>
          <w:lang w:val="fr-CA"/>
        </w:rPr>
      </w:pPr>
      <w:r w:rsidRPr="00B800C0">
        <w:rPr>
          <w:lang w:val="fr-CA"/>
        </w:rPr>
        <w:t xml:space="preserve">b) </w:t>
      </w:r>
      <w:r w:rsidR="008467F4">
        <w:rPr>
          <w:lang w:val="fr-CA"/>
        </w:rPr>
        <w:t>Être exclu de la prise de décisions, mais autorisé à participer aux débats concernant un</w:t>
      </w:r>
      <w:r w:rsidR="004F229D">
        <w:rPr>
          <w:lang w:val="fr-CA"/>
        </w:rPr>
        <w:t xml:space="preserve"> domaine précis des travaux; ou</w:t>
      </w:r>
    </w:p>
    <w:p w:rsidR="00696BE8" w:rsidRPr="00B800C0" w:rsidRDefault="00696BE8" w:rsidP="00BC00D2">
      <w:pPr>
        <w:pStyle w:val="Para1"/>
        <w:numPr>
          <w:ilvl w:val="0"/>
          <w:numId w:val="0"/>
        </w:numPr>
        <w:ind w:left="1134" w:firstLine="567"/>
        <w:rPr>
          <w:lang w:val="fr-CA"/>
        </w:rPr>
      </w:pPr>
      <w:r w:rsidRPr="00B800C0">
        <w:rPr>
          <w:lang w:val="fr-CA"/>
        </w:rPr>
        <w:t xml:space="preserve">c) </w:t>
      </w:r>
      <w:r w:rsidR="008467F4">
        <w:rPr>
          <w:lang w:val="fr-CA"/>
        </w:rPr>
        <w:t>Être exclu de participation à ce domaine des travaux de toute autre façon jugée appro</w:t>
      </w:r>
      <w:r w:rsidR="004F229D">
        <w:rPr>
          <w:lang w:val="fr-CA"/>
        </w:rPr>
        <w:t>priée.</w:t>
      </w:r>
    </w:p>
    <w:p w:rsidR="00696BE8" w:rsidRPr="00B800C0" w:rsidRDefault="00696BE8" w:rsidP="00696BE8">
      <w:pPr>
        <w:pStyle w:val="Para1"/>
        <w:numPr>
          <w:ilvl w:val="0"/>
          <w:numId w:val="0"/>
        </w:numPr>
        <w:ind w:left="1134"/>
        <w:rPr>
          <w:lang w:val="fr-CA"/>
        </w:rPr>
      </w:pPr>
      <w:r w:rsidRPr="00B800C0">
        <w:rPr>
          <w:lang w:val="fr-CA"/>
        </w:rPr>
        <w:t xml:space="preserve">21. </w:t>
      </w:r>
      <w:r w:rsidR="000E2A02">
        <w:rPr>
          <w:lang w:val="fr-CA"/>
        </w:rPr>
        <w:t>U</w:t>
      </w:r>
      <w:r w:rsidR="000E2A02" w:rsidRPr="000E2A02">
        <w:rPr>
          <w:lang w:val="fr-CA"/>
        </w:rPr>
        <w:t>n </w:t>
      </w:r>
      <w:hyperlink r:id="rId18" w:history="1">
        <w:r w:rsidR="000E2A02" w:rsidRPr="000E2A02">
          <w:rPr>
            <w:lang w:val="fr-CA"/>
          </w:rPr>
          <w:t>membre qui est totalement ou partiellement récusé</w:t>
        </w:r>
      </w:hyperlink>
      <w:r w:rsidR="000E2A02">
        <w:rPr>
          <w:lang w:val="fr-CA"/>
        </w:rPr>
        <w:t xml:space="preserve"> </w:t>
      </w:r>
      <w:r w:rsidR="000E2A02" w:rsidRPr="000E2A02">
        <w:rPr>
          <w:lang w:val="fr-CA"/>
        </w:rPr>
        <w:t>d'un domaine des travaux peut néanmoins répondre aux questions concernant ces travaux à la demande du Groupe de l'évaluation technique et économique, des Comités des choix techniques et des organes subsidiaires temporaires.</w:t>
      </w:r>
    </w:p>
    <w:p w:rsidR="004B7F07" w:rsidRPr="00B800C0" w:rsidRDefault="006A7C2C" w:rsidP="004B7F07">
      <w:pPr>
        <w:pStyle w:val="Heading1"/>
        <w:rPr>
          <w:lang w:val="fr-CA"/>
        </w:rPr>
      </w:pPr>
      <w:r>
        <w:rPr>
          <w:lang w:val="fr-CA"/>
        </w:rPr>
        <w:lastRenderedPageBreak/>
        <w:t>Mesures visant à améliorer l</w:t>
      </w:r>
      <w:r w:rsidR="004C10D3">
        <w:rPr>
          <w:lang w:val="fr-CA"/>
        </w:rPr>
        <w:t>a mise en œuvre de la procédure</w:t>
      </w:r>
    </w:p>
    <w:p w:rsidR="007368A4" w:rsidRPr="00B800C0" w:rsidRDefault="00C2572B" w:rsidP="00BC00D2">
      <w:pPr>
        <w:pStyle w:val="Para1"/>
        <w:numPr>
          <w:ilvl w:val="0"/>
          <w:numId w:val="0"/>
        </w:numPr>
        <w:ind w:left="567"/>
        <w:rPr>
          <w:lang w:val="fr-CA"/>
        </w:rPr>
      </w:pPr>
      <w:r w:rsidRPr="00B800C0">
        <w:rPr>
          <w:lang w:val="fr-CA"/>
        </w:rPr>
        <w:t>25.</w:t>
      </w:r>
      <w:r w:rsidR="004E1771" w:rsidRPr="00B800C0">
        <w:rPr>
          <w:lang w:val="fr-CA"/>
        </w:rPr>
        <w:tab/>
      </w:r>
      <w:r w:rsidR="006A7C2C">
        <w:rPr>
          <w:lang w:val="fr-CA"/>
        </w:rPr>
        <w:t>Sur la base de l’expérience de la mise en œuvre de la procédure depuis son adoption en 2018 et des évolutions pertinentes dans d’autres processus intergouvernementaux, présentées respectivement aux sections II et III ci-dessus, le Secrétariat propose de prendre les mesures énoncées ci-après pour renforcer l’application de la procédure.</w:t>
      </w:r>
    </w:p>
    <w:p w:rsidR="00A23C46" w:rsidRPr="00B800C0" w:rsidRDefault="00C2572B" w:rsidP="00BC00D2">
      <w:pPr>
        <w:pStyle w:val="Para1"/>
        <w:numPr>
          <w:ilvl w:val="0"/>
          <w:numId w:val="0"/>
        </w:numPr>
        <w:ind w:left="567"/>
        <w:rPr>
          <w:lang w:val="fr-CA"/>
        </w:rPr>
      </w:pPr>
      <w:r w:rsidRPr="00B800C0">
        <w:rPr>
          <w:lang w:val="fr-CA"/>
        </w:rPr>
        <w:t>26.</w:t>
      </w:r>
      <w:r w:rsidR="004E1771" w:rsidRPr="00B800C0">
        <w:rPr>
          <w:lang w:val="fr-CA"/>
        </w:rPr>
        <w:tab/>
      </w:r>
      <w:r w:rsidR="006A7C2C">
        <w:rPr>
          <w:lang w:val="fr-CA"/>
        </w:rPr>
        <w:t>Le Secrétariat propose d’apporter les modifications suivantes au formulaire de déclaration d’intérêts :</w:t>
      </w:r>
    </w:p>
    <w:p w:rsidR="00C90E75" w:rsidRPr="00B800C0" w:rsidRDefault="00561217" w:rsidP="00BC00D2">
      <w:pPr>
        <w:pStyle w:val="Para1"/>
        <w:numPr>
          <w:ilvl w:val="0"/>
          <w:numId w:val="0"/>
        </w:numPr>
        <w:tabs>
          <w:tab w:val="clear" w:pos="1134"/>
          <w:tab w:val="left" w:pos="1701"/>
        </w:tabs>
        <w:ind w:left="567" w:firstLine="567"/>
        <w:rPr>
          <w:b/>
          <w:bCs/>
          <w:lang w:val="fr-CA"/>
        </w:rPr>
      </w:pPr>
      <w:r w:rsidRPr="00B800C0">
        <w:rPr>
          <w:lang w:val="fr-CA"/>
        </w:rPr>
        <w:t>a)</w:t>
      </w:r>
      <w:r w:rsidRPr="00B800C0">
        <w:rPr>
          <w:lang w:val="fr-CA"/>
        </w:rPr>
        <w:tab/>
      </w:r>
      <w:r w:rsidR="00B91CDC">
        <w:rPr>
          <w:lang w:val="fr-CA"/>
        </w:rPr>
        <w:t>Dans la section</w:t>
      </w:r>
      <w:r w:rsidR="006A7C2C">
        <w:rPr>
          <w:lang w:val="fr-CA"/>
        </w:rPr>
        <w:t xml:space="preserve"> </w:t>
      </w:r>
      <w:r w:rsidR="00B91CDC">
        <w:rPr>
          <w:lang w:val="fr-CA"/>
        </w:rPr>
        <w:t>‘déclaration’ à la fin du formulaire, la phrase suivante sera ajoutée après la deuxième phrase du premier paragraphe du t</w:t>
      </w:r>
      <w:r w:rsidR="004C10D3">
        <w:rPr>
          <w:lang w:val="fr-CA"/>
        </w:rPr>
        <w:t>exte actuel de la déclaration : « </w:t>
      </w:r>
      <w:r w:rsidR="00B91CDC">
        <w:rPr>
          <w:lang w:val="fr-CA"/>
        </w:rPr>
        <w:t>Si je suis sélectionné(e) à titre de membre du groupe d’experts, je m’engage à exécuter mes devoirs et responsabilités en toute objectivité, et dans le cas où un conflit d’intérêts potentiel est établi, je m’engage à me récuser des débats et prises de décisions, comme il convient. »;</w:t>
      </w:r>
    </w:p>
    <w:p w:rsidR="00C90E75" w:rsidRPr="00B800C0" w:rsidRDefault="00C07013" w:rsidP="00BC00D2">
      <w:pPr>
        <w:pStyle w:val="Para1"/>
        <w:numPr>
          <w:ilvl w:val="0"/>
          <w:numId w:val="0"/>
        </w:numPr>
        <w:tabs>
          <w:tab w:val="clear" w:pos="1134"/>
          <w:tab w:val="left" w:pos="1701"/>
        </w:tabs>
        <w:ind w:left="567" w:firstLine="567"/>
        <w:rPr>
          <w:lang w:val="fr-CA"/>
        </w:rPr>
      </w:pPr>
      <w:r w:rsidRPr="00B800C0">
        <w:rPr>
          <w:lang w:val="fr-CA"/>
        </w:rPr>
        <w:t>b</w:t>
      </w:r>
      <w:r w:rsidR="00C90E75" w:rsidRPr="00B800C0">
        <w:rPr>
          <w:lang w:val="fr-CA"/>
        </w:rPr>
        <w:t>)</w:t>
      </w:r>
      <w:r w:rsidR="00B90C21" w:rsidRPr="00B800C0">
        <w:rPr>
          <w:lang w:val="fr-CA"/>
        </w:rPr>
        <w:tab/>
      </w:r>
      <w:r w:rsidR="00B91CDC">
        <w:rPr>
          <w:lang w:val="fr-CA"/>
        </w:rPr>
        <w:t xml:space="preserve">Afin </w:t>
      </w:r>
      <w:r w:rsidR="00EB3CA9">
        <w:rPr>
          <w:lang w:val="fr-CA"/>
        </w:rPr>
        <w:t>d’obtenir des renseignements plus complets sur l’emploi du candidat, un champ « TITRE DU POSTE » sera ajouté après le champ « EMPLOYEUR ACTUEL »;</w:t>
      </w:r>
    </w:p>
    <w:p w:rsidR="00C90E75" w:rsidRPr="00B800C0" w:rsidRDefault="00C07013" w:rsidP="00BC00D2">
      <w:pPr>
        <w:pStyle w:val="Para1"/>
        <w:numPr>
          <w:ilvl w:val="0"/>
          <w:numId w:val="0"/>
        </w:numPr>
        <w:tabs>
          <w:tab w:val="clear" w:pos="1134"/>
          <w:tab w:val="left" w:pos="1701"/>
        </w:tabs>
        <w:ind w:left="567" w:firstLine="567"/>
        <w:rPr>
          <w:lang w:val="fr-CA"/>
        </w:rPr>
      </w:pPr>
      <w:r w:rsidRPr="00B800C0">
        <w:rPr>
          <w:lang w:val="fr-CA"/>
        </w:rPr>
        <w:t>c</w:t>
      </w:r>
      <w:r w:rsidR="00C90E75" w:rsidRPr="00B800C0">
        <w:rPr>
          <w:lang w:val="fr-CA"/>
        </w:rPr>
        <w:t>)</w:t>
      </w:r>
      <w:r w:rsidR="00B90C21" w:rsidRPr="00B800C0">
        <w:rPr>
          <w:lang w:val="fr-CA"/>
        </w:rPr>
        <w:tab/>
      </w:r>
      <w:r w:rsidR="00EB3CA9">
        <w:rPr>
          <w:lang w:val="fr-CA"/>
        </w:rPr>
        <w:t>Le formulaire de déclaration d’intérêts sera disponible</w:t>
      </w:r>
      <w:r w:rsidR="00C26FE2">
        <w:rPr>
          <w:lang w:val="fr-CA"/>
        </w:rPr>
        <w:t xml:space="preserve"> en ligne</w:t>
      </w:r>
      <w:r w:rsidR="00EB3CA9">
        <w:rPr>
          <w:lang w:val="fr-CA"/>
        </w:rPr>
        <w:t xml:space="preserve"> et pourra être rempli</w:t>
      </w:r>
      <w:r w:rsidR="00C26FE2">
        <w:rPr>
          <w:lang w:val="fr-CA"/>
        </w:rPr>
        <w:t xml:space="preserve"> soit</w:t>
      </w:r>
      <w:r w:rsidR="00EB3CA9">
        <w:rPr>
          <w:lang w:val="fr-CA"/>
        </w:rPr>
        <w:t xml:space="preserve"> en ligne, </w:t>
      </w:r>
      <w:r w:rsidR="00C26FE2">
        <w:rPr>
          <w:lang w:val="fr-CA"/>
        </w:rPr>
        <w:t>soit</w:t>
      </w:r>
      <w:r w:rsidR="00EB3CA9">
        <w:rPr>
          <w:lang w:val="fr-CA"/>
        </w:rPr>
        <w:t xml:space="preserve"> par le biais d’un formulaire </w:t>
      </w:r>
      <w:r w:rsidR="00EB3CA9">
        <w:rPr>
          <w:noProof/>
          <w:lang w:val="fr-CA"/>
        </w:rPr>
        <w:t>PDF remplissable</w:t>
      </w:r>
      <w:r w:rsidR="004C10D3">
        <w:rPr>
          <w:lang w:val="fr-CA"/>
        </w:rPr>
        <w:t>.</w:t>
      </w:r>
    </w:p>
    <w:p w:rsidR="00C07013" w:rsidRPr="00B800C0" w:rsidRDefault="00C2572B" w:rsidP="00BC00D2">
      <w:pPr>
        <w:pStyle w:val="Para1"/>
        <w:numPr>
          <w:ilvl w:val="0"/>
          <w:numId w:val="0"/>
        </w:numPr>
        <w:ind w:left="567"/>
        <w:rPr>
          <w:lang w:val="fr-CA"/>
        </w:rPr>
      </w:pPr>
      <w:r w:rsidRPr="00B800C0">
        <w:rPr>
          <w:lang w:val="fr-CA"/>
        </w:rPr>
        <w:t>27.</w:t>
      </w:r>
      <w:r w:rsidR="004E1771" w:rsidRPr="00B800C0">
        <w:rPr>
          <w:lang w:val="fr-CA"/>
        </w:rPr>
        <w:tab/>
      </w:r>
      <w:r w:rsidR="00C26FE2">
        <w:rPr>
          <w:lang w:val="fr-CA"/>
        </w:rPr>
        <w:t>Bien que la responsabilité finale pour les déclarations de conflits d’intérêts potentiels incombe au candidat, le Secrétariat met actuellement en place des mesures visant à renforcer l’examen des formulaires de déclaration de conflits d’intérêts potentiels dûment remplis, en tenant compte de l’expérience résumée dans la section II. A ci-dessus.</w:t>
      </w:r>
      <w:r w:rsidR="00C07013" w:rsidRPr="00B800C0">
        <w:rPr>
          <w:lang w:val="fr-CA"/>
        </w:rPr>
        <w:t xml:space="preserve"> </w:t>
      </w:r>
    </w:p>
    <w:p w:rsidR="00A23C46" w:rsidRPr="00B800C0" w:rsidRDefault="00231FEF" w:rsidP="00BC00D2">
      <w:pPr>
        <w:pStyle w:val="Para1"/>
        <w:numPr>
          <w:ilvl w:val="0"/>
          <w:numId w:val="0"/>
        </w:numPr>
        <w:ind w:left="567"/>
        <w:rPr>
          <w:lang w:val="fr-CA"/>
        </w:rPr>
      </w:pPr>
      <w:r w:rsidRPr="00B800C0">
        <w:rPr>
          <w:lang w:val="fr-CA"/>
        </w:rPr>
        <w:t>28.</w:t>
      </w:r>
      <w:r w:rsidR="004E1771" w:rsidRPr="00B800C0">
        <w:rPr>
          <w:lang w:val="fr-CA"/>
        </w:rPr>
        <w:tab/>
      </w:r>
      <w:r w:rsidR="00B310B7">
        <w:rPr>
          <w:lang w:val="fr-CA"/>
        </w:rPr>
        <w:t>Le Secrétariat préparera un résumé des responsabilités des experts</w:t>
      </w:r>
      <w:r w:rsidR="0006672F">
        <w:rPr>
          <w:lang w:val="fr-CA"/>
        </w:rPr>
        <w:t xml:space="preserve"> en matière de conformité à la procédure, qui sera mis à la disposition de</w:t>
      </w:r>
      <w:r w:rsidR="0011062D">
        <w:rPr>
          <w:lang w:val="fr-CA"/>
        </w:rPr>
        <w:t xml:space="preserve"> ces derniers</w:t>
      </w:r>
      <w:r w:rsidR="0006672F">
        <w:rPr>
          <w:lang w:val="fr-CA"/>
        </w:rPr>
        <w:t xml:space="preserve">, une fois </w:t>
      </w:r>
      <w:r w:rsidR="000F2D57">
        <w:rPr>
          <w:lang w:val="fr-CA"/>
        </w:rPr>
        <w:t>que leur candidature aura été retenue</w:t>
      </w:r>
      <w:r w:rsidR="0006672F">
        <w:rPr>
          <w:lang w:val="fr-CA"/>
        </w:rPr>
        <w:t xml:space="preserve"> pour un groupe d’experts techniques particulier. </w:t>
      </w:r>
      <w:r w:rsidR="000F2D57">
        <w:rPr>
          <w:lang w:val="fr-CA"/>
        </w:rPr>
        <w:t>Avant le lancement des travaux, tous les groupes d’experts profiteront d’une séance d’information présentée par le Secrétariat, pour faire en sorte que tous les membres aient une plein</w:t>
      </w:r>
      <w:r w:rsidR="0090559C">
        <w:rPr>
          <w:lang w:val="fr-CA"/>
        </w:rPr>
        <w:t>e compréhension de la procédure</w:t>
      </w:r>
      <w:r w:rsidR="0099488C">
        <w:rPr>
          <w:lang w:val="fr-CA"/>
        </w:rPr>
        <w:t>.</w:t>
      </w:r>
    </w:p>
    <w:p w:rsidR="002B559C" w:rsidRPr="004701EE" w:rsidRDefault="00ED3849" w:rsidP="00A34872">
      <w:pPr>
        <w:pStyle w:val="Para1"/>
        <w:numPr>
          <w:ilvl w:val="0"/>
          <w:numId w:val="0"/>
        </w:numPr>
        <w:ind w:left="567"/>
        <w:jc w:val="center"/>
      </w:pPr>
      <w:r>
        <w:t>__________</w:t>
      </w:r>
    </w:p>
    <w:sectPr w:rsidR="002B559C" w:rsidRPr="004701EE" w:rsidSect="007E5881">
      <w:headerReference w:type="even" r:id="rId19"/>
      <w:headerReference w:type="default" r:id="rId20"/>
      <w:footerReference w:type="even" r:id="rId21"/>
      <w:footerReference w:type="default" r:id="rId22"/>
      <w:pgSz w:w="12240" w:h="15840"/>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8E" w:rsidRDefault="003D1B8E" w:rsidP="00A96B21">
      <w:r>
        <w:separator/>
      </w:r>
    </w:p>
  </w:endnote>
  <w:endnote w:type="continuationSeparator" w:id="0">
    <w:p w:rsidR="003D1B8E" w:rsidRDefault="003D1B8E" w:rsidP="00A96B21">
      <w:r>
        <w:continuationSeparator/>
      </w:r>
    </w:p>
  </w:endnote>
  <w:endnote w:type="continuationNotice" w:id="1">
    <w:p w:rsidR="003D1B8E" w:rsidRDefault="003D1B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03556"/>
      <w:docPartObj>
        <w:docPartGallery w:val="Page Numbers (Bottom of Page)"/>
        <w:docPartUnique/>
      </w:docPartObj>
    </w:sdtPr>
    <w:sdtContent>
      <w:sdt>
        <w:sdtPr>
          <w:id w:val="-1705238520"/>
          <w:docPartObj>
            <w:docPartGallery w:val="Page Numbers (Top of Page)"/>
            <w:docPartUnique/>
          </w:docPartObj>
        </w:sdtPr>
        <w:sdtContent>
          <w:p w:rsidR="000F2D57" w:rsidRDefault="00B80BFF">
            <w:pPr>
              <w:pStyle w:val="Footer"/>
            </w:pPr>
            <w:r w:rsidRPr="002B559C">
              <w:rPr>
                <w:sz w:val="20"/>
                <w:szCs w:val="20"/>
              </w:rPr>
              <w:fldChar w:fldCharType="begin"/>
            </w:r>
            <w:r w:rsidR="000F2D57" w:rsidRPr="002B559C">
              <w:rPr>
                <w:sz w:val="20"/>
                <w:szCs w:val="20"/>
              </w:rPr>
              <w:instrText xml:space="preserve"> PAGE </w:instrText>
            </w:r>
            <w:r w:rsidRPr="002B559C">
              <w:rPr>
                <w:sz w:val="20"/>
                <w:szCs w:val="20"/>
              </w:rPr>
              <w:fldChar w:fldCharType="separate"/>
            </w:r>
            <w:r w:rsidR="0090559C">
              <w:rPr>
                <w:noProof/>
                <w:sz w:val="20"/>
                <w:szCs w:val="20"/>
              </w:rPr>
              <w:t>6</w:t>
            </w:r>
            <w:r w:rsidRPr="002B559C">
              <w:rPr>
                <w:sz w:val="20"/>
                <w:szCs w:val="20"/>
              </w:rPr>
              <w:fldChar w:fldCharType="end"/>
            </w:r>
            <w:r w:rsidR="000F2D57" w:rsidRPr="002B559C">
              <w:rPr>
                <w:sz w:val="20"/>
                <w:szCs w:val="20"/>
              </w:rPr>
              <w:t>/</w:t>
            </w:r>
            <w:r w:rsidRPr="002B559C">
              <w:rPr>
                <w:sz w:val="20"/>
                <w:szCs w:val="20"/>
              </w:rPr>
              <w:fldChar w:fldCharType="begin"/>
            </w:r>
            <w:r w:rsidR="000F2D57" w:rsidRPr="002B559C">
              <w:rPr>
                <w:sz w:val="20"/>
                <w:szCs w:val="20"/>
              </w:rPr>
              <w:instrText xml:space="preserve"> NUMPAGES  </w:instrText>
            </w:r>
            <w:r w:rsidRPr="002B559C">
              <w:rPr>
                <w:sz w:val="20"/>
                <w:szCs w:val="20"/>
              </w:rPr>
              <w:fldChar w:fldCharType="separate"/>
            </w:r>
            <w:r w:rsidR="0090559C">
              <w:rPr>
                <w:noProof/>
                <w:sz w:val="20"/>
                <w:szCs w:val="20"/>
              </w:rPr>
              <w:t>7</w:t>
            </w:r>
            <w:r w:rsidRPr="002B559C">
              <w:rPr>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11934"/>
      <w:docPartObj>
        <w:docPartGallery w:val="Page Numbers (Bottom of Page)"/>
        <w:docPartUnique/>
      </w:docPartObj>
    </w:sdtPr>
    <w:sdtContent>
      <w:sdt>
        <w:sdtPr>
          <w:id w:val="-1769616900"/>
          <w:docPartObj>
            <w:docPartGallery w:val="Page Numbers (Top of Page)"/>
            <w:docPartUnique/>
          </w:docPartObj>
        </w:sdtPr>
        <w:sdtContent>
          <w:p w:rsidR="000F2D57" w:rsidRDefault="00B80BFF" w:rsidP="002B559C">
            <w:pPr>
              <w:pStyle w:val="Footer"/>
              <w:jc w:val="right"/>
            </w:pPr>
            <w:r w:rsidRPr="002B559C">
              <w:rPr>
                <w:sz w:val="20"/>
                <w:szCs w:val="20"/>
              </w:rPr>
              <w:fldChar w:fldCharType="begin"/>
            </w:r>
            <w:r w:rsidR="000F2D57" w:rsidRPr="002B559C">
              <w:rPr>
                <w:sz w:val="20"/>
                <w:szCs w:val="20"/>
              </w:rPr>
              <w:instrText xml:space="preserve"> PAGE </w:instrText>
            </w:r>
            <w:r w:rsidRPr="002B559C">
              <w:rPr>
                <w:sz w:val="20"/>
                <w:szCs w:val="20"/>
              </w:rPr>
              <w:fldChar w:fldCharType="separate"/>
            </w:r>
            <w:r w:rsidR="0099488C">
              <w:rPr>
                <w:noProof/>
                <w:sz w:val="20"/>
                <w:szCs w:val="20"/>
              </w:rPr>
              <w:t>7</w:t>
            </w:r>
            <w:r w:rsidRPr="002B559C">
              <w:rPr>
                <w:sz w:val="20"/>
                <w:szCs w:val="20"/>
              </w:rPr>
              <w:fldChar w:fldCharType="end"/>
            </w:r>
            <w:r w:rsidR="000F2D57" w:rsidRPr="002B559C">
              <w:rPr>
                <w:sz w:val="20"/>
                <w:szCs w:val="20"/>
              </w:rPr>
              <w:t>/</w:t>
            </w:r>
            <w:r w:rsidRPr="002B559C">
              <w:rPr>
                <w:sz w:val="20"/>
                <w:szCs w:val="20"/>
              </w:rPr>
              <w:fldChar w:fldCharType="begin"/>
            </w:r>
            <w:r w:rsidR="000F2D57" w:rsidRPr="002B559C">
              <w:rPr>
                <w:sz w:val="20"/>
                <w:szCs w:val="20"/>
              </w:rPr>
              <w:instrText xml:space="preserve"> NUMPAGES  </w:instrText>
            </w:r>
            <w:r w:rsidRPr="002B559C">
              <w:rPr>
                <w:sz w:val="20"/>
                <w:szCs w:val="20"/>
              </w:rPr>
              <w:fldChar w:fldCharType="separate"/>
            </w:r>
            <w:r w:rsidR="0099488C">
              <w:rPr>
                <w:noProof/>
                <w:sz w:val="20"/>
                <w:szCs w:val="20"/>
              </w:rPr>
              <w:t>7</w:t>
            </w:r>
            <w:r w:rsidRPr="002B559C">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8E" w:rsidRDefault="003D1B8E" w:rsidP="00A96B21">
      <w:r>
        <w:separator/>
      </w:r>
    </w:p>
  </w:footnote>
  <w:footnote w:type="continuationSeparator" w:id="0">
    <w:p w:rsidR="003D1B8E" w:rsidRDefault="003D1B8E" w:rsidP="00A96B21">
      <w:r>
        <w:continuationSeparator/>
      </w:r>
    </w:p>
  </w:footnote>
  <w:footnote w:type="continuationNotice" w:id="1">
    <w:p w:rsidR="003D1B8E" w:rsidRDefault="003D1B8E"/>
  </w:footnote>
  <w:footnote w:id="2">
    <w:p w:rsidR="000F2D57" w:rsidRPr="00AD3FFB" w:rsidRDefault="000F2D57" w:rsidP="00D71FFB">
      <w:pPr>
        <w:pStyle w:val="Footnote"/>
        <w:rPr>
          <w:lang w:val="fr-CA"/>
        </w:rPr>
      </w:pPr>
      <w:r w:rsidRPr="00AD3FFB">
        <w:rPr>
          <w:rStyle w:val="FootnoteReference"/>
          <w:lang w:val="fr-CA"/>
        </w:rPr>
        <w:t>*</w:t>
      </w:r>
      <w:r w:rsidRPr="00AD3FFB">
        <w:rPr>
          <w:lang w:val="fr-CA"/>
        </w:rPr>
        <w:t xml:space="preserve"> CBD/SBI/4/1.</w:t>
      </w:r>
    </w:p>
  </w:footnote>
  <w:footnote w:id="3">
    <w:p w:rsidR="000F2D57" w:rsidRPr="00AD3FFB" w:rsidRDefault="000F2D57" w:rsidP="00871D58">
      <w:pPr>
        <w:pStyle w:val="FootnoteText"/>
        <w:rPr>
          <w:lang w:val="fr-CA"/>
        </w:rPr>
      </w:pPr>
      <w:r w:rsidRPr="00AD3FFB">
        <w:rPr>
          <w:rStyle w:val="FootnoteReference"/>
          <w:lang w:val="fr-CA"/>
        </w:rPr>
        <w:footnoteRef/>
      </w:r>
      <w:r w:rsidRPr="00AD3FFB">
        <w:rPr>
          <w:lang w:val="fr-CA"/>
        </w:rPr>
        <w:t xml:space="preserve"> Voir CBD/COP/14/INF/3.</w:t>
      </w:r>
    </w:p>
  </w:footnote>
  <w:footnote w:id="4">
    <w:p w:rsidR="000F2D57" w:rsidRPr="00AD3FFB" w:rsidRDefault="000F2D57" w:rsidP="006C35BD">
      <w:pPr>
        <w:pStyle w:val="FootnoteText"/>
        <w:rPr>
          <w:sz w:val="18"/>
          <w:szCs w:val="18"/>
          <w:lang w:val="fr-CA"/>
        </w:rPr>
      </w:pPr>
      <w:r w:rsidRPr="00AD3FFB">
        <w:rPr>
          <w:rStyle w:val="FootnoteReference"/>
          <w:sz w:val="18"/>
          <w:szCs w:val="18"/>
          <w:lang w:val="fr-CA"/>
        </w:rPr>
        <w:footnoteRef/>
      </w:r>
      <w:r w:rsidRPr="00AD3FFB">
        <w:rPr>
          <w:sz w:val="18"/>
          <w:szCs w:val="18"/>
          <w:lang w:val="fr-CA"/>
        </w:rPr>
        <w:t xml:space="preserve"> </w:t>
      </w:r>
      <w:r>
        <w:rPr>
          <w:sz w:val="18"/>
          <w:szCs w:val="18"/>
          <w:lang w:val="fr-CA"/>
        </w:rPr>
        <w:t>Conformément au</w:t>
      </w:r>
      <w:r w:rsidR="008A61A1">
        <w:rPr>
          <w:sz w:val="18"/>
          <w:szCs w:val="18"/>
          <w:lang w:val="fr-CA"/>
        </w:rPr>
        <w:t xml:space="preserve"> paragraphe 2.1 de la procédure</w:t>
      </w:r>
      <w:r w:rsidRPr="00AD3FFB">
        <w:rPr>
          <w:sz w:val="18"/>
          <w:szCs w:val="18"/>
          <w:lang w:val="fr-CA"/>
        </w:rPr>
        <w:t>.</w:t>
      </w:r>
    </w:p>
  </w:footnote>
  <w:footnote w:id="5">
    <w:p w:rsidR="000F2D57" w:rsidRPr="00AD3FFB" w:rsidRDefault="000F2D57" w:rsidP="007D528A">
      <w:pPr>
        <w:pStyle w:val="FootnoteText"/>
        <w:rPr>
          <w:sz w:val="18"/>
          <w:szCs w:val="18"/>
          <w:lang w:val="fr-CA"/>
        </w:rPr>
      </w:pPr>
      <w:r w:rsidRPr="00AD3FFB">
        <w:rPr>
          <w:rStyle w:val="FootnoteReference"/>
          <w:sz w:val="18"/>
          <w:szCs w:val="18"/>
          <w:lang w:val="fr-CA"/>
        </w:rPr>
        <w:footnoteRef/>
      </w:r>
      <w:r w:rsidRPr="00AD3FFB">
        <w:rPr>
          <w:sz w:val="18"/>
          <w:szCs w:val="18"/>
          <w:lang w:val="fr-CA"/>
        </w:rPr>
        <w:t xml:space="preserve"> </w:t>
      </w:r>
      <w:r>
        <w:rPr>
          <w:sz w:val="18"/>
          <w:szCs w:val="18"/>
          <w:lang w:val="fr-CA"/>
        </w:rPr>
        <w:t>Comme défini aux paragraphes 1.3 et 1.5 de la procédure.</w:t>
      </w:r>
    </w:p>
  </w:footnote>
  <w:footnote w:id="6">
    <w:p w:rsidR="000F2D57" w:rsidRPr="00AD3FFB" w:rsidRDefault="000F2D57" w:rsidP="007D528A">
      <w:pPr>
        <w:pStyle w:val="FootnoteText"/>
        <w:rPr>
          <w:sz w:val="18"/>
          <w:szCs w:val="18"/>
          <w:lang w:val="fr-CA"/>
        </w:rPr>
      </w:pPr>
      <w:r w:rsidRPr="00345AB4">
        <w:rPr>
          <w:vertAlign w:val="superscript"/>
        </w:rPr>
        <w:footnoteRef/>
      </w:r>
      <w:r w:rsidRPr="00AD3FFB">
        <w:rPr>
          <w:sz w:val="18"/>
          <w:szCs w:val="18"/>
          <w:lang w:val="fr-CA"/>
        </w:rPr>
        <w:t xml:space="preserve"> </w:t>
      </w:r>
      <w:r>
        <w:rPr>
          <w:sz w:val="18"/>
          <w:szCs w:val="18"/>
          <w:lang w:val="fr-CA"/>
        </w:rPr>
        <w:t xml:space="preserve">Le </w:t>
      </w:r>
      <w:hyperlink r:id="rId1" w:history="1">
        <w:r w:rsidRPr="00AD4A6C">
          <w:rPr>
            <w:sz w:val="18"/>
            <w:szCs w:val="18"/>
            <w:lang w:val="fr-CA"/>
          </w:rPr>
          <w:t>Groupe</w:t>
        </w:r>
      </w:hyperlink>
      <w:r>
        <w:rPr>
          <w:sz w:val="18"/>
          <w:szCs w:val="18"/>
          <w:lang w:val="fr-CA"/>
        </w:rPr>
        <w:t xml:space="preserve"> </w:t>
      </w:r>
      <w:r w:rsidRPr="00AD4A6C">
        <w:rPr>
          <w:sz w:val="18"/>
          <w:szCs w:val="18"/>
          <w:lang w:val="fr-CA"/>
        </w:rPr>
        <w:t>spécial</w:t>
      </w:r>
      <w:r>
        <w:rPr>
          <w:sz w:val="18"/>
          <w:szCs w:val="18"/>
          <w:lang w:val="fr-CA"/>
        </w:rPr>
        <w:t xml:space="preserve"> </w:t>
      </w:r>
      <w:hyperlink r:id="rId2" w:history="1">
        <w:r w:rsidRPr="00AD4A6C">
          <w:rPr>
            <w:sz w:val="18"/>
            <w:szCs w:val="18"/>
            <w:lang w:val="fr-CA"/>
          </w:rPr>
          <w:t>d'experts techniques sur l'information</w:t>
        </w:r>
      </w:hyperlink>
      <w:r>
        <w:rPr>
          <w:sz w:val="18"/>
          <w:szCs w:val="18"/>
          <w:lang w:val="fr-CA"/>
        </w:rPr>
        <w:t xml:space="preserve"> </w:t>
      </w:r>
      <w:r w:rsidRPr="00AD4A6C">
        <w:rPr>
          <w:sz w:val="18"/>
          <w:szCs w:val="18"/>
          <w:lang w:val="fr-CA"/>
        </w:rPr>
        <w:t>sur</w:t>
      </w:r>
      <w:r>
        <w:rPr>
          <w:sz w:val="18"/>
          <w:szCs w:val="18"/>
          <w:lang w:val="fr-CA"/>
        </w:rPr>
        <w:t xml:space="preserve"> </w:t>
      </w:r>
      <w:hyperlink r:id="rId3" w:history="1">
        <w:r w:rsidRPr="00AD4A6C">
          <w:rPr>
            <w:sz w:val="18"/>
            <w:szCs w:val="18"/>
            <w:lang w:val="fr-CA"/>
          </w:rPr>
          <w:t>les séquences numériques</w:t>
        </w:r>
      </w:hyperlink>
      <w:r>
        <w:rPr>
          <w:sz w:val="18"/>
          <w:szCs w:val="18"/>
          <w:lang w:val="fr-CA"/>
        </w:rPr>
        <w:t xml:space="preserve"> des ressources génétiques (mars 2020); le Groupe spécial d’experts techniques sur le n</w:t>
      </w:r>
      <w:r w:rsidRPr="00336153">
        <w:rPr>
          <w:sz w:val="18"/>
          <w:szCs w:val="18"/>
          <w:lang w:val="fr-CA"/>
        </w:rPr>
        <w:t xml:space="preserve">ouveau programme de travail et </w:t>
      </w:r>
      <w:r>
        <w:rPr>
          <w:sz w:val="18"/>
          <w:szCs w:val="18"/>
          <w:lang w:val="fr-CA"/>
        </w:rPr>
        <w:t xml:space="preserve">les </w:t>
      </w:r>
      <w:r w:rsidRPr="00336153">
        <w:rPr>
          <w:sz w:val="18"/>
          <w:szCs w:val="18"/>
          <w:lang w:val="fr-CA"/>
        </w:rPr>
        <w:t>dispositions institutio</w:t>
      </w:r>
      <w:r>
        <w:rPr>
          <w:sz w:val="18"/>
          <w:szCs w:val="18"/>
          <w:lang w:val="fr-CA"/>
        </w:rPr>
        <w:t>nnelles concernant l’article 8 </w:t>
      </w:r>
      <w:r w:rsidRPr="00336153">
        <w:rPr>
          <w:sz w:val="18"/>
          <w:szCs w:val="18"/>
          <w:lang w:val="fr-CA"/>
        </w:rPr>
        <w:t>j)</w:t>
      </w:r>
      <w:r>
        <w:rPr>
          <w:sz w:val="18"/>
          <w:szCs w:val="18"/>
          <w:lang w:val="fr-CA"/>
        </w:rPr>
        <w:t xml:space="preserve"> et les autres dispositions de la Convention relatives aux peuples autochtones et aux communautés locales (juillet 2023); le Groupe spécial d’experts techniques sur la biologie de synthèse (2019-2020); le Groupe spécial d’experts techniques sur l’évaluation des risques (2019-2020); le Groupe spécial d’experts techniques sur les considérations socioéconomiques (2019); le Groupe spécial d’experts techniques sur la biologie de synthèse (2023-2024); le Groupe spécial d’experts techniques sur l’évaluation des risques (2023-2024).</w:t>
      </w:r>
    </w:p>
  </w:footnote>
  <w:footnote w:id="7">
    <w:p w:rsidR="000F2D57" w:rsidRPr="00AD3FFB" w:rsidRDefault="000F2D57" w:rsidP="007D528A">
      <w:pPr>
        <w:pStyle w:val="FootnoteText"/>
        <w:rPr>
          <w:sz w:val="18"/>
          <w:szCs w:val="18"/>
          <w:lang w:val="fr-CA"/>
        </w:rPr>
      </w:pPr>
      <w:r w:rsidRPr="00AD3FFB">
        <w:rPr>
          <w:rStyle w:val="FootnoteReference"/>
          <w:sz w:val="18"/>
          <w:szCs w:val="18"/>
          <w:lang w:val="fr-CA"/>
        </w:rPr>
        <w:footnoteRef/>
      </w:r>
      <w:r w:rsidRPr="00AD3FFB">
        <w:rPr>
          <w:sz w:val="18"/>
          <w:szCs w:val="18"/>
          <w:lang w:val="fr-CA"/>
        </w:rPr>
        <w:t xml:space="preserve"> </w:t>
      </w:r>
      <w:r>
        <w:rPr>
          <w:sz w:val="18"/>
          <w:szCs w:val="18"/>
          <w:lang w:val="fr-CA"/>
        </w:rPr>
        <w:t>Le Groupe d’experts techniques sur l’information financière.</w:t>
      </w:r>
    </w:p>
  </w:footnote>
  <w:footnote w:id="8">
    <w:p w:rsidR="000F2D57" w:rsidRPr="00AD3FFB" w:rsidRDefault="000F2D57" w:rsidP="00120C5B">
      <w:pPr>
        <w:pStyle w:val="FootnoteText"/>
        <w:rPr>
          <w:lang w:val="fr-CA"/>
        </w:rPr>
      </w:pPr>
      <w:r w:rsidRPr="00AD3FFB">
        <w:rPr>
          <w:rStyle w:val="FootnoteReference"/>
          <w:sz w:val="18"/>
          <w:szCs w:val="18"/>
          <w:lang w:val="fr-CA"/>
        </w:rPr>
        <w:footnoteRef/>
      </w:r>
      <w:r w:rsidRPr="00AD3FFB">
        <w:rPr>
          <w:sz w:val="18"/>
          <w:szCs w:val="18"/>
          <w:lang w:val="fr-CA"/>
        </w:rPr>
        <w:t xml:space="preserve"> </w:t>
      </w:r>
      <w:r>
        <w:rPr>
          <w:sz w:val="18"/>
          <w:szCs w:val="18"/>
          <w:lang w:val="fr-CA"/>
        </w:rPr>
        <w:t xml:space="preserve">Le </w:t>
      </w:r>
      <w:r w:rsidRPr="00D072F5">
        <w:rPr>
          <w:sz w:val="18"/>
          <w:szCs w:val="18"/>
          <w:lang w:val="fr-CA"/>
        </w:rPr>
        <w:t>Groupe consultatif informel sur les aires marines d’importance écologiq</w:t>
      </w:r>
      <w:r>
        <w:rPr>
          <w:sz w:val="18"/>
          <w:szCs w:val="18"/>
          <w:lang w:val="fr-CA"/>
        </w:rPr>
        <w:t xml:space="preserve">ue ou biologique, à sa quatrième réunion (septembre 2023); le </w:t>
      </w:r>
      <w:r w:rsidRPr="006228E4">
        <w:rPr>
          <w:sz w:val="18"/>
          <w:szCs w:val="18"/>
          <w:lang w:val="fr-CA"/>
        </w:rPr>
        <w:t xml:space="preserve">Comité consultatif informel sur le renforcement des capacités pour la mise </w:t>
      </w:r>
      <w:r>
        <w:rPr>
          <w:sz w:val="18"/>
          <w:szCs w:val="18"/>
          <w:lang w:val="fr-CA"/>
        </w:rPr>
        <w:t xml:space="preserve">en œuvre du Protocole de Nagoya, à sa cinquième réunion (juin 2023); le </w:t>
      </w:r>
      <w:r w:rsidRPr="006228E4">
        <w:rPr>
          <w:sz w:val="18"/>
          <w:szCs w:val="18"/>
          <w:lang w:val="fr-CA"/>
        </w:rPr>
        <w:t xml:space="preserve">Comité consultatif informel </w:t>
      </w:r>
      <w:r>
        <w:rPr>
          <w:sz w:val="18"/>
          <w:szCs w:val="18"/>
          <w:lang w:val="fr-CA"/>
        </w:rPr>
        <w:t xml:space="preserve">auprès </w:t>
      </w:r>
      <w:r w:rsidRPr="006228E4">
        <w:rPr>
          <w:sz w:val="18"/>
          <w:szCs w:val="18"/>
          <w:lang w:val="fr-CA"/>
        </w:rPr>
        <w:t>du centre d’échange sur l’accès et le partage des avantages au titre du Protocole de Nagoya</w:t>
      </w:r>
      <w:r>
        <w:rPr>
          <w:sz w:val="18"/>
          <w:szCs w:val="18"/>
          <w:lang w:val="fr-CA"/>
        </w:rPr>
        <w:t xml:space="preserve"> (février 2024); et le </w:t>
      </w:r>
      <w:r w:rsidRPr="006228E4">
        <w:rPr>
          <w:sz w:val="18"/>
          <w:szCs w:val="18"/>
          <w:lang w:val="fr-CA"/>
        </w:rPr>
        <w:t>Comité consultatif informel sur la coopération technique et scientifique</w:t>
      </w:r>
      <w:r>
        <w:rPr>
          <w:sz w:val="18"/>
          <w:szCs w:val="18"/>
          <w:lang w:val="fr-CA"/>
        </w:rPr>
        <w:t>, établi lors de la quinzième réunion de la Conférence des Parties (juin 2023, novembre 2023 et février 2024). Conformément au paragraphe 1.2 de la procédure, le Secrétariat estime que la procédure ne s’applique qu’aux groupes spéciaux d’experts techniques ou autres groupes d’experts techniques, et que son application ne devrait pas s’étendre aux comités ou aux groupes consultatifs informels.</w:t>
      </w:r>
    </w:p>
  </w:footnote>
  <w:footnote w:id="9">
    <w:p w:rsidR="000F2D57" w:rsidRPr="00AD3FFB" w:rsidRDefault="000F2D57" w:rsidP="00704638">
      <w:pPr>
        <w:pStyle w:val="FootnoteText"/>
        <w:rPr>
          <w:sz w:val="18"/>
          <w:szCs w:val="18"/>
          <w:lang w:val="fr-CA"/>
        </w:rPr>
      </w:pPr>
      <w:r w:rsidRPr="00AD3FFB">
        <w:rPr>
          <w:rStyle w:val="FootnoteReference"/>
          <w:sz w:val="18"/>
          <w:szCs w:val="18"/>
          <w:lang w:val="fr-CA"/>
        </w:rPr>
        <w:footnoteRef/>
      </w:r>
      <w:r w:rsidRPr="00AD3FFB">
        <w:rPr>
          <w:sz w:val="18"/>
          <w:szCs w:val="18"/>
          <w:lang w:val="fr-CA"/>
        </w:rPr>
        <w:t xml:space="preserve"> </w:t>
      </w:r>
      <w:r>
        <w:rPr>
          <w:sz w:val="18"/>
          <w:szCs w:val="18"/>
          <w:lang w:val="fr-CA"/>
        </w:rPr>
        <w:t xml:space="preserve">La réunion du </w:t>
      </w:r>
      <w:hyperlink r:id="rId4" w:history="1">
        <w:r w:rsidRPr="00AD4A6C">
          <w:rPr>
            <w:sz w:val="18"/>
            <w:szCs w:val="18"/>
            <w:lang w:val="fr-CA"/>
          </w:rPr>
          <w:t>Groupe</w:t>
        </w:r>
      </w:hyperlink>
      <w:r>
        <w:rPr>
          <w:sz w:val="18"/>
          <w:szCs w:val="18"/>
          <w:lang w:val="fr-CA"/>
        </w:rPr>
        <w:t xml:space="preserve"> </w:t>
      </w:r>
      <w:r w:rsidRPr="00AD4A6C">
        <w:rPr>
          <w:sz w:val="18"/>
          <w:szCs w:val="18"/>
          <w:lang w:val="fr-CA"/>
        </w:rPr>
        <w:t>spécial</w:t>
      </w:r>
      <w:r>
        <w:rPr>
          <w:sz w:val="18"/>
          <w:szCs w:val="18"/>
          <w:lang w:val="fr-CA"/>
        </w:rPr>
        <w:t xml:space="preserve"> </w:t>
      </w:r>
      <w:hyperlink r:id="rId5" w:history="1">
        <w:r w:rsidRPr="00AD4A6C">
          <w:rPr>
            <w:sz w:val="18"/>
            <w:szCs w:val="18"/>
            <w:lang w:val="fr-CA"/>
          </w:rPr>
          <w:t>d'experts techniques sur l'information</w:t>
        </w:r>
      </w:hyperlink>
      <w:r>
        <w:rPr>
          <w:sz w:val="18"/>
          <w:szCs w:val="18"/>
          <w:lang w:val="fr-CA"/>
        </w:rPr>
        <w:t xml:space="preserve"> </w:t>
      </w:r>
      <w:r w:rsidRPr="00AD4A6C">
        <w:rPr>
          <w:sz w:val="18"/>
          <w:szCs w:val="18"/>
          <w:lang w:val="fr-CA"/>
        </w:rPr>
        <w:t>sur</w:t>
      </w:r>
      <w:r>
        <w:rPr>
          <w:sz w:val="18"/>
          <w:szCs w:val="18"/>
          <w:lang w:val="fr-CA"/>
        </w:rPr>
        <w:t xml:space="preserve"> </w:t>
      </w:r>
      <w:hyperlink r:id="rId6" w:history="1">
        <w:r w:rsidRPr="00AD4A6C">
          <w:rPr>
            <w:sz w:val="18"/>
            <w:szCs w:val="18"/>
            <w:lang w:val="fr-CA"/>
          </w:rPr>
          <w:t>les séquences numériques</w:t>
        </w:r>
      </w:hyperlink>
      <w:r>
        <w:rPr>
          <w:sz w:val="18"/>
          <w:szCs w:val="18"/>
          <w:lang w:val="fr-CA"/>
        </w:rPr>
        <w:t xml:space="preserve"> des ressources génétiques, tenue du 17 au 20 mars 2020.</w:t>
      </w:r>
    </w:p>
  </w:footnote>
  <w:footnote w:id="10">
    <w:p w:rsidR="000F2D57" w:rsidRPr="00AD3FFB" w:rsidRDefault="000F2D57" w:rsidP="00401E9A">
      <w:pPr>
        <w:pStyle w:val="FootnoteText"/>
        <w:rPr>
          <w:sz w:val="18"/>
          <w:szCs w:val="18"/>
          <w:lang w:val="fr-CA"/>
        </w:rPr>
      </w:pPr>
      <w:r w:rsidRPr="00AD3FFB">
        <w:rPr>
          <w:rStyle w:val="FootnoteReference"/>
          <w:sz w:val="18"/>
          <w:szCs w:val="18"/>
          <w:lang w:val="fr-CA"/>
        </w:rPr>
        <w:footnoteRef/>
      </w:r>
      <w:r w:rsidRPr="00AD3FFB">
        <w:rPr>
          <w:sz w:val="18"/>
          <w:szCs w:val="18"/>
          <w:lang w:val="fr-CA"/>
        </w:rPr>
        <w:t xml:space="preserve"> </w:t>
      </w:r>
      <w:r>
        <w:rPr>
          <w:sz w:val="18"/>
          <w:szCs w:val="18"/>
          <w:lang w:val="fr-CA"/>
        </w:rPr>
        <w:t>Conformément au</w:t>
      </w:r>
      <w:r w:rsidRPr="00AD3FFB">
        <w:rPr>
          <w:sz w:val="18"/>
          <w:szCs w:val="18"/>
          <w:lang w:val="fr-CA"/>
        </w:rPr>
        <w:t xml:space="preserve"> paragraph</w:t>
      </w:r>
      <w:r>
        <w:rPr>
          <w:sz w:val="18"/>
          <w:szCs w:val="18"/>
          <w:lang w:val="fr-CA"/>
        </w:rPr>
        <w:t>e </w:t>
      </w:r>
      <w:r w:rsidRPr="00AD3FFB">
        <w:rPr>
          <w:sz w:val="18"/>
          <w:szCs w:val="18"/>
          <w:lang w:val="fr-CA"/>
        </w:rPr>
        <w:t>1.3</w:t>
      </w:r>
      <w:r>
        <w:rPr>
          <w:sz w:val="18"/>
          <w:szCs w:val="18"/>
          <w:lang w:val="fr-CA"/>
        </w:rPr>
        <w:t xml:space="preserve"> de la procédure</w:t>
      </w:r>
      <w:r w:rsidRPr="00AD3FFB">
        <w:rPr>
          <w:sz w:val="18"/>
          <w:szCs w:val="18"/>
          <w:lang w:val="fr-CA"/>
        </w:rPr>
        <w:t>.</w:t>
      </w:r>
    </w:p>
  </w:footnote>
  <w:footnote w:id="11">
    <w:p w:rsidR="000F2D57" w:rsidRPr="00AD3FFB" w:rsidRDefault="000F2D57" w:rsidP="00921764">
      <w:pPr>
        <w:pStyle w:val="FootnoteText"/>
        <w:rPr>
          <w:sz w:val="18"/>
          <w:szCs w:val="18"/>
          <w:lang w:val="fr-CA"/>
        </w:rPr>
      </w:pPr>
      <w:r w:rsidRPr="00AD3FFB">
        <w:rPr>
          <w:rStyle w:val="FootnoteReference"/>
          <w:sz w:val="18"/>
          <w:szCs w:val="18"/>
          <w:lang w:val="fr-CA"/>
        </w:rPr>
        <w:footnoteRef/>
      </w:r>
      <w:r w:rsidRPr="00AD3FFB">
        <w:rPr>
          <w:sz w:val="18"/>
          <w:szCs w:val="18"/>
          <w:lang w:val="fr-CA"/>
        </w:rPr>
        <w:t xml:space="preserve"> </w:t>
      </w:r>
      <w:r>
        <w:rPr>
          <w:sz w:val="18"/>
          <w:szCs w:val="18"/>
          <w:lang w:val="fr-CA"/>
        </w:rPr>
        <w:t xml:space="preserve">Le </w:t>
      </w:r>
      <w:r w:rsidRPr="006228E4">
        <w:rPr>
          <w:sz w:val="18"/>
          <w:szCs w:val="18"/>
          <w:lang w:val="fr-CA"/>
        </w:rPr>
        <w:t>Comité consultatif informel sur la coopération technique et scientifique</w:t>
      </w:r>
      <w:r>
        <w:rPr>
          <w:sz w:val="18"/>
          <w:szCs w:val="18"/>
          <w:lang w:val="fr-CA"/>
        </w:rPr>
        <w:t>, à sa troisième réunion, tenue du 19 au 21 février 2024.</w:t>
      </w:r>
    </w:p>
  </w:footnote>
  <w:footnote w:id="12">
    <w:p w:rsidR="000F2D57" w:rsidRPr="00AD3FFB" w:rsidRDefault="000F2D57" w:rsidP="00B1680E">
      <w:pPr>
        <w:pStyle w:val="FootnoteText"/>
        <w:rPr>
          <w:lang w:val="fr-CA"/>
        </w:rPr>
      </w:pPr>
      <w:r w:rsidRPr="00AD3FFB">
        <w:rPr>
          <w:rStyle w:val="FootnoteReference"/>
          <w:sz w:val="18"/>
          <w:szCs w:val="18"/>
          <w:lang w:val="fr-CA"/>
        </w:rPr>
        <w:footnoteRef/>
      </w:r>
      <w:r w:rsidRPr="00AD3FFB">
        <w:rPr>
          <w:sz w:val="18"/>
          <w:szCs w:val="18"/>
          <w:lang w:val="fr-CA"/>
        </w:rPr>
        <w:t xml:space="preserve"> </w:t>
      </w:r>
      <w:r>
        <w:rPr>
          <w:sz w:val="18"/>
          <w:szCs w:val="18"/>
          <w:lang w:val="fr-CA"/>
        </w:rPr>
        <w:t>Les réunions du Groupe spécial d’experts techniques sur l’évaluation des risques, tenues du 1</w:t>
      </w:r>
      <w:r>
        <w:rPr>
          <w:sz w:val="18"/>
          <w:szCs w:val="18"/>
          <w:vertAlign w:val="superscript"/>
          <w:lang w:val="fr-CA"/>
        </w:rPr>
        <w:t>er</w:t>
      </w:r>
      <w:r>
        <w:rPr>
          <w:sz w:val="18"/>
          <w:szCs w:val="18"/>
          <w:lang w:val="fr-CA"/>
        </w:rPr>
        <w:t xml:space="preserve"> au 3 novembre 2023 et du 27 février au 1</w:t>
      </w:r>
      <w:r>
        <w:rPr>
          <w:sz w:val="18"/>
          <w:szCs w:val="18"/>
          <w:vertAlign w:val="superscript"/>
          <w:lang w:val="fr-CA"/>
        </w:rPr>
        <w:t>er</w:t>
      </w:r>
      <w:r>
        <w:rPr>
          <w:sz w:val="18"/>
          <w:szCs w:val="18"/>
          <w:lang w:val="fr-CA"/>
        </w:rPr>
        <w:t> mars 2024.</w:t>
      </w:r>
    </w:p>
  </w:footnote>
  <w:footnote w:id="13">
    <w:p w:rsidR="000F2D57" w:rsidRPr="00AD3FFB" w:rsidRDefault="000F2D57" w:rsidP="008303BE">
      <w:pPr>
        <w:pStyle w:val="FootnoteText"/>
        <w:rPr>
          <w:sz w:val="18"/>
          <w:szCs w:val="18"/>
          <w:lang w:val="fr-CA"/>
        </w:rPr>
      </w:pPr>
      <w:r w:rsidRPr="00AD3FFB">
        <w:rPr>
          <w:rStyle w:val="FootnoteReference"/>
          <w:sz w:val="18"/>
          <w:szCs w:val="18"/>
          <w:lang w:val="fr-CA"/>
        </w:rPr>
        <w:footnoteRef/>
      </w:r>
      <w:r w:rsidRPr="00AD3FFB">
        <w:rPr>
          <w:sz w:val="18"/>
          <w:szCs w:val="18"/>
          <w:lang w:val="fr-CA"/>
        </w:rPr>
        <w:t xml:space="preserve"> </w:t>
      </w:r>
      <w:r>
        <w:rPr>
          <w:sz w:val="18"/>
          <w:szCs w:val="18"/>
          <w:lang w:val="fr-CA"/>
        </w:rPr>
        <w:t>Conformément au paragraphe </w:t>
      </w:r>
      <w:r w:rsidRPr="0071324A">
        <w:rPr>
          <w:sz w:val="18"/>
          <w:szCs w:val="18"/>
        </w:rPr>
        <w:t>4</w:t>
      </w:r>
      <w:r w:rsidRPr="0071324A">
        <w:rPr>
          <w:sz w:val="18"/>
          <w:szCs w:val="18"/>
          <w:lang w:val="fr-CA"/>
        </w:rPr>
        <w:t>.5,</w:t>
      </w:r>
      <w:r w:rsidRPr="00AD3FFB">
        <w:rPr>
          <w:sz w:val="18"/>
          <w:szCs w:val="18"/>
          <w:lang w:val="fr-CA"/>
        </w:rPr>
        <w:t xml:space="preserve"> </w:t>
      </w:r>
      <w:r>
        <w:rPr>
          <w:sz w:val="18"/>
          <w:szCs w:val="18"/>
          <w:lang w:val="fr-CA"/>
        </w:rPr>
        <w:t>le désaccord est entre le Secrétariat et l’expert, mais cette formulation pourrait être élargie pour inclure les désaccords entre les experts.</w:t>
      </w:r>
    </w:p>
  </w:footnote>
  <w:footnote w:id="14">
    <w:p w:rsidR="000F2D57" w:rsidRPr="00AD3FFB" w:rsidRDefault="000F2D57" w:rsidP="00501FFB">
      <w:pPr>
        <w:pStyle w:val="FootnoteText"/>
        <w:rPr>
          <w:sz w:val="18"/>
          <w:szCs w:val="18"/>
          <w:lang w:val="fr-CA"/>
        </w:rPr>
      </w:pPr>
      <w:r w:rsidRPr="00AD3FFB">
        <w:rPr>
          <w:rStyle w:val="FootnoteReference"/>
          <w:sz w:val="18"/>
          <w:szCs w:val="18"/>
          <w:lang w:val="fr-CA"/>
        </w:rPr>
        <w:footnoteRef/>
      </w:r>
      <w:r w:rsidRPr="00AD3FFB">
        <w:rPr>
          <w:sz w:val="18"/>
          <w:szCs w:val="18"/>
          <w:lang w:val="fr-CA"/>
        </w:rPr>
        <w:t xml:space="preserve"> </w:t>
      </w:r>
      <w:r w:rsidR="00BF0861">
        <w:rPr>
          <w:sz w:val="18"/>
          <w:szCs w:val="18"/>
          <w:lang w:val="fr-CA"/>
        </w:rPr>
        <w:t xml:space="preserve">Notamment, la </w:t>
      </w:r>
      <w:r w:rsidR="00BF0861">
        <w:rPr>
          <w:iCs/>
          <w:sz w:val="18"/>
          <w:szCs w:val="18"/>
          <w:lang w:val="fr-CA"/>
        </w:rPr>
        <w:t xml:space="preserve">Convention sur le commerce international des espèces de faune et de flore sauvages menacées d’extinction, la Convention de Rotterdam, la Convention de Stockholm, l’Organisation des Nations Unies pour l’alimentation et l’agriculture, l’Organisation mondiale de la santé, le Fonds vert pour le climat, et la Plateforme intergouvernementale scientifique et politique sur la biodiversité et les </w:t>
      </w:r>
      <w:r w:rsidR="00BF0861">
        <w:rPr>
          <w:iCs/>
          <w:noProof/>
          <w:sz w:val="18"/>
          <w:szCs w:val="18"/>
          <w:lang w:val="fr-CA"/>
        </w:rPr>
        <w:t>services écosystémiques.</w:t>
      </w:r>
    </w:p>
  </w:footnote>
  <w:footnote w:id="15">
    <w:p w:rsidR="000F2D57" w:rsidRPr="00AD3FFB" w:rsidRDefault="000F2D57" w:rsidP="00016090">
      <w:pPr>
        <w:pStyle w:val="FootnoteText"/>
        <w:rPr>
          <w:sz w:val="18"/>
          <w:szCs w:val="18"/>
          <w:lang w:val="fr-CA"/>
        </w:rPr>
      </w:pPr>
      <w:r w:rsidRPr="00AD3FFB">
        <w:rPr>
          <w:rStyle w:val="FootnoteReference"/>
          <w:sz w:val="18"/>
          <w:szCs w:val="18"/>
          <w:lang w:val="fr-CA"/>
        </w:rPr>
        <w:footnoteRef/>
      </w:r>
      <w:r w:rsidRPr="00AD3FFB">
        <w:rPr>
          <w:sz w:val="18"/>
          <w:szCs w:val="18"/>
          <w:lang w:val="fr-CA"/>
        </w:rPr>
        <w:t xml:space="preserve"> Document UNEP/SPP-CWP/OEWG.2/INF/8, annex</w:t>
      </w:r>
      <w:r>
        <w:rPr>
          <w:sz w:val="18"/>
          <w:szCs w:val="18"/>
          <w:lang w:val="fr-CA"/>
        </w:rPr>
        <w:t>e</w:t>
      </w:r>
      <w:r w:rsidRPr="00AD3FFB">
        <w:rPr>
          <w:sz w:val="18"/>
          <w:szCs w:val="18"/>
          <w:lang w:val="fr-CA"/>
        </w:rPr>
        <w:t>.</w:t>
      </w:r>
      <w:r w:rsidRPr="00AD3FFB" w:rsidDel="00136762">
        <w:rPr>
          <w:sz w:val="18"/>
          <w:szCs w:val="18"/>
          <w:lang w:val="fr-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4" w:name="_Hlk137802784"/>
  <w:bookmarkStart w:id="5" w:name="_Hlk137802785"/>
  <w:p w:rsidR="000F2D57" w:rsidRPr="002B559C" w:rsidRDefault="00B80BFF"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0F2D57">
          <w:rPr>
            <w:sz w:val="20"/>
            <w:szCs w:val="20"/>
            <w:lang w:val="fr-FR"/>
          </w:rPr>
          <w:t>CBD/SBI/4/11/</w:t>
        </w:r>
        <w:proofErr w:type="spellStart"/>
        <w:r w:rsidR="000F2D57">
          <w:rPr>
            <w:sz w:val="20"/>
            <w:szCs w:val="20"/>
            <w:lang w:val="fr-FR"/>
          </w:rPr>
          <w:t>A</w:t>
        </w:r>
        <w:r w:rsidR="000F2D57">
          <w:rPr>
            <w:caps w:val="0"/>
            <w:sz w:val="20"/>
            <w:szCs w:val="20"/>
            <w:lang w:val="fr-FR"/>
          </w:rPr>
          <w:t>dd</w:t>
        </w:r>
        <w:proofErr w:type="spellEnd"/>
        <w:r w:rsidR="000F2D57">
          <w:rPr>
            <w:sz w:val="20"/>
            <w:szCs w:val="20"/>
            <w:lang w:val="fr-FR"/>
          </w:rPr>
          <w:t>.1</w:t>
        </w:r>
      </w:sdtContent>
    </w:sdt>
    <w:bookmarkEnd w:id="4"/>
    <w:bookmarkEnd w:id="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0F2D57" w:rsidRPr="002B559C" w:rsidRDefault="000F2D57" w:rsidP="002B559C">
        <w:pPr>
          <w:pStyle w:val="Header"/>
          <w:pBdr>
            <w:bottom w:val="single" w:sz="4" w:space="1" w:color="auto"/>
          </w:pBdr>
          <w:spacing w:after="240"/>
          <w:jc w:val="right"/>
          <w:rPr>
            <w:sz w:val="20"/>
            <w:szCs w:val="20"/>
            <w:lang w:val="fr-FR"/>
          </w:rPr>
        </w:pPr>
        <w:r>
          <w:rPr>
            <w:sz w:val="20"/>
            <w:szCs w:val="20"/>
            <w:lang w:val="fr-FR"/>
          </w:rPr>
          <w:t>CBD/SBI/4/11/</w:t>
        </w:r>
        <w:proofErr w:type="spellStart"/>
        <w:r>
          <w:rPr>
            <w:sz w:val="20"/>
            <w:szCs w:val="20"/>
            <w:lang w:val="fr-FR"/>
          </w:rPr>
          <w:t>A</w:t>
        </w:r>
        <w:r>
          <w:rPr>
            <w:caps w:val="0"/>
            <w:sz w:val="20"/>
            <w:szCs w:val="20"/>
            <w:lang w:val="fr-FR"/>
          </w:rPr>
          <w:t>dd</w:t>
        </w:r>
        <w:proofErr w:type="spellEnd"/>
        <w:r>
          <w:rPr>
            <w:sz w:val="20"/>
            <w:szCs w:val="20"/>
            <w:lang w:val="fr-FR"/>
          </w:rPr>
          <w:t>.1</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2BD9"/>
    <w:multiLevelType w:val="hybridMultilevel"/>
    <w:tmpl w:val="1B4E05D2"/>
    <w:lvl w:ilvl="0" w:tplc="C7F0DBE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
    <w:nsid w:val="1A2B0CC7"/>
    <w:multiLevelType w:val="hybridMultilevel"/>
    <w:tmpl w:val="39F4B59A"/>
    <w:lvl w:ilvl="0" w:tplc="889AF156">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2">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4">
    <w:nsid w:val="26DD1507"/>
    <w:multiLevelType w:val="hybridMultilevel"/>
    <w:tmpl w:val="3702A524"/>
    <w:lvl w:ilvl="0" w:tplc="FE4E86E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5">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nsid w:val="2C311D26"/>
    <w:multiLevelType w:val="hybridMultilevel"/>
    <w:tmpl w:val="8D5C9842"/>
    <w:lvl w:ilvl="0" w:tplc="40848ED8">
      <w:start w:val="1"/>
      <w:numFmt w:val="lowerRoman"/>
      <w:lvlText w:val="(%1)"/>
      <w:lvlJc w:val="left"/>
      <w:pPr>
        <w:ind w:left="1847" w:hanging="72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8">
    <w:nsid w:val="46724976"/>
    <w:multiLevelType w:val="hybridMultilevel"/>
    <w:tmpl w:val="3BB8940E"/>
    <w:lvl w:ilvl="0" w:tplc="7BDC07C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3">
    <w:nsid w:val="6192722D"/>
    <w:multiLevelType w:val="hybridMultilevel"/>
    <w:tmpl w:val="9EACCCAA"/>
    <w:lvl w:ilvl="0" w:tplc="6CC2E84E">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nsid w:val="68733E40"/>
    <w:multiLevelType w:val="hybridMultilevel"/>
    <w:tmpl w:val="C01C959A"/>
    <w:lvl w:ilvl="0" w:tplc="4E9ACD2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8B70991"/>
    <w:multiLevelType w:val="hybridMultilevel"/>
    <w:tmpl w:val="900A58B2"/>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7"/>
  </w:num>
  <w:num w:numId="3">
    <w:abstractNumId w:val="18"/>
  </w:num>
  <w:num w:numId="4">
    <w:abstractNumId w:val="2"/>
  </w:num>
  <w:num w:numId="5">
    <w:abstractNumId w:val="3"/>
  </w:num>
  <w:num w:numId="6">
    <w:abstractNumId w:val="3"/>
  </w:num>
  <w:num w:numId="7">
    <w:abstractNumId w:val="6"/>
  </w:num>
  <w:num w:numId="8">
    <w:abstractNumId w:val="11"/>
  </w:num>
  <w:num w:numId="9">
    <w:abstractNumId w:val="15"/>
  </w:num>
  <w:num w:numId="10">
    <w:abstractNumId w:val="14"/>
  </w:num>
  <w:num w:numId="11">
    <w:abstractNumId w:val="10"/>
  </w:num>
  <w:num w:numId="12">
    <w:abstractNumId w:val="5"/>
  </w:num>
  <w:num w:numId="13">
    <w:abstractNumId w:val="5"/>
    <w:lvlOverride w:ilvl="0">
      <w:startOverride w:val="1"/>
    </w:lvlOverride>
  </w:num>
  <w:num w:numId="14">
    <w:abstractNumId w:val="12"/>
  </w:num>
  <w:num w:numId="15">
    <w:abstractNumId w:val="12"/>
    <w:lvlOverride w:ilvl="0">
      <w:startOverride w:val="1"/>
    </w:lvlOverride>
  </w:num>
  <w:num w:numId="16">
    <w:abstractNumId w:val="17"/>
    <w:lvlOverride w:ilvl="0">
      <w:startOverride w:val="1"/>
    </w:lvlOverride>
  </w:num>
  <w:num w:numId="17">
    <w:abstractNumId w:val="12"/>
    <w:lvlOverride w:ilvl="0">
      <w:startOverride w:val="1"/>
    </w:lvlOverride>
  </w:num>
  <w:num w:numId="18">
    <w:abstractNumId w:val="19"/>
  </w:num>
  <w:num w:numId="19">
    <w:abstractNumId w:val="17"/>
    <w:lvlOverride w:ilvl="0">
      <w:startOverride w:val="1"/>
    </w:lvlOverride>
  </w:num>
  <w:num w:numId="20">
    <w:abstractNumId w:val="17"/>
    <w:lvlOverride w:ilvl="0">
      <w:startOverride w:val="1"/>
    </w:lvlOverride>
  </w:num>
  <w:num w:numId="21">
    <w:abstractNumId w:val="13"/>
  </w:num>
  <w:num w:numId="22">
    <w:abstractNumId w:val="1"/>
  </w:num>
  <w:num w:numId="23">
    <w:abstractNumId w:val="4"/>
  </w:num>
  <w:num w:numId="24">
    <w:abstractNumId w:val="0"/>
  </w:num>
  <w:num w:numId="25">
    <w:abstractNumId w:val="16"/>
  </w:num>
  <w:num w:numId="26">
    <w:abstractNumId w:val="7"/>
  </w:num>
  <w:num w:numId="27">
    <w:abstractNumId w:val="8"/>
  </w:num>
  <w:num w:numId="28">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attachedTemplate r:id="rId1"/>
  <w:defaultTabStop w:val="720"/>
  <w:hyphenationZone w:val="425"/>
  <w:evenAndOddHeaders/>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950E8B"/>
    <w:rsid w:val="000009B6"/>
    <w:rsid w:val="00000B1B"/>
    <w:rsid w:val="000015E7"/>
    <w:rsid w:val="00001AE3"/>
    <w:rsid w:val="000029DB"/>
    <w:rsid w:val="00002E6E"/>
    <w:rsid w:val="0000334E"/>
    <w:rsid w:val="00003400"/>
    <w:rsid w:val="0000344B"/>
    <w:rsid w:val="00004603"/>
    <w:rsid w:val="0000479A"/>
    <w:rsid w:val="00004909"/>
    <w:rsid w:val="00004B68"/>
    <w:rsid w:val="00006141"/>
    <w:rsid w:val="00010024"/>
    <w:rsid w:val="000111A1"/>
    <w:rsid w:val="00012575"/>
    <w:rsid w:val="0001496B"/>
    <w:rsid w:val="00014BF1"/>
    <w:rsid w:val="00016090"/>
    <w:rsid w:val="0001681F"/>
    <w:rsid w:val="00020DB4"/>
    <w:rsid w:val="00023EEF"/>
    <w:rsid w:val="00026E48"/>
    <w:rsid w:val="00030124"/>
    <w:rsid w:val="000311FE"/>
    <w:rsid w:val="0003210E"/>
    <w:rsid w:val="000331D1"/>
    <w:rsid w:val="0003421B"/>
    <w:rsid w:val="00034C14"/>
    <w:rsid w:val="000354EC"/>
    <w:rsid w:val="000404C5"/>
    <w:rsid w:val="00040598"/>
    <w:rsid w:val="00042449"/>
    <w:rsid w:val="00042902"/>
    <w:rsid w:val="0004417C"/>
    <w:rsid w:val="00044ABA"/>
    <w:rsid w:val="00044CDE"/>
    <w:rsid w:val="00047E68"/>
    <w:rsid w:val="00050D5F"/>
    <w:rsid w:val="00052216"/>
    <w:rsid w:val="00052535"/>
    <w:rsid w:val="00052783"/>
    <w:rsid w:val="00053051"/>
    <w:rsid w:val="000539F5"/>
    <w:rsid w:val="00054C88"/>
    <w:rsid w:val="0005623E"/>
    <w:rsid w:val="00056CDF"/>
    <w:rsid w:val="00057FA4"/>
    <w:rsid w:val="00062690"/>
    <w:rsid w:val="00063B0D"/>
    <w:rsid w:val="00065ABC"/>
    <w:rsid w:val="0006672F"/>
    <w:rsid w:val="00066EE1"/>
    <w:rsid w:val="00071341"/>
    <w:rsid w:val="00072DF4"/>
    <w:rsid w:val="00073732"/>
    <w:rsid w:val="00073C11"/>
    <w:rsid w:val="00074E49"/>
    <w:rsid w:val="00076270"/>
    <w:rsid w:val="00076358"/>
    <w:rsid w:val="00077212"/>
    <w:rsid w:val="00077929"/>
    <w:rsid w:val="00081204"/>
    <w:rsid w:val="00081D7B"/>
    <w:rsid w:val="00082365"/>
    <w:rsid w:val="000823A5"/>
    <w:rsid w:val="00082701"/>
    <w:rsid w:val="00087E94"/>
    <w:rsid w:val="00090A3E"/>
    <w:rsid w:val="00097169"/>
    <w:rsid w:val="000978E3"/>
    <w:rsid w:val="000A0391"/>
    <w:rsid w:val="000A1BA7"/>
    <w:rsid w:val="000A2334"/>
    <w:rsid w:val="000A316C"/>
    <w:rsid w:val="000A34BB"/>
    <w:rsid w:val="000A4EC8"/>
    <w:rsid w:val="000A68C0"/>
    <w:rsid w:val="000A6964"/>
    <w:rsid w:val="000A70D6"/>
    <w:rsid w:val="000A7110"/>
    <w:rsid w:val="000A7AC8"/>
    <w:rsid w:val="000A7B10"/>
    <w:rsid w:val="000A7B20"/>
    <w:rsid w:val="000A7F0A"/>
    <w:rsid w:val="000B105D"/>
    <w:rsid w:val="000B23E6"/>
    <w:rsid w:val="000B2467"/>
    <w:rsid w:val="000B2C0C"/>
    <w:rsid w:val="000B39D6"/>
    <w:rsid w:val="000B3D8D"/>
    <w:rsid w:val="000B54D0"/>
    <w:rsid w:val="000B638A"/>
    <w:rsid w:val="000B6499"/>
    <w:rsid w:val="000C0EB0"/>
    <w:rsid w:val="000C7EBE"/>
    <w:rsid w:val="000D11B6"/>
    <w:rsid w:val="000D437A"/>
    <w:rsid w:val="000E0864"/>
    <w:rsid w:val="000E0E2C"/>
    <w:rsid w:val="000E221D"/>
    <w:rsid w:val="000E2A02"/>
    <w:rsid w:val="000E2E85"/>
    <w:rsid w:val="000E3AFC"/>
    <w:rsid w:val="000E4FC2"/>
    <w:rsid w:val="000E619F"/>
    <w:rsid w:val="000E64A7"/>
    <w:rsid w:val="000E7C17"/>
    <w:rsid w:val="000F1248"/>
    <w:rsid w:val="000F2661"/>
    <w:rsid w:val="000F2D57"/>
    <w:rsid w:val="000F30F2"/>
    <w:rsid w:val="000F6BBF"/>
    <w:rsid w:val="00104F4D"/>
    <w:rsid w:val="001053F1"/>
    <w:rsid w:val="00110299"/>
    <w:rsid w:val="0011062D"/>
    <w:rsid w:val="00110FAD"/>
    <w:rsid w:val="00112B2B"/>
    <w:rsid w:val="0011372A"/>
    <w:rsid w:val="001157B2"/>
    <w:rsid w:val="00116D88"/>
    <w:rsid w:val="00117446"/>
    <w:rsid w:val="00120428"/>
    <w:rsid w:val="00120923"/>
    <w:rsid w:val="0012096D"/>
    <w:rsid w:val="00120C5B"/>
    <w:rsid w:val="00123BC0"/>
    <w:rsid w:val="001306FC"/>
    <w:rsid w:val="001310E5"/>
    <w:rsid w:val="001316EE"/>
    <w:rsid w:val="00132581"/>
    <w:rsid w:val="001337B3"/>
    <w:rsid w:val="00133DDA"/>
    <w:rsid w:val="001350F3"/>
    <w:rsid w:val="00135A89"/>
    <w:rsid w:val="00136762"/>
    <w:rsid w:val="00137069"/>
    <w:rsid w:val="00141360"/>
    <w:rsid w:val="00141F31"/>
    <w:rsid w:val="0014259A"/>
    <w:rsid w:val="00142682"/>
    <w:rsid w:val="0014311E"/>
    <w:rsid w:val="0014332A"/>
    <w:rsid w:val="00144F2F"/>
    <w:rsid w:val="001476CF"/>
    <w:rsid w:val="00147F47"/>
    <w:rsid w:val="0015089B"/>
    <w:rsid w:val="001515F3"/>
    <w:rsid w:val="0015161F"/>
    <w:rsid w:val="00152229"/>
    <w:rsid w:val="00152343"/>
    <w:rsid w:val="00153064"/>
    <w:rsid w:val="001530C9"/>
    <w:rsid w:val="00153C45"/>
    <w:rsid w:val="00154C8D"/>
    <w:rsid w:val="0015544B"/>
    <w:rsid w:val="00160534"/>
    <w:rsid w:val="00162927"/>
    <w:rsid w:val="00164A01"/>
    <w:rsid w:val="00165AC5"/>
    <w:rsid w:val="00165FAC"/>
    <w:rsid w:val="001661F7"/>
    <w:rsid w:val="001664FC"/>
    <w:rsid w:val="0016728A"/>
    <w:rsid w:val="00167786"/>
    <w:rsid w:val="00167D4E"/>
    <w:rsid w:val="001701DF"/>
    <w:rsid w:val="001734E1"/>
    <w:rsid w:val="00175B7A"/>
    <w:rsid w:val="0017655A"/>
    <w:rsid w:val="00177CCF"/>
    <w:rsid w:val="00180657"/>
    <w:rsid w:val="00182017"/>
    <w:rsid w:val="00182789"/>
    <w:rsid w:val="00182EEB"/>
    <w:rsid w:val="00183540"/>
    <w:rsid w:val="00184689"/>
    <w:rsid w:val="00184909"/>
    <w:rsid w:val="00185599"/>
    <w:rsid w:val="001855FA"/>
    <w:rsid w:val="0018798F"/>
    <w:rsid w:val="001915D6"/>
    <w:rsid w:val="00192690"/>
    <w:rsid w:val="00193C63"/>
    <w:rsid w:val="001949B8"/>
    <w:rsid w:val="00194F74"/>
    <w:rsid w:val="0019654D"/>
    <w:rsid w:val="00196612"/>
    <w:rsid w:val="001A249E"/>
    <w:rsid w:val="001A4F6B"/>
    <w:rsid w:val="001A79A6"/>
    <w:rsid w:val="001B06EB"/>
    <w:rsid w:val="001B09EF"/>
    <w:rsid w:val="001B193D"/>
    <w:rsid w:val="001B1BC2"/>
    <w:rsid w:val="001B220D"/>
    <w:rsid w:val="001B42D5"/>
    <w:rsid w:val="001B4780"/>
    <w:rsid w:val="001B4788"/>
    <w:rsid w:val="001B5731"/>
    <w:rsid w:val="001B5D6C"/>
    <w:rsid w:val="001B7425"/>
    <w:rsid w:val="001C0485"/>
    <w:rsid w:val="001C45FB"/>
    <w:rsid w:val="001C5FD8"/>
    <w:rsid w:val="001D39D6"/>
    <w:rsid w:val="001D3C1E"/>
    <w:rsid w:val="001D52E6"/>
    <w:rsid w:val="001D7501"/>
    <w:rsid w:val="001D7A24"/>
    <w:rsid w:val="001E03B3"/>
    <w:rsid w:val="001E06AB"/>
    <w:rsid w:val="001E18C8"/>
    <w:rsid w:val="001E21A2"/>
    <w:rsid w:val="001E2D1D"/>
    <w:rsid w:val="001E5427"/>
    <w:rsid w:val="001E54A8"/>
    <w:rsid w:val="001E6278"/>
    <w:rsid w:val="001E6466"/>
    <w:rsid w:val="001E6C37"/>
    <w:rsid w:val="001E7FA2"/>
    <w:rsid w:val="001F009D"/>
    <w:rsid w:val="001F1FEE"/>
    <w:rsid w:val="001F62F2"/>
    <w:rsid w:val="001F7045"/>
    <w:rsid w:val="002006E6"/>
    <w:rsid w:val="00200C8C"/>
    <w:rsid w:val="00200CE6"/>
    <w:rsid w:val="00202230"/>
    <w:rsid w:val="0020333A"/>
    <w:rsid w:val="00203BBF"/>
    <w:rsid w:val="00203FE8"/>
    <w:rsid w:val="0020496A"/>
    <w:rsid w:val="00205188"/>
    <w:rsid w:val="002074F8"/>
    <w:rsid w:val="00210431"/>
    <w:rsid w:val="00211DBB"/>
    <w:rsid w:val="00212BB1"/>
    <w:rsid w:val="00212DA8"/>
    <w:rsid w:val="00214868"/>
    <w:rsid w:val="00214AE2"/>
    <w:rsid w:val="00215F4A"/>
    <w:rsid w:val="002174BE"/>
    <w:rsid w:val="00221DCF"/>
    <w:rsid w:val="002223B6"/>
    <w:rsid w:val="00223001"/>
    <w:rsid w:val="00226BDA"/>
    <w:rsid w:val="00226D55"/>
    <w:rsid w:val="002273D5"/>
    <w:rsid w:val="00231FEF"/>
    <w:rsid w:val="00233136"/>
    <w:rsid w:val="002349A2"/>
    <w:rsid w:val="00234F98"/>
    <w:rsid w:val="00235017"/>
    <w:rsid w:val="00235F7A"/>
    <w:rsid w:val="002364F1"/>
    <w:rsid w:val="0023792C"/>
    <w:rsid w:val="002432F4"/>
    <w:rsid w:val="002442F1"/>
    <w:rsid w:val="00245E45"/>
    <w:rsid w:val="00246885"/>
    <w:rsid w:val="00246A62"/>
    <w:rsid w:val="00246F8E"/>
    <w:rsid w:val="00247032"/>
    <w:rsid w:val="00247086"/>
    <w:rsid w:val="002477EA"/>
    <w:rsid w:val="0025000B"/>
    <w:rsid w:val="0025066D"/>
    <w:rsid w:val="002515B7"/>
    <w:rsid w:val="002517A1"/>
    <w:rsid w:val="0025308F"/>
    <w:rsid w:val="002532EB"/>
    <w:rsid w:val="00253DF6"/>
    <w:rsid w:val="00254442"/>
    <w:rsid w:val="00254575"/>
    <w:rsid w:val="00256731"/>
    <w:rsid w:val="002578A4"/>
    <w:rsid w:val="00260C1D"/>
    <w:rsid w:val="00260E05"/>
    <w:rsid w:val="0026255C"/>
    <w:rsid w:val="00263372"/>
    <w:rsid w:val="00264891"/>
    <w:rsid w:val="00266DDB"/>
    <w:rsid w:val="00267084"/>
    <w:rsid w:val="00271542"/>
    <w:rsid w:val="002741BC"/>
    <w:rsid w:val="00274D03"/>
    <w:rsid w:val="00275459"/>
    <w:rsid w:val="00276C21"/>
    <w:rsid w:val="00277587"/>
    <w:rsid w:val="00277806"/>
    <w:rsid w:val="00280618"/>
    <w:rsid w:val="00280DF4"/>
    <w:rsid w:val="00281CED"/>
    <w:rsid w:val="00281FD1"/>
    <w:rsid w:val="00282CF6"/>
    <w:rsid w:val="0028347E"/>
    <w:rsid w:val="002835A5"/>
    <w:rsid w:val="00283A0C"/>
    <w:rsid w:val="00285B3D"/>
    <w:rsid w:val="002903A3"/>
    <w:rsid w:val="00292BD9"/>
    <w:rsid w:val="002951EC"/>
    <w:rsid w:val="00295677"/>
    <w:rsid w:val="0029651B"/>
    <w:rsid w:val="002A2211"/>
    <w:rsid w:val="002A2F09"/>
    <w:rsid w:val="002A422F"/>
    <w:rsid w:val="002A52CC"/>
    <w:rsid w:val="002A6737"/>
    <w:rsid w:val="002A722E"/>
    <w:rsid w:val="002A7295"/>
    <w:rsid w:val="002B00CA"/>
    <w:rsid w:val="002B089E"/>
    <w:rsid w:val="002B1210"/>
    <w:rsid w:val="002B1685"/>
    <w:rsid w:val="002B3BFA"/>
    <w:rsid w:val="002B4C73"/>
    <w:rsid w:val="002B559C"/>
    <w:rsid w:val="002B77CF"/>
    <w:rsid w:val="002C2FE5"/>
    <w:rsid w:val="002C3D1C"/>
    <w:rsid w:val="002C50E9"/>
    <w:rsid w:val="002C5830"/>
    <w:rsid w:val="002C5E5B"/>
    <w:rsid w:val="002C5EAA"/>
    <w:rsid w:val="002C662D"/>
    <w:rsid w:val="002C66E0"/>
    <w:rsid w:val="002C6991"/>
    <w:rsid w:val="002C7165"/>
    <w:rsid w:val="002C738E"/>
    <w:rsid w:val="002D0547"/>
    <w:rsid w:val="002D1687"/>
    <w:rsid w:val="002D17FF"/>
    <w:rsid w:val="002D3057"/>
    <w:rsid w:val="002D34C7"/>
    <w:rsid w:val="002D4404"/>
    <w:rsid w:val="002D6626"/>
    <w:rsid w:val="002D7B06"/>
    <w:rsid w:val="002E0FE6"/>
    <w:rsid w:val="002E131A"/>
    <w:rsid w:val="002E2C96"/>
    <w:rsid w:val="002E413C"/>
    <w:rsid w:val="002E532B"/>
    <w:rsid w:val="002E5352"/>
    <w:rsid w:val="002E5A77"/>
    <w:rsid w:val="002E5C2B"/>
    <w:rsid w:val="002F146C"/>
    <w:rsid w:val="002F16DF"/>
    <w:rsid w:val="002F1FC8"/>
    <w:rsid w:val="002F2837"/>
    <w:rsid w:val="002F2F2B"/>
    <w:rsid w:val="002F2FE6"/>
    <w:rsid w:val="002F35D6"/>
    <w:rsid w:val="002F3A18"/>
    <w:rsid w:val="002F3AF4"/>
    <w:rsid w:val="002F444F"/>
    <w:rsid w:val="002F53CC"/>
    <w:rsid w:val="002F72CB"/>
    <w:rsid w:val="00300A80"/>
    <w:rsid w:val="00300C5F"/>
    <w:rsid w:val="0030154F"/>
    <w:rsid w:val="0030561F"/>
    <w:rsid w:val="00305642"/>
    <w:rsid w:val="00307308"/>
    <w:rsid w:val="00310608"/>
    <w:rsid w:val="003108DA"/>
    <w:rsid w:val="00312C43"/>
    <w:rsid w:val="003134EE"/>
    <w:rsid w:val="003135A2"/>
    <w:rsid w:val="003159BA"/>
    <w:rsid w:val="00315F40"/>
    <w:rsid w:val="00315F89"/>
    <w:rsid w:val="0031684A"/>
    <w:rsid w:val="003170D5"/>
    <w:rsid w:val="0032092F"/>
    <w:rsid w:val="00321198"/>
    <w:rsid w:val="00322947"/>
    <w:rsid w:val="00323236"/>
    <w:rsid w:val="00323503"/>
    <w:rsid w:val="00323F22"/>
    <w:rsid w:val="00324477"/>
    <w:rsid w:val="00324C09"/>
    <w:rsid w:val="00326D02"/>
    <w:rsid w:val="00327384"/>
    <w:rsid w:val="00331EB1"/>
    <w:rsid w:val="00331ED8"/>
    <w:rsid w:val="00333AC2"/>
    <w:rsid w:val="0033412F"/>
    <w:rsid w:val="00336153"/>
    <w:rsid w:val="00336AF0"/>
    <w:rsid w:val="003400EC"/>
    <w:rsid w:val="00341DD6"/>
    <w:rsid w:val="003425F7"/>
    <w:rsid w:val="003426AC"/>
    <w:rsid w:val="003430CD"/>
    <w:rsid w:val="003434A0"/>
    <w:rsid w:val="00343D34"/>
    <w:rsid w:val="00344CCD"/>
    <w:rsid w:val="00345AB4"/>
    <w:rsid w:val="00346108"/>
    <w:rsid w:val="003476A9"/>
    <w:rsid w:val="00347AC8"/>
    <w:rsid w:val="003504B5"/>
    <w:rsid w:val="00350751"/>
    <w:rsid w:val="00352B64"/>
    <w:rsid w:val="00353085"/>
    <w:rsid w:val="00353422"/>
    <w:rsid w:val="0035526B"/>
    <w:rsid w:val="00355B70"/>
    <w:rsid w:val="00356B90"/>
    <w:rsid w:val="00356E91"/>
    <w:rsid w:val="00356F49"/>
    <w:rsid w:val="00357142"/>
    <w:rsid w:val="00361785"/>
    <w:rsid w:val="00361BC0"/>
    <w:rsid w:val="0036387B"/>
    <w:rsid w:val="00365B03"/>
    <w:rsid w:val="003674FB"/>
    <w:rsid w:val="00370927"/>
    <w:rsid w:val="003730B0"/>
    <w:rsid w:val="0037460D"/>
    <w:rsid w:val="003758D3"/>
    <w:rsid w:val="00376B8C"/>
    <w:rsid w:val="00382EBE"/>
    <w:rsid w:val="00386BA4"/>
    <w:rsid w:val="00386D6C"/>
    <w:rsid w:val="003876DB"/>
    <w:rsid w:val="003901A1"/>
    <w:rsid w:val="00391865"/>
    <w:rsid w:val="00392B04"/>
    <w:rsid w:val="003944CA"/>
    <w:rsid w:val="003957CF"/>
    <w:rsid w:val="00395A6E"/>
    <w:rsid w:val="0039758F"/>
    <w:rsid w:val="003975C3"/>
    <w:rsid w:val="003A0465"/>
    <w:rsid w:val="003A0704"/>
    <w:rsid w:val="003A106A"/>
    <w:rsid w:val="003A13B3"/>
    <w:rsid w:val="003A183C"/>
    <w:rsid w:val="003A335E"/>
    <w:rsid w:val="003A4B77"/>
    <w:rsid w:val="003A52CB"/>
    <w:rsid w:val="003A60F0"/>
    <w:rsid w:val="003A6876"/>
    <w:rsid w:val="003A6E1D"/>
    <w:rsid w:val="003A7209"/>
    <w:rsid w:val="003B0924"/>
    <w:rsid w:val="003B1BF3"/>
    <w:rsid w:val="003B3176"/>
    <w:rsid w:val="003B4A4D"/>
    <w:rsid w:val="003B6F99"/>
    <w:rsid w:val="003B710F"/>
    <w:rsid w:val="003B7A21"/>
    <w:rsid w:val="003B7D91"/>
    <w:rsid w:val="003C0F07"/>
    <w:rsid w:val="003C13E1"/>
    <w:rsid w:val="003C213F"/>
    <w:rsid w:val="003C2DB7"/>
    <w:rsid w:val="003C3044"/>
    <w:rsid w:val="003C4B0A"/>
    <w:rsid w:val="003C6E8D"/>
    <w:rsid w:val="003C6EC1"/>
    <w:rsid w:val="003C6F10"/>
    <w:rsid w:val="003C7FB4"/>
    <w:rsid w:val="003D0606"/>
    <w:rsid w:val="003D1B8E"/>
    <w:rsid w:val="003D3671"/>
    <w:rsid w:val="003D40C0"/>
    <w:rsid w:val="003D5314"/>
    <w:rsid w:val="003D5725"/>
    <w:rsid w:val="003D5AA9"/>
    <w:rsid w:val="003D6886"/>
    <w:rsid w:val="003D794E"/>
    <w:rsid w:val="003E0A26"/>
    <w:rsid w:val="003E1152"/>
    <w:rsid w:val="003E23FF"/>
    <w:rsid w:val="003E2C85"/>
    <w:rsid w:val="003E563F"/>
    <w:rsid w:val="003E6CA7"/>
    <w:rsid w:val="003F0D2C"/>
    <w:rsid w:val="003F4D97"/>
    <w:rsid w:val="003F7B75"/>
    <w:rsid w:val="004002DB"/>
    <w:rsid w:val="00401E9A"/>
    <w:rsid w:val="00402299"/>
    <w:rsid w:val="0040234F"/>
    <w:rsid w:val="00403031"/>
    <w:rsid w:val="0040353C"/>
    <w:rsid w:val="004041AB"/>
    <w:rsid w:val="00405032"/>
    <w:rsid w:val="00410850"/>
    <w:rsid w:val="0041087E"/>
    <w:rsid w:val="00410AD5"/>
    <w:rsid w:val="00411515"/>
    <w:rsid w:val="00411860"/>
    <w:rsid w:val="00412A85"/>
    <w:rsid w:val="004130F6"/>
    <w:rsid w:val="0041499E"/>
    <w:rsid w:val="00417176"/>
    <w:rsid w:val="00417DFE"/>
    <w:rsid w:val="0042393C"/>
    <w:rsid w:val="00426E41"/>
    <w:rsid w:val="00427292"/>
    <w:rsid w:val="00430278"/>
    <w:rsid w:val="00431E66"/>
    <w:rsid w:val="00432C90"/>
    <w:rsid w:val="004335A5"/>
    <w:rsid w:val="004335E2"/>
    <w:rsid w:val="00433E27"/>
    <w:rsid w:val="00433EB8"/>
    <w:rsid w:val="00433F0E"/>
    <w:rsid w:val="00434FB8"/>
    <w:rsid w:val="00435610"/>
    <w:rsid w:val="00437E69"/>
    <w:rsid w:val="004402CE"/>
    <w:rsid w:val="00441498"/>
    <w:rsid w:val="0044419B"/>
    <w:rsid w:val="00445862"/>
    <w:rsid w:val="0044613D"/>
    <w:rsid w:val="00447792"/>
    <w:rsid w:val="00451D71"/>
    <w:rsid w:val="00452CCB"/>
    <w:rsid w:val="0045334F"/>
    <w:rsid w:val="004561F9"/>
    <w:rsid w:val="00457BE3"/>
    <w:rsid w:val="00460481"/>
    <w:rsid w:val="00463123"/>
    <w:rsid w:val="00464417"/>
    <w:rsid w:val="00464AA4"/>
    <w:rsid w:val="004660C2"/>
    <w:rsid w:val="00467750"/>
    <w:rsid w:val="004701EE"/>
    <w:rsid w:val="004711BD"/>
    <w:rsid w:val="00471DC4"/>
    <w:rsid w:val="004730EB"/>
    <w:rsid w:val="0047390E"/>
    <w:rsid w:val="0047595F"/>
    <w:rsid w:val="00480418"/>
    <w:rsid w:val="00480A8D"/>
    <w:rsid w:val="00480D81"/>
    <w:rsid w:val="004831D7"/>
    <w:rsid w:val="0048379B"/>
    <w:rsid w:val="00483EFA"/>
    <w:rsid w:val="004842B1"/>
    <w:rsid w:val="00484A9C"/>
    <w:rsid w:val="0048555E"/>
    <w:rsid w:val="00486A46"/>
    <w:rsid w:val="0048765F"/>
    <w:rsid w:val="00487F29"/>
    <w:rsid w:val="00487F47"/>
    <w:rsid w:val="004903B7"/>
    <w:rsid w:val="00491C45"/>
    <w:rsid w:val="00494CCB"/>
    <w:rsid w:val="00494F61"/>
    <w:rsid w:val="00497217"/>
    <w:rsid w:val="00497F5C"/>
    <w:rsid w:val="004A06FB"/>
    <w:rsid w:val="004A2A2D"/>
    <w:rsid w:val="004A3181"/>
    <w:rsid w:val="004A575D"/>
    <w:rsid w:val="004A6384"/>
    <w:rsid w:val="004B0586"/>
    <w:rsid w:val="004B241B"/>
    <w:rsid w:val="004B3E4C"/>
    <w:rsid w:val="004B4389"/>
    <w:rsid w:val="004B4B3A"/>
    <w:rsid w:val="004B51DB"/>
    <w:rsid w:val="004B52F3"/>
    <w:rsid w:val="004B7F07"/>
    <w:rsid w:val="004C0944"/>
    <w:rsid w:val="004C10D3"/>
    <w:rsid w:val="004C15F3"/>
    <w:rsid w:val="004C52DE"/>
    <w:rsid w:val="004C5FDA"/>
    <w:rsid w:val="004C6895"/>
    <w:rsid w:val="004C711A"/>
    <w:rsid w:val="004D03E5"/>
    <w:rsid w:val="004D0DD3"/>
    <w:rsid w:val="004D0FCE"/>
    <w:rsid w:val="004D1649"/>
    <w:rsid w:val="004D18A6"/>
    <w:rsid w:val="004D2CFA"/>
    <w:rsid w:val="004D4984"/>
    <w:rsid w:val="004D49BC"/>
    <w:rsid w:val="004D4C06"/>
    <w:rsid w:val="004D61A3"/>
    <w:rsid w:val="004D7D30"/>
    <w:rsid w:val="004D7F48"/>
    <w:rsid w:val="004E08AB"/>
    <w:rsid w:val="004E1771"/>
    <w:rsid w:val="004E1784"/>
    <w:rsid w:val="004E2590"/>
    <w:rsid w:val="004E2788"/>
    <w:rsid w:val="004E2B7A"/>
    <w:rsid w:val="004E4856"/>
    <w:rsid w:val="004E7CD3"/>
    <w:rsid w:val="004E7F24"/>
    <w:rsid w:val="004F229D"/>
    <w:rsid w:val="004F486B"/>
    <w:rsid w:val="004F6D34"/>
    <w:rsid w:val="00501FFB"/>
    <w:rsid w:val="00503633"/>
    <w:rsid w:val="00503A8E"/>
    <w:rsid w:val="005054F5"/>
    <w:rsid w:val="00505871"/>
    <w:rsid w:val="00505A2C"/>
    <w:rsid w:val="00505E7B"/>
    <w:rsid w:val="00507EDF"/>
    <w:rsid w:val="005102D0"/>
    <w:rsid w:val="00510873"/>
    <w:rsid w:val="005109FF"/>
    <w:rsid w:val="00513DE4"/>
    <w:rsid w:val="0051593E"/>
    <w:rsid w:val="005159AF"/>
    <w:rsid w:val="00516210"/>
    <w:rsid w:val="00521A67"/>
    <w:rsid w:val="00521EF5"/>
    <w:rsid w:val="00522E10"/>
    <w:rsid w:val="00523AB3"/>
    <w:rsid w:val="00523BCA"/>
    <w:rsid w:val="005271A0"/>
    <w:rsid w:val="00527DA2"/>
    <w:rsid w:val="00530185"/>
    <w:rsid w:val="005318E6"/>
    <w:rsid w:val="005328BB"/>
    <w:rsid w:val="00532A05"/>
    <w:rsid w:val="00532A18"/>
    <w:rsid w:val="00532E23"/>
    <w:rsid w:val="00534CE2"/>
    <w:rsid w:val="00536624"/>
    <w:rsid w:val="00536A70"/>
    <w:rsid w:val="00537248"/>
    <w:rsid w:val="005373FE"/>
    <w:rsid w:val="00540168"/>
    <w:rsid w:val="00540A70"/>
    <w:rsid w:val="00540AC1"/>
    <w:rsid w:val="0054186F"/>
    <w:rsid w:val="00541DEE"/>
    <w:rsid w:val="005424A6"/>
    <w:rsid w:val="005425E8"/>
    <w:rsid w:val="005439FA"/>
    <w:rsid w:val="00550678"/>
    <w:rsid w:val="00550FA8"/>
    <w:rsid w:val="005512EA"/>
    <w:rsid w:val="00552D5B"/>
    <w:rsid w:val="0055429E"/>
    <w:rsid w:val="00554C6C"/>
    <w:rsid w:val="00554E86"/>
    <w:rsid w:val="00555700"/>
    <w:rsid w:val="00555771"/>
    <w:rsid w:val="00557176"/>
    <w:rsid w:val="0055720A"/>
    <w:rsid w:val="00560038"/>
    <w:rsid w:val="00561217"/>
    <w:rsid w:val="00562882"/>
    <w:rsid w:val="005628D9"/>
    <w:rsid w:val="00562FF6"/>
    <w:rsid w:val="00563917"/>
    <w:rsid w:val="00565B1F"/>
    <w:rsid w:val="0057062E"/>
    <w:rsid w:val="00572567"/>
    <w:rsid w:val="00574E02"/>
    <w:rsid w:val="005752DB"/>
    <w:rsid w:val="00576013"/>
    <w:rsid w:val="00576063"/>
    <w:rsid w:val="005777C1"/>
    <w:rsid w:val="00580F03"/>
    <w:rsid w:val="00581568"/>
    <w:rsid w:val="0058327C"/>
    <w:rsid w:val="00583541"/>
    <w:rsid w:val="005845D7"/>
    <w:rsid w:val="00584F68"/>
    <w:rsid w:val="00586651"/>
    <w:rsid w:val="00586AEC"/>
    <w:rsid w:val="0058766E"/>
    <w:rsid w:val="00590409"/>
    <w:rsid w:val="00591BCD"/>
    <w:rsid w:val="005942B3"/>
    <w:rsid w:val="0059481F"/>
    <w:rsid w:val="0059527E"/>
    <w:rsid w:val="005959F5"/>
    <w:rsid w:val="00596B28"/>
    <w:rsid w:val="00596C3A"/>
    <w:rsid w:val="0059718E"/>
    <w:rsid w:val="0059792B"/>
    <w:rsid w:val="005A047C"/>
    <w:rsid w:val="005A206E"/>
    <w:rsid w:val="005A25F7"/>
    <w:rsid w:val="005A2ADD"/>
    <w:rsid w:val="005A306A"/>
    <w:rsid w:val="005A6F87"/>
    <w:rsid w:val="005A71E8"/>
    <w:rsid w:val="005A7C8B"/>
    <w:rsid w:val="005A7D31"/>
    <w:rsid w:val="005B0883"/>
    <w:rsid w:val="005B189A"/>
    <w:rsid w:val="005B2B76"/>
    <w:rsid w:val="005B3B9D"/>
    <w:rsid w:val="005B3F17"/>
    <w:rsid w:val="005B40CA"/>
    <w:rsid w:val="005B4228"/>
    <w:rsid w:val="005B467A"/>
    <w:rsid w:val="005B5572"/>
    <w:rsid w:val="005B6798"/>
    <w:rsid w:val="005C181D"/>
    <w:rsid w:val="005C203B"/>
    <w:rsid w:val="005C4F9D"/>
    <w:rsid w:val="005C5ABC"/>
    <w:rsid w:val="005C5C71"/>
    <w:rsid w:val="005C6ABD"/>
    <w:rsid w:val="005D172D"/>
    <w:rsid w:val="005D1749"/>
    <w:rsid w:val="005D176C"/>
    <w:rsid w:val="005D3A6C"/>
    <w:rsid w:val="005D41B7"/>
    <w:rsid w:val="005D4561"/>
    <w:rsid w:val="005D57F6"/>
    <w:rsid w:val="005D771C"/>
    <w:rsid w:val="005D7F4B"/>
    <w:rsid w:val="005E0017"/>
    <w:rsid w:val="005E035F"/>
    <w:rsid w:val="005E07B9"/>
    <w:rsid w:val="005E0CF9"/>
    <w:rsid w:val="005E2605"/>
    <w:rsid w:val="005E39F1"/>
    <w:rsid w:val="005E4E0F"/>
    <w:rsid w:val="005E5818"/>
    <w:rsid w:val="005E5A86"/>
    <w:rsid w:val="005E7F55"/>
    <w:rsid w:val="005F2C4F"/>
    <w:rsid w:val="005F33C7"/>
    <w:rsid w:val="005F7BA4"/>
    <w:rsid w:val="005F7DCE"/>
    <w:rsid w:val="0060101A"/>
    <w:rsid w:val="00603890"/>
    <w:rsid w:val="00603D25"/>
    <w:rsid w:val="00604F0D"/>
    <w:rsid w:val="00605F2C"/>
    <w:rsid w:val="006066A4"/>
    <w:rsid w:val="0060735B"/>
    <w:rsid w:val="00607F9B"/>
    <w:rsid w:val="006108A1"/>
    <w:rsid w:val="00610BAD"/>
    <w:rsid w:val="00611A7C"/>
    <w:rsid w:val="006130AA"/>
    <w:rsid w:val="00613137"/>
    <w:rsid w:val="006142B6"/>
    <w:rsid w:val="00615307"/>
    <w:rsid w:val="00615B2D"/>
    <w:rsid w:val="00616950"/>
    <w:rsid w:val="00617A86"/>
    <w:rsid w:val="00620094"/>
    <w:rsid w:val="00621D9B"/>
    <w:rsid w:val="006224D5"/>
    <w:rsid w:val="006228E4"/>
    <w:rsid w:val="00622BBF"/>
    <w:rsid w:val="00623DFE"/>
    <w:rsid w:val="0062508D"/>
    <w:rsid w:val="00625C20"/>
    <w:rsid w:val="0062677D"/>
    <w:rsid w:val="006277B1"/>
    <w:rsid w:val="0063044A"/>
    <w:rsid w:val="0063125E"/>
    <w:rsid w:val="006323AF"/>
    <w:rsid w:val="0064377A"/>
    <w:rsid w:val="00643CB4"/>
    <w:rsid w:val="00644F9B"/>
    <w:rsid w:val="00645AB7"/>
    <w:rsid w:val="00645AE7"/>
    <w:rsid w:val="00646819"/>
    <w:rsid w:val="0064755F"/>
    <w:rsid w:val="00647A0E"/>
    <w:rsid w:val="00647A4A"/>
    <w:rsid w:val="00650545"/>
    <w:rsid w:val="00650DF3"/>
    <w:rsid w:val="00650ED8"/>
    <w:rsid w:val="006516A9"/>
    <w:rsid w:val="00652833"/>
    <w:rsid w:val="00652BF8"/>
    <w:rsid w:val="00652EE3"/>
    <w:rsid w:val="00653F60"/>
    <w:rsid w:val="00654785"/>
    <w:rsid w:val="00654FDD"/>
    <w:rsid w:val="00655559"/>
    <w:rsid w:val="00655ADF"/>
    <w:rsid w:val="00656EE6"/>
    <w:rsid w:val="00657384"/>
    <w:rsid w:val="00657E35"/>
    <w:rsid w:val="00657ED6"/>
    <w:rsid w:val="006605BF"/>
    <w:rsid w:val="00662A3F"/>
    <w:rsid w:val="00663ECF"/>
    <w:rsid w:val="00665259"/>
    <w:rsid w:val="0066614A"/>
    <w:rsid w:val="00667156"/>
    <w:rsid w:val="006677F2"/>
    <w:rsid w:val="006679A6"/>
    <w:rsid w:val="0067514B"/>
    <w:rsid w:val="006766A7"/>
    <w:rsid w:val="00677825"/>
    <w:rsid w:val="006800AF"/>
    <w:rsid w:val="006806C0"/>
    <w:rsid w:val="00683CCF"/>
    <w:rsid w:val="00686DE3"/>
    <w:rsid w:val="00691B91"/>
    <w:rsid w:val="00692B4F"/>
    <w:rsid w:val="00693BA7"/>
    <w:rsid w:val="006942EE"/>
    <w:rsid w:val="00695E7B"/>
    <w:rsid w:val="00696BE8"/>
    <w:rsid w:val="006A1A86"/>
    <w:rsid w:val="006A23A1"/>
    <w:rsid w:val="006A2B7D"/>
    <w:rsid w:val="006A3685"/>
    <w:rsid w:val="006A3CBC"/>
    <w:rsid w:val="006A42CA"/>
    <w:rsid w:val="006A4535"/>
    <w:rsid w:val="006A4E3F"/>
    <w:rsid w:val="006A7C2C"/>
    <w:rsid w:val="006A7EFA"/>
    <w:rsid w:val="006B22E7"/>
    <w:rsid w:val="006B293D"/>
    <w:rsid w:val="006B33C2"/>
    <w:rsid w:val="006B3A68"/>
    <w:rsid w:val="006B75A9"/>
    <w:rsid w:val="006B7A05"/>
    <w:rsid w:val="006C137D"/>
    <w:rsid w:val="006C1DBA"/>
    <w:rsid w:val="006C2175"/>
    <w:rsid w:val="006C35BD"/>
    <w:rsid w:val="006C3B51"/>
    <w:rsid w:val="006C488C"/>
    <w:rsid w:val="006C4E67"/>
    <w:rsid w:val="006C54EE"/>
    <w:rsid w:val="006C5598"/>
    <w:rsid w:val="006C5F78"/>
    <w:rsid w:val="006C6267"/>
    <w:rsid w:val="006C6C21"/>
    <w:rsid w:val="006D0960"/>
    <w:rsid w:val="006D2DD3"/>
    <w:rsid w:val="006D3CA2"/>
    <w:rsid w:val="006D4145"/>
    <w:rsid w:val="006D45F3"/>
    <w:rsid w:val="006D57A7"/>
    <w:rsid w:val="006D62C0"/>
    <w:rsid w:val="006D764B"/>
    <w:rsid w:val="006E05CC"/>
    <w:rsid w:val="006E0FB3"/>
    <w:rsid w:val="006E2D26"/>
    <w:rsid w:val="006E33BE"/>
    <w:rsid w:val="006E368B"/>
    <w:rsid w:val="006E4743"/>
    <w:rsid w:val="006E5187"/>
    <w:rsid w:val="006E563A"/>
    <w:rsid w:val="006E6D4C"/>
    <w:rsid w:val="006F099E"/>
    <w:rsid w:val="006F0F39"/>
    <w:rsid w:val="006F293E"/>
    <w:rsid w:val="006F2ACF"/>
    <w:rsid w:val="006F373B"/>
    <w:rsid w:val="006F3820"/>
    <w:rsid w:val="006F3ED0"/>
    <w:rsid w:val="006F409A"/>
    <w:rsid w:val="006F4FA2"/>
    <w:rsid w:val="006F59B2"/>
    <w:rsid w:val="006F63B5"/>
    <w:rsid w:val="00700745"/>
    <w:rsid w:val="00701422"/>
    <w:rsid w:val="00701D05"/>
    <w:rsid w:val="00703F67"/>
    <w:rsid w:val="00704638"/>
    <w:rsid w:val="007054B2"/>
    <w:rsid w:val="00705D65"/>
    <w:rsid w:val="007060BE"/>
    <w:rsid w:val="00711237"/>
    <w:rsid w:val="00711B2C"/>
    <w:rsid w:val="00712664"/>
    <w:rsid w:val="0071324A"/>
    <w:rsid w:val="00715642"/>
    <w:rsid w:val="00715B6A"/>
    <w:rsid w:val="00715BBB"/>
    <w:rsid w:val="007160F0"/>
    <w:rsid w:val="00716234"/>
    <w:rsid w:val="007166A2"/>
    <w:rsid w:val="0073018E"/>
    <w:rsid w:val="00730A6B"/>
    <w:rsid w:val="00731662"/>
    <w:rsid w:val="00733C76"/>
    <w:rsid w:val="007341A1"/>
    <w:rsid w:val="0073589D"/>
    <w:rsid w:val="00736271"/>
    <w:rsid w:val="0073638A"/>
    <w:rsid w:val="0073663B"/>
    <w:rsid w:val="007368A4"/>
    <w:rsid w:val="00736E64"/>
    <w:rsid w:val="00737CC0"/>
    <w:rsid w:val="007405E6"/>
    <w:rsid w:val="00742826"/>
    <w:rsid w:val="00743608"/>
    <w:rsid w:val="00743D16"/>
    <w:rsid w:val="0074478E"/>
    <w:rsid w:val="00750816"/>
    <w:rsid w:val="00751087"/>
    <w:rsid w:val="007525F2"/>
    <w:rsid w:val="00752F23"/>
    <w:rsid w:val="007561BE"/>
    <w:rsid w:val="00757BF2"/>
    <w:rsid w:val="00760876"/>
    <w:rsid w:val="00760CB8"/>
    <w:rsid w:val="00761F8E"/>
    <w:rsid w:val="007620D1"/>
    <w:rsid w:val="00763D40"/>
    <w:rsid w:val="007640BA"/>
    <w:rsid w:val="00765A5E"/>
    <w:rsid w:val="00766F28"/>
    <w:rsid w:val="00770619"/>
    <w:rsid w:val="00771253"/>
    <w:rsid w:val="00772630"/>
    <w:rsid w:val="00772D54"/>
    <w:rsid w:val="00772D94"/>
    <w:rsid w:val="00773751"/>
    <w:rsid w:val="00773B48"/>
    <w:rsid w:val="00774270"/>
    <w:rsid w:val="007742A0"/>
    <w:rsid w:val="007758A8"/>
    <w:rsid w:val="00775A77"/>
    <w:rsid w:val="00776040"/>
    <w:rsid w:val="007764F1"/>
    <w:rsid w:val="00776FF7"/>
    <w:rsid w:val="007815B3"/>
    <w:rsid w:val="0078160E"/>
    <w:rsid w:val="00782529"/>
    <w:rsid w:val="00782C73"/>
    <w:rsid w:val="007830EA"/>
    <w:rsid w:val="007833F4"/>
    <w:rsid w:val="00784C5C"/>
    <w:rsid w:val="00785A0A"/>
    <w:rsid w:val="007874AD"/>
    <w:rsid w:val="00790BF1"/>
    <w:rsid w:val="0079220A"/>
    <w:rsid w:val="00793812"/>
    <w:rsid w:val="00793887"/>
    <w:rsid w:val="00797374"/>
    <w:rsid w:val="007A0868"/>
    <w:rsid w:val="007A0B3B"/>
    <w:rsid w:val="007A0D36"/>
    <w:rsid w:val="007A2F77"/>
    <w:rsid w:val="007A36DB"/>
    <w:rsid w:val="007A4C51"/>
    <w:rsid w:val="007B05AE"/>
    <w:rsid w:val="007B072F"/>
    <w:rsid w:val="007B34FD"/>
    <w:rsid w:val="007B5D26"/>
    <w:rsid w:val="007B6AD9"/>
    <w:rsid w:val="007C0085"/>
    <w:rsid w:val="007C1EC5"/>
    <w:rsid w:val="007C2934"/>
    <w:rsid w:val="007C3134"/>
    <w:rsid w:val="007C359A"/>
    <w:rsid w:val="007C3688"/>
    <w:rsid w:val="007C4036"/>
    <w:rsid w:val="007C42C0"/>
    <w:rsid w:val="007C5A8F"/>
    <w:rsid w:val="007C637B"/>
    <w:rsid w:val="007C77BC"/>
    <w:rsid w:val="007D0FA7"/>
    <w:rsid w:val="007D159A"/>
    <w:rsid w:val="007D2E48"/>
    <w:rsid w:val="007D4AED"/>
    <w:rsid w:val="007D50D8"/>
    <w:rsid w:val="007D528A"/>
    <w:rsid w:val="007D53F4"/>
    <w:rsid w:val="007D70B0"/>
    <w:rsid w:val="007E070B"/>
    <w:rsid w:val="007E2A03"/>
    <w:rsid w:val="007E4E16"/>
    <w:rsid w:val="007E5881"/>
    <w:rsid w:val="007E6266"/>
    <w:rsid w:val="007E707D"/>
    <w:rsid w:val="007E7C30"/>
    <w:rsid w:val="007F1A61"/>
    <w:rsid w:val="007F39BA"/>
    <w:rsid w:val="007F5496"/>
    <w:rsid w:val="007F6695"/>
    <w:rsid w:val="007F6725"/>
    <w:rsid w:val="007F7784"/>
    <w:rsid w:val="00800243"/>
    <w:rsid w:val="00800346"/>
    <w:rsid w:val="008006F8"/>
    <w:rsid w:val="00801A8E"/>
    <w:rsid w:val="00802AD9"/>
    <w:rsid w:val="00805AC5"/>
    <w:rsid w:val="00806CBB"/>
    <w:rsid w:val="008070BF"/>
    <w:rsid w:val="00811F89"/>
    <w:rsid w:val="00813C36"/>
    <w:rsid w:val="00813D29"/>
    <w:rsid w:val="00815E2C"/>
    <w:rsid w:val="00817477"/>
    <w:rsid w:val="00817D40"/>
    <w:rsid w:val="008221AE"/>
    <w:rsid w:val="008228F9"/>
    <w:rsid w:val="00824A28"/>
    <w:rsid w:val="008250B8"/>
    <w:rsid w:val="00825C60"/>
    <w:rsid w:val="00825D79"/>
    <w:rsid w:val="008262A4"/>
    <w:rsid w:val="00826894"/>
    <w:rsid w:val="00827824"/>
    <w:rsid w:val="00827A6D"/>
    <w:rsid w:val="008303BE"/>
    <w:rsid w:val="008309DC"/>
    <w:rsid w:val="00830FFA"/>
    <w:rsid w:val="0083192E"/>
    <w:rsid w:val="00833017"/>
    <w:rsid w:val="0083335B"/>
    <w:rsid w:val="00834B5D"/>
    <w:rsid w:val="00835344"/>
    <w:rsid w:val="00836120"/>
    <w:rsid w:val="00836139"/>
    <w:rsid w:val="00840764"/>
    <w:rsid w:val="00840A85"/>
    <w:rsid w:val="0084184E"/>
    <w:rsid w:val="00842B3B"/>
    <w:rsid w:val="008447E6"/>
    <w:rsid w:val="00844911"/>
    <w:rsid w:val="008456F7"/>
    <w:rsid w:val="00846647"/>
    <w:rsid w:val="008467F4"/>
    <w:rsid w:val="008470E5"/>
    <w:rsid w:val="00850112"/>
    <w:rsid w:val="008501D3"/>
    <w:rsid w:val="008506D9"/>
    <w:rsid w:val="00851BB6"/>
    <w:rsid w:val="008541EA"/>
    <w:rsid w:val="008550EB"/>
    <w:rsid w:val="00855B57"/>
    <w:rsid w:val="00856DFF"/>
    <w:rsid w:val="00857756"/>
    <w:rsid w:val="00861AF8"/>
    <w:rsid w:val="00861FA3"/>
    <w:rsid w:val="008620A9"/>
    <w:rsid w:val="0086258E"/>
    <w:rsid w:val="00862E06"/>
    <w:rsid w:val="00863856"/>
    <w:rsid w:val="00864D4D"/>
    <w:rsid w:val="008654F6"/>
    <w:rsid w:val="0086586B"/>
    <w:rsid w:val="00865E4A"/>
    <w:rsid w:val="0086632A"/>
    <w:rsid w:val="00866A82"/>
    <w:rsid w:val="00871D58"/>
    <w:rsid w:val="008721A0"/>
    <w:rsid w:val="00872660"/>
    <w:rsid w:val="008726D7"/>
    <w:rsid w:val="008737CD"/>
    <w:rsid w:val="00873FD6"/>
    <w:rsid w:val="00874541"/>
    <w:rsid w:val="00874EB1"/>
    <w:rsid w:val="008759E8"/>
    <w:rsid w:val="00875CFA"/>
    <w:rsid w:val="00882B69"/>
    <w:rsid w:val="008837A8"/>
    <w:rsid w:val="0088484F"/>
    <w:rsid w:val="00884B9D"/>
    <w:rsid w:val="008855D1"/>
    <w:rsid w:val="00885EDC"/>
    <w:rsid w:val="008862BB"/>
    <w:rsid w:val="00886321"/>
    <w:rsid w:val="00887497"/>
    <w:rsid w:val="00887507"/>
    <w:rsid w:val="00890209"/>
    <w:rsid w:val="00891136"/>
    <w:rsid w:val="0089246F"/>
    <w:rsid w:val="0089269B"/>
    <w:rsid w:val="00892AEC"/>
    <w:rsid w:val="008937F5"/>
    <w:rsid w:val="00893E4D"/>
    <w:rsid w:val="00894068"/>
    <w:rsid w:val="00894931"/>
    <w:rsid w:val="00896365"/>
    <w:rsid w:val="008A12C0"/>
    <w:rsid w:val="008A2222"/>
    <w:rsid w:val="008A2A16"/>
    <w:rsid w:val="008A3328"/>
    <w:rsid w:val="008A3FED"/>
    <w:rsid w:val="008A61A1"/>
    <w:rsid w:val="008A7F22"/>
    <w:rsid w:val="008B370B"/>
    <w:rsid w:val="008B4A54"/>
    <w:rsid w:val="008C5AD7"/>
    <w:rsid w:val="008C5E74"/>
    <w:rsid w:val="008C66EC"/>
    <w:rsid w:val="008C66FB"/>
    <w:rsid w:val="008C70C1"/>
    <w:rsid w:val="008C7A06"/>
    <w:rsid w:val="008C7FAF"/>
    <w:rsid w:val="008D0A2F"/>
    <w:rsid w:val="008D0BBC"/>
    <w:rsid w:val="008D0C93"/>
    <w:rsid w:val="008E0581"/>
    <w:rsid w:val="008E0C42"/>
    <w:rsid w:val="008E1AAB"/>
    <w:rsid w:val="008E2BBF"/>
    <w:rsid w:val="008E2EF5"/>
    <w:rsid w:val="008E3E36"/>
    <w:rsid w:val="008E401F"/>
    <w:rsid w:val="008E4A32"/>
    <w:rsid w:val="008E585F"/>
    <w:rsid w:val="008E68D1"/>
    <w:rsid w:val="008E762B"/>
    <w:rsid w:val="008F003F"/>
    <w:rsid w:val="008F09B4"/>
    <w:rsid w:val="008F261D"/>
    <w:rsid w:val="008F2D23"/>
    <w:rsid w:val="008F326A"/>
    <w:rsid w:val="008F4DAF"/>
    <w:rsid w:val="008F4DDF"/>
    <w:rsid w:val="008F4E30"/>
    <w:rsid w:val="008F64CE"/>
    <w:rsid w:val="008F7749"/>
    <w:rsid w:val="00902C35"/>
    <w:rsid w:val="00903408"/>
    <w:rsid w:val="00903628"/>
    <w:rsid w:val="00904BF1"/>
    <w:rsid w:val="009052A7"/>
    <w:rsid w:val="0090559C"/>
    <w:rsid w:val="009066A5"/>
    <w:rsid w:val="00906874"/>
    <w:rsid w:val="0090796B"/>
    <w:rsid w:val="00907F11"/>
    <w:rsid w:val="00913448"/>
    <w:rsid w:val="00913A36"/>
    <w:rsid w:val="0091487A"/>
    <w:rsid w:val="00914DC8"/>
    <w:rsid w:val="00916F85"/>
    <w:rsid w:val="00920ABA"/>
    <w:rsid w:val="009215FC"/>
    <w:rsid w:val="00921764"/>
    <w:rsid w:val="0092346F"/>
    <w:rsid w:val="00923617"/>
    <w:rsid w:val="009259D2"/>
    <w:rsid w:val="00925D59"/>
    <w:rsid w:val="00926E12"/>
    <w:rsid w:val="0092777A"/>
    <w:rsid w:val="00927E28"/>
    <w:rsid w:val="00927E7E"/>
    <w:rsid w:val="009309B1"/>
    <w:rsid w:val="00931752"/>
    <w:rsid w:val="00934665"/>
    <w:rsid w:val="0093498A"/>
    <w:rsid w:val="00934A55"/>
    <w:rsid w:val="00935461"/>
    <w:rsid w:val="00937E3F"/>
    <w:rsid w:val="009405DF"/>
    <w:rsid w:val="00940E48"/>
    <w:rsid w:val="00941773"/>
    <w:rsid w:val="00941AD9"/>
    <w:rsid w:val="009459E3"/>
    <w:rsid w:val="00946C6A"/>
    <w:rsid w:val="0095018A"/>
    <w:rsid w:val="00950926"/>
    <w:rsid w:val="00950E8B"/>
    <w:rsid w:val="00952623"/>
    <w:rsid w:val="00952A94"/>
    <w:rsid w:val="00953589"/>
    <w:rsid w:val="009546AE"/>
    <w:rsid w:val="00956850"/>
    <w:rsid w:val="00960532"/>
    <w:rsid w:val="0096229B"/>
    <w:rsid w:val="00962F82"/>
    <w:rsid w:val="00963BB7"/>
    <w:rsid w:val="00963F42"/>
    <w:rsid w:val="009660D5"/>
    <w:rsid w:val="009706F8"/>
    <w:rsid w:val="009714E4"/>
    <w:rsid w:val="00973BD0"/>
    <w:rsid w:val="00973EC6"/>
    <w:rsid w:val="00974C8C"/>
    <w:rsid w:val="009779F7"/>
    <w:rsid w:val="009805CA"/>
    <w:rsid w:val="00981960"/>
    <w:rsid w:val="009819A3"/>
    <w:rsid w:val="00981E1C"/>
    <w:rsid w:val="0098289D"/>
    <w:rsid w:val="0098475C"/>
    <w:rsid w:val="00986372"/>
    <w:rsid w:val="009868B0"/>
    <w:rsid w:val="00987663"/>
    <w:rsid w:val="0098791C"/>
    <w:rsid w:val="009879CD"/>
    <w:rsid w:val="00990D68"/>
    <w:rsid w:val="00992168"/>
    <w:rsid w:val="00992A70"/>
    <w:rsid w:val="00992F2E"/>
    <w:rsid w:val="00993078"/>
    <w:rsid w:val="00993C64"/>
    <w:rsid w:val="00994370"/>
    <w:rsid w:val="0099488C"/>
    <w:rsid w:val="00995C6C"/>
    <w:rsid w:val="00995DDC"/>
    <w:rsid w:val="0099647D"/>
    <w:rsid w:val="009A0051"/>
    <w:rsid w:val="009A1C0A"/>
    <w:rsid w:val="009A2147"/>
    <w:rsid w:val="009A2A24"/>
    <w:rsid w:val="009A2AD9"/>
    <w:rsid w:val="009A2E18"/>
    <w:rsid w:val="009A50BC"/>
    <w:rsid w:val="009B0E93"/>
    <w:rsid w:val="009B15BF"/>
    <w:rsid w:val="009B1612"/>
    <w:rsid w:val="009B49CF"/>
    <w:rsid w:val="009B7007"/>
    <w:rsid w:val="009B7688"/>
    <w:rsid w:val="009C1114"/>
    <w:rsid w:val="009C11E2"/>
    <w:rsid w:val="009C155C"/>
    <w:rsid w:val="009C1E33"/>
    <w:rsid w:val="009C3030"/>
    <w:rsid w:val="009C468B"/>
    <w:rsid w:val="009C4784"/>
    <w:rsid w:val="009C54A3"/>
    <w:rsid w:val="009C5BF2"/>
    <w:rsid w:val="009C7117"/>
    <w:rsid w:val="009D0BE2"/>
    <w:rsid w:val="009D10FC"/>
    <w:rsid w:val="009D224F"/>
    <w:rsid w:val="009D4C68"/>
    <w:rsid w:val="009D50A5"/>
    <w:rsid w:val="009D58E1"/>
    <w:rsid w:val="009D63EE"/>
    <w:rsid w:val="009D7662"/>
    <w:rsid w:val="009E03FE"/>
    <w:rsid w:val="009E07F0"/>
    <w:rsid w:val="009E3078"/>
    <w:rsid w:val="009E3804"/>
    <w:rsid w:val="009E393F"/>
    <w:rsid w:val="009E43EF"/>
    <w:rsid w:val="009E447B"/>
    <w:rsid w:val="009E6BCC"/>
    <w:rsid w:val="009E6D80"/>
    <w:rsid w:val="009F03C4"/>
    <w:rsid w:val="009F0B9B"/>
    <w:rsid w:val="009F1A98"/>
    <w:rsid w:val="009F22CF"/>
    <w:rsid w:val="009F2843"/>
    <w:rsid w:val="009F40CD"/>
    <w:rsid w:val="009F422F"/>
    <w:rsid w:val="009F450D"/>
    <w:rsid w:val="009F53A9"/>
    <w:rsid w:val="009F5A5F"/>
    <w:rsid w:val="009F5F76"/>
    <w:rsid w:val="009F7FD7"/>
    <w:rsid w:val="00A034B3"/>
    <w:rsid w:val="00A036CE"/>
    <w:rsid w:val="00A0666C"/>
    <w:rsid w:val="00A072D9"/>
    <w:rsid w:val="00A0738C"/>
    <w:rsid w:val="00A1288D"/>
    <w:rsid w:val="00A13D89"/>
    <w:rsid w:val="00A140AF"/>
    <w:rsid w:val="00A14839"/>
    <w:rsid w:val="00A16981"/>
    <w:rsid w:val="00A17076"/>
    <w:rsid w:val="00A2000A"/>
    <w:rsid w:val="00A2213B"/>
    <w:rsid w:val="00A22356"/>
    <w:rsid w:val="00A22AE9"/>
    <w:rsid w:val="00A23C46"/>
    <w:rsid w:val="00A24B7A"/>
    <w:rsid w:val="00A26A70"/>
    <w:rsid w:val="00A300EE"/>
    <w:rsid w:val="00A31DDC"/>
    <w:rsid w:val="00A31FCC"/>
    <w:rsid w:val="00A34872"/>
    <w:rsid w:val="00A362AA"/>
    <w:rsid w:val="00A378EE"/>
    <w:rsid w:val="00A42A1B"/>
    <w:rsid w:val="00A42D97"/>
    <w:rsid w:val="00A43071"/>
    <w:rsid w:val="00A45044"/>
    <w:rsid w:val="00A4593B"/>
    <w:rsid w:val="00A459F4"/>
    <w:rsid w:val="00A46D32"/>
    <w:rsid w:val="00A50121"/>
    <w:rsid w:val="00A5094B"/>
    <w:rsid w:val="00A50F71"/>
    <w:rsid w:val="00A519B9"/>
    <w:rsid w:val="00A525E6"/>
    <w:rsid w:val="00A52AC7"/>
    <w:rsid w:val="00A54FA0"/>
    <w:rsid w:val="00A55CE6"/>
    <w:rsid w:val="00A56097"/>
    <w:rsid w:val="00A56CD7"/>
    <w:rsid w:val="00A60507"/>
    <w:rsid w:val="00A61046"/>
    <w:rsid w:val="00A62BDD"/>
    <w:rsid w:val="00A62D4D"/>
    <w:rsid w:val="00A64065"/>
    <w:rsid w:val="00A66A8D"/>
    <w:rsid w:val="00A66CAE"/>
    <w:rsid w:val="00A727D9"/>
    <w:rsid w:val="00A757C0"/>
    <w:rsid w:val="00A75C21"/>
    <w:rsid w:val="00A76569"/>
    <w:rsid w:val="00A76598"/>
    <w:rsid w:val="00A76601"/>
    <w:rsid w:val="00A8045B"/>
    <w:rsid w:val="00A81B77"/>
    <w:rsid w:val="00A8253B"/>
    <w:rsid w:val="00A8534A"/>
    <w:rsid w:val="00A865B9"/>
    <w:rsid w:val="00A90F3E"/>
    <w:rsid w:val="00A9157A"/>
    <w:rsid w:val="00A91F9A"/>
    <w:rsid w:val="00A92D94"/>
    <w:rsid w:val="00A9370E"/>
    <w:rsid w:val="00A93766"/>
    <w:rsid w:val="00A94C1C"/>
    <w:rsid w:val="00A952E7"/>
    <w:rsid w:val="00A95E77"/>
    <w:rsid w:val="00A96B11"/>
    <w:rsid w:val="00A96B21"/>
    <w:rsid w:val="00A96C28"/>
    <w:rsid w:val="00AA17B4"/>
    <w:rsid w:val="00AA17E3"/>
    <w:rsid w:val="00AA1EC3"/>
    <w:rsid w:val="00AA3A16"/>
    <w:rsid w:val="00AA679A"/>
    <w:rsid w:val="00AA778E"/>
    <w:rsid w:val="00AB0476"/>
    <w:rsid w:val="00AB11F7"/>
    <w:rsid w:val="00AB2A1B"/>
    <w:rsid w:val="00AB37D8"/>
    <w:rsid w:val="00AB3A01"/>
    <w:rsid w:val="00AB42EB"/>
    <w:rsid w:val="00AB43AE"/>
    <w:rsid w:val="00AB49E7"/>
    <w:rsid w:val="00AB5549"/>
    <w:rsid w:val="00AB5CFE"/>
    <w:rsid w:val="00AB6EAE"/>
    <w:rsid w:val="00AB70AB"/>
    <w:rsid w:val="00AB7314"/>
    <w:rsid w:val="00AC024F"/>
    <w:rsid w:val="00AC043A"/>
    <w:rsid w:val="00AC3A34"/>
    <w:rsid w:val="00AC420C"/>
    <w:rsid w:val="00AC4649"/>
    <w:rsid w:val="00AC4DA2"/>
    <w:rsid w:val="00AC5247"/>
    <w:rsid w:val="00AC5357"/>
    <w:rsid w:val="00AC54F9"/>
    <w:rsid w:val="00AD0371"/>
    <w:rsid w:val="00AD04DB"/>
    <w:rsid w:val="00AD0D2B"/>
    <w:rsid w:val="00AD1187"/>
    <w:rsid w:val="00AD1391"/>
    <w:rsid w:val="00AD1E7B"/>
    <w:rsid w:val="00AD2814"/>
    <w:rsid w:val="00AD323E"/>
    <w:rsid w:val="00AD3FFB"/>
    <w:rsid w:val="00AD410B"/>
    <w:rsid w:val="00AD4669"/>
    <w:rsid w:val="00AD4A6C"/>
    <w:rsid w:val="00AD639A"/>
    <w:rsid w:val="00AE033F"/>
    <w:rsid w:val="00AE0D6F"/>
    <w:rsid w:val="00AE1342"/>
    <w:rsid w:val="00AE1A95"/>
    <w:rsid w:val="00AE2966"/>
    <w:rsid w:val="00AE3371"/>
    <w:rsid w:val="00AE41FB"/>
    <w:rsid w:val="00AE45FE"/>
    <w:rsid w:val="00AE6B13"/>
    <w:rsid w:val="00AF2944"/>
    <w:rsid w:val="00AF3401"/>
    <w:rsid w:val="00AF3E5B"/>
    <w:rsid w:val="00AF40E8"/>
    <w:rsid w:val="00AF4555"/>
    <w:rsid w:val="00AF483A"/>
    <w:rsid w:val="00AF54BB"/>
    <w:rsid w:val="00AF5635"/>
    <w:rsid w:val="00AF59F7"/>
    <w:rsid w:val="00AF68FF"/>
    <w:rsid w:val="00B01433"/>
    <w:rsid w:val="00B026A9"/>
    <w:rsid w:val="00B02E97"/>
    <w:rsid w:val="00B03532"/>
    <w:rsid w:val="00B039CF"/>
    <w:rsid w:val="00B03A19"/>
    <w:rsid w:val="00B04688"/>
    <w:rsid w:val="00B05FD1"/>
    <w:rsid w:val="00B0751F"/>
    <w:rsid w:val="00B075A2"/>
    <w:rsid w:val="00B078AD"/>
    <w:rsid w:val="00B12461"/>
    <w:rsid w:val="00B12F8E"/>
    <w:rsid w:val="00B1531F"/>
    <w:rsid w:val="00B15BFE"/>
    <w:rsid w:val="00B16401"/>
    <w:rsid w:val="00B1680E"/>
    <w:rsid w:val="00B20517"/>
    <w:rsid w:val="00B21A2A"/>
    <w:rsid w:val="00B21FF5"/>
    <w:rsid w:val="00B2389A"/>
    <w:rsid w:val="00B242D6"/>
    <w:rsid w:val="00B24CFA"/>
    <w:rsid w:val="00B262A0"/>
    <w:rsid w:val="00B26F55"/>
    <w:rsid w:val="00B27C9F"/>
    <w:rsid w:val="00B30F90"/>
    <w:rsid w:val="00B310B7"/>
    <w:rsid w:val="00B31468"/>
    <w:rsid w:val="00B33845"/>
    <w:rsid w:val="00B342B5"/>
    <w:rsid w:val="00B36043"/>
    <w:rsid w:val="00B36EA9"/>
    <w:rsid w:val="00B41688"/>
    <w:rsid w:val="00B446D5"/>
    <w:rsid w:val="00B447E3"/>
    <w:rsid w:val="00B468E2"/>
    <w:rsid w:val="00B47048"/>
    <w:rsid w:val="00B503E1"/>
    <w:rsid w:val="00B510E7"/>
    <w:rsid w:val="00B51453"/>
    <w:rsid w:val="00B51F5E"/>
    <w:rsid w:val="00B52213"/>
    <w:rsid w:val="00B52E37"/>
    <w:rsid w:val="00B533AB"/>
    <w:rsid w:val="00B54CF0"/>
    <w:rsid w:val="00B550E5"/>
    <w:rsid w:val="00B55310"/>
    <w:rsid w:val="00B60F26"/>
    <w:rsid w:val="00B636D3"/>
    <w:rsid w:val="00B65B00"/>
    <w:rsid w:val="00B65B55"/>
    <w:rsid w:val="00B71F6B"/>
    <w:rsid w:val="00B72A44"/>
    <w:rsid w:val="00B73E87"/>
    <w:rsid w:val="00B75613"/>
    <w:rsid w:val="00B76E6B"/>
    <w:rsid w:val="00B76F0E"/>
    <w:rsid w:val="00B77F4E"/>
    <w:rsid w:val="00B800C0"/>
    <w:rsid w:val="00B80BFF"/>
    <w:rsid w:val="00B81DDE"/>
    <w:rsid w:val="00B81E62"/>
    <w:rsid w:val="00B84B88"/>
    <w:rsid w:val="00B84F1C"/>
    <w:rsid w:val="00B861C7"/>
    <w:rsid w:val="00B8696C"/>
    <w:rsid w:val="00B87D44"/>
    <w:rsid w:val="00B900FB"/>
    <w:rsid w:val="00B90C21"/>
    <w:rsid w:val="00B90C9E"/>
    <w:rsid w:val="00B91CDC"/>
    <w:rsid w:val="00B941A4"/>
    <w:rsid w:val="00B9432E"/>
    <w:rsid w:val="00B96188"/>
    <w:rsid w:val="00B972ED"/>
    <w:rsid w:val="00B977EC"/>
    <w:rsid w:val="00B978E8"/>
    <w:rsid w:val="00BA35C9"/>
    <w:rsid w:val="00BA3605"/>
    <w:rsid w:val="00BB0636"/>
    <w:rsid w:val="00BB2326"/>
    <w:rsid w:val="00BB27B2"/>
    <w:rsid w:val="00BB2A0E"/>
    <w:rsid w:val="00BB2CDF"/>
    <w:rsid w:val="00BB3009"/>
    <w:rsid w:val="00BB4159"/>
    <w:rsid w:val="00BB4479"/>
    <w:rsid w:val="00BB6E6F"/>
    <w:rsid w:val="00BB733B"/>
    <w:rsid w:val="00BB7E60"/>
    <w:rsid w:val="00BC00D2"/>
    <w:rsid w:val="00BC0832"/>
    <w:rsid w:val="00BC0D87"/>
    <w:rsid w:val="00BC1AC8"/>
    <w:rsid w:val="00BC590E"/>
    <w:rsid w:val="00BC5D3D"/>
    <w:rsid w:val="00BC5F93"/>
    <w:rsid w:val="00BC61FA"/>
    <w:rsid w:val="00BC78E9"/>
    <w:rsid w:val="00BD0132"/>
    <w:rsid w:val="00BD1BA8"/>
    <w:rsid w:val="00BD1BF4"/>
    <w:rsid w:val="00BD2321"/>
    <w:rsid w:val="00BD4DAA"/>
    <w:rsid w:val="00BD4F91"/>
    <w:rsid w:val="00BD550C"/>
    <w:rsid w:val="00BD5FF1"/>
    <w:rsid w:val="00BD7E04"/>
    <w:rsid w:val="00BE1767"/>
    <w:rsid w:val="00BE181A"/>
    <w:rsid w:val="00BE1F5D"/>
    <w:rsid w:val="00BE2194"/>
    <w:rsid w:val="00BE263D"/>
    <w:rsid w:val="00BE370E"/>
    <w:rsid w:val="00BE3DD3"/>
    <w:rsid w:val="00BE60DC"/>
    <w:rsid w:val="00BE7C14"/>
    <w:rsid w:val="00BF06BA"/>
    <w:rsid w:val="00BF0861"/>
    <w:rsid w:val="00BF1790"/>
    <w:rsid w:val="00BF2A88"/>
    <w:rsid w:val="00BF372B"/>
    <w:rsid w:val="00BF396A"/>
    <w:rsid w:val="00BF4809"/>
    <w:rsid w:val="00BF65A0"/>
    <w:rsid w:val="00C008F4"/>
    <w:rsid w:val="00C009C0"/>
    <w:rsid w:val="00C00DE6"/>
    <w:rsid w:val="00C03980"/>
    <w:rsid w:val="00C03F37"/>
    <w:rsid w:val="00C04904"/>
    <w:rsid w:val="00C0655D"/>
    <w:rsid w:val="00C06EA1"/>
    <w:rsid w:val="00C07013"/>
    <w:rsid w:val="00C11AF6"/>
    <w:rsid w:val="00C11DF7"/>
    <w:rsid w:val="00C128D8"/>
    <w:rsid w:val="00C1340D"/>
    <w:rsid w:val="00C13C3A"/>
    <w:rsid w:val="00C144D1"/>
    <w:rsid w:val="00C16F5F"/>
    <w:rsid w:val="00C173E8"/>
    <w:rsid w:val="00C21C6B"/>
    <w:rsid w:val="00C23273"/>
    <w:rsid w:val="00C2354A"/>
    <w:rsid w:val="00C23E55"/>
    <w:rsid w:val="00C24857"/>
    <w:rsid w:val="00C2572B"/>
    <w:rsid w:val="00C269E1"/>
    <w:rsid w:val="00C26FE2"/>
    <w:rsid w:val="00C320E9"/>
    <w:rsid w:val="00C33148"/>
    <w:rsid w:val="00C3485D"/>
    <w:rsid w:val="00C35350"/>
    <w:rsid w:val="00C361E5"/>
    <w:rsid w:val="00C419BD"/>
    <w:rsid w:val="00C41D24"/>
    <w:rsid w:val="00C45030"/>
    <w:rsid w:val="00C465DA"/>
    <w:rsid w:val="00C4680D"/>
    <w:rsid w:val="00C46DA3"/>
    <w:rsid w:val="00C51D82"/>
    <w:rsid w:val="00C520ED"/>
    <w:rsid w:val="00C55EE2"/>
    <w:rsid w:val="00C56019"/>
    <w:rsid w:val="00C564F5"/>
    <w:rsid w:val="00C5734B"/>
    <w:rsid w:val="00C57725"/>
    <w:rsid w:val="00C60036"/>
    <w:rsid w:val="00C6150E"/>
    <w:rsid w:val="00C61C80"/>
    <w:rsid w:val="00C62130"/>
    <w:rsid w:val="00C62F42"/>
    <w:rsid w:val="00C6445D"/>
    <w:rsid w:val="00C65160"/>
    <w:rsid w:val="00C675D4"/>
    <w:rsid w:val="00C677C2"/>
    <w:rsid w:val="00C713B8"/>
    <w:rsid w:val="00C72D3D"/>
    <w:rsid w:val="00C74117"/>
    <w:rsid w:val="00C74901"/>
    <w:rsid w:val="00C74E1B"/>
    <w:rsid w:val="00C75223"/>
    <w:rsid w:val="00C752FB"/>
    <w:rsid w:val="00C75628"/>
    <w:rsid w:val="00C77535"/>
    <w:rsid w:val="00C807FA"/>
    <w:rsid w:val="00C815DC"/>
    <w:rsid w:val="00C816CB"/>
    <w:rsid w:val="00C816E8"/>
    <w:rsid w:val="00C83371"/>
    <w:rsid w:val="00C84848"/>
    <w:rsid w:val="00C854FE"/>
    <w:rsid w:val="00C85878"/>
    <w:rsid w:val="00C86BE3"/>
    <w:rsid w:val="00C87BA4"/>
    <w:rsid w:val="00C90E75"/>
    <w:rsid w:val="00C930CD"/>
    <w:rsid w:val="00C942A6"/>
    <w:rsid w:val="00C9558B"/>
    <w:rsid w:val="00C9586A"/>
    <w:rsid w:val="00C960F7"/>
    <w:rsid w:val="00C963C2"/>
    <w:rsid w:val="00C9725B"/>
    <w:rsid w:val="00C9767E"/>
    <w:rsid w:val="00C97B4F"/>
    <w:rsid w:val="00CA4BAE"/>
    <w:rsid w:val="00CA4E79"/>
    <w:rsid w:val="00CA6757"/>
    <w:rsid w:val="00CA6955"/>
    <w:rsid w:val="00CA6ECB"/>
    <w:rsid w:val="00CA7FAA"/>
    <w:rsid w:val="00CB00E4"/>
    <w:rsid w:val="00CB37F1"/>
    <w:rsid w:val="00CB3B83"/>
    <w:rsid w:val="00CB4E2F"/>
    <w:rsid w:val="00CB503F"/>
    <w:rsid w:val="00CB73BB"/>
    <w:rsid w:val="00CC024B"/>
    <w:rsid w:val="00CC0610"/>
    <w:rsid w:val="00CC17E7"/>
    <w:rsid w:val="00CC187E"/>
    <w:rsid w:val="00CC3DFA"/>
    <w:rsid w:val="00CC40DD"/>
    <w:rsid w:val="00CC686F"/>
    <w:rsid w:val="00CC7D53"/>
    <w:rsid w:val="00CD081A"/>
    <w:rsid w:val="00CD1EBA"/>
    <w:rsid w:val="00CD23E6"/>
    <w:rsid w:val="00CD31AA"/>
    <w:rsid w:val="00CD4F1E"/>
    <w:rsid w:val="00CD50A7"/>
    <w:rsid w:val="00CD560E"/>
    <w:rsid w:val="00CD59F6"/>
    <w:rsid w:val="00CE19D0"/>
    <w:rsid w:val="00CE21A8"/>
    <w:rsid w:val="00CE21D2"/>
    <w:rsid w:val="00CE240B"/>
    <w:rsid w:val="00CE2C06"/>
    <w:rsid w:val="00CE3248"/>
    <w:rsid w:val="00CE3C65"/>
    <w:rsid w:val="00CE4E56"/>
    <w:rsid w:val="00CE517A"/>
    <w:rsid w:val="00CE53E5"/>
    <w:rsid w:val="00CE77F0"/>
    <w:rsid w:val="00CF122C"/>
    <w:rsid w:val="00CF1E90"/>
    <w:rsid w:val="00CF3574"/>
    <w:rsid w:val="00CF3BE3"/>
    <w:rsid w:val="00CF4E23"/>
    <w:rsid w:val="00CF55AA"/>
    <w:rsid w:val="00CF5CFD"/>
    <w:rsid w:val="00CF615A"/>
    <w:rsid w:val="00CF631F"/>
    <w:rsid w:val="00CF64F3"/>
    <w:rsid w:val="00CF70AB"/>
    <w:rsid w:val="00CF743E"/>
    <w:rsid w:val="00D01F9A"/>
    <w:rsid w:val="00D02C32"/>
    <w:rsid w:val="00D03719"/>
    <w:rsid w:val="00D04575"/>
    <w:rsid w:val="00D04DE0"/>
    <w:rsid w:val="00D062EB"/>
    <w:rsid w:val="00D072F5"/>
    <w:rsid w:val="00D110A5"/>
    <w:rsid w:val="00D128C1"/>
    <w:rsid w:val="00D1342E"/>
    <w:rsid w:val="00D1364F"/>
    <w:rsid w:val="00D13B6B"/>
    <w:rsid w:val="00D1503B"/>
    <w:rsid w:val="00D1794E"/>
    <w:rsid w:val="00D20B51"/>
    <w:rsid w:val="00D21D8D"/>
    <w:rsid w:val="00D224F5"/>
    <w:rsid w:val="00D2466F"/>
    <w:rsid w:val="00D3059B"/>
    <w:rsid w:val="00D32883"/>
    <w:rsid w:val="00D34CF3"/>
    <w:rsid w:val="00D35132"/>
    <w:rsid w:val="00D35676"/>
    <w:rsid w:val="00D36967"/>
    <w:rsid w:val="00D36B00"/>
    <w:rsid w:val="00D3725A"/>
    <w:rsid w:val="00D37900"/>
    <w:rsid w:val="00D40D7F"/>
    <w:rsid w:val="00D422CD"/>
    <w:rsid w:val="00D428C0"/>
    <w:rsid w:val="00D42B4F"/>
    <w:rsid w:val="00D4524D"/>
    <w:rsid w:val="00D47AD3"/>
    <w:rsid w:val="00D47D3D"/>
    <w:rsid w:val="00D506E7"/>
    <w:rsid w:val="00D51B66"/>
    <w:rsid w:val="00D5458B"/>
    <w:rsid w:val="00D554FB"/>
    <w:rsid w:val="00D55D37"/>
    <w:rsid w:val="00D60046"/>
    <w:rsid w:val="00D617CD"/>
    <w:rsid w:val="00D61C6B"/>
    <w:rsid w:val="00D622E6"/>
    <w:rsid w:val="00D6344A"/>
    <w:rsid w:val="00D70C91"/>
    <w:rsid w:val="00D70EDB"/>
    <w:rsid w:val="00D71188"/>
    <w:rsid w:val="00D71FFB"/>
    <w:rsid w:val="00D7316D"/>
    <w:rsid w:val="00D73B17"/>
    <w:rsid w:val="00D73CEE"/>
    <w:rsid w:val="00D73D0D"/>
    <w:rsid w:val="00D74BBA"/>
    <w:rsid w:val="00D770EA"/>
    <w:rsid w:val="00D8171A"/>
    <w:rsid w:val="00D81722"/>
    <w:rsid w:val="00D82817"/>
    <w:rsid w:val="00D834C5"/>
    <w:rsid w:val="00D83FC2"/>
    <w:rsid w:val="00D842E1"/>
    <w:rsid w:val="00D85300"/>
    <w:rsid w:val="00D866B2"/>
    <w:rsid w:val="00D924EF"/>
    <w:rsid w:val="00D927EB"/>
    <w:rsid w:val="00D92FF4"/>
    <w:rsid w:val="00D93F1D"/>
    <w:rsid w:val="00D93F63"/>
    <w:rsid w:val="00D946B5"/>
    <w:rsid w:val="00D94D4E"/>
    <w:rsid w:val="00D95450"/>
    <w:rsid w:val="00D97217"/>
    <w:rsid w:val="00D97244"/>
    <w:rsid w:val="00DA0CCC"/>
    <w:rsid w:val="00DA0D08"/>
    <w:rsid w:val="00DA1A94"/>
    <w:rsid w:val="00DA4641"/>
    <w:rsid w:val="00DA4759"/>
    <w:rsid w:val="00DA502C"/>
    <w:rsid w:val="00DA60A6"/>
    <w:rsid w:val="00DA7207"/>
    <w:rsid w:val="00DA7213"/>
    <w:rsid w:val="00DA7DD5"/>
    <w:rsid w:val="00DB06FA"/>
    <w:rsid w:val="00DB129D"/>
    <w:rsid w:val="00DB13EC"/>
    <w:rsid w:val="00DB2C8B"/>
    <w:rsid w:val="00DB5958"/>
    <w:rsid w:val="00DB5FCD"/>
    <w:rsid w:val="00DB7977"/>
    <w:rsid w:val="00DC1142"/>
    <w:rsid w:val="00DC1298"/>
    <w:rsid w:val="00DC18FE"/>
    <w:rsid w:val="00DC1E48"/>
    <w:rsid w:val="00DC1FFB"/>
    <w:rsid w:val="00DC338B"/>
    <w:rsid w:val="00DC3487"/>
    <w:rsid w:val="00DC6B76"/>
    <w:rsid w:val="00DC78C9"/>
    <w:rsid w:val="00DD0B00"/>
    <w:rsid w:val="00DD1CEB"/>
    <w:rsid w:val="00DD2F24"/>
    <w:rsid w:val="00DD648E"/>
    <w:rsid w:val="00DE58A2"/>
    <w:rsid w:val="00DE5935"/>
    <w:rsid w:val="00DE68DA"/>
    <w:rsid w:val="00DF1DBF"/>
    <w:rsid w:val="00DF22C3"/>
    <w:rsid w:val="00DF2F68"/>
    <w:rsid w:val="00DF3FC6"/>
    <w:rsid w:val="00DF4AC1"/>
    <w:rsid w:val="00E00F2F"/>
    <w:rsid w:val="00E014F9"/>
    <w:rsid w:val="00E01C8E"/>
    <w:rsid w:val="00E01EE8"/>
    <w:rsid w:val="00E0277F"/>
    <w:rsid w:val="00E02A3A"/>
    <w:rsid w:val="00E031CF"/>
    <w:rsid w:val="00E0687B"/>
    <w:rsid w:val="00E075DA"/>
    <w:rsid w:val="00E078F2"/>
    <w:rsid w:val="00E1248C"/>
    <w:rsid w:val="00E128EF"/>
    <w:rsid w:val="00E132E9"/>
    <w:rsid w:val="00E138AE"/>
    <w:rsid w:val="00E13902"/>
    <w:rsid w:val="00E148AD"/>
    <w:rsid w:val="00E15244"/>
    <w:rsid w:val="00E155C7"/>
    <w:rsid w:val="00E1597C"/>
    <w:rsid w:val="00E17991"/>
    <w:rsid w:val="00E20CCE"/>
    <w:rsid w:val="00E21040"/>
    <w:rsid w:val="00E25CE4"/>
    <w:rsid w:val="00E30569"/>
    <w:rsid w:val="00E32235"/>
    <w:rsid w:val="00E33D15"/>
    <w:rsid w:val="00E3667C"/>
    <w:rsid w:val="00E36E51"/>
    <w:rsid w:val="00E41CF2"/>
    <w:rsid w:val="00E42A5B"/>
    <w:rsid w:val="00E43318"/>
    <w:rsid w:val="00E43B4A"/>
    <w:rsid w:val="00E43B6F"/>
    <w:rsid w:val="00E4477F"/>
    <w:rsid w:val="00E448B0"/>
    <w:rsid w:val="00E45B3A"/>
    <w:rsid w:val="00E45D3E"/>
    <w:rsid w:val="00E45EB4"/>
    <w:rsid w:val="00E51C43"/>
    <w:rsid w:val="00E5629B"/>
    <w:rsid w:val="00E610B8"/>
    <w:rsid w:val="00E6306F"/>
    <w:rsid w:val="00E64B8E"/>
    <w:rsid w:val="00E655FC"/>
    <w:rsid w:val="00E65993"/>
    <w:rsid w:val="00E65EBB"/>
    <w:rsid w:val="00E66E18"/>
    <w:rsid w:val="00E6774D"/>
    <w:rsid w:val="00E712DD"/>
    <w:rsid w:val="00E7510D"/>
    <w:rsid w:val="00E75FE1"/>
    <w:rsid w:val="00E76234"/>
    <w:rsid w:val="00E7626F"/>
    <w:rsid w:val="00E77832"/>
    <w:rsid w:val="00E81BFD"/>
    <w:rsid w:val="00E823DC"/>
    <w:rsid w:val="00E82DD8"/>
    <w:rsid w:val="00E84A4E"/>
    <w:rsid w:val="00E85B6D"/>
    <w:rsid w:val="00E900F6"/>
    <w:rsid w:val="00E906B7"/>
    <w:rsid w:val="00E90E14"/>
    <w:rsid w:val="00E913FF"/>
    <w:rsid w:val="00E9366B"/>
    <w:rsid w:val="00E9376B"/>
    <w:rsid w:val="00E9754A"/>
    <w:rsid w:val="00E97616"/>
    <w:rsid w:val="00E97E07"/>
    <w:rsid w:val="00E97F80"/>
    <w:rsid w:val="00EA0787"/>
    <w:rsid w:val="00EA15CB"/>
    <w:rsid w:val="00EA22EF"/>
    <w:rsid w:val="00EA2CF4"/>
    <w:rsid w:val="00EA3A81"/>
    <w:rsid w:val="00EA49BF"/>
    <w:rsid w:val="00EA57CF"/>
    <w:rsid w:val="00EA6129"/>
    <w:rsid w:val="00EA67C4"/>
    <w:rsid w:val="00EA78AA"/>
    <w:rsid w:val="00EB151C"/>
    <w:rsid w:val="00EB22DB"/>
    <w:rsid w:val="00EB2C07"/>
    <w:rsid w:val="00EB2E83"/>
    <w:rsid w:val="00EB3575"/>
    <w:rsid w:val="00EB3CA9"/>
    <w:rsid w:val="00EB4A84"/>
    <w:rsid w:val="00EB67C2"/>
    <w:rsid w:val="00EB6A65"/>
    <w:rsid w:val="00EB6C41"/>
    <w:rsid w:val="00EC05C5"/>
    <w:rsid w:val="00EC1E4F"/>
    <w:rsid w:val="00EC4DD6"/>
    <w:rsid w:val="00EC6591"/>
    <w:rsid w:val="00ED0435"/>
    <w:rsid w:val="00ED1CD4"/>
    <w:rsid w:val="00ED3849"/>
    <w:rsid w:val="00ED4061"/>
    <w:rsid w:val="00ED476F"/>
    <w:rsid w:val="00ED4AD0"/>
    <w:rsid w:val="00ED5FAD"/>
    <w:rsid w:val="00EE0DE2"/>
    <w:rsid w:val="00EE2794"/>
    <w:rsid w:val="00EE40E0"/>
    <w:rsid w:val="00EE4982"/>
    <w:rsid w:val="00EE50D4"/>
    <w:rsid w:val="00EE62A1"/>
    <w:rsid w:val="00EF084A"/>
    <w:rsid w:val="00EF1D71"/>
    <w:rsid w:val="00EF273C"/>
    <w:rsid w:val="00EF2D64"/>
    <w:rsid w:val="00EF4310"/>
    <w:rsid w:val="00EF5A2D"/>
    <w:rsid w:val="00EF5BA9"/>
    <w:rsid w:val="00EF5F35"/>
    <w:rsid w:val="00EF6949"/>
    <w:rsid w:val="00F0363E"/>
    <w:rsid w:val="00F046FD"/>
    <w:rsid w:val="00F05882"/>
    <w:rsid w:val="00F06413"/>
    <w:rsid w:val="00F069CF"/>
    <w:rsid w:val="00F1182E"/>
    <w:rsid w:val="00F11B8C"/>
    <w:rsid w:val="00F133E0"/>
    <w:rsid w:val="00F13679"/>
    <w:rsid w:val="00F15668"/>
    <w:rsid w:val="00F16AED"/>
    <w:rsid w:val="00F20425"/>
    <w:rsid w:val="00F21EBA"/>
    <w:rsid w:val="00F22FDC"/>
    <w:rsid w:val="00F2486D"/>
    <w:rsid w:val="00F258FB"/>
    <w:rsid w:val="00F265E9"/>
    <w:rsid w:val="00F266D8"/>
    <w:rsid w:val="00F26DEA"/>
    <w:rsid w:val="00F31049"/>
    <w:rsid w:val="00F310B6"/>
    <w:rsid w:val="00F3120C"/>
    <w:rsid w:val="00F3376B"/>
    <w:rsid w:val="00F359F3"/>
    <w:rsid w:val="00F35D3F"/>
    <w:rsid w:val="00F36E09"/>
    <w:rsid w:val="00F37F94"/>
    <w:rsid w:val="00F40677"/>
    <w:rsid w:val="00F410A6"/>
    <w:rsid w:val="00F41FA7"/>
    <w:rsid w:val="00F4344C"/>
    <w:rsid w:val="00F44172"/>
    <w:rsid w:val="00F454C7"/>
    <w:rsid w:val="00F46A2C"/>
    <w:rsid w:val="00F476C2"/>
    <w:rsid w:val="00F519A4"/>
    <w:rsid w:val="00F52A43"/>
    <w:rsid w:val="00F55C71"/>
    <w:rsid w:val="00F568D4"/>
    <w:rsid w:val="00F66991"/>
    <w:rsid w:val="00F66B17"/>
    <w:rsid w:val="00F67031"/>
    <w:rsid w:val="00F67E5D"/>
    <w:rsid w:val="00F70AD3"/>
    <w:rsid w:val="00F7119C"/>
    <w:rsid w:val="00F71BFB"/>
    <w:rsid w:val="00F71F27"/>
    <w:rsid w:val="00F75F90"/>
    <w:rsid w:val="00F800AE"/>
    <w:rsid w:val="00F80204"/>
    <w:rsid w:val="00F83A01"/>
    <w:rsid w:val="00F84838"/>
    <w:rsid w:val="00F8531D"/>
    <w:rsid w:val="00F867D9"/>
    <w:rsid w:val="00F87623"/>
    <w:rsid w:val="00F92292"/>
    <w:rsid w:val="00F924CD"/>
    <w:rsid w:val="00F93309"/>
    <w:rsid w:val="00F93856"/>
    <w:rsid w:val="00F95450"/>
    <w:rsid w:val="00F97CD2"/>
    <w:rsid w:val="00FA1813"/>
    <w:rsid w:val="00FA18C9"/>
    <w:rsid w:val="00FA3094"/>
    <w:rsid w:val="00FA3F26"/>
    <w:rsid w:val="00FA5330"/>
    <w:rsid w:val="00FA55C3"/>
    <w:rsid w:val="00FA6513"/>
    <w:rsid w:val="00FA7094"/>
    <w:rsid w:val="00FA7A3B"/>
    <w:rsid w:val="00FB2209"/>
    <w:rsid w:val="00FB274B"/>
    <w:rsid w:val="00FB64D8"/>
    <w:rsid w:val="00FB75D6"/>
    <w:rsid w:val="00FC0AF9"/>
    <w:rsid w:val="00FC195B"/>
    <w:rsid w:val="00FC1A99"/>
    <w:rsid w:val="00FC3FCA"/>
    <w:rsid w:val="00FC4236"/>
    <w:rsid w:val="00FC7802"/>
    <w:rsid w:val="00FC7B11"/>
    <w:rsid w:val="00FC7C4B"/>
    <w:rsid w:val="00FD0D66"/>
    <w:rsid w:val="00FD264B"/>
    <w:rsid w:val="00FD73A5"/>
    <w:rsid w:val="00FD74E9"/>
    <w:rsid w:val="00FD754F"/>
    <w:rsid w:val="00FE0558"/>
    <w:rsid w:val="00FE07AC"/>
    <w:rsid w:val="00FE1617"/>
    <w:rsid w:val="00FE2644"/>
    <w:rsid w:val="00FE63E7"/>
    <w:rsid w:val="00FE67D6"/>
    <w:rsid w:val="00FE6950"/>
    <w:rsid w:val="00FF07A8"/>
    <w:rsid w:val="00FF0AE7"/>
    <w:rsid w:val="00FF15BF"/>
    <w:rsid w:val="00FF1FE1"/>
    <w:rsid w:val="00FF2089"/>
    <w:rsid w:val="00FF4D89"/>
    <w:rsid w:val="00FF4EC8"/>
    <w:rsid w:val="00FF7643"/>
    <w:rsid w:val="00FF7FF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480A8D"/>
    <w:pPr>
      <w:numPr>
        <w:numId w:val="2"/>
      </w:numPr>
      <w:tabs>
        <w:tab w:val="left" w:pos="1134"/>
      </w:tabs>
      <w:spacing w:before="120" w:after="120"/>
      <w:ind w:left="567"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paragraph" w:styleId="ListParagraph">
    <w:name w:val="List Paragraph"/>
    <w:basedOn w:val="Normal"/>
    <w:uiPriority w:val="72"/>
    <w:rsid w:val="00DF4AC1"/>
    <w:pPr>
      <w:ind w:left="720"/>
      <w:contextualSpacing/>
    </w:pPr>
  </w:style>
  <w:style w:type="paragraph" w:styleId="Revision">
    <w:name w:val="Revision"/>
    <w:hidden/>
    <w:uiPriority w:val="99"/>
    <w:semiHidden/>
    <w:rsid w:val="003D3671"/>
    <w:pPr>
      <w:spacing w:after="0" w:line="240" w:lineRule="auto"/>
    </w:pPr>
    <w:rPr>
      <w:rFonts w:ascii="Times New Roman" w:eastAsia="Times New Roman" w:hAnsi="Times New Roman" w:cs="Times New Roman"/>
      <w:kern w:val="0"/>
      <w:szCs w:val="24"/>
      <w:lang w:val="en-GB"/>
    </w:rPr>
  </w:style>
  <w:style w:type="character" w:styleId="Hyperlink">
    <w:name w:val="Hyperlink"/>
    <w:basedOn w:val="DefaultParagraphFont"/>
    <w:uiPriority w:val="99"/>
    <w:unhideWhenUsed/>
    <w:rsid w:val="0058766E"/>
    <w:rPr>
      <w:color w:val="0563C1" w:themeColor="hyperlink"/>
      <w:u w:val="single"/>
    </w:rPr>
  </w:style>
  <w:style w:type="character" w:customStyle="1" w:styleId="UnresolvedMention">
    <w:name w:val="Unresolved Mention"/>
    <w:basedOn w:val="DefaultParagraphFont"/>
    <w:uiPriority w:val="99"/>
    <w:semiHidden/>
    <w:unhideWhenUsed/>
    <w:rsid w:val="0058766E"/>
    <w:rPr>
      <w:color w:val="605E5C"/>
      <w:shd w:val="clear" w:color="auto" w:fill="E1DFDD"/>
    </w:rPr>
  </w:style>
  <w:style w:type="character" w:styleId="FollowedHyperlink">
    <w:name w:val="FollowedHyperlink"/>
    <w:basedOn w:val="DefaultParagraphFont"/>
    <w:uiPriority w:val="99"/>
    <w:semiHidden/>
    <w:unhideWhenUsed/>
    <w:rsid w:val="006F3ED0"/>
    <w:rPr>
      <w:color w:val="954F72" w:themeColor="followedHyperlink"/>
      <w:u w:val="single"/>
    </w:rPr>
  </w:style>
  <w:style w:type="paragraph" w:styleId="NormalWeb">
    <w:name w:val="Normal (Web)"/>
    <w:basedOn w:val="Normal"/>
    <w:uiPriority w:val="99"/>
    <w:semiHidden/>
    <w:unhideWhenUsed/>
    <w:rsid w:val="00696BE8"/>
    <w:rPr>
      <w:sz w:val="24"/>
    </w:rPr>
  </w:style>
  <w:style w:type="paragraph" w:styleId="BalloonText">
    <w:name w:val="Balloon Text"/>
    <w:basedOn w:val="Normal"/>
    <w:link w:val="BalloonTextChar"/>
    <w:uiPriority w:val="99"/>
    <w:semiHidden/>
    <w:unhideWhenUsed/>
    <w:rsid w:val="00112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2B"/>
    <w:rPr>
      <w:rFonts w:ascii="Segoe UI" w:eastAsia="Times New Roman" w:hAnsi="Segoe UI" w:cs="Segoe UI"/>
      <w:kern w:val="0"/>
      <w:sz w:val="18"/>
      <w:szCs w:val="18"/>
      <w:lang w:val="en-GB"/>
    </w:rPr>
  </w:style>
  <w:style w:type="paragraph" w:styleId="BodyTextIndent">
    <w:name w:val="Body Text Indent"/>
    <w:basedOn w:val="Normal"/>
    <w:link w:val="BodyTextIndentChar"/>
    <w:uiPriority w:val="99"/>
    <w:semiHidden/>
    <w:unhideWhenUsed/>
    <w:rsid w:val="001515F3"/>
    <w:pPr>
      <w:spacing w:after="120"/>
      <w:ind w:left="283"/>
    </w:pPr>
  </w:style>
  <w:style w:type="character" w:customStyle="1" w:styleId="BodyTextIndentChar">
    <w:name w:val="Body Text Indent Char"/>
    <w:basedOn w:val="DefaultParagraphFont"/>
    <w:link w:val="BodyTextIndent"/>
    <w:uiPriority w:val="99"/>
    <w:semiHidden/>
    <w:rsid w:val="001515F3"/>
    <w:rPr>
      <w:rFonts w:ascii="Times New Roman" w:eastAsia="Times New Roman" w:hAnsi="Times New Roman" w:cs="Times New Roman"/>
      <w:kern w:val="0"/>
      <w:szCs w:val="24"/>
      <w:lang w:val="en-GB"/>
    </w:rPr>
  </w:style>
  <w:style w:type="character" w:styleId="Emphasis">
    <w:name w:val="Emphasis"/>
    <w:basedOn w:val="DefaultParagraphFont"/>
    <w:uiPriority w:val="20"/>
    <w:qFormat/>
    <w:rsid w:val="00AD4A6C"/>
    <w:rPr>
      <w:i/>
      <w:iCs/>
    </w:rPr>
  </w:style>
  <w:style w:type="character" w:customStyle="1" w:styleId="preferred">
    <w:name w:val="preferred"/>
    <w:basedOn w:val="DefaultParagraphFont"/>
    <w:rsid w:val="00E610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context.reverso.net/traduction/francais-anglais/membre+qui+est+totalement+ou+partiellement+r%C3%A9cus%C3%A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np-mop-03/np-mop-03-dec-11-fr.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10-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4/cop-14-dec-33-fr.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recommendations/sbi-02/sbi-02-rec-15-fr.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ontext.reverso.net/traduction/francais-anglais/les+s%C3%A9quences+num%C3%A9riques" TargetMode="External"/><Relationship Id="rId2" Type="http://schemas.openxmlformats.org/officeDocument/2006/relationships/hyperlink" Target="https://context.reverso.net/traduction/francais-anglais/d%27experts+techniques+sur+l%27information" TargetMode="External"/><Relationship Id="rId1" Type="http://schemas.openxmlformats.org/officeDocument/2006/relationships/hyperlink" Target="https://context.reverso.net/traduction/francais-anglais/Groupe" TargetMode="External"/><Relationship Id="rId6" Type="http://schemas.openxmlformats.org/officeDocument/2006/relationships/hyperlink" Target="https://context.reverso.net/traduction/francais-anglais/les+s%C3%A9quences+num%C3%A9riques" TargetMode="External"/><Relationship Id="rId5" Type="http://schemas.openxmlformats.org/officeDocument/2006/relationships/hyperlink" Target="https://context.reverso.net/traduction/francais-anglais/d%27experts+techniques+sur+l%27information" TargetMode="External"/><Relationship Id="rId4" Type="http://schemas.openxmlformats.org/officeDocument/2006/relationships/hyperlink" Target="https://context.reverso.net/traduction/francais-anglais/Grou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onge\Downloads\template-sbi-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9056-AA71-42D6-8F78-48B951C43102}">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D11E5B1-2E35-40DD-940C-CB0B956D8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0A091C83-2741-4A37-B86C-D480FAF7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template-sbi-04.dotm</Template>
  <TotalTime>2014</TotalTime>
  <Pages>7</Pages>
  <Words>3460</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Report on the implementation of the procedure for avoiding or managing conflicts of interest in expert groups</vt:lpstr>
    </vt:vector>
  </TitlesOfParts>
  <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the procedure for avoiding or managing conflicts of interest in expert groups</dc:title>
  <dc:subject>CBD/SBI/4/11/Add.1</dc:subject>
  <dc:creator>inonge</dc:creator>
  <cp:lastModifiedBy>BUBIC</cp:lastModifiedBy>
  <cp:revision>103</cp:revision>
  <cp:lastPrinted>2024-04-24T14:13:00Z</cp:lastPrinted>
  <dcterms:created xsi:type="dcterms:W3CDTF">2024-05-01T23:08:00Z</dcterms:created>
  <dcterms:modified xsi:type="dcterms:W3CDTF">2024-05-06T14:07:00Z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